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9FA14">
      <w:pPr>
        <w:jc w:val="left"/>
        <w:rPr>
          <w:color w:val="000000" w:themeColor="text1"/>
          <w:sz w:val="28"/>
          <w:szCs w:val="28"/>
          <w14:textFill>
            <w14:solidFill>
              <w14:schemeClr w14:val="tx1"/>
            </w14:solidFill>
          </w14:textFill>
        </w:rPr>
      </w:pPr>
    </w:p>
    <w:p w14:paraId="0715691E">
      <w:pPr>
        <w:jc w:val="left"/>
        <w:rPr>
          <w:color w:val="000000" w:themeColor="text1"/>
          <w:sz w:val="28"/>
          <w:szCs w:val="28"/>
          <w14:textFill>
            <w14:solidFill>
              <w14:schemeClr w14:val="tx1"/>
            </w14:solidFill>
          </w14:textFill>
        </w:rPr>
      </w:pPr>
    </w:p>
    <w:p w14:paraId="5B8B7B01">
      <w:pPr>
        <w:jc w:val="left"/>
        <w:rPr>
          <w:color w:val="000000" w:themeColor="text1"/>
          <w:sz w:val="28"/>
          <w:szCs w:val="28"/>
          <w14:textFill>
            <w14:solidFill>
              <w14:schemeClr w14:val="tx1"/>
            </w14:solidFill>
          </w14:textFill>
        </w:rPr>
      </w:pPr>
    </w:p>
    <w:p w14:paraId="60301907">
      <w:pPr>
        <w:jc w:val="left"/>
        <w:rPr>
          <w:color w:val="000000" w:themeColor="text1"/>
          <w:sz w:val="28"/>
          <w:szCs w:val="28"/>
          <w14:textFill>
            <w14:solidFill>
              <w14:schemeClr w14:val="tx1"/>
            </w14:solidFill>
          </w14:textFill>
        </w:rPr>
      </w:pPr>
    </w:p>
    <w:p w14:paraId="0FA3F3DD">
      <w:pPr>
        <w:autoSpaceDE w:val="0"/>
        <w:autoSpaceDN w:val="0"/>
        <w:adjustRightInd w:val="0"/>
        <w:spacing w:line="360" w:lineRule="auto"/>
        <w:jc w:val="center"/>
        <w:rPr>
          <w:rFonts w:ascii="方正行楷简体" w:hAnsi="新宋体" w:eastAsia="方正行楷简体"/>
          <w:b/>
          <w:color w:val="000000" w:themeColor="text1"/>
          <w:sz w:val="72"/>
          <w:szCs w:val="72"/>
          <w14:textFill>
            <w14:solidFill>
              <w14:schemeClr w14:val="tx1"/>
            </w14:solidFill>
          </w14:textFill>
        </w:rPr>
      </w:pPr>
      <w:r>
        <w:rPr>
          <w:rFonts w:hint="eastAsia" w:ascii="方正行楷简体" w:hAnsi="新宋体" w:eastAsia="方正行楷简体" w:cs="华文行楷"/>
          <w:b/>
          <w:color w:val="000000" w:themeColor="text1"/>
          <w:sz w:val="72"/>
          <w:szCs w:val="72"/>
          <w:lang w:val="zh-CN"/>
          <w14:textFill>
            <w14:solidFill>
              <w14:schemeClr w14:val="tx1"/>
            </w14:solidFill>
          </w14:textFill>
        </w:rPr>
        <w:t>海南州政府采购</w:t>
      </w:r>
    </w:p>
    <w:p w14:paraId="433EB558">
      <w:pPr>
        <w:autoSpaceDE w:val="0"/>
        <w:autoSpaceDN w:val="0"/>
        <w:adjustRightInd w:val="0"/>
        <w:spacing w:line="360" w:lineRule="auto"/>
        <w:rPr>
          <w:rFonts w:ascii="方正楷体_GBK" w:hAnsi="宋体" w:eastAsia="方正楷体_GBK" w:cs="华文中宋"/>
          <w:b/>
          <w:color w:val="000000" w:themeColor="text1"/>
          <w:sz w:val="36"/>
          <w:szCs w:val="36"/>
          <w:lang w:val="zh-CN"/>
          <w14:textFill>
            <w14:solidFill>
              <w14:schemeClr w14:val="tx1"/>
            </w14:solidFill>
          </w14:textFill>
        </w:rPr>
      </w:pPr>
    </w:p>
    <w:p w14:paraId="73640B03">
      <w:pPr>
        <w:autoSpaceDE w:val="0"/>
        <w:autoSpaceDN w:val="0"/>
        <w:adjustRightInd w:val="0"/>
        <w:spacing w:line="360" w:lineRule="auto"/>
        <w:rPr>
          <w:rFonts w:ascii="方正楷体_GBK" w:hAnsi="宋体" w:eastAsia="方正楷体_GBK" w:cs="华文中宋"/>
          <w:b/>
          <w:color w:val="000000" w:themeColor="text1"/>
          <w:sz w:val="36"/>
          <w:szCs w:val="36"/>
          <w:lang w:val="zh-CN"/>
          <w14:textFill>
            <w14:solidFill>
              <w14:schemeClr w14:val="tx1"/>
            </w14:solidFill>
          </w14:textFill>
        </w:rPr>
      </w:pPr>
    </w:p>
    <w:p w14:paraId="7061DB35">
      <w:pPr>
        <w:autoSpaceDE w:val="0"/>
        <w:autoSpaceDN w:val="0"/>
        <w:adjustRightInd w:val="0"/>
        <w:spacing w:line="360" w:lineRule="auto"/>
        <w:ind w:firstLine="2101" w:firstLineChars="250"/>
        <w:rPr>
          <w:rFonts w:ascii="方正楷体_GBK" w:hAnsi="宋体" w:eastAsia="方正楷体_GBK"/>
          <w:b/>
          <w:color w:val="000000" w:themeColor="text1"/>
          <w:sz w:val="84"/>
          <w:szCs w:val="84"/>
          <w14:textFill>
            <w14:solidFill>
              <w14:schemeClr w14:val="tx1"/>
            </w14:solidFill>
          </w14:textFill>
        </w:rPr>
      </w:pPr>
      <w:r>
        <w:rPr>
          <w:rFonts w:hint="eastAsia" w:ascii="方正楷体_GBK" w:hAnsi="宋体" w:eastAsia="方正楷体_GBK" w:cs="华文中宋"/>
          <w:b/>
          <w:color w:val="000000" w:themeColor="text1"/>
          <w:sz w:val="84"/>
          <w:szCs w:val="84"/>
          <w:lang w:val="zh-CN"/>
          <w14:textFill>
            <w14:solidFill>
              <w14:schemeClr w14:val="tx1"/>
            </w14:solidFill>
          </w14:textFill>
        </w:rPr>
        <w:t>招 标</w:t>
      </w:r>
      <w:r>
        <w:rPr>
          <w:rFonts w:hint="eastAsia" w:ascii="方正楷体_GBK" w:hAnsi="宋体" w:eastAsia="方正楷体_GBK"/>
          <w:b/>
          <w:color w:val="000000" w:themeColor="text1"/>
          <w:sz w:val="84"/>
          <w:szCs w:val="84"/>
          <w14:textFill>
            <w14:solidFill>
              <w14:schemeClr w14:val="tx1"/>
            </w14:solidFill>
          </w14:textFill>
        </w:rPr>
        <w:t xml:space="preserve"> </w:t>
      </w:r>
      <w:r>
        <w:rPr>
          <w:rFonts w:hint="eastAsia" w:ascii="方正楷体_GBK" w:hAnsi="宋体" w:eastAsia="方正楷体_GBK" w:cs="华文中宋"/>
          <w:b/>
          <w:color w:val="000000" w:themeColor="text1"/>
          <w:sz w:val="84"/>
          <w:szCs w:val="84"/>
          <w:lang w:val="zh-CN"/>
          <w14:textFill>
            <w14:solidFill>
              <w14:schemeClr w14:val="tx1"/>
            </w14:solidFill>
          </w14:textFill>
        </w:rPr>
        <w:t>文</w:t>
      </w:r>
      <w:r>
        <w:rPr>
          <w:rFonts w:hint="eastAsia" w:ascii="方正楷体_GBK" w:hAnsi="宋体" w:eastAsia="方正楷体_GBK"/>
          <w:b/>
          <w:color w:val="000000" w:themeColor="text1"/>
          <w:sz w:val="84"/>
          <w:szCs w:val="84"/>
          <w14:textFill>
            <w14:solidFill>
              <w14:schemeClr w14:val="tx1"/>
            </w14:solidFill>
          </w14:textFill>
        </w:rPr>
        <w:t xml:space="preserve"> </w:t>
      </w:r>
      <w:r>
        <w:rPr>
          <w:rFonts w:hint="eastAsia" w:ascii="方正楷体_GBK" w:hAnsi="宋体" w:eastAsia="方正楷体_GBK" w:cs="华文中宋"/>
          <w:b/>
          <w:color w:val="000000" w:themeColor="text1"/>
          <w:sz w:val="84"/>
          <w:szCs w:val="84"/>
          <w:lang w:val="zh-CN"/>
          <w14:textFill>
            <w14:solidFill>
              <w14:schemeClr w14:val="tx1"/>
            </w14:solidFill>
          </w14:textFill>
        </w:rPr>
        <w:t>件</w:t>
      </w:r>
    </w:p>
    <w:p w14:paraId="52AC8E16">
      <w:pPr>
        <w:adjustRightInd w:val="0"/>
        <w:spacing w:line="360" w:lineRule="auto"/>
        <w:textAlignment w:val="baseline"/>
        <w:rPr>
          <w:rFonts w:ascii="仿宋_GB2312" w:hAnsi="宋体" w:eastAsia="仿宋_GB2312"/>
          <w:b/>
          <w:color w:val="000000" w:themeColor="text1"/>
          <w:sz w:val="36"/>
          <w:szCs w:val="36"/>
          <w14:textFill>
            <w14:solidFill>
              <w14:schemeClr w14:val="tx1"/>
            </w14:solidFill>
          </w14:textFill>
        </w:rPr>
      </w:pPr>
    </w:p>
    <w:p w14:paraId="16D1671C">
      <w:pPr>
        <w:adjustRightInd w:val="0"/>
        <w:spacing w:line="360" w:lineRule="auto"/>
        <w:textAlignment w:val="baseline"/>
        <w:rPr>
          <w:rFonts w:hint="eastAsia" w:ascii="宋体" w:hAnsi="宋体" w:eastAsiaTheme="minorEastAsia"/>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采购项目编号：</w:t>
      </w:r>
      <w:r>
        <w:rPr>
          <w:rFonts w:hint="eastAsia" w:ascii="宋体" w:hAnsi="宋体"/>
          <w:b/>
          <w:color w:val="000000" w:themeColor="text1"/>
          <w:sz w:val="32"/>
          <w:szCs w:val="32"/>
          <w:lang w:eastAsia="zh-CN"/>
          <w14:textFill>
            <w14:solidFill>
              <w14:schemeClr w14:val="tx1"/>
            </w14:solidFill>
          </w14:textFill>
        </w:rPr>
        <w:t>南政采公招（服务）2024-28号</w:t>
      </w:r>
    </w:p>
    <w:p w14:paraId="651AA7F9">
      <w:pPr>
        <w:autoSpaceDE w:val="0"/>
        <w:autoSpaceDN w:val="0"/>
        <w:adjustRightInd w:val="0"/>
        <w:spacing w:line="360" w:lineRule="auto"/>
        <w:ind w:left="2512" w:hanging="2233" w:hangingChars="695"/>
        <w:rPr>
          <w:rFonts w:hint="eastAsia" w:ascii="宋体" w:hAnsi="宋体" w:eastAsiaTheme="minorEastAsia"/>
          <w:b/>
          <w:color w:val="0000FF"/>
          <w:sz w:val="32"/>
          <w:szCs w:val="32"/>
          <w:lang w:eastAsia="zh-CN"/>
        </w:rPr>
      </w:pPr>
      <w:r>
        <w:rPr>
          <w:rFonts w:hint="eastAsia" w:ascii="宋体" w:hAnsi="宋体"/>
          <w:b/>
          <w:color w:val="000000" w:themeColor="text1"/>
          <w:sz w:val="32"/>
          <w:szCs w:val="32"/>
          <w14:textFill>
            <w14:solidFill>
              <w14:schemeClr w14:val="tx1"/>
            </w14:solidFill>
          </w14:textFill>
        </w:rPr>
        <w:t>采购项目名称：</w:t>
      </w:r>
      <w:r>
        <w:rPr>
          <w:rFonts w:hint="eastAsia" w:ascii="宋体" w:hAnsi="宋体"/>
          <w:b/>
          <w:color w:val="000000" w:themeColor="text1"/>
          <w:sz w:val="32"/>
          <w:szCs w:val="32"/>
          <w:lang w:eastAsia="zh-CN"/>
          <w14:textFill>
            <w14:solidFill>
              <w14:schemeClr w14:val="tx1"/>
            </w14:solidFill>
          </w14:textFill>
        </w:rPr>
        <w:t>青海省省级区域医疗中心（海南州）建设项目信息化建设项目</w:t>
      </w:r>
    </w:p>
    <w:p w14:paraId="6B2FCD05">
      <w:pPr>
        <w:adjustRightInd w:val="0"/>
        <w:spacing w:line="360" w:lineRule="auto"/>
        <w:textAlignment w:val="baseline"/>
        <w:rPr>
          <w:rFonts w:hint="eastAsia" w:ascii="宋体" w:hAnsi="宋体" w:eastAsiaTheme="minorEastAsia"/>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  购 单 位：</w:t>
      </w:r>
      <w:r>
        <w:rPr>
          <w:rFonts w:hint="eastAsia" w:ascii="宋体" w:hAnsi="宋体"/>
          <w:b/>
          <w:color w:val="000000" w:themeColor="text1"/>
          <w:sz w:val="32"/>
          <w:szCs w:val="32"/>
          <w:lang w:eastAsia="zh-CN"/>
          <w14:textFill>
            <w14:solidFill>
              <w14:schemeClr w14:val="tx1"/>
            </w14:solidFill>
          </w14:textFill>
        </w:rPr>
        <w:t>海南州人民医院</w:t>
      </w:r>
    </w:p>
    <w:p w14:paraId="37572A7C">
      <w:pPr>
        <w:pStyle w:val="39"/>
        <w:rPr>
          <w:rFonts w:hAnsi="宋体" w:eastAsia="宋体" w:cs="Times New Roman"/>
          <w:b/>
          <w:color w:val="000000" w:themeColor="text1"/>
          <w:sz w:val="36"/>
          <w:szCs w:val="36"/>
          <w14:textFill>
            <w14:solidFill>
              <w14:schemeClr w14:val="tx1"/>
            </w14:solidFill>
          </w14:textFill>
        </w:rPr>
      </w:pPr>
    </w:p>
    <w:p w14:paraId="0EF2BB63">
      <w:pPr>
        <w:pStyle w:val="39"/>
        <w:rPr>
          <w:rFonts w:hint="eastAsia" w:hAnsi="宋体" w:eastAsia="宋体" w:cs="Times New Roman"/>
          <w:b/>
          <w:color w:val="000000" w:themeColor="text1"/>
          <w:sz w:val="36"/>
          <w:szCs w:val="36"/>
          <w:lang w:val="en-US" w:eastAsia="zh-CN"/>
          <w14:textFill>
            <w14:solidFill>
              <w14:schemeClr w14:val="tx1"/>
            </w14:solidFill>
          </w14:textFill>
        </w:rPr>
      </w:pPr>
      <w:r>
        <w:rPr>
          <w:rFonts w:hint="eastAsia" w:hAnsi="宋体" w:eastAsia="宋体" w:cs="Times New Roman"/>
          <w:b/>
          <w:color w:val="000000" w:themeColor="text1"/>
          <w:sz w:val="36"/>
          <w:szCs w:val="36"/>
          <w:lang w:val="en-US" w:eastAsia="zh-CN"/>
          <w14:textFill>
            <w14:solidFill>
              <w14:schemeClr w14:val="tx1"/>
            </w14:solidFill>
          </w14:textFill>
        </w:rPr>
        <w:t xml:space="preserve"> </w:t>
      </w:r>
    </w:p>
    <w:p w14:paraId="4A23E4FC">
      <w:pPr>
        <w:adjustRightInd w:val="0"/>
        <w:spacing w:line="360" w:lineRule="auto"/>
        <w:textAlignment w:val="baseline"/>
        <w:rPr>
          <w:b/>
          <w:color w:val="000000" w:themeColor="text1"/>
          <w14:textFill>
            <w14:solidFill>
              <w14:schemeClr w14:val="tx1"/>
            </w14:solidFill>
          </w14:textFill>
        </w:rPr>
      </w:pPr>
    </w:p>
    <w:p w14:paraId="2F85126B">
      <w:pPr>
        <w:adjustRightInd w:val="0"/>
        <w:spacing w:line="360" w:lineRule="auto"/>
        <w:textAlignment w:val="baseline"/>
        <w:rPr>
          <w:b/>
          <w:color w:val="000000" w:themeColor="text1"/>
          <w14:textFill>
            <w14:solidFill>
              <w14:schemeClr w14:val="tx1"/>
            </w14:solidFill>
          </w14:textFill>
        </w:rPr>
      </w:pPr>
    </w:p>
    <w:p w14:paraId="4FD88F55">
      <w:pPr>
        <w:adjustRightInd w:val="0"/>
        <w:spacing w:line="360" w:lineRule="auto"/>
        <w:textAlignment w:val="baseline"/>
        <w:rPr>
          <w:b/>
          <w:color w:val="000000" w:themeColor="text1"/>
          <w14:textFill>
            <w14:solidFill>
              <w14:schemeClr w14:val="tx1"/>
            </w14:solidFill>
          </w14:textFill>
        </w:rPr>
      </w:pPr>
    </w:p>
    <w:p w14:paraId="17FD100A">
      <w:pPr>
        <w:adjustRightInd w:val="0"/>
        <w:spacing w:line="360" w:lineRule="auto"/>
        <w:jc w:val="center"/>
        <w:textAlignment w:val="baseline"/>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海南州政府采购服务中心</w:t>
      </w:r>
      <w:r>
        <w:rPr>
          <w:rFonts w:hint="eastAsia" w:ascii="宋体" w:hAnsi="宋体"/>
          <w:b/>
          <w:color w:val="000000" w:themeColor="text1"/>
          <w:sz w:val="32"/>
          <w:szCs w:val="32"/>
          <w14:textFill>
            <w14:solidFill>
              <w14:schemeClr w14:val="tx1"/>
            </w14:solidFill>
          </w14:textFill>
        </w:rPr>
        <w:t>编制</w:t>
      </w:r>
    </w:p>
    <w:p w14:paraId="316FE4CD">
      <w:pPr>
        <w:tabs>
          <w:tab w:val="left" w:pos="1256"/>
          <w:tab w:val="center" w:pos="4479"/>
        </w:tabs>
        <w:adjustRightInd w:val="0"/>
        <w:spacing w:line="360" w:lineRule="auto"/>
        <w:jc w:val="left"/>
        <w:textAlignment w:val="baseline"/>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ab/>
      </w:r>
      <w:r>
        <w:rPr>
          <w:rFonts w:hint="eastAsia" w:ascii="宋体" w:hAnsi="宋体"/>
          <w:b/>
          <w:color w:val="000000" w:themeColor="text1"/>
          <w:sz w:val="32"/>
          <w:szCs w:val="32"/>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2024年</w:t>
      </w:r>
      <w:r>
        <w:rPr>
          <w:rFonts w:hint="eastAsia" w:ascii="宋体" w:hAnsi="宋体"/>
          <w:b/>
          <w:color w:val="000000" w:themeColor="text1"/>
          <w:sz w:val="32"/>
          <w:szCs w:val="32"/>
          <w:lang w:val="en-US" w:eastAsia="zh-CN"/>
          <w14:textFill>
            <w14:solidFill>
              <w14:schemeClr w14:val="tx1"/>
            </w14:solidFill>
          </w14:textFill>
        </w:rPr>
        <w:t>10</w:t>
      </w:r>
      <w:r>
        <w:rPr>
          <w:rFonts w:hint="eastAsia" w:ascii="宋体" w:hAnsi="宋体"/>
          <w:b/>
          <w:color w:val="000000" w:themeColor="text1"/>
          <w:sz w:val="32"/>
          <w:szCs w:val="32"/>
          <w14:textFill>
            <w14:solidFill>
              <w14:schemeClr w14:val="tx1"/>
            </w14:solidFill>
          </w14:textFill>
        </w:rPr>
        <w:t>月</w:t>
      </w:r>
    </w:p>
    <w:p w14:paraId="7A7BD191">
      <w:pPr>
        <w:tabs>
          <w:tab w:val="left" w:pos="1256"/>
          <w:tab w:val="center" w:pos="4479"/>
        </w:tabs>
        <w:adjustRightInd w:val="0"/>
        <w:spacing w:line="360" w:lineRule="auto"/>
        <w:jc w:val="both"/>
        <w:textAlignment w:val="baseline"/>
        <w:rPr>
          <w:rFonts w:ascii="宋体" w:hAnsi="宋体"/>
          <w:b/>
          <w:color w:val="000000" w:themeColor="text1"/>
          <w:sz w:val="40"/>
          <w:szCs w:val="30"/>
          <w14:textFill>
            <w14:solidFill>
              <w14:schemeClr w14:val="tx1"/>
            </w14:solidFill>
          </w14:textFill>
        </w:rPr>
      </w:pPr>
    </w:p>
    <w:p w14:paraId="5A3AF80B">
      <w:pPr>
        <w:tabs>
          <w:tab w:val="left" w:pos="1256"/>
          <w:tab w:val="center" w:pos="4479"/>
        </w:tabs>
        <w:adjustRightInd w:val="0"/>
        <w:spacing w:line="360" w:lineRule="auto"/>
        <w:ind w:firstLine="321" w:firstLineChars="100"/>
        <w:jc w:val="center"/>
        <w:textAlignment w:val="baseline"/>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目  录</w:t>
      </w:r>
    </w:p>
    <w:p w14:paraId="0F7F0B6A">
      <w:pPr>
        <w:tabs>
          <w:tab w:val="left" w:pos="1256"/>
          <w:tab w:val="center" w:pos="4479"/>
        </w:tabs>
        <w:adjustRightInd w:val="0"/>
        <w:spacing w:line="360" w:lineRule="auto"/>
        <w:ind w:firstLine="321" w:firstLineChars="100"/>
        <w:jc w:val="center"/>
        <w:textAlignment w:val="baseline"/>
        <w:rPr>
          <w:rFonts w:ascii="宋体" w:hAnsi="宋体"/>
          <w:b/>
          <w:color w:val="000000" w:themeColor="text1"/>
          <w:sz w:val="32"/>
          <w:szCs w:val="32"/>
          <w14:textFill>
            <w14:solidFill>
              <w14:schemeClr w14:val="tx1"/>
            </w14:solidFill>
          </w14:textFill>
        </w:rPr>
      </w:pPr>
      <w:bookmarkStart w:id="0" w:name="_Toc67558555"/>
      <w:bookmarkStart w:id="1" w:name="_Toc325725996"/>
      <w:r>
        <w:rPr>
          <w:rFonts w:hint="eastAsia" w:ascii="宋体" w:hAnsi="宋体"/>
          <w:b/>
          <w:color w:val="000000" w:themeColor="text1"/>
          <w:sz w:val="32"/>
          <w:szCs w:val="32"/>
          <w14:textFill>
            <w14:solidFill>
              <w14:schemeClr w14:val="tx1"/>
            </w14:solidFill>
          </w14:textFill>
        </w:rPr>
        <w:t>目  录</w:t>
      </w:r>
    </w:p>
    <w:p w14:paraId="565C8F26">
      <w:pPr>
        <w:pStyle w:val="15"/>
        <w:tabs>
          <w:tab w:val="right" w:leader="dot" w:pos="8948"/>
        </w:tabs>
        <w:spacing w:line="300" w:lineRule="exact"/>
        <w:ind w:firstLine="480"/>
        <w:rPr>
          <w:rFonts w:hint="eastAsia" w:ascii="宋体" w:hAnsi="宋体"/>
          <w:b w:val="0"/>
          <w:bCs w:val="0"/>
          <w:caps w:val="0"/>
          <w:color w:val="000000" w:themeColor="text1"/>
          <w:sz w:val="24"/>
          <w:szCs w:val="24"/>
          <w14:textFill>
            <w14:solidFill>
              <w14:schemeClr w14:val="tx1"/>
            </w14:solidFill>
          </w14:textFill>
        </w:rPr>
      </w:pPr>
      <w:r>
        <w:rPr>
          <w:rStyle w:val="31"/>
          <w:rFonts w:hint="eastAsia" w:ascii="宋体" w:hAnsi="宋体"/>
          <w:b w:val="0"/>
          <w:color w:val="000000" w:themeColor="text1"/>
          <w:sz w:val="24"/>
          <w:szCs w:val="24"/>
          <w14:textFill>
            <w14:solidFill>
              <w14:schemeClr w14:val="tx1"/>
            </w14:solidFill>
          </w14:textFill>
        </w:rPr>
        <w:fldChar w:fldCharType="begin"/>
      </w:r>
      <w:r>
        <w:rPr>
          <w:rStyle w:val="31"/>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"_Toc137632949"</w:instrText>
      </w:r>
      <w:r>
        <w:rPr>
          <w:rStyle w:val="31"/>
          <w:rFonts w:hint="eastAsia" w:ascii="宋体" w:hAnsi="宋体"/>
          <w:b w:val="0"/>
          <w:color w:val="000000" w:themeColor="text1"/>
          <w:sz w:val="24"/>
          <w:szCs w:val="24"/>
          <w14:textFill>
            <w14:solidFill>
              <w14:schemeClr w14:val="tx1"/>
            </w14:solidFill>
          </w14:textFill>
        </w:rPr>
        <w:instrText xml:space="preserve"> </w:instrText>
      </w:r>
      <w:r>
        <w:rPr>
          <w:rStyle w:val="31"/>
          <w:rFonts w:hint="eastAsia" w:ascii="宋体" w:hAnsi="宋体"/>
          <w:b w:val="0"/>
          <w:color w:val="000000" w:themeColor="text1"/>
          <w:sz w:val="24"/>
          <w:szCs w:val="24"/>
          <w14:textFill>
            <w14:solidFill>
              <w14:schemeClr w14:val="tx1"/>
            </w14:solidFill>
          </w14:textFill>
        </w:rPr>
        <w:fldChar w:fldCharType="separate"/>
      </w:r>
      <w:r>
        <w:rPr>
          <w:rStyle w:val="31"/>
          <w:rFonts w:hint="eastAsia" w:ascii="宋体" w:hAnsi="宋体"/>
          <w:b w:val="0"/>
          <w:color w:val="000000" w:themeColor="text1"/>
          <w:sz w:val="24"/>
          <w:szCs w:val="24"/>
          <w14:textFill>
            <w14:solidFill>
              <w14:schemeClr w14:val="tx1"/>
            </w14:solidFill>
          </w14:textFill>
        </w:rPr>
        <w:t>第一部分  投标人须知前附表</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_Toc137632949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4</w:t>
      </w:r>
      <w:r>
        <w:rPr>
          <w:rFonts w:hint="eastAsia" w:ascii="宋体" w:hAnsi="宋体"/>
          <w:b w:val="0"/>
          <w:color w:val="000000" w:themeColor="text1"/>
          <w:sz w:val="24"/>
          <w:szCs w:val="24"/>
          <w14:textFill>
            <w14:solidFill>
              <w14:schemeClr w14:val="tx1"/>
            </w14:solidFill>
          </w14:textFill>
        </w:rPr>
        <w:fldChar w:fldCharType="end"/>
      </w:r>
      <w:r>
        <w:rPr>
          <w:rStyle w:val="31"/>
          <w:rFonts w:hint="eastAsia" w:ascii="宋体" w:hAnsi="宋体"/>
          <w:b w:val="0"/>
          <w:color w:val="000000" w:themeColor="text1"/>
          <w:sz w:val="24"/>
          <w:szCs w:val="24"/>
          <w14:textFill>
            <w14:solidFill>
              <w14:schemeClr w14:val="tx1"/>
            </w14:solidFill>
          </w14:textFill>
        </w:rPr>
        <w:fldChar w:fldCharType="end"/>
      </w:r>
    </w:p>
    <w:p w14:paraId="608CB878">
      <w:pPr>
        <w:pStyle w:val="15"/>
        <w:tabs>
          <w:tab w:val="right" w:leader="dot" w:pos="8948"/>
        </w:tabs>
        <w:spacing w:line="300" w:lineRule="exact"/>
        <w:ind w:firstLine="480"/>
        <w:rPr>
          <w:rFonts w:hint="eastAsia" w:ascii="宋体" w:hAnsi="宋体"/>
          <w:b w:val="0"/>
          <w:bCs w:val="0"/>
          <w:caps w:val="0"/>
          <w:color w:val="000000" w:themeColor="text1"/>
          <w:sz w:val="24"/>
          <w:szCs w:val="24"/>
          <w14:textFill>
            <w14:solidFill>
              <w14:schemeClr w14:val="tx1"/>
            </w14:solidFill>
          </w14:textFill>
        </w:rPr>
      </w:pPr>
      <w:r>
        <w:rPr>
          <w:rStyle w:val="31"/>
          <w:rFonts w:hint="eastAsia" w:ascii="宋体" w:hAnsi="宋体"/>
          <w:b w:val="0"/>
          <w:color w:val="000000" w:themeColor="text1"/>
          <w:sz w:val="24"/>
          <w:szCs w:val="24"/>
          <w14:textFill>
            <w14:solidFill>
              <w14:schemeClr w14:val="tx1"/>
            </w14:solidFill>
          </w14:textFill>
        </w:rPr>
        <w:fldChar w:fldCharType="begin"/>
      </w:r>
      <w:r>
        <w:rPr>
          <w:rStyle w:val="31"/>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"_Toc137632950"</w:instrText>
      </w:r>
      <w:r>
        <w:rPr>
          <w:rStyle w:val="31"/>
          <w:rFonts w:hint="eastAsia" w:ascii="宋体" w:hAnsi="宋体"/>
          <w:b w:val="0"/>
          <w:color w:val="000000" w:themeColor="text1"/>
          <w:sz w:val="24"/>
          <w:szCs w:val="24"/>
          <w14:textFill>
            <w14:solidFill>
              <w14:schemeClr w14:val="tx1"/>
            </w14:solidFill>
          </w14:textFill>
        </w:rPr>
        <w:instrText xml:space="preserve"> </w:instrText>
      </w:r>
      <w:r>
        <w:rPr>
          <w:rStyle w:val="31"/>
          <w:rFonts w:hint="eastAsia" w:ascii="宋体" w:hAnsi="宋体"/>
          <w:b w:val="0"/>
          <w:color w:val="000000" w:themeColor="text1"/>
          <w:sz w:val="24"/>
          <w:szCs w:val="24"/>
          <w14:textFill>
            <w14:solidFill>
              <w14:schemeClr w14:val="tx1"/>
            </w14:solidFill>
          </w14:textFill>
        </w:rPr>
        <w:fldChar w:fldCharType="separate"/>
      </w:r>
      <w:r>
        <w:rPr>
          <w:rStyle w:val="31"/>
          <w:rFonts w:hint="eastAsia" w:ascii="宋体" w:hAnsi="宋体"/>
          <w:b w:val="0"/>
          <w:color w:val="000000" w:themeColor="text1"/>
          <w:kern w:val="28"/>
          <w:sz w:val="24"/>
          <w:szCs w:val="24"/>
          <w14:textFill>
            <w14:solidFill>
              <w14:schemeClr w14:val="tx1"/>
            </w14:solidFill>
          </w14:textFill>
        </w:rPr>
        <w:t>第二部分  投标人须知</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_Toc137632950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6</w:t>
      </w:r>
      <w:r>
        <w:rPr>
          <w:rFonts w:hint="eastAsia" w:ascii="宋体" w:hAnsi="宋体"/>
          <w:b w:val="0"/>
          <w:color w:val="000000" w:themeColor="text1"/>
          <w:sz w:val="24"/>
          <w:szCs w:val="24"/>
          <w14:textFill>
            <w14:solidFill>
              <w14:schemeClr w14:val="tx1"/>
            </w14:solidFill>
          </w14:textFill>
        </w:rPr>
        <w:fldChar w:fldCharType="end"/>
      </w:r>
      <w:r>
        <w:rPr>
          <w:rStyle w:val="31"/>
          <w:rFonts w:hint="eastAsia" w:ascii="宋体" w:hAnsi="宋体"/>
          <w:b w:val="0"/>
          <w:color w:val="000000" w:themeColor="text1"/>
          <w:sz w:val="24"/>
          <w:szCs w:val="24"/>
          <w14:textFill>
            <w14:solidFill>
              <w14:schemeClr w14:val="tx1"/>
            </w14:solidFill>
          </w14:textFill>
        </w:rPr>
        <w:fldChar w:fldCharType="end"/>
      </w:r>
    </w:p>
    <w:p w14:paraId="471996CA">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"_Toc137632951"</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一、说  明</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_Toc137632951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136F5A61">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"_Toc137632952"</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1.适用范围</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_Toc137632952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31F6F92E">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"_Toc137632953"</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2.招标方式、合格的投标人</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_Toc137632953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73BABA90">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"_Toc137632954"</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3.投标费用</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_Toc137632954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2E06A34C">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"_Toc137632955"</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二、招标文件说明</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_Toc137632955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3ED3AB24">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"_Toc137632956"</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4.招标文件的构成</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_Toc137632956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3A75CCC2">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"_Toc137632957"</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5.招标文件的质疑</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_Toc137632957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7</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41AE09C3">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"_Toc137632958"</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6.招标文件的修改</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_Toc137632958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7</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207561A5">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"_Toc137632959"</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三、投标文件的编制</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_Toc137632959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16C6965A">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"_Toc137632960"</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7.投标文件的语言及度量衡单位</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_Toc137632960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7</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4CD75458">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"_Toc137632961"</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8.投标报价及币种</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_Toc137632961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8</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7EF144BA">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"_Toc137632962"</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9. 响应文件的编制原则</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_Toc137632962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8</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1104D135">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"_Toc137632963"</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10.投标有效期</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_Toc137632963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8</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4F8787D4">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"_Toc137632964"</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11.投标文件构成</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_Toc137632964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8</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510808D3">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"_Toc137632965"</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12. 投</w:t>
      </w:r>
      <w:bookmarkStart w:id="2" w:name="_Hlt137633027"/>
      <w:r>
        <w:rPr>
          <w:rStyle w:val="31"/>
          <w:rFonts w:hint="eastAsia" w:ascii="宋体" w:hAnsi="宋体"/>
          <w:bCs/>
          <w:i w:val="0"/>
          <w:color w:val="000000" w:themeColor="text1"/>
          <w:kern w:val="0"/>
          <w:sz w:val="24"/>
          <w:szCs w:val="24"/>
          <w14:textFill>
            <w14:solidFill>
              <w14:schemeClr w14:val="tx1"/>
            </w14:solidFill>
          </w14:textFill>
        </w:rPr>
        <w:t>标</w:t>
      </w:r>
      <w:bookmarkEnd w:id="2"/>
      <w:r>
        <w:rPr>
          <w:rStyle w:val="31"/>
          <w:rFonts w:hint="eastAsia" w:ascii="宋体" w:hAnsi="宋体"/>
          <w:bCs/>
          <w:i w:val="0"/>
          <w:color w:val="000000" w:themeColor="text1"/>
          <w:kern w:val="0"/>
          <w:sz w:val="24"/>
          <w:szCs w:val="24"/>
          <w14:textFill>
            <w14:solidFill>
              <w14:schemeClr w14:val="tx1"/>
            </w14:solidFill>
          </w14:textFill>
        </w:rPr>
        <w:t>文件的格式及编制要求</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_Toc137632965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9</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08389486">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"_Toc137632966"</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四、 网上投标</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_Toc137632966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7562F639">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"_Toc137632967"</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13.网上投标</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_Toc137632967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10</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02E1D638">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"_Toc137632968"</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14.投标截止日期</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_Toc137632968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10</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792CB64E">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"_Toc137632969"</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15.投标文件的撤回</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_Toc137632969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10</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1F8EC4DF">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"_Toc137632970"</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五、开标</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_Toc137632970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3A691A65">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"_Toc137632971"</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16.开标</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_Toc137632971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10</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3BD53886">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"_Toc137632972"</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六、资格审查程序及方法</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_Toc137632972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0E446A4D">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"_Toc137632973"</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17. 资格审查程序</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_Toc137632973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11</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6546A7CD">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"_Toc137632974"</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18.资格审查不通过的情形</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_Toc137632974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11</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0153D174">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"_Toc137632975"</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七、评标程序及方法</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_Toc137632975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3E82CB7D">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"_Toc137632976"</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19.评标委员会</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_Toc137632976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11</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2CAE41FD">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"_Toc137632977"</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20.评标工作程序</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_Toc137632977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12</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4C5190B5">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"_Toc137632978"</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21.答疑的方式和情形</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_Toc137632978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13</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67D1937A">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"_Toc137632979"</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22.评标办法</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_Toc137632979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14</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33D6F3F4">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"_Toc137632980"</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八、定 标</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_Toc137632980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3121BA84">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"_Toc137632981"</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23.推荐并确定中标供应商</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_Toc137632981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17</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1BE45E7F">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"_Toc137632982"</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24.中标通知</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_Toc137632982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17</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19A4D76B">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"_Toc137632983"</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九、授予合同</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_Toc137632983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17</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11D7CC2E">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"_Toc137632984"</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25.签订合同</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_Toc137632984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17</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6E793B58">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"_Toc137632985"</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十、串通投标的认定及处理办法</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_Toc137632985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18</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3D2D63F3">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"_Toc137632986"</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26.串通投标的情形</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_Toc137632986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18</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0946EA50">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"_Toc137632987"</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十一、废标</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_Toc137632987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19</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09892523">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"_Toc137632988"</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27. 废标情形</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_Toc137632988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19</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404B6173">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"_Toc137632989"</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十二、处罚</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_Toc137632989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19</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6DB95240">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"_Toc137632990"</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28.处罚情形</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_Toc137632990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19</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63717B5E">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"_Toc137632991"</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十三、其他</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_Toc137632991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1CCC3A20">
      <w:pPr>
        <w:pStyle w:val="15"/>
        <w:tabs>
          <w:tab w:val="right" w:leader="dot" w:pos="8948"/>
        </w:tabs>
        <w:spacing w:line="300" w:lineRule="exact"/>
        <w:ind w:firstLine="480"/>
        <w:rPr>
          <w:rFonts w:hint="eastAsia" w:ascii="宋体" w:hAnsi="宋体"/>
          <w:b w:val="0"/>
          <w:bCs w:val="0"/>
          <w:caps w:val="0"/>
          <w:color w:val="000000" w:themeColor="text1"/>
          <w:sz w:val="24"/>
          <w:szCs w:val="24"/>
          <w14:textFill>
            <w14:solidFill>
              <w14:schemeClr w14:val="tx1"/>
            </w14:solidFill>
          </w14:textFill>
        </w:rPr>
      </w:pPr>
      <w:r>
        <w:rPr>
          <w:rStyle w:val="31"/>
          <w:rFonts w:hint="eastAsia" w:ascii="宋体" w:hAnsi="宋体"/>
          <w:b w:val="0"/>
          <w:color w:val="000000" w:themeColor="text1"/>
          <w:sz w:val="24"/>
          <w:szCs w:val="24"/>
          <w14:textFill>
            <w14:solidFill>
              <w14:schemeClr w14:val="tx1"/>
            </w14:solidFill>
          </w14:textFill>
        </w:rPr>
        <w:fldChar w:fldCharType="begin"/>
      </w:r>
      <w:r>
        <w:rPr>
          <w:rStyle w:val="31"/>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"_Toc137632992"</w:instrText>
      </w:r>
      <w:r>
        <w:rPr>
          <w:rStyle w:val="31"/>
          <w:rFonts w:hint="eastAsia" w:ascii="宋体" w:hAnsi="宋体"/>
          <w:b w:val="0"/>
          <w:color w:val="000000" w:themeColor="text1"/>
          <w:sz w:val="24"/>
          <w:szCs w:val="24"/>
          <w14:textFill>
            <w14:solidFill>
              <w14:schemeClr w14:val="tx1"/>
            </w14:solidFill>
          </w14:textFill>
        </w:rPr>
        <w:instrText xml:space="preserve"> </w:instrText>
      </w:r>
      <w:r>
        <w:rPr>
          <w:rStyle w:val="31"/>
          <w:rFonts w:hint="eastAsia" w:ascii="宋体" w:hAnsi="宋体"/>
          <w:b w:val="0"/>
          <w:color w:val="000000" w:themeColor="text1"/>
          <w:sz w:val="24"/>
          <w:szCs w:val="24"/>
          <w14:textFill>
            <w14:solidFill>
              <w14:schemeClr w14:val="tx1"/>
            </w14:solidFill>
          </w14:textFill>
        </w:rPr>
        <w:fldChar w:fldCharType="separate"/>
      </w:r>
      <w:r>
        <w:rPr>
          <w:rStyle w:val="31"/>
          <w:rFonts w:hint="eastAsia" w:ascii="宋体" w:hAnsi="宋体"/>
          <w:b w:val="0"/>
          <w:color w:val="000000" w:themeColor="text1"/>
          <w:kern w:val="28"/>
          <w:sz w:val="24"/>
          <w:szCs w:val="24"/>
          <w14:textFill>
            <w14:solidFill>
              <w14:schemeClr w14:val="tx1"/>
            </w14:solidFill>
          </w14:textFill>
        </w:rPr>
        <w:t xml:space="preserve">第三部分  </w:t>
      </w:r>
      <w:r>
        <w:rPr>
          <w:rStyle w:val="31"/>
          <w:rFonts w:hint="eastAsia" w:ascii="宋体" w:hAnsi="宋体"/>
          <w:b w:val="0"/>
          <w:color w:val="000000" w:themeColor="text1"/>
          <w:kern w:val="28"/>
          <w:sz w:val="24"/>
          <w:szCs w:val="24"/>
          <w:lang w:val="en-US" w:eastAsia="zh-CN"/>
          <w14:textFill>
            <w14:solidFill>
              <w14:schemeClr w14:val="tx1"/>
            </w14:solidFill>
          </w14:textFill>
        </w:rPr>
        <w:t>海南州</w:t>
      </w:r>
      <w:r>
        <w:rPr>
          <w:rStyle w:val="31"/>
          <w:rFonts w:hint="eastAsia" w:ascii="宋体" w:hAnsi="宋体"/>
          <w:b w:val="0"/>
          <w:color w:val="000000" w:themeColor="text1"/>
          <w:kern w:val="28"/>
          <w:sz w:val="24"/>
          <w:szCs w:val="24"/>
          <w14:textFill>
            <w14:solidFill>
              <w14:schemeClr w14:val="tx1"/>
            </w14:solidFill>
          </w14:textFill>
        </w:rPr>
        <w:t>政府采购项目合同书范本（服务类）</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_Toc137632992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21</w:t>
      </w:r>
      <w:r>
        <w:rPr>
          <w:rFonts w:hint="eastAsia" w:ascii="宋体" w:hAnsi="宋体"/>
          <w:b w:val="0"/>
          <w:color w:val="000000" w:themeColor="text1"/>
          <w:sz w:val="24"/>
          <w:szCs w:val="24"/>
          <w14:textFill>
            <w14:solidFill>
              <w14:schemeClr w14:val="tx1"/>
            </w14:solidFill>
          </w14:textFill>
        </w:rPr>
        <w:fldChar w:fldCharType="end"/>
      </w:r>
      <w:r>
        <w:rPr>
          <w:rStyle w:val="31"/>
          <w:rFonts w:hint="eastAsia" w:ascii="宋体" w:hAnsi="宋体"/>
          <w:b w:val="0"/>
          <w:color w:val="000000" w:themeColor="text1"/>
          <w:sz w:val="24"/>
          <w:szCs w:val="24"/>
          <w14:textFill>
            <w14:solidFill>
              <w14:schemeClr w14:val="tx1"/>
            </w14:solidFill>
          </w14:textFill>
        </w:rPr>
        <w:fldChar w:fldCharType="end"/>
      </w:r>
    </w:p>
    <w:p w14:paraId="73000315">
      <w:pPr>
        <w:pStyle w:val="15"/>
        <w:tabs>
          <w:tab w:val="right" w:leader="dot" w:pos="8948"/>
        </w:tabs>
        <w:spacing w:line="300" w:lineRule="exact"/>
        <w:ind w:firstLine="480"/>
        <w:rPr>
          <w:rFonts w:hint="eastAsia" w:ascii="宋体" w:hAnsi="宋体"/>
          <w:b w:val="0"/>
          <w:bCs w:val="0"/>
          <w:caps w:val="0"/>
          <w:color w:val="000000" w:themeColor="text1"/>
          <w:sz w:val="24"/>
          <w:szCs w:val="24"/>
          <w14:textFill>
            <w14:solidFill>
              <w14:schemeClr w14:val="tx1"/>
            </w14:solidFill>
          </w14:textFill>
        </w:rPr>
      </w:pPr>
      <w:r>
        <w:rPr>
          <w:rStyle w:val="31"/>
          <w:rFonts w:hint="eastAsia" w:ascii="宋体" w:hAnsi="宋体"/>
          <w:b w:val="0"/>
          <w:color w:val="000000" w:themeColor="text1"/>
          <w:sz w:val="24"/>
          <w:szCs w:val="24"/>
          <w14:textFill>
            <w14:solidFill>
              <w14:schemeClr w14:val="tx1"/>
            </w14:solidFill>
          </w14:textFill>
        </w:rPr>
        <w:fldChar w:fldCharType="begin"/>
      </w:r>
      <w:r>
        <w:rPr>
          <w:rStyle w:val="31"/>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"_Toc137632993"</w:instrText>
      </w:r>
      <w:r>
        <w:rPr>
          <w:rStyle w:val="31"/>
          <w:rFonts w:hint="eastAsia" w:ascii="宋体" w:hAnsi="宋体"/>
          <w:b w:val="0"/>
          <w:color w:val="000000" w:themeColor="text1"/>
          <w:sz w:val="24"/>
          <w:szCs w:val="24"/>
          <w14:textFill>
            <w14:solidFill>
              <w14:schemeClr w14:val="tx1"/>
            </w14:solidFill>
          </w14:textFill>
        </w:rPr>
        <w:instrText xml:space="preserve"> </w:instrText>
      </w:r>
      <w:r>
        <w:rPr>
          <w:rStyle w:val="31"/>
          <w:rFonts w:hint="eastAsia" w:ascii="宋体" w:hAnsi="宋体"/>
          <w:b w:val="0"/>
          <w:color w:val="000000" w:themeColor="text1"/>
          <w:sz w:val="24"/>
          <w:szCs w:val="24"/>
          <w14:textFill>
            <w14:solidFill>
              <w14:schemeClr w14:val="tx1"/>
            </w14:solidFill>
          </w14:textFill>
        </w:rPr>
        <w:fldChar w:fldCharType="separate"/>
      </w:r>
      <w:r>
        <w:rPr>
          <w:rStyle w:val="31"/>
          <w:rFonts w:hint="eastAsia" w:ascii="宋体" w:hAnsi="宋体"/>
          <w:b w:val="0"/>
          <w:color w:val="000000" w:themeColor="text1"/>
          <w:sz w:val="24"/>
          <w:szCs w:val="24"/>
          <w:lang w:eastAsia="zh-CN"/>
          <w14:textFill>
            <w14:solidFill>
              <w14:schemeClr w14:val="tx1"/>
            </w14:solidFill>
          </w14:textFill>
        </w:rPr>
        <w:t>海南州</w:t>
      </w:r>
      <w:r>
        <w:rPr>
          <w:rStyle w:val="31"/>
          <w:rFonts w:hint="eastAsia" w:ascii="宋体" w:hAnsi="宋体"/>
          <w:b w:val="0"/>
          <w:color w:val="000000" w:themeColor="text1"/>
          <w:sz w:val="24"/>
          <w:szCs w:val="24"/>
          <w14:textFill>
            <w14:solidFill>
              <w14:schemeClr w14:val="tx1"/>
            </w14:solidFill>
          </w14:textFill>
        </w:rPr>
        <w:t>政府采购项目合同书</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_Toc137632993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21</w:t>
      </w:r>
      <w:r>
        <w:rPr>
          <w:rFonts w:hint="eastAsia" w:ascii="宋体" w:hAnsi="宋体"/>
          <w:b w:val="0"/>
          <w:color w:val="000000" w:themeColor="text1"/>
          <w:sz w:val="24"/>
          <w:szCs w:val="24"/>
          <w14:textFill>
            <w14:solidFill>
              <w14:schemeClr w14:val="tx1"/>
            </w14:solidFill>
          </w14:textFill>
        </w:rPr>
        <w:fldChar w:fldCharType="end"/>
      </w:r>
      <w:r>
        <w:rPr>
          <w:rStyle w:val="31"/>
          <w:rFonts w:hint="eastAsia" w:ascii="宋体" w:hAnsi="宋体"/>
          <w:b w:val="0"/>
          <w:color w:val="000000" w:themeColor="text1"/>
          <w:sz w:val="24"/>
          <w:szCs w:val="24"/>
          <w14:textFill>
            <w14:solidFill>
              <w14:schemeClr w14:val="tx1"/>
            </w14:solidFill>
          </w14:textFill>
        </w:rPr>
        <w:fldChar w:fldCharType="end"/>
      </w:r>
    </w:p>
    <w:p w14:paraId="51F8B21D">
      <w:pPr>
        <w:pStyle w:val="15"/>
        <w:tabs>
          <w:tab w:val="right" w:leader="dot" w:pos="8948"/>
        </w:tabs>
        <w:spacing w:line="300" w:lineRule="exact"/>
        <w:ind w:firstLine="480"/>
        <w:rPr>
          <w:rFonts w:hint="eastAsia" w:ascii="宋体" w:hAnsi="宋体"/>
          <w:b w:val="0"/>
          <w:bCs w:val="0"/>
          <w:caps w:val="0"/>
          <w:color w:val="000000" w:themeColor="text1"/>
          <w:sz w:val="24"/>
          <w:szCs w:val="24"/>
          <w14:textFill>
            <w14:solidFill>
              <w14:schemeClr w14:val="tx1"/>
            </w14:solidFill>
          </w14:textFill>
        </w:rPr>
      </w:pPr>
      <w:r>
        <w:rPr>
          <w:rStyle w:val="31"/>
          <w:rFonts w:hint="eastAsia" w:ascii="宋体" w:hAnsi="宋体"/>
          <w:b w:val="0"/>
          <w:color w:val="000000" w:themeColor="text1"/>
          <w:sz w:val="24"/>
          <w:szCs w:val="24"/>
          <w14:textFill>
            <w14:solidFill>
              <w14:schemeClr w14:val="tx1"/>
            </w14:solidFill>
          </w14:textFill>
        </w:rPr>
        <w:fldChar w:fldCharType="begin"/>
      </w:r>
      <w:r>
        <w:rPr>
          <w:rStyle w:val="31"/>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"_Toc137632994"</w:instrText>
      </w:r>
      <w:r>
        <w:rPr>
          <w:rStyle w:val="31"/>
          <w:rFonts w:hint="eastAsia" w:ascii="宋体" w:hAnsi="宋体"/>
          <w:b w:val="0"/>
          <w:color w:val="000000" w:themeColor="text1"/>
          <w:sz w:val="24"/>
          <w:szCs w:val="24"/>
          <w14:textFill>
            <w14:solidFill>
              <w14:schemeClr w14:val="tx1"/>
            </w14:solidFill>
          </w14:textFill>
        </w:rPr>
        <w:instrText xml:space="preserve"> </w:instrText>
      </w:r>
      <w:r>
        <w:rPr>
          <w:rStyle w:val="31"/>
          <w:rFonts w:hint="eastAsia" w:ascii="宋体" w:hAnsi="宋体"/>
          <w:b w:val="0"/>
          <w:color w:val="000000" w:themeColor="text1"/>
          <w:sz w:val="24"/>
          <w:szCs w:val="24"/>
          <w14:textFill>
            <w14:solidFill>
              <w14:schemeClr w14:val="tx1"/>
            </w14:solidFill>
          </w14:textFill>
        </w:rPr>
        <w:fldChar w:fldCharType="separate"/>
      </w:r>
      <w:r>
        <w:rPr>
          <w:rStyle w:val="31"/>
          <w:rFonts w:hint="eastAsia" w:ascii="宋体" w:hAnsi="宋体"/>
          <w:b w:val="0"/>
          <w:color w:val="000000" w:themeColor="text1"/>
          <w:kern w:val="28"/>
          <w:sz w:val="24"/>
          <w:szCs w:val="24"/>
          <w14:textFill>
            <w14:solidFill>
              <w14:schemeClr w14:val="tx1"/>
            </w14:solidFill>
          </w14:textFill>
        </w:rPr>
        <w:t>第四部分  投标文件格式</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_Toc137632994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34</w:t>
      </w:r>
      <w:r>
        <w:rPr>
          <w:rFonts w:hint="eastAsia" w:ascii="宋体" w:hAnsi="宋体"/>
          <w:b w:val="0"/>
          <w:color w:val="000000" w:themeColor="text1"/>
          <w:sz w:val="24"/>
          <w:szCs w:val="24"/>
          <w14:textFill>
            <w14:solidFill>
              <w14:schemeClr w14:val="tx1"/>
            </w14:solidFill>
          </w14:textFill>
        </w:rPr>
        <w:fldChar w:fldCharType="end"/>
      </w:r>
      <w:r>
        <w:rPr>
          <w:rStyle w:val="31"/>
          <w:rFonts w:hint="eastAsia" w:ascii="宋体" w:hAnsi="宋体"/>
          <w:b w:val="0"/>
          <w:color w:val="000000" w:themeColor="text1"/>
          <w:sz w:val="24"/>
          <w:szCs w:val="24"/>
          <w14:textFill>
            <w14:solidFill>
              <w14:schemeClr w14:val="tx1"/>
            </w14:solidFill>
          </w14:textFill>
        </w:rPr>
        <w:fldChar w:fldCharType="end"/>
      </w:r>
    </w:p>
    <w:p w14:paraId="301C1166">
      <w:pPr>
        <w:pStyle w:val="15"/>
        <w:tabs>
          <w:tab w:val="right" w:leader="dot" w:pos="8948"/>
        </w:tabs>
        <w:spacing w:line="300" w:lineRule="exact"/>
        <w:ind w:firstLine="480"/>
        <w:rPr>
          <w:rFonts w:hint="eastAsia" w:ascii="宋体" w:hAnsi="宋体"/>
          <w:b w:val="0"/>
          <w:bCs w:val="0"/>
          <w:caps w:val="0"/>
          <w:color w:val="000000" w:themeColor="text1"/>
          <w:sz w:val="24"/>
          <w:szCs w:val="24"/>
          <w14:textFill>
            <w14:solidFill>
              <w14:schemeClr w14:val="tx1"/>
            </w14:solidFill>
          </w14:textFill>
        </w:rPr>
      </w:pPr>
      <w:r>
        <w:rPr>
          <w:rStyle w:val="31"/>
          <w:rFonts w:hint="eastAsia" w:ascii="宋体" w:hAnsi="宋体"/>
          <w:b w:val="0"/>
          <w:color w:val="000000" w:themeColor="text1"/>
          <w:sz w:val="24"/>
          <w:szCs w:val="24"/>
          <w14:textFill>
            <w14:solidFill>
              <w14:schemeClr w14:val="tx1"/>
            </w14:solidFill>
          </w14:textFill>
        </w:rPr>
        <w:fldChar w:fldCharType="begin"/>
      </w:r>
      <w:r>
        <w:rPr>
          <w:rStyle w:val="31"/>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"_Toc137632995"</w:instrText>
      </w:r>
      <w:r>
        <w:rPr>
          <w:rStyle w:val="31"/>
          <w:rFonts w:hint="eastAsia" w:ascii="宋体" w:hAnsi="宋体"/>
          <w:b w:val="0"/>
          <w:color w:val="000000" w:themeColor="text1"/>
          <w:sz w:val="24"/>
          <w:szCs w:val="24"/>
          <w14:textFill>
            <w14:solidFill>
              <w14:schemeClr w14:val="tx1"/>
            </w14:solidFill>
          </w14:textFill>
        </w:rPr>
        <w:instrText xml:space="preserve"> </w:instrText>
      </w:r>
      <w:r>
        <w:rPr>
          <w:rStyle w:val="31"/>
          <w:rFonts w:hint="eastAsia" w:ascii="宋体" w:hAnsi="宋体"/>
          <w:b w:val="0"/>
          <w:color w:val="000000" w:themeColor="text1"/>
          <w:sz w:val="24"/>
          <w:szCs w:val="24"/>
          <w14:textFill>
            <w14:solidFill>
              <w14:schemeClr w14:val="tx1"/>
            </w14:solidFill>
          </w14:textFill>
        </w:rPr>
        <w:fldChar w:fldCharType="separate"/>
      </w:r>
      <w:r>
        <w:rPr>
          <w:rStyle w:val="31"/>
          <w:rFonts w:hint="eastAsia" w:ascii="宋体" w:hAnsi="宋体"/>
          <w:b w:val="0"/>
          <w:color w:val="000000" w:themeColor="text1"/>
          <w:kern w:val="28"/>
          <w:sz w:val="24"/>
          <w:szCs w:val="24"/>
          <w14:textFill>
            <w14:solidFill>
              <w14:schemeClr w14:val="tx1"/>
            </w14:solidFill>
          </w14:textFill>
        </w:rPr>
        <w:t>投标文件的组成</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_Toc137632995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34</w:t>
      </w:r>
      <w:r>
        <w:rPr>
          <w:rFonts w:hint="eastAsia" w:ascii="宋体" w:hAnsi="宋体"/>
          <w:b w:val="0"/>
          <w:color w:val="000000" w:themeColor="text1"/>
          <w:sz w:val="24"/>
          <w:szCs w:val="24"/>
          <w14:textFill>
            <w14:solidFill>
              <w14:schemeClr w14:val="tx1"/>
            </w14:solidFill>
          </w14:textFill>
        </w:rPr>
        <w:fldChar w:fldCharType="end"/>
      </w:r>
      <w:r>
        <w:rPr>
          <w:rStyle w:val="31"/>
          <w:rFonts w:hint="eastAsia" w:ascii="宋体" w:hAnsi="宋体"/>
          <w:b w:val="0"/>
          <w:color w:val="000000" w:themeColor="text1"/>
          <w:sz w:val="24"/>
          <w:szCs w:val="24"/>
          <w14:textFill>
            <w14:solidFill>
              <w14:schemeClr w14:val="tx1"/>
            </w14:solidFill>
          </w14:textFill>
        </w:rPr>
        <w:fldChar w:fldCharType="end"/>
      </w:r>
    </w:p>
    <w:p w14:paraId="374BA218">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"_Toc137632996"</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附件1：投 标 函</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_Toc137632996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36</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7B68ADED">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"_Toc137632997"</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附件2：法定代表人证明书</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_Toc137632997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37</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3542E5A2">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"_Toc137632998"</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附件3：法定代表人授权书</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_Toc137632998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38</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3D2915B7">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"_Toc137632999"</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附件4：投标人承诺函</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_Toc137632999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39</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422C859D">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"_Toc137633000"</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附件5：供应商诚信承诺书</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_Toc137633000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40</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23C6327F">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"_Toc137633001"</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附件6：投标人资格证明文件</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_Toc137633001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41</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27E51C9C">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"_Toc137633002"</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附件7：财务状况、缴纳税收和社会保障资金证明</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_Toc137633002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42</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603619B2">
      <w:pPr>
        <w:pStyle w:val="16"/>
        <w:spacing w:line="300" w:lineRule="exact"/>
        <w:rPr>
          <w:rStyle w:val="31"/>
          <w:rFonts w:hint="eastAsia" w:ascii="宋体" w:hAnsi="宋体"/>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"_Toc137633003"</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附件8：无重大违法记录声明</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_Toc137633003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43</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7462D5F3">
      <w:pPr>
        <w:ind w:firstLine="720" w:firstLineChars="300"/>
        <w:rPr>
          <w:rFonts w:hint="eastAsia"/>
        </w:rPr>
      </w:pPr>
      <w:r>
        <w:rPr>
          <w:rStyle w:val="31"/>
          <w:rFonts w:hint="eastAsia" w:ascii="宋体" w:hAnsi="宋体"/>
          <w:color w:val="000000" w:themeColor="text1"/>
          <w:sz w:val="24"/>
          <w:szCs w:val="24"/>
          <w14:textFill>
            <w14:solidFill>
              <w14:schemeClr w14:val="tx1"/>
            </w14:solidFill>
          </w14:textFill>
        </w:rPr>
        <w:t>附件9：</w:t>
      </w:r>
      <w:r>
        <w:rPr>
          <w:rStyle w:val="31"/>
          <w:rFonts w:hint="eastAsia" w:ascii="宋体" w:hAnsi="宋体"/>
          <w:color w:val="000000" w:themeColor="text1"/>
          <w:sz w:val="24"/>
          <w:szCs w:val="24"/>
          <w:lang w:eastAsia="zh-CN"/>
          <w14:textFill>
            <w14:solidFill>
              <w14:schemeClr w14:val="tx1"/>
            </w14:solidFill>
          </w14:textFill>
        </w:rPr>
        <w:t>保证金缴纳证明</w:t>
      </w:r>
      <w:r>
        <w:rPr>
          <w:rFonts w:hint="eastAsia" w:ascii="宋体" w:hAnsi="宋体"/>
          <w:color w:val="000000" w:themeColor="text1"/>
          <w:sz w:val="24"/>
          <w:szCs w:val="24"/>
          <w:lang w:val="en-US" w:eastAsia="zh-CN"/>
          <w14:textFill>
            <w14:solidFill>
              <w14:schemeClr w14:val="tx1"/>
            </w14:solidFill>
          </w14:textFill>
        </w:rPr>
        <w:t>........................................ 45</w:t>
      </w:r>
    </w:p>
    <w:p w14:paraId="209AE129">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"_Toc137633004"</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w:t>
      </w:r>
      <w:r>
        <w:rPr>
          <w:rStyle w:val="31"/>
          <w:rFonts w:hint="eastAsia" w:ascii="宋体" w:hAnsi="宋体"/>
          <w:color w:val="000000" w:themeColor="text1"/>
          <w:sz w:val="24"/>
          <w:szCs w:val="24"/>
          <w:lang w:val="en-US" w:eastAsia="zh-CN"/>
          <w14:textFill>
            <w14:solidFill>
              <w14:schemeClr w14:val="tx1"/>
            </w14:solidFill>
          </w14:textFill>
        </w:rPr>
        <w:t>10</w:t>
      </w:r>
      <w:r>
        <w:rPr>
          <w:rStyle w:val="31"/>
          <w:rFonts w:hint="eastAsia" w:ascii="宋体" w:hAnsi="宋体"/>
          <w:color w:val="000000" w:themeColor="text1"/>
          <w:sz w:val="24"/>
          <w:szCs w:val="24"/>
          <w14:textFill>
            <w14:solidFill>
              <w14:schemeClr w14:val="tx1"/>
            </w14:solidFill>
          </w14:textFill>
        </w:rPr>
        <w:t>：报价一览表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_Toc137633004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45</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442F1C6E">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"_Toc137633005"</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w:t>
      </w:r>
      <w:r>
        <w:rPr>
          <w:rStyle w:val="31"/>
          <w:rFonts w:hint="eastAsia" w:ascii="宋体" w:hAnsi="宋体"/>
          <w:color w:val="000000" w:themeColor="text1"/>
          <w:sz w:val="24"/>
          <w:szCs w:val="24"/>
          <w:lang w:val="en-US" w:eastAsia="zh-CN"/>
          <w14:textFill>
            <w14:solidFill>
              <w14:schemeClr w14:val="tx1"/>
            </w14:solidFill>
          </w14:textFill>
        </w:rPr>
        <w:t>11</w:t>
      </w:r>
      <w:r>
        <w:rPr>
          <w:rStyle w:val="31"/>
          <w:rFonts w:hint="eastAsia" w:ascii="宋体" w:hAnsi="宋体"/>
          <w:color w:val="000000" w:themeColor="text1"/>
          <w:sz w:val="24"/>
          <w:szCs w:val="24"/>
          <w14:textFill>
            <w14:solidFill>
              <w14:schemeClr w14:val="tx1"/>
            </w14:solidFill>
          </w14:textFill>
        </w:rPr>
        <w:t>：分项报价表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_Toc137633005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46</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0013F1D3">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"_Toc137633006"</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附件1</w:t>
      </w:r>
      <w:r>
        <w:rPr>
          <w:rStyle w:val="31"/>
          <w:rFonts w:hint="eastAsia" w:ascii="宋体" w:hAnsi="宋体"/>
          <w:color w:val="000000" w:themeColor="text1"/>
          <w:sz w:val="24"/>
          <w:szCs w:val="24"/>
          <w:lang w:val="en-US" w:eastAsia="zh-CN"/>
          <w14:textFill>
            <w14:solidFill>
              <w14:schemeClr w14:val="tx1"/>
            </w14:solidFill>
          </w14:textFill>
        </w:rPr>
        <w:t>2</w:t>
      </w:r>
      <w:r>
        <w:rPr>
          <w:rStyle w:val="31"/>
          <w:rFonts w:hint="eastAsia" w:ascii="宋体" w:hAnsi="宋体"/>
          <w:color w:val="000000" w:themeColor="text1"/>
          <w:sz w:val="24"/>
          <w:szCs w:val="24"/>
          <w14:textFill>
            <w14:solidFill>
              <w14:schemeClr w14:val="tx1"/>
            </w14:solidFill>
          </w14:textFill>
        </w:rPr>
        <w:t>：技术规格响应表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_Toc137633006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48</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57DD5DDA">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"_Toc137633007"</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附件1</w:t>
      </w:r>
      <w:r>
        <w:rPr>
          <w:rStyle w:val="31"/>
          <w:rFonts w:hint="eastAsia" w:ascii="宋体" w:hAnsi="宋体"/>
          <w:color w:val="000000" w:themeColor="text1"/>
          <w:sz w:val="24"/>
          <w:szCs w:val="24"/>
          <w:lang w:val="en-US" w:eastAsia="zh-CN"/>
          <w14:textFill>
            <w14:solidFill>
              <w14:schemeClr w14:val="tx1"/>
            </w14:solidFill>
          </w14:textFill>
        </w:rPr>
        <w:t>3</w:t>
      </w:r>
      <w:r>
        <w:rPr>
          <w:rStyle w:val="31"/>
          <w:rFonts w:hint="eastAsia" w:ascii="宋体" w:hAnsi="宋体"/>
          <w:color w:val="000000" w:themeColor="text1"/>
          <w:sz w:val="24"/>
          <w:szCs w:val="24"/>
          <w14:textFill>
            <w14:solidFill>
              <w14:schemeClr w14:val="tx1"/>
            </w14:solidFill>
          </w14:textFill>
        </w:rPr>
        <w:t>：其他资格证明材料</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_Toc137633007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49</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378629EC">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"_Toc137633008"</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附件1</w:t>
      </w:r>
      <w:r>
        <w:rPr>
          <w:rStyle w:val="31"/>
          <w:rFonts w:hint="eastAsia" w:ascii="宋体" w:hAnsi="宋体"/>
          <w:color w:val="000000" w:themeColor="text1"/>
          <w:sz w:val="24"/>
          <w:szCs w:val="24"/>
          <w:lang w:val="en-US" w:eastAsia="zh-CN"/>
          <w14:textFill>
            <w14:solidFill>
              <w14:schemeClr w14:val="tx1"/>
            </w14:solidFill>
          </w14:textFill>
        </w:rPr>
        <w:t>4</w:t>
      </w:r>
      <w:r>
        <w:rPr>
          <w:rStyle w:val="31"/>
          <w:rFonts w:hint="eastAsia" w:ascii="宋体" w:hAnsi="宋体"/>
          <w:color w:val="000000" w:themeColor="text1"/>
          <w:sz w:val="24"/>
          <w:szCs w:val="24"/>
          <w14:textFill>
            <w14:solidFill>
              <w14:schemeClr w14:val="tx1"/>
            </w14:solidFill>
          </w14:textFill>
        </w:rPr>
        <w:t>：投标产品相关资料</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_Toc137633008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50</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644DF4BC">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"_Toc137633009"</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附件1</w:t>
      </w:r>
      <w:r>
        <w:rPr>
          <w:rStyle w:val="31"/>
          <w:rFonts w:hint="eastAsia" w:ascii="宋体" w:hAnsi="宋体"/>
          <w:color w:val="000000" w:themeColor="text1"/>
          <w:sz w:val="24"/>
          <w:szCs w:val="24"/>
          <w:lang w:val="en-US" w:eastAsia="zh-CN"/>
          <w14:textFill>
            <w14:solidFill>
              <w14:schemeClr w14:val="tx1"/>
            </w14:solidFill>
          </w14:textFill>
        </w:rPr>
        <w:t>5</w:t>
      </w:r>
      <w:r>
        <w:rPr>
          <w:rStyle w:val="31"/>
          <w:rFonts w:hint="eastAsia" w:ascii="宋体" w:hAnsi="宋体"/>
          <w:color w:val="000000" w:themeColor="text1"/>
          <w:sz w:val="24"/>
          <w:szCs w:val="24"/>
          <w14:textFill>
            <w14:solidFill>
              <w14:schemeClr w14:val="tx1"/>
            </w14:solidFill>
          </w14:textFill>
        </w:rPr>
        <w:t>：技术服务方案及质量保障</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_Toc137633009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51</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6AE96879">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"_Toc137633010"</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附件1</w:t>
      </w:r>
      <w:r>
        <w:rPr>
          <w:rStyle w:val="31"/>
          <w:rFonts w:hint="eastAsia" w:ascii="宋体" w:hAnsi="宋体"/>
          <w:color w:val="000000" w:themeColor="text1"/>
          <w:sz w:val="24"/>
          <w:szCs w:val="24"/>
          <w:lang w:val="en-US" w:eastAsia="zh-CN"/>
          <w14:textFill>
            <w14:solidFill>
              <w14:schemeClr w14:val="tx1"/>
            </w14:solidFill>
          </w14:textFill>
        </w:rPr>
        <w:t>6</w:t>
      </w:r>
      <w:r>
        <w:rPr>
          <w:rStyle w:val="31"/>
          <w:rFonts w:hint="eastAsia" w:ascii="宋体" w:hAnsi="宋体"/>
          <w:color w:val="000000" w:themeColor="text1"/>
          <w:sz w:val="24"/>
          <w:szCs w:val="24"/>
          <w14:textFill>
            <w14:solidFill>
              <w14:schemeClr w14:val="tx1"/>
            </w14:solidFill>
          </w14:textFill>
        </w:rPr>
        <w:t>：服务相关内容</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_Toc137633010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52</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19365DD6">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"_Toc137633011"</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附件1</w:t>
      </w:r>
      <w:r>
        <w:rPr>
          <w:rStyle w:val="31"/>
          <w:rFonts w:hint="eastAsia" w:ascii="宋体" w:hAnsi="宋体"/>
          <w:color w:val="000000" w:themeColor="text1"/>
          <w:sz w:val="24"/>
          <w:szCs w:val="24"/>
          <w:lang w:val="en-US" w:eastAsia="zh-CN"/>
          <w14:textFill>
            <w14:solidFill>
              <w14:schemeClr w14:val="tx1"/>
            </w14:solidFill>
          </w14:textFill>
        </w:rPr>
        <w:t>7</w:t>
      </w:r>
      <w:r>
        <w:rPr>
          <w:rStyle w:val="31"/>
          <w:rFonts w:hint="eastAsia" w:ascii="宋体" w:hAnsi="宋体"/>
          <w:color w:val="000000" w:themeColor="text1"/>
          <w:sz w:val="24"/>
          <w:szCs w:val="24"/>
          <w14:textFill>
            <w14:solidFill>
              <w14:schemeClr w14:val="tx1"/>
            </w14:solidFill>
          </w14:textFill>
        </w:rPr>
        <w:t>：投标人类似业绩证明材料</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_Toc137633011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55</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22F90473">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"_Toc137633012"</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附件1</w:t>
      </w:r>
      <w:r>
        <w:rPr>
          <w:rStyle w:val="31"/>
          <w:rFonts w:hint="eastAsia" w:ascii="宋体" w:hAnsi="宋体"/>
          <w:color w:val="000000" w:themeColor="text1"/>
          <w:sz w:val="24"/>
          <w:szCs w:val="24"/>
          <w:lang w:val="en-US" w:eastAsia="zh-CN"/>
          <w14:textFill>
            <w14:solidFill>
              <w14:schemeClr w14:val="tx1"/>
            </w14:solidFill>
          </w14:textFill>
        </w:rPr>
        <w:t>8</w:t>
      </w:r>
      <w:r>
        <w:rPr>
          <w:rStyle w:val="31"/>
          <w:rFonts w:hint="eastAsia" w:ascii="宋体" w:hAnsi="宋体"/>
          <w:color w:val="000000" w:themeColor="text1"/>
          <w:sz w:val="24"/>
          <w:szCs w:val="24"/>
          <w14:textFill>
            <w14:solidFill>
              <w14:schemeClr w14:val="tx1"/>
            </w14:solidFill>
          </w14:textFill>
        </w:rPr>
        <w:t>：中小企业声明函</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_Toc137633012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56</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2F85EBBE">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"_Toc137633013"</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附件1</w:t>
      </w:r>
      <w:r>
        <w:rPr>
          <w:rStyle w:val="31"/>
          <w:rFonts w:hint="eastAsia" w:ascii="宋体" w:hAnsi="宋体"/>
          <w:color w:val="000000" w:themeColor="text1"/>
          <w:sz w:val="24"/>
          <w:szCs w:val="24"/>
          <w:lang w:val="en-US" w:eastAsia="zh-CN"/>
          <w14:textFill>
            <w14:solidFill>
              <w14:schemeClr w14:val="tx1"/>
            </w14:solidFill>
          </w14:textFill>
        </w:rPr>
        <w:t>9</w:t>
      </w:r>
      <w:r>
        <w:rPr>
          <w:rStyle w:val="31"/>
          <w:rFonts w:hint="eastAsia" w:ascii="宋体" w:hAnsi="宋体"/>
          <w:color w:val="000000" w:themeColor="text1"/>
          <w:sz w:val="24"/>
          <w:szCs w:val="24"/>
          <w14:textFill>
            <w14:solidFill>
              <w14:schemeClr w14:val="tx1"/>
            </w14:solidFill>
          </w14:textFill>
        </w:rPr>
        <w:t>：残疾人福利性单位声明函</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_Toc137633013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57</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28CCCAD5">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"_Toc137633014"</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color w:val="000000" w:themeColor="text1"/>
          <w:sz w:val="24"/>
          <w:szCs w:val="24"/>
          <w14:textFill>
            <w14:solidFill>
              <w14:schemeClr w14:val="tx1"/>
            </w14:solidFill>
          </w14:textFill>
        </w:rPr>
        <w:t>附件</w:t>
      </w:r>
      <w:r>
        <w:rPr>
          <w:rStyle w:val="31"/>
          <w:rFonts w:hint="eastAsia" w:ascii="宋体" w:hAnsi="宋体"/>
          <w:color w:val="000000" w:themeColor="text1"/>
          <w:sz w:val="24"/>
          <w:szCs w:val="24"/>
          <w:lang w:val="en-US" w:eastAsia="zh-CN"/>
          <w14:textFill>
            <w14:solidFill>
              <w14:schemeClr w14:val="tx1"/>
            </w14:solidFill>
          </w14:textFill>
        </w:rPr>
        <w:t>20</w:t>
      </w:r>
      <w:r>
        <w:rPr>
          <w:rStyle w:val="31"/>
          <w:rFonts w:hint="eastAsia" w:ascii="宋体" w:hAnsi="宋体"/>
          <w:color w:val="000000" w:themeColor="text1"/>
          <w:sz w:val="24"/>
          <w:szCs w:val="24"/>
          <w14:textFill>
            <w14:solidFill>
              <w14:schemeClr w14:val="tx1"/>
            </w14:solidFill>
          </w14:textFill>
        </w:rPr>
        <w:t>：投标人认为在其他方面有必要说明的事项</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_Toc137633014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58</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42F505DB">
      <w:pPr>
        <w:pStyle w:val="15"/>
        <w:tabs>
          <w:tab w:val="right" w:leader="dot" w:pos="8948"/>
        </w:tabs>
        <w:spacing w:line="300" w:lineRule="exact"/>
        <w:ind w:firstLine="480"/>
        <w:rPr>
          <w:rFonts w:hint="eastAsia" w:ascii="宋体" w:hAnsi="宋体"/>
          <w:b w:val="0"/>
          <w:bCs w:val="0"/>
          <w:caps w:val="0"/>
          <w:color w:val="000000" w:themeColor="text1"/>
          <w:sz w:val="24"/>
          <w:szCs w:val="24"/>
          <w14:textFill>
            <w14:solidFill>
              <w14:schemeClr w14:val="tx1"/>
            </w14:solidFill>
          </w14:textFill>
        </w:rPr>
      </w:pPr>
      <w:r>
        <w:rPr>
          <w:rStyle w:val="31"/>
          <w:rFonts w:hint="eastAsia" w:ascii="宋体" w:hAnsi="宋体"/>
          <w:b w:val="0"/>
          <w:color w:val="000000" w:themeColor="text1"/>
          <w:sz w:val="24"/>
          <w:szCs w:val="24"/>
          <w14:textFill>
            <w14:solidFill>
              <w14:schemeClr w14:val="tx1"/>
            </w14:solidFill>
          </w14:textFill>
        </w:rPr>
        <w:fldChar w:fldCharType="begin"/>
      </w:r>
      <w:r>
        <w:rPr>
          <w:rStyle w:val="31"/>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instrText xml:space="preserve">HYPERLINK \l "_Toc137633015"</w:instrText>
      </w:r>
      <w:r>
        <w:rPr>
          <w:rStyle w:val="31"/>
          <w:rFonts w:hint="eastAsia" w:ascii="宋体" w:hAnsi="宋体"/>
          <w:b w:val="0"/>
          <w:color w:val="000000" w:themeColor="text1"/>
          <w:sz w:val="24"/>
          <w:szCs w:val="24"/>
          <w14:textFill>
            <w14:solidFill>
              <w14:schemeClr w14:val="tx1"/>
            </w14:solidFill>
          </w14:textFill>
        </w:rPr>
        <w:instrText xml:space="preserve"> </w:instrText>
      </w:r>
      <w:r>
        <w:rPr>
          <w:rStyle w:val="31"/>
          <w:rFonts w:hint="eastAsia" w:ascii="宋体" w:hAnsi="宋体"/>
          <w:b w:val="0"/>
          <w:color w:val="000000" w:themeColor="text1"/>
          <w:sz w:val="24"/>
          <w:szCs w:val="24"/>
          <w14:textFill>
            <w14:solidFill>
              <w14:schemeClr w14:val="tx1"/>
            </w14:solidFill>
          </w14:textFill>
        </w:rPr>
        <w:fldChar w:fldCharType="separate"/>
      </w:r>
      <w:r>
        <w:rPr>
          <w:rStyle w:val="31"/>
          <w:rFonts w:hint="eastAsia" w:ascii="宋体" w:hAnsi="宋体"/>
          <w:b w:val="0"/>
          <w:color w:val="000000" w:themeColor="text1"/>
          <w:kern w:val="28"/>
          <w:sz w:val="24"/>
          <w:szCs w:val="24"/>
          <w14:textFill>
            <w14:solidFill>
              <w14:schemeClr w14:val="tx1"/>
            </w14:solidFill>
          </w14:textFill>
        </w:rPr>
        <w:t>第五部分  采购项目要求及技术参数</w:t>
      </w:r>
      <w:r>
        <w:rPr>
          <w:rFonts w:hint="eastAsia" w:ascii="宋体" w:hAnsi="宋体"/>
          <w:b w:val="0"/>
          <w:color w:val="000000" w:themeColor="text1"/>
          <w:sz w:val="24"/>
          <w:szCs w:val="24"/>
          <w14:textFill>
            <w14:solidFill>
              <w14:schemeClr w14:val="tx1"/>
            </w14:solidFill>
          </w14:textFill>
        </w:rPr>
        <w:tab/>
      </w:r>
      <w:r>
        <w:rPr>
          <w:rFonts w:hint="eastAsia" w:ascii="宋体" w:hAnsi="宋体"/>
          <w:b w:val="0"/>
          <w:color w:val="000000" w:themeColor="text1"/>
          <w:sz w:val="24"/>
          <w:szCs w:val="24"/>
          <w14:textFill>
            <w14:solidFill>
              <w14:schemeClr w14:val="tx1"/>
            </w14:solidFill>
          </w14:textFill>
        </w:rPr>
        <w:fldChar w:fldCharType="begin"/>
      </w:r>
      <w:r>
        <w:rPr>
          <w:rFonts w:hint="eastAsia" w:ascii="宋体" w:hAnsi="宋体"/>
          <w:b w:val="0"/>
          <w:color w:val="000000" w:themeColor="text1"/>
          <w:sz w:val="24"/>
          <w:szCs w:val="24"/>
          <w14:textFill>
            <w14:solidFill>
              <w14:schemeClr w14:val="tx1"/>
            </w14:solidFill>
          </w14:textFill>
        </w:rPr>
        <w:instrText xml:space="preserve"> </w:instrText>
      </w:r>
      <w:r>
        <w:rPr>
          <w:rFonts w:ascii="宋体" w:hAnsi="宋体"/>
          <w:b w:val="0"/>
          <w:color w:val="000000" w:themeColor="text1"/>
          <w:sz w:val="24"/>
          <w:szCs w:val="24"/>
          <w14:textFill>
            <w14:solidFill>
              <w14:schemeClr w14:val="tx1"/>
            </w14:solidFill>
          </w14:textFill>
        </w:rPr>
        <w:instrText xml:space="preserve">PAGEREF _Toc137633015 \h</w:instrText>
      </w:r>
      <w:r>
        <w:rPr>
          <w:rFonts w:hint="eastAsia" w:ascii="宋体" w:hAnsi="宋体"/>
          <w:b w:val="0"/>
          <w:color w:val="000000" w:themeColor="text1"/>
          <w:sz w:val="24"/>
          <w:szCs w:val="24"/>
          <w14:textFill>
            <w14:solidFill>
              <w14:schemeClr w14:val="tx1"/>
            </w14:solidFill>
          </w14:textFill>
        </w:rPr>
        <w:instrText xml:space="preserve"> </w:instrText>
      </w:r>
      <w:r>
        <w:rPr>
          <w:rFonts w:hint="eastAsia" w:ascii="宋体" w:hAnsi="宋体"/>
          <w:b w:val="0"/>
          <w:color w:val="000000" w:themeColor="text1"/>
          <w:sz w:val="24"/>
          <w:szCs w:val="24"/>
          <w14:textFill>
            <w14:solidFill>
              <w14:schemeClr w14:val="tx1"/>
            </w14:solidFill>
          </w14:textFill>
        </w:rPr>
        <w:fldChar w:fldCharType="separate"/>
      </w:r>
      <w:r>
        <w:rPr>
          <w:rFonts w:ascii="宋体" w:hAnsi="宋体"/>
          <w:b w:val="0"/>
          <w:color w:val="000000" w:themeColor="text1"/>
          <w:sz w:val="24"/>
          <w:szCs w:val="24"/>
          <w14:textFill>
            <w14:solidFill>
              <w14:schemeClr w14:val="tx1"/>
            </w14:solidFill>
          </w14:textFill>
        </w:rPr>
        <w:t>59</w:t>
      </w:r>
      <w:r>
        <w:rPr>
          <w:rFonts w:hint="eastAsia" w:ascii="宋体" w:hAnsi="宋体"/>
          <w:b w:val="0"/>
          <w:color w:val="000000" w:themeColor="text1"/>
          <w:sz w:val="24"/>
          <w:szCs w:val="24"/>
          <w14:textFill>
            <w14:solidFill>
              <w14:schemeClr w14:val="tx1"/>
            </w14:solidFill>
          </w14:textFill>
        </w:rPr>
        <w:fldChar w:fldCharType="end"/>
      </w:r>
      <w:r>
        <w:rPr>
          <w:rStyle w:val="31"/>
          <w:rFonts w:hint="eastAsia" w:ascii="宋体" w:hAnsi="宋体"/>
          <w:b w:val="0"/>
          <w:color w:val="000000" w:themeColor="text1"/>
          <w:sz w:val="24"/>
          <w:szCs w:val="24"/>
          <w14:textFill>
            <w14:solidFill>
              <w14:schemeClr w14:val="tx1"/>
            </w14:solidFill>
          </w14:textFill>
        </w:rPr>
        <w:fldChar w:fldCharType="end"/>
      </w:r>
    </w:p>
    <w:p w14:paraId="70EEC046">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"_Toc137633016"</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一、投标要求</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_Toc137633016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59</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5C4B41E4">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"_Toc137633017"</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1.投标说明</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_Toc137633017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59</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271F15AE">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"_Toc137633018"</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2.报价说明</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_Toc137633018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59</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6345E720">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"_Toc137633019"</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3.重要指标</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_Toc137633019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59</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2E7A20E3">
      <w:pPr>
        <w:pStyle w:val="16"/>
        <w:spacing w:line="300" w:lineRule="exact"/>
        <w:rPr>
          <w:rFonts w:hint="eastAsia" w:ascii="宋体" w:hAnsi="宋体"/>
          <w:smallCaps w:val="0"/>
          <w:color w:val="000000" w:themeColor="text1"/>
          <w:sz w:val="24"/>
          <w:szCs w:val="24"/>
          <w14:textFill>
            <w14:solidFill>
              <w14:schemeClr w14:val="tx1"/>
            </w14:solidFill>
          </w14:textFill>
        </w:rPr>
      </w:pPr>
      <w:r>
        <w:rPr>
          <w:rStyle w:val="31"/>
          <w:rFonts w:hint="eastAsia" w:ascii="宋体" w:hAnsi="宋体"/>
          <w:color w:val="000000" w:themeColor="text1"/>
          <w:sz w:val="24"/>
          <w:szCs w:val="24"/>
          <w14:textFill>
            <w14:solidFill>
              <w14:schemeClr w14:val="tx1"/>
            </w14:solidFill>
          </w14:textFill>
        </w:rPr>
        <w:fldChar w:fldCharType="begin"/>
      </w:r>
      <w:r>
        <w:rPr>
          <w:rStyle w:val="31"/>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instrText xml:space="preserve">HYPERLINK \l "_Toc137633020"</w:instrText>
      </w:r>
      <w:r>
        <w:rPr>
          <w:rStyle w:val="31"/>
          <w:rFonts w:hint="eastAsia" w:ascii="宋体" w:hAnsi="宋体"/>
          <w:color w:val="000000" w:themeColor="text1"/>
          <w:sz w:val="24"/>
          <w:szCs w:val="24"/>
          <w14:textFill>
            <w14:solidFill>
              <w14:schemeClr w14:val="tx1"/>
            </w14:solidFill>
          </w14:textFill>
        </w:rPr>
        <w:instrText xml:space="preserve"> </w:instrText>
      </w:r>
      <w:r>
        <w:rPr>
          <w:rStyle w:val="31"/>
          <w:rFonts w:hint="eastAsia" w:ascii="宋体" w:hAnsi="宋体"/>
          <w:color w:val="000000" w:themeColor="text1"/>
          <w:sz w:val="24"/>
          <w:szCs w:val="24"/>
          <w14:textFill>
            <w14:solidFill>
              <w14:schemeClr w14:val="tx1"/>
            </w14:solidFill>
          </w14:textFill>
        </w:rPr>
        <w:fldChar w:fldCharType="separate"/>
      </w:r>
      <w:r>
        <w:rPr>
          <w:rStyle w:val="31"/>
          <w:rFonts w:hint="eastAsia" w:ascii="宋体" w:hAnsi="宋体"/>
          <w:bCs/>
          <w:color w:val="000000" w:themeColor="text1"/>
          <w:kern w:val="0"/>
          <w:sz w:val="24"/>
          <w:szCs w:val="24"/>
          <w14:textFill>
            <w14:solidFill>
              <w14:schemeClr w14:val="tx1"/>
            </w14:solidFill>
          </w14:textFill>
        </w:rPr>
        <w:t>二、 项目概况及技术参数</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PAGEREF _Toc137633020 \h</w:instrText>
      </w:r>
      <w:r>
        <w:rPr>
          <w:rFonts w:hint="eastAsia" w:ascii="宋体" w:hAnsi="宋体"/>
          <w:color w:val="000000" w:themeColor="text1"/>
          <w:sz w:val="24"/>
          <w:szCs w:val="24"/>
          <w14:textFill>
            <w14:solidFill>
              <w14:schemeClr w14:val="tx1"/>
            </w14:solidFill>
          </w14:textFill>
        </w:rPr>
        <w:instrText xml:space="preserve"> </w:instrText>
      </w:r>
      <w:r>
        <w:rPr>
          <w:rFonts w:hint="eastAsia"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60</w:t>
      </w:r>
      <w:r>
        <w:rPr>
          <w:rFonts w:hint="eastAsia" w:ascii="宋体" w:hAnsi="宋体"/>
          <w:color w:val="000000" w:themeColor="text1"/>
          <w:sz w:val="24"/>
          <w:szCs w:val="24"/>
          <w14:textFill>
            <w14:solidFill>
              <w14:schemeClr w14:val="tx1"/>
            </w14:solidFill>
          </w14:textFill>
        </w:rPr>
        <w:fldChar w:fldCharType="end"/>
      </w:r>
      <w:r>
        <w:rPr>
          <w:rStyle w:val="31"/>
          <w:rFonts w:hint="eastAsia" w:ascii="宋体" w:hAnsi="宋体"/>
          <w:color w:val="000000" w:themeColor="text1"/>
          <w:sz w:val="24"/>
          <w:szCs w:val="24"/>
          <w14:textFill>
            <w14:solidFill>
              <w14:schemeClr w14:val="tx1"/>
            </w14:solidFill>
          </w14:textFill>
        </w:rPr>
        <w:fldChar w:fldCharType="end"/>
      </w:r>
    </w:p>
    <w:p w14:paraId="7DFAC13E">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"_Toc137633021"</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1.项目概况</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_Toc137633021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60</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6788E69A">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"_Toc137633022"</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2.产品交付说明</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_Toc137633022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60</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6F122554">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"_Toc137633023"</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3.产品验收</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_Toc137633023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60</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3C8B73B2">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"_Toc137633024"</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4.安装、调试</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_Toc137633024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60</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4C10C724">
      <w:pPr>
        <w:pStyle w:val="11"/>
        <w:spacing w:line="300" w:lineRule="exact"/>
        <w:rPr>
          <w:rFonts w:hint="eastAsia" w:ascii="宋体" w:hAnsi="宋体"/>
          <w:i w:val="0"/>
          <w:iCs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"_Toc137633025"</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5.维护服务和技术支持</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_Toc137633025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60</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5BB22CCA">
      <w:pPr>
        <w:pStyle w:val="41"/>
        <w:ind w:left="1439" w:leftChars="228" w:hanging="960" w:hangingChars="400"/>
        <w:rPr>
          <w:rStyle w:val="31"/>
          <w:rFonts w:hint="eastAsia" w:ascii="宋体" w:hAnsi="宋体"/>
          <w:i w:val="0"/>
          <w:color w:val="000000" w:themeColor="text1"/>
          <w:sz w:val="24"/>
          <w:szCs w:val="24"/>
          <w14:textFill>
            <w14:solidFill>
              <w14:schemeClr w14:val="tx1"/>
            </w14:solidFill>
          </w14:textFill>
        </w:rPr>
      </w:pPr>
      <w:r>
        <w:rPr>
          <w:rStyle w:val="31"/>
          <w:rFonts w:hint="eastAsia" w:ascii="宋体" w:hAnsi="宋体"/>
          <w:i w:val="0"/>
          <w:color w:val="000000" w:themeColor="text1"/>
          <w:sz w:val="24"/>
          <w:szCs w:val="24"/>
          <w14:textFill>
            <w14:solidFill>
              <w14:schemeClr w14:val="tx1"/>
            </w14:solidFill>
          </w14:textFill>
        </w:rPr>
        <w:fldChar w:fldCharType="begin"/>
      </w:r>
      <w:r>
        <w:rPr>
          <w:rStyle w:val="31"/>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instrText xml:space="preserve">HYPERLINK \l "_Toc137633026"</w:instrText>
      </w:r>
      <w:r>
        <w:rPr>
          <w:rStyle w:val="31"/>
          <w:rFonts w:hint="eastAsia" w:ascii="宋体" w:hAnsi="宋体"/>
          <w:i w:val="0"/>
          <w:color w:val="000000" w:themeColor="text1"/>
          <w:sz w:val="24"/>
          <w:szCs w:val="24"/>
          <w14:textFill>
            <w14:solidFill>
              <w14:schemeClr w14:val="tx1"/>
            </w14:solidFill>
          </w14:textFill>
        </w:rPr>
        <w:instrText xml:space="preserve"> </w:instrText>
      </w:r>
      <w:r>
        <w:rPr>
          <w:rStyle w:val="31"/>
          <w:rFonts w:hint="eastAsia" w:ascii="宋体" w:hAnsi="宋体"/>
          <w:i w:val="0"/>
          <w:color w:val="000000" w:themeColor="text1"/>
          <w:sz w:val="24"/>
          <w:szCs w:val="24"/>
          <w14:textFill>
            <w14:solidFill>
              <w14:schemeClr w14:val="tx1"/>
            </w14:solidFill>
          </w14:textFill>
        </w:rPr>
        <w:fldChar w:fldCharType="separate"/>
      </w:r>
      <w:r>
        <w:rPr>
          <w:rStyle w:val="31"/>
          <w:rFonts w:hint="eastAsia" w:ascii="宋体" w:hAnsi="宋体"/>
          <w:bCs/>
          <w:i w:val="0"/>
          <w:color w:val="000000" w:themeColor="text1"/>
          <w:kern w:val="0"/>
          <w:sz w:val="24"/>
          <w:szCs w:val="24"/>
          <w14:textFill>
            <w14:solidFill>
              <w14:schemeClr w14:val="tx1"/>
            </w14:solidFill>
          </w14:textFill>
        </w:rPr>
        <w:t>6.其他要求</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lang w:val="en-US" w:eastAsia="zh-CN"/>
          <w14:textFill>
            <w14:solidFill>
              <w14:schemeClr w14:val="tx1"/>
            </w14:solidFill>
          </w14:textFill>
        </w:rPr>
        <w:t xml:space="preserve">                                         </w:t>
      </w:r>
      <w:r>
        <w:rPr>
          <w:rFonts w:hint="eastAsia" w:ascii="宋体" w:hAnsi="宋体"/>
          <w:i w:val="0"/>
          <w:color w:val="000000" w:themeColor="text1"/>
          <w:sz w:val="24"/>
          <w:szCs w:val="24"/>
          <w14:textFill>
            <w14:solidFill>
              <w14:schemeClr w14:val="tx1"/>
            </w14:solidFill>
          </w14:textFill>
        </w:rPr>
        <w:tab/>
      </w:r>
      <w:r>
        <w:rPr>
          <w:rFonts w:hint="eastAsia" w:ascii="宋体" w:hAnsi="宋体"/>
          <w:i w:val="0"/>
          <w:color w:val="000000" w:themeColor="text1"/>
          <w:sz w:val="24"/>
          <w:szCs w:val="24"/>
          <w14:textFill>
            <w14:solidFill>
              <w14:schemeClr w14:val="tx1"/>
            </w14:solidFill>
          </w14:textFill>
        </w:rPr>
        <w:fldChar w:fldCharType="begin"/>
      </w:r>
      <w:r>
        <w:rPr>
          <w:rFonts w:hint="eastAsia" w:ascii="宋体" w:hAnsi="宋体"/>
          <w:i w:val="0"/>
          <w:color w:val="000000" w:themeColor="text1"/>
          <w:sz w:val="24"/>
          <w:szCs w:val="24"/>
          <w14:textFill>
            <w14:solidFill>
              <w14:schemeClr w14:val="tx1"/>
            </w14:solidFill>
          </w14:textFill>
        </w:rPr>
        <w:instrText xml:space="preserve"> </w:instrText>
      </w:r>
      <w:r>
        <w:rPr>
          <w:rFonts w:ascii="宋体" w:hAnsi="宋体"/>
          <w:i w:val="0"/>
          <w:color w:val="000000" w:themeColor="text1"/>
          <w:sz w:val="24"/>
          <w:szCs w:val="24"/>
          <w14:textFill>
            <w14:solidFill>
              <w14:schemeClr w14:val="tx1"/>
            </w14:solidFill>
          </w14:textFill>
        </w:rPr>
        <w:instrText xml:space="preserve">PAGEREF _Toc137633026 \h</w:instrText>
      </w:r>
      <w:r>
        <w:rPr>
          <w:rFonts w:hint="eastAsia" w:ascii="宋体" w:hAnsi="宋体"/>
          <w:i w:val="0"/>
          <w:color w:val="000000" w:themeColor="text1"/>
          <w:sz w:val="24"/>
          <w:szCs w:val="24"/>
          <w14:textFill>
            <w14:solidFill>
              <w14:schemeClr w14:val="tx1"/>
            </w14:solidFill>
          </w14:textFill>
        </w:rPr>
        <w:instrText xml:space="preserve"> </w:instrText>
      </w:r>
      <w:r>
        <w:rPr>
          <w:rFonts w:hint="eastAsia" w:ascii="宋体" w:hAnsi="宋体"/>
          <w:i w:val="0"/>
          <w:color w:val="000000" w:themeColor="text1"/>
          <w:sz w:val="24"/>
          <w:szCs w:val="24"/>
          <w14:textFill>
            <w14:solidFill>
              <w14:schemeClr w14:val="tx1"/>
            </w14:solidFill>
          </w14:textFill>
        </w:rPr>
        <w:fldChar w:fldCharType="separate"/>
      </w:r>
      <w:r>
        <w:rPr>
          <w:rFonts w:ascii="宋体" w:hAnsi="宋体"/>
          <w:i w:val="0"/>
          <w:color w:val="000000" w:themeColor="text1"/>
          <w:sz w:val="24"/>
          <w:szCs w:val="24"/>
          <w14:textFill>
            <w14:solidFill>
              <w14:schemeClr w14:val="tx1"/>
            </w14:solidFill>
          </w14:textFill>
        </w:rPr>
        <w:t>61</w:t>
      </w:r>
      <w:r>
        <w:rPr>
          <w:rFonts w:hint="eastAsia" w:ascii="宋体" w:hAnsi="宋体"/>
          <w:i w:val="0"/>
          <w:color w:val="000000" w:themeColor="text1"/>
          <w:sz w:val="24"/>
          <w:szCs w:val="24"/>
          <w14:textFill>
            <w14:solidFill>
              <w14:schemeClr w14:val="tx1"/>
            </w14:solidFill>
          </w14:textFill>
        </w:rPr>
        <w:fldChar w:fldCharType="end"/>
      </w:r>
      <w:r>
        <w:rPr>
          <w:rStyle w:val="31"/>
          <w:rFonts w:hint="eastAsia" w:ascii="宋体" w:hAnsi="宋体"/>
          <w:i w:val="0"/>
          <w:color w:val="000000" w:themeColor="text1"/>
          <w:sz w:val="24"/>
          <w:szCs w:val="24"/>
          <w14:textFill>
            <w14:solidFill>
              <w14:schemeClr w14:val="tx1"/>
            </w14:solidFill>
          </w14:textFill>
        </w:rPr>
        <w:fldChar w:fldCharType="end"/>
      </w:r>
    </w:p>
    <w:p w14:paraId="421DE2FB">
      <w:pPr>
        <w:pStyle w:val="41"/>
        <w:ind w:firstLine="0" w:firstLineChars="0"/>
        <w:rPr>
          <w:rStyle w:val="31"/>
          <w:rFonts w:hint="eastAsia" w:ascii="宋体" w:hAnsi="宋体"/>
          <w:i w:val="0"/>
          <w:sz w:val="24"/>
          <w:szCs w:val="24"/>
        </w:rPr>
      </w:pPr>
    </w:p>
    <w:p w14:paraId="3A668E29">
      <w:pPr>
        <w:pStyle w:val="41"/>
        <w:ind w:firstLine="0" w:firstLineChars="0"/>
        <w:rPr>
          <w:rStyle w:val="31"/>
          <w:rFonts w:hint="eastAsia" w:ascii="宋体" w:hAnsi="宋体"/>
          <w:i w:val="0"/>
          <w:sz w:val="24"/>
          <w:szCs w:val="24"/>
        </w:rPr>
      </w:pPr>
    </w:p>
    <w:p w14:paraId="6DD35E30">
      <w:pPr>
        <w:pStyle w:val="41"/>
        <w:ind w:firstLine="0" w:firstLineChars="0"/>
        <w:rPr>
          <w:rStyle w:val="31"/>
          <w:rFonts w:hint="eastAsia" w:ascii="宋体" w:hAnsi="宋体"/>
          <w:i w:val="0"/>
          <w:sz w:val="24"/>
          <w:szCs w:val="24"/>
        </w:rPr>
      </w:pPr>
    </w:p>
    <w:p w14:paraId="44FE04DA">
      <w:pPr>
        <w:pStyle w:val="41"/>
        <w:ind w:firstLine="0" w:firstLineChars="0"/>
        <w:rPr>
          <w:rStyle w:val="31"/>
          <w:rFonts w:hint="eastAsia" w:ascii="宋体" w:hAnsi="宋体"/>
          <w:i w:val="0"/>
          <w:sz w:val="24"/>
          <w:szCs w:val="24"/>
        </w:rPr>
      </w:pPr>
    </w:p>
    <w:p w14:paraId="0812B955">
      <w:pPr>
        <w:pStyle w:val="41"/>
        <w:ind w:firstLine="0" w:firstLineChars="0"/>
        <w:jc w:val="center"/>
        <w:rPr>
          <w:rFonts w:hint="eastAsia" w:ascii="宋体" w:hAnsi="Times New Roman" w:eastAsia="宋体" w:cs="Times New Roman"/>
          <w:b/>
          <w:kern w:val="28"/>
          <w:sz w:val="36"/>
          <w:szCs w:val="24"/>
          <w:lang w:val="en-US" w:eastAsia="zh-CN" w:bidi="ar-SA"/>
        </w:rPr>
      </w:pPr>
    </w:p>
    <w:p w14:paraId="60CEA5BA">
      <w:pPr>
        <w:pStyle w:val="41"/>
        <w:ind w:firstLine="0" w:firstLineChars="0"/>
        <w:jc w:val="center"/>
        <w:rPr>
          <w:rFonts w:hint="eastAsia" w:ascii="宋体" w:hAnsi="Times New Roman" w:eastAsia="宋体" w:cs="Times New Roman"/>
          <w:b/>
          <w:kern w:val="28"/>
          <w:sz w:val="36"/>
          <w:szCs w:val="24"/>
          <w:lang w:val="en-US" w:eastAsia="zh-CN" w:bidi="ar-SA"/>
        </w:rPr>
      </w:pPr>
      <w:r>
        <w:rPr>
          <w:rFonts w:hint="eastAsia" w:ascii="宋体" w:hAnsi="Times New Roman" w:eastAsia="宋体" w:cs="Times New Roman"/>
          <w:b/>
          <w:kern w:val="28"/>
          <w:sz w:val="36"/>
          <w:szCs w:val="24"/>
          <w:lang w:val="en-US" w:eastAsia="zh-CN" w:bidi="ar-SA"/>
        </w:rPr>
        <w:t>第一部分  投标人须知前附表</w:t>
      </w:r>
      <w:bookmarkEnd w:id="0"/>
    </w:p>
    <w:bookmarkEnd w:id="1"/>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443"/>
      </w:tblGrid>
      <w:tr w14:paraId="5B9B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8" w:type="dxa"/>
            <w:vAlign w:val="center"/>
          </w:tcPr>
          <w:p w14:paraId="085EB915">
            <w:pPr>
              <w:widowControl/>
              <w:spacing w:line="340" w:lineRule="exact"/>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采购项目名称</w:t>
            </w:r>
          </w:p>
        </w:tc>
        <w:tc>
          <w:tcPr>
            <w:tcW w:w="7443" w:type="dxa"/>
            <w:vAlign w:val="center"/>
          </w:tcPr>
          <w:p w14:paraId="508BDAA9">
            <w:pPr>
              <w:widowControl/>
              <w:spacing w:line="340" w:lineRule="exact"/>
              <w:rPr>
                <w:rFonts w:hint="eastAsia" w:ascii="Times New Roman" w:hAnsi="Times New Roman" w:cs="Times New Roman"/>
                <w:color w:val="000000" w:themeColor="text1"/>
                <w:spacing w:val="-2"/>
                <w:kern w:val="16"/>
                <w:lang w:eastAsia="zh-CN"/>
                <w14:textFill>
                  <w14:solidFill>
                    <w14:schemeClr w14:val="tx1"/>
                  </w14:solidFill>
                </w14:textFill>
              </w:rPr>
            </w:pPr>
            <w:r>
              <w:rPr>
                <w:rFonts w:hint="eastAsia" w:ascii="Times New Roman" w:hAnsi="Times New Roman" w:cs="Times New Roman"/>
                <w:color w:val="000000" w:themeColor="text1"/>
                <w:spacing w:val="-2"/>
                <w:kern w:val="16"/>
                <w:lang w:eastAsia="zh-CN"/>
                <w14:textFill>
                  <w14:solidFill>
                    <w14:schemeClr w14:val="tx1"/>
                  </w14:solidFill>
                </w14:textFill>
              </w:rPr>
              <w:t>青海省省级区域医疗中心（海南州）建设项目信息化建设项目</w:t>
            </w:r>
          </w:p>
        </w:tc>
      </w:tr>
      <w:tr w14:paraId="2887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38" w:type="dxa"/>
            <w:vAlign w:val="center"/>
          </w:tcPr>
          <w:p w14:paraId="19777BEF">
            <w:pPr>
              <w:widowControl/>
              <w:spacing w:line="340" w:lineRule="exact"/>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采购项目编号</w:t>
            </w:r>
          </w:p>
        </w:tc>
        <w:tc>
          <w:tcPr>
            <w:tcW w:w="7443" w:type="dxa"/>
            <w:vAlign w:val="center"/>
          </w:tcPr>
          <w:p w14:paraId="0FEA04F0">
            <w:pPr>
              <w:widowControl/>
              <w:spacing w:line="340" w:lineRule="exact"/>
              <w:rPr>
                <w:rFonts w:hint="eastAsia" w:ascii="Times New Roman" w:hAnsi="Times New Roman" w:cs="Times New Roman" w:eastAsiaTheme="minorEastAsia"/>
                <w:color w:val="000000" w:themeColor="text1"/>
                <w:kern w:val="0"/>
                <w:lang w:eastAsia="zh-CN"/>
                <w14:textFill>
                  <w14:solidFill>
                    <w14:schemeClr w14:val="tx1"/>
                  </w14:solidFill>
                </w14:textFill>
              </w:rPr>
            </w:pPr>
            <w:r>
              <w:rPr>
                <w:rFonts w:hint="eastAsia" w:ascii="Times New Roman" w:hAnsi="Times New Roman" w:cs="Times New Roman"/>
                <w:color w:val="000000" w:themeColor="text1"/>
                <w:spacing w:val="-2"/>
                <w:kern w:val="16"/>
                <w:lang w:eastAsia="zh-CN"/>
                <w14:textFill>
                  <w14:solidFill>
                    <w14:schemeClr w14:val="tx1"/>
                  </w14:solidFill>
                </w14:textFill>
              </w:rPr>
              <w:t>南政采公招（服务）2024-28号</w:t>
            </w:r>
          </w:p>
        </w:tc>
      </w:tr>
      <w:tr w14:paraId="368E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38" w:type="dxa"/>
            <w:vAlign w:val="center"/>
          </w:tcPr>
          <w:p w14:paraId="5C421540">
            <w:pPr>
              <w:widowControl/>
              <w:spacing w:line="340" w:lineRule="exact"/>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采购方式</w:t>
            </w:r>
          </w:p>
        </w:tc>
        <w:tc>
          <w:tcPr>
            <w:tcW w:w="7443" w:type="dxa"/>
            <w:vAlign w:val="center"/>
          </w:tcPr>
          <w:p w14:paraId="40804DE9">
            <w:pPr>
              <w:widowControl/>
              <w:spacing w:line="340" w:lineRule="exac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公开招标</w:t>
            </w:r>
          </w:p>
        </w:tc>
      </w:tr>
      <w:tr w14:paraId="1737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vAlign w:val="center"/>
          </w:tcPr>
          <w:p w14:paraId="4E30170A">
            <w:pPr>
              <w:widowControl/>
              <w:spacing w:line="340" w:lineRule="exact"/>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采购预算额度</w:t>
            </w:r>
          </w:p>
        </w:tc>
        <w:tc>
          <w:tcPr>
            <w:tcW w:w="7443" w:type="dxa"/>
            <w:vAlign w:val="center"/>
          </w:tcPr>
          <w:p w14:paraId="001299F7">
            <w:pPr>
              <w:widowControl/>
              <w:spacing w:line="340" w:lineRule="exact"/>
              <w:rPr>
                <w:rFonts w:ascii="Times New Roman" w:hAnsi="Times New Roman" w:cs="Times New Roman"/>
                <w:color w:val="000000" w:themeColor="text1"/>
                <w:kern w:val="0"/>
                <w14:textFill>
                  <w14:solidFill>
                    <w14:schemeClr w14:val="tx1"/>
                  </w14:solidFill>
                </w14:textFill>
              </w:rPr>
            </w:pPr>
            <w:r>
              <w:rPr>
                <w:rFonts w:hint="eastAsia" w:ascii="Times New Roman" w:hAnsi="Times New Roman" w:cs="Times New Roman"/>
                <w:color w:val="000000" w:themeColor="text1"/>
                <w:spacing w:val="-2"/>
                <w:kern w:val="16"/>
                <w:lang w:val="en-US" w:eastAsia="zh-CN"/>
                <w14:textFill>
                  <w14:solidFill>
                    <w14:schemeClr w14:val="tx1"/>
                  </w14:solidFill>
                </w14:textFill>
              </w:rPr>
              <w:t>1000</w:t>
            </w:r>
            <w:r>
              <w:rPr>
                <w:rFonts w:ascii="Times New Roman" w:hAnsi="Times New Roman" w:cs="Times New Roman"/>
                <w:color w:val="000000" w:themeColor="text1"/>
                <w:szCs w:val="21"/>
                <w14:textFill>
                  <w14:solidFill>
                    <w14:schemeClr w14:val="tx1"/>
                  </w14:solidFill>
                </w14:textFill>
              </w:rPr>
              <w:t>万</w:t>
            </w:r>
            <w:r>
              <w:rPr>
                <w:rFonts w:ascii="Times New Roman" w:hAnsi="Times New Roman" w:cs="Times New Roman"/>
                <w:color w:val="000000" w:themeColor="text1"/>
                <w:kern w:val="0"/>
                <w14:textFill>
                  <w14:solidFill>
                    <w14:schemeClr w14:val="tx1"/>
                  </w14:solidFill>
                </w14:textFill>
              </w:rPr>
              <w:t>元（人民币）</w:t>
            </w:r>
          </w:p>
          <w:p w14:paraId="01C941F5">
            <w:pPr>
              <w:widowControl/>
              <w:spacing w:line="340" w:lineRule="exact"/>
              <w:rPr>
                <w:rFonts w:hint="eastAsia"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包一：软件（520</w:t>
            </w:r>
            <w:r>
              <w:rPr>
                <w:rFonts w:ascii="Times New Roman" w:hAnsi="Times New Roman" w:cs="Times New Roman"/>
                <w:color w:val="000000" w:themeColor="text1"/>
                <w:szCs w:val="21"/>
                <w14:textFill>
                  <w14:solidFill>
                    <w14:schemeClr w14:val="tx1"/>
                  </w14:solidFill>
                </w14:textFill>
              </w:rPr>
              <w:t>万</w:t>
            </w:r>
            <w:r>
              <w:rPr>
                <w:rFonts w:ascii="Times New Roman" w:hAnsi="Times New Roman" w:cs="Times New Roman"/>
                <w:color w:val="000000" w:themeColor="text1"/>
                <w:kern w:val="0"/>
                <w14:textFill>
                  <w14:solidFill>
                    <w14:schemeClr w14:val="tx1"/>
                  </w14:solidFill>
                </w14:textFill>
              </w:rPr>
              <w:t>元</w:t>
            </w:r>
            <w:r>
              <w:rPr>
                <w:rFonts w:hint="eastAsia" w:ascii="Times New Roman" w:hAnsi="Times New Roman" w:cs="Times New Roman"/>
                <w:color w:val="000000" w:themeColor="text1"/>
                <w:kern w:val="0"/>
                <w:lang w:val="en-US" w:eastAsia="zh-CN"/>
                <w14:textFill>
                  <w14:solidFill>
                    <w14:schemeClr w14:val="tx1"/>
                  </w14:solidFill>
                </w14:textFill>
              </w:rPr>
              <w:t>）</w:t>
            </w:r>
          </w:p>
          <w:p w14:paraId="4C36ABE1">
            <w:pPr>
              <w:widowControl/>
              <w:spacing w:line="340" w:lineRule="exact"/>
              <w:rPr>
                <w:rFonts w:hint="default" w:ascii="Times New Roman" w:hAnsi="Times New Roman" w:cs="Times New Roman"/>
                <w:color w:val="000000" w:themeColor="text1"/>
                <w:kern w:val="0"/>
                <w:lang w:val="en-US" w:eastAsia="zh-CN"/>
                <w14:textFill>
                  <w14:solidFill>
                    <w14:schemeClr w14:val="tx1"/>
                  </w14:solidFill>
                </w14:textFill>
              </w:rPr>
            </w:pPr>
            <w:r>
              <w:rPr>
                <w:rFonts w:hint="eastAsia" w:ascii="Times New Roman" w:hAnsi="Times New Roman" w:cs="Times New Roman"/>
                <w:color w:val="000000" w:themeColor="text1"/>
                <w:kern w:val="0"/>
                <w:lang w:val="en-US" w:eastAsia="zh-CN"/>
                <w14:textFill>
                  <w14:solidFill>
                    <w14:schemeClr w14:val="tx1"/>
                  </w14:solidFill>
                </w14:textFill>
              </w:rPr>
              <w:t>包二：硬件（480</w:t>
            </w:r>
            <w:r>
              <w:rPr>
                <w:rFonts w:ascii="Times New Roman" w:hAnsi="Times New Roman" w:cs="Times New Roman"/>
                <w:color w:val="000000" w:themeColor="text1"/>
                <w:szCs w:val="21"/>
                <w14:textFill>
                  <w14:solidFill>
                    <w14:schemeClr w14:val="tx1"/>
                  </w14:solidFill>
                </w14:textFill>
              </w:rPr>
              <w:t>万</w:t>
            </w:r>
            <w:r>
              <w:rPr>
                <w:rFonts w:ascii="Times New Roman" w:hAnsi="Times New Roman" w:cs="Times New Roman"/>
                <w:color w:val="000000" w:themeColor="text1"/>
                <w:kern w:val="0"/>
                <w14:textFill>
                  <w14:solidFill>
                    <w14:schemeClr w14:val="tx1"/>
                  </w14:solidFill>
                </w14:textFill>
              </w:rPr>
              <w:t>元</w:t>
            </w:r>
            <w:r>
              <w:rPr>
                <w:rFonts w:hint="eastAsia" w:ascii="Times New Roman" w:hAnsi="Times New Roman" w:cs="Times New Roman"/>
                <w:color w:val="000000" w:themeColor="text1"/>
                <w:kern w:val="0"/>
                <w:lang w:val="en-US" w:eastAsia="zh-CN"/>
                <w14:textFill>
                  <w14:solidFill>
                    <w14:schemeClr w14:val="tx1"/>
                  </w14:solidFill>
                </w14:textFill>
              </w:rPr>
              <w:t>）</w:t>
            </w:r>
          </w:p>
        </w:tc>
      </w:tr>
      <w:tr w14:paraId="4B27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338" w:type="dxa"/>
            <w:vAlign w:val="center"/>
          </w:tcPr>
          <w:p w14:paraId="18554DD9">
            <w:pPr>
              <w:widowControl/>
              <w:spacing w:line="340" w:lineRule="exact"/>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项目分包个数</w:t>
            </w:r>
          </w:p>
        </w:tc>
        <w:tc>
          <w:tcPr>
            <w:tcW w:w="7443" w:type="dxa"/>
            <w:vAlign w:val="center"/>
          </w:tcPr>
          <w:p w14:paraId="7984823D">
            <w:pPr>
              <w:widowControl/>
              <w:spacing w:line="340" w:lineRule="exact"/>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无</w:t>
            </w:r>
          </w:p>
        </w:tc>
      </w:tr>
      <w:tr w14:paraId="0D89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38" w:type="dxa"/>
            <w:vAlign w:val="center"/>
          </w:tcPr>
          <w:p w14:paraId="1C0C8A95">
            <w:pPr>
              <w:widowControl/>
              <w:spacing w:line="340" w:lineRule="exact"/>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采购要求</w:t>
            </w:r>
          </w:p>
        </w:tc>
        <w:tc>
          <w:tcPr>
            <w:tcW w:w="7443" w:type="dxa"/>
          </w:tcPr>
          <w:p w14:paraId="327B7DBC">
            <w:pPr>
              <w:pStyle w:val="42"/>
              <w:spacing w:before="156" w:after="156" w:line="340" w:lineRule="exact"/>
              <w:jc w:val="both"/>
              <w:rPr>
                <w:rFonts w:ascii="Times New Roman" w:hAnsi="Times New Roman" w:cs="Times New Roman"/>
                <w:color w:val="000000" w:themeColor="text1"/>
                <w:kern w:val="16"/>
                <w:lang w:eastAsia="zh-CN"/>
                <w14:textFill>
                  <w14:solidFill>
                    <w14:schemeClr w14:val="tx1"/>
                  </w14:solidFill>
                </w14:textFill>
              </w:rPr>
            </w:pPr>
            <w:r>
              <w:rPr>
                <w:rFonts w:ascii="Times New Roman" w:hAnsi="Times New Roman" w:cs="Times New Roman"/>
                <w:color w:val="000000" w:themeColor="text1"/>
                <w:kern w:val="16"/>
                <w:lang w:eastAsia="zh-CN"/>
                <w14:textFill>
                  <w14:solidFill>
                    <w14:schemeClr w14:val="tx1"/>
                  </w14:solidFill>
                </w14:textFill>
              </w:rPr>
              <w:t>具体要求详见《招标文件》。</w:t>
            </w:r>
          </w:p>
        </w:tc>
      </w:tr>
      <w:tr w14:paraId="03DD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38" w:type="dxa"/>
            <w:vAlign w:val="center"/>
          </w:tcPr>
          <w:p w14:paraId="6B861C97">
            <w:pPr>
              <w:widowControl/>
              <w:spacing w:line="340" w:lineRule="exact"/>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供应商资格条件</w:t>
            </w:r>
          </w:p>
        </w:tc>
        <w:tc>
          <w:tcPr>
            <w:tcW w:w="7443" w:type="dxa"/>
            <w:vAlign w:val="center"/>
          </w:tcPr>
          <w:p w14:paraId="73414B4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w:t>
            </w:r>
            <w:r>
              <w:rPr>
                <w:rFonts w:hint="eastAsia" w:ascii="宋体" w:hAnsi="宋体" w:cs="宋体"/>
                <w:kern w:val="0"/>
              </w:rPr>
              <w:t>应具备《政府采购法》第22条所规定的条件：</w:t>
            </w:r>
          </w:p>
          <w:p w14:paraId="5BC50AB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（1）投标人的营业执照等证明文件，自然人的身份证明；</w:t>
            </w:r>
          </w:p>
          <w:p w14:paraId="34DCB75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（2）财务状况报告和依法缴纳税收和社会保障资金的相关材料；</w:t>
            </w:r>
          </w:p>
          <w:p w14:paraId="7226E6C6">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（3）具备履行合同所必须的设备和专业技术能力的证明材料；</w:t>
            </w:r>
          </w:p>
          <w:p w14:paraId="38403C5E">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（4）参加政府采购活动前3年内在经营活动中没有重大违法记录的书面声明；</w:t>
            </w:r>
          </w:p>
          <w:p w14:paraId="1EC0F18A">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（5）具备法律、行政法规规定的其他条件的证明材料。</w:t>
            </w:r>
          </w:p>
          <w:p w14:paraId="04C69922">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w:t>
            </w:r>
            <w:r>
              <w:rPr>
                <w:rFonts w:hint="eastAsia" w:ascii="宋体" w:hAnsi="宋体" w:cs="宋体"/>
                <w:kern w:val="0"/>
              </w:rPr>
              <w:t>经信用中国（www.creditchina.gov.cn）、中国政府采购网（www.ccgp.gov.cn）等渠道查询后，列入失信被执行人、重大税收违法</w:t>
            </w:r>
            <w:r>
              <w:rPr>
                <w:rFonts w:hint="eastAsia" w:ascii="宋体" w:hAnsi="宋体" w:cs="宋体"/>
                <w:kern w:val="0"/>
                <w:lang w:eastAsia="zh-CN"/>
              </w:rPr>
              <w:t>失信主体</w:t>
            </w:r>
            <w:r>
              <w:rPr>
                <w:rFonts w:hint="eastAsia" w:ascii="宋体" w:hAnsi="宋体" w:cs="宋体"/>
                <w:kern w:val="0"/>
              </w:rPr>
              <w:t>、政府采购严重违法失信行为记录名单的，取消投标资格。</w:t>
            </w:r>
          </w:p>
          <w:p w14:paraId="49EF7BB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w:t>
            </w:r>
            <w:r>
              <w:rPr>
                <w:rFonts w:hint="eastAsia" w:ascii="宋体" w:hAnsi="宋体" w:cs="宋体"/>
                <w:kern w:val="0"/>
                <w:lang w:val="en-US" w:eastAsia="zh-CN"/>
              </w:rPr>
              <w:t>.</w:t>
            </w:r>
            <w:r>
              <w:rPr>
                <w:rFonts w:hint="eastAsia" w:ascii="宋体" w:hAnsi="宋体" w:cs="宋体"/>
                <w:kern w:val="0"/>
              </w:rPr>
              <w:t>单位负责人为同一人或者存在直接控股、管理关系的不同供应商，不得参加同一合同项下的政府采购活动。否则，皆取消投标资格。</w:t>
            </w:r>
          </w:p>
          <w:p w14:paraId="2F57CF7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w:t>
            </w:r>
            <w:r>
              <w:rPr>
                <w:rFonts w:hint="eastAsia" w:ascii="宋体" w:hAnsi="宋体" w:cs="宋体"/>
                <w:kern w:val="0"/>
                <w:lang w:val="en-US" w:eastAsia="zh-CN"/>
              </w:rPr>
              <w:t>.</w:t>
            </w:r>
            <w:r>
              <w:rPr>
                <w:rFonts w:hint="eastAsia" w:ascii="宋体" w:hAnsi="宋体" w:cs="宋体"/>
                <w:kern w:val="0"/>
              </w:rPr>
              <w:t>为本采购项目提供整体设计、规范编制或者项目管理、监理、检测等服务的供应商，不得再参加该采购项目的其他采购活动。</w:t>
            </w:r>
          </w:p>
          <w:p w14:paraId="703D58B9">
            <w:pPr>
              <w:keepNext w:val="0"/>
              <w:keepLines w:val="0"/>
              <w:pageBreakBefore w:val="0"/>
              <w:widowControl/>
              <w:kinsoku/>
              <w:wordWrap/>
              <w:overflowPunct/>
              <w:topLinePunct w:val="0"/>
              <w:autoSpaceDE/>
              <w:autoSpaceDN/>
              <w:bidi w:val="0"/>
              <w:snapToGrid/>
              <w:spacing w:line="300" w:lineRule="exact"/>
              <w:ind w:firstLine="0" w:firstLineChars="0"/>
              <w:rPr>
                <w:rFonts w:ascii="Times New Roman" w:hAnsi="Times New Roman" w:cs="Times New Roman"/>
                <w:color w:val="000000" w:themeColor="text1"/>
                <w:kern w:val="0"/>
                <w14:textFill>
                  <w14:solidFill>
                    <w14:schemeClr w14:val="tx1"/>
                  </w14:solidFill>
                </w14:textFill>
              </w:rPr>
            </w:pPr>
            <w:r>
              <w:rPr>
                <w:rFonts w:hint="eastAsia" w:ascii="宋体" w:hAnsi="宋体" w:cs="宋体"/>
                <w:kern w:val="0"/>
              </w:rPr>
              <w:t>5</w:t>
            </w:r>
            <w:r>
              <w:rPr>
                <w:rFonts w:hint="eastAsia" w:ascii="宋体" w:hAnsi="宋体" w:cs="宋体"/>
                <w:kern w:val="0"/>
                <w:lang w:val="en-US" w:eastAsia="zh-CN"/>
              </w:rPr>
              <w:t>.</w:t>
            </w:r>
            <w:r>
              <w:rPr>
                <w:rFonts w:hint="eastAsia" w:ascii="宋体" w:hAnsi="宋体" w:cs="宋体"/>
                <w:kern w:val="0"/>
              </w:rPr>
              <w:t>本项目不接受供应商以联合体方式进行投标。</w:t>
            </w:r>
            <w:r>
              <w:rPr>
                <w:rFonts w:hint="eastAsia" w:ascii="宋体" w:hAnsi="宋体" w:cs="宋体"/>
                <w:kern w:val="0"/>
                <w:lang w:val="en-US" w:eastAsia="zh-CN"/>
              </w:rPr>
              <w:t xml:space="preserve"> </w:t>
            </w:r>
          </w:p>
        </w:tc>
      </w:tr>
      <w:tr w14:paraId="55BF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38" w:type="dxa"/>
            <w:vAlign w:val="center"/>
          </w:tcPr>
          <w:p w14:paraId="48E1C6FB">
            <w:pPr>
              <w:widowControl/>
              <w:spacing w:line="340" w:lineRule="exact"/>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公告发布时间</w:t>
            </w:r>
          </w:p>
        </w:tc>
        <w:tc>
          <w:tcPr>
            <w:tcW w:w="7443" w:type="dxa"/>
            <w:vAlign w:val="center"/>
          </w:tcPr>
          <w:p w14:paraId="4EE5FE20">
            <w:pPr>
              <w:widowControl/>
              <w:spacing w:line="340" w:lineRule="exact"/>
              <w:rPr>
                <w:rFonts w:ascii="Times New Roman" w:hAnsi="Times New Roman" w:cs="Times New Roman"/>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2024</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14</w:t>
            </w:r>
            <w:r>
              <w:rPr>
                <w:rFonts w:hint="eastAsia" w:ascii="宋体" w:hAnsi="宋体" w:cs="宋体"/>
                <w:color w:val="000000" w:themeColor="text1"/>
                <w:kern w:val="0"/>
                <w:highlight w:val="none"/>
                <w:lang w:val="zh-CN"/>
                <w14:textFill>
                  <w14:solidFill>
                    <w14:schemeClr w14:val="tx1"/>
                  </w14:solidFill>
                </w14:textFill>
              </w:rPr>
              <w:t>日</w:t>
            </w:r>
          </w:p>
        </w:tc>
      </w:tr>
      <w:tr w14:paraId="69AB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vAlign w:val="center"/>
          </w:tcPr>
          <w:p w14:paraId="032A160D">
            <w:pPr>
              <w:widowControl/>
              <w:spacing w:line="340" w:lineRule="exact"/>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获取招标文件的时间期限</w:t>
            </w:r>
          </w:p>
        </w:tc>
        <w:tc>
          <w:tcPr>
            <w:tcW w:w="7443" w:type="dxa"/>
            <w:vAlign w:val="center"/>
          </w:tcPr>
          <w:p w14:paraId="68DB55F7">
            <w:pPr>
              <w:widowControl/>
              <w:spacing w:line="340" w:lineRule="exact"/>
              <w:jc w:val="left"/>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2024</w:t>
            </w:r>
            <w:r>
              <w:rPr>
                <w:rFonts w:hint="eastAsia" w:ascii="宋体" w:hAnsi="宋体" w:cs="宋体"/>
                <w:color w:val="000000" w:themeColor="text1"/>
                <w:kern w:val="0"/>
                <w:highlight w:val="none"/>
                <w:lang w:val="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15</w:t>
            </w:r>
            <w:r>
              <w:rPr>
                <w:rFonts w:hint="eastAsia" w:ascii="宋体" w:hAnsi="宋体" w:cs="宋体"/>
                <w:color w:val="000000" w:themeColor="text1"/>
                <w:kern w:val="0"/>
                <w:highlight w:val="none"/>
                <w:lang w:val="zh-CN"/>
                <w14:textFill>
                  <w14:solidFill>
                    <w14:schemeClr w14:val="tx1"/>
                  </w14:solidFill>
                </w14:textFill>
              </w:rPr>
              <w:t>日至</w:t>
            </w:r>
            <w:r>
              <w:rPr>
                <w:rFonts w:hint="eastAsia" w:ascii="宋体" w:hAnsi="宋体" w:cs="宋体"/>
                <w:color w:val="000000" w:themeColor="text1"/>
                <w:kern w:val="0"/>
                <w:highlight w:val="none"/>
                <w14:textFill>
                  <w14:solidFill>
                    <w14:schemeClr w14:val="tx1"/>
                  </w14:solidFill>
                </w14:textFill>
              </w:rPr>
              <w:t>2024年</w:t>
            </w: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lang w:val="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21</w:t>
            </w:r>
            <w:r>
              <w:rPr>
                <w:rFonts w:hint="eastAsia" w:ascii="宋体" w:hAnsi="宋体" w:cs="宋体"/>
                <w:color w:val="000000" w:themeColor="text1"/>
                <w:kern w:val="0"/>
                <w:highlight w:val="none"/>
                <w:lang w:val="zh-CN"/>
                <w14:textFill>
                  <w14:solidFill>
                    <w14:schemeClr w14:val="tx1"/>
                  </w14:solidFill>
                </w14:textFill>
              </w:rPr>
              <w:t>日，每天</w:t>
            </w:r>
            <w:r>
              <w:rPr>
                <w:rFonts w:hint="eastAsia" w:ascii="宋体" w:hAnsi="宋体" w:cs="宋体"/>
                <w:color w:val="000000" w:themeColor="text1"/>
                <w:kern w:val="0"/>
                <w:highlight w:val="none"/>
                <w:lang w:val="en-US" w:eastAsia="zh-CN"/>
                <w14:textFill>
                  <w14:solidFill>
                    <w14:schemeClr w14:val="tx1"/>
                  </w14:solidFill>
                </w14:textFill>
              </w:rPr>
              <w:t>00</w:t>
            </w:r>
            <w:r>
              <w:rPr>
                <w:rFonts w:hint="eastAsia" w:ascii="宋体" w:hAnsi="宋体" w:cs="宋体"/>
                <w:color w:val="000000" w:themeColor="text1"/>
                <w:kern w:val="0"/>
                <w:highlight w:val="none"/>
                <w:lang w:val="zh-CN"/>
                <w14:textFill>
                  <w14:solidFill>
                    <w14:schemeClr w14:val="tx1"/>
                  </w14:solidFill>
                </w14:textFill>
              </w:rPr>
              <w:t>:00-</w:t>
            </w:r>
            <w:r>
              <w:rPr>
                <w:rFonts w:hint="eastAsia" w:ascii="宋体" w:hAnsi="宋体" w:cs="宋体"/>
                <w:color w:val="000000" w:themeColor="text1"/>
                <w:kern w:val="0"/>
                <w:highlight w:val="none"/>
                <w:lang w:val="en-US" w:eastAsia="zh-CN"/>
                <w14:textFill>
                  <w14:solidFill>
                    <w14:schemeClr w14:val="tx1"/>
                  </w14:solidFill>
                </w14:textFill>
              </w:rPr>
              <w:t>23</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lang w:val="en-US" w:eastAsia="zh-CN"/>
                <w14:textFill>
                  <w14:solidFill>
                    <w14:schemeClr w14:val="tx1"/>
                  </w14:solidFill>
                </w14:textFill>
              </w:rPr>
              <w:t>59</w:t>
            </w:r>
            <w:r>
              <w:rPr>
                <w:rFonts w:hint="eastAsia" w:ascii="宋体" w:hAnsi="宋体" w:cs="宋体"/>
                <w:color w:val="000000" w:themeColor="text1"/>
                <w:kern w:val="0"/>
                <w:highlight w:val="none"/>
                <w:lang w:val="zh-CN"/>
                <w14:textFill>
                  <w14:solidFill>
                    <w14:schemeClr w14:val="tx1"/>
                  </w14:solidFill>
                </w14:textFill>
              </w:rPr>
              <w:t>（节假日除外</w:t>
            </w:r>
            <w:r>
              <w:rPr>
                <w:rFonts w:hint="eastAsia" w:ascii="宋体" w:hAnsi="宋体" w:cs="宋体"/>
                <w:color w:val="000000" w:themeColor="text1"/>
                <w:kern w:val="0"/>
                <w:highlight w:val="none"/>
                <w14:textFill>
                  <w14:solidFill>
                    <w14:schemeClr w14:val="tx1"/>
                  </w14:solidFill>
                </w14:textFill>
              </w:rPr>
              <w:t>)</w:t>
            </w:r>
          </w:p>
        </w:tc>
      </w:tr>
      <w:tr w14:paraId="238C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center"/>
          </w:tcPr>
          <w:p w14:paraId="7484024B">
            <w:pPr>
              <w:autoSpaceDE w:val="0"/>
              <w:autoSpaceDN w:val="0"/>
              <w:adjustRightInd w:val="0"/>
              <w:spacing w:line="360" w:lineRule="auto"/>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lang w:val="zh-CN"/>
                <w14:textFill>
                  <w14:solidFill>
                    <w14:schemeClr w14:val="tx1"/>
                  </w14:solidFill>
                </w14:textFill>
              </w:rPr>
              <w:t>获取招标文件方式</w:t>
            </w:r>
          </w:p>
        </w:tc>
        <w:tc>
          <w:tcPr>
            <w:tcW w:w="7443" w:type="dxa"/>
            <w:vAlign w:val="center"/>
          </w:tcPr>
          <w:p w14:paraId="441DD45A">
            <w:pPr>
              <w:rPr>
                <w:rFonts w:ascii="Times New Roman" w:hAnsi="Times New Roman" w:cs="Times New Roman"/>
                <w:color w:val="000000" w:themeColor="text1"/>
                <w14:textFill>
                  <w14:solidFill>
                    <w14:schemeClr w14:val="tx1"/>
                  </w14:solidFill>
                </w14:textFill>
              </w:rPr>
            </w:pPr>
            <w:r>
              <w:rPr>
                <w:rFonts w:hint="eastAsia" w:ascii="宋体" w:hAnsi="宋体" w:cs="宋体"/>
                <w:b/>
                <w:bCs/>
                <w:kern w:val="0"/>
              </w:rPr>
              <w:t>线上报名，CA办理及操作系统请咨询：政采云客服95763；《青海政府采购网》免费下载招标文件。（提示：请潜在供应商报名前务必完成网上企业注册等手续；具体操作咨询：政采云客服95763）</w:t>
            </w:r>
          </w:p>
        </w:tc>
      </w:tr>
      <w:tr w14:paraId="5B81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center"/>
          </w:tcPr>
          <w:p w14:paraId="59BBBB34">
            <w:pPr>
              <w:autoSpaceDE w:val="0"/>
              <w:autoSpaceDN w:val="0"/>
              <w:adjustRightInd w:val="0"/>
              <w:spacing w:line="360" w:lineRule="auto"/>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lang w:val="zh-CN"/>
                <w14:textFill>
                  <w14:solidFill>
                    <w14:schemeClr w14:val="tx1"/>
                  </w14:solidFill>
                </w14:textFill>
              </w:rPr>
              <w:t>招标文件售价</w:t>
            </w:r>
          </w:p>
        </w:tc>
        <w:tc>
          <w:tcPr>
            <w:tcW w:w="7443" w:type="dxa"/>
            <w:vAlign w:val="center"/>
          </w:tcPr>
          <w:p w14:paraId="259C44CF">
            <w:pPr>
              <w:pStyle w:val="8"/>
              <w:spacing w:line="360" w:lineRule="auto"/>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u w:val="dashDotHeavy"/>
                <w14:textFill>
                  <w14:solidFill>
                    <w14:schemeClr w14:val="tx1"/>
                  </w14:solidFill>
                </w14:textFill>
              </w:rPr>
              <w:t>0元</w:t>
            </w:r>
          </w:p>
        </w:tc>
      </w:tr>
      <w:tr w14:paraId="565F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jc w:val="center"/>
        </w:trPr>
        <w:tc>
          <w:tcPr>
            <w:tcW w:w="2338" w:type="dxa"/>
            <w:vAlign w:val="center"/>
          </w:tcPr>
          <w:p w14:paraId="72F212AA">
            <w:pPr>
              <w:autoSpaceDE w:val="0"/>
              <w:autoSpaceDN w:val="0"/>
              <w:adjustRightInd w:val="0"/>
              <w:spacing w:line="360" w:lineRule="auto"/>
              <w:ind w:firstLine="420" w:firstLineChars="20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lang w:val="zh-CN"/>
                <w14:textFill>
                  <w14:solidFill>
                    <w14:schemeClr w14:val="tx1"/>
                  </w14:solidFill>
                </w14:textFill>
              </w:rPr>
              <w:t>保证金信息</w:t>
            </w:r>
          </w:p>
        </w:tc>
        <w:tc>
          <w:tcPr>
            <w:tcW w:w="7443" w:type="dxa"/>
          </w:tcPr>
          <w:p w14:paraId="0D746F33">
            <w:pPr>
              <w:autoSpaceDE w:val="0"/>
              <w:autoSpaceDN w:val="0"/>
              <w:adjustRightInd w:val="0"/>
              <w:spacing w:line="360" w:lineRule="auto"/>
              <w:jc w:val="left"/>
              <w:rPr>
                <w:rFonts w:hint="eastAsia" w:ascii="Times New Roman" w:hAnsi="Times New Roman" w:cs="Times New Roman" w:eastAsiaTheme="minorEastAsia"/>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分包编号：</w:t>
            </w:r>
            <w:r>
              <w:rPr>
                <w:rFonts w:hint="eastAsia" w:ascii="Times New Roman" w:hAnsi="Times New Roman" w:cs="Times New Roman"/>
                <w:color w:val="000000" w:themeColor="text1"/>
                <w:spacing w:val="-2"/>
                <w:kern w:val="16"/>
                <w:lang w:eastAsia="zh-CN"/>
                <w14:textFill>
                  <w14:solidFill>
                    <w14:schemeClr w14:val="tx1"/>
                  </w14:solidFill>
                </w14:textFill>
              </w:rPr>
              <w:t>南政采公招（服务）2024-28号</w:t>
            </w:r>
          </w:p>
          <w:p w14:paraId="01152D67">
            <w:pPr>
              <w:autoSpaceDE w:val="0"/>
              <w:autoSpaceDN w:val="0"/>
              <w:adjustRightInd w:val="0"/>
              <w:spacing w:line="360" w:lineRule="auto"/>
              <w:ind w:left="1459" w:hanging="1459" w:hangingChars="695"/>
              <w:rPr>
                <w:rFonts w:ascii="Times New Roman" w:hAnsi="Times New Roman" w:cs="Times New Roman"/>
                <w:color w:val="000000" w:themeColor="text1"/>
                <w:spacing w:val="-2"/>
                <w:kern w:val="16"/>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名称：</w:t>
            </w:r>
            <w:r>
              <w:rPr>
                <w:rFonts w:hint="eastAsia" w:ascii="Times New Roman" w:hAnsi="Times New Roman" w:cs="Times New Roman"/>
                <w:color w:val="000000" w:themeColor="text1"/>
                <w:kern w:val="0"/>
                <w:lang w:eastAsia="zh-CN"/>
                <w14:textFill>
                  <w14:solidFill>
                    <w14:schemeClr w14:val="tx1"/>
                  </w14:solidFill>
                </w14:textFill>
              </w:rPr>
              <w:t>青海省省级区域医疗中心（海南州）建设项目信息化建设项目（</w:t>
            </w:r>
            <w:r>
              <w:rPr>
                <w:rFonts w:hint="eastAsia" w:ascii="Times New Roman" w:hAnsi="Times New Roman" w:cs="Times New Roman"/>
                <w:color w:val="000000" w:themeColor="text1"/>
                <w:kern w:val="0"/>
                <w:lang w:val="en-US" w:eastAsia="zh-CN"/>
                <w14:textFill>
                  <w14:solidFill>
                    <w14:schemeClr w14:val="tx1"/>
                  </w14:solidFill>
                </w14:textFill>
              </w:rPr>
              <w:t>包一/包二</w:t>
            </w:r>
            <w:r>
              <w:rPr>
                <w:rFonts w:hint="eastAsia" w:ascii="Times New Roman" w:hAnsi="Times New Roman" w:cs="Times New Roman"/>
                <w:color w:val="000000" w:themeColor="text1"/>
                <w:kern w:val="0"/>
                <w:lang w:eastAsia="zh-CN"/>
                <w14:textFill>
                  <w14:solidFill>
                    <w14:schemeClr w14:val="tx1"/>
                  </w14:solidFill>
                </w14:textFill>
              </w:rPr>
              <w:t>）</w:t>
            </w:r>
          </w:p>
          <w:p w14:paraId="607A369F">
            <w:pPr>
              <w:autoSpaceDE w:val="0"/>
              <w:autoSpaceDN w:val="0"/>
              <w:adjustRightInd w:val="0"/>
              <w:spacing w:line="360" w:lineRule="auto"/>
              <w:ind w:left="1470" w:hanging="1470" w:hangingChars="7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户名：</w:t>
            </w:r>
            <w:r>
              <w:rPr>
                <w:rFonts w:ascii="Times New Roman" w:hAnsi="Times New Roman" w:cs="Times New Roman"/>
                <w:color w:val="000000" w:themeColor="text1"/>
                <w:kern w:val="0"/>
                <w14:textFill>
                  <w14:solidFill>
                    <w14:schemeClr w14:val="tx1"/>
                  </w14:solidFill>
                </w14:textFill>
              </w:rPr>
              <w:t>海南州政务服务和公共资源交易中心</w:t>
            </w:r>
          </w:p>
          <w:p w14:paraId="715C3D5B">
            <w:pPr>
              <w:autoSpaceDE w:val="0"/>
              <w:autoSpaceDN w:val="0"/>
              <w:adjustRightInd w:val="0"/>
              <w:spacing w:line="360" w:lineRule="auto"/>
              <w:ind w:left="1470" w:hanging="1470" w:hangingChars="70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开户行：</w:t>
            </w:r>
            <w:r>
              <w:rPr>
                <w:rFonts w:ascii="Times New Roman" w:hAnsi="Times New Roman" w:cs="Times New Roman"/>
                <w:color w:val="000000" w:themeColor="text1"/>
                <w:kern w:val="0"/>
                <w14:textFill>
                  <w14:solidFill>
                    <w14:schemeClr w14:val="tx1"/>
                  </w14:solidFill>
                </w14:textFill>
              </w:rPr>
              <w:t>青海银行股份有限公司海南藏族自治州分行</w:t>
            </w:r>
            <w:r>
              <w:rPr>
                <w:rFonts w:ascii="Times New Roman" w:hAnsi="Times New Roman" w:eastAsia="宋体" w:cs="Times New Roman"/>
                <w:color w:val="000000" w:themeColor="text1"/>
                <w:kern w:val="0"/>
                <w14:textFill>
                  <w14:solidFill>
                    <w14:schemeClr w14:val="tx1"/>
                  </w14:solidFill>
                </w14:textFill>
              </w:rPr>
              <w:t>；</w:t>
            </w:r>
          </w:p>
          <w:p w14:paraId="628E43B4">
            <w:pPr>
              <w:autoSpaceDE w:val="0"/>
              <w:autoSpaceDN w:val="0"/>
              <w:adjustRightInd w:val="0"/>
              <w:spacing w:line="360" w:lineRule="auto"/>
              <w:ind w:left="1470" w:hanging="1470" w:hangingChars="700"/>
              <w:rPr>
                <w:rFonts w:ascii="Times New Roman" w:hAnsi="Times New Roman" w:cs="Times New Roman"/>
                <w:b/>
                <w:bCs/>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保证金账</w:t>
            </w:r>
            <w:r>
              <w:rPr>
                <w:rFonts w:ascii="Times New Roman" w:hAnsi="Times New Roman" w:cs="Times New Roman"/>
                <w:color w:val="000000" w:themeColor="text1"/>
                <w:kern w:val="0"/>
                <w14:textFill>
                  <w14:solidFill>
                    <w14:schemeClr w14:val="tx1"/>
                  </w14:solidFill>
                </w14:textFill>
              </w:rPr>
              <w:t>号：1</w:t>
            </w:r>
            <w:r>
              <w:rPr>
                <w:rFonts w:ascii="Times New Roman" w:hAnsi="Times New Roman" w:cs="Times New Roman"/>
                <w:b/>
                <w:bCs/>
                <w:color w:val="000000" w:themeColor="text1"/>
                <w:kern w:val="0"/>
                <w14:textFill>
                  <w14:solidFill>
                    <w14:schemeClr w14:val="tx1"/>
                  </w14:solidFill>
                </w14:textFill>
              </w:rPr>
              <w:t>401201000440191</w:t>
            </w:r>
          </w:p>
          <w:p w14:paraId="06FAE73D">
            <w:pPr>
              <w:autoSpaceDE w:val="0"/>
              <w:autoSpaceDN w:val="0"/>
              <w:adjustRightInd w:val="0"/>
              <w:spacing w:line="360" w:lineRule="auto"/>
              <w:ind w:left="1476" w:hanging="1476" w:hangingChars="7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kern w:val="0"/>
                <w:lang w:val="en-US" w:eastAsia="zh-CN"/>
                <w14:textFill>
                  <w14:solidFill>
                    <w14:schemeClr w14:val="tx1"/>
                  </w14:solidFill>
                </w14:textFill>
              </w:rPr>
              <w:t>包一：</w:t>
            </w:r>
            <w:r>
              <w:rPr>
                <w:rFonts w:ascii="Times New Roman" w:hAnsi="Times New Roman" w:cs="Times New Roman"/>
                <w:color w:val="000000" w:themeColor="text1"/>
                <w14:textFill>
                  <w14:solidFill>
                    <w14:schemeClr w14:val="tx1"/>
                  </w14:solidFill>
                </w14:textFill>
              </w:rPr>
              <w:t>金额</w:t>
            </w:r>
            <w:r>
              <w:rPr>
                <w:rFonts w:hint="eastAsia" w:ascii="Times New Roman" w:hAnsi="Times New Roman" w:cs="Times New Roman"/>
                <w:color w:val="000000" w:themeColor="text1"/>
                <w:lang w:val="en-US" w:eastAsia="zh-CN"/>
                <w14:textFill>
                  <w14:solidFill>
                    <w14:schemeClr w14:val="tx1"/>
                  </w14:solidFill>
                </w14:textFill>
              </w:rPr>
              <w:t>104000</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拾万零肆仟</w:t>
            </w:r>
            <w:r>
              <w:rPr>
                <w:rFonts w:ascii="Times New Roman" w:hAnsi="Times New Roman" w:cs="Times New Roman"/>
                <w:color w:val="000000" w:themeColor="text1"/>
                <w14:textFill>
                  <w14:solidFill>
                    <w14:schemeClr w14:val="tx1"/>
                  </w14:solidFill>
                </w14:textFill>
              </w:rPr>
              <w:t>元整）</w:t>
            </w:r>
          </w:p>
          <w:p w14:paraId="5BD6CF47">
            <w:pPr>
              <w:autoSpaceDE w:val="0"/>
              <w:autoSpaceDN w:val="0"/>
              <w:adjustRightInd w:val="0"/>
              <w:spacing w:line="360" w:lineRule="auto"/>
              <w:ind w:left="1476" w:hanging="1476" w:hangingChars="700"/>
              <w:rPr>
                <w:rFonts w:hint="eastAsia" w:ascii="Times New Roman" w:hAnsi="Times New Roman" w:cs="Times New Roman" w:eastAsiaTheme="minorEastAsia"/>
                <w:b/>
                <w:bCs/>
                <w:color w:val="000000" w:themeColor="text1"/>
                <w:kern w:val="0"/>
                <w:lang w:val="en-US" w:eastAsia="zh-CN"/>
                <w14:textFill>
                  <w14:solidFill>
                    <w14:schemeClr w14:val="tx1"/>
                  </w14:solidFill>
                </w14:textFill>
              </w:rPr>
            </w:pPr>
            <w:r>
              <w:rPr>
                <w:rFonts w:hint="eastAsia" w:ascii="Times New Roman" w:hAnsi="Times New Roman" w:cs="Times New Roman"/>
                <w:b/>
                <w:bCs/>
                <w:color w:val="000000" w:themeColor="text1"/>
                <w:kern w:val="0"/>
                <w:lang w:val="en-US" w:eastAsia="zh-CN"/>
                <w14:textFill>
                  <w14:solidFill>
                    <w14:schemeClr w14:val="tx1"/>
                  </w14:solidFill>
                </w14:textFill>
              </w:rPr>
              <w:t>包二：</w:t>
            </w:r>
            <w:r>
              <w:rPr>
                <w:rFonts w:ascii="Times New Roman" w:hAnsi="Times New Roman" w:cs="Times New Roman"/>
                <w:color w:val="000000" w:themeColor="text1"/>
                <w14:textFill>
                  <w14:solidFill>
                    <w14:schemeClr w14:val="tx1"/>
                  </w14:solidFill>
                </w14:textFill>
              </w:rPr>
              <w:t>金额</w:t>
            </w:r>
            <w:r>
              <w:rPr>
                <w:rFonts w:hint="eastAsia" w:ascii="Times New Roman" w:hAnsi="Times New Roman" w:cs="Times New Roman"/>
                <w:color w:val="000000" w:themeColor="text1"/>
                <w:lang w:val="en-US" w:eastAsia="zh-CN"/>
                <w14:textFill>
                  <w14:solidFill>
                    <w14:schemeClr w14:val="tx1"/>
                  </w14:solidFill>
                </w14:textFill>
              </w:rPr>
              <w:t>96000（玖万陆仟元整）</w:t>
            </w:r>
          </w:p>
          <w:p w14:paraId="60D8AEE4">
            <w:pPr>
              <w:widowControl/>
              <w:jc w:val="left"/>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缴费方式</w:t>
            </w:r>
            <w:r>
              <w:rPr>
                <w:rFonts w:hint="eastAsia" w:ascii="宋体" w:hAnsi="宋体" w:eastAsia="宋体" w:cs="宋体"/>
                <w:color w:val="000000" w:themeColor="text1"/>
                <w:kern w:val="0"/>
                <w:sz w:val="24"/>
                <w:lang w:bidi="ar"/>
                <w14:textFill>
                  <w14:solidFill>
                    <w14:schemeClr w14:val="tx1"/>
                  </w14:solidFill>
                </w14:textFill>
              </w:rPr>
              <w:t>：</w:t>
            </w:r>
            <w:r>
              <w:rPr>
                <w:rFonts w:hint="eastAsia" w:ascii="宋体" w:hAnsi="宋体" w:eastAsia="宋体" w:cs="宋体"/>
                <w:b/>
                <w:bCs/>
                <w:color w:val="000000" w:themeColor="text1"/>
                <w:kern w:val="0"/>
                <w:sz w:val="24"/>
                <w:lang w:bidi="ar"/>
                <w14:textFill>
                  <w14:solidFill>
                    <w14:schemeClr w14:val="tx1"/>
                  </w14:solidFill>
                </w14:textFill>
              </w:rPr>
              <w:t>投标保证金应当以转账、支票、汇票、本票或者金融机构、担保机构出具的保函等非现金形式提交。</w:t>
            </w:r>
          </w:p>
        </w:tc>
      </w:tr>
      <w:tr w14:paraId="2CB4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vAlign w:val="center"/>
          </w:tcPr>
          <w:p w14:paraId="44201A99">
            <w:pPr>
              <w:autoSpaceDE w:val="0"/>
              <w:autoSpaceDN w:val="0"/>
              <w:adjustRightInd w:val="0"/>
              <w:spacing w:line="360" w:lineRule="auto"/>
              <w:rPr>
                <w:rFonts w:ascii="Times New Roman" w:hAnsi="Times New Roman" w:cs="Times New Roman"/>
                <w:color w:val="000000" w:themeColor="text1"/>
                <w14:textFill>
                  <w14:solidFill>
                    <w14:schemeClr w14:val="tx1"/>
                  </w14:solidFill>
                </w14:textFill>
              </w:rPr>
            </w:pPr>
            <w:r>
              <w:rPr>
                <w:rFonts w:hint="eastAsia" w:ascii="宋体" w:hAnsi="宋体" w:cs="宋体"/>
                <w:color w:val="000000"/>
                <w:kern w:val="0"/>
                <w:lang w:val="zh-CN"/>
              </w:rPr>
              <w:t>获取招标文件地点</w:t>
            </w:r>
          </w:p>
        </w:tc>
        <w:tc>
          <w:tcPr>
            <w:tcW w:w="7443" w:type="dxa"/>
            <w:vAlign w:val="center"/>
          </w:tcPr>
          <w:p w14:paraId="1433A9C7">
            <w:pPr>
              <w:pStyle w:val="8"/>
              <w:spacing w:line="360" w:lineRule="auto"/>
              <w:jc w:val="both"/>
              <w:rPr>
                <w:rFonts w:ascii="Times New Roman" w:hAnsi="Times New Roman" w:cs="Times New Roman"/>
                <w:color w:val="000000" w:themeColor="text1"/>
                <w14:textFill>
                  <w14:solidFill>
                    <w14:schemeClr w14:val="tx1"/>
                  </w14:solidFill>
                </w14:textFill>
              </w:rPr>
            </w:pPr>
            <w:r>
              <w:rPr>
                <w:rFonts w:hint="eastAsia"/>
                <w:lang w:val="en-US" w:eastAsia="zh-CN"/>
              </w:rPr>
              <w:t>《政采云平台》免费下载招标文件。</w:t>
            </w:r>
          </w:p>
        </w:tc>
      </w:tr>
      <w:tr w14:paraId="49B1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vAlign w:val="center"/>
          </w:tcPr>
          <w:p w14:paraId="1EBB7AA8">
            <w:pPr>
              <w:widowControl/>
              <w:spacing w:line="34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答疑方式</w:t>
            </w:r>
          </w:p>
        </w:tc>
        <w:tc>
          <w:tcPr>
            <w:tcW w:w="7443" w:type="dxa"/>
          </w:tcPr>
          <w:p w14:paraId="1F729E43">
            <w:pPr>
              <w:widowControl/>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zh-CN" w:eastAsia="zh-CN"/>
                <w14:textFill>
                  <w14:solidFill>
                    <w14:schemeClr w14:val="tx1"/>
                  </w14:solidFill>
                </w14:textFill>
              </w:rPr>
              <w:t>在线</w:t>
            </w:r>
            <w:r>
              <w:rPr>
                <w:rFonts w:hint="eastAsia" w:ascii="Times New Roman" w:hAnsi="Times New Roman" w:cs="Times New Roman"/>
                <w:color w:val="000000" w:themeColor="text1"/>
                <w:lang w:val="zh-CN"/>
                <w14:textFill>
                  <w14:solidFill>
                    <w14:schemeClr w14:val="tx1"/>
                  </w14:solidFill>
                </w14:textFill>
              </w:rPr>
              <w:t>答疑或澄清或告知，解密完成后供应商须</w:t>
            </w:r>
            <w:r>
              <w:rPr>
                <w:rFonts w:hint="eastAsia" w:ascii="Times New Roman" w:hAnsi="Times New Roman" w:cs="Times New Roman"/>
                <w:color w:val="000000" w:themeColor="text1"/>
                <w:lang w:val="zh-CN" w:eastAsia="zh-CN"/>
                <w14:textFill>
                  <w14:solidFill>
                    <w14:schemeClr w14:val="tx1"/>
                  </w14:solidFill>
                </w14:textFill>
              </w:rPr>
              <w:t>随时关注政采云手机短信通知，当</w:t>
            </w:r>
            <w:r>
              <w:rPr>
                <w:rFonts w:hint="eastAsia" w:ascii="Times New Roman" w:hAnsi="Times New Roman" w:cs="Times New Roman"/>
                <w:color w:val="000000" w:themeColor="text1"/>
                <w:lang w:val="zh-CN"/>
                <w14:textFill>
                  <w14:solidFill>
                    <w14:schemeClr w14:val="tx1"/>
                  </w14:solidFill>
                </w14:textFill>
              </w:rPr>
              <w:t>答疑或澄清发出后，政采云系统会以短信的方式提示告知，供应商应在规定的时间内（答疑或澄清时长为</w:t>
            </w:r>
            <w:r>
              <w:rPr>
                <w:rFonts w:hint="eastAsia" w:ascii="Times New Roman" w:hAnsi="Times New Roman" w:cs="Times New Roman"/>
                <w:color w:val="000000" w:themeColor="text1"/>
                <w:lang w:val="en-US" w:eastAsia="zh-CN"/>
                <w14:textFill>
                  <w14:solidFill>
                    <w14:schemeClr w14:val="tx1"/>
                  </w14:solidFill>
                </w14:textFill>
              </w:rPr>
              <w:t>30分钟</w:t>
            </w:r>
            <w:r>
              <w:rPr>
                <w:rFonts w:hint="eastAsia" w:ascii="Times New Roman" w:hAnsi="Times New Roman" w:cs="Times New Roman"/>
                <w:color w:val="000000" w:themeColor="text1"/>
                <w:lang w:val="zh-CN"/>
                <w14:textFill>
                  <w14:solidFill>
                    <w14:schemeClr w14:val="tx1"/>
                  </w14:solidFill>
                </w14:textFill>
              </w:rPr>
              <w:t>）在线提交答疑或澄清证明资料，如发出的为告知函（资格审查未通过告知函或符合性审查未通过告知函</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eastAsia" w:ascii="Times New Roman" w:hAnsi="Times New Roman" w:cs="Times New Roman"/>
                <w:color w:val="000000" w:themeColor="text1"/>
                <w:lang w:val="zh-CN"/>
                <w14:textFill>
                  <w14:solidFill>
                    <w14:schemeClr w14:val="tx1"/>
                  </w14:solidFill>
                </w14:textFill>
              </w:rPr>
              <w:t>）的则无需在线提交任何资料，</w:t>
            </w:r>
            <w:r>
              <w:rPr>
                <w:rFonts w:hint="eastAsia" w:ascii="Times New Roman" w:hAnsi="Times New Roman" w:cs="Times New Roman"/>
                <w:color w:val="000000" w:themeColor="text1"/>
                <w:lang w:val="zh-CN" w:eastAsia="zh-CN"/>
                <w14:textFill>
                  <w14:solidFill>
                    <w14:schemeClr w14:val="tx1"/>
                  </w14:solidFill>
                </w14:textFill>
              </w:rPr>
              <w:t>逾期</w:t>
            </w:r>
            <w:r>
              <w:rPr>
                <w:rFonts w:hint="eastAsia" w:ascii="Times New Roman" w:hAnsi="Times New Roman" w:cs="Times New Roman"/>
                <w:color w:val="000000" w:themeColor="text1"/>
                <w:lang w:val="zh-CN"/>
                <w14:textFill>
                  <w14:solidFill>
                    <w14:schemeClr w14:val="tx1"/>
                  </w14:solidFill>
                </w14:textFill>
              </w:rPr>
              <w:t>未在线提交答疑或澄清的，视同</w:t>
            </w:r>
            <w:r>
              <w:rPr>
                <w:rFonts w:hint="eastAsia" w:ascii="Times New Roman" w:hAnsi="Times New Roman" w:cs="Times New Roman"/>
                <w:color w:val="000000" w:themeColor="text1"/>
                <w:lang w:val="zh-CN" w:eastAsia="zh-CN"/>
                <w14:textFill>
                  <w14:solidFill>
                    <w14:schemeClr w14:val="tx1"/>
                  </w14:solidFill>
                </w14:textFill>
              </w:rPr>
              <w:t>不接受答疑或澄清按无效投标处理</w:t>
            </w:r>
            <w:r>
              <w:rPr>
                <w:rFonts w:hint="eastAsia" w:ascii="Times New Roman" w:hAnsi="Times New Roman" w:cs="Times New Roman"/>
                <w:color w:val="000000" w:themeColor="text1"/>
                <w:lang w:val="zh-CN"/>
                <w14:textFill>
                  <w14:solidFill>
                    <w14:schemeClr w14:val="tx1"/>
                  </w14:solidFill>
                </w14:textFill>
              </w:rPr>
              <w:t>。</w:t>
            </w:r>
          </w:p>
        </w:tc>
      </w:tr>
      <w:tr w14:paraId="73B1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8" w:type="dxa"/>
            <w:vAlign w:val="center"/>
          </w:tcPr>
          <w:p w14:paraId="0BA890DE">
            <w:pPr>
              <w:widowControl/>
              <w:spacing w:line="340" w:lineRule="exac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提交投标文件及投标方式</w:t>
            </w:r>
          </w:p>
        </w:tc>
        <w:tc>
          <w:tcPr>
            <w:tcW w:w="7443" w:type="dxa"/>
          </w:tcPr>
          <w:p w14:paraId="2D0B509C">
            <w:pPr>
              <w:rPr>
                <w:rFonts w:ascii="Times New Roman" w:hAnsi="Times New Roman" w:cs="Times New Roman"/>
                <w:color w:val="000000" w:themeColor="text1"/>
                <w:lang w:val="zh-CN"/>
                <w14:textFill>
                  <w14:solidFill>
                    <w14:schemeClr w14:val="tx1"/>
                  </w14:solidFill>
                </w14:textFill>
              </w:rPr>
            </w:pPr>
          </w:p>
          <w:p w14:paraId="5905783B">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zh-CN"/>
                <w14:textFill>
                  <w14:solidFill>
                    <w14:schemeClr w14:val="tx1"/>
                  </w14:solidFill>
                </w14:textFill>
              </w:rPr>
              <w:t>线上：政采云平台https://www.zcygov.cn/</w:t>
            </w:r>
          </w:p>
        </w:tc>
      </w:tr>
      <w:tr w14:paraId="1550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338" w:type="dxa"/>
            <w:vAlign w:val="center"/>
          </w:tcPr>
          <w:p w14:paraId="58E30E6F">
            <w:pPr>
              <w:autoSpaceDE w:val="0"/>
              <w:autoSpaceDN w:val="0"/>
              <w:adjustRightInd w:val="0"/>
              <w:spacing w:line="360" w:lineRule="auto"/>
              <w:rPr>
                <w:rFonts w:ascii="Times New Roman" w:hAnsi="Times New Roman" w:cs="Times New Roman"/>
                <w:color w:val="000000" w:themeColor="text1"/>
                <w:kern w:val="0"/>
                <w14:textFill>
                  <w14:solidFill>
                    <w14:schemeClr w14:val="tx1"/>
                  </w14:solidFill>
                </w14:textFill>
              </w:rPr>
            </w:pPr>
            <w:r>
              <w:rPr>
                <w:rFonts w:hint="eastAsia" w:ascii="宋体" w:hAnsi="宋体" w:cs="宋体"/>
                <w:color w:val="000000"/>
                <w:kern w:val="0"/>
                <w:lang w:val="zh-CN"/>
              </w:rPr>
              <w:t>电子签到</w:t>
            </w:r>
            <w:r>
              <w:rPr>
                <w:rFonts w:hint="eastAsia" w:ascii="宋体" w:hAnsi="宋体" w:cs="宋体"/>
                <w:color w:val="000000"/>
                <w:kern w:val="0"/>
              </w:rPr>
              <w:t>及</w:t>
            </w:r>
            <w:r>
              <w:rPr>
                <w:rFonts w:hint="eastAsia" w:ascii="宋体" w:hAnsi="宋体" w:cs="宋体"/>
                <w:color w:val="000000"/>
                <w:kern w:val="0"/>
                <w:lang w:val="zh-CN"/>
              </w:rPr>
              <w:t>解密时间</w:t>
            </w:r>
          </w:p>
        </w:tc>
        <w:tc>
          <w:tcPr>
            <w:tcW w:w="7443" w:type="dxa"/>
            <w:vAlign w:val="center"/>
          </w:tcPr>
          <w:p w14:paraId="7E380C0B">
            <w:pPr>
              <w:widowControl/>
              <w:spacing w:line="340" w:lineRule="exact"/>
              <w:jc w:val="left"/>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202</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val="zh-CN" w:eastAsia="zh-CN"/>
                <w14:textFill>
                  <w14:solidFill>
                    <w14:schemeClr w14:val="tx1"/>
                  </w14:solidFill>
                </w14:textFill>
              </w:rPr>
              <w:t>年</w:t>
            </w:r>
            <w:r>
              <w:rPr>
                <w:rFonts w:hint="eastAsia" w:ascii="Times New Roman" w:hAnsi="Times New Roman" w:cs="Times New Roman"/>
                <w:color w:val="000000" w:themeColor="text1"/>
                <w:highlight w:val="none"/>
                <w:lang w:val="en-US" w:eastAsia="zh-CN"/>
                <w14:textFill>
                  <w14:solidFill>
                    <w14:schemeClr w14:val="tx1"/>
                  </w14:solidFill>
                </w14:textFill>
              </w:rPr>
              <w:t>11</w:t>
            </w:r>
            <w:r>
              <w:rPr>
                <w:rFonts w:hint="default" w:ascii="Times New Roman" w:hAnsi="Times New Roman" w:cs="Times New Roman"/>
                <w:color w:val="000000" w:themeColor="text1"/>
                <w:highlight w:val="none"/>
                <w:lang w:val="zh-CN" w:eastAsia="zh-CN"/>
                <w14:textFill>
                  <w14:solidFill>
                    <w14:schemeClr w14:val="tx1"/>
                  </w14:solidFill>
                </w14:textFill>
              </w:rPr>
              <w:t>月</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7 </w:t>
            </w:r>
            <w:r>
              <w:rPr>
                <w:rFonts w:hint="default" w:ascii="Times New Roman" w:hAnsi="Times New Roman" w:cs="Times New Roman"/>
                <w:color w:val="000000" w:themeColor="text1"/>
                <w:highlight w:val="none"/>
                <w:lang w:val="zh-CN" w:eastAsia="zh-CN"/>
                <w14:textFill>
                  <w14:solidFill>
                    <w14:schemeClr w14:val="tx1"/>
                  </w14:solidFill>
                </w14:textFill>
              </w:rPr>
              <w:t>日</w:t>
            </w:r>
            <w:r>
              <w:rPr>
                <w:rFonts w:hint="eastAsia"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zh-CN" w:eastAsia="zh-CN"/>
                <w14:textFill>
                  <w14:solidFill>
                    <w14:schemeClr w14:val="tx1"/>
                  </w14:solidFill>
                </w14:textFill>
              </w:rPr>
              <w:t>时</w:t>
            </w:r>
            <w:r>
              <w:rPr>
                <w:rFonts w:hint="eastAsia" w:ascii="Times New Roman" w:hAnsi="Times New Roman" w:cs="Times New Roman"/>
                <w:color w:val="000000" w:themeColor="text1"/>
                <w:highlight w:val="none"/>
                <w:lang w:val="en-US" w:eastAsia="zh-CN"/>
                <w14:textFill>
                  <w14:solidFill>
                    <w14:schemeClr w14:val="tx1"/>
                  </w14:solidFill>
                </w14:textFill>
              </w:rPr>
              <w:t>00</w:t>
            </w:r>
            <w:r>
              <w:rPr>
                <w:rFonts w:hint="default" w:ascii="Times New Roman" w:hAnsi="Times New Roman" w:cs="Times New Roman"/>
                <w:color w:val="000000" w:themeColor="text1"/>
                <w:highlight w:val="none"/>
                <w:lang w:val="zh-CN" w:eastAsia="zh-CN"/>
                <w14:textFill>
                  <w14:solidFill>
                    <w14:schemeClr w14:val="tx1"/>
                  </w14:solidFill>
                </w14:textFill>
              </w:rPr>
              <w:t>分（北京时间）</w:t>
            </w:r>
          </w:p>
        </w:tc>
      </w:tr>
      <w:tr w14:paraId="5BB1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vAlign w:val="center"/>
          </w:tcPr>
          <w:p w14:paraId="2C0539D6">
            <w:pPr>
              <w:autoSpaceDE w:val="0"/>
              <w:autoSpaceDN w:val="0"/>
              <w:adjustRightInd w:val="0"/>
              <w:spacing w:line="360" w:lineRule="auto"/>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lang w:val="zh-CN"/>
                <w14:textFill>
                  <w14:solidFill>
                    <w14:schemeClr w14:val="tx1"/>
                  </w14:solidFill>
                </w14:textFill>
              </w:rPr>
              <w:t>投标及开标地点</w:t>
            </w:r>
          </w:p>
        </w:tc>
        <w:tc>
          <w:tcPr>
            <w:tcW w:w="7443" w:type="dxa"/>
            <w:vAlign w:val="center"/>
          </w:tcPr>
          <w:p w14:paraId="5754CA94">
            <w:pPr>
              <w:widowControl/>
              <w:jc w:val="left"/>
              <w:rPr>
                <w:rFonts w:ascii="Times New Roman" w:hAnsi="Times New Roman" w:cs="Times New Roman"/>
                <w:color w:val="000000" w:themeColor="text1"/>
                <w:lang w:val="zh-CN"/>
                <w14:textFill>
                  <w14:solidFill>
                    <w14:schemeClr w14:val="tx1"/>
                  </w14:solidFill>
                </w14:textFill>
              </w:rPr>
            </w:pPr>
            <w:r>
              <w:rPr>
                <w:rFonts w:ascii="Times New Roman" w:hAnsi="Times New Roman" w:cs="Times New Roman"/>
                <w:color w:val="000000" w:themeColor="text1"/>
                <w:lang w:val="zh-CN"/>
                <w14:textFill>
                  <w14:solidFill>
                    <w14:schemeClr w14:val="tx1"/>
                  </w14:solidFill>
                </w14:textFill>
              </w:rPr>
              <w:t xml:space="preserve">线上：政采云平台https://www.zcygov.cn/（同时根据系统提示在 30 分钟内 </w:t>
            </w:r>
          </w:p>
          <w:p w14:paraId="040B7B11">
            <w:pPr>
              <w:widowControl/>
              <w:jc w:val="left"/>
              <w:rPr>
                <w:rFonts w:ascii="Times New Roman" w:hAnsi="Times New Roman" w:cs="Times New Roman"/>
                <w:color w:val="000000" w:themeColor="text1"/>
                <w:lang w:val="zh-CN"/>
                <w14:textFill>
                  <w14:solidFill>
                    <w14:schemeClr w14:val="tx1"/>
                  </w14:solidFill>
                </w14:textFill>
              </w:rPr>
            </w:pPr>
            <w:r>
              <w:rPr>
                <w:rFonts w:ascii="Times New Roman" w:hAnsi="Times New Roman" w:cs="Times New Roman"/>
                <w:color w:val="000000" w:themeColor="text1"/>
                <w:lang w:val="zh-CN"/>
                <w14:textFill>
                  <w14:solidFill>
                    <w14:schemeClr w14:val="tx1"/>
                  </w14:solidFill>
                </w14:textFill>
              </w:rPr>
              <w:t>完成投标文件解密）</w:t>
            </w:r>
          </w:p>
          <w:p w14:paraId="36E02D41">
            <w:pPr>
              <w:widowControl/>
              <w:jc w:val="left"/>
              <w:rPr>
                <w:rFonts w:ascii="Times New Roman" w:hAnsi="Times New Roman" w:cs="Times New Roman"/>
                <w:color w:val="000000" w:themeColor="text1"/>
                <w14:textFill>
                  <w14:solidFill>
                    <w14:schemeClr w14:val="tx1"/>
                  </w14:solidFill>
                </w14:textFill>
              </w:rPr>
            </w:pPr>
            <w:r>
              <w:rPr>
                <w:rFonts w:hint="eastAsia"/>
                <w:b/>
                <w:color w:val="000000" w:themeColor="text1"/>
                <w14:textFill>
                  <w14:solidFill>
                    <w14:schemeClr w14:val="tx1"/>
                  </w14:solidFill>
                </w14:textFill>
              </w:rPr>
              <w:t>如非系统原因造成无法解密的或非系统原因加密文件上传不成功的或没办理CA锁而造成加密文件无法解密、加密文件无法上传的视为无效投标。</w:t>
            </w:r>
            <w:r>
              <w:rPr>
                <w:rFonts w:hint="eastAsia"/>
                <w:b/>
                <w:color w:val="000000" w:themeColor="text1"/>
                <w:sz w:val="24"/>
                <w14:textFill>
                  <w14:solidFill>
                    <w14:schemeClr w14:val="tx1"/>
                  </w14:solidFill>
                </w14:textFill>
              </w:rPr>
              <w:t>（提示：请供应商开启解密后随时关注政采云系统短信，及时完成后续操作）</w:t>
            </w:r>
          </w:p>
        </w:tc>
      </w:tr>
      <w:tr w14:paraId="7EBD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2338" w:type="dxa"/>
            <w:vAlign w:val="center"/>
          </w:tcPr>
          <w:p w14:paraId="505FCBB9">
            <w:pPr>
              <w:widowControl/>
              <w:spacing w:line="340" w:lineRule="exac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其他事项</w:t>
            </w:r>
          </w:p>
        </w:tc>
        <w:tc>
          <w:tcPr>
            <w:tcW w:w="7443" w:type="dxa"/>
          </w:tcPr>
          <w:p w14:paraId="00DC8BF3">
            <w:pPr>
              <w:widowControl/>
              <w:jc w:val="left"/>
              <w:rPr>
                <w:rFonts w:hint="eastAsia" w:ascii="Times New Roman" w:hAnsi="Times New Roman" w:cs="Times New Roman"/>
                <w:color w:val="000000" w:themeColor="text1"/>
                <w:lang w:val="zh-CN"/>
                <w14:textFill>
                  <w14:solidFill>
                    <w14:schemeClr w14:val="tx1"/>
                  </w14:solidFill>
                </w14:textFill>
              </w:rPr>
            </w:pPr>
            <w:r>
              <w:rPr>
                <w:rFonts w:hint="eastAsia" w:ascii="Times New Roman" w:hAnsi="Times New Roman" w:cs="Times New Roman"/>
                <w:color w:val="000000" w:themeColor="text1"/>
                <w:lang w:val="zh-CN"/>
                <w14:textFill>
                  <w14:solidFill>
                    <w14:schemeClr w14:val="tx1"/>
                  </w14:solidFill>
                </w14:textFill>
              </w:rPr>
              <w:t>1.本次招标采用线上提交投标文件的方式进行采购，线上投标文件必须在投标文件递交截止时间前上传平台。</w:t>
            </w:r>
          </w:p>
          <w:p w14:paraId="5F6326F4">
            <w:pPr>
              <w:widowControl/>
              <w:jc w:val="left"/>
              <w:rPr>
                <w:rFonts w:hint="eastAsia" w:ascii="Times New Roman" w:hAnsi="Times New Roman" w:cs="Times New Roman"/>
                <w:color w:val="000000" w:themeColor="text1"/>
                <w:lang w:val="zh-CN"/>
                <w14:textFill>
                  <w14:solidFill>
                    <w14:schemeClr w14:val="tx1"/>
                  </w14:solidFill>
                </w14:textFill>
              </w:rPr>
            </w:pPr>
            <w:r>
              <w:rPr>
                <w:rFonts w:hint="eastAsia" w:ascii="Times New Roman" w:hAnsi="Times New Roman" w:cs="Times New Roman"/>
                <w:color w:val="000000" w:themeColor="text1"/>
                <w:lang w:val="zh-CN"/>
                <w14:textFill>
                  <w14:solidFill>
                    <w14:schemeClr w14:val="tx1"/>
                  </w14:solidFill>
                </w14:textFill>
              </w:rPr>
              <w:t>2.若对项目采购电子交易系统操作有疑问，可登录政采云（https://www.zcygov.cn/），点击右侧咨询小采，获取采小蜜智能服务管家帮助，或拨打政采云服务热线95763（获取热线服务帮助。CA问题联系电话（人工）；天谷CA 400-087-8198。</w:t>
            </w:r>
          </w:p>
          <w:p w14:paraId="0516F1E4">
            <w:pPr>
              <w:widowControl/>
              <w:jc w:val="left"/>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r>
              <w:rPr>
                <w:rFonts w:hint="eastAsia" w:ascii="Times New Roman" w:hAnsi="Times New Roman" w:cs="Times New Roman"/>
                <w:color w:val="000000" w:themeColor="text1"/>
                <w:lang w:val="zh-CN"/>
                <w14:textFill>
                  <w14:solidFill>
                    <w14:schemeClr w14:val="tx1"/>
                  </w14:solidFill>
                </w14:textFill>
              </w:rPr>
              <w:t>、本次（</w:t>
            </w:r>
            <w:r>
              <w:rPr>
                <w:rFonts w:hint="eastAsia" w:ascii="Times New Roman" w:hAnsi="Times New Roman" w:cs="Times New Roman"/>
                <w:color w:val="000000" w:themeColor="text1"/>
                <w:lang w:val="en-US" w:eastAsia="zh-CN"/>
                <w14:textFill>
                  <w14:solidFill>
                    <w14:schemeClr w14:val="tx1"/>
                  </w14:solidFill>
                </w14:textFill>
              </w:rPr>
              <w:t>包一</w:t>
            </w:r>
            <w:r>
              <w:rPr>
                <w:rFonts w:hint="eastAsia" w:ascii="Times New Roman" w:hAnsi="Times New Roman" w:cs="Times New Roman"/>
                <w:color w:val="000000" w:themeColor="text1"/>
                <w:lang w:val="zh-CN"/>
                <w14:textFill>
                  <w14:solidFill>
                    <w14:schemeClr w14:val="tx1"/>
                  </w14:solidFill>
                </w14:textFill>
              </w:rPr>
              <w:t>）标的物所属行业为</w:t>
            </w:r>
            <w:r>
              <w:rPr>
                <w:rFonts w:hint="eastAsia" w:ascii="Times New Roman" w:hAnsi="Times New Roman" w:cs="Times New Roman"/>
                <w:color w:val="000000" w:themeColor="text1"/>
                <w:lang w:val="zh-CN"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工业；软件：软件和信息技术服务业。</w:t>
            </w:r>
            <w:r>
              <w:rPr>
                <w:rFonts w:hint="eastAsia" w:ascii="Times New Roman" w:hAnsi="Times New Roman" w:cs="Times New Roman"/>
                <w:color w:val="000000" w:themeColor="text1"/>
                <w:lang w:val="zh-CN"/>
                <w14:textFill>
                  <w14:solidFill>
                    <w14:schemeClr w14:val="tx1"/>
                  </w14:solidFill>
                </w14:textFill>
              </w:rPr>
              <w:t>本次（</w:t>
            </w:r>
            <w:r>
              <w:rPr>
                <w:rFonts w:hint="eastAsia" w:ascii="Times New Roman" w:hAnsi="Times New Roman" w:cs="Times New Roman"/>
                <w:color w:val="000000" w:themeColor="text1"/>
                <w:lang w:val="en-US" w:eastAsia="zh-CN"/>
                <w14:textFill>
                  <w14:solidFill>
                    <w14:schemeClr w14:val="tx1"/>
                  </w14:solidFill>
                </w14:textFill>
              </w:rPr>
              <w:t>包二</w:t>
            </w:r>
            <w:r>
              <w:rPr>
                <w:rFonts w:hint="eastAsia" w:ascii="Times New Roman" w:hAnsi="Times New Roman" w:cs="Times New Roman"/>
                <w:color w:val="000000" w:themeColor="text1"/>
                <w:lang w:val="zh-CN"/>
                <w14:textFill>
                  <w14:solidFill>
                    <w14:schemeClr w14:val="tx1"/>
                  </w14:solidFill>
                </w14:textFill>
              </w:rPr>
              <w:t>）标的物所属行业为</w:t>
            </w:r>
            <w:r>
              <w:rPr>
                <w:rFonts w:hint="eastAsia" w:ascii="Times New Roman" w:hAnsi="Times New Roman" w:cs="Times New Roman"/>
                <w:color w:val="000000" w:themeColor="text1"/>
                <w:lang w:val="zh-CN" w:eastAsia="zh-CN"/>
                <w14:textFill>
                  <w14:solidFill>
                    <w14:schemeClr w14:val="tx1"/>
                  </w14:solidFill>
                </w14:textFill>
              </w:rPr>
              <w:t>：</w:t>
            </w:r>
            <w:r>
              <w:rPr>
                <w:rFonts w:hint="eastAsia" w:ascii="Times New Roman" w:hAnsi="Times New Roman" w:cs="Times New Roman"/>
                <w:color w:val="000000" w:themeColor="text1"/>
                <w:lang w:val="zh-CN"/>
                <w14:textFill>
                  <w14:solidFill>
                    <w14:schemeClr w14:val="tx1"/>
                  </w14:solidFill>
                </w14:textFill>
              </w:rPr>
              <w:t>为</w:t>
            </w:r>
            <w:r>
              <w:rPr>
                <w:rFonts w:hint="eastAsia" w:ascii="Times New Roman" w:hAnsi="Times New Roman" w:cs="Times New Roman"/>
                <w:color w:val="000000" w:themeColor="text1"/>
                <w:lang w:val="en-US" w:eastAsia="zh-CN"/>
                <w14:textFill>
                  <w14:solidFill>
                    <w14:schemeClr w14:val="tx1"/>
                  </w14:solidFill>
                </w14:textFill>
              </w:rPr>
              <w:t>制造业。</w:t>
            </w:r>
          </w:p>
          <w:p w14:paraId="47C6F8BE">
            <w:pPr>
              <w:widowControl/>
              <w:jc w:val="left"/>
              <w:rPr>
                <w:rFonts w:hint="eastAsia" w:ascii="Times New Roman" w:hAnsi="Times New Roman" w:cs="Times New Roman"/>
                <w:color w:val="000000" w:themeColor="text1"/>
                <w:lang w:val="zh-CN"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4、履约保证金：无。</w:t>
            </w:r>
          </w:p>
        </w:tc>
      </w:tr>
      <w:tr w14:paraId="4B76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center"/>
          </w:tcPr>
          <w:p w14:paraId="603F7A4D">
            <w:pPr>
              <w:autoSpaceDE w:val="0"/>
              <w:autoSpaceDN w:val="0"/>
              <w:adjustRightInd w:val="0"/>
              <w:spacing w:line="360" w:lineRule="auto"/>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lang w:val="zh-CN"/>
                <w14:textFill>
                  <w14:solidFill>
                    <w14:schemeClr w14:val="tx1"/>
                  </w14:solidFill>
                </w14:textFill>
              </w:rPr>
              <w:t>采购人联系</w:t>
            </w:r>
            <w:r>
              <w:rPr>
                <w:rFonts w:ascii="Times New Roman" w:hAnsi="Times New Roman" w:cs="Times New Roman"/>
                <w:color w:val="000000" w:themeColor="text1"/>
                <w:kern w:val="0"/>
                <w14:textFill>
                  <w14:solidFill>
                    <w14:schemeClr w14:val="tx1"/>
                  </w14:solidFill>
                </w14:textFill>
              </w:rPr>
              <w:t>人</w:t>
            </w:r>
          </w:p>
        </w:tc>
        <w:tc>
          <w:tcPr>
            <w:tcW w:w="7443" w:type="dxa"/>
            <w:vAlign w:val="center"/>
          </w:tcPr>
          <w:p w14:paraId="7AEF0375">
            <w:pPr>
              <w:widowControl/>
              <w:jc w:val="left"/>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zh-CN" w:eastAsia="zh-CN"/>
                <w14:textFill>
                  <w14:solidFill>
                    <w14:schemeClr w14:val="tx1"/>
                  </w14:solidFill>
                </w14:textFill>
              </w:rPr>
              <w:t>联系人：</w:t>
            </w:r>
            <w:r>
              <w:rPr>
                <w:rFonts w:hint="eastAsia" w:ascii="Times New Roman" w:hAnsi="Times New Roman" w:cs="Times New Roman"/>
                <w:color w:val="000000" w:themeColor="text1"/>
                <w:lang w:val="en-US" w:eastAsia="zh-CN"/>
                <w14:textFill>
                  <w14:solidFill>
                    <w14:schemeClr w14:val="tx1"/>
                  </w14:solidFill>
                </w14:textFill>
              </w:rPr>
              <w:t xml:space="preserve">丹增先生   </w:t>
            </w:r>
            <w:r>
              <w:rPr>
                <w:rFonts w:hint="eastAsia" w:ascii="Times New Roman" w:hAnsi="Times New Roman" w:cs="Times New Roman"/>
                <w:color w:val="000000" w:themeColor="text1"/>
                <w:lang w:val="zh-CN" w:eastAsia="zh-CN"/>
                <w14:textFill>
                  <w14:solidFill>
                    <w14:schemeClr w14:val="tx1"/>
                  </w14:solidFill>
                </w14:textFill>
              </w:rPr>
              <w:t>联系电话：</w:t>
            </w:r>
            <w:r>
              <w:rPr>
                <w:rFonts w:hint="eastAsia" w:ascii="Times New Roman" w:hAnsi="Times New Roman" w:cs="Times New Roman"/>
                <w:color w:val="000000" w:themeColor="text1"/>
                <w:lang w:val="en-US" w:eastAsia="zh-CN"/>
                <w14:textFill>
                  <w14:solidFill>
                    <w14:schemeClr w14:val="tx1"/>
                  </w14:solidFill>
                </w14:textFill>
              </w:rPr>
              <w:t>13909740033</w:t>
            </w:r>
          </w:p>
          <w:p w14:paraId="4883D230">
            <w:pPr>
              <w:autoSpaceDE w:val="0"/>
              <w:autoSpaceDN w:val="0"/>
              <w:adjustRightInd w:val="0"/>
              <w:spacing w:line="360" w:lineRule="auto"/>
              <w:rPr>
                <w:rFonts w:hint="eastAsia" w:ascii="Times New Roman" w:hAnsi="Times New Roman" w:cs="Times New Roman" w:eastAsiaTheme="minorEastAsia"/>
                <w:color w:val="000000" w:themeColor="text1"/>
                <w:kern w:val="0"/>
                <w:lang w:eastAsia="zh-CN"/>
                <w14:textFill>
                  <w14:solidFill>
                    <w14:schemeClr w14:val="tx1"/>
                  </w14:solidFill>
                </w14:textFill>
              </w:rPr>
            </w:pPr>
            <w:r>
              <w:rPr>
                <w:rFonts w:ascii="Times New Roman" w:hAnsi="Times New Roman" w:cs="Times New Roman"/>
                <w:color w:val="000000" w:themeColor="text1"/>
                <w:kern w:val="0"/>
                <w:lang w:val="zh-CN"/>
                <w14:textFill>
                  <w14:solidFill>
                    <w14:schemeClr w14:val="tx1"/>
                  </w14:solidFill>
                </w14:textFill>
              </w:rPr>
              <w:t>联系地址：</w:t>
            </w:r>
            <w:r>
              <w:rPr>
                <w:rFonts w:hint="eastAsia" w:ascii="Times New Roman" w:hAnsi="Times New Roman" w:cs="Times New Roman"/>
                <w:color w:val="000000" w:themeColor="text1"/>
                <w:kern w:val="0"/>
                <w:lang w:eastAsia="zh-CN"/>
                <w14:textFill>
                  <w14:solidFill>
                    <w14:schemeClr w14:val="tx1"/>
                  </w14:solidFill>
                </w14:textFill>
              </w:rPr>
              <w:t>海南州人民医院</w:t>
            </w:r>
          </w:p>
        </w:tc>
      </w:tr>
      <w:tr w14:paraId="1016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center"/>
          </w:tcPr>
          <w:p w14:paraId="1F3527AA">
            <w:pPr>
              <w:autoSpaceDE w:val="0"/>
              <w:autoSpaceDN w:val="0"/>
              <w:adjustRightInd w:val="0"/>
              <w:spacing w:line="360" w:lineRule="auto"/>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lang w:val="zh-CN"/>
                <w14:textFill>
                  <w14:solidFill>
                    <w14:schemeClr w14:val="tx1"/>
                  </w14:solidFill>
                </w14:textFill>
              </w:rPr>
              <w:t>集中采购机构联系人</w:t>
            </w:r>
          </w:p>
        </w:tc>
        <w:tc>
          <w:tcPr>
            <w:tcW w:w="7443" w:type="dxa"/>
            <w:vAlign w:val="center"/>
          </w:tcPr>
          <w:p w14:paraId="382E8F36">
            <w:pPr>
              <w:pStyle w:val="8"/>
              <w:spacing w:line="360" w:lineRule="auto"/>
              <w:jc w:val="both"/>
              <w:rPr>
                <w:rFonts w:ascii="Times New Roman" w:hAnsi="Times New Roman" w:cs="Times New Roman"/>
                <w:color w:val="000000" w:themeColor="text1"/>
                <w:kern w:val="0"/>
                <w:lang w:val="zh-CN"/>
                <w14:textFill>
                  <w14:solidFill>
                    <w14:schemeClr w14:val="tx1"/>
                  </w14:solidFill>
                </w14:textFill>
              </w:rPr>
            </w:pPr>
            <w:r>
              <w:rPr>
                <w:rFonts w:ascii="Times New Roman" w:hAnsi="Times New Roman" w:cs="Times New Roman"/>
                <w:color w:val="000000" w:themeColor="text1"/>
                <w:kern w:val="0"/>
                <w:lang w:val="zh-CN"/>
                <w14:textFill>
                  <w14:solidFill>
                    <w14:schemeClr w14:val="tx1"/>
                  </w14:solidFill>
                </w14:textFill>
              </w:rPr>
              <w:t>联系人：</w:t>
            </w:r>
            <w:r>
              <w:rPr>
                <w:rFonts w:hint="eastAsia" w:ascii="Times New Roman" w:hAnsi="Times New Roman" w:cs="Times New Roman"/>
                <w:color w:val="000000" w:themeColor="text1"/>
                <w:kern w:val="0"/>
                <w:u w:val="dashDotHeavy"/>
                <w14:textFill>
                  <w14:solidFill>
                    <w14:schemeClr w14:val="tx1"/>
                  </w14:solidFill>
                </w14:textFill>
              </w:rPr>
              <w:t>才</w:t>
            </w:r>
            <w:r>
              <w:rPr>
                <w:rFonts w:ascii="Times New Roman" w:hAnsi="Times New Roman" w:cs="Times New Roman"/>
                <w:color w:val="000000" w:themeColor="text1"/>
                <w:kern w:val="0"/>
                <w:u w:val="dashDotHeavy"/>
                <w14:textFill>
                  <w14:solidFill>
                    <w14:schemeClr w14:val="tx1"/>
                  </w14:solidFill>
                </w14:textFill>
              </w:rPr>
              <w:t xml:space="preserve">女士   </w:t>
            </w:r>
            <w:r>
              <w:rPr>
                <w:rFonts w:ascii="Times New Roman" w:hAnsi="Times New Roman" w:cs="Times New Roman"/>
                <w:color w:val="000000" w:themeColor="text1"/>
                <w:kern w:val="0"/>
                <w14:textFill>
                  <w14:solidFill>
                    <w14:schemeClr w14:val="tx1"/>
                  </w14:solidFill>
                </w14:textFill>
              </w:rPr>
              <w:t xml:space="preserve">    电话</w:t>
            </w:r>
            <w:r>
              <w:rPr>
                <w:rFonts w:ascii="Times New Roman" w:hAnsi="Times New Roman" w:cs="Times New Roman"/>
                <w:color w:val="000000" w:themeColor="text1"/>
                <w:kern w:val="0"/>
                <w:lang w:val="zh-CN"/>
                <w14:textFill>
                  <w14:solidFill>
                    <w14:schemeClr w14:val="tx1"/>
                  </w14:solidFill>
                </w14:textFill>
              </w:rPr>
              <w:t>：</w:t>
            </w:r>
            <w:r>
              <w:rPr>
                <w:rFonts w:ascii="Times New Roman" w:hAnsi="Times New Roman" w:cs="Times New Roman"/>
                <w:color w:val="000000" w:themeColor="text1"/>
                <w:kern w:val="0"/>
                <w:u w:val="dashDotHeavy"/>
                <w14:textFill>
                  <w14:solidFill>
                    <w14:schemeClr w14:val="tx1"/>
                  </w14:solidFill>
                </w14:textFill>
              </w:rPr>
              <w:t>0974-7553334</w:t>
            </w:r>
            <w:r>
              <w:rPr>
                <w:rFonts w:ascii="Times New Roman" w:hAnsi="Times New Roman" w:cs="Times New Roman"/>
                <w:color w:val="000000" w:themeColor="text1"/>
                <w:kern w:val="0"/>
                <w:lang w:val="zh-CN"/>
                <w14:textFill>
                  <w14:solidFill>
                    <w14:schemeClr w14:val="tx1"/>
                  </w14:solidFill>
                </w14:textFill>
              </w:rPr>
              <w:t>，</w:t>
            </w:r>
          </w:p>
          <w:p w14:paraId="095CBF79">
            <w:pPr>
              <w:pStyle w:val="8"/>
              <w:spacing w:line="360" w:lineRule="auto"/>
              <w:jc w:val="both"/>
              <w:rPr>
                <w:rFonts w:ascii="Times New Roman" w:hAnsi="Times New Roman" w:cs="Times New Roman"/>
                <w:color w:val="000000" w:themeColor="text1"/>
                <w:kern w:val="16"/>
                <w14:textFill>
                  <w14:solidFill>
                    <w14:schemeClr w14:val="tx1"/>
                  </w14:solidFill>
                </w14:textFill>
              </w:rPr>
            </w:pPr>
            <w:r>
              <w:rPr>
                <w:rFonts w:ascii="Times New Roman" w:hAnsi="Times New Roman" w:cs="Times New Roman"/>
                <w:color w:val="000000" w:themeColor="text1"/>
                <w:kern w:val="0"/>
                <w:lang w:val="zh-CN"/>
                <w14:textFill>
                  <w14:solidFill>
                    <w14:schemeClr w14:val="tx1"/>
                  </w14:solidFill>
                </w14:textFill>
              </w:rPr>
              <w:t>联系地址：</w:t>
            </w:r>
            <w:r>
              <w:rPr>
                <w:rFonts w:hint="eastAsia" w:ascii="Times New Roman" w:hAnsi="Times New Roman" w:cs="Times New Roman"/>
                <w:color w:val="000000" w:themeColor="text1"/>
                <w:lang w:eastAsia="zh-CN"/>
                <w14:textFill>
                  <w14:solidFill>
                    <w14:schemeClr w14:val="tx1"/>
                  </w14:solidFill>
                </w14:textFill>
              </w:rPr>
              <w:t>海南州政府采购服务中心</w:t>
            </w:r>
            <w:r>
              <w:rPr>
                <w:rFonts w:ascii="Times New Roman" w:hAnsi="Times New Roman" w:cs="Times New Roman"/>
                <w:color w:val="000000" w:themeColor="text1"/>
                <w14:textFill>
                  <w14:solidFill>
                    <w14:schemeClr w14:val="tx1"/>
                  </w14:solidFill>
                </w14:textFill>
              </w:rPr>
              <w:t>（海南州共和县城北新区和谐路12号海南州公共资源交易有限责任公司5楼509）</w:t>
            </w:r>
          </w:p>
        </w:tc>
      </w:tr>
      <w:tr w14:paraId="0564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vAlign w:val="center"/>
          </w:tcPr>
          <w:p w14:paraId="3A262455">
            <w:pPr>
              <w:rPr>
                <w:rFonts w:hint="default"/>
                <w:highlight w:val="none"/>
                <w:lang w:val="en-US" w:eastAsia="zh-CN"/>
              </w:rPr>
            </w:pPr>
            <w:r>
              <w:rPr>
                <w:rFonts w:hint="eastAsia"/>
                <w:highlight w:val="none"/>
                <w:lang w:val="en-US" w:eastAsia="zh-CN"/>
              </w:rPr>
              <w:t>服务期/交货期</w:t>
            </w:r>
          </w:p>
        </w:tc>
        <w:tc>
          <w:tcPr>
            <w:tcW w:w="7443" w:type="dxa"/>
          </w:tcPr>
          <w:p w14:paraId="2B8A3065">
            <w:pPr>
              <w:rPr>
                <w:rFonts w:hint="eastAsia"/>
                <w:highlight w:val="none"/>
                <w:lang w:val="en-US" w:eastAsia="zh-CN"/>
              </w:rPr>
            </w:pPr>
            <w:r>
              <w:rPr>
                <w:rFonts w:hint="eastAsia"/>
                <w:highlight w:val="none"/>
                <w:lang w:val="en-US" w:eastAsia="zh-CN"/>
              </w:rPr>
              <w:t>包一服务期：该项目服务期三年（签订合同后3个月内完成软件开发上线使用）</w:t>
            </w:r>
          </w:p>
          <w:p w14:paraId="25A0B68A">
            <w:pPr>
              <w:rPr>
                <w:rFonts w:hint="default"/>
                <w:highlight w:val="none"/>
                <w:lang w:val="en-US" w:eastAsia="zh-CN"/>
              </w:rPr>
            </w:pPr>
            <w:r>
              <w:rPr>
                <w:rFonts w:hint="eastAsia"/>
                <w:highlight w:val="none"/>
                <w:lang w:val="en-US" w:eastAsia="zh-CN"/>
              </w:rPr>
              <w:t>包二交货期：签订合同后3个月内</w:t>
            </w:r>
          </w:p>
        </w:tc>
      </w:tr>
      <w:tr w14:paraId="13F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vAlign w:val="center"/>
          </w:tcPr>
          <w:p w14:paraId="0FD53718">
            <w:pPr>
              <w:rPr>
                <w:rFonts w:hint="default"/>
                <w:highlight w:val="none"/>
                <w:lang w:val="en-US" w:eastAsia="zh-CN"/>
              </w:rPr>
            </w:pPr>
            <w:r>
              <w:rPr>
                <w:rFonts w:hint="eastAsia"/>
                <w:highlight w:val="none"/>
                <w:lang w:val="en-US" w:eastAsia="zh-CN"/>
              </w:rPr>
              <w:t>软件维护期/硬件质保期</w:t>
            </w:r>
          </w:p>
        </w:tc>
        <w:tc>
          <w:tcPr>
            <w:tcW w:w="7443" w:type="dxa"/>
          </w:tcPr>
          <w:p w14:paraId="15470346">
            <w:pPr>
              <w:rPr>
                <w:rFonts w:hint="default"/>
                <w:highlight w:val="none"/>
                <w:lang w:val="en-US" w:eastAsia="zh-CN"/>
              </w:rPr>
            </w:pPr>
            <w:r>
              <w:rPr>
                <w:rFonts w:hint="eastAsia"/>
                <w:highlight w:val="none"/>
                <w:lang w:val="en-US" w:eastAsia="zh-CN"/>
              </w:rPr>
              <w:t>包一：免费运营维护3年</w:t>
            </w:r>
          </w:p>
          <w:p w14:paraId="22C9F99A">
            <w:pPr>
              <w:rPr>
                <w:rFonts w:hint="default"/>
                <w:highlight w:val="none"/>
                <w:lang w:val="en-US" w:eastAsia="zh-CN"/>
              </w:rPr>
            </w:pPr>
            <w:r>
              <w:rPr>
                <w:rFonts w:hint="eastAsia"/>
                <w:highlight w:val="none"/>
                <w:lang w:val="en-US" w:eastAsia="zh-CN"/>
              </w:rPr>
              <w:t>包二：免费质保3年</w:t>
            </w:r>
            <w:bookmarkStart w:id="215" w:name="_GoBack"/>
            <w:bookmarkEnd w:id="215"/>
          </w:p>
        </w:tc>
      </w:tr>
      <w:tr w14:paraId="370A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center"/>
          </w:tcPr>
          <w:p w14:paraId="417CC95C">
            <w:pPr>
              <w:widowControl/>
              <w:spacing w:line="340" w:lineRule="exac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财政监管部门及电话</w:t>
            </w:r>
          </w:p>
        </w:tc>
        <w:tc>
          <w:tcPr>
            <w:tcW w:w="7443" w:type="dxa"/>
            <w:vAlign w:val="center"/>
          </w:tcPr>
          <w:p w14:paraId="0DA4A6A8">
            <w:pPr>
              <w:widowControl/>
              <w:spacing w:line="340" w:lineRule="exac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海南州财政局   联系电话：</w:t>
            </w:r>
            <w:r>
              <w:rPr>
                <w:rFonts w:ascii="Times New Roman" w:hAnsi="Times New Roman" w:cs="Times New Roman"/>
                <w:color w:val="000000" w:themeColor="text1"/>
                <w:kern w:val="0"/>
                <w:lang w:val="zh-CN"/>
                <w14:textFill>
                  <w14:solidFill>
                    <w14:schemeClr w14:val="tx1"/>
                  </w14:solidFill>
                </w14:textFill>
              </w:rPr>
              <w:t>0974-85</w:t>
            </w:r>
            <w:r>
              <w:rPr>
                <w:rFonts w:ascii="Times New Roman" w:hAnsi="Times New Roman" w:cs="Times New Roman"/>
                <w:color w:val="000000" w:themeColor="text1"/>
                <w:kern w:val="0"/>
                <w14:textFill>
                  <w14:solidFill>
                    <w14:schemeClr w14:val="tx1"/>
                  </w14:solidFill>
                </w14:textFill>
              </w:rPr>
              <w:t>20297</w:t>
            </w:r>
          </w:p>
        </w:tc>
      </w:tr>
    </w:tbl>
    <w:p w14:paraId="32F05E80">
      <w:pPr>
        <w:keepNext/>
        <w:keepLines/>
        <w:widowControl/>
        <w:snapToGrid w:val="0"/>
        <w:spacing w:line="400" w:lineRule="atLeast"/>
        <w:jc w:val="both"/>
        <w:outlineLvl w:val="0"/>
        <w:rPr>
          <w:rFonts w:ascii="宋体" w:hAnsi="宋体"/>
          <w:color w:val="000000" w:themeColor="text1"/>
          <w:sz w:val="18"/>
          <w:szCs w:val="18"/>
          <w14:textFill>
            <w14:solidFill>
              <w14:schemeClr w14:val="tx1"/>
            </w14:solidFill>
          </w14:textFill>
        </w:rPr>
      </w:pPr>
      <w:bookmarkStart w:id="3" w:name="_Toc376936727"/>
      <w:r>
        <w:rPr>
          <w:rFonts w:ascii="宋体" w:hAnsi="宋体"/>
          <w:color w:val="000000" w:themeColor="text1"/>
          <w:sz w:val="18"/>
          <w:szCs w:val="18"/>
          <w14:textFill>
            <w14:solidFill>
              <w14:schemeClr w14:val="tx1"/>
            </w14:solidFill>
          </w14:textFill>
        </w:rPr>
        <w:br w:type="page"/>
      </w:r>
    </w:p>
    <w:p w14:paraId="4878177D">
      <w:pPr>
        <w:keepNext/>
        <w:keepLines/>
        <w:widowControl/>
        <w:snapToGrid w:val="0"/>
        <w:spacing w:line="400" w:lineRule="atLeast"/>
        <w:jc w:val="center"/>
        <w:outlineLvl w:val="0"/>
        <w:rPr>
          <w:rFonts w:ascii="宋体"/>
          <w:b/>
          <w:color w:val="000000" w:themeColor="text1"/>
          <w:kern w:val="28"/>
          <w:sz w:val="36"/>
          <w:szCs w:val="20"/>
          <w14:textFill>
            <w14:solidFill>
              <w14:schemeClr w14:val="tx1"/>
            </w14:solidFill>
          </w14:textFill>
        </w:rPr>
      </w:pPr>
      <w:bookmarkStart w:id="4" w:name="_Toc67558556"/>
      <w:r>
        <w:rPr>
          <w:rFonts w:hint="eastAsia" w:ascii="宋体"/>
          <w:b/>
          <w:color w:val="000000" w:themeColor="text1"/>
          <w:kern w:val="28"/>
          <w:sz w:val="36"/>
          <w:szCs w:val="20"/>
          <w14:textFill>
            <w14:solidFill>
              <w14:schemeClr w14:val="tx1"/>
            </w14:solidFill>
          </w14:textFill>
        </w:rPr>
        <w:t>第二部分  投标人须知</w:t>
      </w:r>
      <w:bookmarkEnd w:id="3"/>
      <w:bookmarkEnd w:id="4"/>
      <w:bookmarkStart w:id="5" w:name="_Toc325725997"/>
    </w:p>
    <w:p w14:paraId="3BFD3A47">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6" w:name="_Toc67558557"/>
      <w:bookmarkStart w:id="7" w:name="_Toc376936728"/>
      <w:r>
        <w:rPr>
          <w:rFonts w:hint="eastAsia" w:ascii="宋体" w:hAnsi="宋体"/>
          <w:b/>
          <w:bCs/>
          <w:color w:val="000000" w:themeColor="text1"/>
          <w:kern w:val="0"/>
          <w:sz w:val="36"/>
          <w:szCs w:val="36"/>
          <w14:textFill>
            <w14:solidFill>
              <w14:schemeClr w14:val="tx1"/>
            </w14:solidFill>
          </w14:textFill>
        </w:rPr>
        <w:t>一、说  明</w:t>
      </w:r>
      <w:bookmarkEnd w:id="5"/>
      <w:bookmarkEnd w:id="6"/>
      <w:bookmarkEnd w:id="7"/>
    </w:p>
    <w:p w14:paraId="6056E5FF">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8" w:name="_Toc67558558"/>
      <w:bookmarkStart w:id="9" w:name="_Toc376936729"/>
      <w:bookmarkStart w:id="10" w:name="_Toc325725998"/>
      <w:r>
        <w:rPr>
          <w:rFonts w:hint="eastAsia" w:ascii="宋体" w:hAnsi="宋体"/>
          <w:b/>
          <w:bCs/>
          <w:color w:val="000000" w:themeColor="text1"/>
          <w:kern w:val="0"/>
          <w:sz w:val="27"/>
          <w:szCs w:val="27"/>
          <w14:textFill>
            <w14:solidFill>
              <w14:schemeClr w14:val="tx1"/>
            </w14:solidFill>
          </w14:textFill>
        </w:rPr>
        <w:t>1.适用范围</w:t>
      </w:r>
      <w:bookmarkEnd w:id="8"/>
      <w:bookmarkEnd w:id="9"/>
      <w:bookmarkEnd w:id="10"/>
    </w:p>
    <w:p w14:paraId="0EDA5BD9">
      <w:pPr>
        <w:tabs>
          <w:tab w:val="left" w:pos="840"/>
        </w:tabs>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1.1本次招标依据海南州财政局下达的采购计划，仅适用于本招标文件中所叙述的项目。</w:t>
      </w:r>
    </w:p>
    <w:p w14:paraId="7F2E482A">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11" w:name="_Toc376936730"/>
      <w:bookmarkStart w:id="12" w:name="_Toc67558559"/>
      <w:bookmarkStart w:id="13" w:name="_Toc325725999"/>
      <w:r>
        <w:rPr>
          <w:rFonts w:hint="eastAsia" w:ascii="宋体" w:hAnsi="宋体"/>
          <w:b/>
          <w:bCs/>
          <w:color w:val="000000" w:themeColor="text1"/>
          <w:kern w:val="0"/>
          <w:sz w:val="27"/>
          <w:szCs w:val="27"/>
          <w14:textFill>
            <w14:solidFill>
              <w14:schemeClr w14:val="tx1"/>
            </w14:solidFill>
          </w14:textFill>
        </w:rPr>
        <w:t>2.招标方式、合格的投标人</w:t>
      </w:r>
      <w:bookmarkEnd w:id="11"/>
      <w:bookmarkEnd w:id="12"/>
      <w:bookmarkEnd w:id="13"/>
    </w:p>
    <w:p w14:paraId="260CDEAF">
      <w:pPr>
        <w:tabs>
          <w:tab w:val="left" w:pos="840"/>
        </w:tabs>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2.1本次招标采取公开招标方式。</w:t>
      </w:r>
    </w:p>
    <w:p w14:paraId="7636E5C3">
      <w:pPr>
        <w:tabs>
          <w:tab w:val="left" w:pos="840"/>
        </w:tabs>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2.2合格的投标人：详见</w:t>
      </w:r>
      <w:r>
        <w:rPr>
          <w:rFonts w:hint="eastAsia"/>
          <w:color w:val="000000" w:themeColor="text1"/>
          <w14:textFill>
            <w14:solidFill>
              <w14:schemeClr w14:val="tx1"/>
            </w14:solidFill>
          </w14:textFill>
        </w:rPr>
        <w:t>第一部分投标人须知前附表</w:t>
      </w:r>
      <w:r>
        <w:rPr>
          <w:rFonts w:hint="eastAsia" w:ascii="宋体" w:hAnsi="宋体"/>
          <w:color w:val="000000" w:themeColor="text1"/>
          <w14:textFill>
            <w14:solidFill>
              <w14:schemeClr w14:val="tx1"/>
            </w14:solidFill>
          </w14:textFill>
        </w:rPr>
        <w:t>“</w:t>
      </w:r>
      <w:r>
        <w:rPr>
          <w:rFonts w:ascii="宋体" w:hAnsi="宋体" w:cs="宋体"/>
          <w:color w:val="000000" w:themeColor="text1"/>
          <w:kern w:val="0"/>
          <w14:textFill>
            <w14:solidFill>
              <w14:schemeClr w14:val="tx1"/>
            </w14:solidFill>
          </w14:textFill>
        </w:rPr>
        <w:t>供应商资格条件</w:t>
      </w:r>
      <w:r>
        <w:rPr>
          <w:rFonts w:hint="eastAsia" w:ascii="宋体" w:hAnsi="宋体"/>
          <w:color w:val="000000" w:themeColor="text1"/>
          <w14:textFill>
            <w14:solidFill>
              <w14:schemeClr w14:val="tx1"/>
            </w14:solidFill>
          </w14:textFill>
        </w:rPr>
        <w:t>”。</w:t>
      </w:r>
    </w:p>
    <w:p w14:paraId="69466413">
      <w:pPr>
        <w:tabs>
          <w:tab w:val="left" w:pos="840"/>
        </w:tabs>
        <w:ind w:firstLine="315" w:firstLineChars="150"/>
        <w:rPr>
          <w:rFonts w:ascii="宋体" w:hAnsi="宋体"/>
          <w:color w:val="000000" w:themeColor="text1"/>
          <w14:textFill>
            <w14:solidFill>
              <w14:schemeClr w14:val="tx1"/>
            </w14:solidFill>
          </w14:textFill>
        </w:rPr>
      </w:pPr>
    </w:p>
    <w:p w14:paraId="6EE3968C">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14" w:name="_Toc325726000"/>
      <w:bookmarkStart w:id="15" w:name="_Toc376936731"/>
      <w:bookmarkStart w:id="16" w:name="_Toc67558560"/>
      <w:r>
        <w:rPr>
          <w:rFonts w:hint="eastAsia" w:ascii="宋体" w:hAnsi="宋体"/>
          <w:b/>
          <w:bCs/>
          <w:color w:val="000000" w:themeColor="text1"/>
          <w:kern w:val="0"/>
          <w:sz w:val="27"/>
          <w:szCs w:val="27"/>
          <w14:textFill>
            <w14:solidFill>
              <w14:schemeClr w14:val="tx1"/>
            </w14:solidFill>
          </w14:textFill>
        </w:rPr>
        <w:t>3.投标费用</w:t>
      </w:r>
      <w:bookmarkEnd w:id="14"/>
      <w:bookmarkEnd w:id="15"/>
      <w:bookmarkEnd w:id="16"/>
    </w:p>
    <w:p w14:paraId="2EE65DE0">
      <w:pPr>
        <w:tabs>
          <w:tab w:val="left" w:pos="840"/>
        </w:tabs>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投标人应承担准备和参加本次投标有关的所有费用。集中采购机构对投标人发生的费用均不承担任何责任。</w:t>
      </w:r>
    </w:p>
    <w:p w14:paraId="687A251B">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17" w:name="_Toc67558561"/>
      <w:bookmarkStart w:id="18" w:name="_Toc325726001"/>
      <w:bookmarkStart w:id="19" w:name="_Toc376936732"/>
      <w:r>
        <w:rPr>
          <w:rFonts w:hint="eastAsia" w:ascii="宋体" w:hAnsi="宋体"/>
          <w:b/>
          <w:bCs/>
          <w:color w:val="000000" w:themeColor="text1"/>
          <w:kern w:val="0"/>
          <w:sz w:val="36"/>
          <w:szCs w:val="36"/>
          <w14:textFill>
            <w14:solidFill>
              <w14:schemeClr w14:val="tx1"/>
            </w14:solidFill>
          </w14:textFill>
        </w:rPr>
        <w:t>二、招标文件说明</w:t>
      </w:r>
      <w:bookmarkEnd w:id="17"/>
      <w:bookmarkEnd w:id="18"/>
      <w:bookmarkEnd w:id="19"/>
    </w:p>
    <w:p w14:paraId="1BD10125">
      <w:pPr>
        <w:widowControl/>
        <w:spacing w:before="100" w:beforeAutospacing="1" w:after="100" w:afterAutospacing="1"/>
        <w:jc w:val="left"/>
        <w:outlineLvl w:val="2"/>
        <w:rPr>
          <w:rFonts w:ascii="宋体" w:hAnsi="宋体"/>
          <w:b/>
          <w:bCs/>
          <w:color w:val="000000" w:themeColor="text1"/>
          <w:kern w:val="0"/>
          <w:sz w:val="27"/>
          <w:szCs w:val="27"/>
          <w14:textFill>
            <w14:solidFill>
              <w14:schemeClr w14:val="tx1"/>
            </w14:solidFill>
          </w14:textFill>
        </w:rPr>
      </w:pPr>
      <w:bookmarkStart w:id="20" w:name="_Toc325726002"/>
      <w:bookmarkStart w:id="21" w:name="_Toc67558562"/>
      <w:bookmarkStart w:id="22" w:name="_Toc376936733"/>
      <w:r>
        <w:rPr>
          <w:rFonts w:hint="eastAsia" w:ascii="宋体" w:hAnsi="宋体"/>
          <w:b/>
          <w:bCs/>
          <w:color w:val="000000" w:themeColor="text1"/>
          <w:kern w:val="0"/>
          <w:sz w:val="27"/>
          <w:szCs w:val="27"/>
          <w14:textFill>
            <w14:solidFill>
              <w14:schemeClr w14:val="tx1"/>
            </w14:solidFill>
          </w14:textFill>
        </w:rPr>
        <w:t>4.招标文件的构成</w:t>
      </w:r>
      <w:bookmarkEnd w:id="20"/>
      <w:bookmarkEnd w:id="21"/>
      <w:bookmarkEnd w:id="22"/>
    </w:p>
    <w:p w14:paraId="50E3BCF5">
      <w:pPr>
        <w:autoSpaceDE w:val="0"/>
        <w:autoSpaceDN w:val="0"/>
        <w:spacing w:line="360" w:lineRule="auto"/>
        <w:ind w:firstLine="315" w:firstLineChars="15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招标文件包括：</w:t>
      </w:r>
    </w:p>
    <w:p w14:paraId="0312B013">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（1）投标人须知前附表</w:t>
      </w:r>
    </w:p>
    <w:p w14:paraId="60269F9D">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（2）投标人须知</w:t>
      </w:r>
    </w:p>
    <w:p w14:paraId="4F412524">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（3）政府采购项目合同书范本</w:t>
      </w:r>
    </w:p>
    <w:p w14:paraId="327C00FA">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（4）投标文件格式（相关附件）</w:t>
      </w:r>
    </w:p>
    <w:p w14:paraId="5A47BDE9">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（5）采购项目要求及技术参数</w:t>
      </w:r>
    </w:p>
    <w:p w14:paraId="3E310091">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（6）采购过程中发生的澄清、变更和补充文件</w:t>
      </w:r>
    </w:p>
    <w:p w14:paraId="3AAE8026">
      <w:pPr>
        <w:autoSpaceDE w:val="0"/>
        <w:autoSpaceDN w:val="0"/>
        <w:spacing w:line="360" w:lineRule="auto"/>
        <w:ind w:firstLine="42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4.2 </w:t>
      </w:r>
      <w:r>
        <w:rPr>
          <w:rFonts w:hint="eastAsia" w:ascii="宋体" w:hAnsi="宋体" w:cs="宋体"/>
          <w:color w:val="000000" w:themeColor="text1"/>
          <w:kern w:val="0"/>
          <w14:textFill>
            <w14:solidFill>
              <w14:schemeClr w14:val="tx1"/>
            </w14:solidFill>
          </w14:textFill>
        </w:rPr>
        <w:t>投标人应当按照招标文件的要求编制投标文件。投标文件应当对招标文件提出的要求和条件作出明确响应。</w:t>
      </w:r>
    </w:p>
    <w:p w14:paraId="7A23C890">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（1）投标一览表</w:t>
      </w:r>
    </w:p>
    <w:p w14:paraId="64B12524">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（2）分项报价表</w:t>
      </w:r>
    </w:p>
    <w:p w14:paraId="38EB6C30">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Arial" w:hAnsi="Arial" w:cs="Arial"/>
          <w:color w:val="000000" w:themeColor="text1"/>
          <w:kern w:val="0"/>
          <w14:textFill>
            <w14:solidFill>
              <w14:schemeClr w14:val="tx1"/>
            </w14:solidFill>
          </w14:textFill>
        </w:rPr>
        <w:t>服务要求应答表</w:t>
      </w:r>
    </w:p>
    <w:p w14:paraId="3894462F">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（4）评分对照表（如有）</w:t>
      </w:r>
    </w:p>
    <w:p w14:paraId="3F749F55">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w:t>
      </w:r>
      <w:r>
        <w:rPr>
          <w:rFonts w:hint="eastAsia" w:ascii="Arial" w:hAnsi="Arial" w:cs="Arial"/>
          <w:color w:val="000000" w:themeColor="text1"/>
          <w:kern w:val="0"/>
          <w14:textFill>
            <w14:solidFill>
              <w14:schemeClr w14:val="tx1"/>
            </w14:solidFill>
          </w14:textFill>
        </w:rPr>
        <w:t>投标人应当按照招标文件的要求编制投标文件。投标文件应当对招标文件提出的要求和条件作出明确响应。</w:t>
      </w:r>
    </w:p>
    <w:p w14:paraId="35658CCB">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23" w:name="_Toc376936734"/>
      <w:bookmarkStart w:id="24" w:name="_Toc325726003"/>
      <w:bookmarkStart w:id="25" w:name="_Toc67558563"/>
      <w:r>
        <w:rPr>
          <w:rFonts w:hint="eastAsia" w:ascii="宋体" w:hAnsi="宋体"/>
          <w:b/>
          <w:bCs/>
          <w:color w:val="000000" w:themeColor="text1"/>
          <w:kern w:val="0"/>
          <w:sz w:val="27"/>
          <w:szCs w:val="27"/>
          <w14:textFill>
            <w14:solidFill>
              <w14:schemeClr w14:val="tx1"/>
            </w14:solidFill>
          </w14:textFill>
        </w:rPr>
        <w:t>5.招标文件的</w:t>
      </w:r>
      <w:bookmarkEnd w:id="23"/>
      <w:bookmarkEnd w:id="24"/>
      <w:r>
        <w:rPr>
          <w:rFonts w:hint="eastAsia" w:ascii="宋体" w:hAnsi="宋体"/>
          <w:b/>
          <w:bCs/>
          <w:color w:val="000000" w:themeColor="text1"/>
          <w:kern w:val="0"/>
          <w:sz w:val="27"/>
          <w:szCs w:val="27"/>
          <w14:textFill>
            <w14:solidFill>
              <w14:schemeClr w14:val="tx1"/>
            </w14:solidFill>
          </w14:textFill>
        </w:rPr>
        <w:t>质疑</w:t>
      </w:r>
      <w:bookmarkEnd w:id="25"/>
    </w:p>
    <w:p w14:paraId="389E05B9">
      <w:pPr>
        <w:ind w:firstLine="480"/>
        <w:rPr>
          <w:rFonts w:hint="eastAsia"/>
        </w:rPr>
      </w:pPr>
      <w:bookmarkStart w:id="26" w:name="_Toc67558564"/>
      <w:bookmarkStart w:id="27" w:name="_Toc325726004"/>
      <w:bookmarkStart w:id="28" w:name="_Toc376936735"/>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r>
        <w:rPr>
          <w:rFonts w:hint="eastAsia" w:ascii="宋体" w:hAnsi="宋体"/>
          <w:color w:val="000000"/>
        </w:rPr>
        <w:t>集中采购机构在收到投标人的书面质疑后7个工作日内</w:t>
      </w:r>
      <w:r>
        <w:rPr>
          <w:rFonts w:hint="eastAsia"/>
        </w:rPr>
        <w:t>予以答复，并将变更事宜</w:t>
      </w:r>
      <w:r>
        <w:rPr>
          <w:rFonts w:hint="eastAsia" w:ascii="宋体" w:hAnsi="宋体"/>
        </w:rPr>
        <w:t>在青海政府采购信息网上发布公告，</w:t>
      </w:r>
      <w:r>
        <w:rPr>
          <w:rFonts w:hint="eastAsia"/>
        </w:rPr>
        <w:t>告知本项目的所有潜在投标人。</w:t>
      </w:r>
    </w:p>
    <w:p w14:paraId="4B6A4BBE">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14:textFill>
            <w14:solidFill>
              <w14:schemeClr w14:val="tx1"/>
            </w14:solidFill>
          </w14:textFill>
        </w:rPr>
        <w:t>6.招标文件的修改</w:t>
      </w:r>
      <w:bookmarkEnd w:id="26"/>
      <w:bookmarkEnd w:id="27"/>
      <w:bookmarkEnd w:id="28"/>
    </w:p>
    <w:p w14:paraId="5173E33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 在投标截止期前，采购人、集中采购机构可以对招标文件进行必要的修改或者澄清。</w:t>
      </w:r>
    </w:p>
    <w:p w14:paraId="6AEE6F5E">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采购人、集中采购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47228FD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6.3 在投标截止时间前，采购人、集中采购机构可以视采购具体情况，延长投标截止时间和开标时间，并在招标文件中要求的投标截止时间和开标时间的3日前，将变更公告发布在青海省政府采购信息网上。</w:t>
      </w:r>
    </w:p>
    <w:p w14:paraId="3FF89FA6">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29" w:name="_Toc67558565"/>
      <w:bookmarkStart w:id="30" w:name="_Toc376936736"/>
      <w:bookmarkStart w:id="31" w:name="_Toc325726005"/>
      <w:r>
        <w:rPr>
          <w:rFonts w:hint="eastAsia" w:ascii="宋体" w:hAnsi="宋体"/>
          <w:b/>
          <w:bCs/>
          <w:color w:val="000000" w:themeColor="text1"/>
          <w:kern w:val="0"/>
          <w:sz w:val="36"/>
          <w:szCs w:val="36"/>
          <w14:textFill>
            <w14:solidFill>
              <w14:schemeClr w14:val="tx1"/>
            </w14:solidFill>
          </w14:textFill>
        </w:rPr>
        <w:t>三、投标文件的编制</w:t>
      </w:r>
      <w:bookmarkEnd w:id="29"/>
      <w:bookmarkEnd w:id="30"/>
      <w:bookmarkEnd w:id="31"/>
    </w:p>
    <w:p w14:paraId="63D7294E">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32" w:name="_Toc67558566"/>
      <w:bookmarkStart w:id="33" w:name="_Toc376936737"/>
      <w:bookmarkStart w:id="34" w:name="_Toc325726006"/>
      <w:r>
        <w:rPr>
          <w:rFonts w:hint="eastAsia" w:ascii="宋体" w:hAnsi="宋体"/>
          <w:b/>
          <w:bCs/>
          <w:color w:val="000000" w:themeColor="text1"/>
          <w:kern w:val="0"/>
          <w:sz w:val="27"/>
          <w:szCs w:val="27"/>
          <w14:textFill>
            <w14:solidFill>
              <w14:schemeClr w14:val="tx1"/>
            </w14:solidFill>
          </w14:textFill>
        </w:rPr>
        <w:t>7.投标文件的语言及度量衡单位</w:t>
      </w:r>
      <w:bookmarkEnd w:id="32"/>
      <w:bookmarkEnd w:id="33"/>
      <w:bookmarkEnd w:id="34"/>
    </w:p>
    <w:p w14:paraId="2A535B47">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7.1投标人提交的投标文件以及投标人与集中采购机构就此投标发生的所有来往函电均应使用简体中文。</w:t>
      </w:r>
      <w:r>
        <w:rPr>
          <w:rFonts w:hint="eastAsia" w:ascii="宋体" w:hAnsi="宋体" w:cs="宋体"/>
          <w:color w:val="000000" w:themeColor="text1"/>
          <w14:textFill>
            <w14:solidFill>
              <w14:schemeClr w14:val="tx1"/>
            </w14:solidFill>
          </w14:textFill>
        </w:rPr>
        <w:t>除签名、盖章、专用名称等特殊情形外，以中文汉语以外的文字表述的投标文件视同未提供。</w:t>
      </w:r>
    </w:p>
    <w:p w14:paraId="3E78AF7E">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 除招标文件中另有规定外，投标文件所使用的度量衡单位，均须采用国家法定计量单位。</w:t>
      </w:r>
    </w:p>
    <w:p w14:paraId="4F187056">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 附有外文资料的，须翻译成中文并加盖投标人公章，如果翻译的中文资料与外文资料存在差异和矛盾时，以中文资料为准。其准确性由投标人负责。</w:t>
      </w:r>
    </w:p>
    <w:p w14:paraId="7BC7C224">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35" w:name="_Toc67558567"/>
      <w:bookmarkStart w:id="36" w:name="_Toc376936738"/>
      <w:bookmarkStart w:id="37" w:name="_Toc325726007"/>
      <w:r>
        <w:rPr>
          <w:rFonts w:hint="eastAsia" w:ascii="宋体" w:hAnsi="宋体"/>
          <w:b/>
          <w:bCs/>
          <w:color w:val="000000" w:themeColor="text1"/>
          <w:kern w:val="0"/>
          <w:sz w:val="27"/>
          <w:szCs w:val="27"/>
          <w14:textFill>
            <w14:solidFill>
              <w14:schemeClr w14:val="tx1"/>
            </w14:solidFill>
          </w14:textFill>
        </w:rPr>
        <w:t>8.投标报价及币种</w:t>
      </w:r>
      <w:bookmarkEnd w:id="35"/>
      <w:bookmarkEnd w:id="36"/>
      <w:bookmarkEnd w:id="37"/>
    </w:p>
    <w:p w14:paraId="46820C7C">
      <w:pPr>
        <w:ind w:firstLine="480"/>
        <w:rPr>
          <w:rFonts w:hint="eastAsia" w:ascii="宋体" w:hAnsi="宋体"/>
        </w:rPr>
      </w:pPr>
      <w:r>
        <w:rPr>
          <w:rFonts w:hint="eastAsia" w:ascii="宋体" w:hAnsi="宋体"/>
          <w:color w:val="000000" w:themeColor="text1"/>
          <w14:textFill>
            <w14:solidFill>
              <w14:schemeClr w14:val="tx1"/>
            </w14:solidFill>
          </w14:textFill>
        </w:rPr>
        <w:t>8.l 投标总报价包括</w:t>
      </w:r>
      <w:r>
        <w:rPr>
          <w:rFonts w:hint="eastAsia" w:ascii="宋体" w:hAnsi="宋体"/>
          <w:color w:val="000000" w:themeColor="text1"/>
          <w:lang w:eastAsia="zh-CN"/>
          <w14:textFill>
            <w14:solidFill>
              <w14:schemeClr w14:val="tx1"/>
            </w14:solidFill>
          </w14:textFill>
        </w:rPr>
        <w:t>：</w:t>
      </w:r>
      <w:r>
        <w:t>产品费、服务费、软件开发费、技术支持费、培训费、检验费、手续费、保险费、安装调试费、税金及其他不可预见费等全部费用。</w:t>
      </w:r>
      <w:r>
        <w:rPr>
          <w:rFonts w:hint="eastAsia" w:ascii="宋体" w:hAnsi="宋体"/>
        </w:rPr>
        <w:t>投标人须按“投标报价一览表”格式填写投标总报价，不得出现两个或两个以上的报价方案。</w:t>
      </w:r>
    </w:p>
    <w:p w14:paraId="72FF4A7A">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投标人须按“投标报价一览表”格式填写投标总报价，不得出现两个或两个以上的报价方案。</w:t>
      </w:r>
    </w:p>
    <w:p w14:paraId="10B9D17F">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 投标函中应注明投标有效期。</w:t>
      </w:r>
    </w:p>
    <w:p w14:paraId="728EEF9F">
      <w:pPr>
        <w:ind w:firstLine="480"/>
        <w:rPr>
          <w:rFonts w:ascii="宋体" w:hAnsi="宋体" w:cs="宋体"/>
          <w:color w:val="000000" w:themeColor="text1"/>
          <w:kern w:val="0"/>
          <w:shd w:val="pct10" w:color="auto" w:fill="FFFFFF"/>
          <w14:textFill>
            <w14:solidFill>
              <w14:schemeClr w14:val="tx1"/>
            </w14:solidFill>
          </w14:textFill>
        </w:rPr>
      </w:pPr>
      <w:r>
        <w:rPr>
          <w:rFonts w:hint="eastAsia" w:ascii="宋体" w:hAnsi="宋体"/>
          <w:color w:val="000000" w:themeColor="text1"/>
          <w14:textFill>
            <w14:solidFill>
              <w14:schemeClr w14:val="tx1"/>
            </w14:solidFill>
          </w14:textFill>
        </w:rPr>
        <w:t>8.3 投标人应根据招标文件规定的格式完整填写所有内容，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14:paraId="17C7E992">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 投标报价为闭口价，即中标后在合同有效期内价格不变。</w:t>
      </w:r>
    </w:p>
    <w:p w14:paraId="5F621E0D">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8.5 投标币种为人民币。</w:t>
      </w:r>
    </w:p>
    <w:p w14:paraId="3E59250D">
      <w:pPr>
        <w:widowControl/>
        <w:spacing w:before="100" w:beforeAutospacing="1" w:after="100" w:afterAutospacing="1" w:line="240" w:lineRule="auto"/>
        <w:ind w:firstLine="542"/>
        <w:jc w:val="left"/>
        <w:outlineLvl w:val="2"/>
        <w:rPr>
          <w:rFonts w:hint="eastAsia" w:ascii="宋体" w:hAnsi="宋体" w:eastAsiaTheme="minorEastAsia"/>
          <w:b/>
          <w:bCs/>
          <w:kern w:val="0"/>
          <w:sz w:val="27"/>
          <w:szCs w:val="27"/>
          <w:lang w:eastAsia="zh-CN"/>
        </w:rPr>
      </w:pPr>
      <w:bookmarkStart w:id="38" w:name="_Toc82441591"/>
      <w:bookmarkStart w:id="39" w:name="_Toc107930249"/>
      <w:bookmarkStart w:id="40" w:name="_Toc137632962"/>
      <w:bookmarkStart w:id="41" w:name="_Toc376936743"/>
      <w:bookmarkStart w:id="42" w:name="_Toc67558568"/>
      <w:bookmarkStart w:id="43" w:name="_Toc325726012"/>
      <w:r>
        <w:rPr>
          <w:rFonts w:hint="eastAsia" w:ascii="宋体" w:hAnsi="宋体"/>
          <w:b/>
          <w:bCs/>
          <w:kern w:val="0"/>
          <w:sz w:val="27"/>
          <w:szCs w:val="27"/>
        </w:rPr>
        <w:t>9.</w:t>
      </w:r>
      <w:bookmarkEnd w:id="38"/>
      <w:r>
        <w:rPr>
          <w:rFonts w:hint="eastAsia" w:ascii="宋体" w:hAnsi="宋体"/>
          <w:b/>
          <w:bCs/>
          <w:kern w:val="0"/>
          <w:sz w:val="27"/>
          <w:szCs w:val="27"/>
        </w:rPr>
        <w:t xml:space="preserve"> 响应文件的编制原则</w:t>
      </w:r>
      <w:bookmarkEnd w:id="39"/>
      <w:bookmarkEnd w:id="40"/>
      <w:r>
        <w:rPr>
          <w:rFonts w:hint="eastAsia" w:ascii="宋体" w:hAnsi="宋体"/>
          <w:b/>
          <w:bCs/>
          <w:kern w:val="0"/>
          <w:sz w:val="27"/>
          <w:szCs w:val="27"/>
          <w:lang w:eastAsia="zh-CN"/>
        </w:rPr>
        <w:t>、</w:t>
      </w:r>
      <w:r>
        <w:rPr>
          <w:rFonts w:hint="eastAsia" w:ascii="宋体" w:hAnsi="宋体"/>
          <w:b/>
          <w:bCs/>
          <w:color w:val="000000" w:themeColor="text1"/>
          <w:kern w:val="0"/>
          <w:sz w:val="27"/>
          <w:szCs w:val="27"/>
          <w14:textFill>
            <w14:solidFill>
              <w14:schemeClr w14:val="tx1"/>
            </w14:solidFill>
          </w14:textFill>
        </w:rPr>
        <w:t>投标保证金</w:t>
      </w:r>
    </w:p>
    <w:p w14:paraId="121B12C5">
      <w:pPr>
        <w:ind w:firstLine="480"/>
        <w:rPr>
          <w:rFonts w:hint="eastAsia" w:ascii="宋体" w:hAnsi="宋体"/>
        </w:rPr>
      </w:pPr>
      <w:r>
        <w:rPr>
          <w:rFonts w:hint="eastAsia" w:ascii="宋体" w:hAnsi="宋体"/>
        </w:rPr>
        <w:t>9.1 供应商必须按照招标文件的要求编制投标文件。投标文件必须对招标文件提出的要求和条件作出明确响应。</w:t>
      </w:r>
    </w:p>
    <w:p w14:paraId="5C9905B6">
      <w:pPr>
        <w:ind w:firstLine="480"/>
        <w:rPr>
          <w:rFonts w:hint="eastAsia" w:ascii="宋体" w:hAnsi="宋体"/>
          <w:lang w:val="zh-CN"/>
        </w:rPr>
      </w:pPr>
      <w:r>
        <w:rPr>
          <w:rFonts w:hint="eastAsia" w:ascii="宋体" w:hAnsi="宋体"/>
        </w:rPr>
        <w:t xml:space="preserve">9.2 </w:t>
      </w:r>
      <w:r>
        <w:rPr>
          <w:rFonts w:hint="eastAsia" w:ascii="宋体" w:hAnsi="宋体"/>
          <w:lang w:val="zh-CN"/>
        </w:rPr>
        <w:t>投标人应对投标文件中所提供资料的真实性负责，若有虚假，将依法承担相应责任。投标人应自觉接受集中采购机构对其中任何资料进一步核实的要求。</w:t>
      </w:r>
    </w:p>
    <w:p w14:paraId="27450790">
      <w:pPr>
        <w:autoSpaceDE w:val="0"/>
        <w:autoSpaceDN w:val="0"/>
        <w:adjustRightInd w:val="0"/>
        <w:ind w:firstLine="480"/>
        <w:rPr>
          <w:rFonts w:hint="eastAsia" w:ascii="宋体" w:hAnsi="宋体" w:cs="宋体"/>
          <w:lang w:val="zh-CN"/>
        </w:rPr>
      </w:pPr>
      <w:r>
        <w:rPr>
          <w:rFonts w:hint="eastAsia" w:ascii="宋体" w:hAnsi="宋体"/>
        </w:rPr>
        <w:t xml:space="preserve">9.3 </w:t>
      </w:r>
      <w:r>
        <w:rPr>
          <w:rFonts w:hint="eastAsia" w:ascii="宋体" w:hAnsi="宋体"/>
          <w:lang w:val="zh-CN"/>
        </w:rPr>
        <w:t>因投标人投标文件填报的内容不详，或没有提供招标文件中所要求的全部资料及数据等，由此产生的后果及责任由投标人自行承担。</w:t>
      </w:r>
    </w:p>
    <w:bookmarkEnd w:id="41"/>
    <w:bookmarkEnd w:id="42"/>
    <w:bookmarkEnd w:id="43"/>
    <w:p w14:paraId="283D731F">
      <w:pPr>
        <w:autoSpaceDE w:val="0"/>
        <w:autoSpaceDN w:val="0"/>
        <w:adjustRightInd w:val="0"/>
        <w:ind w:firstLine="464" w:firstLineChars="221"/>
        <w:rPr>
          <w:rFonts w:ascii="宋体" w:hAnsi="宋体"/>
          <w:color w:val="000000" w:themeColor="text1"/>
          <w:szCs w:val="20"/>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9.</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lang w:val="zh-CN"/>
          <w14:textFill>
            <w14:solidFill>
              <w14:schemeClr w14:val="tx1"/>
            </w14:solidFill>
          </w14:textFill>
        </w:rPr>
        <w:t xml:space="preserve"> 投标人须在投标截止期前按采购预算额度的2%缴纳投标保证金（具体数额以招标文件中确定的数额为准）。本次采购活动中未中标且投标人未发生违规行为的，</w:t>
      </w:r>
      <w:r>
        <w:rPr>
          <w:rFonts w:hint="eastAsia" w:ascii="宋体" w:hAnsi="宋体"/>
          <w:color w:val="000000" w:themeColor="text1"/>
          <w:szCs w:val="20"/>
          <w14:textFill>
            <w14:solidFill>
              <w14:schemeClr w14:val="tx1"/>
            </w14:solidFill>
          </w14:textFill>
        </w:rPr>
        <w:t>由</w:t>
      </w:r>
      <w:r>
        <w:rPr>
          <w:rFonts w:hint="eastAsia" w:ascii="宋体" w:hAnsi="宋体" w:cs="宋体"/>
          <w:color w:val="000000" w:themeColor="text1"/>
          <w:lang w:val="zh-CN"/>
          <w14:textFill>
            <w14:solidFill>
              <w14:schemeClr w14:val="tx1"/>
            </w14:solidFill>
          </w14:textFill>
        </w:rPr>
        <w:t>集中采购机构在规定的时间内退还投标保证金；</w:t>
      </w:r>
      <w:r>
        <w:rPr>
          <w:rFonts w:hint="eastAsia" w:ascii="宋体" w:hAnsi="宋体"/>
          <w:color w:val="000000" w:themeColor="text1"/>
          <w:szCs w:val="20"/>
          <w14:textFill>
            <w14:solidFill>
              <w14:schemeClr w14:val="tx1"/>
            </w14:solidFill>
          </w14:textFill>
        </w:rPr>
        <w:t>中标供应商的</w:t>
      </w:r>
      <w:r>
        <w:rPr>
          <w:rFonts w:hint="eastAsia" w:ascii="宋体" w:hAnsi="宋体" w:cs="宋体"/>
          <w:color w:val="000000" w:themeColor="text1"/>
          <w:lang w:val="zh-CN"/>
          <w14:textFill>
            <w14:solidFill>
              <w14:schemeClr w14:val="tx1"/>
            </w14:solidFill>
          </w14:textFill>
        </w:rPr>
        <w:t>投标保证金自采购合同签订后</w:t>
      </w:r>
      <w:r>
        <w:rPr>
          <w:rFonts w:hint="eastAsia" w:ascii="宋体" w:hAnsi="宋体"/>
          <w:color w:val="000000" w:themeColor="text1"/>
          <w:szCs w:val="20"/>
          <w14:textFill>
            <w14:solidFill>
              <w14:schemeClr w14:val="tx1"/>
            </w14:solidFill>
          </w14:textFill>
        </w:rPr>
        <w:t>在规定的时间内予以退还。</w:t>
      </w:r>
    </w:p>
    <w:p w14:paraId="4F24F22F">
      <w:pPr>
        <w:autoSpaceDE w:val="0"/>
        <w:autoSpaceDN w:val="0"/>
        <w:adjustRightInd w:val="0"/>
        <w:ind w:firstLine="464" w:firstLineChars="221"/>
        <w:rPr>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9.</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缴费方式：投标保证金应当以转账、支票、汇票、本票或者金融机构、担保机构出具的保函等非现金形式提交。</w:t>
      </w:r>
    </w:p>
    <w:p w14:paraId="006D6EEF">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44" w:name="_Toc67558569"/>
      <w:bookmarkStart w:id="45" w:name="_Toc376936744"/>
      <w:bookmarkStart w:id="46" w:name="_Toc325726013"/>
      <w:r>
        <w:rPr>
          <w:rFonts w:hint="eastAsia" w:ascii="宋体" w:hAnsi="宋体"/>
          <w:b/>
          <w:bCs/>
          <w:color w:val="000000" w:themeColor="text1"/>
          <w:kern w:val="0"/>
          <w:sz w:val="27"/>
          <w:szCs w:val="27"/>
          <w:lang w:val="en-US" w:eastAsia="zh-CN"/>
          <w14:textFill>
            <w14:solidFill>
              <w14:schemeClr w14:val="tx1"/>
            </w14:solidFill>
          </w14:textFill>
        </w:rPr>
        <w:t>10</w:t>
      </w:r>
      <w:r>
        <w:rPr>
          <w:rFonts w:hint="eastAsia" w:ascii="宋体" w:hAnsi="宋体"/>
          <w:b/>
          <w:bCs/>
          <w:color w:val="000000" w:themeColor="text1"/>
          <w:kern w:val="0"/>
          <w:sz w:val="27"/>
          <w:szCs w:val="27"/>
          <w14:textFill>
            <w14:solidFill>
              <w14:schemeClr w14:val="tx1"/>
            </w14:solidFill>
          </w14:textFill>
        </w:rPr>
        <w:t>.投标有效期</w:t>
      </w:r>
      <w:bookmarkEnd w:id="44"/>
      <w:bookmarkEnd w:id="45"/>
      <w:bookmarkEnd w:id="46"/>
    </w:p>
    <w:p w14:paraId="28443EEC">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投标有效期为自开标之日起60天。</w:t>
      </w:r>
    </w:p>
    <w:p w14:paraId="26F8FEF4">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47" w:name="_Toc67558570"/>
      <w:bookmarkStart w:id="48" w:name="_Toc325726008"/>
      <w:bookmarkStart w:id="49" w:name="_Toc376936739"/>
      <w:r>
        <w:rPr>
          <w:rFonts w:hint="eastAsia" w:ascii="宋体" w:hAnsi="宋体"/>
          <w:b/>
          <w:bCs/>
          <w:color w:val="000000" w:themeColor="text1"/>
          <w:kern w:val="0"/>
          <w:sz w:val="27"/>
          <w:szCs w:val="27"/>
          <w:lang w:val="en-US" w:eastAsia="zh-CN"/>
          <w14:textFill>
            <w14:solidFill>
              <w14:schemeClr w14:val="tx1"/>
            </w14:solidFill>
          </w14:textFill>
        </w:rPr>
        <w:t>11</w:t>
      </w:r>
      <w:r>
        <w:rPr>
          <w:rFonts w:hint="eastAsia" w:ascii="宋体" w:hAnsi="宋体"/>
          <w:b/>
          <w:bCs/>
          <w:color w:val="000000" w:themeColor="text1"/>
          <w:kern w:val="0"/>
          <w:sz w:val="27"/>
          <w:szCs w:val="27"/>
          <w14:textFill>
            <w14:solidFill>
              <w14:schemeClr w14:val="tx1"/>
            </w14:solidFill>
          </w14:textFill>
        </w:rPr>
        <w:t>.投标文件构成</w:t>
      </w:r>
      <w:bookmarkEnd w:id="47"/>
      <w:bookmarkEnd w:id="48"/>
      <w:bookmarkEnd w:id="49"/>
    </w:p>
    <w:p w14:paraId="36CC5069">
      <w:pPr>
        <w:ind w:firstLine="480"/>
        <w:rPr>
          <w:rFonts w:ascii="宋体" w:hAnsi="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11.1</w:t>
      </w:r>
      <w:r>
        <w:rPr>
          <w:rFonts w:hint="eastAsia" w:ascii="宋体" w:hAnsi="宋体"/>
          <w:color w:val="000000" w:themeColor="text1"/>
          <w14:textFill>
            <w14:solidFill>
              <w14:schemeClr w14:val="tx1"/>
            </w14:solidFill>
          </w14:textFill>
        </w:rPr>
        <w:t>投标人应提交相关证明材料，作为其参加投标和中标后有能力履行合同的证明。编写的投标文件须包括以下内容（格式详见招标文件第四部分内容）：</w:t>
      </w:r>
    </w:p>
    <w:p w14:paraId="36122E72">
      <w:pPr>
        <w:ind w:left="2" w:firstLine="369" w:firstLineChars="17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11.1.1资格审查部分</w:t>
      </w:r>
    </w:p>
    <w:p w14:paraId="756003F8">
      <w:pPr>
        <w:ind w:left="2" w:firstLine="369" w:firstLineChars="176"/>
        <w:rPr>
          <w:rFonts w:hint="eastAsia" w:ascii="宋体" w:hAnsi="宋体"/>
        </w:rPr>
      </w:pPr>
      <w:r>
        <w:rPr>
          <w:rFonts w:hint="eastAsia" w:ascii="宋体" w:hAnsi="宋体"/>
        </w:rPr>
        <w:t>11.1.1资格审查部分</w:t>
      </w:r>
    </w:p>
    <w:p w14:paraId="58855A64">
      <w:pPr>
        <w:ind w:left="2" w:firstLine="369" w:firstLineChars="176"/>
        <w:rPr>
          <w:rFonts w:hint="eastAsia" w:ascii="宋体" w:hAnsi="宋体"/>
        </w:rPr>
      </w:pPr>
      <w:r>
        <w:rPr>
          <w:rFonts w:hint="eastAsia" w:ascii="宋体" w:hAnsi="宋体"/>
        </w:rPr>
        <w:t>（1）投标函</w:t>
      </w:r>
    </w:p>
    <w:p w14:paraId="62F36ACB">
      <w:pPr>
        <w:ind w:left="2" w:firstLine="369" w:firstLineChars="176"/>
        <w:rPr>
          <w:rFonts w:hint="eastAsia" w:ascii="宋体" w:hAnsi="宋体"/>
        </w:rPr>
      </w:pPr>
      <w:r>
        <w:rPr>
          <w:rFonts w:hint="eastAsia" w:ascii="宋体" w:hAnsi="宋体"/>
        </w:rPr>
        <w:t>（2）法定代表人证明书</w:t>
      </w:r>
    </w:p>
    <w:p w14:paraId="54402674">
      <w:pPr>
        <w:ind w:left="2" w:firstLine="369" w:firstLineChars="176"/>
        <w:rPr>
          <w:rFonts w:hint="eastAsia" w:ascii="宋体" w:hAnsi="宋体"/>
        </w:rPr>
      </w:pPr>
      <w:r>
        <w:rPr>
          <w:rFonts w:hint="eastAsia" w:ascii="宋体" w:hAnsi="宋体"/>
        </w:rPr>
        <w:t>（3）法定代表人授权书</w:t>
      </w:r>
    </w:p>
    <w:p w14:paraId="2FC61735">
      <w:pPr>
        <w:ind w:left="2" w:firstLine="369" w:firstLineChars="176"/>
        <w:rPr>
          <w:rFonts w:hint="eastAsia" w:ascii="宋体" w:hAnsi="宋体"/>
        </w:rPr>
      </w:pPr>
      <w:r>
        <w:rPr>
          <w:rFonts w:hint="eastAsia" w:ascii="宋体" w:hAnsi="宋体"/>
        </w:rPr>
        <w:t>（4）投标人承诺函</w:t>
      </w:r>
    </w:p>
    <w:p w14:paraId="57886F2B">
      <w:pPr>
        <w:ind w:left="2" w:firstLine="369" w:firstLineChars="176"/>
        <w:rPr>
          <w:rFonts w:hint="eastAsia" w:ascii="宋体" w:hAnsi="宋体"/>
        </w:rPr>
      </w:pPr>
      <w:r>
        <w:rPr>
          <w:rFonts w:hint="eastAsia" w:ascii="宋体" w:hAnsi="宋体"/>
        </w:rPr>
        <w:t>（5）供应商诚信承诺书</w:t>
      </w:r>
    </w:p>
    <w:p w14:paraId="41E087FC">
      <w:pPr>
        <w:ind w:left="2" w:firstLine="369" w:firstLineChars="176"/>
        <w:rPr>
          <w:rFonts w:hint="eastAsia" w:ascii="宋体" w:hAnsi="宋体"/>
        </w:rPr>
      </w:pPr>
      <w:r>
        <w:rPr>
          <w:rFonts w:hint="eastAsia" w:ascii="宋体" w:hAnsi="宋体"/>
        </w:rPr>
        <w:t>（6）投标人资格证明文件</w:t>
      </w:r>
    </w:p>
    <w:p w14:paraId="532A4A9D">
      <w:pPr>
        <w:ind w:left="2" w:firstLine="369" w:firstLineChars="176"/>
        <w:rPr>
          <w:rFonts w:hint="eastAsia" w:ascii="宋体" w:hAnsi="宋体"/>
        </w:rPr>
      </w:pPr>
      <w:r>
        <w:rPr>
          <w:rFonts w:hint="eastAsia" w:ascii="宋体" w:hAnsi="宋体"/>
        </w:rPr>
        <w:t>（7）财务状况、缴纳税收和社会保障资金证明</w:t>
      </w:r>
    </w:p>
    <w:p w14:paraId="10AD0287">
      <w:pPr>
        <w:ind w:left="2" w:firstLine="369" w:firstLineChars="176"/>
        <w:rPr>
          <w:rFonts w:hint="eastAsia" w:ascii="宋体" w:hAnsi="宋体"/>
        </w:rPr>
      </w:pPr>
      <w:r>
        <w:rPr>
          <w:rFonts w:hint="eastAsia" w:ascii="宋体" w:hAnsi="宋体"/>
        </w:rPr>
        <w:t>（8）无重大违法记录声明</w:t>
      </w:r>
    </w:p>
    <w:p w14:paraId="7EABEE15">
      <w:pPr>
        <w:ind w:left="2" w:firstLine="369" w:firstLineChars="176"/>
        <w:rPr>
          <w:rFonts w:hint="eastAsia" w:ascii="宋体" w:hAnsi="宋体"/>
        </w:rPr>
      </w:pPr>
      <w:r>
        <w:rPr>
          <w:rFonts w:hint="eastAsia" w:ascii="宋体" w:hAnsi="宋体"/>
          <w:lang w:eastAsia="zh-CN"/>
        </w:rPr>
        <w:t>（</w:t>
      </w:r>
      <w:r>
        <w:rPr>
          <w:rFonts w:hint="eastAsia" w:ascii="宋体" w:hAnsi="宋体"/>
          <w:lang w:val="en-US" w:eastAsia="zh-CN"/>
        </w:rPr>
        <w:t>9</w:t>
      </w:r>
      <w:r>
        <w:rPr>
          <w:rFonts w:hint="eastAsia" w:ascii="宋体" w:hAnsi="宋体"/>
          <w:lang w:eastAsia="zh-CN"/>
        </w:rPr>
        <w:t>）</w:t>
      </w:r>
      <w:r>
        <w:rPr>
          <w:rFonts w:hint="eastAsia" w:ascii="宋体" w:hAnsi="宋体"/>
        </w:rPr>
        <w:t>中小企业声明函</w:t>
      </w:r>
    </w:p>
    <w:p w14:paraId="51EF18C3">
      <w:pPr>
        <w:ind w:left="2" w:firstLine="369" w:firstLineChars="176"/>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）残疾人福利性单位声明函</w:t>
      </w:r>
    </w:p>
    <w:p w14:paraId="4DB99B9C">
      <w:pPr>
        <w:ind w:left="2" w:firstLine="369" w:firstLineChars="176"/>
        <w:rPr>
          <w:rFonts w:hint="default" w:ascii="宋体" w:hAnsi="宋体"/>
          <w:lang w:val="en-US" w:eastAsia="zh-CN"/>
        </w:rPr>
      </w:pPr>
      <w:r>
        <w:rPr>
          <w:rFonts w:hint="eastAsia" w:ascii="宋体" w:hAnsi="宋体"/>
          <w:lang w:val="en-US" w:eastAsia="zh-CN"/>
        </w:rPr>
        <w:t>（11）保证金缴纳证明</w:t>
      </w:r>
    </w:p>
    <w:p w14:paraId="702AA79E">
      <w:pPr>
        <w:ind w:left="2" w:firstLine="369" w:firstLineChars="176"/>
        <w:rPr>
          <w:rFonts w:hint="eastAsia" w:ascii="宋体" w:hAnsi="宋体"/>
        </w:rPr>
      </w:pPr>
      <w:r>
        <w:rPr>
          <w:rFonts w:hint="eastAsia" w:ascii="宋体" w:hAnsi="宋体"/>
        </w:rPr>
        <w:t>11.1.2符合性审查部分</w:t>
      </w:r>
    </w:p>
    <w:p w14:paraId="4C6EAB45">
      <w:pPr>
        <w:ind w:left="2" w:firstLine="369" w:firstLineChars="176"/>
        <w:rPr>
          <w:rFonts w:hint="eastAsia" w:ascii="宋体" w:hAnsi="宋体"/>
        </w:rPr>
      </w:pPr>
      <w:r>
        <w:rPr>
          <w:rFonts w:hint="eastAsia" w:ascii="宋体" w:hAnsi="宋体"/>
        </w:rPr>
        <w:t>（</w:t>
      </w:r>
      <w:r>
        <w:rPr>
          <w:rFonts w:hint="eastAsia" w:ascii="宋体" w:hAnsi="宋体"/>
          <w:lang w:val="en-US" w:eastAsia="zh-CN"/>
        </w:rPr>
        <w:t>12</w:t>
      </w:r>
      <w:r>
        <w:rPr>
          <w:rFonts w:hint="eastAsia" w:ascii="宋体" w:hAnsi="宋体"/>
        </w:rPr>
        <w:t>）报价一览表</w:t>
      </w:r>
    </w:p>
    <w:p w14:paraId="6A99D30D">
      <w:pPr>
        <w:ind w:left="2" w:firstLine="369" w:firstLineChars="176"/>
        <w:rPr>
          <w:rFonts w:hint="eastAsia" w:ascii="宋体" w:hAnsi="宋体"/>
        </w:rPr>
      </w:pPr>
      <w:r>
        <w:rPr>
          <w:rFonts w:hint="eastAsia" w:ascii="宋体" w:hAnsi="宋体"/>
        </w:rPr>
        <w:t>（</w:t>
      </w:r>
      <w:r>
        <w:rPr>
          <w:rFonts w:hint="eastAsia" w:ascii="宋体" w:hAnsi="宋体"/>
          <w:lang w:val="en-US" w:eastAsia="zh-CN"/>
        </w:rPr>
        <w:t>13</w:t>
      </w:r>
      <w:r>
        <w:rPr>
          <w:rFonts w:hint="eastAsia" w:ascii="宋体" w:hAnsi="宋体"/>
        </w:rPr>
        <w:t>）分项报价表</w:t>
      </w:r>
    </w:p>
    <w:p w14:paraId="4DB30480">
      <w:pPr>
        <w:ind w:left="2" w:firstLine="369" w:firstLineChars="176"/>
        <w:rPr>
          <w:rFonts w:hint="eastAsia" w:ascii="宋体" w:hAnsi="宋体"/>
        </w:rPr>
      </w:pPr>
      <w:r>
        <w:rPr>
          <w:rFonts w:hint="eastAsia" w:ascii="宋体" w:hAnsi="宋体"/>
        </w:rPr>
        <w:t>（</w:t>
      </w:r>
      <w:r>
        <w:rPr>
          <w:rFonts w:hint="eastAsia" w:ascii="宋体" w:hAnsi="宋体"/>
          <w:lang w:val="en-US" w:eastAsia="zh-CN"/>
        </w:rPr>
        <w:t>14</w:t>
      </w:r>
      <w:r>
        <w:rPr>
          <w:rFonts w:hint="eastAsia" w:ascii="宋体" w:hAnsi="宋体"/>
        </w:rPr>
        <w:t>）技术规格响应表</w:t>
      </w:r>
    </w:p>
    <w:p w14:paraId="5A0A71BC">
      <w:pPr>
        <w:ind w:left="2" w:firstLine="369" w:firstLineChars="176"/>
        <w:rPr>
          <w:rFonts w:hint="eastAsia" w:ascii="宋体" w:hAnsi="宋体"/>
        </w:rPr>
      </w:pPr>
      <w:r>
        <w:rPr>
          <w:rFonts w:hint="eastAsia" w:ascii="宋体" w:hAnsi="宋体"/>
        </w:rPr>
        <w:t>（1</w:t>
      </w:r>
      <w:r>
        <w:rPr>
          <w:rFonts w:hint="eastAsia" w:ascii="宋体" w:hAnsi="宋体"/>
          <w:lang w:val="en-US" w:eastAsia="zh-CN"/>
        </w:rPr>
        <w:t>5</w:t>
      </w:r>
      <w:r>
        <w:rPr>
          <w:rFonts w:hint="eastAsia" w:ascii="宋体" w:hAnsi="宋体"/>
        </w:rPr>
        <w:t>）其他资格证明材料</w:t>
      </w:r>
    </w:p>
    <w:p w14:paraId="1331A33D">
      <w:pPr>
        <w:ind w:left="2" w:firstLine="369" w:firstLineChars="176"/>
        <w:rPr>
          <w:rFonts w:hint="eastAsia" w:ascii="宋体" w:hAnsi="宋体"/>
        </w:rPr>
      </w:pPr>
      <w:r>
        <w:rPr>
          <w:rFonts w:hint="eastAsia" w:ascii="宋体" w:hAnsi="宋体"/>
        </w:rPr>
        <w:t>（1</w:t>
      </w:r>
      <w:r>
        <w:rPr>
          <w:rFonts w:hint="eastAsia" w:ascii="宋体" w:hAnsi="宋体"/>
          <w:lang w:val="en-US" w:eastAsia="zh-CN"/>
        </w:rPr>
        <w:t>6</w:t>
      </w:r>
      <w:r>
        <w:rPr>
          <w:rFonts w:hint="eastAsia" w:ascii="宋体" w:hAnsi="宋体"/>
        </w:rPr>
        <w:t>）投标产品相关资料</w:t>
      </w:r>
    </w:p>
    <w:p w14:paraId="4F02F36D">
      <w:pPr>
        <w:ind w:left="2" w:firstLine="369" w:firstLineChars="176"/>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7</w:t>
      </w:r>
      <w:r>
        <w:rPr>
          <w:rFonts w:hint="eastAsia" w:ascii="宋体" w:hAnsi="宋体"/>
          <w:color w:val="000000"/>
        </w:rPr>
        <w:t>）</w:t>
      </w:r>
      <w:r>
        <w:rPr>
          <w:rFonts w:hint="eastAsia" w:ascii="宋体" w:hAnsi="宋体"/>
        </w:rPr>
        <w:t>技术服务方案及质量保障</w:t>
      </w:r>
    </w:p>
    <w:p w14:paraId="2BF4140C">
      <w:pPr>
        <w:ind w:left="2" w:firstLine="369" w:firstLineChars="176"/>
        <w:rPr>
          <w:rFonts w:hint="eastAsia" w:ascii="宋体" w:hAnsi="宋体"/>
        </w:rPr>
      </w:pPr>
      <w:r>
        <w:rPr>
          <w:rFonts w:hint="eastAsia" w:ascii="宋体" w:hAnsi="宋体"/>
        </w:rPr>
        <w:t>（1</w:t>
      </w:r>
      <w:r>
        <w:rPr>
          <w:rFonts w:hint="eastAsia" w:ascii="宋体" w:hAnsi="宋体"/>
          <w:lang w:val="en-US" w:eastAsia="zh-CN"/>
        </w:rPr>
        <w:t>8</w:t>
      </w:r>
      <w:r>
        <w:rPr>
          <w:rFonts w:hint="eastAsia" w:ascii="宋体" w:hAnsi="宋体"/>
        </w:rPr>
        <w:t>）服务相关内容</w:t>
      </w:r>
    </w:p>
    <w:p w14:paraId="3D26311C">
      <w:pPr>
        <w:ind w:left="2" w:firstLine="369" w:firstLineChars="176"/>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）投标人类似业绩证明材料</w:t>
      </w:r>
    </w:p>
    <w:p w14:paraId="532D74F5">
      <w:pPr>
        <w:ind w:left="2" w:firstLine="369" w:firstLineChars="176"/>
        <w:rPr>
          <w:rFonts w:hint="eastAsia" w:ascii="宋体" w:hAnsi="宋体"/>
        </w:rPr>
      </w:pPr>
      <w:r>
        <w:rPr>
          <w:rFonts w:hint="eastAsia" w:ascii="宋体" w:hAnsi="宋体"/>
        </w:rPr>
        <w:t>（</w:t>
      </w:r>
      <w:r>
        <w:rPr>
          <w:rFonts w:hint="eastAsia" w:ascii="宋体" w:hAnsi="宋体"/>
          <w:lang w:val="en-US" w:eastAsia="zh-CN"/>
        </w:rPr>
        <w:t>20</w:t>
      </w:r>
      <w:r>
        <w:rPr>
          <w:rFonts w:hint="eastAsia" w:ascii="宋体" w:hAnsi="宋体"/>
        </w:rPr>
        <w:t>）投标人在其他方面有必要说明的事项</w:t>
      </w:r>
    </w:p>
    <w:p w14:paraId="43EB9CB7">
      <w:pPr>
        <w:ind w:left="2" w:firstLine="369" w:firstLineChars="176"/>
        <w:rPr>
          <w:rFonts w:ascii="宋体" w:hAnsi="宋体"/>
          <w:color w:val="000000" w:themeColor="text1"/>
          <w14:textFill>
            <w14:solidFill>
              <w14:schemeClr w14:val="tx1"/>
            </w14:solidFill>
          </w14:textFill>
        </w:rPr>
      </w:pPr>
      <w:r>
        <w:rPr>
          <w:rFonts w:hint="eastAsia" w:ascii="宋体" w:hAnsi="宋体"/>
        </w:rPr>
        <w:t>（</w:t>
      </w:r>
      <w:r>
        <w:rPr>
          <w:rFonts w:hint="eastAsia" w:ascii="宋体" w:hAnsi="宋体"/>
          <w:color w:val="000000" w:themeColor="text1"/>
          <w14:textFill>
            <w14:solidFill>
              <w14:schemeClr w14:val="tx1"/>
            </w14:solidFill>
          </w14:textFill>
        </w:rPr>
        <w:t>注：投标人须按上述内容、顺序和第12项“投标文件的格式及编制要求”格式编制。</w:t>
      </w:r>
    </w:p>
    <w:p w14:paraId="55384B13">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50" w:name="_Toc325726014"/>
      <w:bookmarkStart w:id="51" w:name="_Toc376936745"/>
      <w:bookmarkStart w:id="52" w:name="_Toc67558571"/>
      <w:r>
        <w:rPr>
          <w:rFonts w:hint="eastAsia" w:ascii="宋体" w:hAnsi="宋体"/>
          <w:b/>
          <w:bCs/>
          <w:color w:val="000000" w:themeColor="text1"/>
          <w:kern w:val="0"/>
          <w:sz w:val="27"/>
          <w:szCs w:val="27"/>
          <w:lang w:val="en-US" w:eastAsia="zh-CN"/>
          <w14:textFill>
            <w14:solidFill>
              <w14:schemeClr w14:val="tx1"/>
            </w14:solidFill>
          </w14:textFill>
        </w:rPr>
        <w:t>12</w:t>
      </w:r>
      <w:r>
        <w:rPr>
          <w:rFonts w:hint="eastAsia" w:ascii="宋体" w:hAnsi="宋体"/>
          <w:b/>
          <w:bCs/>
          <w:color w:val="000000" w:themeColor="text1"/>
          <w:kern w:val="0"/>
          <w:sz w:val="27"/>
          <w:szCs w:val="27"/>
          <w14:textFill>
            <w14:solidFill>
              <w14:schemeClr w14:val="tx1"/>
            </w14:solidFill>
          </w14:textFill>
        </w:rPr>
        <w:t>.</w:t>
      </w:r>
      <w:bookmarkEnd w:id="50"/>
      <w:bookmarkStart w:id="53" w:name="_Toc325726015"/>
      <w:r>
        <w:rPr>
          <w:rFonts w:hint="eastAsia" w:ascii="宋体" w:hAnsi="宋体"/>
          <w:b/>
          <w:bCs/>
          <w:color w:val="000000" w:themeColor="text1"/>
          <w:kern w:val="0"/>
          <w:sz w:val="27"/>
          <w:szCs w:val="27"/>
          <w14:textFill>
            <w14:solidFill>
              <w14:schemeClr w14:val="tx1"/>
            </w14:solidFill>
          </w14:textFill>
        </w:rPr>
        <w:t xml:space="preserve"> 投标文件的格式及编制要求</w:t>
      </w:r>
      <w:bookmarkEnd w:id="51"/>
      <w:bookmarkEnd w:id="52"/>
    </w:p>
    <w:bookmarkEnd w:id="53"/>
    <w:p w14:paraId="124902C5">
      <w:pPr>
        <w:widowControl/>
        <w:spacing w:line="360" w:lineRule="exact"/>
        <w:ind w:firstLine="420" w:firstLineChars="200"/>
        <w:jc w:val="left"/>
        <w:rPr>
          <w:rFonts w:ascii="宋体" w:hAnsi="宋体" w:cs="宋体"/>
          <w:color w:val="000000" w:themeColor="text1"/>
          <w:kern w:val="0"/>
          <w:lang w:val="zh-CN"/>
          <w14:textFill>
            <w14:solidFill>
              <w14:schemeClr w14:val="tx1"/>
            </w14:solidFill>
          </w14:textFill>
        </w:rPr>
      </w:pPr>
      <w:bookmarkStart w:id="54" w:name="_Toc376936746"/>
      <w:bookmarkStart w:id="55" w:name="_Toc371090027"/>
      <w:bookmarkStart w:id="56" w:name="_Toc67558572"/>
      <w:r>
        <w:rPr>
          <w:rFonts w:hint="eastAsia" w:ascii="宋体" w:hAnsi="宋体" w:cs="宋体"/>
          <w:color w:val="000000" w:themeColor="text1"/>
          <w:kern w:val="0"/>
          <w:lang w:val="zh-CN"/>
          <w14:textFill>
            <w14:solidFill>
              <w14:schemeClr w14:val="tx1"/>
            </w14:solidFill>
          </w14:textFill>
        </w:rPr>
        <w:t>12.1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投标文件编制格式为word系统签章保存后转换为pdf格式上传，格式须按招标文件第四部分“投标文件格式”要求制作，且目录索引定位到内容。</w:t>
      </w:r>
    </w:p>
    <w:p w14:paraId="32E51568">
      <w:pPr>
        <w:widowControl/>
        <w:spacing w:line="360" w:lineRule="exact"/>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12.2</w:t>
      </w:r>
      <w:r>
        <w:rPr>
          <w:rFonts w:hint="eastAsia" w:ascii="宋体" w:hAnsi="宋体" w:cs="宋体"/>
          <w:color w:val="000000" w:themeColor="text1"/>
          <w14:textFill>
            <w14:solidFill>
              <w14:schemeClr w14:val="tx1"/>
            </w14:solidFill>
          </w14:textFill>
        </w:rPr>
        <w:t>投标文件中的扫描或复印件内容应清晰可辨，且要求正向放置。</w:t>
      </w:r>
    </w:p>
    <w:p w14:paraId="4DE1EB07">
      <w:pPr>
        <w:widowControl/>
        <w:spacing w:line="360" w:lineRule="exact"/>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12.3</w:t>
      </w:r>
      <w:r>
        <w:rPr>
          <w:rFonts w:hint="eastAsia" w:ascii="宋体" w:hAnsi="宋体"/>
          <w:color w:val="000000" w:themeColor="text1"/>
          <w14:textFill>
            <w14:solidFill>
              <w14:schemeClr w14:val="tx1"/>
            </w14:solidFill>
          </w14:textFill>
        </w:rPr>
        <w:t>招标文件要求签字、盖章的地方必须由投标人的法定代表人或委托代理人按要求签字、盖章。</w:t>
      </w:r>
    </w:p>
    <w:p w14:paraId="2BCAA1C7">
      <w:pPr>
        <w:autoSpaceDE w:val="0"/>
        <w:autoSpaceDN w:val="0"/>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12.4</w:t>
      </w:r>
      <w:r>
        <w:rPr>
          <w:rFonts w:hint="eastAsia" w:ascii="宋体" w:hAnsi="宋体"/>
          <w:color w:val="000000" w:themeColor="text1"/>
          <w:lang w:val="zh-CN"/>
          <w14:textFill>
            <w14:solidFill>
              <w14:schemeClr w14:val="tx1"/>
            </w14:solidFill>
          </w14:textFill>
        </w:rPr>
        <w:t>投标人应在投标截止时间之前将加密电子投标文件上传至评标系统</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因目录格式不准确、不能索引定位到内容、文件过大、未提交全部文件内容或文件内容错误、上传效果差等原因导致无法评审的，有可能判定为无效投标。</w:t>
      </w:r>
    </w:p>
    <w:p w14:paraId="121AFA4C">
      <w:pPr>
        <w:autoSpaceDE w:val="0"/>
        <w:autoSpaceDN w:val="0"/>
        <w:spacing w:line="360" w:lineRule="auto"/>
        <w:ind w:firstLine="42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投标文件中不得行间插字、涂改或增删，如有修改错漏处，须由投标人法定代表人或其委托代理人签字、加盖公章。</w:t>
      </w:r>
    </w:p>
    <w:p w14:paraId="16C906FD">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四、</w:t>
      </w:r>
      <w:r>
        <w:rPr>
          <w:rFonts w:hint="eastAsia" w:ascii="宋体" w:hAnsi="宋体" w:eastAsia="宋体" w:cs="Times New Roman"/>
          <w:b/>
          <w:bCs/>
          <w:color w:val="000000" w:themeColor="text1"/>
          <w:kern w:val="0"/>
          <w:sz w:val="36"/>
          <w:szCs w:val="36"/>
          <w14:textFill>
            <w14:solidFill>
              <w14:schemeClr w14:val="tx1"/>
            </w14:solidFill>
          </w14:textFill>
        </w:rPr>
        <w:t xml:space="preserve"> </w:t>
      </w:r>
      <w:bookmarkEnd w:id="54"/>
      <w:bookmarkEnd w:id="55"/>
      <w:bookmarkEnd w:id="56"/>
      <w:r>
        <w:rPr>
          <w:rFonts w:hint="eastAsia" w:ascii="宋体" w:hAnsi="宋体"/>
          <w:b/>
          <w:bCs/>
          <w:color w:val="000000" w:themeColor="text1"/>
          <w:kern w:val="0"/>
          <w:sz w:val="36"/>
          <w:szCs w:val="36"/>
          <w14:textFill>
            <w14:solidFill>
              <w14:schemeClr w14:val="tx1"/>
            </w14:solidFill>
          </w14:textFill>
        </w:rPr>
        <w:t>网上投标</w:t>
      </w:r>
    </w:p>
    <w:p w14:paraId="6EC22BF3">
      <w:pPr>
        <w:pStyle w:val="18"/>
        <w:spacing w:after="0"/>
        <w:jc w:val="left"/>
        <w:rPr>
          <w:rFonts w:ascii="宋体" w:hAnsi="宋体" w:cs="宋体"/>
          <w:color w:val="000000" w:themeColor="text1"/>
          <w:lang w:val="zh-CN" w:eastAsia="zh-CN"/>
          <w14:textFill>
            <w14:solidFill>
              <w14:schemeClr w14:val="tx1"/>
            </w14:solidFill>
          </w14:textFill>
        </w:rPr>
      </w:pPr>
      <w:bookmarkStart w:id="57" w:name="_Toc515908185"/>
      <w:bookmarkStart w:id="58" w:name="_Toc376936748"/>
      <w:bookmarkStart w:id="59" w:name="_Toc371090029"/>
      <w:bookmarkStart w:id="60" w:name="_Toc67558574"/>
      <w:r>
        <w:rPr>
          <w:rFonts w:hint="eastAsia" w:ascii="宋体" w:hAnsi="宋体" w:cs="宋体"/>
          <w:color w:val="000000" w:themeColor="text1"/>
          <w:sz w:val="28"/>
          <w:szCs w:val="28"/>
          <w:lang w:val="zh-CN" w:eastAsia="zh-CN"/>
          <w14:textFill>
            <w14:solidFill>
              <w14:schemeClr w14:val="tx1"/>
            </w14:solidFill>
          </w14:textFill>
        </w:rPr>
        <w:t>13.</w:t>
      </w:r>
      <w:bookmarkEnd w:id="57"/>
      <w:r>
        <w:rPr>
          <w:rFonts w:hint="eastAsia" w:ascii="宋体" w:hAnsi="宋体" w:eastAsia="宋体" w:cs="Times New Roman"/>
          <w:bCs/>
          <w:color w:val="000000" w:themeColor="text1"/>
          <w:kern w:val="0"/>
          <w:szCs w:val="36"/>
          <w:lang w:eastAsia="zh-CN"/>
          <w14:textFill>
            <w14:solidFill>
              <w14:schemeClr w14:val="tx1"/>
            </w14:solidFill>
          </w14:textFill>
        </w:rPr>
        <w:t xml:space="preserve"> </w:t>
      </w:r>
      <w:r>
        <w:rPr>
          <w:rFonts w:hint="eastAsia" w:ascii="宋体" w:hAnsi="宋体"/>
          <w:bCs/>
          <w:smallCaps w:val="0"/>
          <w:color w:val="000000" w:themeColor="text1"/>
          <w:kern w:val="0"/>
          <w:sz w:val="27"/>
          <w:szCs w:val="27"/>
          <w:lang w:eastAsia="zh-CN"/>
          <w14:textFill>
            <w14:solidFill>
              <w14:schemeClr w14:val="tx1"/>
            </w14:solidFill>
          </w14:textFill>
        </w:rPr>
        <w:t>网上投标</w:t>
      </w:r>
    </w:p>
    <w:p w14:paraId="3314520A">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13.1 投标人应在青海省政采云电子化平台上报价并上传电子投标文件。</w:t>
      </w:r>
    </w:p>
    <w:p w14:paraId="4589D4AD">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13.2投标人应按所投包报价，填写</w:t>
      </w:r>
      <w:r>
        <w:rPr>
          <w:rFonts w:hint="eastAsia" w:ascii="宋体" w:hAnsi="宋体"/>
          <w:color w:val="000000" w:themeColor="text1"/>
          <w:lang w:eastAsia="zh-CN"/>
          <w14:textFill>
            <w14:solidFill>
              <w14:schemeClr w14:val="tx1"/>
            </w14:solidFill>
          </w14:textFill>
        </w:rPr>
        <w:t>服务</w:t>
      </w:r>
      <w:r>
        <w:rPr>
          <w:rFonts w:hint="eastAsia" w:ascii="宋体" w:hAnsi="宋体"/>
          <w:color w:val="000000" w:themeColor="text1"/>
          <w14:textFill>
            <w14:solidFill>
              <w14:schemeClr w14:val="tx1"/>
            </w14:solidFill>
          </w14:textFill>
        </w:rPr>
        <w:t>期。</w:t>
      </w:r>
    </w:p>
    <w:p w14:paraId="275E6F21">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13.3 开标时的“开标一览表”由各投标人网上报价生成。</w:t>
      </w:r>
    </w:p>
    <w:p w14:paraId="28AD3C54">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14:textFill>
            <w14:solidFill>
              <w14:schemeClr w14:val="tx1"/>
            </w14:solidFill>
          </w14:textFill>
        </w:rPr>
        <w:t>14.投标截止日期</w:t>
      </w:r>
      <w:bookmarkEnd w:id="58"/>
      <w:bookmarkEnd w:id="59"/>
      <w:bookmarkEnd w:id="60"/>
    </w:p>
    <w:p w14:paraId="7D88313B">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 若采购人、集中采购机构推迟投标截止期，采购人、集中采购机构和投标人受投标截止期约束的所有权利和义务均延长至新的投标截止期。</w:t>
      </w:r>
    </w:p>
    <w:p w14:paraId="694BC74D">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14.2 采购人、集中采购机构按照“投标人须知”第6条规定，通过修改招标文件延长投标截止日期，在此情况下，采购人、集中采购机构、投标人受投标截止时间制约的所有权利和义务均延长至新的截止日期。</w:t>
      </w:r>
    </w:p>
    <w:p w14:paraId="601D21D8">
      <w:pPr>
        <w:pStyle w:val="18"/>
        <w:spacing w:after="0"/>
        <w:jc w:val="left"/>
        <w:rPr>
          <w:rFonts w:ascii="宋体" w:hAnsi="宋体" w:cs="宋体"/>
          <w:color w:val="000000" w:themeColor="text1"/>
          <w:lang w:val="zh-CN" w:eastAsia="zh-CN"/>
          <w14:textFill>
            <w14:solidFill>
              <w14:schemeClr w14:val="tx1"/>
            </w14:solidFill>
          </w14:textFill>
        </w:rPr>
      </w:pPr>
      <w:bookmarkStart w:id="61" w:name="_Toc515908187"/>
      <w:bookmarkStart w:id="62" w:name="_Toc325726019"/>
      <w:bookmarkStart w:id="63" w:name="_Toc67558576"/>
      <w:bookmarkStart w:id="64" w:name="_Toc376936750"/>
      <w:r>
        <w:rPr>
          <w:rFonts w:hint="eastAsia" w:ascii="宋体" w:hAnsi="宋体" w:cs="宋体"/>
          <w:color w:val="000000" w:themeColor="text1"/>
          <w:sz w:val="28"/>
          <w:szCs w:val="28"/>
          <w:lang w:val="zh-CN" w:eastAsia="zh-CN"/>
          <w14:textFill>
            <w14:solidFill>
              <w14:schemeClr w14:val="tx1"/>
            </w14:solidFill>
          </w14:textFill>
        </w:rPr>
        <w:t>15.投标文件的补充、修改或者撤回</w:t>
      </w:r>
      <w:bookmarkEnd w:id="61"/>
    </w:p>
    <w:p w14:paraId="0DB701AD">
      <w:pPr>
        <w:autoSpaceDE w:val="0"/>
        <w:autoSpaceDN w:val="0"/>
        <w:spacing w:line="360" w:lineRule="auto"/>
        <w:ind w:firstLine="42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15.1</w:t>
      </w:r>
      <w:r>
        <w:rPr>
          <w:rFonts w:hint="eastAsia" w:ascii="宋体" w:hAnsi="宋体" w:cs="宋体"/>
          <w:color w:val="000000" w:themeColor="text1"/>
          <w:kern w:val="0"/>
          <w14:textFill>
            <w14:solidFill>
              <w14:schemeClr w14:val="tx1"/>
            </w14:solidFill>
          </w14:textFill>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086694CB">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五、开标</w:t>
      </w:r>
      <w:bookmarkEnd w:id="62"/>
      <w:bookmarkEnd w:id="63"/>
      <w:bookmarkEnd w:id="64"/>
    </w:p>
    <w:p w14:paraId="16085DA2">
      <w:pPr>
        <w:pStyle w:val="18"/>
        <w:spacing w:after="0"/>
        <w:jc w:val="left"/>
        <w:rPr>
          <w:rFonts w:ascii="宋体" w:hAnsi="宋体" w:cs="宋体"/>
          <w:color w:val="000000" w:themeColor="text1"/>
          <w:lang w:val="zh-CN" w:eastAsia="zh-CN"/>
          <w14:textFill>
            <w14:solidFill>
              <w14:schemeClr w14:val="tx1"/>
            </w14:solidFill>
          </w14:textFill>
        </w:rPr>
      </w:pPr>
      <w:bookmarkStart w:id="65" w:name="_Toc67558578"/>
      <w:bookmarkStart w:id="66" w:name="_Toc376936752"/>
      <w:bookmarkStart w:id="67" w:name="_Toc325726021"/>
      <w:r>
        <w:rPr>
          <w:rFonts w:hint="eastAsia" w:ascii="宋体" w:hAnsi="宋体" w:cs="宋体"/>
          <w:color w:val="000000" w:themeColor="text1"/>
          <w:sz w:val="28"/>
          <w:szCs w:val="28"/>
          <w:lang w:val="zh-CN" w:eastAsia="zh-CN"/>
          <w14:textFill>
            <w14:solidFill>
              <w14:schemeClr w14:val="tx1"/>
            </w14:solidFill>
          </w14:textFill>
        </w:rPr>
        <w:t>16.开标</w:t>
      </w:r>
    </w:p>
    <w:p w14:paraId="2DDD2F64">
      <w:pPr>
        <w:ind w:firstLine="480"/>
        <w:rPr>
          <w:rFonts w:ascii="宋体" w:hAnsi="宋体"/>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16.1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采购人、集中采购机构在青海省政采</w:t>
      </w:r>
      <w:r>
        <w:rPr>
          <w:rFonts w:hint="eastAsia" w:ascii="宋体" w:hAnsi="宋体"/>
          <w:color w:val="000000" w:themeColor="text1"/>
          <w:lang w:eastAsia="zh-CN"/>
          <w14:textFill>
            <w14:solidFill>
              <w14:schemeClr w14:val="tx1"/>
            </w14:solidFill>
          </w14:textFill>
        </w:rPr>
        <w:t>云</w:t>
      </w:r>
      <w:r>
        <w:rPr>
          <w:rFonts w:hint="eastAsia" w:ascii="宋体" w:hAnsi="宋体"/>
          <w:color w:val="000000" w:themeColor="text1"/>
          <w14:textFill>
            <w14:solidFill>
              <w14:schemeClr w14:val="tx1"/>
            </w14:solidFill>
          </w14:textFill>
        </w:rPr>
        <w:t>平台上组织开标、评标活动，时间和地点以本招标文件中确定的为准。</w:t>
      </w:r>
    </w:p>
    <w:p w14:paraId="6B1437BF">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16.2 投标截止时间投标人不足三家的，不得开标。</w:t>
      </w:r>
    </w:p>
    <w:p w14:paraId="5C395BC4">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16.3开标时，潜在投标人未在青海省政府采购网政采云电子化平台上报价的，视同未参与投标。</w:t>
      </w:r>
    </w:p>
    <w:p w14:paraId="19C677A1">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16.4开标后，投标人在青海省政采</w:t>
      </w:r>
      <w:r>
        <w:rPr>
          <w:rFonts w:hint="eastAsia" w:ascii="宋体" w:hAnsi="宋体"/>
          <w:color w:val="000000" w:themeColor="text1"/>
          <w:lang w:eastAsia="zh-CN"/>
          <w14:textFill>
            <w14:solidFill>
              <w14:schemeClr w14:val="tx1"/>
            </w14:solidFill>
          </w14:textFill>
        </w:rPr>
        <w:t>云</w:t>
      </w:r>
      <w:r>
        <w:rPr>
          <w:rFonts w:hint="eastAsia" w:ascii="宋体" w:hAnsi="宋体"/>
          <w:color w:val="000000" w:themeColor="text1"/>
          <w14:textFill>
            <w14:solidFill>
              <w14:schemeClr w14:val="tx1"/>
            </w14:solidFill>
          </w14:textFill>
        </w:rPr>
        <w:t>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2226E109">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16.5开标工作由集中采购机构组织，采购人、采购管理、纪检监察等有关方面代表可根据采购项目的具体情况列席，并对开标过程签字确认。评标委员会成员不得参加开标活动。</w:t>
      </w:r>
    </w:p>
    <w:p w14:paraId="7BB737A2">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16.6 开标后投标人必须在规定的时间内解密文件，因投标人未能按时完成解密或上传的投标文件损坏无法正常打开的，将会被视为无效投标。</w:t>
      </w:r>
    </w:p>
    <w:p w14:paraId="0BB94AF1">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六、资格审查程序及方法</w:t>
      </w:r>
      <w:bookmarkEnd w:id="65"/>
    </w:p>
    <w:p w14:paraId="2EE54078">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68" w:name="_Toc67558579"/>
      <w:r>
        <w:rPr>
          <w:rFonts w:hint="eastAsia" w:ascii="宋体" w:hAnsi="宋体"/>
          <w:b/>
          <w:bCs/>
          <w:color w:val="000000" w:themeColor="text1"/>
          <w:kern w:val="0"/>
          <w:sz w:val="27"/>
          <w:szCs w:val="27"/>
          <w14:textFill>
            <w14:solidFill>
              <w14:schemeClr w14:val="tx1"/>
            </w14:solidFill>
          </w14:textFill>
        </w:rPr>
        <w:t>17. 资格审查程序</w:t>
      </w:r>
      <w:bookmarkEnd w:id="68"/>
    </w:p>
    <w:p w14:paraId="7D027E45">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17.1 开标结束后，由采购人、集中采购机构依法对投标人的资格进行审查。</w:t>
      </w:r>
    </w:p>
    <w:p w14:paraId="596C392C">
      <w:pPr>
        <w:ind w:firstLine="480"/>
        <w:rPr>
          <w:rFonts w:ascii="Arial" w:hAnsi="Arial" w:cs="Arial"/>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 xml:space="preserve">17.2 </w:t>
      </w:r>
      <w:r>
        <w:rPr>
          <w:rFonts w:ascii="Arial" w:hAnsi="Arial" w:cs="Arial"/>
          <w:color w:val="000000" w:themeColor="text1"/>
          <w:kern w:val="0"/>
          <w14:textFill>
            <w14:solidFill>
              <w14:schemeClr w14:val="tx1"/>
            </w14:solidFill>
          </w14:textFill>
        </w:rPr>
        <w:t>合格投标人不足</w:t>
      </w:r>
      <w:r>
        <w:rPr>
          <w:rFonts w:hint="eastAsia" w:ascii="Arial" w:hAnsi="Arial" w:cs="Arial"/>
          <w:color w:val="000000" w:themeColor="text1"/>
          <w:kern w:val="0"/>
          <w14:textFill>
            <w14:solidFill>
              <w14:schemeClr w14:val="tx1"/>
            </w14:solidFill>
          </w14:textFill>
        </w:rPr>
        <w:t>3</w:t>
      </w:r>
      <w:r>
        <w:rPr>
          <w:rFonts w:ascii="Arial" w:hAnsi="Arial" w:cs="Arial"/>
          <w:color w:val="000000" w:themeColor="text1"/>
          <w:kern w:val="0"/>
          <w14:textFill>
            <w14:solidFill>
              <w14:schemeClr w14:val="tx1"/>
            </w14:solidFill>
          </w14:textFill>
        </w:rPr>
        <w:t>家的，不得评标。</w:t>
      </w:r>
    </w:p>
    <w:p w14:paraId="6817A2CF">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69" w:name="_Toc67558580"/>
      <w:r>
        <w:rPr>
          <w:rFonts w:hint="eastAsia" w:ascii="宋体" w:hAnsi="宋体"/>
          <w:b/>
          <w:bCs/>
          <w:color w:val="000000" w:themeColor="text1"/>
          <w:kern w:val="0"/>
          <w:sz w:val="27"/>
          <w:szCs w:val="27"/>
          <w14:textFill>
            <w14:solidFill>
              <w14:schemeClr w14:val="tx1"/>
            </w14:solidFill>
          </w14:textFill>
        </w:rPr>
        <w:t>18.资格审查不通过的情形</w:t>
      </w:r>
      <w:bookmarkEnd w:id="69"/>
    </w:p>
    <w:p w14:paraId="1FAA1273">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资格审查时，投标人存在下列情况之一的，按无效投标处理：</w:t>
      </w:r>
    </w:p>
    <w:p w14:paraId="5FB351B9">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18.1 不符合招标文件第一部分投标人须知前附表“供应商资格条件”的；</w:t>
      </w:r>
    </w:p>
    <w:p w14:paraId="3FBBD064">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18.2 未按招标文件要求缴纳或未足额缴纳投标保证金的；</w:t>
      </w:r>
    </w:p>
    <w:p w14:paraId="48B24FF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18.3 未按第11.1.1款（1）-（</w:t>
      </w:r>
      <w:r>
        <w:rPr>
          <w:rFonts w:hint="eastAsia" w:ascii="宋体" w:hAnsi="宋体"/>
          <w:color w:val="000000" w:themeColor="text1"/>
          <w:lang w:val="en-US" w:eastAsia="zh-CN"/>
          <w14:textFill>
            <w14:solidFill>
              <w14:schemeClr w14:val="tx1"/>
            </w14:solidFill>
          </w14:textFill>
        </w:rPr>
        <w:t>11</w:t>
      </w:r>
      <w:r>
        <w:rPr>
          <w:rFonts w:hint="eastAsia" w:ascii="宋体" w:hAnsi="宋体"/>
          <w:color w:val="000000" w:themeColor="text1"/>
          <w14:textFill>
            <w14:solidFill>
              <w14:schemeClr w14:val="tx1"/>
            </w14:solidFill>
          </w14:textFill>
        </w:rPr>
        <w:t>）要求提供相关资料的；</w:t>
      </w:r>
    </w:p>
    <w:p w14:paraId="1E90069C">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18.4 资格性审查部分没有按招标文件规定和要求签字、盖章的；</w:t>
      </w:r>
    </w:p>
    <w:p w14:paraId="7AE364E5">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18.5 擅自修改招标文件规定的投标文件格式以及编制要求的。</w:t>
      </w:r>
    </w:p>
    <w:p w14:paraId="13FC0ACC">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70" w:name="_Toc67558581"/>
      <w:r>
        <w:rPr>
          <w:rFonts w:hint="eastAsia" w:ascii="宋体" w:hAnsi="宋体"/>
          <w:b/>
          <w:bCs/>
          <w:color w:val="000000" w:themeColor="text1"/>
          <w:kern w:val="0"/>
          <w:sz w:val="36"/>
          <w:szCs w:val="36"/>
          <w14:textFill>
            <w14:solidFill>
              <w14:schemeClr w14:val="tx1"/>
            </w14:solidFill>
          </w14:textFill>
        </w:rPr>
        <w:t>七、评标程序及方法</w:t>
      </w:r>
      <w:bookmarkEnd w:id="66"/>
      <w:bookmarkEnd w:id="67"/>
      <w:bookmarkEnd w:id="70"/>
    </w:p>
    <w:p w14:paraId="7EF02CF3">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71" w:name="_Toc376936753"/>
      <w:bookmarkStart w:id="72" w:name="_Toc67558582"/>
      <w:bookmarkStart w:id="73" w:name="_Toc325726022"/>
      <w:r>
        <w:rPr>
          <w:rFonts w:hint="eastAsia" w:ascii="宋体" w:hAnsi="宋体"/>
          <w:b/>
          <w:bCs/>
          <w:color w:val="000000" w:themeColor="text1"/>
          <w:kern w:val="0"/>
          <w:sz w:val="27"/>
          <w:szCs w:val="27"/>
          <w14:textFill>
            <w14:solidFill>
              <w14:schemeClr w14:val="tx1"/>
            </w14:solidFill>
          </w14:textFill>
        </w:rPr>
        <w:t>19.评标委员会</w:t>
      </w:r>
      <w:bookmarkEnd w:id="71"/>
      <w:bookmarkEnd w:id="72"/>
      <w:bookmarkEnd w:id="73"/>
    </w:p>
    <w:p w14:paraId="145F84F6">
      <w:pPr>
        <w:ind w:firstLine="480"/>
        <w:jc w:val="left"/>
        <w:rPr>
          <w:rFonts w:hint="eastAsia" w:ascii="宋体" w:hAnsi="宋体"/>
        </w:rPr>
      </w:pPr>
      <w:bookmarkStart w:id="74" w:name="_Toc67558583"/>
      <w:bookmarkStart w:id="75" w:name="_Toc325726023"/>
      <w:bookmarkStart w:id="76" w:name="_Toc376936754"/>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14:paraId="5EE971AA">
      <w:pPr>
        <w:ind w:firstLine="480"/>
        <w:jc w:val="left"/>
        <w:rPr>
          <w:rFonts w:hint="eastAsia" w:ascii="宋体" w:hAnsi="宋体"/>
        </w:rPr>
      </w:pPr>
      <w:r>
        <w:rPr>
          <w:rFonts w:hint="eastAsia" w:ascii="宋体" w:hAnsi="宋体"/>
        </w:rPr>
        <w:t>19.2评标由采购人、集中采购机构负责组织，具体评标事务由依法组建的评标委员会负责，并独立履行下列职责：</w:t>
      </w:r>
    </w:p>
    <w:p w14:paraId="349ECDB0">
      <w:pPr>
        <w:ind w:firstLine="480"/>
        <w:jc w:val="left"/>
        <w:rPr>
          <w:rFonts w:hint="eastAsia" w:ascii="宋体" w:hAnsi="宋体"/>
        </w:rPr>
      </w:pPr>
      <w:r>
        <w:rPr>
          <w:rFonts w:hint="eastAsia" w:ascii="宋体" w:hAnsi="宋体"/>
        </w:rPr>
        <w:t>（1）审查、评价投标文件是否符合招标文件的商务、技术等实质性要求；</w:t>
      </w:r>
    </w:p>
    <w:p w14:paraId="50BA0FFD">
      <w:pPr>
        <w:ind w:firstLine="480"/>
        <w:jc w:val="left"/>
        <w:rPr>
          <w:rFonts w:hint="eastAsia" w:ascii="宋体" w:hAnsi="宋体"/>
        </w:rPr>
      </w:pPr>
      <w:r>
        <w:rPr>
          <w:rFonts w:hint="eastAsia" w:ascii="宋体" w:hAnsi="宋体"/>
        </w:rPr>
        <w:t>（2）要求投标人对投标文件有关事项作出澄清或者说明；</w:t>
      </w:r>
    </w:p>
    <w:p w14:paraId="7E8BFD9D">
      <w:pPr>
        <w:ind w:firstLine="480"/>
        <w:jc w:val="left"/>
        <w:rPr>
          <w:rFonts w:hint="eastAsia" w:ascii="宋体" w:hAnsi="宋体"/>
        </w:rPr>
      </w:pPr>
      <w:r>
        <w:rPr>
          <w:rFonts w:hint="eastAsia" w:ascii="宋体" w:hAnsi="宋体"/>
        </w:rPr>
        <w:t>（3）对投标文件进行比较和评价；</w:t>
      </w:r>
    </w:p>
    <w:p w14:paraId="31BF590C">
      <w:pPr>
        <w:ind w:firstLine="480"/>
        <w:jc w:val="left"/>
        <w:rPr>
          <w:rFonts w:hint="eastAsia" w:ascii="宋体" w:hAnsi="宋体"/>
        </w:rPr>
      </w:pPr>
      <w:r>
        <w:rPr>
          <w:rFonts w:hint="eastAsia" w:ascii="宋体" w:hAnsi="宋体"/>
        </w:rPr>
        <w:t>（4）确定中标候选人名单，以及根据采购人委托直接确定中标人；</w:t>
      </w:r>
    </w:p>
    <w:p w14:paraId="3C280B4B">
      <w:pPr>
        <w:ind w:firstLine="480"/>
        <w:jc w:val="left"/>
        <w:rPr>
          <w:rFonts w:hint="eastAsia" w:ascii="宋体" w:hAnsi="宋体"/>
        </w:rPr>
      </w:pPr>
      <w:r>
        <w:rPr>
          <w:rFonts w:hint="eastAsia" w:ascii="宋体" w:hAnsi="宋体"/>
        </w:rPr>
        <w:t>（5）向采购人、集中采购机构或者有关部门报告评标中发现的违法行为。</w:t>
      </w:r>
    </w:p>
    <w:p w14:paraId="06EB9038">
      <w:pPr>
        <w:ind w:firstLine="480"/>
        <w:jc w:val="left"/>
        <w:rPr>
          <w:rFonts w:hint="eastAsia" w:ascii="宋体" w:hAnsi="宋体"/>
        </w:rPr>
      </w:pPr>
      <w:r>
        <w:rPr>
          <w:rFonts w:hint="eastAsia" w:ascii="宋体" w:hAnsi="宋体"/>
        </w:rPr>
        <w:t>19.3评标委员会应遵守并履行下列义务：</w:t>
      </w:r>
    </w:p>
    <w:p w14:paraId="327F3AAA">
      <w:pPr>
        <w:ind w:firstLine="480"/>
        <w:jc w:val="left"/>
        <w:rPr>
          <w:rFonts w:hint="eastAsia" w:ascii="宋体" w:hAnsi="宋体"/>
        </w:rPr>
      </w:pPr>
      <w:r>
        <w:rPr>
          <w:rFonts w:hint="eastAsia" w:ascii="宋体" w:hAnsi="宋体"/>
        </w:rPr>
        <w:t>（1）遵纪守法，客观、公正、廉洁地履行职责；</w:t>
      </w:r>
    </w:p>
    <w:p w14:paraId="51595902">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14:paraId="6D9444E5">
      <w:pPr>
        <w:ind w:firstLine="480"/>
        <w:jc w:val="left"/>
        <w:rPr>
          <w:rFonts w:hint="eastAsia" w:ascii="宋体" w:hAnsi="宋体"/>
        </w:rPr>
      </w:pPr>
      <w:r>
        <w:rPr>
          <w:rFonts w:hint="eastAsia" w:ascii="宋体" w:hAnsi="宋体"/>
        </w:rPr>
        <w:t>（3）对评标文件、评标情况和评标中获悉的商业秘密保密；</w:t>
      </w:r>
    </w:p>
    <w:p w14:paraId="7232C29A">
      <w:pPr>
        <w:ind w:firstLine="480"/>
        <w:jc w:val="left"/>
        <w:rPr>
          <w:rFonts w:hint="eastAsia" w:ascii="宋体" w:hAnsi="宋体"/>
        </w:rPr>
      </w:pPr>
      <w:r>
        <w:rPr>
          <w:rFonts w:hint="eastAsia" w:ascii="宋体" w:hAnsi="宋体"/>
        </w:rPr>
        <w:t>（4）参与评标报告的起草；</w:t>
      </w:r>
    </w:p>
    <w:p w14:paraId="32976E53">
      <w:pPr>
        <w:ind w:firstLine="480"/>
        <w:jc w:val="left"/>
        <w:rPr>
          <w:rFonts w:hint="eastAsia" w:ascii="宋体" w:hAnsi="宋体"/>
        </w:rPr>
      </w:pPr>
      <w:r>
        <w:rPr>
          <w:rFonts w:hint="eastAsia" w:ascii="宋体" w:hAnsi="宋体"/>
        </w:rPr>
        <w:t>（5）解答投标供应商及有关方面的质疑；</w:t>
      </w:r>
    </w:p>
    <w:p w14:paraId="0CFDE2C4">
      <w:pPr>
        <w:ind w:firstLine="480"/>
        <w:jc w:val="left"/>
        <w:rPr>
          <w:rFonts w:hint="eastAsia" w:ascii="宋体" w:hAnsi="宋体"/>
        </w:rPr>
      </w:pPr>
      <w:r>
        <w:rPr>
          <w:rFonts w:hint="eastAsia" w:ascii="宋体" w:hAnsi="宋体"/>
        </w:rPr>
        <w:t>（6）配合监管部门进行投诉处理工作。</w:t>
      </w:r>
    </w:p>
    <w:p w14:paraId="2BC0D7E1">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14:paraId="769A6633">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2CED3376">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14:paraId="7209424D">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14:textFill>
            <w14:solidFill>
              <w14:schemeClr w14:val="tx1"/>
            </w14:solidFill>
          </w14:textFill>
        </w:rPr>
        <w:t>20.评标工作程序</w:t>
      </w:r>
      <w:bookmarkEnd w:id="74"/>
      <w:bookmarkEnd w:id="75"/>
      <w:bookmarkEnd w:id="76"/>
    </w:p>
    <w:p w14:paraId="4E55A779">
      <w:pPr>
        <w:ind w:firstLine="480"/>
        <w:jc w:val="left"/>
        <w:rPr>
          <w:rFonts w:hint="eastAsia"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进入符合性评标阶段后，由评标委员会独立开展评标工作，负责审议资格性审查通过的所有投标文件，并对投标文件进行评审、评分。</w:t>
      </w:r>
    </w:p>
    <w:p w14:paraId="66D19E07">
      <w:pPr>
        <w:ind w:firstLine="480"/>
        <w:jc w:val="left"/>
        <w:rPr>
          <w:rFonts w:hint="eastAsia" w:ascii="宋体" w:hAnsi="宋体"/>
          <w:color w:val="000000"/>
          <w:highlight w:val="yellow"/>
        </w:rPr>
      </w:pPr>
      <w:r>
        <w:rPr>
          <w:rFonts w:hint="eastAsia" w:ascii="宋体" w:hAnsi="宋体"/>
          <w:color w:val="000000"/>
        </w:rPr>
        <w:t>20.2 符合性审查时，存在下列情况之一的，按无效投标处理：</w:t>
      </w:r>
    </w:p>
    <w:p w14:paraId="021ED161">
      <w:pPr>
        <w:ind w:firstLine="480"/>
        <w:rPr>
          <w:rFonts w:hint="eastAsia" w:ascii="宋体" w:hAnsi="宋体"/>
          <w:color w:val="000000"/>
        </w:rPr>
      </w:pPr>
      <w:r>
        <w:rPr>
          <w:rFonts w:hint="eastAsia" w:ascii="宋体" w:hAnsi="宋体"/>
          <w:color w:val="000000"/>
        </w:rPr>
        <w:t>（1）未按第11.1.2款（</w:t>
      </w:r>
      <w:r>
        <w:rPr>
          <w:rFonts w:hint="eastAsia" w:ascii="宋体" w:hAnsi="宋体"/>
          <w:color w:val="000000"/>
          <w:lang w:val="en-US" w:eastAsia="zh-CN"/>
        </w:rPr>
        <w:t>12</w:t>
      </w:r>
      <w:r>
        <w:rPr>
          <w:rFonts w:hint="eastAsia" w:ascii="宋体" w:hAnsi="宋体"/>
          <w:color w:val="000000"/>
        </w:rPr>
        <w:t>）-（</w:t>
      </w:r>
      <w:r>
        <w:rPr>
          <w:rFonts w:hint="eastAsia" w:ascii="宋体" w:hAnsi="宋体"/>
          <w:color w:val="000000"/>
          <w:lang w:val="en-US" w:eastAsia="zh-CN"/>
        </w:rPr>
        <w:t>16</w:t>
      </w:r>
      <w:r>
        <w:rPr>
          <w:rFonts w:hint="eastAsia" w:ascii="宋体" w:hAnsi="宋体"/>
          <w:color w:val="000000"/>
        </w:rPr>
        <w:t>）要求提供相关资料的；</w:t>
      </w:r>
    </w:p>
    <w:p w14:paraId="1CAF3623">
      <w:pPr>
        <w:ind w:firstLine="480"/>
        <w:rPr>
          <w:rFonts w:hint="eastAsia" w:ascii="宋体" w:hAnsi="宋体"/>
          <w:color w:val="000000"/>
        </w:rPr>
      </w:pPr>
      <w:r>
        <w:rPr>
          <w:rFonts w:hint="eastAsia" w:ascii="宋体" w:hAnsi="宋体"/>
          <w:color w:val="000000"/>
        </w:rPr>
        <w:t>（2）符合性审查部分没有按招标文件规定和要求签字、盖章的；</w:t>
      </w:r>
    </w:p>
    <w:p w14:paraId="5776C63A">
      <w:pPr>
        <w:ind w:firstLine="480"/>
        <w:rPr>
          <w:rFonts w:hint="eastAsia" w:ascii="宋体" w:hAnsi="宋体"/>
          <w:color w:val="000000"/>
        </w:rPr>
      </w:pPr>
      <w:r>
        <w:rPr>
          <w:rFonts w:hint="eastAsia" w:ascii="宋体" w:hAnsi="宋体"/>
          <w:color w:val="000000"/>
        </w:rPr>
        <w:t>（3）投标人网上报价与投标文件报价不一致且不接受网上报价的；或出现两个或两个以上报价方案的；</w:t>
      </w:r>
    </w:p>
    <w:p w14:paraId="52579A7F">
      <w:pPr>
        <w:ind w:firstLine="480"/>
        <w:rPr>
          <w:rFonts w:hint="eastAsia" w:ascii="宋体" w:hAnsi="宋体"/>
          <w:color w:val="000000"/>
        </w:rPr>
      </w:pPr>
      <w:r>
        <w:rPr>
          <w:rFonts w:hint="eastAsia" w:ascii="宋体" w:hAnsi="宋体"/>
          <w:color w:val="000000"/>
        </w:rPr>
        <w:t>（4）交付期、投标有效期不能满足招标文件要求的；</w:t>
      </w:r>
    </w:p>
    <w:p w14:paraId="72958D2B">
      <w:pPr>
        <w:ind w:firstLine="480"/>
        <w:rPr>
          <w:rFonts w:hint="eastAsia" w:ascii="宋体" w:hAnsi="宋体"/>
          <w:color w:val="000000"/>
        </w:rPr>
      </w:pPr>
      <w:r>
        <w:rPr>
          <w:rFonts w:hint="eastAsia" w:ascii="宋体" w:hAnsi="宋体"/>
          <w:color w:val="000000"/>
        </w:rPr>
        <w:t>（5）投标总报价超过招标文件规定的采购预算或者最高限价的；</w:t>
      </w:r>
    </w:p>
    <w:p w14:paraId="783D9D52">
      <w:pPr>
        <w:ind w:firstLine="480"/>
        <w:rPr>
          <w:rFonts w:hint="eastAsia" w:ascii="宋体" w:hAnsi="宋体"/>
          <w:color w:val="000000"/>
        </w:rPr>
      </w:pPr>
      <w:r>
        <w:rPr>
          <w:rFonts w:hint="eastAsia" w:ascii="宋体" w:hAnsi="宋体"/>
          <w:color w:val="000000"/>
        </w:rPr>
        <w:t>（6）投标产品的技术规格、技术标准、服务标准明显不符合采购项目要求的；</w:t>
      </w:r>
    </w:p>
    <w:p w14:paraId="057CF094">
      <w:pPr>
        <w:ind w:firstLine="480"/>
        <w:rPr>
          <w:rFonts w:hint="eastAsia" w:ascii="宋体" w:hAnsi="宋体"/>
          <w:color w:val="000000"/>
        </w:rPr>
      </w:pPr>
      <w:r>
        <w:rPr>
          <w:rFonts w:hint="eastAsia" w:ascii="宋体" w:hAnsi="宋体"/>
          <w:color w:val="000000"/>
        </w:rPr>
        <w:t>（7）投标产品、服务内容未完全满足招标文件确定的重要技术指标、参数的；</w:t>
      </w:r>
    </w:p>
    <w:p w14:paraId="09B0EA43">
      <w:pPr>
        <w:ind w:firstLine="480"/>
        <w:rPr>
          <w:rFonts w:hint="eastAsia" w:ascii="宋体" w:hAnsi="宋体"/>
          <w:color w:val="000000"/>
        </w:rPr>
      </w:pPr>
      <w:r>
        <w:rPr>
          <w:rFonts w:hint="eastAsia" w:ascii="宋体" w:hAnsi="宋体"/>
          <w:color w:val="000000"/>
        </w:rPr>
        <w:t>（8）投标文件含有采购人不能接受的附加条件的；</w:t>
      </w:r>
    </w:p>
    <w:p w14:paraId="2A1CBDC0">
      <w:pPr>
        <w:ind w:firstLine="480"/>
        <w:rPr>
          <w:rFonts w:hint="eastAsia" w:ascii="宋体" w:hAnsi="宋体"/>
          <w:color w:val="000000"/>
        </w:rPr>
      </w:pPr>
      <w:r>
        <w:rPr>
          <w:rFonts w:hint="eastAsia" w:ascii="宋体" w:hAnsi="宋体"/>
          <w:color w:val="000000"/>
        </w:rPr>
        <w:t>（9）评标委员会认为应按无效投标处理的其他情况；</w:t>
      </w:r>
    </w:p>
    <w:p w14:paraId="3A3AA1A2">
      <w:pPr>
        <w:ind w:firstLine="480"/>
        <w:rPr>
          <w:rFonts w:hint="eastAsia" w:ascii="宋体" w:hAnsi="宋体"/>
          <w:color w:val="000000"/>
        </w:rPr>
      </w:pPr>
      <w:r>
        <w:rPr>
          <w:rFonts w:hint="eastAsia" w:ascii="宋体" w:hAnsi="宋体"/>
          <w:color w:val="000000"/>
        </w:rPr>
        <w:t>（10）法律、法规规定的其他情形。</w:t>
      </w:r>
    </w:p>
    <w:p w14:paraId="20911CB4">
      <w:pPr>
        <w:autoSpaceDE w:val="0"/>
        <w:autoSpaceDN w:val="0"/>
        <w:adjustRightInd w:val="0"/>
        <w:ind w:firstLine="480"/>
        <w:jc w:val="left"/>
        <w:rPr>
          <w:rFonts w:hint="eastAsia"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4C567D">
      <w:pPr>
        <w:ind w:firstLine="480"/>
        <w:jc w:val="left"/>
        <w:rPr>
          <w:rFonts w:hint="eastAsia" w:ascii="Arial"/>
        </w:rPr>
      </w:pPr>
      <w:r>
        <w:rPr>
          <w:rFonts w:hint="eastAsia" w:ascii="宋体" w:hAnsi="宋体"/>
          <w:color w:val="000000"/>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14:paraId="25EFC8D0">
      <w:pPr>
        <w:ind w:firstLine="480"/>
        <w:jc w:val="left"/>
        <w:rPr>
          <w:rFonts w:hint="eastAsia"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14:paraId="62D4D768">
      <w:pPr>
        <w:jc w:val="left"/>
        <w:rPr>
          <w:rFonts w:ascii="宋体" w:hAnsi="宋体"/>
          <w:color w:val="000000" w:themeColor="text1"/>
          <w14:textFill>
            <w14:solidFill>
              <w14:schemeClr w14:val="tx1"/>
            </w14:solidFill>
          </w14:textFill>
        </w:rPr>
      </w:pPr>
    </w:p>
    <w:p w14:paraId="414D70C3">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77" w:name="_Toc67558584"/>
      <w:r>
        <w:rPr>
          <w:rFonts w:hint="eastAsia" w:ascii="宋体" w:hAnsi="宋体"/>
          <w:b/>
          <w:bCs/>
          <w:color w:val="000000" w:themeColor="text1"/>
          <w:kern w:val="0"/>
          <w:sz w:val="27"/>
          <w:szCs w:val="27"/>
          <w14:textFill>
            <w14:solidFill>
              <w14:schemeClr w14:val="tx1"/>
            </w14:solidFill>
          </w14:textFill>
        </w:rPr>
        <w:t>21.答疑的方式和情形</w:t>
      </w:r>
      <w:bookmarkEnd w:id="77"/>
    </w:p>
    <w:p w14:paraId="60E6BD57">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 答疑方式：详见第一部分投标人须知前附表“答疑方式”。</w:t>
      </w:r>
    </w:p>
    <w:p w14:paraId="65A92F07">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21.2 </w:t>
      </w:r>
      <w:r>
        <w:rPr>
          <w:rFonts w:ascii="宋体" w:hAnsi="宋体"/>
          <w:color w:val="000000" w:themeColor="text1"/>
          <w14:textFill>
            <w14:solidFill>
              <w14:schemeClr w14:val="tx1"/>
            </w14:solidFill>
          </w14:textFill>
        </w:rPr>
        <w:t>对</w:t>
      </w:r>
      <w:r>
        <w:rPr>
          <w:rFonts w:ascii="Arial" w:hAnsi="Arial" w:cs="Arial"/>
          <w:color w:val="000000" w:themeColor="text1"/>
          <w:kern w:val="0"/>
          <w14:textFill>
            <w14:solidFill>
              <w14:schemeClr w14:val="tx1"/>
            </w14:solidFill>
          </w14:textFill>
        </w:rPr>
        <w:t>于投标文件中含义不明确、同类问题表述不一致或者有明显文字和计算错误的内容，评标委员会</w:t>
      </w:r>
      <w:r>
        <w:rPr>
          <w:rFonts w:hint="eastAsia" w:ascii="Arial" w:hAnsi="Arial" w:cs="Arial"/>
          <w:color w:val="000000" w:themeColor="text1"/>
          <w:kern w:val="0"/>
          <w14:textFill>
            <w14:solidFill>
              <w14:schemeClr w14:val="tx1"/>
            </w14:solidFill>
          </w14:textFill>
        </w:rPr>
        <w:t>应当</w:t>
      </w:r>
      <w:r>
        <w:rPr>
          <w:rFonts w:ascii="Arial" w:hAnsi="Arial" w:cs="Arial"/>
          <w:color w:val="000000" w:themeColor="text1"/>
          <w:kern w:val="0"/>
          <w14:textFill>
            <w14:solidFill>
              <w14:schemeClr w14:val="tx1"/>
            </w14:solidFill>
          </w14:textFill>
        </w:rPr>
        <w:t>要求投标人作出必要的澄清、说明或者补正。投标人的澄清、说明或者补正</w:t>
      </w:r>
      <w:r>
        <w:rPr>
          <w:rFonts w:hint="eastAsia" w:ascii="宋体" w:hAnsi="宋体"/>
          <w:color w:val="000000" w:themeColor="text1"/>
          <w14:textFill>
            <w14:solidFill>
              <w14:schemeClr w14:val="tx1"/>
            </w14:solidFill>
          </w14:textFill>
        </w:rPr>
        <w:t>不得超出投标文件的范围或者改变投标文件的实质性内容，并作为投标文件的组成部分。</w:t>
      </w:r>
    </w:p>
    <w:p w14:paraId="2D7DF135">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21.3 答疑期间，投标人存在以下情况的，</w:t>
      </w:r>
      <w:r>
        <w:rPr>
          <w:rFonts w:ascii="宋体" w:hAnsi="宋体"/>
          <w:color w:val="000000" w:themeColor="text1"/>
          <w14:textFill>
            <w14:solidFill>
              <w14:schemeClr w14:val="tx1"/>
            </w14:solidFill>
          </w14:textFill>
        </w:rPr>
        <w:t>澄清</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的内容将不予接受，评标委员会将按照招标文件的要求对现有的投标资料做出评审意见：</w:t>
      </w:r>
    </w:p>
    <w:p w14:paraId="68E917FA">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（1）拒绝或在规定的时间内未做出澄清、说明；</w:t>
      </w:r>
    </w:p>
    <w:p w14:paraId="0EFF4708">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Arial" w:hAnsi="Arial" w:cs="Arial"/>
          <w:color w:val="000000" w:themeColor="text1"/>
          <w:kern w:val="0"/>
          <w14:textFill>
            <w14:solidFill>
              <w14:schemeClr w14:val="tx1"/>
            </w14:solidFill>
          </w14:textFill>
        </w:rPr>
        <w:t>投标人的澄清、说明或者补正</w:t>
      </w:r>
      <w:r>
        <w:rPr>
          <w:rFonts w:hint="eastAsia" w:ascii="宋体" w:hAnsi="宋体"/>
          <w:color w:val="000000" w:themeColor="text1"/>
          <w14:textFill>
            <w14:solidFill>
              <w14:schemeClr w14:val="tx1"/>
            </w14:solidFill>
          </w14:textFill>
        </w:rPr>
        <w:t>超出投标文件的范围或者改变投标文件的实质性内容；</w:t>
      </w:r>
    </w:p>
    <w:p w14:paraId="356A6C1C">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（3）澄清、说明的内容仍不能说明问题的；</w:t>
      </w:r>
    </w:p>
    <w:p w14:paraId="6AF85EA3">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投标人主动提出的澄清</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说明</w:t>
      </w:r>
      <w:r>
        <w:rPr>
          <w:rFonts w:hint="eastAsia" w:ascii="宋体" w:hAnsi="宋体"/>
          <w:color w:val="000000" w:themeColor="text1"/>
          <w14:textFill>
            <w14:solidFill>
              <w14:schemeClr w14:val="tx1"/>
            </w14:solidFill>
          </w14:textFill>
        </w:rPr>
        <w:t>的内容；</w:t>
      </w:r>
    </w:p>
    <w:p w14:paraId="47774C3B">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（5）评标委员会认为应不予接受的其他情况。</w:t>
      </w:r>
    </w:p>
    <w:p w14:paraId="2A28F8C0">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78" w:name="_Toc325726024"/>
      <w:bookmarkStart w:id="79" w:name="_Toc67558585"/>
      <w:bookmarkStart w:id="80" w:name="_Toc376936755"/>
      <w:r>
        <w:rPr>
          <w:rFonts w:hint="eastAsia" w:ascii="宋体" w:hAnsi="宋体"/>
          <w:b/>
          <w:bCs/>
          <w:color w:val="000000" w:themeColor="text1"/>
          <w:kern w:val="0"/>
          <w:sz w:val="27"/>
          <w:szCs w:val="27"/>
          <w14:textFill>
            <w14:solidFill>
              <w14:schemeClr w14:val="tx1"/>
            </w14:solidFill>
          </w14:textFill>
        </w:rPr>
        <w:t>22.评标办法</w:t>
      </w:r>
      <w:bookmarkEnd w:id="78"/>
      <w:bookmarkEnd w:id="79"/>
      <w:bookmarkEnd w:id="80"/>
    </w:p>
    <w:p w14:paraId="541A5219">
      <w:pPr>
        <w:ind w:firstLine="480"/>
        <w:jc w:val="left"/>
        <w:rPr>
          <w:rFonts w:hint="eastAsia" w:ascii="宋体" w:hAnsi="宋体"/>
        </w:rPr>
      </w:pPr>
      <w:r>
        <w:rPr>
          <w:rFonts w:hint="eastAsia" w:ascii="宋体" w:hAnsi="宋体"/>
          <w:color w:val="000000"/>
        </w:rPr>
        <w:t>22.1依照《中华人民共和国政府采购法》、《中华人民共和国政府采购法实施条例》、财政部《政府采购货物和服务招标投标管理办法》的规定，结合该项目的特点制定本评标办法，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14:paraId="29C03237">
      <w:pPr>
        <w:ind w:firstLine="480"/>
        <w:jc w:val="left"/>
        <w:rPr>
          <w:rFonts w:hint="eastAsia" w:ascii="宋体" w:hAnsi="宋体"/>
          <w:color w:val="000000"/>
        </w:rPr>
      </w:pPr>
      <w:r>
        <w:rPr>
          <w:rFonts w:hint="eastAsia" w:ascii="宋体" w:hAnsi="宋体"/>
          <w:color w:val="000000"/>
        </w:rPr>
        <w:t>本次综合评分的主要因素是：投标报价、技术服务方案及质量保障服务及类似业绩。</w:t>
      </w:r>
    </w:p>
    <w:p w14:paraId="034B4824">
      <w:pPr>
        <w:ind w:firstLine="480"/>
        <w:jc w:val="left"/>
        <w:rPr>
          <w:rFonts w:hint="eastAsia" w:ascii="宋体" w:hAnsi="宋体"/>
          <w:b/>
          <w:bCs/>
          <w:color w:val="000000"/>
        </w:rPr>
      </w:pPr>
      <w:r>
        <w:rPr>
          <w:rFonts w:hint="eastAsia" w:ascii="宋体" w:hAnsi="宋体"/>
          <w:color w:val="000000"/>
        </w:rPr>
        <w:t>根据《政府采购促进中小企业发展管理办法》，属中小企业承接的服务（产品），投标人须提供《中小企业声明函》（详见附件17），其划型标准严格按照国家工信部、国家统计局、国家发改委、财政部出台的《中小企业划型标准规定》（工信部联企业[2011]300号）执行。</w:t>
      </w:r>
      <w:r>
        <w:rPr>
          <w:rFonts w:hint="eastAsia" w:ascii="宋体" w:hAnsi="宋体"/>
          <w:b/>
          <w:bCs/>
          <w:color w:val="000000"/>
        </w:rPr>
        <w:t>投标人提供的《中小企业声明函》资料必须真实，如有虚假，将依法承担相应责任。</w:t>
      </w:r>
    </w:p>
    <w:p w14:paraId="0AE52D42">
      <w:pPr>
        <w:ind w:firstLine="480"/>
        <w:jc w:val="left"/>
        <w:rPr>
          <w:rFonts w:hint="eastAsia" w:ascii="宋体" w:hAnsi="宋体"/>
          <w:color w:val="000000"/>
        </w:rPr>
      </w:pPr>
      <w:r>
        <w:rPr>
          <w:rFonts w:hint="eastAsia" w:ascii="宋体" w:hAnsi="宋体"/>
          <w:color w:val="000000"/>
        </w:rPr>
        <w:t>根据财政部、民政部、中国残疾人联合会出台的《关于促进残疾人就业政府采购政策的通知》（财库[2017]141号），属残疾人福利性单位的，投标人须提供《残疾人福利性单位声明函》（详见附件18），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bCs/>
          <w:color w:val="000000"/>
        </w:rPr>
        <w:t>投标人提供的《残疾人福利性单位声明函》资料必须真实，如有虚假，将依法承担相应责任</w:t>
      </w:r>
      <w:r>
        <w:rPr>
          <w:rFonts w:hint="eastAsia" w:ascii="宋体" w:hAnsi="宋体"/>
          <w:color w:val="000000"/>
        </w:rPr>
        <w:t>。</w:t>
      </w:r>
    </w:p>
    <w:p w14:paraId="4D7326E4">
      <w:pPr>
        <w:ind w:firstLine="480"/>
        <w:jc w:val="left"/>
        <w:rPr>
          <w:rFonts w:hint="eastAsia" w:ascii="宋体" w:hAnsi="宋体"/>
          <w:color w:val="000000"/>
        </w:rPr>
      </w:pPr>
      <w:r>
        <w:rPr>
          <w:rFonts w:hint="eastAsia" w:ascii="宋体" w:hAnsi="宋体" w:cs="宋体"/>
          <w:color w:val="000000"/>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3A91957E">
      <w:pPr>
        <w:ind w:firstLine="480"/>
        <w:jc w:val="left"/>
        <w:rPr>
          <w:rFonts w:hint="eastAsia" w:ascii="宋体" w:hAnsi="宋体" w:cs="宋体"/>
          <w:color w:val="000000" w:themeColor="text1"/>
          <w14:textFill>
            <w14:solidFill>
              <w14:schemeClr w14:val="tx1"/>
            </w14:solidFill>
          </w14:textFill>
        </w:rPr>
      </w:pPr>
    </w:p>
    <w:p w14:paraId="295B4F5A">
      <w:pPr>
        <w:ind w:firstLine="480"/>
        <w:jc w:val="left"/>
        <w:rPr>
          <w:rFonts w:hint="eastAsia" w:ascii="宋体" w:hAnsi="宋体" w:cs="宋体"/>
          <w:color w:val="000000" w:themeColor="text1"/>
          <w14:textFill>
            <w14:solidFill>
              <w14:schemeClr w14:val="tx1"/>
            </w14:solidFill>
          </w14:textFill>
        </w:rPr>
      </w:pPr>
    </w:p>
    <w:p w14:paraId="6330FA94">
      <w:pPr>
        <w:ind w:firstLine="480"/>
        <w:jc w:val="left"/>
        <w:rPr>
          <w:rFonts w:hint="eastAsia" w:ascii="宋体" w:hAnsi="宋体" w:cs="宋体"/>
          <w:color w:val="000000" w:themeColor="text1"/>
          <w14:textFill>
            <w14:solidFill>
              <w14:schemeClr w14:val="tx1"/>
            </w14:solidFill>
          </w14:textFill>
        </w:rPr>
      </w:pPr>
    </w:p>
    <w:p w14:paraId="6254BF7C">
      <w:pPr>
        <w:ind w:firstLine="480"/>
        <w:jc w:val="left"/>
        <w:rPr>
          <w:rFonts w:hint="eastAsia" w:ascii="宋体" w:hAnsi="宋体" w:cs="宋体"/>
          <w:color w:val="000000" w:themeColor="text1"/>
          <w14:textFill>
            <w14:solidFill>
              <w14:schemeClr w14:val="tx1"/>
            </w14:solidFill>
          </w14:textFill>
        </w:rPr>
      </w:pPr>
    </w:p>
    <w:p w14:paraId="7D98A816">
      <w:pPr>
        <w:ind w:firstLine="480"/>
        <w:jc w:val="left"/>
        <w:rPr>
          <w:rFonts w:hint="eastAsia" w:ascii="宋体" w:hAnsi="宋体" w:cs="宋体"/>
          <w:color w:val="000000" w:themeColor="text1"/>
          <w14:textFill>
            <w14:solidFill>
              <w14:schemeClr w14:val="tx1"/>
            </w14:solidFill>
          </w14:textFill>
        </w:rPr>
      </w:pPr>
    </w:p>
    <w:p w14:paraId="6418F701">
      <w:pPr>
        <w:ind w:firstLine="480"/>
        <w:jc w:val="left"/>
        <w:rPr>
          <w:rFonts w:hint="eastAsia" w:ascii="宋体" w:hAnsi="宋体" w:cs="宋体"/>
          <w:color w:val="000000" w:themeColor="text1"/>
          <w14:textFill>
            <w14:solidFill>
              <w14:schemeClr w14:val="tx1"/>
            </w14:solidFill>
          </w14:textFill>
        </w:rPr>
      </w:pPr>
    </w:p>
    <w:p w14:paraId="7C8DCA9E">
      <w:pPr>
        <w:ind w:firstLine="480"/>
        <w:jc w:val="left"/>
        <w:rPr>
          <w:rFonts w:hint="eastAsia" w:ascii="宋体" w:hAnsi="宋体" w:cs="宋体"/>
          <w:color w:val="000000" w:themeColor="text1"/>
          <w14:textFill>
            <w14:solidFill>
              <w14:schemeClr w14:val="tx1"/>
            </w14:solidFill>
          </w14:textFill>
        </w:rPr>
      </w:pPr>
    </w:p>
    <w:p w14:paraId="2E1768BF">
      <w:pPr>
        <w:ind w:firstLine="480"/>
        <w:jc w:val="left"/>
        <w:rPr>
          <w:rFonts w:hint="eastAsia" w:ascii="宋体" w:hAnsi="宋体" w:cs="宋体"/>
          <w:color w:val="000000" w:themeColor="text1"/>
          <w14:textFill>
            <w14:solidFill>
              <w14:schemeClr w14:val="tx1"/>
            </w14:solidFill>
          </w14:textFill>
        </w:rPr>
      </w:pPr>
    </w:p>
    <w:p w14:paraId="35FAF1FD">
      <w:pPr>
        <w:ind w:firstLine="480"/>
        <w:jc w:val="left"/>
        <w:rPr>
          <w:rFonts w:hint="eastAsia" w:ascii="宋体" w:hAnsi="宋体" w:cs="宋体"/>
          <w:color w:val="000000" w:themeColor="text1"/>
          <w14:textFill>
            <w14:solidFill>
              <w14:schemeClr w14:val="tx1"/>
            </w14:solidFill>
          </w14:textFill>
        </w:rPr>
      </w:pPr>
    </w:p>
    <w:p w14:paraId="4126F2D4">
      <w:pPr>
        <w:jc w:val="left"/>
        <w:rPr>
          <w:rFonts w:hint="eastAsia" w:ascii="宋体" w:hAnsi="宋体" w:eastAsia="宋体" w:cs="宋体"/>
          <w:color w:val="000000"/>
        </w:rPr>
      </w:pPr>
      <w:bookmarkStart w:id="81" w:name="_Toc67558586"/>
      <w:bookmarkStart w:id="82" w:name="_Toc325726025"/>
      <w:bookmarkStart w:id="83" w:name="_Toc376936756"/>
    </w:p>
    <w:p w14:paraId="3E68F9DB">
      <w:pPr>
        <w:jc w:val="left"/>
        <w:rPr>
          <w:rFonts w:hint="eastAsia" w:ascii="宋体" w:hAnsi="宋体" w:eastAsia="宋体" w:cs="宋体"/>
          <w:color w:val="000000"/>
        </w:rPr>
      </w:pPr>
      <w:r>
        <w:rPr>
          <w:rFonts w:hint="eastAsia" w:ascii="宋体" w:hAnsi="宋体" w:eastAsia="宋体" w:cs="宋体"/>
          <w:color w:val="000000"/>
        </w:rPr>
        <w:t>评标标准和分值分配：</w:t>
      </w:r>
    </w:p>
    <w:p w14:paraId="32BE2593">
      <w:pPr>
        <w:jc w:val="left"/>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包一：软件</w:t>
      </w:r>
    </w:p>
    <w:tbl>
      <w:tblPr>
        <w:tblStyle w:val="20"/>
        <w:tblW w:w="9614" w:type="dxa"/>
        <w:tblInd w:w="-966" w:type="dxa"/>
        <w:shd w:val="clear" w:color="auto" w:fill="auto"/>
        <w:tblLayout w:type="fixed"/>
        <w:tblCellMar>
          <w:top w:w="0" w:type="dxa"/>
          <w:left w:w="0" w:type="dxa"/>
          <w:bottom w:w="0" w:type="dxa"/>
          <w:right w:w="0" w:type="dxa"/>
        </w:tblCellMar>
      </w:tblPr>
      <w:tblGrid>
        <w:gridCol w:w="1145"/>
        <w:gridCol w:w="1405"/>
        <w:gridCol w:w="7064"/>
      </w:tblGrid>
      <w:tr w14:paraId="1FC391EA">
        <w:tblPrEx>
          <w:shd w:val="clear" w:color="auto" w:fill="auto"/>
          <w:tblCellMar>
            <w:top w:w="0" w:type="dxa"/>
            <w:left w:w="0" w:type="dxa"/>
            <w:bottom w:w="0" w:type="dxa"/>
            <w:right w:w="0" w:type="dxa"/>
          </w:tblCellMar>
        </w:tblPrEx>
        <w:trPr>
          <w:trHeight w:val="375"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9D8FC">
            <w:pPr>
              <w:pStyle w:val="17"/>
              <w:bidi w:val="0"/>
              <w:rPr>
                <w:rFonts w:hint="eastAsia"/>
                <w:b w:val="0"/>
                <w:bCs w:val="0"/>
              </w:rPr>
            </w:pPr>
            <w:r>
              <w:rPr>
                <w:rFonts w:hint="eastAsia"/>
                <w:b w:val="0"/>
                <w:bCs w:val="0"/>
                <w:lang w:val="en-US" w:eastAsia="zh-CN"/>
              </w:rPr>
              <w:t>评审类别</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BF47">
            <w:pPr>
              <w:keepNext w:val="0"/>
              <w:keepLines w:val="0"/>
              <w:widowControl/>
              <w:suppressLineNumbers w:val="0"/>
              <w:jc w:val="center"/>
              <w:textAlignment w:val="center"/>
              <w:rPr>
                <w:rFonts w:hint="eastAsia" w:ascii="宋体" w:hAnsi="宋体" w:eastAsia="宋体" w:cs="宋体"/>
                <w:b w:val="0"/>
                <w:bCs w:val="0"/>
                <w:i w:val="0"/>
                <w:color w:val="auto"/>
                <w:sz w:val="28"/>
                <w:szCs w:val="28"/>
                <w:u w:val="none"/>
              </w:rPr>
            </w:pPr>
            <w:r>
              <w:rPr>
                <w:rFonts w:hint="eastAsia" w:ascii="宋体" w:hAnsi="宋体" w:eastAsia="宋体" w:cs="宋体"/>
                <w:b w:val="0"/>
                <w:bCs w:val="0"/>
                <w:i w:val="0"/>
                <w:color w:val="auto"/>
                <w:kern w:val="0"/>
                <w:sz w:val="28"/>
                <w:szCs w:val="28"/>
                <w:u w:val="none"/>
                <w:lang w:val="en-US" w:eastAsia="zh-CN" w:bidi="ar"/>
              </w:rPr>
              <w:t>评审因素</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D1879">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val="0"/>
                <w:bCs/>
                <w:i w:val="0"/>
                <w:color w:val="auto"/>
                <w:kern w:val="0"/>
                <w:sz w:val="28"/>
                <w:szCs w:val="28"/>
                <w:u w:val="none"/>
                <w:lang w:val="en-US" w:eastAsia="zh-CN" w:bidi="ar"/>
              </w:rPr>
              <w:t>评分标准</w:t>
            </w:r>
          </w:p>
        </w:tc>
      </w:tr>
      <w:tr w14:paraId="131FC8DA">
        <w:tblPrEx>
          <w:shd w:val="clear" w:color="auto" w:fill="auto"/>
          <w:tblCellMar>
            <w:top w:w="0" w:type="dxa"/>
            <w:left w:w="0" w:type="dxa"/>
            <w:bottom w:w="0" w:type="dxa"/>
            <w:right w:w="0" w:type="dxa"/>
          </w:tblCellMar>
        </w:tblPrEx>
        <w:trPr>
          <w:trHeight w:val="1585"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237E">
            <w:pPr>
              <w:jc w:val="left"/>
              <w:rPr>
                <w:rFonts w:hint="eastAsia" w:ascii="宋体" w:hAnsi="宋体" w:cs="宋体"/>
                <w:color w:val="000000"/>
                <w:highlight w:val="none"/>
              </w:rPr>
            </w:pPr>
            <w:r>
              <w:rPr>
                <w:rFonts w:hint="eastAsia" w:ascii="宋体" w:hAnsi="宋体" w:cs="宋体"/>
                <w:color w:val="000000"/>
                <w:highlight w:val="none"/>
                <w:lang w:val="en-US" w:eastAsia="zh-CN"/>
              </w:rPr>
              <w:t>投标报价</w:t>
            </w:r>
            <w:r>
              <w:rPr>
                <w:rFonts w:hint="eastAsia" w:ascii="宋体" w:hAnsi="宋体" w:cs="宋体"/>
                <w:color w:val="000000"/>
                <w:highlight w:val="none"/>
                <w:lang w:val="en-US" w:eastAsia="zh-CN"/>
              </w:rPr>
              <w:br w:type="textWrapping"/>
            </w:r>
            <w:r>
              <w:rPr>
                <w:rFonts w:hint="eastAsia" w:ascii="宋体" w:hAnsi="宋体" w:cs="宋体"/>
                <w:color w:val="000000"/>
                <w:highlight w:val="none"/>
                <w:lang w:val="en-US" w:eastAsia="zh-CN"/>
              </w:rPr>
              <w:t>（20分）</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CA88">
            <w:pPr>
              <w:jc w:val="left"/>
              <w:rPr>
                <w:rFonts w:hint="eastAsia" w:ascii="宋体" w:hAnsi="宋体" w:cs="宋体"/>
                <w:color w:val="000000"/>
                <w:highlight w:val="none"/>
              </w:rPr>
            </w:pPr>
            <w:r>
              <w:rPr>
                <w:rFonts w:hint="eastAsia" w:ascii="宋体" w:hAnsi="宋体" w:cs="宋体"/>
                <w:color w:val="000000"/>
                <w:highlight w:val="none"/>
                <w:lang w:val="en-US" w:eastAsia="zh-CN"/>
              </w:rPr>
              <w:t>报价分</w:t>
            </w:r>
            <w:r>
              <w:rPr>
                <w:rFonts w:hint="eastAsia" w:ascii="宋体" w:hAnsi="宋体" w:cs="宋体"/>
                <w:color w:val="000000"/>
                <w:highlight w:val="none"/>
                <w:lang w:val="en-US" w:eastAsia="zh-CN"/>
              </w:rPr>
              <w:br w:type="textWrapping"/>
            </w:r>
            <w:r>
              <w:rPr>
                <w:rFonts w:hint="eastAsia" w:ascii="宋体" w:hAnsi="宋体" w:cs="宋体"/>
                <w:color w:val="000000"/>
                <w:highlight w:val="none"/>
                <w:lang w:val="en-US" w:eastAsia="zh-CN"/>
              </w:rPr>
              <w:t>（20分）</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ED12">
            <w:pPr>
              <w:widowControl/>
              <w:ind w:firstLine="420" w:firstLineChars="200"/>
              <w:jc w:val="left"/>
              <w:rPr>
                <w:rFonts w:hint="eastAsia" w:ascii="宋体" w:hAnsi="宋体" w:eastAsia="宋体" w:cs="仿宋"/>
                <w:color w:val="000000"/>
                <w:kern w:val="0"/>
                <w:highlight w:val="none"/>
                <w:lang w:bidi="ar"/>
              </w:rPr>
            </w:pPr>
            <w:r>
              <w:rPr>
                <w:rFonts w:ascii="宋体" w:hAnsi="宋体" w:eastAsia="宋体" w:cs="仿宋"/>
                <w:color w:val="000000"/>
                <w:kern w:val="0"/>
                <w:highlight w:val="none"/>
                <w:lang w:bidi="ar"/>
              </w:rPr>
              <w:t>在所有的有效投标报价中，以最低投 标报价为基准价，其价格分为满分。 其他投标人的报价分统一按下列公式 计算：投标报价得分= (评标基准价/ 投标报价)×价格权值（</w:t>
            </w:r>
            <w:r>
              <w:rPr>
                <w:rFonts w:hint="eastAsia" w:ascii="宋体" w:hAnsi="宋体" w:eastAsia="宋体" w:cs="仿宋"/>
                <w:color w:val="000000"/>
                <w:kern w:val="0"/>
                <w:highlight w:val="none"/>
                <w:lang w:bidi="ar"/>
              </w:rPr>
              <w:t>20</w:t>
            </w:r>
            <w:r>
              <w:rPr>
                <w:rFonts w:ascii="宋体" w:hAnsi="宋体" w:eastAsia="宋体" w:cs="仿宋"/>
                <w:color w:val="000000"/>
                <w:kern w:val="0"/>
                <w:highlight w:val="none"/>
                <w:lang w:bidi="ar"/>
              </w:rPr>
              <w:t xml:space="preserve">%） ×100（四舍五入后保留小数点后两位）。 </w:t>
            </w:r>
          </w:p>
          <w:p w14:paraId="33F9A3CE">
            <w:pPr>
              <w:widowControl/>
              <w:ind w:firstLine="420" w:firstLineChars="200"/>
              <w:jc w:val="left"/>
              <w:rPr>
                <w:rFonts w:hint="eastAsia" w:ascii="宋体" w:hAnsi="宋体" w:eastAsia="宋体" w:cs="仿宋"/>
                <w:color w:val="000000"/>
                <w:kern w:val="0"/>
                <w:highlight w:val="none"/>
                <w:lang w:bidi="ar"/>
              </w:rPr>
            </w:pPr>
            <w:r>
              <w:rPr>
                <w:rFonts w:hint="eastAsia" w:ascii="宋体" w:hAnsi="宋体" w:eastAsia="宋体" w:cs="仿宋"/>
                <w:color w:val="000000"/>
                <w:kern w:val="0"/>
                <w:highlight w:val="none"/>
                <w:lang w:bidi="ar"/>
              </w:rPr>
              <w:t>备注：1、</w:t>
            </w:r>
            <w:r>
              <w:rPr>
                <w:rFonts w:ascii="宋体" w:hAnsi="宋体" w:eastAsia="宋体" w:cs="仿宋"/>
                <w:color w:val="000000"/>
                <w:kern w:val="0"/>
                <w:highlight w:val="none"/>
                <w:lang w:bidi="ar"/>
              </w:rPr>
              <w:t>根据《政府采购促进中小企业 发展管理办法》（财库【2020】46 号）、《关于促进残疾人就业政府采购政策 的通知》的相关规定，对残疾人福利 性单位、小型和微型企业制造（生产）产品的价格给予 10%的扣除，用扣除 后的价格参与评标。残疾人福利性单 位属于小型、微型企业的，不重复享 受政策。价格分采用低价优先法计算，即满足招标文件要求且投标报价最低 的投标报价为评标基准价，其价格分为满分。</w:t>
            </w:r>
          </w:p>
          <w:p w14:paraId="458B8B90">
            <w:pPr>
              <w:widowControl/>
              <w:jc w:val="left"/>
              <w:rPr>
                <w:rFonts w:hint="eastAsia" w:ascii="宋体" w:hAnsi="宋体" w:eastAsia="宋体" w:cs="仿宋"/>
                <w:color w:val="000000"/>
                <w:kern w:val="0"/>
                <w:highlight w:val="none"/>
                <w:lang w:bidi="ar"/>
              </w:rPr>
            </w:pPr>
            <w:r>
              <w:rPr>
                <w:rFonts w:ascii="宋体" w:hAnsi="宋体" w:eastAsia="宋体" w:cs="仿宋"/>
                <w:color w:val="000000"/>
                <w:kern w:val="0"/>
                <w:highlight w:val="none"/>
                <w:lang w:bidi="ar"/>
              </w:rPr>
              <w:t>2、残疾人福利性单位属于小型、微型 企业的，不重复享受政策。</w:t>
            </w:r>
          </w:p>
          <w:p w14:paraId="7FED82AB">
            <w:pPr>
              <w:jc w:val="left"/>
              <w:rPr>
                <w:rFonts w:hint="eastAsia" w:ascii="宋体" w:hAnsi="宋体" w:eastAsia="宋体" w:cs="仿宋"/>
                <w:color w:val="000000"/>
                <w:kern w:val="0"/>
                <w:highlight w:val="none"/>
                <w:lang w:bidi="ar"/>
              </w:rPr>
            </w:pPr>
            <w:r>
              <w:rPr>
                <w:rFonts w:ascii="宋体" w:hAnsi="宋体" w:eastAsia="宋体" w:cs="仿宋"/>
                <w:color w:val="000000"/>
                <w:kern w:val="0"/>
                <w:highlight w:val="none"/>
                <w:lang w:bidi="ar"/>
              </w:rPr>
              <w:t>3、根据《关于促进残疾人就业政府采 购政策的通知》（财库【2017】141 号）， 残疾人福利性单位视同小型、微型企业</w:t>
            </w:r>
            <w:r>
              <w:rPr>
                <w:rFonts w:hint="eastAsia" w:ascii="宋体" w:hAnsi="宋体" w:eastAsia="宋体" w:cs="仿宋"/>
                <w:color w:val="000000"/>
                <w:kern w:val="0"/>
                <w:highlight w:val="none"/>
                <w:lang w:eastAsia="zh-CN" w:bidi="ar"/>
              </w:rPr>
              <w:t>。</w:t>
            </w:r>
          </w:p>
        </w:tc>
      </w:tr>
      <w:tr w14:paraId="0F6482B1">
        <w:tblPrEx>
          <w:shd w:val="clear" w:color="auto" w:fill="auto"/>
          <w:tblCellMar>
            <w:top w:w="0" w:type="dxa"/>
            <w:left w:w="0" w:type="dxa"/>
            <w:bottom w:w="0" w:type="dxa"/>
            <w:right w:w="0" w:type="dxa"/>
          </w:tblCellMar>
        </w:tblPrEx>
        <w:trPr>
          <w:trHeight w:val="1036" w:hRule="atLeast"/>
        </w:trPr>
        <w:tc>
          <w:tcPr>
            <w:tcW w:w="11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55F2F73">
            <w:pPr>
              <w:jc w:val="left"/>
              <w:rPr>
                <w:rFonts w:hint="eastAsia" w:ascii="宋体" w:hAnsi="宋体" w:cs="宋体"/>
                <w:color w:val="000000"/>
                <w:highlight w:val="none"/>
              </w:rPr>
            </w:pPr>
            <w:r>
              <w:rPr>
                <w:rFonts w:hint="eastAsia" w:ascii="宋体" w:hAnsi="宋体" w:cs="宋体"/>
                <w:color w:val="000000"/>
                <w:highlight w:val="none"/>
                <w:lang w:val="en-US" w:eastAsia="zh-CN"/>
              </w:rPr>
              <w:t>商务部分</w:t>
            </w:r>
            <w:r>
              <w:rPr>
                <w:rFonts w:hint="eastAsia" w:ascii="宋体" w:hAnsi="宋体" w:cs="宋体"/>
                <w:color w:val="000000"/>
                <w:highlight w:val="none"/>
                <w:lang w:val="en-US" w:eastAsia="zh-CN"/>
              </w:rPr>
              <w:br w:type="textWrapping"/>
            </w:r>
            <w:r>
              <w:rPr>
                <w:rFonts w:hint="eastAsia" w:ascii="宋体" w:hAnsi="宋体" w:cs="宋体"/>
                <w:color w:val="000000"/>
                <w:highlight w:val="none"/>
                <w:lang w:val="en-US" w:eastAsia="zh-CN"/>
              </w:rPr>
              <w:t>（15分）</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AFD6">
            <w:pPr>
              <w:jc w:val="left"/>
              <w:rPr>
                <w:rFonts w:hint="eastAsia" w:ascii="宋体" w:hAnsi="宋体" w:cs="宋体"/>
                <w:color w:val="000000"/>
                <w:highlight w:val="none"/>
              </w:rPr>
            </w:pPr>
            <w:r>
              <w:rPr>
                <w:rFonts w:hint="eastAsia" w:ascii="宋体" w:hAnsi="宋体" w:cs="宋体"/>
                <w:color w:val="000000"/>
                <w:highlight w:val="none"/>
                <w:lang w:val="en-US" w:eastAsia="zh-CN"/>
              </w:rPr>
              <w:t>业绩情况</w:t>
            </w:r>
            <w:r>
              <w:rPr>
                <w:rFonts w:hint="eastAsia" w:ascii="宋体" w:hAnsi="宋体" w:cs="宋体"/>
                <w:color w:val="000000"/>
                <w:highlight w:val="none"/>
                <w:lang w:val="en-US" w:eastAsia="zh-CN"/>
              </w:rPr>
              <w:br w:type="textWrapping"/>
            </w:r>
            <w:r>
              <w:rPr>
                <w:rFonts w:hint="eastAsia" w:ascii="宋体" w:hAnsi="宋体" w:cs="宋体"/>
                <w:color w:val="000000"/>
                <w:highlight w:val="none"/>
                <w:lang w:val="en-US" w:eastAsia="zh-CN"/>
              </w:rPr>
              <w:t>（5分）</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C4E91">
            <w:pPr>
              <w:ind w:firstLine="420" w:firstLineChars="200"/>
              <w:jc w:val="left"/>
              <w:rPr>
                <w:rFonts w:hint="eastAsia" w:ascii="宋体" w:hAnsi="宋体" w:cs="宋体"/>
                <w:color w:val="000000"/>
                <w:highlight w:val="none"/>
              </w:rPr>
            </w:pPr>
            <w:r>
              <w:rPr>
                <w:rFonts w:hint="eastAsia" w:ascii="宋体" w:hAnsi="宋体" w:cs="宋体"/>
                <w:color w:val="000000"/>
                <w:highlight w:val="none"/>
                <w:lang w:val="en-US" w:eastAsia="zh-CN"/>
              </w:rPr>
              <w:t>投标人提供近三年（2021年10月-至今）的类似业绩证明材料的，每提供一项得1分，满分5分。（需提供合同复印件或中标通知书复印件，至少包含甲乙双方名称、项目名称、双方盖章及生效时间）</w:t>
            </w:r>
          </w:p>
        </w:tc>
      </w:tr>
      <w:tr w14:paraId="62870947">
        <w:tblPrEx>
          <w:shd w:val="clear" w:color="auto" w:fill="auto"/>
          <w:tblCellMar>
            <w:top w:w="0" w:type="dxa"/>
            <w:left w:w="0" w:type="dxa"/>
            <w:bottom w:w="0" w:type="dxa"/>
            <w:right w:w="0" w:type="dxa"/>
          </w:tblCellMar>
        </w:tblPrEx>
        <w:trPr>
          <w:trHeight w:val="1036" w:hRule="atLeast"/>
        </w:trPr>
        <w:tc>
          <w:tcPr>
            <w:tcW w:w="11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246CA63">
            <w:pPr>
              <w:jc w:val="left"/>
              <w:rPr>
                <w:rFonts w:hint="eastAsia" w:ascii="宋体" w:hAnsi="宋体" w:cs="宋体"/>
                <w:color w:val="000000"/>
                <w:highlight w:val="none"/>
                <w:lang w:val="en-US" w:eastAsia="zh-CN"/>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556C">
            <w:pPr>
              <w:jc w:val="left"/>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企业实力（5分）</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2AFCA">
            <w:pPr>
              <w:widowControl/>
              <w:jc w:val="left"/>
              <w:rPr>
                <w:rFonts w:hint="eastAsia" w:ascii="宋体" w:hAnsi="宋体" w:eastAsia="宋体" w:cs="仿宋"/>
                <w:color w:val="000000"/>
                <w:kern w:val="0"/>
                <w:highlight w:val="none"/>
                <w:lang w:val="en-US" w:eastAsia="zh-CN" w:bidi="ar"/>
              </w:rPr>
            </w:pPr>
            <w:r>
              <w:rPr>
                <w:rFonts w:hint="eastAsia" w:ascii="宋体" w:hAnsi="宋体" w:eastAsia="宋体" w:cs="仿宋"/>
                <w:color w:val="000000"/>
                <w:kern w:val="0"/>
                <w:highlight w:val="none"/>
                <w:lang w:val="en-US" w:eastAsia="zh-CN" w:bidi="ar"/>
              </w:rPr>
              <w:t>投标人或投标产品具备有效的</w:t>
            </w:r>
            <w:r>
              <w:rPr>
                <w:rFonts w:hint="eastAsia" w:ascii="宋体" w:hAnsi="宋体" w:eastAsia="宋体" w:cs="仿宋"/>
                <w:color w:val="000000"/>
                <w:kern w:val="0"/>
                <w:highlight w:val="none"/>
                <w:lang w:val="en-US" w:eastAsia="zh-CN" w:bidi="ar"/>
              </w:rPr>
              <w:fldChar w:fldCharType="begin"/>
            </w:r>
            <w:r>
              <w:rPr>
                <w:rFonts w:hint="eastAsia" w:ascii="宋体" w:hAnsi="宋体" w:eastAsia="宋体" w:cs="仿宋"/>
                <w:color w:val="000000"/>
                <w:kern w:val="0"/>
                <w:highlight w:val="none"/>
                <w:lang w:val="en-US" w:eastAsia="zh-CN" w:bidi="ar"/>
              </w:rPr>
              <w:instrText xml:space="preserve"> = 1 \* GB3 </w:instrText>
            </w:r>
            <w:r>
              <w:rPr>
                <w:rFonts w:hint="eastAsia" w:ascii="宋体" w:hAnsi="宋体" w:eastAsia="宋体" w:cs="仿宋"/>
                <w:color w:val="000000"/>
                <w:kern w:val="0"/>
                <w:highlight w:val="none"/>
                <w:lang w:val="en-US" w:eastAsia="zh-CN" w:bidi="ar"/>
              </w:rPr>
              <w:fldChar w:fldCharType="separate"/>
            </w:r>
            <w:r>
              <w:rPr>
                <w:rFonts w:hint="eastAsia" w:ascii="宋体" w:hAnsi="宋体" w:eastAsia="宋体" w:cs="仿宋"/>
                <w:color w:val="000000"/>
                <w:kern w:val="0"/>
                <w:highlight w:val="none"/>
                <w:lang w:val="en-US" w:eastAsia="zh-CN" w:bidi="ar"/>
              </w:rPr>
              <w:t>①</w:t>
            </w:r>
            <w:r>
              <w:rPr>
                <w:rFonts w:hint="eastAsia" w:ascii="宋体" w:hAnsi="宋体" w:eastAsia="宋体" w:cs="仿宋"/>
                <w:color w:val="000000"/>
                <w:kern w:val="0"/>
                <w:highlight w:val="none"/>
                <w:lang w:val="en-US" w:eastAsia="zh-CN" w:bidi="ar"/>
              </w:rPr>
              <w:fldChar w:fldCharType="end"/>
            </w:r>
            <w:r>
              <w:rPr>
                <w:rFonts w:hint="eastAsia" w:ascii="宋体" w:hAnsi="宋体" w:eastAsia="宋体" w:cs="仿宋"/>
                <w:color w:val="000000"/>
                <w:kern w:val="0"/>
                <w:highlight w:val="none"/>
                <w:lang w:val="en-US" w:eastAsia="zh-CN" w:bidi="ar"/>
              </w:rPr>
              <w:t>软件成熟度认证 CMMI5、</w:t>
            </w:r>
            <w:r>
              <w:rPr>
                <w:rFonts w:hint="eastAsia" w:ascii="宋体" w:hAnsi="宋体" w:eastAsia="宋体" w:cs="仿宋"/>
                <w:color w:val="000000"/>
                <w:kern w:val="0"/>
                <w:highlight w:val="none"/>
                <w:lang w:val="en-US" w:eastAsia="zh-CN" w:bidi="ar"/>
              </w:rPr>
              <w:fldChar w:fldCharType="begin"/>
            </w:r>
            <w:r>
              <w:rPr>
                <w:rFonts w:hint="eastAsia" w:ascii="宋体" w:hAnsi="宋体" w:eastAsia="宋体" w:cs="仿宋"/>
                <w:color w:val="000000"/>
                <w:kern w:val="0"/>
                <w:highlight w:val="none"/>
                <w:lang w:val="en-US" w:eastAsia="zh-CN" w:bidi="ar"/>
              </w:rPr>
              <w:instrText xml:space="preserve"> = 2 \* GB3 </w:instrText>
            </w:r>
            <w:r>
              <w:rPr>
                <w:rFonts w:hint="eastAsia" w:ascii="宋体" w:hAnsi="宋体" w:eastAsia="宋体" w:cs="仿宋"/>
                <w:color w:val="000000"/>
                <w:kern w:val="0"/>
                <w:highlight w:val="none"/>
                <w:lang w:val="en-US" w:eastAsia="zh-CN" w:bidi="ar"/>
              </w:rPr>
              <w:fldChar w:fldCharType="separate"/>
            </w:r>
            <w:r>
              <w:rPr>
                <w:rFonts w:hint="eastAsia" w:ascii="宋体" w:hAnsi="宋体" w:eastAsia="宋体" w:cs="仿宋"/>
                <w:color w:val="000000"/>
                <w:kern w:val="0"/>
                <w:highlight w:val="none"/>
                <w:lang w:val="en-US" w:eastAsia="zh-CN" w:bidi="ar"/>
              </w:rPr>
              <w:t>②</w:t>
            </w:r>
            <w:r>
              <w:rPr>
                <w:rFonts w:hint="eastAsia" w:ascii="宋体" w:hAnsi="宋体" w:eastAsia="宋体" w:cs="仿宋"/>
                <w:color w:val="000000"/>
                <w:kern w:val="0"/>
                <w:highlight w:val="none"/>
                <w:lang w:val="en-US" w:eastAsia="zh-CN" w:bidi="ar"/>
              </w:rPr>
              <w:fldChar w:fldCharType="end"/>
            </w:r>
            <w:r>
              <w:rPr>
                <w:rFonts w:hint="eastAsia" w:ascii="宋体" w:hAnsi="宋体" w:eastAsia="宋体" w:cs="仿宋"/>
                <w:color w:val="000000"/>
                <w:kern w:val="0"/>
                <w:highlight w:val="none"/>
                <w:lang w:val="en-US" w:eastAsia="zh-CN" w:bidi="ar"/>
              </w:rPr>
              <w:t>信息安全管理体系ISO 27001、</w:t>
            </w:r>
            <w:r>
              <w:rPr>
                <w:rFonts w:hint="eastAsia" w:ascii="宋体" w:hAnsi="宋体" w:eastAsia="宋体" w:cs="仿宋"/>
                <w:color w:val="000000"/>
                <w:kern w:val="0"/>
                <w:highlight w:val="none"/>
                <w:lang w:val="en-US" w:eastAsia="zh-CN" w:bidi="ar"/>
              </w:rPr>
              <w:fldChar w:fldCharType="begin"/>
            </w:r>
            <w:r>
              <w:rPr>
                <w:rFonts w:hint="eastAsia" w:ascii="宋体" w:hAnsi="宋体" w:eastAsia="宋体" w:cs="仿宋"/>
                <w:color w:val="000000"/>
                <w:kern w:val="0"/>
                <w:highlight w:val="none"/>
                <w:lang w:val="en-US" w:eastAsia="zh-CN" w:bidi="ar"/>
              </w:rPr>
              <w:instrText xml:space="preserve"> = 3 \* GB3 </w:instrText>
            </w:r>
            <w:r>
              <w:rPr>
                <w:rFonts w:hint="eastAsia" w:ascii="宋体" w:hAnsi="宋体" w:eastAsia="宋体" w:cs="仿宋"/>
                <w:color w:val="000000"/>
                <w:kern w:val="0"/>
                <w:highlight w:val="none"/>
                <w:lang w:val="en-US" w:eastAsia="zh-CN" w:bidi="ar"/>
              </w:rPr>
              <w:fldChar w:fldCharType="separate"/>
            </w:r>
            <w:r>
              <w:rPr>
                <w:rFonts w:hint="eastAsia" w:ascii="宋体" w:hAnsi="宋体" w:eastAsia="宋体" w:cs="仿宋"/>
                <w:color w:val="000000"/>
                <w:kern w:val="0"/>
                <w:highlight w:val="none"/>
                <w:lang w:val="en-US" w:eastAsia="zh-CN" w:bidi="ar"/>
              </w:rPr>
              <w:t>③</w:t>
            </w:r>
            <w:r>
              <w:rPr>
                <w:rFonts w:hint="eastAsia" w:ascii="宋体" w:hAnsi="宋体" w:eastAsia="宋体" w:cs="仿宋"/>
                <w:color w:val="000000"/>
                <w:kern w:val="0"/>
                <w:highlight w:val="none"/>
                <w:lang w:val="en-US" w:eastAsia="zh-CN" w:bidi="ar"/>
              </w:rPr>
              <w:fldChar w:fldCharType="end"/>
            </w:r>
            <w:r>
              <w:rPr>
                <w:rFonts w:hint="eastAsia" w:ascii="宋体" w:hAnsi="宋体" w:eastAsia="宋体" w:cs="仿宋"/>
                <w:color w:val="000000"/>
                <w:kern w:val="0"/>
                <w:highlight w:val="none"/>
                <w:lang w:val="en-US" w:eastAsia="zh-CN" w:bidi="ar"/>
              </w:rPr>
              <w:t>信息技术服务体系认证 ISO 20000、</w:t>
            </w:r>
            <w:r>
              <w:rPr>
                <w:rFonts w:hint="eastAsia" w:ascii="宋体" w:hAnsi="宋体" w:eastAsia="宋体" w:cs="仿宋"/>
                <w:color w:val="000000"/>
                <w:kern w:val="0"/>
                <w:highlight w:val="none"/>
                <w:lang w:val="en-US" w:eastAsia="zh-CN" w:bidi="ar"/>
              </w:rPr>
              <w:fldChar w:fldCharType="begin"/>
            </w:r>
            <w:r>
              <w:rPr>
                <w:rFonts w:hint="eastAsia" w:ascii="宋体" w:hAnsi="宋体" w:eastAsia="宋体" w:cs="仿宋"/>
                <w:color w:val="000000"/>
                <w:kern w:val="0"/>
                <w:highlight w:val="none"/>
                <w:lang w:val="en-US" w:eastAsia="zh-CN" w:bidi="ar"/>
              </w:rPr>
              <w:instrText xml:space="preserve"> = 4 \* GB3 </w:instrText>
            </w:r>
            <w:r>
              <w:rPr>
                <w:rFonts w:hint="eastAsia" w:ascii="宋体" w:hAnsi="宋体" w:eastAsia="宋体" w:cs="仿宋"/>
                <w:color w:val="000000"/>
                <w:kern w:val="0"/>
                <w:highlight w:val="none"/>
                <w:lang w:val="en-US" w:eastAsia="zh-CN" w:bidi="ar"/>
              </w:rPr>
              <w:fldChar w:fldCharType="separate"/>
            </w:r>
            <w:r>
              <w:rPr>
                <w:rFonts w:hint="eastAsia" w:ascii="宋体" w:hAnsi="宋体" w:eastAsia="宋体" w:cs="仿宋"/>
                <w:color w:val="000000"/>
                <w:kern w:val="0"/>
                <w:highlight w:val="none"/>
                <w:lang w:val="en-US" w:eastAsia="zh-CN" w:bidi="ar"/>
              </w:rPr>
              <w:t>④</w:t>
            </w:r>
            <w:r>
              <w:rPr>
                <w:rFonts w:hint="eastAsia" w:ascii="宋体" w:hAnsi="宋体" w:eastAsia="宋体" w:cs="仿宋"/>
                <w:color w:val="000000"/>
                <w:kern w:val="0"/>
                <w:highlight w:val="none"/>
                <w:lang w:val="en-US" w:eastAsia="zh-CN" w:bidi="ar"/>
              </w:rPr>
              <w:fldChar w:fldCharType="end"/>
            </w:r>
            <w:r>
              <w:rPr>
                <w:rFonts w:hint="eastAsia" w:ascii="宋体" w:hAnsi="宋体" w:eastAsia="宋体" w:cs="仿宋"/>
                <w:color w:val="000000"/>
                <w:kern w:val="0"/>
                <w:highlight w:val="none"/>
                <w:lang w:val="en-US" w:eastAsia="zh-CN" w:bidi="ar"/>
              </w:rPr>
              <w:t>质量管理体系ISO9001、</w:t>
            </w:r>
            <w:r>
              <w:rPr>
                <w:rFonts w:hint="eastAsia" w:ascii="宋体" w:hAnsi="宋体" w:eastAsia="宋体" w:cs="仿宋"/>
                <w:color w:val="000000"/>
                <w:kern w:val="0"/>
                <w:highlight w:val="none"/>
                <w:lang w:val="en-US" w:eastAsia="zh-CN" w:bidi="ar"/>
              </w:rPr>
              <w:fldChar w:fldCharType="begin"/>
            </w:r>
            <w:r>
              <w:rPr>
                <w:rFonts w:hint="eastAsia" w:ascii="宋体" w:hAnsi="宋体" w:eastAsia="宋体" w:cs="仿宋"/>
                <w:color w:val="000000"/>
                <w:kern w:val="0"/>
                <w:highlight w:val="none"/>
                <w:lang w:val="en-US" w:eastAsia="zh-CN" w:bidi="ar"/>
              </w:rPr>
              <w:instrText xml:space="preserve"> = 5 \* GB3 </w:instrText>
            </w:r>
            <w:r>
              <w:rPr>
                <w:rFonts w:hint="eastAsia" w:ascii="宋体" w:hAnsi="宋体" w:eastAsia="宋体" w:cs="仿宋"/>
                <w:color w:val="000000"/>
                <w:kern w:val="0"/>
                <w:highlight w:val="none"/>
                <w:lang w:val="en-US" w:eastAsia="zh-CN" w:bidi="ar"/>
              </w:rPr>
              <w:fldChar w:fldCharType="separate"/>
            </w:r>
            <w:r>
              <w:rPr>
                <w:rFonts w:hint="eastAsia" w:ascii="宋体" w:hAnsi="宋体" w:eastAsia="宋体" w:cs="仿宋"/>
                <w:color w:val="000000"/>
                <w:kern w:val="0"/>
                <w:highlight w:val="none"/>
                <w:lang w:val="en-US" w:eastAsia="zh-CN" w:bidi="ar"/>
              </w:rPr>
              <w:t>⑤</w:t>
            </w:r>
            <w:r>
              <w:rPr>
                <w:rFonts w:hint="eastAsia" w:ascii="宋体" w:hAnsi="宋体" w:eastAsia="宋体" w:cs="仿宋"/>
                <w:color w:val="000000"/>
                <w:kern w:val="0"/>
                <w:highlight w:val="none"/>
                <w:lang w:val="en-US" w:eastAsia="zh-CN" w:bidi="ar"/>
              </w:rPr>
              <w:fldChar w:fldCharType="end"/>
            </w:r>
            <w:r>
              <w:rPr>
                <w:rFonts w:hint="eastAsia" w:ascii="宋体" w:hAnsi="宋体" w:eastAsia="宋体" w:cs="仿宋"/>
                <w:color w:val="000000"/>
                <w:kern w:val="0"/>
                <w:highlight w:val="none"/>
                <w:lang w:val="en-US" w:eastAsia="zh-CN" w:bidi="ar"/>
              </w:rPr>
              <w:t>信息技术服务标准 ITSS 认证以上每提供一项得1分，满分5分。</w:t>
            </w:r>
          </w:p>
        </w:tc>
      </w:tr>
      <w:tr w14:paraId="512551C2">
        <w:tblPrEx>
          <w:shd w:val="clear" w:color="auto" w:fill="auto"/>
          <w:tblCellMar>
            <w:top w:w="0" w:type="dxa"/>
            <w:left w:w="0" w:type="dxa"/>
            <w:bottom w:w="0" w:type="dxa"/>
            <w:right w:w="0" w:type="dxa"/>
          </w:tblCellMar>
        </w:tblPrEx>
        <w:trPr>
          <w:trHeight w:val="1293" w:hRule="atLeast"/>
        </w:trPr>
        <w:tc>
          <w:tcPr>
            <w:tcW w:w="11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0BDE">
            <w:pPr>
              <w:jc w:val="left"/>
              <w:rPr>
                <w:rFonts w:hint="eastAsia" w:ascii="宋体" w:hAnsi="宋体" w:cs="宋体"/>
                <w:color w:val="000000"/>
                <w:highlight w:val="none"/>
                <w:lang w:val="en-US" w:eastAsia="zh-CN"/>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D687E">
            <w:pPr>
              <w:widowControl/>
              <w:jc w:val="left"/>
              <w:rPr>
                <w:rFonts w:hint="eastAsia" w:ascii="宋体" w:hAnsi="宋体" w:eastAsia="宋体" w:cs="仿宋"/>
                <w:color w:val="000000"/>
                <w:kern w:val="0"/>
                <w:highlight w:val="none"/>
                <w:lang w:val="en-US" w:eastAsia="zh-CN" w:bidi="ar"/>
              </w:rPr>
            </w:pPr>
            <w:r>
              <w:rPr>
                <w:rFonts w:hint="eastAsia" w:ascii="宋体" w:hAnsi="宋体" w:eastAsia="宋体" w:cs="仿宋"/>
                <w:color w:val="000000"/>
                <w:kern w:val="0"/>
                <w:highlight w:val="none"/>
                <w:lang w:val="en-US" w:eastAsia="zh-CN" w:bidi="ar"/>
              </w:rPr>
              <w:t>拟派团队人员能力（5分）</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128F">
            <w:pPr>
              <w:widowControl/>
              <w:jc w:val="left"/>
              <w:rPr>
                <w:rFonts w:hint="eastAsia" w:ascii="宋体" w:hAnsi="宋体" w:eastAsia="宋体" w:cs="仿宋"/>
                <w:color w:val="000000"/>
                <w:kern w:val="0"/>
                <w:highlight w:val="none"/>
                <w:lang w:val="en-US" w:eastAsia="zh-CN" w:bidi="ar"/>
              </w:rPr>
            </w:pPr>
            <w:r>
              <w:rPr>
                <w:rFonts w:hint="eastAsia" w:ascii="宋体" w:hAnsi="宋体" w:eastAsia="宋体" w:cs="仿宋"/>
                <w:color w:val="000000"/>
                <w:kern w:val="0"/>
                <w:highlight w:val="none"/>
                <w:lang w:val="en-US" w:eastAsia="zh-CN" w:bidi="ar"/>
              </w:rPr>
              <w:t>项目实施团队中拟派系统集成项目管理工程师、网络工程师、ITSS服务工程师、软件设计师、注册信息安全工程师，每提供一个得1分，满分5分。（以上人员提供有效的证书、身份证复印件、劳动合同、社保证明材料并加盖投标单位公章）</w:t>
            </w:r>
          </w:p>
        </w:tc>
      </w:tr>
      <w:tr w14:paraId="7AC1759E">
        <w:tblPrEx>
          <w:tblCellMar>
            <w:top w:w="0" w:type="dxa"/>
            <w:left w:w="0" w:type="dxa"/>
            <w:bottom w:w="0" w:type="dxa"/>
            <w:right w:w="0" w:type="dxa"/>
          </w:tblCellMar>
        </w:tblPrEx>
        <w:trPr>
          <w:trHeight w:val="1050" w:hRule="atLeast"/>
        </w:trPr>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366B9">
            <w:pPr>
              <w:jc w:val="left"/>
              <w:rPr>
                <w:rFonts w:hint="eastAsia" w:ascii="宋体" w:hAnsi="宋体" w:cs="宋体"/>
                <w:color w:val="000000"/>
                <w:highlight w:val="none"/>
              </w:rPr>
            </w:pPr>
            <w:r>
              <w:rPr>
                <w:rFonts w:hint="eastAsia" w:ascii="宋体" w:hAnsi="宋体" w:cs="宋体"/>
                <w:color w:val="000000"/>
                <w:highlight w:val="none"/>
                <w:lang w:val="en-US" w:eastAsia="zh-CN"/>
              </w:rPr>
              <w:t>技术水平</w:t>
            </w:r>
            <w:r>
              <w:rPr>
                <w:rFonts w:hint="eastAsia" w:ascii="宋体" w:hAnsi="宋体" w:cs="宋体"/>
                <w:color w:val="000000"/>
                <w:highlight w:val="none"/>
                <w:lang w:val="en-US" w:eastAsia="zh-CN"/>
              </w:rPr>
              <w:br w:type="textWrapping"/>
            </w:r>
            <w:r>
              <w:rPr>
                <w:rFonts w:hint="eastAsia" w:ascii="宋体" w:hAnsi="宋体" w:cs="宋体"/>
                <w:color w:val="000000"/>
                <w:highlight w:val="none"/>
                <w:lang w:val="en-US" w:eastAsia="zh-CN"/>
              </w:rPr>
              <w:t>（65）</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E7F92">
            <w:pPr>
              <w:jc w:val="left"/>
              <w:rPr>
                <w:rFonts w:hint="eastAsia" w:ascii="宋体" w:hAnsi="宋体" w:cs="宋体"/>
                <w:color w:val="000000"/>
                <w:highlight w:val="none"/>
              </w:rPr>
            </w:pPr>
            <w:r>
              <w:rPr>
                <w:rFonts w:hint="eastAsia" w:ascii="宋体" w:hAnsi="宋体" w:cs="宋体"/>
                <w:color w:val="000000"/>
                <w:highlight w:val="none"/>
                <w:lang w:val="en-US" w:eastAsia="zh-CN"/>
              </w:rPr>
              <w:t>技术服务要求响应</w:t>
            </w:r>
            <w:r>
              <w:rPr>
                <w:rFonts w:hint="eastAsia" w:ascii="宋体" w:hAnsi="宋体" w:cs="宋体"/>
                <w:color w:val="000000"/>
                <w:highlight w:val="none"/>
                <w:lang w:val="en-US" w:eastAsia="zh-CN"/>
              </w:rPr>
              <w:br w:type="textWrapping"/>
            </w:r>
            <w:r>
              <w:rPr>
                <w:rFonts w:hint="eastAsia" w:ascii="宋体" w:hAnsi="宋体" w:cs="宋体"/>
                <w:color w:val="000000"/>
                <w:highlight w:val="none"/>
                <w:lang w:val="en-US" w:eastAsia="zh-CN"/>
              </w:rPr>
              <w:t>（31分）</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203D">
            <w:pPr>
              <w:widowControl/>
              <w:jc w:val="left"/>
              <w:rPr>
                <w:rFonts w:hint="eastAsia" w:ascii="宋体" w:hAnsi="宋体" w:eastAsia="宋体" w:cs="仿宋"/>
                <w:color w:val="000000"/>
                <w:kern w:val="0"/>
                <w:highlight w:val="none"/>
                <w:lang w:val="en-US" w:eastAsia="zh-CN" w:bidi="ar"/>
              </w:rPr>
            </w:pPr>
            <w:r>
              <w:rPr>
                <w:rFonts w:hint="eastAsia" w:ascii="宋体" w:hAnsi="宋体" w:eastAsia="宋体" w:cs="仿宋"/>
                <w:color w:val="000000"/>
                <w:kern w:val="0"/>
                <w:highlight w:val="none"/>
                <w:lang w:val="en-US" w:eastAsia="zh-CN" w:bidi="ar"/>
              </w:rPr>
              <w:t>响应完全满足招标文件要求的得31分，有一项负偏离扣1分，本项扣完为止。（本项以投标产品系统截图或产品厂家公开发布技术资料或产品相关认证或产品测试报等为评分依据）。</w:t>
            </w:r>
          </w:p>
        </w:tc>
      </w:tr>
      <w:tr w14:paraId="3264A65F">
        <w:tblPrEx>
          <w:shd w:val="clear" w:color="auto" w:fill="auto"/>
          <w:tblCellMar>
            <w:top w:w="0" w:type="dxa"/>
            <w:left w:w="0" w:type="dxa"/>
            <w:bottom w:w="0" w:type="dxa"/>
            <w:right w:w="0" w:type="dxa"/>
          </w:tblCellMar>
        </w:tblPrEx>
        <w:trPr>
          <w:trHeight w:val="1847"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A8876">
            <w:pPr>
              <w:ind w:firstLine="480"/>
              <w:jc w:val="left"/>
              <w:rPr>
                <w:rFonts w:hint="eastAsia" w:ascii="宋体" w:hAnsi="宋体" w:cs="宋体"/>
                <w:color w:val="000000"/>
                <w:highlight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3F6F4">
            <w:pPr>
              <w:jc w:val="left"/>
              <w:rPr>
                <w:rFonts w:hint="eastAsia" w:ascii="宋体" w:hAnsi="宋体" w:cs="宋体"/>
                <w:color w:val="000000"/>
                <w:highlight w:val="none"/>
              </w:rPr>
            </w:pPr>
            <w:r>
              <w:rPr>
                <w:rFonts w:hint="eastAsia" w:ascii="宋体" w:hAnsi="宋体" w:eastAsia="宋体" w:cs="仿宋"/>
                <w:color w:val="000000"/>
                <w:kern w:val="0"/>
                <w:highlight w:val="none"/>
                <w:lang w:bidi="ar"/>
              </w:rPr>
              <w:t>投标方案体现</w:t>
            </w:r>
            <w:r>
              <w:rPr>
                <w:rFonts w:hint="eastAsia" w:ascii="宋体" w:hAnsi="宋体" w:cs="宋体"/>
                <w:color w:val="000000"/>
                <w:highlight w:val="none"/>
              </w:rPr>
              <w:t>（</w:t>
            </w:r>
            <w:r>
              <w:rPr>
                <w:rFonts w:hint="eastAsia" w:ascii="宋体" w:hAnsi="宋体" w:cs="宋体"/>
                <w:color w:val="000000"/>
                <w:highlight w:val="none"/>
                <w:lang w:val="en-US" w:eastAsia="zh-CN"/>
              </w:rPr>
              <w:t>5</w:t>
            </w:r>
            <w:r>
              <w:rPr>
                <w:rFonts w:hint="eastAsia" w:ascii="宋体" w:hAnsi="宋体" w:cs="宋体"/>
                <w:color w:val="000000"/>
                <w:highlight w:val="none"/>
              </w:rPr>
              <w:t>分）</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F6B6D">
            <w:pPr>
              <w:widowControl/>
              <w:jc w:val="left"/>
              <w:rPr>
                <w:rFonts w:hint="eastAsia" w:ascii="宋体" w:hAnsi="宋体" w:eastAsia="宋体" w:cs="仿宋"/>
                <w:color w:val="000000"/>
                <w:kern w:val="0"/>
                <w:highlight w:val="none"/>
                <w:lang w:val="en-US" w:eastAsia="zh-CN" w:bidi="ar"/>
              </w:rPr>
            </w:pPr>
            <w:r>
              <w:rPr>
                <w:rFonts w:hint="eastAsia" w:ascii="宋体" w:hAnsi="宋体" w:eastAsia="宋体" w:cs="仿宋"/>
                <w:color w:val="000000"/>
                <w:kern w:val="0"/>
                <w:highlight w:val="none"/>
                <w:lang w:val="en-US" w:eastAsia="zh-CN" w:bidi="ar"/>
              </w:rPr>
              <w:t>投标方案体现（5分）</w:t>
            </w:r>
            <w:r>
              <w:rPr>
                <w:rFonts w:hint="eastAsia" w:ascii="宋体" w:hAnsi="宋体" w:eastAsia="宋体" w:cs="仿宋"/>
                <w:color w:val="000000"/>
                <w:kern w:val="0"/>
                <w:highlight w:val="none"/>
                <w:lang w:val="en-US" w:eastAsia="zh-CN" w:bidi="ar"/>
              </w:rPr>
              <w:fldChar w:fldCharType="begin"/>
            </w:r>
            <w:r>
              <w:rPr>
                <w:rFonts w:hint="eastAsia" w:ascii="宋体" w:hAnsi="宋体" w:eastAsia="宋体" w:cs="仿宋"/>
                <w:color w:val="000000"/>
                <w:kern w:val="0"/>
                <w:highlight w:val="none"/>
                <w:lang w:val="en-US" w:eastAsia="zh-CN" w:bidi="ar"/>
              </w:rPr>
              <w:instrText xml:space="preserve"> = 1 \* GB3 </w:instrText>
            </w:r>
            <w:r>
              <w:rPr>
                <w:rFonts w:hint="eastAsia" w:ascii="宋体" w:hAnsi="宋体" w:eastAsia="宋体" w:cs="仿宋"/>
                <w:color w:val="000000"/>
                <w:kern w:val="0"/>
                <w:highlight w:val="none"/>
                <w:lang w:val="en-US" w:eastAsia="zh-CN" w:bidi="ar"/>
              </w:rPr>
              <w:fldChar w:fldCharType="separate"/>
            </w:r>
            <w:r>
              <w:rPr>
                <w:rFonts w:hint="eastAsia" w:ascii="宋体" w:hAnsi="宋体" w:eastAsia="宋体" w:cs="仿宋"/>
                <w:color w:val="000000"/>
                <w:kern w:val="0"/>
                <w:highlight w:val="none"/>
                <w:lang w:val="en-US" w:eastAsia="zh-CN" w:bidi="ar"/>
              </w:rPr>
              <w:t>①</w:t>
            </w:r>
            <w:r>
              <w:rPr>
                <w:rFonts w:hint="eastAsia" w:ascii="宋体" w:hAnsi="宋体" w:eastAsia="宋体" w:cs="仿宋"/>
                <w:color w:val="000000"/>
                <w:kern w:val="0"/>
                <w:highlight w:val="none"/>
                <w:lang w:val="en-US" w:eastAsia="zh-CN" w:bidi="ar"/>
              </w:rPr>
              <w:fldChar w:fldCharType="end"/>
            </w:r>
            <w:r>
              <w:rPr>
                <w:rFonts w:hint="eastAsia" w:ascii="宋体" w:hAnsi="宋体" w:eastAsia="宋体" w:cs="仿宋"/>
                <w:color w:val="000000"/>
                <w:kern w:val="0"/>
                <w:highlight w:val="none"/>
                <w:lang w:val="en-US" w:eastAsia="zh-CN" w:bidi="ar"/>
              </w:rPr>
              <w:t>充分理解本项目建设背景</w:t>
            </w:r>
            <w:r>
              <w:rPr>
                <w:rFonts w:hint="eastAsia" w:ascii="宋体" w:hAnsi="宋体" w:eastAsia="宋体" w:cs="仿宋"/>
                <w:color w:val="000000"/>
                <w:kern w:val="0"/>
                <w:highlight w:val="none"/>
                <w:lang w:val="en-US" w:eastAsia="zh-CN" w:bidi="ar"/>
              </w:rPr>
              <w:fldChar w:fldCharType="begin"/>
            </w:r>
            <w:r>
              <w:rPr>
                <w:rFonts w:hint="eastAsia" w:ascii="宋体" w:hAnsi="宋体" w:eastAsia="宋体" w:cs="仿宋"/>
                <w:color w:val="000000"/>
                <w:kern w:val="0"/>
                <w:highlight w:val="none"/>
                <w:lang w:val="en-US" w:eastAsia="zh-CN" w:bidi="ar"/>
              </w:rPr>
              <w:instrText xml:space="preserve"> = 2 \* GB3 </w:instrText>
            </w:r>
            <w:r>
              <w:rPr>
                <w:rFonts w:hint="eastAsia" w:ascii="宋体" w:hAnsi="宋体" w:eastAsia="宋体" w:cs="仿宋"/>
                <w:color w:val="000000"/>
                <w:kern w:val="0"/>
                <w:highlight w:val="none"/>
                <w:lang w:val="en-US" w:eastAsia="zh-CN" w:bidi="ar"/>
              </w:rPr>
              <w:fldChar w:fldCharType="separate"/>
            </w:r>
            <w:r>
              <w:rPr>
                <w:rFonts w:hint="eastAsia" w:ascii="宋体" w:hAnsi="宋体" w:eastAsia="宋体" w:cs="仿宋"/>
                <w:color w:val="000000"/>
                <w:kern w:val="0"/>
                <w:highlight w:val="none"/>
                <w:lang w:val="en-US" w:eastAsia="zh-CN" w:bidi="ar"/>
              </w:rPr>
              <w:t>②</w:t>
            </w:r>
            <w:r>
              <w:rPr>
                <w:rFonts w:hint="eastAsia" w:ascii="宋体" w:hAnsi="宋体" w:eastAsia="宋体" w:cs="仿宋"/>
                <w:color w:val="000000"/>
                <w:kern w:val="0"/>
                <w:highlight w:val="none"/>
                <w:lang w:val="en-US" w:eastAsia="zh-CN" w:bidi="ar"/>
              </w:rPr>
              <w:fldChar w:fldCharType="end"/>
            </w:r>
            <w:r>
              <w:rPr>
                <w:rFonts w:hint="eastAsia" w:ascii="宋体" w:hAnsi="宋体" w:eastAsia="宋体" w:cs="仿宋"/>
                <w:color w:val="000000"/>
                <w:kern w:val="0"/>
                <w:highlight w:val="none"/>
                <w:lang w:val="en-US" w:eastAsia="zh-CN" w:bidi="ar"/>
              </w:rPr>
              <w:t>对建设目标和采购内容进行科学分析</w:t>
            </w:r>
            <w:r>
              <w:rPr>
                <w:rFonts w:hint="eastAsia" w:ascii="宋体" w:hAnsi="宋体" w:eastAsia="宋体" w:cs="仿宋"/>
                <w:color w:val="000000"/>
                <w:kern w:val="0"/>
                <w:highlight w:val="none"/>
                <w:lang w:val="en-US" w:eastAsia="zh-CN" w:bidi="ar"/>
              </w:rPr>
              <w:fldChar w:fldCharType="begin"/>
            </w:r>
            <w:r>
              <w:rPr>
                <w:rFonts w:hint="eastAsia" w:ascii="宋体" w:hAnsi="宋体" w:eastAsia="宋体" w:cs="仿宋"/>
                <w:color w:val="000000"/>
                <w:kern w:val="0"/>
                <w:highlight w:val="none"/>
                <w:lang w:val="en-US" w:eastAsia="zh-CN" w:bidi="ar"/>
              </w:rPr>
              <w:instrText xml:space="preserve"> = 3 \* GB3 </w:instrText>
            </w:r>
            <w:r>
              <w:rPr>
                <w:rFonts w:hint="eastAsia" w:ascii="宋体" w:hAnsi="宋体" w:eastAsia="宋体" w:cs="仿宋"/>
                <w:color w:val="000000"/>
                <w:kern w:val="0"/>
                <w:highlight w:val="none"/>
                <w:lang w:val="en-US" w:eastAsia="zh-CN" w:bidi="ar"/>
              </w:rPr>
              <w:fldChar w:fldCharType="separate"/>
            </w:r>
            <w:r>
              <w:rPr>
                <w:rFonts w:hint="eastAsia" w:ascii="宋体" w:hAnsi="宋体" w:eastAsia="宋体" w:cs="仿宋"/>
                <w:color w:val="000000"/>
                <w:kern w:val="0"/>
                <w:highlight w:val="none"/>
                <w:lang w:val="en-US" w:eastAsia="zh-CN" w:bidi="ar"/>
              </w:rPr>
              <w:t>③</w:t>
            </w:r>
            <w:r>
              <w:rPr>
                <w:rFonts w:hint="eastAsia" w:ascii="宋体" w:hAnsi="宋体" w:eastAsia="宋体" w:cs="仿宋"/>
                <w:color w:val="000000"/>
                <w:kern w:val="0"/>
                <w:highlight w:val="none"/>
                <w:lang w:val="en-US" w:eastAsia="zh-CN" w:bidi="ar"/>
              </w:rPr>
              <w:fldChar w:fldCharType="end"/>
            </w:r>
            <w:r>
              <w:rPr>
                <w:rFonts w:hint="eastAsia" w:ascii="宋体" w:hAnsi="宋体" w:eastAsia="宋体" w:cs="仿宋"/>
                <w:color w:val="000000"/>
                <w:kern w:val="0"/>
                <w:highlight w:val="none"/>
                <w:lang w:val="en-US" w:eastAsia="zh-CN" w:bidi="ar"/>
              </w:rPr>
              <w:t>能够满足医院采购需求且具备合理需求二次开发能力</w:t>
            </w:r>
            <w:r>
              <w:rPr>
                <w:rFonts w:hint="eastAsia" w:ascii="宋体" w:hAnsi="宋体" w:eastAsia="宋体" w:cs="仿宋"/>
                <w:color w:val="000000"/>
                <w:kern w:val="0"/>
                <w:highlight w:val="none"/>
                <w:lang w:val="en-US" w:eastAsia="zh-CN" w:bidi="ar"/>
              </w:rPr>
              <w:fldChar w:fldCharType="begin"/>
            </w:r>
            <w:r>
              <w:rPr>
                <w:rFonts w:hint="eastAsia" w:ascii="宋体" w:hAnsi="宋体" w:eastAsia="宋体" w:cs="仿宋"/>
                <w:color w:val="000000"/>
                <w:kern w:val="0"/>
                <w:highlight w:val="none"/>
                <w:lang w:val="en-US" w:eastAsia="zh-CN" w:bidi="ar"/>
              </w:rPr>
              <w:instrText xml:space="preserve"> = 4 \* GB3 </w:instrText>
            </w:r>
            <w:r>
              <w:rPr>
                <w:rFonts w:hint="eastAsia" w:ascii="宋体" w:hAnsi="宋体" w:eastAsia="宋体" w:cs="仿宋"/>
                <w:color w:val="000000"/>
                <w:kern w:val="0"/>
                <w:highlight w:val="none"/>
                <w:lang w:val="en-US" w:eastAsia="zh-CN" w:bidi="ar"/>
              </w:rPr>
              <w:fldChar w:fldCharType="separate"/>
            </w:r>
            <w:r>
              <w:rPr>
                <w:rFonts w:hint="eastAsia" w:ascii="宋体" w:hAnsi="宋体" w:eastAsia="宋体" w:cs="仿宋"/>
                <w:color w:val="000000"/>
                <w:kern w:val="0"/>
                <w:highlight w:val="none"/>
                <w:lang w:val="en-US" w:eastAsia="zh-CN" w:bidi="ar"/>
              </w:rPr>
              <w:t>④</w:t>
            </w:r>
            <w:r>
              <w:rPr>
                <w:rFonts w:hint="eastAsia" w:ascii="宋体" w:hAnsi="宋体" w:eastAsia="宋体" w:cs="仿宋"/>
                <w:color w:val="000000"/>
                <w:kern w:val="0"/>
                <w:highlight w:val="none"/>
                <w:lang w:val="en-US" w:eastAsia="zh-CN" w:bidi="ar"/>
              </w:rPr>
              <w:fldChar w:fldCharType="end"/>
            </w:r>
            <w:r>
              <w:rPr>
                <w:rFonts w:hint="eastAsia" w:ascii="宋体" w:hAnsi="宋体" w:eastAsia="宋体" w:cs="仿宋"/>
                <w:color w:val="000000"/>
                <w:kern w:val="0"/>
                <w:highlight w:val="none"/>
                <w:lang w:val="en-US" w:eastAsia="zh-CN" w:bidi="ar"/>
              </w:rPr>
              <w:t>结合项目招标要求提供新老系统融合对接可行性方案</w:t>
            </w:r>
            <w:r>
              <w:rPr>
                <w:rFonts w:hint="eastAsia" w:ascii="宋体" w:hAnsi="宋体" w:eastAsia="宋体" w:cs="仿宋"/>
                <w:color w:val="000000"/>
                <w:kern w:val="0"/>
                <w:highlight w:val="none"/>
                <w:lang w:val="en-US" w:eastAsia="zh-CN" w:bidi="ar"/>
              </w:rPr>
              <w:fldChar w:fldCharType="begin"/>
            </w:r>
            <w:r>
              <w:rPr>
                <w:rFonts w:hint="eastAsia" w:ascii="宋体" w:hAnsi="宋体" w:eastAsia="宋体" w:cs="仿宋"/>
                <w:color w:val="000000"/>
                <w:kern w:val="0"/>
                <w:highlight w:val="none"/>
                <w:lang w:val="en-US" w:eastAsia="zh-CN" w:bidi="ar"/>
              </w:rPr>
              <w:instrText xml:space="preserve"> = 5 \* GB3 </w:instrText>
            </w:r>
            <w:r>
              <w:rPr>
                <w:rFonts w:hint="eastAsia" w:ascii="宋体" w:hAnsi="宋体" w:eastAsia="宋体" w:cs="仿宋"/>
                <w:color w:val="000000"/>
                <w:kern w:val="0"/>
                <w:highlight w:val="none"/>
                <w:lang w:val="en-US" w:eastAsia="zh-CN" w:bidi="ar"/>
              </w:rPr>
              <w:fldChar w:fldCharType="separate"/>
            </w:r>
            <w:r>
              <w:rPr>
                <w:rFonts w:hint="eastAsia" w:ascii="宋体" w:hAnsi="宋体" w:eastAsia="宋体" w:cs="仿宋"/>
                <w:color w:val="000000"/>
                <w:kern w:val="0"/>
                <w:highlight w:val="none"/>
                <w:lang w:val="en-US" w:eastAsia="zh-CN" w:bidi="ar"/>
              </w:rPr>
              <w:t>⑤</w:t>
            </w:r>
            <w:r>
              <w:rPr>
                <w:rFonts w:hint="eastAsia" w:ascii="宋体" w:hAnsi="宋体" w:eastAsia="宋体" w:cs="仿宋"/>
                <w:color w:val="000000"/>
                <w:kern w:val="0"/>
                <w:highlight w:val="none"/>
                <w:lang w:val="en-US" w:eastAsia="zh-CN" w:bidi="ar"/>
              </w:rPr>
              <w:fldChar w:fldCharType="end"/>
            </w:r>
            <w:r>
              <w:rPr>
                <w:rFonts w:hint="eastAsia" w:ascii="宋体" w:hAnsi="宋体" w:eastAsia="宋体" w:cs="仿宋"/>
                <w:color w:val="000000"/>
                <w:kern w:val="0"/>
                <w:highlight w:val="none"/>
                <w:lang w:val="en-US" w:eastAsia="zh-CN" w:bidi="ar"/>
              </w:rPr>
              <w:t>提供系统及数据迁移到新建机房方案、应急方案，投标方案思路清晰，架构合理，功能完整切实可行的每一项得1分，满分5分；在此基础上，方案中存在缺陷或不足的，每有一处扣0.5分，扣完为止。</w:t>
            </w:r>
          </w:p>
        </w:tc>
      </w:tr>
      <w:tr w14:paraId="0FF424C7">
        <w:tblPrEx>
          <w:shd w:val="clear" w:color="auto" w:fill="auto"/>
          <w:tblCellMar>
            <w:top w:w="0" w:type="dxa"/>
            <w:left w:w="0" w:type="dxa"/>
            <w:bottom w:w="0" w:type="dxa"/>
            <w:right w:w="0" w:type="dxa"/>
          </w:tblCellMar>
        </w:tblPrEx>
        <w:trPr>
          <w:trHeight w:val="112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92AA">
            <w:pPr>
              <w:ind w:firstLine="480"/>
              <w:jc w:val="left"/>
              <w:rPr>
                <w:rFonts w:hint="eastAsia" w:ascii="宋体" w:hAnsi="宋体" w:cs="宋体"/>
                <w:color w:val="000000"/>
                <w:highlight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076B2">
            <w:pPr>
              <w:jc w:val="left"/>
              <w:rPr>
                <w:rFonts w:hint="eastAsia" w:ascii="宋体" w:hAnsi="宋体" w:cs="宋体"/>
                <w:color w:val="000000"/>
                <w:highlight w:val="none"/>
              </w:rPr>
            </w:pPr>
            <w:r>
              <w:rPr>
                <w:rFonts w:hint="eastAsia" w:ascii="宋体" w:hAnsi="宋体" w:eastAsia="宋体" w:cs="仿宋"/>
                <w:color w:val="000000"/>
                <w:kern w:val="0"/>
                <w:highlight w:val="none"/>
                <w:lang w:bidi="ar"/>
              </w:rPr>
              <w:t>技术方案设计充分体现</w:t>
            </w:r>
            <w:r>
              <w:rPr>
                <w:rFonts w:hint="eastAsia" w:ascii="宋体" w:hAnsi="宋体" w:cs="宋体"/>
                <w:color w:val="000000"/>
                <w:highlight w:val="none"/>
                <w:lang w:val="en-US" w:eastAsia="zh-CN"/>
              </w:rPr>
              <w:br w:type="textWrapping"/>
            </w:r>
            <w:r>
              <w:rPr>
                <w:rFonts w:hint="eastAsia" w:ascii="宋体" w:hAnsi="宋体" w:cs="宋体"/>
                <w:color w:val="000000"/>
                <w:highlight w:val="none"/>
                <w:lang w:val="en-US" w:eastAsia="zh-CN"/>
              </w:rPr>
              <w:t>（5分）</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D75C0">
            <w:pPr>
              <w:widowControl/>
              <w:jc w:val="left"/>
              <w:rPr>
                <w:rFonts w:hint="eastAsia" w:ascii="宋体" w:hAnsi="宋体" w:cs="宋体"/>
                <w:color w:val="000000"/>
                <w:highlight w:val="none"/>
              </w:rPr>
            </w:pPr>
            <w:r>
              <w:rPr>
                <w:rFonts w:hint="eastAsia" w:ascii="宋体" w:hAnsi="宋体" w:eastAsia="宋体" w:cs="仿宋"/>
                <w:color w:val="000000"/>
                <w:kern w:val="0"/>
                <w:highlight w:val="none"/>
                <w:lang w:bidi="ar"/>
              </w:rPr>
              <w:t>技术方案设计充分体现</w:t>
            </w:r>
            <w:r>
              <w:rPr>
                <w:rFonts w:hint="eastAsia" w:ascii="宋体" w:hAnsi="宋体" w:eastAsia="宋体" w:cs="仿宋"/>
                <w:color w:val="000000"/>
                <w:kern w:val="0"/>
                <w:highlight w:val="none"/>
                <w:lang w:eastAsia="zh-CN" w:bidi="ar"/>
              </w:rPr>
              <w:t>（</w:t>
            </w:r>
            <w:r>
              <w:rPr>
                <w:rFonts w:hint="eastAsia" w:ascii="宋体" w:hAnsi="宋体" w:eastAsia="宋体" w:cs="仿宋"/>
                <w:color w:val="000000"/>
                <w:kern w:val="0"/>
                <w:highlight w:val="none"/>
                <w:lang w:val="en-US" w:eastAsia="zh-CN" w:bidi="ar"/>
              </w:rPr>
              <w:t>5分</w:t>
            </w:r>
            <w:r>
              <w:rPr>
                <w:rFonts w:hint="eastAsia" w:ascii="宋体" w:hAnsi="宋体" w:eastAsia="宋体" w:cs="仿宋"/>
                <w:color w:val="000000"/>
                <w:kern w:val="0"/>
                <w:highlight w:val="none"/>
                <w:lang w:eastAsia="zh-CN" w:bidi="ar"/>
              </w:rPr>
              <w:t>）</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1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①</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先进、可扩展性</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2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②</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安全性</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3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③</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灵活易用性</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4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④</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信创适应性</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5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⑤</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与各政策性上报平台对接及时性保障，每一项得1分，</w:t>
            </w:r>
            <w:r>
              <w:rPr>
                <w:rFonts w:hint="eastAsia" w:ascii="宋体" w:hAnsi="宋体" w:eastAsia="宋体" w:cs="仿宋"/>
                <w:color w:val="000000"/>
                <w:kern w:val="0"/>
                <w:highlight w:val="none"/>
                <w:lang w:val="en-US" w:eastAsia="zh-CN" w:bidi="ar"/>
              </w:rPr>
              <w:t>满分5分；</w:t>
            </w:r>
            <w:r>
              <w:rPr>
                <w:rFonts w:hint="eastAsia" w:ascii="宋体" w:hAnsi="宋体" w:eastAsia="宋体" w:cs="仿宋"/>
                <w:color w:val="000000"/>
                <w:kern w:val="0"/>
                <w:highlight w:val="none"/>
                <w:lang w:bidi="ar"/>
              </w:rPr>
              <w:t>在此基础上，方案中存在缺陷或不足的，每有一处扣0.5分，扣完为止。</w:t>
            </w:r>
          </w:p>
        </w:tc>
      </w:tr>
      <w:tr w14:paraId="630BBF3A">
        <w:tblPrEx>
          <w:shd w:val="clear" w:color="auto" w:fill="auto"/>
          <w:tblCellMar>
            <w:top w:w="0" w:type="dxa"/>
            <w:left w:w="0" w:type="dxa"/>
            <w:bottom w:w="0" w:type="dxa"/>
            <w:right w:w="0" w:type="dxa"/>
          </w:tblCellMar>
        </w:tblPrEx>
        <w:trPr>
          <w:trHeight w:val="454"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7530">
            <w:pPr>
              <w:ind w:firstLine="480"/>
              <w:jc w:val="left"/>
              <w:rPr>
                <w:rFonts w:hint="eastAsia" w:ascii="宋体" w:hAnsi="宋体" w:cs="宋体"/>
                <w:color w:val="000000"/>
                <w:highlight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F9D0">
            <w:pPr>
              <w:jc w:val="left"/>
              <w:rPr>
                <w:rFonts w:hint="eastAsia" w:ascii="宋体" w:hAnsi="宋体" w:cs="宋体"/>
                <w:color w:val="000000"/>
                <w:highlight w:val="none"/>
              </w:rPr>
            </w:pPr>
            <w:r>
              <w:rPr>
                <w:rFonts w:hint="eastAsia" w:ascii="宋体" w:hAnsi="宋体" w:eastAsia="宋体" w:cs="仿宋"/>
                <w:color w:val="000000"/>
                <w:kern w:val="0"/>
                <w:highlight w:val="none"/>
                <w:lang w:bidi="ar"/>
              </w:rPr>
              <w:t>项目实施方案（6分）</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F8FEB">
            <w:pPr>
              <w:widowControl/>
              <w:jc w:val="left"/>
              <w:rPr>
                <w:rFonts w:hint="eastAsia" w:ascii="宋体" w:hAnsi="宋体" w:cs="宋体"/>
                <w:color w:val="000000"/>
                <w:highlight w:val="none"/>
              </w:rPr>
            </w:pPr>
            <w:r>
              <w:rPr>
                <w:rFonts w:hint="eastAsia" w:ascii="宋体" w:hAnsi="宋体" w:eastAsia="宋体" w:cs="仿宋"/>
                <w:color w:val="000000"/>
                <w:kern w:val="0"/>
                <w:highlight w:val="none"/>
                <w:lang w:bidi="ar"/>
              </w:rPr>
              <w:t>项目实施方案（6分）：</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1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①</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设置项目管理机构</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2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②</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有科学、具体的项目管理措施</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3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③</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 xml:space="preserve">实施计划及人员安排 </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4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④</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实施进度安排及保障措施</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5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⑤</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新老系统衔接及安全保障措施</w:t>
            </w:r>
            <w:r>
              <w:rPr>
                <w:rFonts w:hint="eastAsia" w:ascii="宋体" w:hAnsi="宋体" w:eastAsia="宋体" w:cs="仿宋"/>
                <w:color w:val="000000"/>
                <w:kern w:val="0"/>
                <w:highlight w:val="none"/>
                <w:lang w:bidi="ar"/>
              </w:rPr>
              <w:fldChar w:fldCharType="begin"/>
            </w:r>
            <w:r>
              <w:rPr>
                <w:rFonts w:hint="eastAsia" w:ascii="宋体" w:hAnsi="宋体" w:eastAsia="宋体" w:cs="仿宋"/>
                <w:color w:val="000000"/>
                <w:kern w:val="0"/>
                <w:highlight w:val="none"/>
                <w:lang w:bidi="ar"/>
              </w:rPr>
              <w:instrText xml:space="preserve"> = 6 \* GB3 </w:instrText>
            </w:r>
            <w:r>
              <w:rPr>
                <w:rFonts w:hint="eastAsia" w:ascii="宋体" w:hAnsi="宋体" w:eastAsia="宋体" w:cs="仿宋"/>
                <w:color w:val="000000"/>
                <w:kern w:val="0"/>
                <w:highlight w:val="none"/>
                <w:lang w:bidi="ar"/>
              </w:rPr>
              <w:fldChar w:fldCharType="separate"/>
            </w:r>
            <w:r>
              <w:rPr>
                <w:rFonts w:hint="eastAsia" w:ascii="宋体" w:hAnsi="宋体" w:eastAsia="宋体" w:cs="仿宋"/>
                <w:color w:val="000000"/>
                <w:kern w:val="0"/>
                <w:highlight w:val="none"/>
                <w:lang w:bidi="ar"/>
              </w:rPr>
              <w:t>⑥</w:t>
            </w:r>
            <w:r>
              <w:rPr>
                <w:rFonts w:hint="eastAsia" w:ascii="宋体" w:hAnsi="宋体" w:eastAsia="宋体" w:cs="仿宋"/>
                <w:color w:val="000000"/>
                <w:kern w:val="0"/>
                <w:highlight w:val="none"/>
                <w:lang w:bidi="ar"/>
              </w:rPr>
              <w:fldChar w:fldCharType="end"/>
            </w:r>
            <w:r>
              <w:rPr>
                <w:rFonts w:hint="eastAsia" w:ascii="宋体" w:hAnsi="宋体" w:eastAsia="宋体" w:cs="仿宋"/>
                <w:color w:val="000000"/>
                <w:kern w:val="0"/>
                <w:highlight w:val="none"/>
                <w:lang w:bidi="ar"/>
              </w:rPr>
              <w:t>实施风险管理及措施；以上因素结合实际采购需求每实质性响一项得1分，在此基础上，方案中存在缺陷或不足的，每有一处扣0.5分，扣完为止。</w:t>
            </w:r>
          </w:p>
        </w:tc>
      </w:tr>
      <w:tr w14:paraId="6BEFCB11">
        <w:tblPrEx>
          <w:shd w:val="clear" w:color="auto" w:fill="auto"/>
          <w:tblCellMar>
            <w:top w:w="0" w:type="dxa"/>
            <w:left w:w="0" w:type="dxa"/>
            <w:bottom w:w="0" w:type="dxa"/>
            <w:right w:w="0" w:type="dxa"/>
          </w:tblCellMar>
        </w:tblPrEx>
        <w:trPr>
          <w:trHeight w:val="8190"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F70C">
            <w:pPr>
              <w:ind w:firstLine="480"/>
              <w:jc w:val="left"/>
              <w:rPr>
                <w:rFonts w:hint="eastAsia" w:ascii="宋体" w:hAnsi="宋体" w:cs="宋体"/>
                <w:color w:val="00000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FD74D">
            <w:pPr>
              <w:jc w:val="left"/>
              <w:rPr>
                <w:rFonts w:hint="eastAsia" w:ascii="宋体" w:hAnsi="宋体" w:cs="宋体"/>
                <w:color w:val="000000"/>
              </w:rPr>
            </w:pPr>
            <w:r>
              <w:rPr>
                <w:rFonts w:hint="eastAsia" w:ascii="宋体" w:hAnsi="宋体" w:cs="宋体"/>
                <w:color w:val="000000"/>
                <w:lang w:val="en-US" w:eastAsia="zh-CN"/>
              </w:rPr>
              <w:t>系统功能演示</w:t>
            </w:r>
            <w:r>
              <w:rPr>
                <w:rFonts w:hint="eastAsia" w:ascii="宋体" w:hAnsi="宋体" w:cs="宋体"/>
                <w:color w:val="000000"/>
                <w:lang w:val="en-US" w:eastAsia="zh-CN"/>
              </w:rPr>
              <w:br w:type="textWrapping"/>
            </w:r>
            <w:r>
              <w:rPr>
                <w:rFonts w:hint="eastAsia" w:ascii="宋体" w:hAnsi="宋体" w:cs="宋体"/>
                <w:color w:val="000000"/>
                <w:lang w:val="en-US" w:eastAsia="zh-CN"/>
              </w:rPr>
              <w:t>（13分）</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637A3">
            <w:pPr>
              <w:ind w:firstLine="480"/>
              <w:rPr>
                <w:rFonts w:hint="eastAsia" w:ascii="宋体" w:hAnsi="宋体" w:eastAsia="宋体"/>
              </w:rPr>
            </w:pPr>
            <w:r>
              <w:rPr>
                <w:rFonts w:hint="eastAsia" w:ascii="宋体" w:hAnsi="宋体" w:cs="宋体"/>
                <w:color w:val="000000"/>
                <w:lang w:val="en-US" w:eastAsia="zh-CN"/>
              </w:rPr>
              <w:t>现场演示内容：</w:t>
            </w:r>
            <w:r>
              <w:rPr>
                <w:rFonts w:hint="eastAsia" w:ascii="宋体" w:hAnsi="宋体" w:cs="宋体"/>
                <w:color w:val="000000"/>
                <w:lang w:val="en-US" w:eastAsia="zh-CN"/>
              </w:rPr>
              <w:br w:type="textWrapping"/>
            </w:r>
            <w:r>
              <w:rPr>
                <w:rFonts w:hint="eastAsia" w:ascii="宋体" w:hAnsi="宋体" w:eastAsia="宋体"/>
              </w:rPr>
              <w:t>（1）三级公立医院绩效考核指标系统演示（4分），要求结合采购需求依据《国家三级公立医院绩效考核操作手册》</w:t>
            </w:r>
            <w:r>
              <w:rPr>
                <w:rFonts w:hint="eastAsia"/>
              </w:rPr>
              <w:t>中</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1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①</w:t>
            </w:r>
            <w:r>
              <w:rPr>
                <w:rFonts w:hint="eastAsia" w:ascii="宋体" w:hAnsi="宋体" w:eastAsia="宋体" w:cs="仿宋"/>
                <w:kern w:val="0"/>
                <w:lang w:bidi="ar"/>
              </w:rPr>
              <w:fldChar w:fldCharType="end"/>
            </w:r>
            <w:r>
              <w:rPr>
                <w:rFonts w:hint="eastAsia" w:ascii="宋体" w:hAnsi="宋体" w:eastAsia="宋体"/>
              </w:rPr>
              <w:t>医疗质量相关（门诊人次数与出院人次数比、下转患者人次数、手术占比、大型医用设备检查阳性率、抗菌药物使用强度、基本药物占比）</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2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②</w:t>
            </w:r>
            <w:r>
              <w:rPr>
                <w:rFonts w:hint="eastAsia" w:ascii="宋体" w:hAnsi="宋体" w:eastAsia="宋体" w:cs="仿宋"/>
                <w:kern w:val="0"/>
                <w:lang w:bidi="ar"/>
              </w:rPr>
              <w:fldChar w:fldCharType="end"/>
            </w:r>
            <w:r>
              <w:rPr>
                <w:rFonts w:hint="eastAsia" w:ascii="宋体" w:hAnsi="宋体" w:eastAsia="宋体"/>
              </w:rPr>
              <w:t>运营效率相关（每名执业医师日均工作负担、门诊收入占医疗收入比例、住院收入占医疗收入比例、门诊次均费用、住院次均费用）；</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3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③</w:t>
            </w:r>
            <w:r>
              <w:rPr>
                <w:rFonts w:hint="eastAsia" w:ascii="宋体" w:hAnsi="宋体" w:eastAsia="宋体" w:cs="仿宋"/>
                <w:kern w:val="0"/>
                <w:lang w:bidi="ar"/>
              </w:rPr>
              <w:fldChar w:fldCharType="end"/>
            </w:r>
            <w:r>
              <w:rPr>
                <w:rFonts w:hint="eastAsia" w:ascii="宋体" w:hAnsi="宋体" w:eastAsia="宋体"/>
              </w:rPr>
              <w:t>持续发展相关（卫生技术人员职称结构、医护比）</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4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④</w:t>
            </w:r>
            <w:r>
              <w:rPr>
                <w:rFonts w:hint="eastAsia" w:ascii="宋体" w:hAnsi="宋体" w:eastAsia="宋体" w:cs="仿宋"/>
                <w:kern w:val="0"/>
                <w:lang w:bidi="ar"/>
              </w:rPr>
              <w:fldChar w:fldCharType="end"/>
            </w:r>
            <w:r>
              <w:rPr>
                <w:rFonts w:hint="eastAsia" w:ascii="宋体" w:hAnsi="宋体" w:eastAsia="宋体" w:cs="仿宋"/>
                <w:kern w:val="0"/>
                <w:lang w:bidi="ar"/>
              </w:rPr>
              <w:t>医疗大数据移动端同步实现。</w:t>
            </w:r>
            <w:r>
              <w:rPr>
                <w:rFonts w:hint="eastAsia" w:ascii="宋体" w:hAnsi="宋体" w:eastAsia="宋体"/>
              </w:rPr>
              <w:t>演示流畅、功能完整、逻辑合理的得4分，每有一处缺陷扣0.5分，扣完为止。</w:t>
            </w:r>
          </w:p>
          <w:p w14:paraId="199C0EA3">
            <w:pPr>
              <w:ind w:firstLine="480"/>
              <w:rPr>
                <w:rFonts w:hint="eastAsia" w:ascii="宋体" w:hAnsi="宋体" w:eastAsia="宋体"/>
              </w:rPr>
            </w:pPr>
            <w:r>
              <w:rPr>
                <w:rFonts w:hint="eastAsia" w:ascii="宋体" w:hAnsi="宋体" w:eastAsia="宋体"/>
              </w:rPr>
              <w:t>（2）高值耗材管理系统演示（3分）：</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1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①</w:t>
            </w:r>
            <w:r>
              <w:rPr>
                <w:rFonts w:hint="eastAsia" w:ascii="宋体" w:hAnsi="宋体" w:eastAsia="宋体" w:cs="仿宋"/>
                <w:kern w:val="0"/>
                <w:lang w:bidi="ar"/>
              </w:rPr>
              <w:fldChar w:fldCharType="end"/>
            </w:r>
            <w:r>
              <w:rPr>
                <w:rFonts w:ascii="宋体" w:hAnsi="宋体" w:eastAsia="宋体"/>
              </w:rPr>
              <w:t>通过病人住院号和高值耗材主码追溯高值耗材的使用记录</w:t>
            </w:r>
            <w:r>
              <w:rPr>
                <w:rFonts w:hint="eastAsia" w:ascii="宋体" w:hAnsi="宋体" w:eastAsia="宋体"/>
              </w:rPr>
              <w:t>，包含</w:t>
            </w:r>
            <w:r>
              <w:rPr>
                <w:rFonts w:ascii="宋体" w:hAnsi="宋体" w:eastAsia="宋体"/>
              </w:rPr>
              <w:t>物资基础信息、供应商资质和生产商资质等信息</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2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②</w:t>
            </w:r>
            <w:r>
              <w:rPr>
                <w:rFonts w:hint="eastAsia" w:ascii="宋体" w:hAnsi="宋体" w:eastAsia="宋体" w:cs="仿宋"/>
                <w:kern w:val="0"/>
                <w:lang w:bidi="ar"/>
              </w:rPr>
              <w:fldChar w:fldCharType="end"/>
            </w:r>
            <w:r>
              <w:rPr>
                <w:rFonts w:ascii="宋体" w:hAnsi="宋体" w:eastAsia="宋体"/>
              </w:rPr>
              <w:t>显示耗材使用全流程信息</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3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③</w:t>
            </w:r>
            <w:r>
              <w:rPr>
                <w:rFonts w:hint="eastAsia" w:ascii="宋体" w:hAnsi="宋体" w:eastAsia="宋体" w:cs="仿宋"/>
                <w:kern w:val="0"/>
                <w:lang w:bidi="ar"/>
              </w:rPr>
              <w:fldChar w:fldCharType="end"/>
            </w:r>
            <w:r>
              <w:rPr>
                <w:rFonts w:hint="eastAsia" w:ascii="宋体" w:hAnsi="宋体" w:eastAsia="宋体"/>
              </w:rPr>
              <w:t>通过HIS系统</w:t>
            </w:r>
            <w:r>
              <w:rPr>
                <w:rFonts w:ascii="宋体" w:hAnsi="宋体" w:eastAsia="宋体"/>
              </w:rPr>
              <w:t>扫码计费，自动生成计费记录以及减库存</w:t>
            </w:r>
            <w:r>
              <w:rPr>
                <w:rFonts w:hint="eastAsia" w:ascii="宋体" w:hAnsi="宋体" w:eastAsia="宋体"/>
              </w:rPr>
              <w:t>，</w:t>
            </w:r>
            <w:r>
              <w:rPr>
                <w:rFonts w:ascii="宋体" w:hAnsi="宋体" w:eastAsia="宋体"/>
              </w:rPr>
              <w:t>产生消耗记录</w:t>
            </w:r>
            <w:r>
              <w:rPr>
                <w:rFonts w:hint="eastAsia" w:ascii="宋体" w:hAnsi="宋体" w:eastAsia="宋体"/>
              </w:rPr>
              <w:t>。演示流畅、功能完整、逻辑合理的得3分，每有一处缺陷扣0.5分，扣完为止。</w:t>
            </w:r>
          </w:p>
          <w:p w14:paraId="793CE109">
            <w:pPr>
              <w:ind w:firstLine="420" w:firstLineChars="200"/>
              <w:rPr>
                <w:rFonts w:hint="eastAsia" w:ascii="宋体" w:hAnsi="宋体" w:eastAsia="宋体"/>
              </w:rPr>
            </w:pPr>
            <w:r>
              <w:rPr>
                <w:rFonts w:hint="eastAsia" w:ascii="宋体" w:hAnsi="宋体" w:eastAsia="宋体"/>
              </w:rPr>
              <w:t>（3）电子病历质控系统演示（3分）：</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1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①</w:t>
            </w:r>
            <w:r>
              <w:rPr>
                <w:rFonts w:hint="eastAsia" w:ascii="宋体" w:hAnsi="宋体" w:eastAsia="宋体" w:cs="仿宋"/>
                <w:kern w:val="0"/>
                <w:lang w:bidi="ar"/>
              </w:rPr>
              <w:fldChar w:fldCharType="end"/>
            </w:r>
            <w:r>
              <w:rPr>
                <w:rFonts w:ascii="宋体" w:hAnsi="宋体" w:eastAsia="宋体"/>
              </w:rPr>
              <w:t>根据运行病历评分标准自动进行评分</w:t>
            </w:r>
            <w:r>
              <w:rPr>
                <w:rFonts w:hint="eastAsia" w:ascii="宋体" w:hAnsi="宋体" w:eastAsia="宋体"/>
              </w:rPr>
              <w:t>；也支持</w:t>
            </w:r>
            <w:r>
              <w:rPr>
                <w:rFonts w:ascii="宋体" w:hAnsi="宋体" w:eastAsia="宋体"/>
              </w:rPr>
              <w:t>手动评分</w:t>
            </w:r>
            <w:r>
              <w:rPr>
                <w:rFonts w:hint="eastAsia" w:ascii="宋体" w:hAnsi="宋体" w:eastAsia="宋体"/>
              </w:rPr>
              <w:t>及</w:t>
            </w:r>
            <w:r>
              <w:rPr>
                <w:rFonts w:ascii="宋体" w:hAnsi="宋体" w:eastAsia="宋体"/>
              </w:rPr>
              <w:t>手动修改分值</w:t>
            </w:r>
            <w:r>
              <w:rPr>
                <w:rFonts w:hint="eastAsia" w:ascii="宋体" w:hAnsi="宋体" w:eastAsia="宋体"/>
              </w:rPr>
              <w:t>；</w:t>
            </w:r>
            <w:r>
              <w:rPr>
                <w:rFonts w:ascii="宋体" w:hAnsi="宋体" w:eastAsia="宋体"/>
              </w:rPr>
              <w:t>根据评分分值汇总，直接进行病历等级标记</w:t>
            </w:r>
            <w:r>
              <w:rPr>
                <w:rFonts w:hint="eastAsia" w:ascii="宋体" w:hAnsi="宋体" w:eastAsia="宋体"/>
              </w:rPr>
              <w:t>；</w:t>
            </w:r>
            <w:r>
              <w:rPr>
                <w:rFonts w:ascii="宋体" w:hAnsi="宋体" w:eastAsia="宋体"/>
              </w:rPr>
              <w:t>查看历次评分及评分详情。</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2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②</w:t>
            </w:r>
            <w:r>
              <w:rPr>
                <w:rFonts w:hint="eastAsia" w:ascii="宋体" w:hAnsi="宋体" w:eastAsia="宋体" w:cs="仿宋"/>
                <w:kern w:val="0"/>
                <w:lang w:bidi="ar"/>
              </w:rPr>
              <w:fldChar w:fldCharType="end"/>
            </w:r>
            <w:r>
              <w:rPr>
                <w:rFonts w:ascii="宋体" w:hAnsi="宋体" w:eastAsia="宋体"/>
              </w:rPr>
              <w:t>终末病历评分</w:t>
            </w:r>
            <w:r>
              <w:rPr>
                <w:rFonts w:hint="eastAsia" w:ascii="宋体" w:hAnsi="宋体" w:eastAsia="宋体"/>
              </w:rPr>
              <w:t>支持</w:t>
            </w:r>
            <w:r>
              <w:rPr>
                <w:rFonts w:ascii="宋体" w:hAnsi="宋体" w:eastAsia="宋体"/>
              </w:rPr>
              <w:t>对出院、归档病历、病案首页进行评分</w:t>
            </w:r>
            <w:r>
              <w:rPr>
                <w:rFonts w:hint="eastAsia" w:ascii="宋体" w:hAnsi="宋体" w:eastAsia="宋体"/>
              </w:rPr>
              <w:t>，</w:t>
            </w:r>
            <w:r>
              <w:rPr>
                <w:rFonts w:ascii="宋体" w:hAnsi="宋体" w:eastAsia="宋体"/>
              </w:rPr>
              <w:t>根据终末病历评分标准自动进行评分支持手动评分，可手动修改分值。</w:t>
            </w:r>
            <w:r>
              <w:rPr>
                <w:rFonts w:hint="eastAsia" w:ascii="宋体" w:hAnsi="宋体" w:eastAsia="宋体"/>
              </w:rPr>
              <w:t>可</w:t>
            </w:r>
            <w:r>
              <w:rPr>
                <w:rFonts w:ascii="宋体" w:hAnsi="宋体" w:eastAsia="宋体"/>
              </w:rPr>
              <w:t>根据评分分值汇总，直接进行病历等级标记。</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3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③</w:t>
            </w:r>
            <w:r>
              <w:rPr>
                <w:rFonts w:hint="eastAsia" w:ascii="宋体" w:hAnsi="宋体" w:eastAsia="宋体" w:cs="仿宋"/>
                <w:kern w:val="0"/>
                <w:lang w:bidi="ar"/>
              </w:rPr>
              <w:fldChar w:fldCharType="end"/>
            </w:r>
            <w:r>
              <w:rPr>
                <w:rFonts w:ascii="宋体" w:hAnsi="宋体" w:eastAsia="宋体"/>
              </w:rPr>
              <w:t>抽样病历评分支持对随机病人进行抽查，建立抽样样本，由质控员对样本中的病历进行评分</w:t>
            </w:r>
            <w:r>
              <w:rPr>
                <w:rFonts w:hint="eastAsia" w:ascii="宋体" w:hAnsi="宋体" w:eastAsia="宋体"/>
              </w:rPr>
              <w:t>；</w:t>
            </w:r>
            <w:r>
              <w:rPr>
                <w:rFonts w:ascii="宋体" w:hAnsi="宋体" w:eastAsia="宋体"/>
              </w:rPr>
              <w:t>支持抽样样本条件的设置，并对抽取的样本进行保存</w:t>
            </w:r>
            <w:r>
              <w:rPr>
                <w:rFonts w:hint="eastAsia" w:ascii="宋体" w:hAnsi="宋体" w:eastAsia="宋体"/>
              </w:rPr>
              <w:t>；</w:t>
            </w:r>
            <w:r>
              <w:rPr>
                <w:rFonts w:ascii="宋体" w:hAnsi="宋体" w:eastAsia="宋体"/>
              </w:rPr>
              <w:t>新增患者到样本及从样本中删除患者</w:t>
            </w:r>
            <w:r>
              <w:rPr>
                <w:rFonts w:hint="eastAsia" w:ascii="宋体" w:hAnsi="宋体" w:eastAsia="宋体"/>
              </w:rPr>
              <w:t>；</w:t>
            </w:r>
            <w:r>
              <w:rPr>
                <w:rFonts w:ascii="宋体" w:hAnsi="宋体" w:eastAsia="宋体"/>
              </w:rPr>
              <w:t>支持质控员仅对分配给自己的样本进行病历评分。</w:t>
            </w:r>
            <w:r>
              <w:rPr>
                <w:rFonts w:hint="eastAsia" w:ascii="宋体" w:hAnsi="宋体" w:eastAsia="宋体"/>
              </w:rPr>
              <w:t>演示流畅、功能完整、逻辑合理的得3分，每有一处缺陷扣0.5分，扣完为止。</w:t>
            </w:r>
          </w:p>
          <w:p w14:paraId="77DEEF03">
            <w:pPr>
              <w:ind w:firstLine="420" w:firstLineChars="200"/>
              <w:rPr>
                <w:rFonts w:hint="eastAsia" w:ascii="宋体" w:hAnsi="宋体" w:eastAsia="宋体"/>
              </w:rPr>
            </w:pPr>
            <w:r>
              <w:rPr>
                <w:rFonts w:hint="eastAsia" w:ascii="宋体" w:hAnsi="宋体" w:eastAsia="宋体"/>
              </w:rPr>
              <w:t>（4）移动医护系统演示（3分）：</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1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①</w:t>
            </w:r>
            <w:r>
              <w:rPr>
                <w:rFonts w:hint="eastAsia" w:ascii="宋体" w:hAnsi="宋体" w:eastAsia="宋体" w:cs="仿宋"/>
                <w:kern w:val="0"/>
                <w:lang w:bidi="ar"/>
              </w:rPr>
              <w:fldChar w:fldCharType="end"/>
            </w:r>
            <w:r>
              <w:rPr>
                <w:rFonts w:hint="eastAsia" w:ascii="宋体" w:hAnsi="宋体" w:eastAsia="宋体" w:cs="仿宋"/>
                <w:kern w:val="0"/>
                <w:lang w:bidi="ar"/>
              </w:rPr>
              <w:t>移动医生系统门诊、住院病人费用查询功能，查看病人费用明细，单价、数量、金额等明细；能根据费用类别、计费项目和时间区域进行查询</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2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②</w:t>
            </w:r>
            <w:r>
              <w:rPr>
                <w:rFonts w:hint="eastAsia" w:ascii="宋体" w:hAnsi="宋体" w:eastAsia="宋体" w:cs="仿宋"/>
                <w:kern w:val="0"/>
                <w:lang w:bidi="ar"/>
              </w:rPr>
              <w:fldChar w:fldCharType="end"/>
            </w:r>
            <w:r>
              <w:rPr>
                <w:rFonts w:hint="eastAsia" w:ascii="宋体" w:hAnsi="宋体" w:eastAsia="宋体"/>
              </w:rPr>
              <w:t>移动医生系统查看和编辑住院患者完整的病案首页信息，包括住院病案首页、患者基本信息、出入院信息、诊断信息、质控信息、手术信息、检查检验信息、费用信息，保持跟HIS实时同步。</w:t>
            </w:r>
            <w:r>
              <w:rPr>
                <w:rFonts w:hint="eastAsia" w:ascii="宋体" w:hAnsi="宋体" w:eastAsia="宋体" w:cs="仿宋"/>
                <w:kern w:val="0"/>
                <w:lang w:bidi="ar"/>
              </w:rPr>
              <w:fldChar w:fldCharType="begin"/>
            </w:r>
            <w:r>
              <w:rPr>
                <w:rFonts w:hint="eastAsia" w:ascii="宋体" w:hAnsi="宋体" w:eastAsia="宋体" w:cs="仿宋"/>
                <w:kern w:val="0"/>
                <w:lang w:bidi="ar"/>
              </w:rPr>
              <w:instrText xml:space="preserve"> = 3 \* GB3 </w:instrText>
            </w:r>
            <w:r>
              <w:rPr>
                <w:rFonts w:hint="eastAsia" w:ascii="宋体" w:hAnsi="宋体" w:eastAsia="宋体" w:cs="仿宋"/>
                <w:kern w:val="0"/>
                <w:lang w:bidi="ar"/>
              </w:rPr>
              <w:fldChar w:fldCharType="separate"/>
            </w:r>
            <w:r>
              <w:rPr>
                <w:rFonts w:hint="eastAsia" w:ascii="宋体" w:hAnsi="宋体" w:eastAsia="宋体" w:cs="仿宋"/>
                <w:kern w:val="0"/>
                <w:lang w:bidi="ar"/>
              </w:rPr>
              <w:t>③</w:t>
            </w:r>
            <w:r>
              <w:rPr>
                <w:rFonts w:hint="eastAsia" w:ascii="宋体" w:hAnsi="宋体" w:eastAsia="宋体" w:cs="仿宋"/>
                <w:kern w:val="0"/>
                <w:lang w:bidi="ar"/>
              </w:rPr>
              <w:fldChar w:fldCharType="end"/>
            </w:r>
            <w:r>
              <w:rPr>
                <w:rFonts w:hint="eastAsia" w:ascii="宋体" w:hAnsi="宋体" w:eastAsia="宋体" w:cs="仿宋"/>
                <w:kern w:val="0"/>
                <w:lang w:bidi="ar"/>
              </w:rPr>
              <w:t>移动护士系统床位病人统一管理：展示当前科室或病区内所有病人的信息（床号、姓名、住院号、性别、年龄、住院余额、护理级别等），可以自行设定需要展示的项目及展示顺序，能灵活切换当前患者信息，支持扫腕带切换患者。</w:t>
            </w:r>
            <w:r>
              <w:rPr>
                <w:rFonts w:hint="eastAsia" w:ascii="宋体" w:hAnsi="宋体" w:eastAsia="宋体"/>
              </w:rPr>
              <w:t>费用管理：展示当前科室病人的医疗费用情况。直接与HIS对接，获取医院后台计费信息，通过输入关键字查询计费项目。演示流畅、功能完整、逻辑合理的得3分，每有一处缺陷扣0.5分，扣完为止。</w:t>
            </w:r>
          </w:p>
          <w:p w14:paraId="7DCABDE2">
            <w:pPr>
              <w:jc w:val="left"/>
              <w:rPr>
                <w:rFonts w:hint="eastAsia" w:ascii="宋体" w:hAnsi="宋体" w:cs="宋体"/>
                <w:color w:val="000000"/>
              </w:rPr>
            </w:pPr>
            <w:r>
              <w:rPr>
                <w:rFonts w:hint="eastAsia" w:ascii="宋体" w:hAnsi="宋体" w:cs="宋体"/>
                <w:color w:val="auto"/>
                <w:lang w:val="en-US" w:eastAsia="zh-CN"/>
              </w:rPr>
              <w:t>备注：</w:t>
            </w:r>
            <w:r>
              <w:rPr>
                <w:rFonts w:hint="eastAsia" w:ascii="宋体" w:hAnsi="宋体" w:cs="宋体"/>
                <w:color w:val="auto"/>
                <w:lang w:val="en-US" w:eastAsia="zh-CN"/>
              </w:rPr>
              <w:br w:type="textWrapping"/>
            </w:r>
            <w:r>
              <w:rPr>
                <w:rFonts w:hint="eastAsia" w:ascii="宋体" w:hAnsi="宋体" w:cs="宋体"/>
                <w:b/>
                <w:bCs/>
                <w:color w:val="auto"/>
                <w:lang w:val="en-US" w:eastAsia="zh-CN"/>
              </w:rPr>
              <w:t>1、投标人或所投产品投标人自备演示设备及环境；</w:t>
            </w:r>
            <w:r>
              <w:rPr>
                <w:rFonts w:hint="eastAsia" w:ascii="宋体" w:hAnsi="宋体" w:cs="宋体"/>
                <w:b/>
                <w:bCs/>
                <w:color w:val="auto"/>
                <w:lang w:val="en-US" w:eastAsia="zh-CN"/>
              </w:rPr>
              <w:br w:type="textWrapping"/>
            </w:r>
            <w:r>
              <w:rPr>
                <w:rFonts w:hint="eastAsia" w:ascii="宋体" w:hAnsi="宋体" w:cs="宋体"/>
                <w:b/>
                <w:bCs/>
                <w:color w:val="auto"/>
                <w:lang w:val="en-US" w:eastAsia="zh-CN"/>
              </w:rPr>
              <w:t>2、使用PPT演示稿、录屏、视频、截图、等其他方式进行演示的不得分；</w:t>
            </w:r>
            <w:r>
              <w:rPr>
                <w:rFonts w:hint="eastAsia" w:ascii="宋体" w:hAnsi="宋体" w:cs="宋体"/>
                <w:b/>
                <w:bCs/>
                <w:color w:val="auto"/>
                <w:lang w:val="en-US" w:eastAsia="zh-CN"/>
              </w:rPr>
              <w:br w:type="textWrapping"/>
            </w:r>
            <w:r>
              <w:rPr>
                <w:rFonts w:hint="eastAsia" w:ascii="宋体" w:hAnsi="宋体" w:cs="宋体"/>
                <w:b/>
                <w:bCs/>
                <w:color w:val="auto"/>
                <w:lang w:val="en-US" w:eastAsia="zh-CN"/>
              </w:rPr>
              <w:t>3、参与演示的人员包括授权代表在内不多于2人；</w:t>
            </w:r>
            <w:r>
              <w:rPr>
                <w:rFonts w:hint="eastAsia" w:ascii="宋体" w:hAnsi="宋体" w:cs="宋体"/>
                <w:b/>
                <w:bCs/>
                <w:color w:val="auto"/>
                <w:lang w:val="en-US" w:eastAsia="zh-CN"/>
              </w:rPr>
              <w:br w:type="textWrapping"/>
            </w:r>
            <w:r>
              <w:rPr>
                <w:rFonts w:hint="eastAsia" w:ascii="宋体" w:hAnsi="宋体" w:cs="宋体"/>
                <w:b/>
                <w:bCs/>
                <w:color w:val="auto"/>
                <w:lang w:val="en-US" w:eastAsia="zh-CN"/>
              </w:rPr>
              <w:t>4、演示时间控制在20分钟之内。</w:t>
            </w:r>
          </w:p>
        </w:tc>
      </w:tr>
      <w:tr w14:paraId="62A495FF">
        <w:tblPrEx>
          <w:shd w:val="clear" w:color="auto" w:fill="auto"/>
          <w:tblCellMar>
            <w:top w:w="0" w:type="dxa"/>
            <w:left w:w="0" w:type="dxa"/>
            <w:bottom w:w="0" w:type="dxa"/>
            <w:right w:w="0" w:type="dxa"/>
          </w:tblCellMar>
        </w:tblPrEx>
        <w:trPr>
          <w:trHeight w:val="1425"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0098">
            <w:pPr>
              <w:ind w:firstLine="480"/>
              <w:jc w:val="left"/>
              <w:rPr>
                <w:rFonts w:hint="eastAsia" w:ascii="宋体" w:hAnsi="宋体" w:cs="宋体"/>
                <w:color w:val="000000"/>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2332F">
            <w:pPr>
              <w:jc w:val="left"/>
              <w:rPr>
                <w:rFonts w:hint="eastAsia" w:ascii="宋体" w:hAnsi="宋体" w:cs="宋体"/>
                <w:color w:val="000000"/>
              </w:rPr>
            </w:pPr>
            <w:r>
              <w:rPr>
                <w:rFonts w:hint="eastAsia" w:ascii="宋体" w:hAnsi="宋体" w:cs="宋体"/>
                <w:color w:val="000000"/>
                <w:lang w:val="en-US" w:eastAsia="zh-CN"/>
              </w:rPr>
              <w:t>售后服务</w:t>
            </w:r>
            <w:r>
              <w:rPr>
                <w:rFonts w:hint="eastAsia" w:ascii="宋体" w:hAnsi="宋体" w:cs="宋体"/>
                <w:color w:val="000000"/>
                <w:lang w:val="en-US" w:eastAsia="zh-CN"/>
              </w:rPr>
              <w:br w:type="textWrapping"/>
            </w:r>
            <w:r>
              <w:rPr>
                <w:rFonts w:hint="eastAsia" w:ascii="宋体" w:hAnsi="宋体" w:cs="宋体"/>
                <w:color w:val="000000"/>
                <w:lang w:val="en-US" w:eastAsia="zh-CN"/>
              </w:rPr>
              <w:t>（5分）</w:t>
            </w:r>
          </w:p>
        </w:tc>
        <w:tc>
          <w:tcPr>
            <w:tcW w:w="7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ADBBA">
            <w:pPr>
              <w:widowControl/>
              <w:ind w:firstLine="420" w:firstLineChars="200"/>
              <w:jc w:val="left"/>
              <w:rPr>
                <w:rFonts w:hint="eastAsia" w:ascii="宋体" w:hAnsi="宋体" w:eastAsia="宋体" w:cs="仿宋"/>
                <w:color w:val="000000"/>
                <w:kern w:val="0"/>
                <w:lang w:bidi="ar"/>
              </w:rPr>
            </w:pPr>
            <w:r>
              <w:rPr>
                <w:rFonts w:hint="eastAsia" w:ascii="宋体" w:hAnsi="宋体" w:eastAsia="宋体" w:cs="仿宋"/>
                <w:color w:val="000000"/>
                <w:kern w:val="0"/>
                <w:lang w:bidi="ar"/>
              </w:rPr>
              <w:t>投标人针对本项目全面、合理、细致、可行的运维保障方案内容包含</w:t>
            </w:r>
            <w:r>
              <w:rPr>
                <w:rFonts w:hint="eastAsia" w:ascii="宋体" w:hAnsi="宋体" w:eastAsia="宋体" w:cs="仿宋"/>
                <w:color w:val="000000"/>
                <w:kern w:val="0"/>
                <w:lang w:bidi="ar"/>
              </w:rPr>
              <w:fldChar w:fldCharType="begin"/>
            </w:r>
            <w:r>
              <w:rPr>
                <w:rFonts w:hint="eastAsia" w:ascii="宋体" w:hAnsi="宋体" w:eastAsia="宋体" w:cs="仿宋"/>
                <w:color w:val="000000"/>
                <w:kern w:val="0"/>
                <w:lang w:bidi="ar"/>
              </w:rPr>
              <w:instrText xml:space="preserve"> = 1 \* GB3 </w:instrText>
            </w:r>
            <w:r>
              <w:rPr>
                <w:rFonts w:hint="eastAsia" w:ascii="宋体" w:hAnsi="宋体" w:eastAsia="宋体" w:cs="仿宋"/>
                <w:color w:val="000000"/>
                <w:kern w:val="0"/>
                <w:lang w:bidi="ar"/>
              </w:rPr>
              <w:fldChar w:fldCharType="separate"/>
            </w:r>
            <w:r>
              <w:rPr>
                <w:rFonts w:hint="eastAsia" w:ascii="宋体" w:hAnsi="宋体" w:eastAsia="宋体" w:cs="仿宋"/>
                <w:color w:val="000000"/>
                <w:kern w:val="0"/>
                <w:lang w:bidi="ar"/>
              </w:rPr>
              <w:t>①</w:t>
            </w:r>
            <w:r>
              <w:rPr>
                <w:rFonts w:hint="eastAsia" w:ascii="宋体" w:hAnsi="宋体" w:eastAsia="宋体" w:cs="仿宋"/>
                <w:color w:val="000000"/>
                <w:kern w:val="0"/>
                <w:lang w:bidi="ar"/>
              </w:rPr>
              <w:fldChar w:fldCharType="end"/>
            </w:r>
            <w:r>
              <w:rPr>
                <w:rFonts w:hint="eastAsia" w:ascii="宋体" w:hAnsi="宋体" w:eastAsia="宋体" w:cs="仿宋"/>
                <w:color w:val="000000"/>
                <w:kern w:val="0"/>
                <w:lang w:bidi="ar"/>
              </w:rPr>
              <w:t>售后服务管理体系</w:t>
            </w:r>
            <w:r>
              <w:rPr>
                <w:rFonts w:hint="eastAsia" w:ascii="宋体" w:hAnsi="宋体" w:eastAsia="宋体" w:cs="仿宋"/>
                <w:color w:val="000000"/>
                <w:kern w:val="0"/>
                <w:lang w:bidi="ar"/>
              </w:rPr>
              <w:fldChar w:fldCharType="begin"/>
            </w:r>
            <w:r>
              <w:rPr>
                <w:rFonts w:hint="eastAsia" w:ascii="宋体" w:hAnsi="宋体" w:eastAsia="宋体" w:cs="仿宋"/>
                <w:color w:val="000000"/>
                <w:kern w:val="0"/>
                <w:lang w:bidi="ar"/>
              </w:rPr>
              <w:instrText xml:space="preserve"> = 2 \* GB3 </w:instrText>
            </w:r>
            <w:r>
              <w:rPr>
                <w:rFonts w:hint="eastAsia" w:ascii="宋体" w:hAnsi="宋体" w:eastAsia="宋体" w:cs="仿宋"/>
                <w:color w:val="000000"/>
                <w:kern w:val="0"/>
                <w:lang w:bidi="ar"/>
              </w:rPr>
              <w:fldChar w:fldCharType="separate"/>
            </w:r>
            <w:r>
              <w:rPr>
                <w:rFonts w:hint="eastAsia" w:ascii="宋体" w:hAnsi="宋体" w:eastAsia="宋体" w:cs="仿宋"/>
                <w:color w:val="000000"/>
                <w:kern w:val="0"/>
                <w:lang w:bidi="ar"/>
              </w:rPr>
              <w:t>②</w:t>
            </w:r>
            <w:r>
              <w:rPr>
                <w:rFonts w:hint="eastAsia" w:ascii="宋体" w:hAnsi="宋体" w:eastAsia="宋体" w:cs="仿宋"/>
                <w:color w:val="000000"/>
                <w:kern w:val="0"/>
                <w:lang w:bidi="ar"/>
              </w:rPr>
              <w:fldChar w:fldCharType="end"/>
            </w:r>
            <w:r>
              <w:rPr>
                <w:rFonts w:hint="eastAsia" w:ascii="宋体" w:hAnsi="宋体" w:eastAsia="宋体" w:cs="仿宋"/>
                <w:color w:val="000000"/>
                <w:kern w:val="0"/>
                <w:lang w:bidi="ar"/>
              </w:rPr>
              <w:t>售后服务保障体系</w:t>
            </w:r>
            <w:r>
              <w:rPr>
                <w:rFonts w:hint="eastAsia" w:ascii="宋体" w:hAnsi="宋体" w:eastAsia="宋体" w:cs="仿宋"/>
                <w:color w:val="000000"/>
                <w:kern w:val="0"/>
                <w:lang w:bidi="ar"/>
              </w:rPr>
              <w:fldChar w:fldCharType="begin"/>
            </w:r>
            <w:r>
              <w:rPr>
                <w:rFonts w:hint="eastAsia" w:ascii="宋体" w:hAnsi="宋体" w:eastAsia="宋体" w:cs="仿宋"/>
                <w:color w:val="000000"/>
                <w:kern w:val="0"/>
                <w:lang w:bidi="ar"/>
              </w:rPr>
              <w:instrText xml:space="preserve"> = 3 \* GB3 </w:instrText>
            </w:r>
            <w:r>
              <w:rPr>
                <w:rFonts w:hint="eastAsia" w:ascii="宋体" w:hAnsi="宋体" w:eastAsia="宋体" w:cs="仿宋"/>
                <w:color w:val="000000"/>
                <w:kern w:val="0"/>
                <w:lang w:bidi="ar"/>
              </w:rPr>
              <w:fldChar w:fldCharType="separate"/>
            </w:r>
            <w:r>
              <w:rPr>
                <w:rFonts w:hint="eastAsia" w:ascii="宋体" w:hAnsi="宋体" w:eastAsia="宋体" w:cs="仿宋"/>
                <w:color w:val="000000"/>
                <w:kern w:val="0"/>
                <w:lang w:bidi="ar"/>
              </w:rPr>
              <w:t>③</w:t>
            </w:r>
            <w:r>
              <w:rPr>
                <w:rFonts w:hint="eastAsia" w:ascii="宋体" w:hAnsi="宋体" w:eastAsia="宋体" w:cs="仿宋"/>
                <w:color w:val="000000"/>
                <w:kern w:val="0"/>
                <w:lang w:bidi="ar"/>
              </w:rPr>
              <w:fldChar w:fldCharType="end"/>
            </w:r>
            <w:r>
              <w:rPr>
                <w:rFonts w:hint="eastAsia" w:ascii="宋体" w:hAnsi="宋体" w:eastAsia="宋体" w:cs="仿宋"/>
                <w:color w:val="000000"/>
                <w:kern w:val="0"/>
                <w:lang w:bidi="ar"/>
              </w:rPr>
              <w:t>服务内容及人员安排</w:t>
            </w:r>
            <w:r>
              <w:rPr>
                <w:rFonts w:hint="eastAsia" w:ascii="宋体" w:hAnsi="宋体" w:eastAsia="宋体" w:cs="仿宋"/>
                <w:color w:val="000000"/>
                <w:kern w:val="0"/>
                <w:lang w:bidi="ar"/>
              </w:rPr>
              <w:fldChar w:fldCharType="begin"/>
            </w:r>
            <w:r>
              <w:rPr>
                <w:rFonts w:hint="eastAsia" w:ascii="宋体" w:hAnsi="宋体" w:eastAsia="宋体" w:cs="仿宋"/>
                <w:color w:val="000000"/>
                <w:kern w:val="0"/>
                <w:lang w:bidi="ar"/>
              </w:rPr>
              <w:instrText xml:space="preserve"> = 4 \* GB3 </w:instrText>
            </w:r>
            <w:r>
              <w:rPr>
                <w:rFonts w:hint="eastAsia" w:ascii="宋体" w:hAnsi="宋体" w:eastAsia="宋体" w:cs="仿宋"/>
                <w:color w:val="000000"/>
                <w:kern w:val="0"/>
                <w:lang w:bidi="ar"/>
              </w:rPr>
              <w:fldChar w:fldCharType="separate"/>
            </w:r>
            <w:r>
              <w:rPr>
                <w:rFonts w:hint="eastAsia" w:ascii="宋体" w:hAnsi="宋体" w:eastAsia="宋体" w:cs="仿宋"/>
                <w:color w:val="000000"/>
                <w:kern w:val="0"/>
                <w:lang w:bidi="ar"/>
              </w:rPr>
              <w:t>④</w:t>
            </w:r>
            <w:r>
              <w:rPr>
                <w:rFonts w:hint="eastAsia" w:ascii="宋体" w:hAnsi="宋体" w:eastAsia="宋体" w:cs="仿宋"/>
                <w:color w:val="000000"/>
                <w:kern w:val="0"/>
                <w:lang w:bidi="ar"/>
              </w:rPr>
              <w:fldChar w:fldCharType="end"/>
            </w:r>
            <w:r>
              <w:rPr>
                <w:rFonts w:hint="eastAsia" w:ascii="宋体" w:hAnsi="宋体" w:eastAsia="宋体" w:cs="仿宋"/>
                <w:color w:val="000000"/>
                <w:kern w:val="0"/>
                <w:lang w:bidi="ar"/>
              </w:rPr>
              <w:t>售后服务响应时间；</w:t>
            </w:r>
            <w:r>
              <w:rPr>
                <w:rFonts w:hint="eastAsia" w:ascii="宋体" w:hAnsi="宋体" w:eastAsia="宋体" w:cs="仿宋"/>
                <w:color w:val="000000"/>
                <w:kern w:val="0"/>
                <w:lang w:bidi="ar"/>
              </w:rPr>
              <w:fldChar w:fldCharType="begin"/>
            </w:r>
            <w:r>
              <w:rPr>
                <w:rFonts w:hint="eastAsia" w:ascii="宋体" w:hAnsi="宋体" w:eastAsia="宋体" w:cs="仿宋"/>
                <w:color w:val="000000"/>
                <w:kern w:val="0"/>
                <w:lang w:bidi="ar"/>
              </w:rPr>
              <w:instrText xml:space="preserve"> = 5 \* GB3 </w:instrText>
            </w:r>
            <w:r>
              <w:rPr>
                <w:rFonts w:hint="eastAsia" w:ascii="宋体" w:hAnsi="宋体" w:eastAsia="宋体" w:cs="仿宋"/>
                <w:color w:val="000000"/>
                <w:kern w:val="0"/>
                <w:lang w:bidi="ar"/>
              </w:rPr>
              <w:fldChar w:fldCharType="separate"/>
            </w:r>
            <w:r>
              <w:rPr>
                <w:rFonts w:hint="eastAsia" w:ascii="宋体" w:hAnsi="宋体" w:eastAsia="宋体" w:cs="仿宋"/>
                <w:color w:val="000000"/>
                <w:kern w:val="0"/>
                <w:lang w:bidi="ar"/>
              </w:rPr>
              <w:t>⑤</w:t>
            </w:r>
            <w:r>
              <w:rPr>
                <w:rFonts w:hint="eastAsia" w:ascii="宋体" w:hAnsi="宋体" w:eastAsia="宋体" w:cs="仿宋"/>
                <w:color w:val="000000"/>
                <w:kern w:val="0"/>
                <w:lang w:bidi="ar"/>
              </w:rPr>
              <w:fldChar w:fldCharType="end"/>
            </w:r>
            <w:r>
              <w:rPr>
                <w:rFonts w:hint="eastAsia" w:ascii="宋体" w:hAnsi="宋体" w:eastAsia="宋体" w:cs="仿宋"/>
                <w:color w:val="000000"/>
                <w:kern w:val="0"/>
                <w:lang w:bidi="ar"/>
              </w:rPr>
              <w:t>故障解决及应急方案。以上方案完全响应的每一项得1分，满分5分；未实质性响应或响应不完整、不充分、有缺陷的每项扣0.5分；未提供的不得分。</w:t>
            </w:r>
          </w:p>
          <w:p w14:paraId="28624707">
            <w:pPr>
              <w:ind w:firstLine="480"/>
              <w:jc w:val="left"/>
              <w:rPr>
                <w:rFonts w:hint="eastAsia" w:ascii="宋体" w:hAnsi="宋体" w:cs="宋体"/>
                <w:color w:val="000000"/>
              </w:rPr>
            </w:pPr>
          </w:p>
        </w:tc>
      </w:tr>
    </w:tbl>
    <w:p w14:paraId="595E0C5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包二：硬件</w:t>
      </w:r>
    </w:p>
    <w:tbl>
      <w:tblPr>
        <w:tblStyle w:val="20"/>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14:paraId="2C54D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2489D807">
            <w:pPr>
              <w:ind w:firstLine="0" w:firstLineChars="0"/>
              <w:rPr>
                <w:rFonts w:hint="eastAsia" w:ascii="宋体" w:hAnsi="宋体"/>
                <w:color w:val="auto"/>
                <w:sz w:val="21"/>
                <w:szCs w:val="21"/>
              </w:rPr>
            </w:pPr>
            <w:r>
              <w:rPr>
                <w:rFonts w:hint="eastAsia" w:ascii="宋体" w:hAnsi="宋体"/>
                <w:color w:val="auto"/>
                <w:sz w:val="21"/>
                <w:szCs w:val="21"/>
              </w:rPr>
              <w:t>磋商报价</w:t>
            </w:r>
            <w:r>
              <w:rPr>
                <w:rFonts w:hint="eastAsia" w:ascii="宋体" w:hAnsi="宋体"/>
                <w:b/>
                <w:bCs/>
                <w:color w:val="auto"/>
                <w:sz w:val="21"/>
                <w:szCs w:val="21"/>
                <w:lang w:val="en-US" w:eastAsia="zh-CN"/>
              </w:rPr>
              <w:t>30</w:t>
            </w:r>
            <w:r>
              <w:rPr>
                <w:rFonts w:hint="eastAsia" w:ascii="宋体" w:hAnsi="宋体"/>
                <w:color w:val="auto"/>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AC41DA">
            <w:pPr>
              <w:ind w:firstLine="199" w:firstLineChars="95"/>
              <w:rPr>
                <w:rFonts w:hint="eastAsia" w:ascii="宋体" w:hAnsi="宋体"/>
                <w:color w:val="auto"/>
                <w:sz w:val="21"/>
                <w:szCs w:val="21"/>
              </w:rPr>
            </w:pPr>
            <w:r>
              <w:rPr>
                <w:rFonts w:hint="eastAsia" w:ascii="宋体" w:hAnsi="宋体"/>
                <w:color w:val="auto"/>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12CC483">
            <w:pPr>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34C45E5">
            <w:pPr>
              <w:pStyle w:val="17"/>
              <w:keepNext w:val="0"/>
              <w:keepLines w:val="0"/>
              <w:pageBreakBefore w:val="0"/>
              <w:widowControl/>
              <w:numPr>
                <w:ilvl w:val="0"/>
                <w:numId w:val="3"/>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投标价格最低的投标报价为评标基准价，其价格分为满分。其他投标人的价格分统一按照下列公式计算：投标报价得分=(评标基准价／投标报价)×100×投标报价比重（30%）</w:t>
            </w:r>
          </w:p>
          <w:p w14:paraId="525C5169">
            <w:pPr>
              <w:pStyle w:val="17"/>
              <w:keepNext w:val="0"/>
              <w:keepLines w:val="0"/>
              <w:pageBreakBefore w:val="0"/>
              <w:widowControl/>
              <w:numPr>
                <w:ilvl w:val="0"/>
                <w:numId w:val="3"/>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 w:val="21"/>
                <w:szCs w:val="21"/>
              </w:rPr>
            </w:pPr>
            <w:r>
              <w:rPr>
                <w:rFonts w:hint="eastAsia" w:ascii="宋体" w:hAnsi="宋体" w:eastAsia="宋体" w:cs="Times New Roman"/>
                <w:color w:val="auto"/>
                <w:kern w:val="2"/>
                <w:sz w:val="21"/>
                <w:szCs w:val="21"/>
                <w:lang w:val="zh-CN" w:eastAsia="zh-CN" w:bidi="ar-SA"/>
              </w:rPr>
              <w:t>根据《政府采购促进中小企业发展暂行办法》的相关规定，对小型和微型企业制造（生产）产品的价格给予10%的扣除，用扣除后的价格参与评审。残疾人福利性单位属于小型、微型企业的，不重复享受政策。执行国家统一定价标准和采用固定价格采购的项目，其价格不列为评审因素。</w:t>
            </w:r>
          </w:p>
        </w:tc>
      </w:tr>
      <w:tr w14:paraId="35268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14:paraId="06CB9BCD">
            <w:pPr>
              <w:ind w:firstLine="0" w:firstLineChars="0"/>
              <w:rPr>
                <w:rFonts w:hint="eastAsia" w:ascii="宋体" w:hAnsi="宋体"/>
                <w:color w:val="auto"/>
                <w:sz w:val="21"/>
                <w:szCs w:val="21"/>
              </w:rPr>
            </w:pPr>
            <w:r>
              <w:rPr>
                <w:rFonts w:hint="eastAsia" w:ascii="宋体" w:hAnsi="宋体"/>
                <w:color w:val="auto"/>
                <w:sz w:val="21"/>
                <w:szCs w:val="21"/>
              </w:rPr>
              <w:t>技术质量</w:t>
            </w:r>
            <w:r>
              <w:rPr>
                <w:rFonts w:hint="eastAsia" w:ascii="宋体" w:hAnsi="宋体"/>
                <w:color w:val="auto"/>
                <w:sz w:val="21"/>
                <w:szCs w:val="21"/>
                <w:lang w:eastAsia="zh-CN"/>
              </w:rPr>
              <w:t>及综合实力</w:t>
            </w:r>
            <w:r>
              <w:rPr>
                <w:rFonts w:hint="eastAsia" w:ascii="宋体" w:hAnsi="宋体" w:eastAsia="宋体" w:cs="Times New Roman"/>
                <w:b/>
                <w:bCs/>
                <w:color w:val="auto"/>
                <w:sz w:val="21"/>
                <w:szCs w:val="21"/>
                <w:lang w:val="en-US" w:eastAsia="zh-CN"/>
              </w:rPr>
              <w:t>50</w:t>
            </w:r>
            <w:r>
              <w:rPr>
                <w:rFonts w:hint="eastAsia" w:ascii="宋体" w:hAnsi="宋体"/>
                <w:color w:val="auto"/>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811919">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FB75D5E">
            <w:pPr>
              <w:ind w:firstLine="199" w:firstLineChars="95"/>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46</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4194C311">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投标产品技术参数和配置完全满足或高于</w:t>
            </w:r>
            <w:r>
              <w:rPr>
                <w:rFonts w:hint="eastAsia" w:ascii="宋体" w:hAnsi="宋体" w:eastAsia="宋体" w:cs="Times New Roman"/>
                <w:color w:val="auto"/>
                <w:kern w:val="2"/>
                <w:sz w:val="21"/>
                <w:szCs w:val="21"/>
                <w:lang w:val="en-US" w:eastAsia="zh-CN" w:bidi="ar-SA"/>
              </w:rPr>
              <w:t>招标</w:t>
            </w:r>
            <w:r>
              <w:rPr>
                <w:rFonts w:hint="eastAsia" w:ascii="宋体" w:hAnsi="宋体" w:eastAsia="宋体" w:cs="Times New Roman"/>
                <w:color w:val="auto"/>
                <w:kern w:val="2"/>
                <w:sz w:val="21"/>
                <w:szCs w:val="21"/>
                <w:lang w:val="zh-CN" w:eastAsia="zh-CN" w:bidi="ar-SA"/>
              </w:rPr>
              <w:t>文件要求的，得</w:t>
            </w:r>
            <w:r>
              <w:rPr>
                <w:rFonts w:hint="eastAsia" w:ascii="宋体" w:hAnsi="宋体" w:cs="Times New Roman"/>
                <w:color w:val="auto"/>
                <w:kern w:val="2"/>
                <w:sz w:val="21"/>
                <w:szCs w:val="21"/>
                <w:lang w:val="en-US" w:eastAsia="zh-CN" w:bidi="ar-SA"/>
              </w:rPr>
              <w:t>46</w:t>
            </w:r>
            <w:r>
              <w:rPr>
                <w:rFonts w:hint="eastAsia" w:ascii="宋体" w:hAnsi="宋体" w:eastAsia="宋体" w:cs="Times New Roman"/>
                <w:color w:val="auto"/>
                <w:kern w:val="2"/>
                <w:sz w:val="21"/>
                <w:szCs w:val="21"/>
                <w:lang w:val="zh-CN" w:eastAsia="zh-CN" w:bidi="ar-SA"/>
              </w:rPr>
              <w:t>分；每有一项负偏离扣</w:t>
            </w: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zh-CN" w:eastAsia="zh-CN" w:bidi="ar-SA"/>
              </w:rPr>
              <w:t>分，扣完为止。</w:t>
            </w:r>
            <w:r>
              <w:rPr>
                <w:rFonts w:hint="eastAsia" w:ascii="宋体" w:hAnsi="宋体" w:eastAsia="宋体" w:cs="Times New Roman"/>
                <w:color w:val="auto"/>
                <w:kern w:val="2"/>
                <w:sz w:val="21"/>
                <w:szCs w:val="21"/>
                <w:lang w:val="en-US" w:eastAsia="zh-CN" w:bidi="ar-SA"/>
              </w:rPr>
              <w:t>(需提供生产厂商出具的证明资料或产品彩页或检测报告等)</w:t>
            </w:r>
          </w:p>
        </w:tc>
      </w:tr>
      <w:tr w14:paraId="24630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601" w:type="dxa"/>
            <w:vMerge w:val="continue"/>
            <w:tcBorders>
              <w:left w:val="single" w:color="auto" w:sz="4" w:space="0"/>
              <w:right w:val="single" w:color="auto" w:sz="4" w:space="0"/>
            </w:tcBorders>
            <w:noWrap w:val="0"/>
            <w:vAlign w:val="center"/>
          </w:tcPr>
          <w:p w14:paraId="36A23A4C">
            <w:pPr>
              <w:ind w:firstLine="0" w:firstLineChars="0"/>
              <w:rPr>
                <w:rFonts w:hint="eastAsia"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5F816F">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环保和节能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E512D40">
            <w:pPr>
              <w:ind w:firstLine="199" w:firstLineChars="95"/>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F175575">
            <w:pPr>
              <w:spacing w:line="336" w:lineRule="auto"/>
              <w:ind w:left="0" w:leftChars="0" w:firstLine="0" w:firstLineChars="0"/>
              <w:jc w:val="left"/>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投标产品为节能产品得</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分；投标产品为环保产品得</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分；未提供不得分。该项得分的认定以《国家节能产品认证证书》、《中国环境标志产品认证证书》为准。</w:t>
            </w:r>
          </w:p>
        </w:tc>
      </w:tr>
      <w:tr w14:paraId="2FEE9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14:paraId="4566E918">
            <w:pPr>
              <w:ind w:firstLine="0" w:firstLineChars="0"/>
              <w:rPr>
                <w:rFonts w:hint="eastAsia"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A35AF6">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自主创新产品</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519C322">
            <w:pPr>
              <w:ind w:firstLine="199" w:firstLineChars="95"/>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4B7270D">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投标产品属自主知识产权的，得 2分；反之不得分。</w:t>
            </w:r>
          </w:p>
        </w:tc>
      </w:tr>
      <w:tr w14:paraId="46332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restart"/>
            <w:tcBorders>
              <w:top w:val="single" w:color="auto" w:sz="4" w:space="0"/>
              <w:left w:val="single" w:color="auto" w:sz="4" w:space="0"/>
              <w:right w:val="single" w:color="auto" w:sz="4" w:space="0"/>
            </w:tcBorders>
            <w:noWrap w:val="0"/>
            <w:vAlign w:val="center"/>
          </w:tcPr>
          <w:p w14:paraId="6FDFE2F4">
            <w:pPr>
              <w:ind w:firstLine="0" w:firstLineChars="0"/>
              <w:rPr>
                <w:rFonts w:hint="eastAsia" w:ascii="宋体" w:hAnsi="宋体"/>
                <w:color w:val="auto"/>
                <w:sz w:val="21"/>
                <w:szCs w:val="21"/>
              </w:rPr>
            </w:pPr>
            <w:r>
              <w:rPr>
                <w:rFonts w:hint="eastAsia" w:ascii="宋体" w:hAnsi="宋体"/>
                <w:color w:val="auto"/>
                <w:sz w:val="21"/>
                <w:szCs w:val="21"/>
              </w:rPr>
              <w:t>履约及售后服务能力</w:t>
            </w:r>
            <w:r>
              <w:rPr>
                <w:rFonts w:hint="eastAsia" w:ascii="宋体" w:hAnsi="宋体"/>
                <w:b/>
                <w:bCs/>
                <w:color w:val="auto"/>
                <w:sz w:val="21"/>
                <w:szCs w:val="21"/>
                <w:lang w:val="en-US" w:eastAsia="zh-CN"/>
              </w:rPr>
              <w:t>20</w:t>
            </w:r>
            <w:r>
              <w:rPr>
                <w:rFonts w:hint="eastAsia" w:ascii="宋体" w:hAnsi="宋体"/>
                <w:color w:val="auto"/>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2D6863">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7F92D2B">
            <w:pPr>
              <w:widowControl/>
              <w:ind w:firstLine="199" w:firstLineChars="95"/>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2A42B4D2">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提供自20</w:t>
            </w:r>
            <w:r>
              <w:rPr>
                <w:rFonts w:hint="eastAsia" w:ascii="宋体" w:hAnsi="宋体" w:eastAsia="宋体" w:cs="Times New Roman"/>
                <w:color w:val="auto"/>
                <w:kern w:val="2"/>
                <w:sz w:val="21"/>
                <w:szCs w:val="21"/>
                <w:lang w:val="en-US" w:eastAsia="zh-CN" w:bidi="ar-SA"/>
              </w:rPr>
              <w:t>21</w:t>
            </w:r>
            <w:r>
              <w:rPr>
                <w:rFonts w:hint="eastAsia" w:ascii="宋体" w:hAnsi="宋体" w:eastAsia="宋体" w:cs="Times New Roman"/>
                <w:color w:val="auto"/>
                <w:kern w:val="2"/>
                <w:sz w:val="21"/>
                <w:szCs w:val="21"/>
                <w:lang w:val="zh-CN" w:eastAsia="zh-CN" w:bidi="ar-SA"/>
              </w:rPr>
              <w:t>年</w:t>
            </w:r>
            <w:r>
              <w:rPr>
                <w:rFonts w:hint="eastAsia" w:ascii="宋体" w:hAnsi="宋体" w:cs="Times New Roman"/>
                <w:color w:val="auto"/>
                <w:kern w:val="2"/>
                <w:sz w:val="21"/>
                <w:szCs w:val="21"/>
                <w:lang w:val="en-US" w:eastAsia="zh-CN" w:bidi="ar-SA"/>
              </w:rPr>
              <w:t>10</w:t>
            </w:r>
            <w:r>
              <w:rPr>
                <w:rFonts w:hint="eastAsia" w:ascii="宋体" w:hAnsi="宋体" w:eastAsia="宋体" w:cs="Times New Roman"/>
                <w:color w:val="auto"/>
                <w:kern w:val="2"/>
                <w:sz w:val="21"/>
                <w:szCs w:val="21"/>
                <w:lang w:val="en-US" w:eastAsia="zh-CN" w:bidi="ar-SA"/>
              </w:rPr>
              <w:t>月</w:t>
            </w:r>
            <w:r>
              <w:rPr>
                <w:rFonts w:hint="eastAsia" w:ascii="宋体" w:hAnsi="宋体" w:eastAsia="宋体" w:cs="Times New Roman"/>
                <w:color w:val="auto"/>
                <w:kern w:val="2"/>
                <w:sz w:val="21"/>
                <w:szCs w:val="21"/>
                <w:lang w:val="zh-CN" w:eastAsia="zh-CN" w:bidi="ar-SA"/>
              </w:rPr>
              <w:t>以来的类似业绩证明材料。提供5项以上（含5项）的，得5分；提供5项以下的，每提供1项得1分；不提供不得分。需提供包含合同首页、标的及金额所在页、供货合同签字盖章页的扫描（或复印）件</w:t>
            </w:r>
            <w:r>
              <w:rPr>
                <w:rFonts w:hint="eastAsia" w:ascii="宋体" w:hAnsi="宋体" w:cs="Times New Roman"/>
                <w:color w:val="auto"/>
                <w:kern w:val="2"/>
                <w:sz w:val="21"/>
                <w:szCs w:val="21"/>
                <w:lang w:val="zh-CN" w:eastAsia="zh-CN" w:bidi="ar-SA"/>
              </w:rPr>
              <w:t>。</w:t>
            </w:r>
          </w:p>
        </w:tc>
      </w:tr>
      <w:tr w14:paraId="67106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14:paraId="7A16AD37">
            <w:pPr>
              <w:ind w:firstLine="0" w:firstLineChars="0"/>
              <w:rPr>
                <w:rFonts w:hint="eastAsia" w:ascii="宋体" w:hAnsi="宋体"/>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4C140E">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9CBAD08">
            <w:pPr>
              <w:ind w:firstLine="0" w:firstLineChars="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61AFD4C">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投标供应商制定方案须体现科学合理性、条理性、可行性、完善性、针对性。包含：①项目管理机构②项目管理措施及质量保障方案③人员配置情况。</w:t>
            </w:r>
            <w:r>
              <w:rPr>
                <w:rFonts w:hint="eastAsia" w:ascii="宋体" w:hAnsi="宋体" w:cs="宋体"/>
              </w:rPr>
              <w:t>④实施进度</w:t>
            </w:r>
            <w:r>
              <w:rPr>
                <w:rFonts w:hint="eastAsia" w:ascii="宋体" w:hAnsi="宋体" w:cs="宋体"/>
                <w:lang w:val="en-US" w:eastAsia="zh-CN"/>
              </w:rPr>
              <w:t>情况</w:t>
            </w:r>
            <w:r>
              <w:rPr>
                <w:rFonts w:hint="eastAsia" w:ascii="宋体" w:hAnsi="宋体" w:cs="宋体"/>
              </w:rPr>
              <w:t>⑤安全保障措</w:t>
            </w:r>
            <w:r>
              <w:rPr>
                <w:rFonts w:hint="eastAsia" w:ascii="宋体" w:hAnsi="宋体" w:eastAsia="宋体" w:cs="Times New Roman"/>
                <w:color w:val="auto"/>
                <w:kern w:val="2"/>
                <w:sz w:val="21"/>
                <w:szCs w:val="21"/>
                <w:lang w:val="zh-CN" w:eastAsia="zh-CN" w:bidi="ar-SA"/>
              </w:rPr>
              <w:t>以上因素实质性响应并详尽合理的每一项得</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分，满分</w:t>
            </w:r>
            <w:r>
              <w:rPr>
                <w:rFonts w:hint="eastAsia" w:ascii="宋体" w:hAnsi="宋体" w:eastAsia="宋体" w:cs="Times New Roman"/>
                <w:color w:val="auto"/>
                <w:kern w:val="2"/>
                <w:sz w:val="21"/>
                <w:szCs w:val="21"/>
                <w:lang w:val="en-US" w:eastAsia="zh-CN" w:bidi="ar-SA"/>
              </w:rPr>
              <w:t>5</w:t>
            </w:r>
            <w:r>
              <w:rPr>
                <w:rFonts w:hint="eastAsia" w:ascii="宋体" w:hAnsi="宋体" w:eastAsia="宋体" w:cs="Times New Roman"/>
                <w:color w:val="auto"/>
                <w:kern w:val="2"/>
                <w:sz w:val="21"/>
                <w:szCs w:val="21"/>
                <w:lang w:val="zh-CN" w:eastAsia="zh-CN" w:bidi="ar-SA"/>
              </w:rPr>
              <w:t>分；每有一项存在缺陷或不足的扣</w:t>
            </w:r>
            <w:r>
              <w:rPr>
                <w:rFonts w:hint="eastAsia" w:ascii="宋体" w:hAnsi="宋体" w:eastAsia="宋体" w:cs="Times New Roman"/>
                <w:color w:val="auto"/>
                <w:kern w:val="2"/>
                <w:sz w:val="21"/>
                <w:szCs w:val="21"/>
                <w:lang w:val="en-US" w:eastAsia="zh-CN" w:bidi="ar-SA"/>
              </w:rPr>
              <w:t>0.5</w:t>
            </w:r>
            <w:r>
              <w:rPr>
                <w:rFonts w:hint="eastAsia" w:ascii="宋体" w:hAnsi="宋体" w:eastAsia="宋体" w:cs="Times New Roman"/>
                <w:color w:val="auto"/>
                <w:kern w:val="2"/>
                <w:sz w:val="21"/>
                <w:szCs w:val="21"/>
                <w:lang w:val="zh-CN" w:eastAsia="zh-CN" w:bidi="ar-SA"/>
              </w:rPr>
              <w:t>分，未提供的不得分。</w:t>
            </w:r>
          </w:p>
        </w:tc>
      </w:tr>
      <w:tr w14:paraId="07AFC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14:paraId="10BF4872">
            <w:pPr>
              <w:ind w:firstLine="0" w:firstLineChars="0"/>
              <w:rPr>
                <w:rFonts w:hint="eastAsia" w:ascii="宋体" w:hAnsi="宋体"/>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7189BA">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供货及配送方案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0207C48">
            <w:pPr>
              <w:ind w:firstLine="0" w:firstLineChars="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9F86EEE">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投标供应商针对本项目特点制定详细的货物供货及配送方案。包含：①完善的供货计划②完善的运输计划及运输配置、应急措施等③配货、分货、安装的工作流程。</w:t>
            </w:r>
            <w:r>
              <w:rPr>
                <w:rFonts w:hint="eastAsia" w:ascii="宋体" w:hAnsi="宋体" w:cs="宋体"/>
              </w:rPr>
              <w:t>④</w:t>
            </w:r>
            <w:r>
              <w:rPr>
                <w:rFonts w:hint="eastAsia" w:ascii="宋体" w:hAnsi="宋体" w:eastAsia="宋体" w:cs="Times New Roman"/>
                <w:color w:val="auto"/>
                <w:kern w:val="2"/>
                <w:sz w:val="21"/>
                <w:szCs w:val="21"/>
                <w:lang w:val="zh-CN" w:eastAsia="zh-CN" w:bidi="ar-SA"/>
              </w:rPr>
              <w:t>完善的供货保证措施</w:t>
            </w:r>
            <w:r>
              <w:rPr>
                <w:rFonts w:hint="eastAsia" w:ascii="宋体" w:hAnsi="宋体" w:cs="宋体"/>
              </w:rPr>
              <w:t>⑤安全保障措</w:t>
            </w:r>
            <w:r>
              <w:rPr>
                <w:rFonts w:hint="eastAsia" w:ascii="宋体" w:hAnsi="宋体" w:eastAsia="宋体" w:cs="Times New Roman"/>
                <w:color w:val="auto"/>
                <w:kern w:val="2"/>
                <w:sz w:val="21"/>
                <w:szCs w:val="21"/>
                <w:lang w:val="zh-CN" w:eastAsia="zh-CN" w:bidi="ar-SA"/>
              </w:rPr>
              <w:t>。以上因素实质性响应并详尽合理的每一项得</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分，满分</w:t>
            </w:r>
            <w:r>
              <w:rPr>
                <w:rFonts w:hint="eastAsia" w:ascii="宋体" w:hAnsi="宋体" w:eastAsia="宋体" w:cs="Times New Roman"/>
                <w:color w:val="auto"/>
                <w:kern w:val="2"/>
                <w:sz w:val="21"/>
                <w:szCs w:val="21"/>
                <w:lang w:val="en-US" w:eastAsia="zh-CN" w:bidi="ar-SA"/>
              </w:rPr>
              <w:t>5</w:t>
            </w:r>
            <w:r>
              <w:rPr>
                <w:rFonts w:hint="eastAsia" w:ascii="宋体" w:hAnsi="宋体" w:eastAsia="宋体" w:cs="Times New Roman"/>
                <w:color w:val="auto"/>
                <w:kern w:val="2"/>
                <w:sz w:val="21"/>
                <w:szCs w:val="21"/>
                <w:lang w:val="zh-CN" w:eastAsia="zh-CN" w:bidi="ar-SA"/>
              </w:rPr>
              <w:t>分；每有一项存在缺陷或不足的扣</w:t>
            </w:r>
            <w:r>
              <w:rPr>
                <w:rFonts w:hint="eastAsia" w:ascii="宋体" w:hAnsi="宋体" w:eastAsia="宋体" w:cs="Times New Roman"/>
                <w:color w:val="auto"/>
                <w:kern w:val="2"/>
                <w:sz w:val="21"/>
                <w:szCs w:val="21"/>
                <w:lang w:val="en-US" w:eastAsia="zh-CN" w:bidi="ar-SA"/>
              </w:rPr>
              <w:t>0.5</w:t>
            </w:r>
            <w:r>
              <w:rPr>
                <w:rFonts w:hint="eastAsia" w:ascii="宋体" w:hAnsi="宋体" w:eastAsia="宋体" w:cs="Times New Roman"/>
                <w:color w:val="auto"/>
                <w:kern w:val="2"/>
                <w:sz w:val="21"/>
                <w:szCs w:val="21"/>
                <w:lang w:val="zh-CN" w:eastAsia="zh-CN" w:bidi="ar-SA"/>
              </w:rPr>
              <w:t>分，未提供的不得分。</w:t>
            </w:r>
          </w:p>
        </w:tc>
      </w:tr>
      <w:tr w14:paraId="5A9ED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01" w:type="dxa"/>
            <w:vMerge w:val="continue"/>
            <w:tcBorders>
              <w:left w:val="single" w:color="auto" w:sz="4" w:space="0"/>
              <w:right w:val="single" w:color="auto" w:sz="4" w:space="0"/>
            </w:tcBorders>
            <w:noWrap w:val="0"/>
            <w:vAlign w:val="center"/>
          </w:tcPr>
          <w:p w14:paraId="0E782676">
            <w:pPr>
              <w:ind w:firstLine="0" w:firstLineChars="0"/>
              <w:rPr>
                <w:rFonts w:hint="eastAsia" w:ascii="宋体" w:hAnsi="宋体"/>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080032">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售后服务计划、措施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A80252C">
            <w:pPr>
              <w:ind w:firstLine="0" w:firstLineChars="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671ACDF0">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分，满分</w:t>
            </w:r>
            <w:r>
              <w:rPr>
                <w:rFonts w:hint="eastAsia" w:ascii="宋体" w:hAnsi="宋体" w:eastAsia="宋体" w:cs="Times New Roman"/>
                <w:color w:val="auto"/>
                <w:kern w:val="2"/>
                <w:sz w:val="21"/>
                <w:szCs w:val="21"/>
                <w:lang w:val="en-US" w:eastAsia="zh-CN" w:bidi="ar-SA"/>
              </w:rPr>
              <w:t>5</w:t>
            </w:r>
            <w:r>
              <w:rPr>
                <w:rFonts w:hint="eastAsia" w:ascii="宋体" w:hAnsi="宋体" w:eastAsia="宋体" w:cs="Times New Roman"/>
                <w:color w:val="auto"/>
                <w:kern w:val="2"/>
                <w:sz w:val="21"/>
                <w:szCs w:val="21"/>
                <w:lang w:val="zh-CN" w:eastAsia="zh-CN" w:bidi="ar-SA"/>
              </w:rPr>
              <w:t>分；每有一项存在缺陷或不足的扣</w:t>
            </w:r>
            <w:r>
              <w:rPr>
                <w:rFonts w:hint="eastAsia" w:ascii="宋体" w:hAnsi="宋体" w:eastAsia="宋体" w:cs="Times New Roman"/>
                <w:color w:val="auto"/>
                <w:kern w:val="2"/>
                <w:sz w:val="21"/>
                <w:szCs w:val="21"/>
                <w:lang w:val="en-US" w:eastAsia="zh-CN" w:bidi="ar-SA"/>
              </w:rPr>
              <w:t>0.5</w:t>
            </w:r>
            <w:r>
              <w:rPr>
                <w:rFonts w:hint="eastAsia" w:ascii="宋体" w:hAnsi="宋体" w:eastAsia="宋体" w:cs="Times New Roman"/>
                <w:color w:val="auto"/>
                <w:kern w:val="2"/>
                <w:sz w:val="21"/>
                <w:szCs w:val="21"/>
                <w:lang w:val="zh-CN" w:eastAsia="zh-CN" w:bidi="ar-SA"/>
              </w:rPr>
              <w:t>分，未提供的不得分。</w:t>
            </w:r>
          </w:p>
        </w:tc>
      </w:tr>
    </w:tbl>
    <w:p w14:paraId="29158F48">
      <w:pPr>
        <w:widowControl/>
        <w:spacing w:before="624" w:beforeLines="200" w:after="624" w:afterLines="200"/>
        <w:ind w:firstLine="3253" w:firstLineChars="900"/>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八、定 标</w:t>
      </w:r>
      <w:bookmarkEnd w:id="81"/>
      <w:bookmarkEnd w:id="82"/>
      <w:bookmarkEnd w:id="83"/>
    </w:p>
    <w:p w14:paraId="76A9D47D">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84" w:name="_Toc325726026"/>
      <w:bookmarkStart w:id="85" w:name="_Toc376936757"/>
      <w:bookmarkStart w:id="86" w:name="_Toc67558587"/>
      <w:r>
        <w:rPr>
          <w:rFonts w:hint="eastAsia" w:ascii="宋体" w:hAnsi="宋体"/>
          <w:b/>
          <w:bCs/>
          <w:color w:val="000000" w:themeColor="text1"/>
          <w:kern w:val="0"/>
          <w:sz w:val="27"/>
          <w:szCs w:val="27"/>
          <w14:textFill>
            <w14:solidFill>
              <w14:schemeClr w14:val="tx1"/>
            </w14:solidFill>
          </w14:textFill>
        </w:rPr>
        <w:t>23.推荐并确定中标</w:t>
      </w:r>
      <w:bookmarkEnd w:id="84"/>
      <w:bookmarkEnd w:id="85"/>
      <w:r>
        <w:rPr>
          <w:rFonts w:hint="eastAsia" w:ascii="宋体" w:hAnsi="宋体"/>
          <w:b/>
          <w:bCs/>
          <w:color w:val="000000" w:themeColor="text1"/>
          <w:kern w:val="0"/>
          <w:sz w:val="27"/>
          <w:szCs w:val="27"/>
          <w14:textFill>
            <w14:solidFill>
              <w14:schemeClr w14:val="tx1"/>
            </w14:solidFill>
          </w14:textFill>
        </w:rPr>
        <w:t>供应商</w:t>
      </w:r>
      <w:bookmarkEnd w:id="86"/>
    </w:p>
    <w:p w14:paraId="0EBCC883">
      <w:pPr>
        <w:ind w:firstLine="480"/>
        <w:jc w:val="left"/>
        <w:rPr>
          <w:rFonts w:ascii="宋体" w:hAnsi="宋体"/>
          <w:color w:val="000000" w:themeColor="text1"/>
          <w14:textFill>
            <w14:solidFill>
              <w14:schemeClr w14:val="tx1"/>
            </w14:solidFill>
          </w14:textFill>
        </w:rPr>
      </w:pPr>
      <w:r>
        <w:rPr>
          <w:rFonts w:hint="eastAsia" w:ascii="宋体" w:hAnsi="宋体"/>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17820FE0">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23.2中标</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因不可抗力或自身原因不能履行合同时，采购人可以按照评审报告推荐的预中标候选人名单排序，确定下一候选人为中标</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，也可重新开展政府采购活动。</w:t>
      </w:r>
      <w:bookmarkStart w:id="87" w:name="_Toc325726027"/>
    </w:p>
    <w:p w14:paraId="0F0D3098">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88" w:name="_Toc325726028"/>
      <w:bookmarkStart w:id="89" w:name="_Toc67558588"/>
      <w:bookmarkStart w:id="90" w:name="_Toc376936759"/>
      <w:r>
        <w:rPr>
          <w:rFonts w:hint="eastAsia" w:ascii="宋体" w:hAnsi="宋体"/>
          <w:b/>
          <w:bCs/>
          <w:color w:val="000000" w:themeColor="text1"/>
          <w:kern w:val="0"/>
          <w:sz w:val="27"/>
          <w:szCs w:val="27"/>
          <w14:textFill>
            <w14:solidFill>
              <w14:schemeClr w14:val="tx1"/>
            </w14:solidFill>
          </w14:textFill>
        </w:rPr>
        <w:t>24.中标通知</w:t>
      </w:r>
      <w:bookmarkEnd w:id="88"/>
      <w:bookmarkEnd w:id="89"/>
      <w:bookmarkEnd w:id="90"/>
    </w:p>
    <w:p w14:paraId="4107B6AA">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青海省政采云</w:t>
      </w:r>
      <w:r>
        <w:rPr>
          <w:rFonts w:hint="eastAsia" w:ascii="宋体" w:hAnsi="宋体" w:cs="宋体"/>
          <w:color w:val="000000" w:themeColor="text1"/>
          <w:kern w:val="0"/>
          <w14:textFill>
            <w14:solidFill>
              <w14:schemeClr w14:val="tx1"/>
            </w14:solidFill>
          </w14:textFill>
        </w:rPr>
        <w:t>平台上查询</w:t>
      </w:r>
      <w:r>
        <w:rPr>
          <w:rFonts w:hint="eastAsia" w:ascii="宋体" w:hAnsi="宋体"/>
          <w:color w:val="000000" w:themeColor="text1"/>
          <w14:textFill>
            <w14:solidFill>
              <w14:schemeClr w14:val="tx1"/>
            </w14:solidFill>
          </w14:textFill>
        </w:rPr>
        <w:t xml:space="preserve">本人的评审得分与排序，如有疑问，可致电0974-7553334。  </w:t>
      </w:r>
    </w:p>
    <w:p w14:paraId="0A62F06D">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24.2《中标通知书》发出后，采购人改变中标结果的，或者中标供应商无正当理由放弃中标项目的，依法承担法律责任。</w:t>
      </w:r>
    </w:p>
    <w:p w14:paraId="21F88E93">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91" w:name="_Toc67558589"/>
      <w:bookmarkStart w:id="92" w:name="_Toc376936758"/>
      <w:r>
        <w:rPr>
          <w:rFonts w:hint="eastAsia" w:ascii="宋体" w:hAnsi="宋体"/>
          <w:b/>
          <w:bCs/>
          <w:color w:val="000000" w:themeColor="text1"/>
          <w:kern w:val="0"/>
          <w:sz w:val="36"/>
          <w:szCs w:val="36"/>
          <w14:textFill>
            <w14:solidFill>
              <w14:schemeClr w14:val="tx1"/>
            </w14:solidFill>
          </w14:textFill>
        </w:rPr>
        <w:t>九、授予合同</w:t>
      </w:r>
      <w:bookmarkEnd w:id="87"/>
      <w:bookmarkEnd w:id="91"/>
      <w:bookmarkEnd w:id="92"/>
    </w:p>
    <w:p w14:paraId="54978934">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93" w:name="_Toc325726029"/>
      <w:bookmarkStart w:id="94" w:name="_Toc67558590"/>
      <w:bookmarkStart w:id="95" w:name="_Toc376936760"/>
      <w:r>
        <w:rPr>
          <w:rFonts w:hint="eastAsia" w:ascii="宋体" w:hAnsi="宋体"/>
          <w:b/>
          <w:bCs/>
          <w:color w:val="000000" w:themeColor="text1"/>
          <w:kern w:val="0"/>
          <w:sz w:val="27"/>
          <w:szCs w:val="27"/>
          <w14:textFill>
            <w14:solidFill>
              <w14:schemeClr w14:val="tx1"/>
            </w14:solidFill>
          </w14:textFill>
        </w:rPr>
        <w:t>25.签订合同</w:t>
      </w:r>
      <w:bookmarkEnd w:id="93"/>
      <w:bookmarkEnd w:id="94"/>
      <w:bookmarkEnd w:id="95"/>
    </w:p>
    <w:p w14:paraId="608163BA">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color w:val="000000" w:themeColor="text1"/>
          <w:lang w:eastAsia="zh-CN"/>
          <w14:textFill>
            <w14:solidFill>
              <w14:schemeClr w14:val="tx1"/>
            </w14:solidFill>
          </w14:textFill>
        </w:rPr>
        <w:t>海南州政府采购服务中心</w:t>
      </w:r>
      <w:r>
        <w:rPr>
          <w:rFonts w:hint="eastAsia" w:ascii="宋体" w:hAnsi="宋体"/>
          <w:color w:val="000000" w:themeColor="text1"/>
          <w14:textFill>
            <w14:solidFill>
              <w14:schemeClr w14:val="tx1"/>
            </w14:solidFill>
          </w14:textFill>
        </w:rPr>
        <w:t>审核备案。</w:t>
      </w:r>
    </w:p>
    <w:p w14:paraId="045896CF">
      <w:pPr>
        <w:ind w:firstLine="480"/>
        <w:rPr>
          <w:rFonts w:ascii="宋体" w:hAnsi="宋体"/>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25.2</w:t>
      </w:r>
      <w:r>
        <w:rPr>
          <w:rFonts w:hint="eastAsia" w:ascii="宋体" w:hAnsi="宋体"/>
          <w:color w:val="000000" w:themeColor="text1"/>
          <w:szCs w:val="20"/>
          <w14:textFill>
            <w14:solidFill>
              <w14:schemeClr w14:val="tx1"/>
            </w14:solidFill>
          </w14:textFill>
        </w:rPr>
        <w:t>签订合同时，中标供应商应按规定向采购人提交履约保证金</w:t>
      </w:r>
      <w:r>
        <w:rPr>
          <w:rFonts w:hint="eastAsia" w:ascii="宋体" w:hAnsi="宋体" w:cs="宋体"/>
          <w:color w:val="000000" w:themeColor="text1"/>
          <w:lang w:val="zh-CN"/>
          <w14:textFill>
            <w14:solidFill>
              <w14:schemeClr w14:val="tx1"/>
            </w14:solidFill>
          </w14:textFill>
        </w:rPr>
        <w:t>（履约保证金的数额由采购人与中标供应商商定，但数额不得超出采购合同总金额的10%）</w:t>
      </w:r>
      <w:r>
        <w:rPr>
          <w:rFonts w:hint="eastAsia" w:ascii="宋体" w:hAnsi="宋体"/>
          <w:color w:val="000000" w:themeColor="text1"/>
          <w:szCs w:val="20"/>
          <w14:textFill>
            <w14:solidFill>
              <w14:schemeClr w14:val="tx1"/>
            </w14:solidFill>
          </w14:textFill>
        </w:rPr>
        <w:t>，履约保证金须缴纳到采购人指定的账户。</w:t>
      </w:r>
    </w:p>
    <w:p w14:paraId="1E0AB946">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25.3中标供应商在法定期限内无正当理由拒签合同的，按违约处理。同时，集中采购机构和采购人可依评标排序重新确定中标供应商，并协调双方签订采购合同。</w:t>
      </w:r>
    </w:p>
    <w:p w14:paraId="6941F497">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25.4采购人不得向中标供应商提出任何不合理的要求作为订立合同的条件，采购人和中标供应商不得私下订立背离合同实质性内容的协议。</w:t>
      </w:r>
    </w:p>
    <w:p w14:paraId="2D020BE1">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25.5招标文件、中标供应商的投标文件、《中标通知书》及其澄清、说明文件等，均为签订采购合同的依据。</w:t>
      </w:r>
      <w:bookmarkStart w:id="96" w:name="_Toc325726030"/>
      <w:bookmarkStart w:id="97" w:name="_Toc376936761"/>
    </w:p>
    <w:p w14:paraId="03E2DC1F">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25.6采购人或集中采购机构应当自采购合同签订之日起2个工作日内，将采购合同在青海政府采购信息网上公告，但政府采购合同中涉及国家秘密、商业秘密的内容除外。</w:t>
      </w:r>
    </w:p>
    <w:p w14:paraId="1E049CD8">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25.7采购人与中标人应当根据合同的约定依法履行合同义务。政府采购合同的履行、违约责任和解决争议的方法等适用《中华人民共和国民法典》。</w:t>
      </w:r>
    </w:p>
    <w:p w14:paraId="5E4FF41F">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25.8</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采购人应当按照政府采购合同规定的技术、服务、安全标准组织对供应商履约情况进行验收，并出具验收书。验收书应当包括每一项技术、服务、安全标准的履约情况。</w:t>
      </w:r>
    </w:p>
    <w:p w14:paraId="76F6853E">
      <w:pPr>
        <w:autoSpaceDE w:val="0"/>
        <w:autoSpaceDN w:val="0"/>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25.9</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14:paraId="2CC6FE23">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98" w:name="_Toc67558591"/>
      <w:r>
        <w:rPr>
          <w:rFonts w:hint="eastAsia" w:ascii="宋体" w:hAnsi="宋体"/>
          <w:b/>
          <w:bCs/>
          <w:color w:val="000000" w:themeColor="text1"/>
          <w:kern w:val="0"/>
          <w:sz w:val="36"/>
          <w:szCs w:val="36"/>
          <w14:textFill>
            <w14:solidFill>
              <w14:schemeClr w14:val="tx1"/>
            </w14:solidFill>
          </w14:textFill>
        </w:rPr>
        <w:t>十、串通投标的认定及处理办法</w:t>
      </w:r>
      <w:bookmarkEnd w:id="98"/>
    </w:p>
    <w:p w14:paraId="69B414E9">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99" w:name="_Toc67558592"/>
      <w:r>
        <w:rPr>
          <w:rFonts w:hint="eastAsia" w:ascii="宋体" w:hAnsi="宋体"/>
          <w:b/>
          <w:bCs/>
          <w:color w:val="000000" w:themeColor="text1"/>
          <w:kern w:val="0"/>
          <w:sz w:val="27"/>
          <w:szCs w:val="27"/>
          <w14:textFill>
            <w14:solidFill>
              <w14:schemeClr w14:val="tx1"/>
            </w14:solidFill>
          </w14:textFill>
        </w:rPr>
        <w:t>26.串通投标的情形</w:t>
      </w:r>
      <w:bookmarkEnd w:id="99"/>
    </w:p>
    <w:p w14:paraId="63EAA997">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26.1</w:t>
      </w:r>
      <w:r>
        <w:rPr>
          <w:rFonts w:ascii="宋体" w:hAnsi="宋体"/>
          <w:color w:val="000000" w:themeColor="text1"/>
          <w14:textFill>
            <w14:solidFill>
              <w14:schemeClr w14:val="tx1"/>
            </w14:solidFill>
          </w14:textFill>
        </w:rPr>
        <w:t>投标人应当遵循公平竞争的原则，不得恶意串通，不得妨碍其他投标人的竞争行为，不得损害采购人或者其他投标人的合法权益。</w:t>
      </w:r>
    </w:p>
    <w:p w14:paraId="4AA128C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26.2 </w:t>
      </w:r>
      <w:r>
        <w:rPr>
          <w:rFonts w:ascii="宋体" w:hAnsi="宋体"/>
          <w:color w:val="000000" w:themeColor="text1"/>
          <w14:textFill>
            <w14:solidFill>
              <w14:schemeClr w14:val="tx1"/>
            </w14:solidFill>
          </w14:textFill>
        </w:rPr>
        <w:t>有下列情形之一的，视为投标人串通投标，其投标无效：</w:t>
      </w:r>
    </w:p>
    <w:p w14:paraId="3F7F6A99">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不同投标人的投标文件由同一单位或者个人编制；</w:t>
      </w:r>
    </w:p>
    <w:p w14:paraId="545109E8">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不同投标人委托同一单位或者个人办理投标事宜；</w:t>
      </w:r>
    </w:p>
    <w:p w14:paraId="4E2F7A7A">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不同投标人的投标文件载明的项目管理成员或者联系人员为同一人；</w:t>
      </w:r>
    </w:p>
    <w:p w14:paraId="14359913">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不同投标人的投标文件异常一致或者投标报价呈规律性差异；</w:t>
      </w:r>
    </w:p>
    <w:p w14:paraId="1EF38425">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不同投标人的投标文件相互混装；</w:t>
      </w:r>
    </w:p>
    <w:p w14:paraId="2551DBA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不同投标人的投标保证金从同一单位或者个人的账户转出。</w:t>
      </w:r>
    </w:p>
    <w:p w14:paraId="1D60066B">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100" w:name="_Toc67558593"/>
      <w:r>
        <w:rPr>
          <w:rFonts w:hint="eastAsia" w:ascii="宋体" w:hAnsi="宋体"/>
          <w:b/>
          <w:bCs/>
          <w:color w:val="000000" w:themeColor="text1"/>
          <w:kern w:val="0"/>
          <w:sz w:val="36"/>
          <w:szCs w:val="36"/>
          <w14:textFill>
            <w14:solidFill>
              <w14:schemeClr w14:val="tx1"/>
            </w14:solidFill>
          </w14:textFill>
        </w:rPr>
        <w:t>十一、废标</w:t>
      </w:r>
      <w:bookmarkEnd w:id="96"/>
      <w:bookmarkEnd w:id="97"/>
      <w:bookmarkEnd w:id="100"/>
    </w:p>
    <w:p w14:paraId="72EFAA91">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101" w:name="_Toc67558594"/>
      <w:bookmarkStart w:id="102" w:name="_Toc325726031"/>
      <w:bookmarkStart w:id="103" w:name="_Toc376936762"/>
      <w:r>
        <w:rPr>
          <w:rFonts w:hint="eastAsia" w:ascii="宋体" w:hAnsi="宋体"/>
          <w:b/>
          <w:bCs/>
          <w:color w:val="000000" w:themeColor="text1"/>
          <w:kern w:val="0"/>
          <w:sz w:val="27"/>
          <w:szCs w:val="27"/>
          <w14:textFill>
            <w14:solidFill>
              <w14:schemeClr w14:val="tx1"/>
            </w14:solidFill>
          </w14:textFill>
        </w:rPr>
        <w:t>27. 废标情形</w:t>
      </w:r>
      <w:bookmarkEnd w:id="101"/>
    </w:p>
    <w:p w14:paraId="563C209B">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27.1在招标采购中，出现下列情形之一的，应予废标：</w:t>
      </w:r>
      <w:bookmarkEnd w:id="102"/>
      <w:bookmarkEnd w:id="103"/>
    </w:p>
    <w:p w14:paraId="1DBA1B4B">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（1）符合投标条件的供应商或者对招标文件作实质响应的供应商不足三家的；</w:t>
      </w:r>
    </w:p>
    <w:p w14:paraId="72B9AFF5">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（2）出现影响采购活动正常推进的违法、违规行为的；</w:t>
      </w:r>
    </w:p>
    <w:p w14:paraId="261B140B">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（3）投标人的报价均超出采购预算额度，采购人不能支付的；</w:t>
      </w:r>
    </w:p>
    <w:p w14:paraId="69E43C50">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（4）因重大变故，采购任务取消的。</w:t>
      </w:r>
    </w:p>
    <w:p w14:paraId="54BEFFE6">
      <w:pPr>
        <w:ind w:firstLine="480"/>
        <w:rPr>
          <w:rFonts w:ascii="宋体" w:hAnsi="Courier New"/>
          <w:color w:val="000000" w:themeColor="text1"/>
          <w:szCs w:val="20"/>
          <w14:textFill>
            <w14:solidFill>
              <w14:schemeClr w14:val="tx1"/>
            </w14:solidFill>
          </w14:textFill>
        </w:rPr>
      </w:pPr>
      <w:r>
        <w:rPr>
          <w:rFonts w:hint="eastAsia" w:ascii="宋体" w:hAnsi="宋体"/>
          <w:color w:val="000000" w:themeColor="text1"/>
          <w14:textFill>
            <w14:solidFill>
              <w14:schemeClr w14:val="tx1"/>
            </w14:solidFill>
          </w14:textFill>
        </w:rPr>
        <w:t>27.2</w:t>
      </w:r>
      <w:r>
        <w:rPr>
          <w:rFonts w:hint="eastAsia" w:ascii="宋体" w:hAnsi="Courier New"/>
          <w:color w:val="000000" w:themeColor="text1"/>
          <w:szCs w:val="20"/>
          <w14:textFill>
            <w14:solidFill>
              <w14:schemeClr w14:val="tx1"/>
            </w14:solidFill>
          </w14:textFill>
        </w:rPr>
        <w:t>废标后，由</w:t>
      </w:r>
      <w:r>
        <w:rPr>
          <w:rFonts w:hint="eastAsia" w:ascii="宋体" w:hAnsi="宋体"/>
          <w:color w:val="000000" w:themeColor="text1"/>
          <w14:textFill>
            <w14:solidFill>
              <w14:schemeClr w14:val="tx1"/>
            </w14:solidFill>
          </w14:textFill>
        </w:rPr>
        <w:t>集中采购机构</w:t>
      </w:r>
      <w:r>
        <w:rPr>
          <w:rFonts w:hint="eastAsia" w:ascii="宋体" w:hAnsi="Courier New" w:cs="宋体"/>
          <w:color w:val="000000" w:themeColor="text1"/>
          <w:szCs w:val="20"/>
          <w14:textFill>
            <w14:solidFill>
              <w14:schemeClr w14:val="tx1"/>
            </w14:solidFill>
          </w14:textFill>
        </w:rPr>
        <w:t>发布废标公告</w:t>
      </w:r>
      <w:r>
        <w:rPr>
          <w:rFonts w:hint="eastAsia" w:ascii="宋体" w:hAnsi="Courier New"/>
          <w:color w:val="000000" w:themeColor="text1"/>
          <w:szCs w:val="20"/>
          <w14:textFill>
            <w14:solidFill>
              <w14:schemeClr w14:val="tx1"/>
            </w14:solidFill>
          </w14:textFill>
        </w:rPr>
        <w:t>。</w:t>
      </w:r>
      <w:bookmarkStart w:id="104" w:name="_Toc325726032"/>
    </w:p>
    <w:p w14:paraId="52A28E8A">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105" w:name="_Toc67558595"/>
      <w:bookmarkStart w:id="106" w:name="_Toc376936763"/>
      <w:r>
        <w:rPr>
          <w:rFonts w:hint="eastAsia" w:ascii="宋体" w:hAnsi="宋体"/>
          <w:b/>
          <w:bCs/>
          <w:color w:val="000000" w:themeColor="text1"/>
          <w:kern w:val="0"/>
          <w:sz w:val="36"/>
          <w:szCs w:val="36"/>
          <w14:textFill>
            <w14:solidFill>
              <w14:schemeClr w14:val="tx1"/>
            </w14:solidFill>
          </w14:textFill>
        </w:rPr>
        <w:t>十二、处罚</w:t>
      </w:r>
      <w:bookmarkEnd w:id="104"/>
      <w:bookmarkEnd w:id="105"/>
      <w:bookmarkEnd w:id="106"/>
    </w:p>
    <w:p w14:paraId="14603034">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107" w:name="_Toc376936764"/>
      <w:bookmarkStart w:id="108" w:name="_Toc67558596"/>
      <w:bookmarkStart w:id="109" w:name="_Toc325726033"/>
      <w:r>
        <w:rPr>
          <w:rFonts w:hint="eastAsia" w:ascii="宋体" w:hAnsi="宋体"/>
          <w:b/>
          <w:bCs/>
          <w:color w:val="000000" w:themeColor="text1"/>
          <w:kern w:val="0"/>
          <w:sz w:val="27"/>
          <w:szCs w:val="27"/>
          <w14:textFill>
            <w14:solidFill>
              <w14:schemeClr w14:val="tx1"/>
            </w14:solidFill>
          </w14:textFill>
        </w:rPr>
        <w:t>28.处罚情形</w:t>
      </w:r>
      <w:bookmarkEnd w:id="107"/>
      <w:bookmarkEnd w:id="108"/>
      <w:bookmarkEnd w:id="109"/>
    </w:p>
    <w:p w14:paraId="0B7CCAF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28.1有下列情形之一的，投标人的投标保证金不予退还；中标供应商的中标结果无效，履约保证金不予退还。</w:t>
      </w:r>
    </w:p>
    <w:p w14:paraId="2D715434">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（1）投标人在投标截止期后撤回其投标的；</w:t>
      </w:r>
    </w:p>
    <w:p w14:paraId="0BC33101">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（2）提供虚假材料谋取中标的；</w:t>
      </w:r>
    </w:p>
    <w:p w14:paraId="7A7A83BD">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（3）采取不正当手段诋毁、排挤其他供应商的；</w:t>
      </w:r>
    </w:p>
    <w:p w14:paraId="504C7F99">
      <w:pPr>
        <w:ind w:firstLine="384" w:firstLineChars="183"/>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（4）有恶意串通等不正当竞争行为的；</w:t>
      </w:r>
    </w:p>
    <w:p w14:paraId="7866D349">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（5）中标后无正当理由拒不与采购人签订采购合同的；</w:t>
      </w:r>
    </w:p>
    <w:p w14:paraId="70791570">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（6）未按照招、投标文件确定的事项签订采购合同的；</w:t>
      </w:r>
    </w:p>
    <w:p w14:paraId="1DA0E6FC">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（7）将采购合同转包的；</w:t>
      </w:r>
    </w:p>
    <w:p w14:paraId="187173BD">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（8）提供假冒伪劣产品的；</w:t>
      </w:r>
    </w:p>
    <w:p w14:paraId="75D2495A">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（9）擅自变更、中止或者终止政府采购合同的；</w:t>
      </w:r>
    </w:p>
    <w:p w14:paraId="1A7B028E">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（10）中标供应商签订合同后，因种种原因不能履约或无故拖延履约期的；</w:t>
      </w:r>
    </w:p>
    <w:p w14:paraId="3908C6C4">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（11）法律、法规规定的其他情形的。</w:t>
      </w:r>
    </w:p>
    <w:p w14:paraId="458545AF">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28.2出现上述情况，情节严重的，报省财政厅依法进行处理。</w:t>
      </w:r>
    </w:p>
    <w:p w14:paraId="7799FF6F">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bookmarkStart w:id="110" w:name="_Toc376936765"/>
      <w:bookmarkStart w:id="111" w:name="_Toc67558597"/>
      <w:bookmarkStart w:id="112" w:name="_Toc325726034"/>
      <w:r>
        <w:rPr>
          <w:rFonts w:hint="eastAsia" w:ascii="宋体" w:hAnsi="宋体"/>
          <w:b/>
          <w:bCs/>
          <w:color w:val="000000" w:themeColor="text1"/>
          <w:kern w:val="0"/>
          <w:sz w:val="36"/>
          <w:szCs w:val="36"/>
          <w14:textFill>
            <w14:solidFill>
              <w14:schemeClr w14:val="tx1"/>
            </w14:solidFill>
          </w14:textFill>
        </w:rPr>
        <w:t>十三、其他</w:t>
      </w:r>
      <w:bookmarkEnd w:id="110"/>
      <w:bookmarkEnd w:id="111"/>
      <w:bookmarkEnd w:id="112"/>
    </w:p>
    <w:p w14:paraId="54A3E7A8">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505D717B">
      <w:pPr>
        <w:jc w:val="center"/>
        <w:rPr>
          <w:rFonts w:hint="eastAsia" w:ascii="宋体" w:eastAsiaTheme="minorEastAsia"/>
          <w:b w:val="0"/>
          <w:bCs/>
          <w:color w:val="000000" w:themeColor="text1"/>
          <w:kern w:val="28"/>
          <w:sz w:val="36"/>
          <w:szCs w:val="20"/>
          <w:lang w:val="en-US" w:eastAsia="zh-CN"/>
          <w14:textFill>
            <w14:solidFill>
              <w14:schemeClr w14:val="tx1"/>
            </w14:solidFill>
          </w14:textFill>
        </w:rPr>
      </w:pPr>
      <w:bookmarkStart w:id="113" w:name="_Toc376936766"/>
      <w:r>
        <w:rPr>
          <w:rFonts w:ascii="宋体"/>
          <w:b/>
          <w:color w:val="000000" w:themeColor="text1"/>
          <w:kern w:val="28"/>
          <w:sz w:val="36"/>
          <w:szCs w:val="20"/>
          <w14:textFill>
            <w14:solidFill>
              <w14:schemeClr w14:val="tx1"/>
            </w14:solidFill>
          </w14:textFill>
        </w:rPr>
        <w:br w:type="page"/>
      </w:r>
      <w:bookmarkEnd w:id="113"/>
      <w:r>
        <w:rPr>
          <w:rFonts w:hint="eastAsia" w:ascii="宋体"/>
          <w:b/>
          <w:color w:val="000000" w:themeColor="text1"/>
          <w:kern w:val="28"/>
          <w:sz w:val="36"/>
          <w:szCs w:val="20"/>
          <w14:textFill>
            <w14:solidFill>
              <w14:schemeClr w14:val="tx1"/>
            </w14:solidFill>
          </w14:textFill>
        </w:rPr>
        <w:t>第三部分 海南州政府采购项目合同书范本</w:t>
      </w:r>
    </w:p>
    <w:p w14:paraId="5B442F7B">
      <w:pPr>
        <w:rPr>
          <w:color w:val="000000" w:themeColor="text1"/>
          <w14:textFill>
            <w14:solidFill>
              <w14:schemeClr w14:val="tx1"/>
            </w14:solidFill>
          </w14:textFill>
        </w:rPr>
      </w:pPr>
      <w:bookmarkStart w:id="114" w:name="_Toc373954603"/>
      <w:bookmarkStart w:id="115" w:name="_Toc373936315"/>
      <w:bookmarkStart w:id="116" w:name="_Toc375576842"/>
    </w:p>
    <w:p w14:paraId="31B54FE5">
      <w:pPr>
        <w:pStyle w:val="2"/>
        <w:ind w:firstLine="686" w:firstLineChars="286"/>
        <w:jc w:val="both"/>
        <w:rPr>
          <w:rFonts w:ascii="Times New Roman"/>
          <w:b w:val="0"/>
          <w:color w:val="000000" w:themeColor="text1"/>
          <w:kern w:val="2"/>
          <w:sz w:val="24"/>
          <w14:textFill>
            <w14:solidFill>
              <w14:schemeClr w14:val="tx1"/>
            </w14:solidFill>
          </w14:textFill>
        </w:rPr>
      </w:pPr>
    </w:p>
    <w:p w14:paraId="4E12F391">
      <w:pPr>
        <w:ind w:firstLine="480"/>
        <w:rPr>
          <w:color w:val="000000" w:themeColor="text1"/>
          <w14:textFill>
            <w14:solidFill>
              <w14:schemeClr w14:val="tx1"/>
            </w14:solidFill>
          </w14:textFill>
        </w:rPr>
      </w:pPr>
    </w:p>
    <w:p w14:paraId="77E74B49">
      <w:pPr>
        <w:ind w:firstLine="480"/>
        <w:rPr>
          <w:color w:val="000000" w:themeColor="text1"/>
          <w14:textFill>
            <w14:solidFill>
              <w14:schemeClr w14:val="tx1"/>
            </w14:solidFill>
          </w14:textFill>
        </w:rPr>
      </w:pPr>
    </w:p>
    <w:p w14:paraId="6599A69F">
      <w:pPr>
        <w:ind w:firstLine="480"/>
        <w:rPr>
          <w:color w:val="000000" w:themeColor="text1"/>
          <w14:textFill>
            <w14:solidFill>
              <w14:schemeClr w14:val="tx1"/>
            </w14:solidFill>
          </w14:textFill>
        </w:rPr>
      </w:pPr>
    </w:p>
    <w:p w14:paraId="40B5DEF2">
      <w:pPr>
        <w:ind w:firstLine="480"/>
        <w:rPr>
          <w:color w:val="000000" w:themeColor="text1"/>
          <w14:textFill>
            <w14:solidFill>
              <w14:schemeClr w14:val="tx1"/>
            </w14:solidFill>
          </w14:textFill>
        </w:rPr>
      </w:pPr>
    </w:p>
    <w:p w14:paraId="3B326CD7">
      <w:pPr>
        <w:ind w:firstLine="480"/>
        <w:rPr>
          <w:color w:val="000000" w:themeColor="text1"/>
          <w14:textFill>
            <w14:solidFill>
              <w14:schemeClr w14:val="tx1"/>
            </w14:solidFill>
          </w14:textFill>
        </w:rPr>
      </w:pPr>
    </w:p>
    <w:p w14:paraId="6405F0DF">
      <w:pPr>
        <w:ind w:firstLine="480"/>
        <w:rPr>
          <w:color w:val="000000" w:themeColor="text1"/>
          <w14:textFill>
            <w14:solidFill>
              <w14:schemeClr w14:val="tx1"/>
            </w14:solidFill>
          </w14:textFill>
        </w:rPr>
      </w:pPr>
    </w:p>
    <w:p w14:paraId="24165C4D">
      <w:pPr>
        <w:pStyle w:val="2"/>
        <w:ind w:firstLine="1378" w:firstLineChars="286"/>
        <w:jc w:val="both"/>
        <w:rPr>
          <w:color w:val="000000" w:themeColor="text1"/>
          <w:sz w:val="48"/>
          <w:szCs w:val="48"/>
          <w14:textFill>
            <w14:solidFill>
              <w14:schemeClr w14:val="tx1"/>
            </w14:solidFill>
          </w14:textFill>
        </w:rPr>
      </w:pPr>
      <w:bookmarkStart w:id="117" w:name="_Toc82441621"/>
      <w:r>
        <w:rPr>
          <w:rFonts w:hint="eastAsia"/>
          <w:color w:val="000000" w:themeColor="text1"/>
          <w:sz w:val="48"/>
          <w:szCs w:val="48"/>
          <w14:textFill>
            <w14:solidFill>
              <w14:schemeClr w14:val="tx1"/>
            </w14:solidFill>
          </w14:textFill>
        </w:rPr>
        <w:t>海南州政府采购项目合同</w:t>
      </w:r>
      <w:bookmarkEnd w:id="114"/>
      <w:bookmarkEnd w:id="115"/>
      <w:bookmarkEnd w:id="116"/>
      <w:r>
        <w:rPr>
          <w:rFonts w:hint="eastAsia"/>
          <w:color w:val="000000" w:themeColor="text1"/>
          <w:sz w:val="48"/>
          <w:szCs w:val="48"/>
          <w14:textFill>
            <w14:solidFill>
              <w14:schemeClr w14:val="tx1"/>
            </w14:solidFill>
          </w14:textFill>
        </w:rPr>
        <w:t>书</w:t>
      </w:r>
      <w:bookmarkEnd w:id="117"/>
    </w:p>
    <w:p w14:paraId="681AAEA5">
      <w:pPr>
        <w:rPr>
          <w:color w:val="000000" w:themeColor="text1"/>
          <w14:textFill>
            <w14:solidFill>
              <w14:schemeClr w14:val="tx1"/>
            </w14:solidFill>
          </w14:textFill>
        </w:rPr>
      </w:pPr>
    </w:p>
    <w:p w14:paraId="515C9032">
      <w:pPr>
        <w:rPr>
          <w:color w:val="000000" w:themeColor="text1"/>
          <w14:textFill>
            <w14:solidFill>
              <w14:schemeClr w14:val="tx1"/>
            </w14:solidFill>
          </w14:textFill>
        </w:rPr>
      </w:pPr>
    </w:p>
    <w:p w14:paraId="5D8D0D09">
      <w:pPr>
        <w:rPr>
          <w:color w:val="000000" w:themeColor="text1"/>
          <w14:textFill>
            <w14:solidFill>
              <w14:schemeClr w14:val="tx1"/>
            </w14:solidFill>
          </w14:textFill>
        </w:rPr>
      </w:pPr>
    </w:p>
    <w:p w14:paraId="512D2DFC">
      <w:pPr>
        <w:autoSpaceDE w:val="0"/>
        <w:autoSpaceDN w:val="0"/>
        <w:adjustRightInd w:val="0"/>
        <w:spacing w:line="360" w:lineRule="auto"/>
        <w:ind w:left="2091" w:leftChars="287" w:hanging="1488" w:hangingChars="494"/>
        <w:rPr>
          <w:rFonts w:hint="default" w:eastAsiaTheme="minorEastAsia"/>
          <w:b/>
          <w:color w:val="000000" w:themeColor="text1"/>
          <w:sz w:val="28"/>
          <w:szCs w:val="28"/>
          <w:u w:val="single"/>
          <w:lang w:val="en-US" w:eastAsia="zh-CN"/>
          <w14:textFill>
            <w14:solidFill>
              <w14:schemeClr w14:val="tx1"/>
            </w14:solidFill>
          </w14:textFill>
        </w:rPr>
      </w:pPr>
      <w:r>
        <w:rPr>
          <w:rFonts w:hint="eastAsia"/>
          <w:b/>
          <w:color w:val="000000" w:themeColor="text1"/>
          <w:sz w:val="30"/>
          <w:szCs w:val="30"/>
          <w14:textFill>
            <w14:solidFill>
              <w14:schemeClr w14:val="tx1"/>
            </w14:solidFill>
          </w14:textFill>
        </w:rPr>
        <w:t>采购项目名称：</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p>
    <w:p w14:paraId="448D839E">
      <w:pPr>
        <w:adjustRightInd w:val="0"/>
        <w:spacing w:line="360" w:lineRule="auto"/>
        <w:ind w:firstLine="602" w:firstLineChars="200"/>
        <w:textAlignment w:val="baseline"/>
        <w:rPr>
          <w:b/>
          <w:color w:val="000000" w:themeColor="text1"/>
          <w:sz w:val="28"/>
          <w:szCs w:val="28"/>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采购项目编号</w:t>
      </w:r>
      <w:r>
        <w:rPr>
          <w:rFonts w:hint="eastAsia"/>
          <w:b/>
          <w:color w:val="000000" w:themeColor="text1"/>
          <w:sz w:val="28"/>
          <w:szCs w:val="28"/>
          <w14:textFill>
            <w14:solidFill>
              <w14:schemeClr w14:val="tx1"/>
            </w14:solidFill>
          </w14:textFill>
        </w:rPr>
        <w:t>：</w:t>
      </w:r>
      <w:r>
        <w:rPr>
          <w:rFonts w:hint="eastAsia"/>
          <w:b/>
          <w:color w:val="000000" w:themeColor="text1"/>
          <w:sz w:val="28"/>
          <w:szCs w:val="28"/>
          <w:u w:val="single"/>
          <w14:textFill>
            <w14:solidFill>
              <w14:schemeClr w14:val="tx1"/>
            </w14:solidFill>
          </w14:textFill>
        </w:rPr>
        <w:t xml:space="preserve">      </w:t>
      </w:r>
      <w:r>
        <w:rPr>
          <w:rFonts w:hint="eastAsia"/>
          <w:b/>
          <w:color w:val="000000" w:themeColor="text1"/>
          <w:sz w:val="28"/>
          <w:szCs w:val="28"/>
          <w:u w:val="single"/>
          <w:lang w:val="en-US" w:eastAsia="zh-CN"/>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 xml:space="preserve"> 2024-（服务）</w:t>
      </w:r>
      <w:r>
        <w:rPr>
          <w:rFonts w:hint="eastAsia"/>
          <w:b/>
          <w:color w:val="000000" w:themeColor="text1"/>
          <w:sz w:val="30"/>
          <w:szCs w:val="30"/>
          <w:u w:val="single"/>
          <w:lang w:val="en-US" w:eastAsia="zh-CN"/>
          <w14:textFill>
            <w14:solidFill>
              <w14:schemeClr w14:val="tx1"/>
            </w14:solidFill>
          </w14:textFill>
        </w:rPr>
        <w:t>28</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28"/>
          <w:szCs w:val="28"/>
          <w:u w:val="single"/>
          <w:lang w:val="en-US" w:eastAsia="zh-CN"/>
          <w14:textFill>
            <w14:solidFill>
              <w14:schemeClr w14:val="tx1"/>
            </w14:solidFill>
          </w14:textFill>
        </w:rPr>
        <w:t xml:space="preserve">                         </w:t>
      </w:r>
      <w:r>
        <w:rPr>
          <w:rFonts w:hint="eastAsia"/>
          <w:b/>
          <w:color w:val="000000" w:themeColor="text1"/>
          <w:sz w:val="28"/>
          <w:szCs w:val="28"/>
          <w:u w:val="single"/>
          <w14:textFill>
            <w14:solidFill>
              <w14:schemeClr w14:val="tx1"/>
            </w14:solidFill>
          </w14:textFill>
        </w:rPr>
        <w:t xml:space="preserve">  </w:t>
      </w:r>
    </w:p>
    <w:p w14:paraId="7C74DFE5">
      <w:pPr>
        <w:adjustRightInd w:val="0"/>
        <w:spacing w:line="360" w:lineRule="auto"/>
        <w:ind w:firstLine="602" w:firstLineChars="200"/>
        <w:textAlignment w:val="baseline"/>
        <w:rPr>
          <w:bCs/>
          <w:color w:val="000000" w:themeColor="text1"/>
          <w:sz w:val="22"/>
          <w:szCs w:val="22"/>
          <w:u w:val="thick"/>
          <w14:textFill>
            <w14:solidFill>
              <w14:schemeClr w14:val="tx1"/>
            </w14:solidFill>
          </w14:textFill>
        </w:rPr>
      </w:pPr>
      <w:r>
        <w:rPr>
          <w:rFonts w:hint="eastAsia"/>
          <w:b/>
          <w:color w:val="000000" w:themeColor="text1"/>
          <w:sz w:val="30"/>
          <w:szCs w:val="30"/>
          <w14:textFill>
            <w14:solidFill>
              <w14:schemeClr w14:val="tx1"/>
            </w14:solidFill>
          </w14:textFill>
        </w:rPr>
        <w:t>采购合同编号：</w:t>
      </w:r>
      <w:r>
        <w:rPr>
          <w:rFonts w:hint="eastAsia"/>
          <w:b/>
          <w:color w:val="000000" w:themeColor="text1"/>
          <w:sz w:val="30"/>
          <w:szCs w:val="30"/>
          <w:u w:val="single"/>
          <w14:textFill>
            <w14:solidFill>
              <w14:schemeClr w14:val="tx1"/>
            </w14:solidFill>
          </w14:textFill>
        </w:rPr>
        <w:t xml:space="preserve">      2024-（服务）</w:t>
      </w:r>
      <w:r>
        <w:rPr>
          <w:rFonts w:hint="eastAsia"/>
          <w:b/>
          <w:color w:val="000000" w:themeColor="text1"/>
          <w:sz w:val="30"/>
          <w:szCs w:val="30"/>
          <w:u w:val="single"/>
          <w:lang w:val="en-US" w:eastAsia="zh-CN"/>
          <w14:textFill>
            <w14:solidFill>
              <w14:schemeClr w14:val="tx1"/>
            </w14:solidFill>
          </w14:textFill>
        </w:rPr>
        <w:t>28</w:t>
      </w:r>
      <w:r>
        <w:rPr>
          <w:rFonts w:hint="eastAsia"/>
          <w:b/>
          <w:color w:val="000000" w:themeColor="text1"/>
          <w:sz w:val="30"/>
          <w:szCs w:val="30"/>
          <w:u w:val="single"/>
          <w:lang w:eastAsia="zh-CN"/>
          <w14:textFill>
            <w14:solidFill>
              <w14:schemeClr w14:val="tx1"/>
            </w14:solidFill>
          </w14:textFill>
        </w:rPr>
        <w:t>（</w:t>
      </w:r>
      <w:r>
        <w:rPr>
          <w:rFonts w:hint="eastAsia"/>
          <w:b/>
          <w:color w:val="000000" w:themeColor="text1"/>
          <w:sz w:val="30"/>
          <w:szCs w:val="30"/>
          <w:u w:val="single"/>
          <w:lang w:val="en-US" w:eastAsia="zh-CN"/>
          <w14:textFill>
            <w14:solidFill>
              <w14:schemeClr w14:val="tx1"/>
            </w14:solidFill>
          </w14:textFill>
        </w:rPr>
        <w:t>包一</w:t>
      </w:r>
      <w:r>
        <w:rPr>
          <w:rFonts w:hint="eastAsia"/>
          <w:b/>
          <w:color w:val="000000" w:themeColor="text1"/>
          <w:sz w:val="30"/>
          <w:szCs w:val="30"/>
          <w:u w:val="single"/>
          <w:lang w:eastAsia="zh-CN"/>
          <w14:textFill>
            <w14:solidFill>
              <w14:schemeClr w14:val="tx1"/>
            </w14:solidFill>
          </w14:textFill>
        </w:rPr>
        <w:t>）</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14:paraId="2C7022EF">
      <w:pPr>
        <w:spacing w:line="360" w:lineRule="auto"/>
        <w:ind w:firstLine="602"/>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合同金额（人民币）：</w:t>
      </w:r>
      <w:r>
        <w:rPr>
          <w:rFonts w:hint="eastAsia"/>
          <w:b/>
          <w:color w:val="000000" w:themeColor="text1"/>
          <w:sz w:val="30"/>
          <w:szCs w:val="30"/>
          <w:u w:val="single"/>
          <w14:textFill>
            <w14:solidFill>
              <w14:schemeClr w14:val="tx1"/>
            </w14:solidFill>
          </w14:textFill>
        </w:rPr>
        <w:t xml:space="preserve">                               </w:t>
      </w:r>
    </w:p>
    <w:p w14:paraId="661A2457">
      <w:pPr>
        <w:spacing w:line="360" w:lineRule="auto"/>
        <w:ind w:firstLine="602"/>
        <w:jc w:val="lef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采购单位（甲方）：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p>
    <w:p w14:paraId="04396D36">
      <w:pPr>
        <w:spacing w:line="360" w:lineRule="auto"/>
        <w:ind w:firstLine="602"/>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中标供应商（乙方）：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p>
    <w:p w14:paraId="61AF05F4">
      <w:pPr>
        <w:spacing w:line="360" w:lineRule="auto"/>
        <w:ind w:firstLine="602"/>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采购日期：</w:t>
      </w:r>
      <w:r>
        <w:rPr>
          <w:rFonts w:hint="eastAsia"/>
          <w:b/>
          <w:color w:val="000000" w:themeColor="text1"/>
          <w:sz w:val="30"/>
          <w:szCs w:val="30"/>
          <w:u w:val="single"/>
          <w14:textFill>
            <w14:solidFill>
              <w14:schemeClr w14:val="tx1"/>
            </w14:solidFill>
          </w14:textFill>
        </w:rPr>
        <w:t xml:space="preserve">                                         </w:t>
      </w:r>
    </w:p>
    <w:p w14:paraId="08114694">
      <w:pPr>
        <w:rPr>
          <w:rFonts w:ascii="宋体" w:hAnsi="宋体"/>
          <w:b/>
          <w:bCs/>
          <w:color w:val="000000" w:themeColor="text1"/>
          <w14:textFill>
            <w14:solidFill>
              <w14:schemeClr w14:val="tx1"/>
            </w14:solidFill>
          </w14:textFill>
        </w:rPr>
      </w:pPr>
    </w:p>
    <w:p w14:paraId="5AD5E9C0">
      <w:pPr>
        <w:rPr>
          <w:rFonts w:ascii="宋体" w:hAnsi="宋体"/>
          <w:b/>
          <w:bCs/>
          <w:color w:val="000000" w:themeColor="text1"/>
          <w14:textFill>
            <w14:solidFill>
              <w14:schemeClr w14:val="tx1"/>
            </w14:solidFill>
          </w14:textFill>
        </w:rPr>
      </w:pPr>
    </w:p>
    <w:p w14:paraId="31881B16">
      <w:pPr>
        <w:rPr>
          <w:rFonts w:ascii="宋体" w:hAnsi="宋体"/>
          <w:b/>
          <w:bCs/>
          <w:color w:val="000000" w:themeColor="text1"/>
          <w14:textFill>
            <w14:solidFill>
              <w14:schemeClr w14:val="tx1"/>
            </w14:solidFill>
          </w14:textFill>
        </w:rPr>
      </w:pPr>
    </w:p>
    <w:p w14:paraId="015C80A2">
      <w:pPr>
        <w:rPr>
          <w:rFonts w:ascii="宋体" w:hAnsi="宋体"/>
          <w:b/>
          <w:bCs/>
          <w:color w:val="000000" w:themeColor="text1"/>
          <w14:textFill>
            <w14:solidFill>
              <w14:schemeClr w14:val="tx1"/>
            </w14:solidFill>
          </w14:textFill>
        </w:rPr>
      </w:pPr>
    </w:p>
    <w:p w14:paraId="69706B01">
      <w:pPr>
        <w:rPr>
          <w:rFonts w:ascii="宋体" w:hAnsi="宋体"/>
          <w:b/>
          <w:bCs/>
          <w:color w:val="000000" w:themeColor="text1"/>
          <w14:textFill>
            <w14:solidFill>
              <w14:schemeClr w14:val="tx1"/>
            </w14:solidFill>
          </w14:textFill>
        </w:rPr>
      </w:pPr>
    </w:p>
    <w:p w14:paraId="6DA6EF2B">
      <w:pPr>
        <w:rPr>
          <w:rFonts w:ascii="宋体" w:hAnsi="宋体"/>
          <w:b/>
          <w:bCs/>
          <w:color w:val="000000" w:themeColor="text1"/>
          <w14:textFill>
            <w14:solidFill>
              <w14:schemeClr w14:val="tx1"/>
            </w14:solidFill>
          </w14:textFill>
        </w:rPr>
      </w:pPr>
    </w:p>
    <w:p w14:paraId="4802D5E8">
      <w:pPr>
        <w:rPr>
          <w:rFonts w:ascii="宋体" w:hAnsi="宋体"/>
          <w:b/>
          <w:bCs/>
          <w:color w:val="000000" w:themeColor="text1"/>
          <w14:textFill>
            <w14:solidFill>
              <w14:schemeClr w14:val="tx1"/>
            </w14:solidFill>
          </w14:textFill>
        </w:rPr>
      </w:pPr>
    </w:p>
    <w:p w14:paraId="783C6B59">
      <w:pPr>
        <w:rPr>
          <w:rFonts w:ascii="宋体" w:hAnsi="宋体"/>
          <w:b/>
          <w:bCs/>
          <w:color w:val="000000" w:themeColor="text1"/>
          <w14:textFill>
            <w14:solidFill>
              <w14:schemeClr w14:val="tx1"/>
            </w14:solidFill>
          </w14:textFill>
        </w:rPr>
      </w:pPr>
    </w:p>
    <w:p w14:paraId="7ACD5516">
      <w:pPr>
        <w:rPr>
          <w:rFonts w:ascii="宋体" w:hAnsi="宋体"/>
          <w:b/>
          <w:bCs/>
          <w:color w:val="000000" w:themeColor="text1"/>
          <w14:textFill>
            <w14:solidFill>
              <w14:schemeClr w14:val="tx1"/>
            </w14:solidFill>
          </w14:textFill>
        </w:rPr>
      </w:pPr>
    </w:p>
    <w:p w14:paraId="4B79AE96">
      <w:pPr>
        <w:ind w:firstLine="482"/>
        <w:rPr>
          <w:rFonts w:ascii="宋体" w:hAnsi="宋体"/>
          <w:b/>
          <w:bCs/>
          <w:color w:val="000000" w:themeColor="text1"/>
          <w14:textFill>
            <w14:solidFill>
              <w14:schemeClr w14:val="tx1"/>
            </w14:solidFill>
          </w14:textFill>
        </w:rPr>
      </w:pPr>
    </w:p>
    <w:p w14:paraId="4BDABF77">
      <w:pPr>
        <w:ind w:firstLine="482"/>
        <w:rPr>
          <w:rFonts w:ascii="宋体" w:hAnsi="宋体"/>
          <w:b/>
          <w:bCs/>
          <w:color w:val="000000" w:themeColor="text1"/>
          <w14:textFill>
            <w14:solidFill>
              <w14:schemeClr w14:val="tx1"/>
            </w14:solidFill>
          </w14:textFill>
        </w:rPr>
      </w:pPr>
    </w:p>
    <w:p w14:paraId="5909CA95">
      <w:pPr>
        <w:ind w:firstLine="482"/>
        <w:rPr>
          <w:rFonts w:ascii="宋体" w:hAnsi="宋体"/>
          <w:b/>
          <w:bCs/>
          <w:color w:val="000000" w:themeColor="text1"/>
          <w14:textFill>
            <w14:solidFill>
              <w14:schemeClr w14:val="tx1"/>
            </w14:solidFill>
          </w14:textFill>
        </w:rPr>
      </w:pPr>
    </w:p>
    <w:p w14:paraId="63B3C913">
      <w:pPr>
        <w:ind w:firstLine="482"/>
        <w:rPr>
          <w:rFonts w:ascii="宋体" w:hAnsi="宋体"/>
          <w:b/>
          <w:bCs/>
          <w:color w:val="000000" w:themeColor="text1"/>
          <w14:textFill>
            <w14:solidFill>
              <w14:schemeClr w14:val="tx1"/>
            </w14:solidFill>
          </w14:textFill>
        </w:rPr>
      </w:pPr>
    </w:p>
    <w:p w14:paraId="152F29C3">
      <w:pPr>
        <w:ind w:firstLine="482"/>
        <w:rPr>
          <w:rFonts w:ascii="宋体" w:hAnsi="宋体"/>
          <w:b/>
          <w:bCs/>
          <w:color w:val="000000" w:themeColor="text1"/>
          <w14:textFill>
            <w14:solidFill>
              <w14:schemeClr w14:val="tx1"/>
            </w14:solidFill>
          </w14:textFill>
        </w:rPr>
      </w:pPr>
    </w:p>
    <w:p w14:paraId="438DCBAF">
      <w:pPr>
        <w:ind w:firstLine="482"/>
        <w:rPr>
          <w:rFonts w:ascii="宋体" w:hAnsi="宋体"/>
          <w:b/>
          <w:bCs/>
          <w:color w:val="000000" w:themeColor="text1"/>
          <w14:textFill>
            <w14:solidFill>
              <w14:schemeClr w14:val="tx1"/>
            </w14:solidFill>
          </w14:textFill>
        </w:rPr>
      </w:pPr>
    </w:p>
    <w:p w14:paraId="01C9EC11">
      <w:pPr>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采 购 人（以下简称甲方）：</w:t>
      </w:r>
    </w:p>
    <w:p w14:paraId="5F3C9CEE">
      <w:pPr>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供 应 商（以下简称乙方）：</w:t>
      </w:r>
    </w:p>
    <w:p w14:paraId="71ED9529">
      <w:pPr>
        <w:ind w:firstLine="630" w:firstLineChars="3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甲、乙双方根据</w:t>
      </w:r>
      <w:r>
        <w:rPr>
          <w:rFonts w:hint="eastAsia" w:ascii="宋体" w:hAnsi="宋体"/>
          <w:bCs/>
          <w:color w:val="000000" w:themeColor="text1"/>
          <w:lang w:val="en-US" w:eastAsia="zh-CN"/>
          <w14:textFill>
            <w14:solidFill>
              <w14:schemeClr w14:val="tx1"/>
            </w14:solidFill>
          </w14:textFill>
        </w:rPr>
        <w:t>XXX</w:t>
      </w:r>
      <w:r>
        <w:rPr>
          <w:rFonts w:hint="eastAsia" w:ascii="宋体" w:hAnsi="宋体"/>
          <w:bCs/>
          <w:color w:val="000000" w:themeColor="text1"/>
          <w14:textFill>
            <w14:solidFill>
              <w14:schemeClr w14:val="tx1"/>
            </w14:solidFill>
          </w14:textFill>
        </w:rPr>
        <w:t xml:space="preserve">年 </w:t>
      </w:r>
      <w:r>
        <w:rPr>
          <w:rFonts w:hint="eastAsia" w:ascii="宋体" w:hAnsi="宋体"/>
          <w:bCs/>
          <w:color w:val="000000" w:themeColor="text1"/>
          <w:lang w:val="en-US" w:eastAsia="zh-CN"/>
          <w14:textFill>
            <w14:solidFill>
              <w14:schemeClr w14:val="tx1"/>
            </w14:solidFill>
          </w14:textFill>
        </w:rPr>
        <w:t>X</w:t>
      </w:r>
      <w:r>
        <w:rPr>
          <w:rFonts w:hint="eastAsia" w:ascii="宋体" w:hAnsi="宋体"/>
          <w:bCs/>
          <w:color w:val="000000" w:themeColor="text1"/>
          <w14:textFill>
            <w14:solidFill>
              <w14:schemeClr w14:val="tx1"/>
            </w14:solidFill>
          </w14:textFill>
        </w:rPr>
        <w:t xml:space="preserve">月 </w:t>
      </w:r>
      <w:r>
        <w:rPr>
          <w:rFonts w:hint="eastAsia" w:ascii="宋体" w:hAnsi="宋体"/>
          <w:bCs/>
          <w:color w:val="000000" w:themeColor="text1"/>
          <w:lang w:val="en-US" w:eastAsia="zh-CN"/>
          <w14:textFill>
            <w14:solidFill>
              <w14:schemeClr w14:val="tx1"/>
            </w14:solidFill>
          </w14:textFill>
        </w:rPr>
        <w:t>X</w:t>
      </w:r>
      <w:r>
        <w:rPr>
          <w:rFonts w:hint="eastAsia" w:ascii="宋体" w:hAnsi="宋体"/>
          <w:bCs/>
          <w:color w:val="000000" w:themeColor="text1"/>
          <w14:textFill>
            <w14:solidFill>
              <w14:schemeClr w14:val="tx1"/>
            </w14:solidFill>
          </w14:textFill>
        </w:rPr>
        <w:t>日</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项目</w:t>
      </w:r>
      <w:r>
        <w:rPr>
          <w:rFonts w:hint="eastAsia" w:ascii="宋体" w:hAnsi="宋体"/>
          <w:bCs/>
          <w:color w:val="000000" w:themeColor="text1"/>
          <w:u w:val="single"/>
          <w:lang w:eastAsia="zh-CN"/>
          <w14:textFill>
            <w14:solidFill>
              <w14:schemeClr w14:val="tx1"/>
            </w14:solidFill>
          </w14:textFill>
        </w:rPr>
        <w:t>南政采公招（服务）2024-28号</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的招标文件要求和采购机构出具的《中标通知书》，并经双方协商一致，达成合同总价款为</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的</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采购</w:t>
      </w:r>
      <w:r>
        <w:rPr>
          <w:rFonts w:hint="eastAsia" w:ascii="宋体" w:hAnsi="宋体"/>
          <w:bCs/>
          <w:color w:val="000000" w:themeColor="text1"/>
          <w14:textFill>
            <w14:solidFill>
              <w14:schemeClr w14:val="tx1"/>
            </w14:solidFill>
          </w14:textFill>
        </w:rPr>
        <w:t>合同：</w:t>
      </w:r>
    </w:p>
    <w:p w14:paraId="42D17668">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一、签订本政府采购合同的依据</w:t>
      </w:r>
    </w:p>
    <w:p w14:paraId="69091E85">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本政府采购合同所附下列文件是构成本政府采购合同不可分割的部分：</w:t>
      </w:r>
    </w:p>
    <w:p w14:paraId="5AF195CE">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1.招标文件；</w:t>
      </w:r>
    </w:p>
    <w:p w14:paraId="72362FE9">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2.招标文件的</w:t>
      </w:r>
      <w:r>
        <w:rPr>
          <w:rFonts w:hint="eastAsia" w:ascii="宋体" w:hAnsi="宋体" w:cs="宋体"/>
          <w:color w:val="000000" w:themeColor="text1"/>
          <w:kern w:val="0"/>
          <w:lang w:val="zh-CN"/>
          <w14:textFill>
            <w14:solidFill>
              <w14:schemeClr w14:val="tx1"/>
            </w14:solidFill>
          </w14:textFill>
        </w:rPr>
        <w:t>澄清</w:t>
      </w:r>
      <w:r>
        <w:rPr>
          <w:rFonts w:hint="eastAsia" w:ascii="宋体" w:hAnsi="Calibri" w:cs="宋体"/>
          <w:color w:val="000000" w:themeColor="text1"/>
          <w:kern w:val="0"/>
          <w:lang w:val="zh-CN"/>
          <w14:textFill>
            <w14:solidFill>
              <w14:schemeClr w14:val="tx1"/>
            </w14:solidFill>
          </w14:textFill>
        </w:rPr>
        <w:t>、变更公告；</w:t>
      </w:r>
    </w:p>
    <w:p w14:paraId="41FB186B">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3.中标人提交的投标文件；</w:t>
      </w:r>
    </w:p>
    <w:p w14:paraId="0FA4FA47">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4.招标文件中规定的政府采购合同通用条款；</w:t>
      </w:r>
    </w:p>
    <w:p w14:paraId="64FF3DEF">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5.中标通知书；</w:t>
      </w:r>
    </w:p>
    <w:p w14:paraId="009C7E8F">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6.履约保证金缴费证明；</w:t>
      </w:r>
    </w:p>
    <w:p w14:paraId="0E57EF75">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州</w:t>
      </w:r>
      <w:r>
        <w:rPr>
          <w:rFonts w:ascii="宋体" w:hAnsi="Calibri" w:cs="宋体"/>
          <w:color w:val="000000" w:themeColor="text1"/>
          <w:kern w:val="0"/>
          <w:lang w:val="zh-CN"/>
          <w14:textFill>
            <w14:solidFill>
              <w14:schemeClr w14:val="tx1"/>
            </w14:solidFill>
          </w14:textFill>
        </w:rPr>
        <w:t>级预算单位政府采购计划备案表</w:t>
      </w:r>
      <w:r>
        <w:rPr>
          <w:rFonts w:hint="eastAsia" w:ascii="宋体" w:hAnsi="Calibri" w:cs="宋体"/>
          <w:color w:val="000000" w:themeColor="text1"/>
          <w:kern w:val="0"/>
          <w:lang w:val="zh-CN"/>
          <w14:textFill>
            <w14:solidFill>
              <w14:schemeClr w14:val="tx1"/>
            </w14:solidFill>
          </w14:textFill>
        </w:rPr>
        <w:t>。</w:t>
      </w:r>
    </w:p>
    <w:p w14:paraId="06F8755D">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 xml:space="preserve">二、合同标的及金额                                   </w:t>
      </w:r>
    </w:p>
    <w:p w14:paraId="43BB3811">
      <w:pPr>
        <w:autoSpaceDE w:val="0"/>
        <w:autoSpaceDN w:val="0"/>
        <w:adjustRightInd w:val="0"/>
        <w:ind w:firstLine="2784" w:firstLineChars="1326"/>
        <w:rPr>
          <w:rFonts w:hint="eastAsia" w:ascii="宋体" w:hAnsi="Calibri" w:cs="宋体"/>
          <w:kern w:val="0"/>
          <w:sz w:val="21"/>
          <w:szCs w:val="21"/>
          <w:lang w:val="zh-CN"/>
        </w:rPr>
      </w:pPr>
      <w:r>
        <w:rPr>
          <w:rFonts w:hint="eastAsia" w:ascii="宋体" w:hAnsi="Calibri" w:cs="宋体"/>
          <w:kern w:val="0"/>
          <w:sz w:val="21"/>
          <w:szCs w:val="21"/>
          <w:lang w:val="zh-CN"/>
        </w:rPr>
        <w:t xml:space="preserve">                                     单位：元</w:t>
      </w:r>
    </w:p>
    <w:tbl>
      <w:tblPr>
        <w:tblStyle w:val="2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2410"/>
        <w:gridCol w:w="1276"/>
        <w:gridCol w:w="992"/>
      </w:tblGrid>
      <w:tr w14:paraId="3EF1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761DC15">
            <w:pPr>
              <w:ind w:firstLine="0" w:firstLineChars="0"/>
              <w:jc w:val="center"/>
              <w:rPr>
                <w:rFonts w:hint="eastAsia" w:ascii="宋体" w:hAnsi="宋体"/>
                <w:sz w:val="21"/>
                <w:szCs w:val="21"/>
              </w:rPr>
            </w:pPr>
            <w:r>
              <w:rPr>
                <w:rFonts w:hint="eastAsia" w:ascii="宋体" w:hAnsi="宋体"/>
                <w:sz w:val="21"/>
                <w:szCs w:val="21"/>
              </w:rPr>
              <w:t>序号</w:t>
            </w:r>
          </w:p>
        </w:tc>
        <w:tc>
          <w:tcPr>
            <w:tcW w:w="3481" w:type="dxa"/>
            <w:noWrap w:val="0"/>
            <w:vAlign w:val="center"/>
          </w:tcPr>
          <w:p w14:paraId="13FF8555">
            <w:pPr>
              <w:ind w:firstLine="0" w:firstLineChars="0"/>
              <w:jc w:val="center"/>
              <w:rPr>
                <w:rFonts w:hint="eastAsia" w:ascii="宋体" w:hAnsi="宋体"/>
                <w:sz w:val="21"/>
                <w:szCs w:val="21"/>
              </w:rPr>
            </w:pPr>
            <w:r>
              <w:rPr>
                <w:rFonts w:hint="eastAsia" w:ascii="宋体" w:hAnsi="宋体"/>
                <w:sz w:val="21"/>
                <w:szCs w:val="21"/>
              </w:rPr>
              <w:t>项目实施服务内容</w:t>
            </w:r>
          </w:p>
        </w:tc>
        <w:tc>
          <w:tcPr>
            <w:tcW w:w="2410" w:type="dxa"/>
            <w:noWrap w:val="0"/>
            <w:vAlign w:val="center"/>
          </w:tcPr>
          <w:p w14:paraId="77CCA585">
            <w:pPr>
              <w:ind w:firstLine="0" w:firstLineChars="0"/>
              <w:jc w:val="center"/>
              <w:rPr>
                <w:rFonts w:hint="eastAsia" w:ascii="宋体" w:hAnsi="宋体"/>
                <w:sz w:val="21"/>
                <w:szCs w:val="21"/>
              </w:rPr>
            </w:pPr>
            <w:r>
              <w:rPr>
                <w:rFonts w:hint="eastAsia" w:ascii="宋体" w:hAnsi="宋体"/>
                <w:sz w:val="21"/>
                <w:szCs w:val="21"/>
              </w:rPr>
              <w:t>数量及单位</w:t>
            </w:r>
          </w:p>
        </w:tc>
        <w:tc>
          <w:tcPr>
            <w:tcW w:w="1276" w:type="dxa"/>
            <w:noWrap w:val="0"/>
            <w:vAlign w:val="center"/>
          </w:tcPr>
          <w:p w14:paraId="6A9A7D8E">
            <w:pPr>
              <w:ind w:firstLine="0" w:firstLineChars="0"/>
              <w:jc w:val="center"/>
              <w:rPr>
                <w:rFonts w:hint="eastAsia" w:ascii="宋体" w:hAnsi="宋体"/>
                <w:sz w:val="21"/>
                <w:szCs w:val="21"/>
              </w:rPr>
            </w:pPr>
            <w:r>
              <w:rPr>
                <w:rFonts w:hint="eastAsia" w:ascii="宋体" w:hAnsi="宋体"/>
                <w:sz w:val="21"/>
                <w:szCs w:val="21"/>
              </w:rPr>
              <w:t>金额</w:t>
            </w:r>
          </w:p>
        </w:tc>
        <w:tc>
          <w:tcPr>
            <w:tcW w:w="992" w:type="dxa"/>
            <w:noWrap w:val="0"/>
            <w:vAlign w:val="center"/>
          </w:tcPr>
          <w:p w14:paraId="250DA649">
            <w:pPr>
              <w:ind w:firstLine="0" w:firstLineChars="0"/>
              <w:jc w:val="center"/>
              <w:rPr>
                <w:rFonts w:hint="eastAsia" w:ascii="宋体" w:hAnsi="宋体"/>
                <w:sz w:val="21"/>
                <w:szCs w:val="21"/>
              </w:rPr>
            </w:pPr>
            <w:r>
              <w:rPr>
                <w:rFonts w:hint="eastAsia" w:ascii="宋体" w:hAnsi="宋体"/>
                <w:sz w:val="21"/>
                <w:szCs w:val="21"/>
              </w:rPr>
              <w:t>备注</w:t>
            </w:r>
          </w:p>
        </w:tc>
      </w:tr>
      <w:tr w14:paraId="5A94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135D064">
            <w:pPr>
              <w:ind w:firstLine="174" w:firstLineChars="83"/>
              <w:jc w:val="center"/>
              <w:rPr>
                <w:rFonts w:hint="eastAsia" w:ascii="宋体" w:hAnsi="宋体"/>
                <w:sz w:val="21"/>
                <w:szCs w:val="21"/>
              </w:rPr>
            </w:pPr>
            <w:r>
              <w:rPr>
                <w:rFonts w:hint="eastAsia" w:ascii="宋体" w:hAnsi="宋体"/>
                <w:sz w:val="21"/>
                <w:szCs w:val="21"/>
              </w:rPr>
              <w:t>1</w:t>
            </w:r>
          </w:p>
        </w:tc>
        <w:tc>
          <w:tcPr>
            <w:tcW w:w="3481" w:type="dxa"/>
            <w:noWrap w:val="0"/>
            <w:vAlign w:val="center"/>
          </w:tcPr>
          <w:p w14:paraId="145AE720">
            <w:pPr>
              <w:ind w:firstLine="480"/>
              <w:jc w:val="center"/>
              <w:rPr>
                <w:rFonts w:hint="eastAsia" w:ascii="宋体" w:hAnsi="宋体"/>
                <w:sz w:val="21"/>
                <w:szCs w:val="21"/>
              </w:rPr>
            </w:pPr>
          </w:p>
        </w:tc>
        <w:tc>
          <w:tcPr>
            <w:tcW w:w="2410" w:type="dxa"/>
            <w:noWrap w:val="0"/>
            <w:vAlign w:val="center"/>
          </w:tcPr>
          <w:p w14:paraId="4A84D94F">
            <w:pPr>
              <w:ind w:firstLine="480"/>
              <w:jc w:val="center"/>
              <w:rPr>
                <w:rFonts w:hint="eastAsia" w:ascii="宋体" w:hAnsi="宋体"/>
                <w:sz w:val="21"/>
                <w:szCs w:val="21"/>
              </w:rPr>
            </w:pPr>
          </w:p>
        </w:tc>
        <w:tc>
          <w:tcPr>
            <w:tcW w:w="1276" w:type="dxa"/>
            <w:noWrap w:val="0"/>
            <w:vAlign w:val="center"/>
          </w:tcPr>
          <w:p w14:paraId="2E9E51F8">
            <w:pPr>
              <w:ind w:firstLine="480"/>
              <w:jc w:val="center"/>
              <w:rPr>
                <w:rFonts w:hint="eastAsia" w:ascii="宋体" w:hAnsi="宋体"/>
                <w:sz w:val="21"/>
                <w:szCs w:val="21"/>
              </w:rPr>
            </w:pPr>
          </w:p>
        </w:tc>
        <w:tc>
          <w:tcPr>
            <w:tcW w:w="992" w:type="dxa"/>
            <w:noWrap w:val="0"/>
            <w:vAlign w:val="center"/>
          </w:tcPr>
          <w:p w14:paraId="5DCCAAD7">
            <w:pPr>
              <w:ind w:firstLine="480"/>
              <w:jc w:val="center"/>
              <w:rPr>
                <w:rFonts w:hint="eastAsia" w:ascii="宋体" w:hAnsi="宋体"/>
                <w:sz w:val="21"/>
                <w:szCs w:val="21"/>
              </w:rPr>
            </w:pPr>
          </w:p>
        </w:tc>
      </w:tr>
      <w:tr w14:paraId="2659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D5F43D4">
            <w:pPr>
              <w:ind w:firstLine="174" w:firstLineChars="83"/>
              <w:jc w:val="center"/>
              <w:rPr>
                <w:rFonts w:hint="eastAsia" w:ascii="宋体" w:hAnsi="宋体"/>
                <w:sz w:val="21"/>
                <w:szCs w:val="21"/>
              </w:rPr>
            </w:pPr>
            <w:r>
              <w:rPr>
                <w:rFonts w:hint="eastAsia" w:ascii="宋体" w:hAnsi="宋体"/>
                <w:sz w:val="21"/>
                <w:szCs w:val="21"/>
              </w:rPr>
              <w:t>2</w:t>
            </w:r>
          </w:p>
        </w:tc>
        <w:tc>
          <w:tcPr>
            <w:tcW w:w="3481" w:type="dxa"/>
            <w:noWrap w:val="0"/>
            <w:vAlign w:val="center"/>
          </w:tcPr>
          <w:p w14:paraId="6EE5ABA5">
            <w:pPr>
              <w:ind w:firstLine="480"/>
              <w:jc w:val="center"/>
              <w:rPr>
                <w:rFonts w:hint="eastAsia" w:ascii="宋体" w:hAnsi="宋体"/>
                <w:sz w:val="21"/>
                <w:szCs w:val="21"/>
              </w:rPr>
            </w:pPr>
          </w:p>
        </w:tc>
        <w:tc>
          <w:tcPr>
            <w:tcW w:w="2410" w:type="dxa"/>
            <w:noWrap w:val="0"/>
            <w:vAlign w:val="center"/>
          </w:tcPr>
          <w:p w14:paraId="306C6BED">
            <w:pPr>
              <w:ind w:firstLine="480"/>
              <w:jc w:val="center"/>
              <w:rPr>
                <w:rFonts w:hint="eastAsia" w:ascii="宋体" w:hAnsi="宋体"/>
                <w:sz w:val="21"/>
                <w:szCs w:val="21"/>
              </w:rPr>
            </w:pPr>
          </w:p>
        </w:tc>
        <w:tc>
          <w:tcPr>
            <w:tcW w:w="1276" w:type="dxa"/>
            <w:noWrap w:val="0"/>
            <w:vAlign w:val="center"/>
          </w:tcPr>
          <w:p w14:paraId="33C3284A">
            <w:pPr>
              <w:ind w:firstLine="480"/>
              <w:jc w:val="center"/>
              <w:rPr>
                <w:rFonts w:hint="eastAsia" w:ascii="宋体" w:hAnsi="宋体"/>
                <w:sz w:val="21"/>
                <w:szCs w:val="21"/>
              </w:rPr>
            </w:pPr>
          </w:p>
        </w:tc>
        <w:tc>
          <w:tcPr>
            <w:tcW w:w="992" w:type="dxa"/>
            <w:noWrap w:val="0"/>
            <w:vAlign w:val="center"/>
          </w:tcPr>
          <w:p w14:paraId="2266CFAC">
            <w:pPr>
              <w:ind w:firstLine="480"/>
              <w:jc w:val="center"/>
              <w:rPr>
                <w:rFonts w:hint="eastAsia" w:ascii="宋体" w:hAnsi="宋体"/>
                <w:sz w:val="21"/>
                <w:szCs w:val="21"/>
              </w:rPr>
            </w:pPr>
          </w:p>
        </w:tc>
      </w:tr>
      <w:tr w14:paraId="0A8B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8A00D51">
            <w:pPr>
              <w:ind w:firstLine="174" w:firstLineChars="83"/>
              <w:jc w:val="center"/>
              <w:rPr>
                <w:rFonts w:hint="eastAsia" w:ascii="宋体" w:hAnsi="宋体"/>
                <w:sz w:val="21"/>
                <w:szCs w:val="21"/>
              </w:rPr>
            </w:pPr>
            <w:r>
              <w:rPr>
                <w:rFonts w:ascii="宋体" w:hAnsi="宋体"/>
                <w:sz w:val="21"/>
                <w:szCs w:val="21"/>
              </w:rPr>
              <w:t>…</w:t>
            </w:r>
          </w:p>
        </w:tc>
        <w:tc>
          <w:tcPr>
            <w:tcW w:w="3481" w:type="dxa"/>
            <w:noWrap w:val="0"/>
            <w:vAlign w:val="center"/>
          </w:tcPr>
          <w:p w14:paraId="3DC6F25F">
            <w:pPr>
              <w:ind w:firstLine="480"/>
              <w:jc w:val="center"/>
              <w:rPr>
                <w:rFonts w:hint="eastAsia" w:ascii="宋体" w:hAnsi="宋体"/>
                <w:sz w:val="21"/>
                <w:szCs w:val="21"/>
              </w:rPr>
            </w:pPr>
          </w:p>
        </w:tc>
        <w:tc>
          <w:tcPr>
            <w:tcW w:w="2410" w:type="dxa"/>
            <w:noWrap w:val="0"/>
            <w:vAlign w:val="center"/>
          </w:tcPr>
          <w:p w14:paraId="1FC74C71">
            <w:pPr>
              <w:ind w:firstLine="480"/>
              <w:jc w:val="center"/>
              <w:rPr>
                <w:rFonts w:hint="eastAsia" w:ascii="宋体" w:hAnsi="宋体"/>
                <w:sz w:val="21"/>
                <w:szCs w:val="21"/>
              </w:rPr>
            </w:pPr>
          </w:p>
        </w:tc>
        <w:tc>
          <w:tcPr>
            <w:tcW w:w="1276" w:type="dxa"/>
            <w:noWrap w:val="0"/>
            <w:vAlign w:val="center"/>
          </w:tcPr>
          <w:p w14:paraId="67216830">
            <w:pPr>
              <w:ind w:firstLine="480"/>
              <w:jc w:val="center"/>
              <w:rPr>
                <w:rFonts w:hint="eastAsia" w:ascii="宋体" w:hAnsi="宋体"/>
                <w:sz w:val="21"/>
                <w:szCs w:val="21"/>
              </w:rPr>
            </w:pPr>
          </w:p>
        </w:tc>
        <w:tc>
          <w:tcPr>
            <w:tcW w:w="992" w:type="dxa"/>
            <w:noWrap w:val="0"/>
            <w:vAlign w:val="center"/>
          </w:tcPr>
          <w:p w14:paraId="3E1B4B6A">
            <w:pPr>
              <w:ind w:firstLine="480"/>
              <w:jc w:val="center"/>
              <w:rPr>
                <w:rFonts w:hint="eastAsia" w:ascii="宋体" w:hAnsi="宋体"/>
                <w:sz w:val="21"/>
                <w:szCs w:val="21"/>
              </w:rPr>
            </w:pPr>
          </w:p>
        </w:tc>
      </w:tr>
    </w:tbl>
    <w:p w14:paraId="3B6D49C0">
      <w:pPr>
        <w:autoSpaceDE w:val="0"/>
        <w:autoSpaceDN w:val="0"/>
        <w:adjustRightInd w:val="0"/>
        <w:ind w:firstLine="4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根据上述政府采购合同文件要求，本政府采购合同的总金额为人民币</w:t>
      </w:r>
      <w:r>
        <w:rPr>
          <w:rFonts w:hint="eastAsia" w:ascii="宋体" w:hAnsi="Calibri" w:cs="宋体"/>
          <w:color w:val="000000" w:themeColor="text1"/>
          <w:kern w:val="0"/>
          <w:u w:val="single"/>
          <w:lang w:val="zh-CN"/>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 xml:space="preserve"> （大写）</w:t>
      </w:r>
      <w:r>
        <w:rPr>
          <w:rFonts w:hint="eastAsia" w:ascii="宋体" w:hAnsi="Calibri" w:cs="宋体"/>
          <w:color w:val="000000" w:themeColor="text1"/>
          <w:kern w:val="0"/>
          <w:u w:val="single"/>
          <w:lang w:val="zh-CN"/>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元。</w:t>
      </w:r>
    </w:p>
    <w:p w14:paraId="3B59952D">
      <w:pPr>
        <w:autoSpaceDE w:val="0"/>
        <w:autoSpaceDN w:val="0"/>
        <w:adjustRightInd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本合同以人民币进行结算，合同总价包括：</w:t>
      </w:r>
      <w:r>
        <w:t>产品费、服务费、软件开发费、技术支持费、培训费、检验费、手续费、保险费、安装调试费、税金及其他不可预见费等全部费用。</w:t>
      </w:r>
      <w:r>
        <w:rPr>
          <w:rFonts w:hint="eastAsia" w:ascii="宋体" w:hAnsi="Calibri" w:cs="宋体"/>
          <w:color w:val="000000" w:themeColor="text1"/>
          <w:kern w:val="0"/>
          <w:lang w:val="zh-CN"/>
          <w14:textFill>
            <w14:solidFill>
              <w14:schemeClr w14:val="tx1"/>
            </w14:solidFill>
          </w14:textFill>
        </w:rPr>
        <w:t>三、交付时间、地点和要求</w:t>
      </w:r>
    </w:p>
    <w:p w14:paraId="480DA352">
      <w:pPr>
        <w:autoSpaceDE w:val="0"/>
        <w:autoSpaceDN w:val="0"/>
        <w:adjustRightInd w:val="0"/>
        <w:ind w:firstLine="480"/>
        <w:rPr>
          <w:rFonts w:hint="eastAsia" w:ascii="宋体" w:hAnsi="Calibri" w:cs="宋体"/>
          <w:kern w:val="0"/>
          <w:lang w:val="zh-CN"/>
        </w:rPr>
      </w:pPr>
      <w:r>
        <w:rPr>
          <w:rFonts w:ascii="Calibri" w:hAnsi="Calibri" w:cs="Calibri"/>
          <w:kern w:val="0"/>
        </w:rPr>
        <w:t>1.</w:t>
      </w:r>
      <w:r>
        <w:rPr>
          <w:rFonts w:hint="eastAsia" w:ascii="宋体" w:hAnsi="Calibri" w:cs="宋体"/>
          <w:kern w:val="0"/>
          <w:lang w:val="zh-CN"/>
        </w:rPr>
        <w:t xml:space="preserve"> 服务、实施时间：</w:t>
      </w:r>
      <w:r>
        <w:rPr>
          <w:rFonts w:hint="eastAsia" w:ascii="宋体" w:hAnsi="Calibri" w:cs="宋体"/>
          <w:kern w:val="0"/>
          <w:u w:val="single"/>
          <w:lang w:val="zh-CN"/>
        </w:rPr>
        <w:t xml:space="preserve">                      </w:t>
      </w:r>
      <w:r>
        <w:rPr>
          <w:rFonts w:hint="eastAsia" w:ascii="宋体" w:hAnsi="Calibri" w:cs="宋体"/>
          <w:kern w:val="0"/>
          <w:lang w:val="zh-CN"/>
        </w:rPr>
        <w:t>；</w:t>
      </w:r>
    </w:p>
    <w:p w14:paraId="74C3DF09">
      <w:pPr>
        <w:autoSpaceDE w:val="0"/>
        <w:autoSpaceDN w:val="0"/>
        <w:adjustRightInd w:val="0"/>
        <w:ind w:firstLine="480"/>
        <w:rPr>
          <w:rFonts w:hint="eastAsia" w:ascii="宋体" w:hAnsi="Calibri" w:cs="宋体"/>
          <w:kern w:val="0"/>
          <w:u w:val="single"/>
          <w:lang w:val="zh-CN"/>
        </w:rPr>
      </w:pPr>
      <w:r>
        <w:rPr>
          <w:rFonts w:hint="eastAsia" w:ascii="宋体" w:hAnsi="Calibri" w:cs="宋体"/>
          <w:kern w:val="0"/>
          <w:lang w:val="zh-CN"/>
        </w:rPr>
        <w:t>服务、实施地点：</w:t>
      </w:r>
      <w:r>
        <w:rPr>
          <w:rFonts w:hint="eastAsia" w:ascii="宋体" w:hAnsi="Calibri" w:cs="宋体"/>
          <w:kern w:val="0"/>
          <w:u w:val="single"/>
          <w:lang w:val="zh-CN"/>
        </w:rPr>
        <w:t xml:space="preserve">                      </w:t>
      </w:r>
    </w:p>
    <w:p w14:paraId="54B848C6">
      <w:pPr>
        <w:autoSpaceDE w:val="0"/>
        <w:autoSpaceDN w:val="0"/>
        <w:adjustRightInd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w:t>
      </w:r>
      <w:r>
        <w:rPr>
          <w:rFonts w:hint="eastAsia" w:ascii="宋体" w:hAnsi="Calibri" w:cs="宋体"/>
          <w:color w:val="000000" w:themeColor="text1"/>
          <w:kern w:val="0"/>
          <w:lang w:val="zh-CN"/>
          <w14:textFill>
            <w14:solidFill>
              <w14:schemeClr w14:val="tx1"/>
            </w14:solidFill>
          </w14:textFill>
        </w:rPr>
        <w:t>乙方提供不符合招投标文件和本合同规定的产品，甲方有权拒绝接受。</w:t>
      </w:r>
    </w:p>
    <w:p w14:paraId="39843432">
      <w:pPr>
        <w:autoSpaceDE w:val="0"/>
        <w:autoSpaceDN w:val="0"/>
        <w:adjustRightInd w:val="0"/>
        <w:ind w:firstLine="420" w:firstLineChars="200"/>
        <w:rPr>
          <w:rFonts w:ascii="Calibri" w:hAnsi="Calibri" w:cs="Calibri"/>
          <w:color w:val="000000" w:themeColor="text1"/>
          <w:kern w:val="0"/>
          <w14:textFill>
            <w14:solidFill>
              <w14:schemeClr w14:val="tx1"/>
            </w14:solidFill>
          </w14:textFill>
        </w:rPr>
      </w:pPr>
      <w:r>
        <w:rPr>
          <w:rFonts w:hint="eastAsia" w:ascii="Calibri" w:hAnsi="Calibri" w:cs="Calibri"/>
          <w:color w:val="000000" w:themeColor="text1"/>
          <w:kern w:val="0"/>
          <w14:textFill>
            <w14:solidFill>
              <w14:schemeClr w14:val="tx1"/>
            </w14:solidFill>
          </w14:textFill>
        </w:rPr>
        <w:t>3</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具体验收由甲乙双方商定。</w:t>
      </w:r>
    </w:p>
    <w:p w14:paraId="3641DE80">
      <w:pPr>
        <w:autoSpaceDE w:val="0"/>
        <w:autoSpaceDN w:val="0"/>
        <w:adjustRightInd w:val="0"/>
        <w:ind w:firstLine="480"/>
        <w:rPr>
          <w:rFonts w:ascii="Calibri" w:hAnsi="Calibri" w:cs="Calibri"/>
          <w:color w:val="000000" w:themeColor="text1"/>
          <w:kern w:val="0"/>
          <w14:textFill>
            <w14:solidFill>
              <w14:schemeClr w14:val="tx1"/>
            </w14:solidFill>
          </w14:textFill>
        </w:rPr>
      </w:pPr>
      <w:r>
        <w:rPr>
          <w:rFonts w:hint="eastAsia" w:ascii="Calibri" w:hAnsi="Calibri" w:cs="Calibri"/>
          <w:color w:val="000000" w:themeColor="text1"/>
          <w:kern w:val="0"/>
          <w14:textFill>
            <w14:solidFill>
              <w14:schemeClr w14:val="tx1"/>
            </w14:solidFill>
          </w14:textFill>
        </w:rPr>
        <w:t>4</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 xml:space="preserve"> 甲方在验收过程中发现乙方有违约问题，可按招、投标文件的规定要求乙方及时予以解决。</w:t>
      </w:r>
    </w:p>
    <w:p w14:paraId="037158E2">
      <w:pPr>
        <w:ind w:firstLine="480"/>
        <w:rPr>
          <w:rFonts w:ascii="宋体" w:hAnsi="宋体"/>
          <w:color w:val="000000" w:themeColor="text1"/>
          <w14:textFill>
            <w14:solidFill>
              <w14:schemeClr w14:val="tx1"/>
            </w14:solidFill>
          </w14:textFill>
        </w:rPr>
      </w:pPr>
      <w:r>
        <w:rPr>
          <w:rFonts w:hint="eastAsia" w:ascii="Calibri" w:hAnsi="Calibri" w:cs="Calibri"/>
          <w:color w:val="000000" w:themeColor="text1"/>
          <w:kern w:val="0"/>
          <w14:textFill>
            <w14:solidFill>
              <w14:schemeClr w14:val="tx1"/>
            </w14:solidFill>
          </w14:textFill>
        </w:rPr>
        <w:t>5</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乙方向甲方提供产品相关完税销售发票。</w:t>
      </w:r>
    </w:p>
    <w:p w14:paraId="53CB32DE">
      <w:pPr>
        <w:ind w:firstLine="480"/>
        <w:rPr>
          <w:rFonts w:ascii="宋体" w:hAnsi="宋体"/>
          <w:color w:val="000000"/>
        </w:rPr>
      </w:pPr>
      <w:r>
        <w:rPr>
          <w:rFonts w:hint="eastAsia" w:ascii="宋体" w:hAnsi="宋体"/>
          <w:color w:val="000000"/>
        </w:rPr>
        <w:t>四、付款方式</w:t>
      </w:r>
    </w:p>
    <w:p w14:paraId="283398CE">
      <w:pPr>
        <w:autoSpaceDE w:val="0"/>
        <w:autoSpaceDN w:val="0"/>
        <w:adjustRightInd w:val="0"/>
        <w:ind w:firstLine="480"/>
        <w:rPr>
          <w:rFonts w:hint="default"/>
          <w:lang w:val="en-US" w:eastAsia="zh-CN"/>
        </w:rPr>
      </w:pPr>
      <w:r>
        <w:rPr>
          <w:rFonts w:hint="eastAsia"/>
          <w:color w:val="auto"/>
          <w:lang w:val="en-US" w:eastAsia="zh-CN"/>
        </w:rPr>
        <w:t>甲乙双方自行约定</w:t>
      </w:r>
    </w:p>
    <w:p w14:paraId="2A309DE3">
      <w:pPr>
        <w:autoSpaceDE w:val="0"/>
        <w:autoSpaceDN w:val="0"/>
        <w:adjustRightInd w:val="0"/>
        <w:ind w:firstLine="480"/>
        <w:rPr>
          <w:rFonts w:ascii="Calibri" w:hAnsi="Calibri" w:cs="Calibri"/>
          <w:color w:val="000000"/>
          <w:kern w:val="0"/>
        </w:rPr>
      </w:pPr>
      <w:r>
        <w:rPr>
          <w:rFonts w:hint="eastAsia" w:ascii="宋体" w:hAnsi="Calibri" w:cs="宋体"/>
          <w:color w:val="000000"/>
          <w:kern w:val="0"/>
          <w:lang w:val="zh-CN"/>
        </w:rPr>
        <w:t>五、合同的变更、终止与转让</w:t>
      </w:r>
    </w:p>
    <w:p w14:paraId="65B834FA">
      <w:pPr>
        <w:autoSpaceDE w:val="0"/>
        <w:autoSpaceDN w:val="0"/>
        <w:adjustRightInd w:val="0"/>
        <w:ind w:firstLine="480"/>
        <w:rPr>
          <w:rFonts w:ascii="Calibri" w:hAnsi="Calibri" w:cs="Calibri"/>
          <w:color w:val="000000"/>
          <w:kern w:val="0"/>
        </w:rPr>
      </w:pPr>
      <w:r>
        <w:rPr>
          <w:rFonts w:ascii="Calibri" w:hAnsi="Calibri" w:cs="Calibri"/>
          <w:color w:val="000000"/>
          <w:kern w:val="0"/>
        </w:rPr>
        <w:t>1.</w:t>
      </w:r>
      <w:r>
        <w:rPr>
          <w:rFonts w:hint="eastAsia" w:ascii="宋体" w:hAnsi="Calibri" w:cs="宋体"/>
          <w:color w:val="000000"/>
          <w:kern w:val="0"/>
          <w:lang w:val="zh-CN"/>
        </w:rPr>
        <w:t>除《中华人民共和国政府采购法》第</w:t>
      </w:r>
      <w:r>
        <w:rPr>
          <w:rFonts w:ascii="Calibri" w:hAnsi="Calibri" w:cs="Calibri"/>
          <w:color w:val="000000"/>
          <w:kern w:val="0"/>
        </w:rPr>
        <w:t>50</w:t>
      </w:r>
      <w:r>
        <w:rPr>
          <w:rFonts w:hint="eastAsia" w:ascii="宋体" w:hAnsi="Calibri" w:cs="宋体"/>
          <w:color w:val="000000"/>
          <w:kern w:val="0"/>
          <w:lang w:val="zh-CN"/>
        </w:rPr>
        <w:t>条规定的情形外，本合同一经签订，甲乙双方不得擅自变更、中止或终止。</w:t>
      </w:r>
    </w:p>
    <w:p w14:paraId="11120B43">
      <w:pPr>
        <w:autoSpaceDE w:val="0"/>
        <w:autoSpaceDN w:val="0"/>
        <w:adjustRightInd w:val="0"/>
        <w:ind w:firstLine="480"/>
        <w:rPr>
          <w:rFonts w:ascii="Calibri" w:hAnsi="Calibri" w:cs="Calibri"/>
          <w:color w:val="000000"/>
          <w:kern w:val="0"/>
        </w:rPr>
      </w:pPr>
      <w:r>
        <w:rPr>
          <w:rFonts w:ascii="Calibri" w:hAnsi="Calibri" w:cs="Calibri"/>
          <w:color w:val="000000"/>
          <w:kern w:val="0"/>
        </w:rPr>
        <w:t>2.</w:t>
      </w:r>
      <w:r>
        <w:rPr>
          <w:rFonts w:hint="eastAsia" w:ascii="宋体" w:hAnsi="Calibri" w:cs="宋体"/>
          <w:color w:val="000000"/>
          <w:kern w:val="0"/>
          <w:lang w:val="zh-CN"/>
        </w:rPr>
        <w:t>乙方不得转让其应履行的合同义务。</w:t>
      </w:r>
    </w:p>
    <w:p w14:paraId="63B420C9">
      <w:pPr>
        <w:autoSpaceDE w:val="0"/>
        <w:autoSpaceDN w:val="0"/>
        <w:adjustRightInd w:val="0"/>
        <w:ind w:firstLine="480"/>
        <w:rPr>
          <w:rFonts w:hint="eastAsia" w:ascii="宋体" w:hAnsi="Calibri" w:cs="宋体"/>
          <w:color w:val="000000"/>
          <w:kern w:val="0"/>
          <w:lang w:val="zh-CN"/>
        </w:rPr>
      </w:pPr>
      <w:r>
        <w:rPr>
          <w:rFonts w:hint="eastAsia" w:ascii="宋体" w:hAnsi="Calibri" w:cs="宋体"/>
          <w:color w:val="000000"/>
          <w:kern w:val="0"/>
          <w:lang w:val="zh-CN"/>
        </w:rPr>
        <w:t>六、违约责任：</w:t>
      </w:r>
    </w:p>
    <w:p w14:paraId="0C950D48">
      <w:pPr>
        <w:autoSpaceDE w:val="0"/>
        <w:autoSpaceDN w:val="0"/>
        <w:adjustRightInd w:val="0"/>
        <w:ind w:firstLine="480"/>
        <w:rPr>
          <w:rFonts w:hint="eastAsia"/>
          <w:lang w:val="en-US" w:eastAsia="zh-CN"/>
        </w:rPr>
      </w:pPr>
      <w:r>
        <w:rPr>
          <w:rFonts w:hint="eastAsia"/>
          <w:lang w:val="en-US" w:eastAsia="zh-CN"/>
        </w:rPr>
        <w:t>1.1、乙方的责任</w:t>
      </w:r>
    </w:p>
    <w:p w14:paraId="7A399BD6">
      <w:pPr>
        <w:autoSpaceDE w:val="0"/>
        <w:autoSpaceDN w:val="0"/>
        <w:adjustRightInd w:val="0"/>
        <w:ind w:firstLine="480"/>
        <w:rPr>
          <w:rFonts w:hint="eastAsia"/>
          <w:lang w:val="en-US" w:eastAsia="zh-CN"/>
        </w:rPr>
      </w:pPr>
      <w:r>
        <w:rPr>
          <w:rFonts w:hint="eastAsia"/>
          <w:lang w:val="en-US" w:eastAsia="zh-CN"/>
        </w:rPr>
        <w:t>(一)项目质量、标准不符合合同规定的，负责无偿修复或返工。由于修复或返工造成逾期交付的，偿付逾期违约金;</w:t>
      </w:r>
    </w:p>
    <w:p w14:paraId="77C2154A">
      <w:pPr>
        <w:autoSpaceDE w:val="0"/>
        <w:autoSpaceDN w:val="0"/>
        <w:adjustRightInd w:val="0"/>
        <w:ind w:firstLine="480"/>
        <w:rPr>
          <w:rFonts w:hint="eastAsia"/>
          <w:lang w:val="en-US" w:eastAsia="zh-CN"/>
        </w:rPr>
      </w:pPr>
      <w:r>
        <w:rPr>
          <w:rFonts w:hint="eastAsia"/>
          <w:lang w:val="en-US" w:eastAsia="zh-CN"/>
        </w:rPr>
        <w:t>(二)项目交付时间不符合规定，按合同中违约责任条款的规定偿付逾期违约金。</w:t>
      </w:r>
    </w:p>
    <w:p w14:paraId="611F1D31">
      <w:pPr>
        <w:autoSpaceDE w:val="0"/>
        <w:autoSpaceDN w:val="0"/>
        <w:adjustRightInd w:val="0"/>
        <w:ind w:firstLine="480"/>
        <w:rPr>
          <w:rFonts w:hint="eastAsia"/>
          <w:lang w:val="en-US" w:eastAsia="zh-CN"/>
        </w:rPr>
      </w:pPr>
      <w:r>
        <w:rPr>
          <w:rFonts w:hint="eastAsia"/>
          <w:lang w:val="en-US" w:eastAsia="zh-CN"/>
        </w:rPr>
        <w:t>2、甲方的责任</w:t>
      </w:r>
    </w:p>
    <w:p w14:paraId="1ADA9445">
      <w:pPr>
        <w:autoSpaceDE w:val="0"/>
        <w:autoSpaceDN w:val="0"/>
        <w:adjustRightInd w:val="0"/>
        <w:ind w:firstLine="480"/>
        <w:rPr>
          <w:rFonts w:hint="eastAsia"/>
          <w:lang w:val="en-US" w:eastAsia="zh-CN"/>
        </w:rPr>
      </w:pPr>
      <w:r>
        <w:rPr>
          <w:rFonts w:hint="eastAsia"/>
          <w:lang w:val="en-US" w:eastAsia="zh-CN"/>
        </w:rPr>
        <w:t>(一)超过合同规定日期验收，按合同的违约责任条款的规定偿付逾期违约金。</w:t>
      </w:r>
    </w:p>
    <w:p w14:paraId="2035AE7D">
      <w:pPr>
        <w:autoSpaceDE w:val="0"/>
        <w:autoSpaceDN w:val="0"/>
        <w:adjustRightInd w:val="0"/>
        <w:ind w:firstLine="480"/>
        <w:rPr>
          <w:rFonts w:hint="eastAsia"/>
          <w:lang w:val="en-US" w:eastAsia="zh-CN"/>
        </w:rPr>
      </w:pPr>
      <w:r>
        <w:rPr>
          <w:rFonts w:hint="eastAsia"/>
          <w:lang w:val="en-US" w:eastAsia="zh-CN"/>
        </w:rPr>
        <w:t>(二)不按合同规定拨付工程款，按银行有关逾期付款办法或“工程价款结算办法”的有关规定处理。</w:t>
      </w:r>
    </w:p>
    <w:p w14:paraId="4DCBC2D3">
      <w:pPr>
        <w:autoSpaceDE w:val="0"/>
        <w:autoSpaceDN w:val="0"/>
        <w:adjustRightInd w:val="0"/>
        <w:ind w:firstLine="480"/>
        <w:rPr>
          <w:rFonts w:hint="eastAsia"/>
          <w:lang w:val="en-US" w:eastAsia="zh-CN"/>
        </w:rPr>
      </w:pPr>
      <w:r>
        <w:rPr>
          <w:rFonts w:hint="eastAsia"/>
          <w:lang w:val="zh-CN" w:eastAsia="zh-CN"/>
        </w:rPr>
        <w:t>七、不可抗力：</w:t>
      </w:r>
    </w:p>
    <w:p w14:paraId="3B97E515">
      <w:pPr>
        <w:autoSpaceDE w:val="0"/>
        <w:autoSpaceDN w:val="0"/>
        <w:adjustRightInd w:val="0"/>
        <w:ind w:firstLine="480"/>
        <w:rPr>
          <w:rFonts w:hint="eastAsia"/>
          <w:lang w:val="en-US" w:eastAsia="zh-CN"/>
        </w:rPr>
      </w:pPr>
      <w:r>
        <w:rPr>
          <w:rFonts w:hint="eastAsia"/>
          <w:lang w:val="en-US" w:eastAsia="zh-CN"/>
        </w:rPr>
        <w:t>1.</w:t>
      </w:r>
      <w:r>
        <w:rPr>
          <w:rFonts w:hint="eastAsia"/>
          <w:lang w:val="zh-CN" w:eastAsia="zh-CN"/>
        </w:rPr>
        <w:t>不可抗力使合同的某些内容有变更必要的，双方应通过协商在</w:t>
      </w:r>
      <w:r>
        <w:rPr>
          <w:rFonts w:hint="eastAsia"/>
          <w:lang w:val="en-US" w:eastAsia="zh-CN"/>
        </w:rPr>
        <w:t xml:space="preserve">   </w:t>
      </w:r>
      <w:r>
        <w:rPr>
          <w:rFonts w:hint="eastAsia"/>
          <w:lang w:val="zh-CN" w:eastAsia="zh-CN"/>
        </w:rPr>
        <w:t>天内达成进一步履行合同的协议，因不可抗力致使合同不能履行的，合同终止。</w:t>
      </w:r>
    </w:p>
    <w:p w14:paraId="7AF07CA7">
      <w:pPr>
        <w:autoSpaceDE w:val="0"/>
        <w:autoSpaceDN w:val="0"/>
        <w:adjustRightInd w:val="0"/>
        <w:ind w:firstLine="480"/>
        <w:rPr>
          <w:rFonts w:hint="eastAsia"/>
          <w:lang w:val="en-US" w:eastAsia="zh-CN"/>
        </w:rPr>
      </w:pPr>
      <w:r>
        <w:rPr>
          <w:rFonts w:hint="eastAsia"/>
          <w:lang w:val="en-US" w:eastAsia="zh-CN"/>
        </w:rPr>
        <w:t>2.</w:t>
      </w:r>
      <w:r>
        <w:rPr>
          <w:rFonts w:hint="eastAsia"/>
          <w:lang w:val="zh-CN" w:eastAsia="zh-CN"/>
        </w:rPr>
        <w:t>除法律、法规规定的不可抗力情形外，双方约定出现</w:t>
      </w:r>
      <w:r>
        <w:rPr>
          <w:rFonts w:hint="eastAsia"/>
          <w:lang w:val="en-US" w:eastAsia="zh-CN"/>
        </w:rPr>
        <w:t xml:space="preserve">         </w:t>
      </w:r>
      <w:r>
        <w:rPr>
          <w:rFonts w:hint="eastAsia"/>
          <w:lang w:val="zh-CN" w:eastAsia="zh-CN"/>
        </w:rPr>
        <w:t>情况亦视为不可抗力。</w:t>
      </w:r>
    </w:p>
    <w:p w14:paraId="14BE4141">
      <w:pPr>
        <w:autoSpaceDE w:val="0"/>
        <w:autoSpaceDN w:val="0"/>
        <w:adjustRightInd w:val="0"/>
        <w:ind w:firstLine="480"/>
        <w:rPr>
          <w:rFonts w:hint="eastAsia"/>
          <w:lang w:val="zh-CN" w:eastAsia="zh-CN"/>
        </w:rPr>
      </w:pPr>
      <w:r>
        <w:rPr>
          <w:rFonts w:hint="eastAsia"/>
          <w:lang w:val="zh-CN" w:eastAsia="zh-CN"/>
        </w:rPr>
        <w:t>八、知识产权：</w:t>
      </w:r>
    </w:p>
    <w:p w14:paraId="448B7D9F">
      <w:pPr>
        <w:autoSpaceDE w:val="0"/>
        <w:autoSpaceDN w:val="0"/>
        <w:adjustRightInd w:val="0"/>
        <w:ind w:firstLine="480"/>
        <w:rPr>
          <w:rFonts w:hint="eastAsia"/>
          <w:lang w:val="zh-CN" w:eastAsia="zh-CN"/>
        </w:rPr>
      </w:pPr>
      <w:r>
        <w:rPr>
          <w:rFonts w:hint="eastAsia"/>
          <w:lang w:val="en-US" w:eastAsia="zh-CN"/>
        </w:rPr>
        <w:t>项目实施完成后其知识产权归甲方所有，乙方需无条件向甲方提供项目所包含的所有数据“源代码”。</w:t>
      </w:r>
    </w:p>
    <w:p w14:paraId="33BDC2E8">
      <w:pPr>
        <w:autoSpaceDE w:val="0"/>
        <w:autoSpaceDN w:val="0"/>
        <w:adjustRightInd w:val="0"/>
        <w:ind w:firstLine="480"/>
        <w:rPr>
          <w:rFonts w:hint="eastAsia"/>
          <w:lang w:val="zh-CN" w:eastAsia="zh-CN"/>
        </w:rPr>
      </w:pPr>
      <w:r>
        <w:rPr>
          <w:rFonts w:hint="eastAsia"/>
          <w:lang w:val="zh-CN" w:eastAsia="zh-CN"/>
        </w:rPr>
        <w:t>九、其他约定：</w:t>
      </w:r>
    </w:p>
    <w:p w14:paraId="11C03EE2">
      <w:pPr>
        <w:autoSpaceDE w:val="0"/>
        <w:autoSpaceDN w:val="0"/>
        <w:adjustRightInd w:val="0"/>
        <w:ind w:firstLine="480"/>
        <w:rPr>
          <w:rFonts w:hint="eastAsia"/>
          <w:lang w:val="en-US" w:eastAsia="zh-CN"/>
        </w:rPr>
      </w:pPr>
      <w:r>
        <w:rPr>
          <w:rFonts w:hint="eastAsia"/>
          <w:lang w:val="zh-CN" w:eastAsia="zh-CN"/>
        </w:rPr>
        <w:t>十、合同争议解决</w:t>
      </w:r>
    </w:p>
    <w:p w14:paraId="713C46BB">
      <w:pPr>
        <w:autoSpaceDE w:val="0"/>
        <w:autoSpaceDN w:val="0"/>
        <w:adjustRightInd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w:t>
      </w:r>
      <w:r>
        <w:rPr>
          <w:rFonts w:hint="eastAsia" w:ascii="宋体" w:hAnsi="Calibri"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04902D9F">
      <w:pPr>
        <w:autoSpaceDE w:val="0"/>
        <w:autoSpaceDN w:val="0"/>
        <w:adjustRightInd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w:t>
      </w:r>
      <w:r>
        <w:rPr>
          <w:rFonts w:hint="eastAsia" w:ascii="宋体" w:hAnsi="Calibri"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16D10E65">
      <w:pPr>
        <w:autoSpaceDE w:val="0"/>
        <w:autoSpaceDN w:val="0"/>
        <w:adjustRightInd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3.</w:t>
      </w:r>
      <w:r>
        <w:rPr>
          <w:rFonts w:hint="eastAsia" w:ascii="宋体" w:hAnsi="Calibri" w:cs="宋体"/>
          <w:color w:val="000000" w:themeColor="text1"/>
          <w:kern w:val="0"/>
          <w:lang w:val="zh-CN"/>
          <w14:textFill>
            <w14:solidFill>
              <w14:schemeClr w14:val="tx1"/>
            </w14:solidFill>
          </w14:textFill>
        </w:rPr>
        <w:t>诉讼期间，本合同继续履行。</w:t>
      </w:r>
    </w:p>
    <w:p w14:paraId="73C23657">
      <w:pPr>
        <w:autoSpaceDE w:val="0"/>
        <w:autoSpaceDN w:val="0"/>
        <w:adjustRightInd w:val="0"/>
        <w:ind w:firstLine="4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十一、合同生效及其它</w:t>
      </w:r>
      <w:r>
        <w:rPr>
          <w:rFonts w:hint="eastAsia" w:ascii="宋体" w:hAnsi="Calibri" w:cs="宋体"/>
          <w:color w:val="000000" w:themeColor="text1"/>
          <w:kern w:val="0"/>
          <w14:textFill>
            <w14:solidFill>
              <w14:schemeClr w14:val="tx1"/>
            </w14:solidFill>
          </w14:textFill>
        </w:rPr>
        <w:t>：</w:t>
      </w:r>
    </w:p>
    <w:p w14:paraId="6E1CBD40">
      <w:pPr>
        <w:autoSpaceDE w:val="0"/>
        <w:autoSpaceDN w:val="0"/>
        <w:adjustRightInd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w:t>
      </w:r>
      <w:r>
        <w:rPr>
          <w:rFonts w:hint="eastAsia" w:ascii="宋体" w:hAnsi="Calibri" w:cs="宋体"/>
          <w:color w:val="000000" w:themeColor="text1"/>
          <w:kern w:val="0"/>
          <w:lang w:val="zh-CN"/>
          <w14:textFill>
            <w14:solidFill>
              <w14:schemeClr w14:val="tx1"/>
            </w14:solidFill>
          </w14:textFill>
        </w:rPr>
        <w:t>本合同一式六份，经双方签字，并加盖公章即为生效。</w:t>
      </w:r>
    </w:p>
    <w:p w14:paraId="4D5EC8E7">
      <w:pPr>
        <w:autoSpaceDE w:val="0"/>
        <w:autoSpaceDN w:val="0"/>
        <w:adjustRightInd w:val="0"/>
        <w:ind w:firstLine="4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w:t>
      </w:r>
      <w:r>
        <w:rPr>
          <w:rFonts w:hint="eastAsia" w:ascii="宋体" w:hAnsi="Calibri" w:cs="宋体"/>
          <w:color w:val="000000" w:themeColor="text1"/>
          <w:kern w:val="0"/>
          <w:lang w:val="zh-CN"/>
          <w14:textFill>
            <w14:solidFill>
              <w14:schemeClr w14:val="tx1"/>
            </w14:solidFill>
          </w14:textFill>
        </w:rPr>
        <w:t>本合同未尽事宜，按《</w:t>
      </w:r>
      <w:r>
        <w:rPr>
          <w:rFonts w:hint="eastAsia" w:ascii="宋体" w:hAnsi="宋体"/>
          <w:color w:val="000000" w:themeColor="text1"/>
          <w14:textFill>
            <w14:solidFill>
              <w14:schemeClr w14:val="tx1"/>
            </w14:solidFill>
          </w14:textFill>
        </w:rPr>
        <w:t>中华人民共和国民法典</w:t>
      </w:r>
      <w:r>
        <w:rPr>
          <w:rFonts w:hint="eastAsia" w:ascii="宋体" w:hAnsi="Calibri" w:cs="宋体"/>
          <w:color w:val="000000" w:themeColor="text1"/>
          <w:kern w:val="0"/>
          <w:lang w:val="zh-CN"/>
          <w14:textFill>
            <w14:solidFill>
              <w14:schemeClr w14:val="tx1"/>
            </w14:solidFill>
          </w14:textFill>
        </w:rPr>
        <w:t>》有关规定处理。</w:t>
      </w:r>
    </w:p>
    <w:p w14:paraId="696F0419">
      <w:pPr>
        <w:rPr>
          <w:rFonts w:ascii="宋体" w:hAnsi="宋体"/>
          <w:color w:val="000000" w:themeColor="text1"/>
          <w14:textFill>
            <w14:solidFill>
              <w14:schemeClr w14:val="tx1"/>
            </w14:solidFill>
          </w14:textFill>
        </w:rPr>
      </w:pPr>
    </w:p>
    <w:p w14:paraId="1BC6D537">
      <w:pPr>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甲方（盖章）：                       乙方（盖章）：</w:t>
      </w:r>
    </w:p>
    <w:p w14:paraId="17FED37A">
      <w:pPr>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地址：                              地址：</w:t>
      </w:r>
    </w:p>
    <w:p w14:paraId="7EDB8E68">
      <w:pPr>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w:t>
      </w:r>
      <w:r>
        <w:rPr>
          <w:rFonts w:hint="eastAsia"/>
          <w:b/>
          <w:color w:val="000000" w:themeColor="text1"/>
          <w14:textFill>
            <w14:solidFill>
              <w14:schemeClr w14:val="tx1"/>
            </w14:solidFill>
          </w14:textFill>
        </w:rPr>
        <w:t>委托代理人</w:t>
      </w:r>
      <w:r>
        <w:rPr>
          <w:rFonts w:hint="eastAsia" w:ascii="宋体" w:hAnsi="宋体"/>
          <w:b/>
          <w:color w:val="000000" w:themeColor="text1"/>
          <w14:textFill>
            <w14:solidFill>
              <w14:schemeClr w14:val="tx1"/>
            </w14:solidFill>
          </w14:textFill>
        </w:rPr>
        <w:t>：            法定代表人或</w:t>
      </w:r>
      <w:r>
        <w:rPr>
          <w:rFonts w:hint="eastAsia"/>
          <w:b/>
          <w:color w:val="000000" w:themeColor="text1"/>
          <w14:textFill>
            <w14:solidFill>
              <w14:schemeClr w14:val="tx1"/>
            </w14:solidFill>
          </w14:textFill>
        </w:rPr>
        <w:t>委托代理人</w:t>
      </w:r>
      <w:r>
        <w:rPr>
          <w:rFonts w:hint="eastAsia" w:ascii="宋体" w:hAnsi="宋体"/>
          <w:b/>
          <w:color w:val="000000" w:themeColor="text1"/>
          <w14:textFill>
            <w14:solidFill>
              <w14:schemeClr w14:val="tx1"/>
            </w14:solidFill>
          </w14:textFill>
        </w:rPr>
        <w:t>：</w:t>
      </w:r>
    </w:p>
    <w:p w14:paraId="06CF42E3">
      <w:pPr>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开户银行：</w:t>
      </w:r>
    </w:p>
    <w:p w14:paraId="082CD49A">
      <w:pPr>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联系电话：                          账号：</w:t>
      </w:r>
    </w:p>
    <w:p w14:paraId="1B214059">
      <w:pPr>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联系电话：</w:t>
      </w:r>
    </w:p>
    <w:p w14:paraId="57C8B9DD">
      <w:pPr>
        <w:ind w:firstLine="2319" w:firstLineChars="1100"/>
        <w:rPr>
          <w:b/>
          <w:color w:val="000000" w:themeColor="text1"/>
          <w14:textFill>
            <w14:solidFill>
              <w14:schemeClr w14:val="tx1"/>
            </w14:solidFill>
          </w14:textFill>
        </w:rPr>
      </w:pPr>
      <w:r>
        <w:rPr>
          <w:rFonts w:hint="eastAsia"/>
          <w:b/>
          <w:color w:val="000000" w:themeColor="text1"/>
          <w14:textFill>
            <w14:solidFill>
              <w14:schemeClr w14:val="tx1"/>
            </w14:solidFill>
          </w14:textFill>
        </w:rPr>
        <w:t>签订合同时间：  年  月  日</w:t>
      </w:r>
    </w:p>
    <w:p w14:paraId="6F032F73">
      <w:pPr>
        <w:rPr>
          <w:b/>
          <w:color w:val="000000" w:themeColor="text1"/>
          <w14:textFill>
            <w14:solidFill>
              <w14:schemeClr w14:val="tx1"/>
            </w14:solidFill>
          </w14:textFill>
        </w:rPr>
      </w:pPr>
    </w:p>
    <w:p w14:paraId="18E4AB6C">
      <w:pPr>
        <w:ind w:firstLine="482"/>
        <w:rPr>
          <w:b/>
          <w:color w:val="000000" w:themeColor="text1"/>
          <w14:textFill>
            <w14:solidFill>
              <w14:schemeClr w14:val="tx1"/>
            </w14:solidFill>
          </w14:textFill>
        </w:rPr>
      </w:pPr>
    </w:p>
    <w:p w14:paraId="6A74F485">
      <w:pPr>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合同备案部门：海南州政府采购服务中心       </w:t>
      </w:r>
    </w:p>
    <w:p w14:paraId="500CB3FE">
      <w:pPr>
        <w:ind w:firstLine="482"/>
        <w:rPr>
          <w:b/>
          <w:color w:val="000000" w:themeColor="text1"/>
          <w14:textFill>
            <w14:solidFill>
              <w14:schemeClr w14:val="tx1"/>
            </w14:solidFill>
          </w14:textFill>
        </w:rPr>
      </w:pPr>
    </w:p>
    <w:p w14:paraId="1950A70A">
      <w:pPr>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负责人：                                经办人：</w:t>
      </w:r>
    </w:p>
    <w:p w14:paraId="29D0380C">
      <w:pPr>
        <w:adjustRightInd w:val="0"/>
        <w:spacing w:line="360" w:lineRule="auto"/>
        <w:ind w:firstLine="2178" w:firstLineChars="1033"/>
        <w:textAlignment w:val="baseline"/>
        <w:rPr>
          <w:b/>
          <w:color w:val="000000" w:themeColor="text1"/>
          <w14:textFill>
            <w14:solidFill>
              <w14:schemeClr w14:val="tx1"/>
            </w14:solidFill>
          </w14:textFill>
        </w:rPr>
      </w:pPr>
    </w:p>
    <w:p w14:paraId="215AE23B">
      <w:pPr>
        <w:adjustRightInd w:val="0"/>
        <w:spacing w:line="360" w:lineRule="auto"/>
        <w:ind w:firstLine="2178" w:firstLineChars="1033"/>
        <w:textAlignment w:val="baseline"/>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合同备案时间：     年  </w:t>
      </w:r>
      <w:r>
        <w:rPr>
          <w:rFonts w:hint="eastAsia"/>
          <w:b/>
          <w:color w:val="000000" w:themeColor="text1"/>
          <w14:textFill>
            <w14:solidFill>
              <w14:schemeClr w14:val="tx1"/>
            </w14:solidFill>
          </w14:textFill>
        </w:rPr>
        <w:t>月  日</w:t>
      </w:r>
    </w:p>
    <w:p w14:paraId="3CC4CFE1">
      <w:pPr>
        <w:ind w:firstLine="3253" w:firstLineChars="900"/>
        <w:rPr>
          <w:rFonts w:ascii="宋体" w:hAnsi="宋体"/>
          <w:b/>
          <w:color w:val="000000" w:themeColor="text1"/>
          <w:sz w:val="36"/>
          <w:szCs w:val="36"/>
          <w14:textFill>
            <w14:solidFill>
              <w14:schemeClr w14:val="tx1"/>
            </w14:solidFill>
          </w14:textFill>
        </w:rPr>
      </w:pPr>
    </w:p>
    <w:p w14:paraId="7AAFF9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47CA1FD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4DB3157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05C0C05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220087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0896048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5A797B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4"/>
          <w:szCs w:val="24"/>
          <w:lang w:val="en-US" w:eastAsia="zh-CN" w:bidi="ar-SA"/>
        </w:rPr>
        <w:t xml:space="preserve"> </w:t>
      </w:r>
    </w:p>
    <w:p w14:paraId="32BAFA70">
      <w:pPr>
        <w:pStyle w:val="2"/>
        <w:ind w:firstLine="1378" w:firstLineChars="286"/>
        <w:jc w:val="both"/>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海南州政府采购项目合同书</w:t>
      </w:r>
    </w:p>
    <w:p w14:paraId="7341B075">
      <w:pPr>
        <w:rPr>
          <w:color w:val="000000" w:themeColor="text1"/>
          <w14:textFill>
            <w14:solidFill>
              <w14:schemeClr w14:val="tx1"/>
            </w14:solidFill>
          </w14:textFill>
        </w:rPr>
      </w:pPr>
    </w:p>
    <w:p w14:paraId="214B3704">
      <w:pPr>
        <w:rPr>
          <w:color w:val="000000" w:themeColor="text1"/>
          <w14:textFill>
            <w14:solidFill>
              <w14:schemeClr w14:val="tx1"/>
            </w14:solidFill>
          </w14:textFill>
        </w:rPr>
      </w:pPr>
    </w:p>
    <w:p w14:paraId="5DD86D8E">
      <w:pPr>
        <w:rPr>
          <w:color w:val="000000" w:themeColor="text1"/>
          <w14:textFill>
            <w14:solidFill>
              <w14:schemeClr w14:val="tx1"/>
            </w14:solidFill>
          </w14:textFill>
        </w:rPr>
      </w:pPr>
    </w:p>
    <w:p w14:paraId="55B3B705">
      <w:pPr>
        <w:autoSpaceDE w:val="0"/>
        <w:autoSpaceDN w:val="0"/>
        <w:adjustRightInd w:val="0"/>
        <w:spacing w:line="360" w:lineRule="auto"/>
        <w:ind w:left="2091" w:leftChars="287" w:hanging="1488" w:hangingChars="494"/>
        <w:rPr>
          <w:rFonts w:hint="default" w:eastAsiaTheme="minorEastAsia"/>
          <w:b/>
          <w:color w:val="000000" w:themeColor="text1"/>
          <w:sz w:val="28"/>
          <w:szCs w:val="28"/>
          <w:u w:val="single"/>
          <w:lang w:val="en-US" w:eastAsia="zh-CN"/>
          <w14:textFill>
            <w14:solidFill>
              <w14:schemeClr w14:val="tx1"/>
            </w14:solidFill>
          </w14:textFill>
        </w:rPr>
      </w:pPr>
      <w:r>
        <w:rPr>
          <w:rFonts w:hint="eastAsia"/>
          <w:b/>
          <w:color w:val="000000" w:themeColor="text1"/>
          <w:sz w:val="30"/>
          <w:szCs w:val="30"/>
          <w14:textFill>
            <w14:solidFill>
              <w14:schemeClr w14:val="tx1"/>
            </w14:solidFill>
          </w14:textFill>
        </w:rPr>
        <w:t>采购项目名称：</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p>
    <w:p w14:paraId="5AC5E64C">
      <w:pPr>
        <w:adjustRightInd w:val="0"/>
        <w:spacing w:line="360" w:lineRule="auto"/>
        <w:ind w:firstLine="602" w:firstLineChars="200"/>
        <w:textAlignment w:val="baseline"/>
        <w:rPr>
          <w:b/>
          <w:color w:val="000000" w:themeColor="text1"/>
          <w:sz w:val="28"/>
          <w:szCs w:val="28"/>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采购项目编号</w:t>
      </w:r>
      <w:r>
        <w:rPr>
          <w:rFonts w:hint="eastAsia"/>
          <w:b/>
          <w:color w:val="000000" w:themeColor="text1"/>
          <w:sz w:val="28"/>
          <w:szCs w:val="28"/>
          <w14:textFill>
            <w14:solidFill>
              <w14:schemeClr w14:val="tx1"/>
            </w14:solidFill>
          </w14:textFill>
        </w:rPr>
        <w:t>：</w:t>
      </w:r>
      <w:r>
        <w:rPr>
          <w:rFonts w:hint="eastAsia"/>
          <w:b/>
          <w:color w:val="000000" w:themeColor="text1"/>
          <w:sz w:val="28"/>
          <w:szCs w:val="28"/>
          <w:u w:val="single"/>
          <w14:textFill>
            <w14:solidFill>
              <w14:schemeClr w14:val="tx1"/>
            </w14:solidFill>
          </w14:textFill>
        </w:rPr>
        <w:t xml:space="preserve">      </w:t>
      </w:r>
      <w:r>
        <w:rPr>
          <w:rFonts w:hint="eastAsia"/>
          <w:b/>
          <w:color w:val="000000" w:themeColor="text1"/>
          <w:sz w:val="28"/>
          <w:szCs w:val="28"/>
          <w:u w:val="single"/>
          <w:lang w:val="en-US" w:eastAsia="zh-CN"/>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 xml:space="preserve"> 2024-（服务）</w:t>
      </w:r>
      <w:r>
        <w:rPr>
          <w:rFonts w:hint="eastAsia"/>
          <w:b/>
          <w:color w:val="000000" w:themeColor="text1"/>
          <w:sz w:val="30"/>
          <w:szCs w:val="30"/>
          <w:u w:val="single"/>
          <w:lang w:val="en-US" w:eastAsia="zh-CN"/>
          <w14:textFill>
            <w14:solidFill>
              <w14:schemeClr w14:val="tx1"/>
            </w14:solidFill>
          </w14:textFill>
        </w:rPr>
        <w:t>28</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28"/>
          <w:szCs w:val="28"/>
          <w:u w:val="single"/>
          <w:lang w:val="en-US" w:eastAsia="zh-CN"/>
          <w14:textFill>
            <w14:solidFill>
              <w14:schemeClr w14:val="tx1"/>
            </w14:solidFill>
          </w14:textFill>
        </w:rPr>
        <w:t xml:space="preserve">                         </w:t>
      </w:r>
      <w:r>
        <w:rPr>
          <w:rFonts w:hint="eastAsia"/>
          <w:b/>
          <w:color w:val="000000" w:themeColor="text1"/>
          <w:sz w:val="28"/>
          <w:szCs w:val="28"/>
          <w:u w:val="single"/>
          <w14:textFill>
            <w14:solidFill>
              <w14:schemeClr w14:val="tx1"/>
            </w14:solidFill>
          </w14:textFill>
        </w:rPr>
        <w:t xml:space="preserve">  </w:t>
      </w:r>
    </w:p>
    <w:p w14:paraId="114ACB9F">
      <w:pPr>
        <w:adjustRightInd w:val="0"/>
        <w:spacing w:line="360" w:lineRule="auto"/>
        <w:ind w:firstLine="602" w:firstLineChars="200"/>
        <w:textAlignment w:val="baseline"/>
        <w:rPr>
          <w:bCs/>
          <w:color w:val="000000" w:themeColor="text1"/>
          <w:sz w:val="22"/>
          <w:szCs w:val="22"/>
          <w:u w:val="thick"/>
          <w14:textFill>
            <w14:solidFill>
              <w14:schemeClr w14:val="tx1"/>
            </w14:solidFill>
          </w14:textFill>
        </w:rPr>
      </w:pPr>
      <w:r>
        <w:rPr>
          <w:rFonts w:hint="eastAsia"/>
          <w:b/>
          <w:color w:val="000000" w:themeColor="text1"/>
          <w:sz w:val="30"/>
          <w:szCs w:val="30"/>
          <w14:textFill>
            <w14:solidFill>
              <w14:schemeClr w14:val="tx1"/>
            </w14:solidFill>
          </w14:textFill>
        </w:rPr>
        <w:t>采购合同编号：</w:t>
      </w:r>
      <w:r>
        <w:rPr>
          <w:rFonts w:hint="eastAsia"/>
          <w:b/>
          <w:color w:val="000000" w:themeColor="text1"/>
          <w:sz w:val="30"/>
          <w:szCs w:val="30"/>
          <w:u w:val="single"/>
          <w14:textFill>
            <w14:solidFill>
              <w14:schemeClr w14:val="tx1"/>
            </w14:solidFill>
          </w14:textFill>
        </w:rPr>
        <w:t xml:space="preserve">      2024-（服务）</w:t>
      </w:r>
      <w:r>
        <w:rPr>
          <w:rFonts w:hint="eastAsia"/>
          <w:b/>
          <w:color w:val="000000" w:themeColor="text1"/>
          <w:sz w:val="30"/>
          <w:szCs w:val="30"/>
          <w:u w:val="single"/>
          <w:lang w:val="en-US" w:eastAsia="zh-CN"/>
          <w14:textFill>
            <w14:solidFill>
              <w14:schemeClr w14:val="tx1"/>
            </w14:solidFill>
          </w14:textFill>
        </w:rPr>
        <w:t>28</w:t>
      </w:r>
      <w:r>
        <w:rPr>
          <w:rFonts w:hint="eastAsia"/>
          <w:b/>
          <w:color w:val="000000" w:themeColor="text1"/>
          <w:sz w:val="30"/>
          <w:szCs w:val="30"/>
          <w:u w:val="single"/>
          <w:lang w:eastAsia="zh-CN"/>
          <w14:textFill>
            <w14:solidFill>
              <w14:schemeClr w14:val="tx1"/>
            </w14:solidFill>
          </w14:textFill>
        </w:rPr>
        <w:t>（</w:t>
      </w:r>
      <w:r>
        <w:rPr>
          <w:rFonts w:hint="eastAsia"/>
          <w:b/>
          <w:color w:val="000000" w:themeColor="text1"/>
          <w:sz w:val="30"/>
          <w:szCs w:val="30"/>
          <w:u w:val="single"/>
          <w:lang w:val="en-US" w:eastAsia="zh-CN"/>
          <w14:textFill>
            <w14:solidFill>
              <w14:schemeClr w14:val="tx1"/>
            </w14:solidFill>
          </w14:textFill>
        </w:rPr>
        <w:t>包二</w:t>
      </w:r>
      <w:r>
        <w:rPr>
          <w:rFonts w:hint="eastAsia"/>
          <w:b/>
          <w:color w:val="000000" w:themeColor="text1"/>
          <w:sz w:val="30"/>
          <w:szCs w:val="30"/>
          <w:u w:val="single"/>
          <w:lang w:eastAsia="zh-CN"/>
          <w14:textFill>
            <w14:solidFill>
              <w14:schemeClr w14:val="tx1"/>
            </w14:solidFill>
          </w14:textFill>
        </w:rPr>
        <w:t>）</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14:paraId="55EEEA4D">
      <w:pPr>
        <w:spacing w:line="360" w:lineRule="auto"/>
        <w:ind w:firstLine="602"/>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合同金额（人民币）：</w:t>
      </w:r>
      <w:r>
        <w:rPr>
          <w:rFonts w:hint="eastAsia"/>
          <w:b/>
          <w:color w:val="000000" w:themeColor="text1"/>
          <w:sz w:val="30"/>
          <w:szCs w:val="30"/>
          <w:u w:val="single"/>
          <w14:textFill>
            <w14:solidFill>
              <w14:schemeClr w14:val="tx1"/>
            </w14:solidFill>
          </w14:textFill>
        </w:rPr>
        <w:t xml:space="preserve">                               </w:t>
      </w:r>
    </w:p>
    <w:p w14:paraId="4796E5B9">
      <w:pPr>
        <w:spacing w:line="360" w:lineRule="auto"/>
        <w:ind w:firstLine="602"/>
        <w:jc w:val="lef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采购单位（甲方）：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p>
    <w:p w14:paraId="376E87E1">
      <w:pPr>
        <w:spacing w:line="360" w:lineRule="auto"/>
        <w:ind w:firstLine="602"/>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中标供应商（乙方）：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p>
    <w:p w14:paraId="2230400E">
      <w:pPr>
        <w:spacing w:line="360" w:lineRule="auto"/>
        <w:ind w:firstLine="602"/>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采购日期：</w:t>
      </w:r>
      <w:r>
        <w:rPr>
          <w:rFonts w:hint="eastAsia"/>
          <w:b/>
          <w:color w:val="000000" w:themeColor="text1"/>
          <w:sz w:val="30"/>
          <w:szCs w:val="30"/>
          <w:u w:val="single"/>
          <w14:textFill>
            <w14:solidFill>
              <w14:schemeClr w14:val="tx1"/>
            </w14:solidFill>
          </w14:textFill>
        </w:rPr>
        <w:t xml:space="preserve">                                         </w:t>
      </w:r>
    </w:p>
    <w:p w14:paraId="4EF9C52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5E8ACDA4">
      <w:pPr>
        <w:pStyle w:val="57"/>
        <w:rPr>
          <w:rFonts w:hint="eastAsia" w:ascii="宋体" w:hAnsi="宋体" w:eastAsia="宋体" w:cs="宋体"/>
          <w:b w:val="0"/>
          <w:bCs w:val="0"/>
          <w:color w:val="auto"/>
          <w:kern w:val="0"/>
          <w:sz w:val="24"/>
          <w:szCs w:val="24"/>
          <w:lang w:val="en-US" w:eastAsia="zh-CN" w:bidi="ar-SA"/>
        </w:rPr>
      </w:pPr>
    </w:p>
    <w:p w14:paraId="1940BFC8">
      <w:pPr>
        <w:ind w:left="0" w:leftChars="0" w:firstLine="0" w:firstLineChars="0"/>
        <w:rPr>
          <w:rFonts w:hint="eastAsia" w:ascii="宋体" w:hAnsi="宋体"/>
          <w:b/>
          <w:bCs/>
        </w:rPr>
      </w:pPr>
    </w:p>
    <w:p w14:paraId="79B24C52">
      <w:pPr>
        <w:ind w:firstLine="482"/>
        <w:rPr>
          <w:rFonts w:hint="eastAsia" w:ascii="宋体" w:hAnsi="宋体"/>
          <w:b/>
          <w:bCs/>
        </w:rPr>
      </w:pPr>
    </w:p>
    <w:p w14:paraId="749A077A">
      <w:pPr>
        <w:ind w:firstLine="482"/>
        <w:rPr>
          <w:rFonts w:hint="eastAsia" w:ascii="宋体" w:hAnsi="宋体"/>
          <w:b/>
          <w:bCs/>
        </w:rPr>
      </w:pPr>
    </w:p>
    <w:p w14:paraId="6358911E">
      <w:pPr>
        <w:ind w:firstLine="482"/>
        <w:rPr>
          <w:rFonts w:hint="eastAsia" w:ascii="宋体" w:hAnsi="宋体"/>
          <w:b/>
          <w:bCs/>
        </w:rPr>
      </w:pPr>
    </w:p>
    <w:p w14:paraId="5C2AC73A">
      <w:pPr>
        <w:ind w:firstLine="482"/>
        <w:rPr>
          <w:rFonts w:hint="eastAsia" w:ascii="宋体" w:hAnsi="宋体"/>
          <w:b/>
          <w:bCs/>
        </w:rPr>
      </w:pPr>
    </w:p>
    <w:p w14:paraId="656B745C">
      <w:pPr>
        <w:ind w:firstLine="482"/>
        <w:rPr>
          <w:rFonts w:hint="eastAsia" w:ascii="宋体" w:hAnsi="宋体"/>
          <w:b/>
          <w:bCs/>
        </w:rPr>
      </w:pPr>
    </w:p>
    <w:p w14:paraId="49726630">
      <w:pPr>
        <w:ind w:firstLine="482"/>
        <w:rPr>
          <w:rFonts w:hint="eastAsia" w:ascii="宋体" w:hAnsi="宋体"/>
          <w:b/>
          <w:bCs/>
        </w:rPr>
      </w:pPr>
    </w:p>
    <w:p w14:paraId="1F8511BD">
      <w:pPr>
        <w:ind w:firstLine="482"/>
        <w:rPr>
          <w:rFonts w:hint="eastAsia" w:ascii="宋体" w:hAnsi="宋体"/>
          <w:b/>
          <w:bCs/>
        </w:rPr>
      </w:pPr>
    </w:p>
    <w:p w14:paraId="6A1094A3">
      <w:pPr>
        <w:ind w:firstLine="482"/>
        <w:rPr>
          <w:rFonts w:hint="eastAsia" w:ascii="宋体" w:hAnsi="宋体"/>
          <w:b/>
          <w:bCs/>
        </w:rPr>
      </w:pPr>
    </w:p>
    <w:p w14:paraId="192057C1">
      <w:pPr>
        <w:ind w:firstLine="482"/>
        <w:rPr>
          <w:rFonts w:hint="eastAsia" w:ascii="宋体" w:hAnsi="宋体"/>
          <w:b/>
          <w:bCs/>
        </w:rPr>
      </w:pPr>
    </w:p>
    <w:p w14:paraId="7C2237C5">
      <w:pPr>
        <w:ind w:firstLine="482"/>
        <w:rPr>
          <w:rFonts w:hint="eastAsia" w:ascii="宋体" w:hAnsi="宋体"/>
          <w:b/>
          <w:bCs/>
        </w:rPr>
      </w:pPr>
    </w:p>
    <w:p w14:paraId="6677E735">
      <w:pPr>
        <w:ind w:firstLine="482"/>
        <w:rPr>
          <w:rFonts w:hint="eastAsia" w:ascii="宋体" w:hAnsi="宋体"/>
          <w:b/>
          <w:bCs/>
        </w:rPr>
      </w:pPr>
    </w:p>
    <w:p w14:paraId="2FCF68D6">
      <w:pPr>
        <w:ind w:firstLine="482"/>
        <w:rPr>
          <w:rFonts w:hint="eastAsia" w:ascii="宋体" w:hAnsi="宋体"/>
          <w:b/>
          <w:bCs/>
        </w:rPr>
      </w:pPr>
    </w:p>
    <w:p w14:paraId="17B260A9">
      <w:pPr>
        <w:ind w:firstLine="482"/>
        <w:rPr>
          <w:rFonts w:hint="eastAsia" w:ascii="宋体" w:hAnsi="宋体"/>
          <w:b/>
          <w:bCs/>
        </w:rPr>
      </w:pPr>
    </w:p>
    <w:p w14:paraId="22855B39">
      <w:pPr>
        <w:ind w:firstLine="482"/>
        <w:rPr>
          <w:rFonts w:hint="eastAsia" w:ascii="宋体" w:hAnsi="宋体"/>
          <w:b/>
          <w:bCs/>
        </w:rPr>
      </w:pPr>
      <w:r>
        <w:rPr>
          <w:rFonts w:hint="eastAsia" w:ascii="宋体" w:hAnsi="宋体"/>
          <w:b/>
          <w:bCs/>
        </w:rPr>
        <w:t xml:space="preserve">采 购 人（以下简称甲方）： </w:t>
      </w:r>
    </w:p>
    <w:p w14:paraId="42C1BEE8">
      <w:pPr>
        <w:ind w:firstLine="482"/>
        <w:rPr>
          <w:rFonts w:hint="eastAsia" w:ascii="宋体" w:hAnsi="宋体"/>
          <w:bCs/>
        </w:rPr>
      </w:pPr>
      <w:r>
        <w:rPr>
          <w:rFonts w:hint="eastAsia" w:ascii="宋体" w:hAnsi="宋体"/>
          <w:b/>
          <w:bCs/>
        </w:rPr>
        <w:t>供 应 商（以下简称乙方）：</w:t>
      </w:r>
    </w:p>
    <w:p w14:paraId="76B2E150">
      <w:pPr>
        <w:pStyle w:val="10"/>
        <w:spacing w:after="0" w:line="360" w:lineRule="auto"/>
        <w:ind w:left="0" w:leftChars="0" w:firstLine="480"/>
        <w:rPr>
          <w:rFonts w:hint="eastAsia" w:ascii="宋体" w:hAnsi="宋体" w:cs="宋体"/>
          <w:color w:val="000000"/>
          <w:kern w:val="0"/>
          <w:lang w:val="zh-CN"/>
        </w:rPr>
      </w:pPr>
      <w:r>
        <w:rPr>
          <w:rFonts w:hint="eastAsia" w:ascii="宋体" w:hAnsi="宋体"/>
          <w:bCs/>
        </w:rPr>
        <w:t xml:space="preserve">   </w:t>
      </w: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w:t>
      </w:r>
      <w:r>
        <w:rPr>
          <w:rFonts w:hint="eastAsia" w:ascii="宋体" w:hAnsi="宋体"/>
          <w:bCs/>
        </w:rPr>
        <w:t>，</w:t>
      </w:r>
      <w:r>
        <w:rPr>
          <w:rFonts w:hint="eastAsia" w:ascii="宋体" w:hAnsi="宋体" w:cs="宋体"/>
          <w:color w:val="000000"/>
          <w:kern w:val="0"/>
          <w:lang w:val="zh-CN"/>
        </w:rPr>
        <w:t>并经双方协商一致，签订本合同协议书。</w:t>
      </w:r>
    </w:p>
    <w:p w14:paraId="09809855">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14:paraId="459E9C12">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14:paraId="4C6769DE">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1.磋商文件；</w:t>
      </w:r>
    </w:p>
    <w:p w14:paraId="5B2FD530">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2.磋商文件的</w:t>
      </w:r>
      <w:r>
        <w:rPr>
          <w:rFonts w:hint="eastAsia" w:ascii="宋体" w:hAnsi="宋体" w:cs="宋体"/>
          <w:kern w:val="0"/>
          <w:lang w:val="zh-CN"/>
        </w:rPr>
        <w:t>澄清</w:t>
      </w:r>
      <w:r>
        <w:rPr>
          <w:rFonts w:hint="eastAsia" w:ascii="宋体" w:hAnsi="Calibri" w:cs="宋体"/>
          <w:kern w:val="0"/>
          <w:lang w:val="zh-CN"/>
        </w:rPr>
        <w:t>、变更公告；</w:t>
      </w:r>
    </w:p>
    <w:p w14:paraId="358E3FB9">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3.成交供应商提交的磋商响应文件；</w:t>
      </w:r>
    </w:p>
    <w:p w14:paraId="5FFD05E7">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4.磋商文件中规定的政府采购合同通用条款；</w:t>
      </w:r>
    </w:p>
    <w:p w14:paraId="5261CD18">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5.成交通知书；</w:t>
      </w:r>
    </w:p>
    <w:p w14:paraId="7CC2286B">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14:paraId="1576711A">
      <w:pPr>
        <w:autoSpaceDE w:val="0"/>
        <w:autoSpaceDN w:val="0"/>
        <w:adjustRightInd w:val="0"/>
        <w:ind w:firstLine="480"/>
        <w:rPr>
          <w:rFonts w:hint="eastAsia" w:ascii="宋体" w:hAnsi="Calibri" w:cs="宋体"/>
          <w:kern w:val="0"/>
        </w:rPr>
      </w:pPr>
      <w:r>
        <w:rPr>
          <w:rFonts w:hint="eastAsia" w:ascii="宋体" w:hAnsi="Calibri" w:cs="宋体"/>
          <w:kern w:val="0"/>
          <w:lang w:val="zh-CN"/>
        </w:rPr>
        <w:t>7.州级预算单位政府采购计划备案表。</w:t>
      </w:r>
    </w:p>
    <w:p w14:paraId="1D8D741D">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20"/>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4973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21E5D273">
            <w:pPr>
              <w:ind w:firstLine="0" w:firstLineChars="0"/>
              <w:jc w:val="center"/>
              <w:rPr>
                <w:rFonts w:hint="eastAsia" w:ascii="宋体" w:hAnsi="宋体"/>
              </w:rPr>
            </w:pPr>
            <w:r>
              <w:rPr>
                <w:rFonts w:hint="eastAsia" w:ascii="宋体" w:hAnsi="宋体"/>
              </w:rPr>
              <w:t>序号</w:t>
            </w:r>
          </w:p>
        </w:tc>
        <w:tc>
          <w:tcPr>
            <w:tcW w:w="1704" w:type="dxa"/>
            <w:noWrap w:val="0"/>
            <w:vAlign w:val="center"/>
          </w:tcPr>
          <w:p w14:paraId="126790CF">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14:paraId="07AB8F28">
            <w:pPr>
              <w:ind w:firstLine="0" w:firstLineChars="0"/>
              <w:jc w:val="center"/>
              <w:rPr>
                <w:rFonts w:hint="eastAsia" w:ascii="宋体" w:hAnsi="宋体"/>
              </w:rPr>
            </w:pPr>
            <w:r>
              <w:rPr>
                <w:rFonts w:hint="eastAsia" w:ascii="宋体" w:hAnsi="宋体"/>
              </w:rPr>
              <w:t>品牌</w:t>
            </w:r>
          </w:p>
        </w:tc>
        <w:tc>
          <w:tcPr>
            <w:tcW w:w="838" w:type="dxa"/>
            <w:noWrap w:val="0"/>
            <w:vAlign w:val="center"/>
          </w:tcPr>
          <w:p w14:paraId="200D5D1F">
            <w:pPr>
              <w:ind w:firstLine="0" w:firstLineChars="0"/>
              <w:jc w:val="center"/>
              <w:rPr>
                <w:rFonts w:hint="eastAsia" w:ascii="宋体" w:hAnsi="宋体"/>
              </w:rPr>
            </w:pPr>
            <w:r>
              <w:rPr>
                <w:rFonts w:hint="eastAsia" w:ascii="宋体" w:hAnsi="宋体"/>
              </w:rPr>
              <w:t>规格或型号</w:t>
            </w:r>
          </w:p>
        </w:tc>
        <w:tc>
          <w:tcPr>
            <w:tcW w:w="1356" w:type="dxa"/>
            <w:noWrap w:val="0"/>
            <w:vAlign w:val="center"/>
          </w:tcPr>
          <w:p w14:paraId="2C39D2A6">
            <w:pPr>
              <w:ind w:firstLine="0" w:firstLineChars="0"/>
              <w:jc w:val="center"/>
              <w:rPr>
                <w:rFonts w:hint="eastAsia" w:ascii="宋体" w:hAnsi="宋体"/>
              </w:rPr>
            </w:pPr>
            <w:r>
              <w:rPr>
                <w:rFonts w:hint="eastAsia" w:ascii="宋体" w:hAnsi="宋体"/>
              </w:rPr>
              <w:t>生产厂家</w:t>
            </w:r>
          </w:p>
        </w:tc>
        <w:tc>
          <w:tcPr>
            <w:tcW w:w="953" w:type="dxa"/>
            <w:noWrap w:val="0"/>
            <w:vAlign w:val="center"/>
          </w:tcPr>
          <w:p w14:paraId="68249500">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14:paraId="16FB453D">
            <w:pPr>
              <w:ind w:firstLine="0" w:firstLineChars="0"/>
              <w:jc w:val="center"/>
              <w:rPr>
                <w:rFonts w:hint="eastAsia" w:ascii="宋体" w:hAnsi="宋体"/>
              </w:rPr>
            </w:pPr>
            <w:r>
              <w:rPr>
                <w:rFonts w:hint="eastAsia" w:ascii="宋体" w:hAnsi="宋体"/>
              </w:rPr>
              <w:t>单价</w:t>
            </w:r>
          </w:p>
        </w:tc>
        <w:tc>
          <w:tcPr>
            <w:tcW w:w="851" w:type="dxa"/>
            <w:noWrap w:val="0"/>
            <w:vAlign w:val="center"/>
          </w:tcPr>
          <w:p w14:paraId="43D47360">
            <w:pPr>
              <w:ind w:firstLine="0" w:firstLineChars="0"/>
              <w:jc w:val="center"/>
              <w:rPr>
                <w:rFonts w:hint="eastAsia" w:ascii="宋体" w:hAnsi="宋体"/>
              </w:rPr>
            </w:pPr>
            <w:r>
              <w:rPr>
                <w:rFonts w:hint="eastAsia" w:ascii="宋体" w:hAnsi="宋体"/>
              </w:rPr>
              <w:t>总价</w:t>
            </w:r>
          </w:p>
        </w:tc>
        <w:tc>
          <w:tcPr>
            <w:tcW w:w="850" w:type="dxa"/>
            <w:noWrap w:val="0"/>
            <w:vAlign w:val="center"/>
          </w:tcPr>
          <w:p w14:paraId="31612161">
            <w:pPr>
              <w:ind w:firstLine="0" w:firstLineChars="0"/>
              <w:jc w:val="center"/>
              <w:rPr>
                <w:rFonts w:hint="eastAsia" w:ascii="宋体" w:hAnsi="宋体"/>
              </w:rPr>
            </w:pPr>
            <w:r>
              <w:rPr>
                <w:rFonts w:hint="eastAsia" w:ascii="宋体" w:hAnsi="宋体"/>
              </w:rPr>
              <w:t>备注</w:t>
            </w:r>
          </w:p>
        </w:tc>
      </w:tr>
      <w:tr w14:paraId="2162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10217DD">
            <w:pPr>
              <w:ind w:firstLine="174" w:firstLineChars="83"/>
              <w:jc w:val="center"/>
              <w:rPr>
                <w:rFonts w:hint="eastAsia" w:ascii="宋体" w:hAnsi="宋体"/>
              </w:rPr>
            </w:pPr>
            <w:r>
              <w:rPr>
                <w:rFonts w:hint="eastAsia" w:ascii="宋体" w:hAnsi="宋体"/>
              </w:rPr>
              <w:t>1</w:t>
            </w:r>
          </w:p>
        </w:tc>
        <w:tc>
          <w:tcPr>
            <w:tcW w:w="1704" w:type="dxa"/>
            <w:noWrap w:val="0"/>
            <w:vAlign w:val="center"/>
          </w:tcPr>
          <w:p w14:paraId="4DC2D560">
            <w:pPr>
              <w:ind w:firstLine="480"/>
              <w:jc w:val="center"/>
              <w:rPr>
                <w:rFonts w:hint="eastAsia" w:ascii="宋体" w:hAnsi="宋体"/>
              </w:rPr>
            </w:pPr>
          </w:p>
        </w:tc>
        <w:tc>
          <w:tcPr>
            <w:tcW w:w="1081" w:type="dxa"/>
            <w:noWrap w:val="0"/>
            <w:vAlign w:val="center"/>
          </w:tcPr>
          <w:p w14:paraId="62317564">
            <w:pPr>
              <w:ind w:firstLine="480"/>
              <w:jc w:val="center"/>
              <w:rPr>
                <w:rFonts w:hint="eastAsia" w:ascii="宋体" w:hAnsi="宋体"/>
              </w:rPr>
            </w:pPr>
          </w:p>
        </w:tc>
        <w:tc>
          <w:tcPr>
            <w:tcW w:w="838" w:type="dxa"/>
            <w:noWrap w:val="0"/>
            <w:vAlign w:val="center"/>
          </w:tcPr>
          <w:p w14:paraId="3CAFCBF6">
            <w:pPr>
              <w:ind w:firstLine="480"/>
              <w:jc w:val="center"/>
              <w:rPr>
                <w:rFonts w:hint="eastAsia" w:ascii="宋体" w:hAnsi="宋体"/>
              </w:rPr>
            </w:pPr>
          </w:p>
        </w:tc>
        <w:tc>
          <w:tcPr>
            <w:tcW w:w="1356" w:type="dxa"/>
            <w:noWrap w:val="0"/>
            <w:vAlign w:val="center"/>
          </w:tcPr>
          <w:p w14:paraId="0F11E924">
            <w:pPr>
              <w:ind w:firstLine="480"/>
              <w:jc w:val="center"/>
              <w:rPr>
                <w:rFonts w:hint="eastAsia" w:ascii="宋体" w:hAnsi="宋体"/>
              </w:rPr>
            </w:pPr>
          </w:p>
        </w:tc>
        <w:tc>
          <w:tcPr>
            <w:tcW w:w="953" w:type="dxa"/>
            <w:noWrap w:val="0"/>
            <w:vAlign w:val="center"/>
          </w:tcPr>
          <w:p w14:paraId="0EB9A777">
            <w:pPr>
              <w:ind w:firstLine="480"/>
              <w:jc w:val="center"/>
              <w:rPr>
                <w:rFonts w:hint="eastAsia" w:ascii="宋体" w:hAnsi="宋体"/>
              </w:rPr>
            </w:pPr>
          </w:p>
        </w:tc>
        <w:tc>
          <w:tcPr>
            <w:tcW w:w="710" w:type="dxa"/>
            <w:noWrap w:val="0"/>
            <w:vAlign w:val="center"/>
          </w:tcPr>
          <w:p w14:paraId="2335B872">
            <w:pPr>
              <w:ind w:firstLine="480"/>
              <w:jc w:val="center"/>
              <w:rPr>
                <w:rFonts w:hint="eastAsia" w:ascii="宋体" w:hAnsi="宋体"/>
              </w:rPr>
            </w:pPr>
          </w:p>
        </w:tc>
        <w:tc>
          <w:tcPr>
            <w:tcW w:w="851" w:type="dxa"/>
            <w:noWrap w:val="0"/>
            <w:vAlign w:val="center"/>
          </w:tcPr>
          <w:p w14:paraId="564FF527">
            <w:pPr>
              <w:ind w:firstLine="480"/>
              <w:jc w:val="center"/>
              <w:rPr>
                <w:rFonts w:hint="eastAsia" w:ascii="宋体" w:hAnsi="宋体"/>
              </w:rPr>
            </w:pPr>
          </w:p>
        </w:tc>
        <w:tc>
          <w:tcPr>
            <w:tcW w:w="850" w:type="dxa"/>
            <w:noWrap w:val="0"/>
            <w:vAlign w:val="center"/>
          </w:tcPr>
          <w:p w14:paraId="45254339">
            <w:pPr>
              <w:ind w:firstLine="480"/>
              <w:jc w:val="center"/>
              <w:rPr>
                <w:rFonts w:hint="eastAsia" w:ascii="宋体" w:hAnsi="宋体"/>
              </w:rPr>
            </w:pPr>
          </w:p>
        </w:tc>
      </w:tr>
      <w:tr w14:paraId="17C6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5EA44FA">
            <w:pPr>
              <w:ind w:firstLine="174" w:firstLineChars="83"/>
              <w:jc w:val="center"/>
              <w:rPr>
                <w:rFonts w:hint="eastAsia" w:ascii="宋体" w:hAnsi="宋体"/>
              </w:rPr>
            </w:pPr>
            <w:r>
              <w:rPr>
                <w:rFonts w:hint="eastAsia" w:ascii="宋体" w:hAnsi="宋体"/>
              </w:rPr>
              <w:t>2</w:t>
            </w:r>
          </w:p>
        </w:tc>
        <w:tc>
          <w:tcPr>
            <w:tcW w:w="1704" w:type="dxa"/>
            <w:noWrap w:val="0"/>
            <w:vAlign w:val="center"/>
          </w:tcPr>
          <w:p w14:paraId="770A9E4E">
            <w:pPr>
              <w:ind w:firstLine="480"/>
              <w:jc w:val="center"/>
              <w:rPr>
                <w:rFonts w:hint="eastAsia" w:ascii="宋体" w:hAnsi="宋体"/>
              </w:rPr>
            </w:pPr>
          </w:p>
        </w:tc>
        <w:tc>
          <w:tcPr>
            <w:tcW w:w="1081" w:type="dxa"/>
            <w:noWrap w:val="0"/>
            <w:vAlign w:val="center"/>
          </w:tcPr>
          <w:p w14:paraId="7D7E67F3">
            <w:pPr>
              <w:ind w:firstLine="480"/>
              <w:jc w:val="center"/>
              <w:rPr>
                <w:rFonts w:hint="eastAsia" w:ascii="宋体" w:hAnsi="宋体"/>
              </w:rPr>
            </w:pPr>
          </w:p>
        </w:tc>
        <w:tc>
          <w:tcPr>
            <w:tcW w:w="838" w:type="dxa"/>
            <w:noWrap w:val="0"/>
            <w:vAlign w:val="center"/>
          </w:tcPr>
          <w:p w14:paraId="234E6746">
            <w:pPr>
              <w:ind w:firstLine="480"/>
              <w:jc w:val="center"/>
              <w:rPr>
                <w:rFonts w:hint="eastAsia" w:ascii="宋体" w:hAnsi="宋体"/>
              </w:rPr>
            </w:pPr>
          </w:p>
        </w:tc>
        <w:tc>
          <w:tcPr>
            <w:tcW w:w="1356" w:type="dxa"/>
            <w:noWrap w:val="0"/>
            <w:vAlign w:val="center"/>
          </w:tcPr>
          <w:p w14:paraId="1F175E00">
            <w:pPr>
              <w:ind w:firstLine="480"/>
              <w:jc w:val="center"/>
              <w:rPr>
                <w:rFonts w:hint="eastAsia" w:ascii="宋体" w:hAnsi="宋体"/>
              </w:rPr>
            </w:pPr>
          </w:p>
        </w:tc>
        <w:tc>
          <w:tcPr>
            <w:tcW w:w="953" w:type="dxa"/>
            <w:noWrap w:val="0"/>
            <w:vAlign w:val="center"/>
          </w:tcPr>
          <w:p w14:paraId="4AC8E565">
            <w:pPr>
              <w:ind w:firstLine="480"/>
              <w:jc w:val="center"/>
              <w:rPr>
                <w:rFonts w:hint="eastAsia" w:ascii="宋体" w:hAnsi="宋体"/>
              </w:rPr>
            </w:pPr>
          </w:p>
        </w:tc>
        <w:tc>
          <w:tcPr>
            <w:tcW w:w="710" w:type="dxa"/>
            <w:noWrap w:val="0"/>
            <w:vAlign w:val="center"/>
          </w:tcPr>
          <w:p w14:paraId="52CA4B39">
            <w:pPr>
              <w:ind w:firstLine="480"/>
              <w:jc w:val="center"/>
              <w:rPr>
                <w:rFonts w:hint="eastAsia" w:ascii="宋体" w:hAnsi="宋体"/>
              </w:rPr>
            </w:pPr>
          </w:p>
        </w:tc>
        <w:tc>
          <w:tcPr>
            <w:tcW w:w="851" w:type="dxa"/>
            <w:noWrap w:val="0"/>
            <w:vAlign w:val="center"/>
          </w:tcPr>
          <w:p w14:paraId="6782B391">
            <w:pPr>
              <w:ind w:firstLine="480"/>
              <w:jc w:val="center"/>
              <w:rPr>
                <w:rFonts w:hint="eastAsia" w:ascii="宋体" w:hAnsi="宋体"/>
              </w:rPr>
            </w:pPr>
          </w:p>
        </w:tc>
        <w:tc>
          <w:tcPr>
            <w:tcW w:w="850" w:type="dxa"/>
            <w:noWrap w:val="0"/>
            <w:vAlign w:val="center"/>
          </w:tcPr>
          <w:p w14:paraId="7A40E98F">
            <w:pPr>
              <w:ind w:firstLine="480"/>
              <w:jc w:val="center"/>
              <w:rPr>
                <w:rFonts w:hint="eastAsia" w:ascii="宋体" w:hAnsi="宋体"/>
              </w:rPr>
            </w:pPr>
          </w:p>
        </w:tc>
      </w:tr>
      <w:tr w14:paraId="554F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27EB3D8A">
            <w:pPr>
              <w:ind w:firstLine="174" w:firstLineChars="83"/>
              <w:jc w:val="center"/>
              <w:rPr>
                <w:rFonts w:hint="eastAsia" w:ascii="宋体" w:hAnsi="宋体"/>
              </w:rPr>
            </w:pPr>
            <w:r>
              <w:rPr>
                <w:rFonts w:hint="eastAsia" w:ascii="宋体" w:hAnsi="宋体"/>
              </w:rPr>
              <w:t>3</w:t>
            </w:r>
          </w:p>
        </w:tc>
        <w:tc>
          <w:tcPr>
            <w:tcW w:w="1704" w:type="dxa"/>
            <w:noWrap w:val="0"/>
            <w:vAlign w:val="center"/>
          </w:tcPr>
          <w:p w14:paraId="1F477F3E">
            <w:pPr>
              <w:ind w:firstLine="480"/>
              <w:jc w:val="center"/>
              <w:rPr>
                <w:rFonts w:hint="eastAsia" w:ascii="宋体" w:hAnsi="宋体"/>
              </w:rPr>
            </w:pPr>
          </w:p>
        </w:tc>
        <w:tc>
          <w:tcPr>
            <w:tcW w:w="1081" w:type="dxa"/>
            <w:noWrap w:val="0"/>
            <w:vAlign w:val="center"/>
          </w:tcPr>
          <w:p w14:paraId="358D530D">
            <w:pPr>
              <w:ind w:firstLine="480"/>
              <w:jc w:val="center"/>
              <w:rPr>
                <w:rFonts w:hint="eastAsia" w:ascii="宋体" w:hAnsi="宋体"/>
              </w:rPr>
            </w:pPr>
          </w:p>
        </w:tc>
        <w:tc>
          <w:tcPr>
            <w:tcW w:w="838" w:type="dxa"/>
            <w:noWrap w:val="0"/>
            <w:vAlign w:val="center"/>
          </w:tcPr>
          <w:p w14:paraId="38A80DBE">
            <w:pPr>
              <w:ind w:firstLine="480"/>
              <w:jc w:val="center"/>
              <w:rPr>
                <w:rFonts w:hint="eastAsia" w:ascii="宋体" w:hAnsi="宋体"/>
              </w:rPr>
            </w:pPr>
          </w:p>
        </w:tc>
        <w:tc>
          <w:tcPr>
            <w:tcW w:w="1356" w:type="dxa"/>
            <w:noWrap w:val="0"/>
            <w:vAlign w:val="center"/>
          </w:tcPr>
          <w:p w14:paraId="3016E779">
            <w:pPr>
              <w:ind w:firstLine="480"/>
              <w:jc w:val="center"/>
              <w:rPr>
                <w:rFonts w:hint="eastAsia" w:ascii="宋体" w:hAnsi="宋体"/>
              </w:rPr>
            </w:pPr>
          </w:p>
        </w:tc>
        <w:tc>
          <w:tcPr>
            <w:tcW w:w="953" w:type="dxa"/>
            <w:noWrap w:val="0"/>
            <w:vAlign w:val="center"/>
          </w:tcPr>
          <w:p w14:paraId="47D8634B">
            <w:pPr>
              <w:ind w:firstLine="480"/>
              <w:jc w:val="center"/>
              <w:rPr>
                <w:rFonts w:hint="eastAsia" w:ascii="宋体" w:hAnsi="宋体"/>
              </w:rPr>
            </w:pPr>
          </w:p>
        </w:tc>
        <w:tc>
          <w:tcPr>
            <w:tcW w:w="710" w:type="dxa"/>
            <w:noWrap w:val="0"/>
            <w:vAlign w:val="center"/>
          </w:tcPr>
          <w:p w14:paraId="05342E28">
            <w:pPr>
              <w:ind w:firstLine="480"/>
              <w:jc w:val="center"/>
              <w:rPr>
                <w:rFonts w:hint="eastAsia" w:ascii="宋体" w:hAnsi="宋体"/>
              </w:rPr>
            </w:pPr>
          </w:p>
        </w:tc>
        <w:tc>
          <w:tcPr>
            <w:tcW w:w="851" w:type="dxa"/>
            <w:noWrap w:val="0"/>
            <w:vAlign w:val="center"/>
          </w:tcPr>
          <w:p w14:paraId="26B8FB00">
            <w:pPr>
              <w:ind w:firstLine="480"/>
              <w:jc w:val="center"/>
              <w:rPr>
                <w:rFonts w:hint="eastAsia" w:ascii="宋体" w:hAnsi="宋体"/>
              </w:rPr>
            </w:pPr>
          </w:p>
        </w:tc>
        <w:tc>
          <w:tcPr>
            <w:tcW w:w="850" w:type="dxa"/>
            <w:noWrap w:val="0"/>
            <w:vAlign w:val="center"/>
          </w:tcPr>
          <w:p w14:paraId="34518726">
            <w:pPr>
              <w:ind w:firstLine="480"/>
              <w:jc w:val="center"/>
              <w:rPr>
                <w:rFonts w:hint="eastAsia" w:ascii="宋体" w:hAnsi="宋体"/>
              </w:rPr>
            </w:pPr>
          </w:p>
        </w:tc>
      </w:tr>
      <w:tr w14:paraId="0289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EFF4480">
            <w:pPr>
              <w:ind w:firstLine="174" w:firstLineChars="83"/>
              <w:jc w:val="center"/>
              <w:rPr>
                <w:rFonts w:hint="eastAsia" w:ascii="宋体" w:hAnsi="宋体"/>
              </w:rPr>
            </w:pPr>
            <w:r>
              <w:rPr>
                <w:rFonts w:hint="eastAsia" w:ascii="宋体" w:hAnsi="宋体"/>
              </w:rPr>
              <w:t>4</w:t>
            </w:r>
          </w:p>
        </w:tc>
        <w:tc>
          <w:tcPr>
            <w:tcW w:w="1704" w:type="dxa"/>
            <w:noWrap w:val="0"/>
            <w:vAlign w:val="center"/>
          </w:tcPr>
          <w:p w14:paraId="71956ABF">
            <w:pPr>
              <w:ind w:firstLine="480"/>
              <w:jc w:val="center"/>
              <w:rPr>
                <w:rFonts w:hint="eastAsia" w:ascii="宋体" w:hAnsi="宋体"/>
              </w:rPr>
            </w:pPr>
          </w:p>
        </w:tc>
        <w:tc>
          <w:tcPr>
            <w:tcW w:w="1081" w:type="dxa"/>
            <w:noWrap w:val="0"/>
            <w:vAlign w:val="center"/>
          </w:tcPr>
          <w:p w14:paraId="2603B5EA">
            <w:pPr>
              <w:ind w:firstLine="480"/>
              <w:jc w:val="center"/>
              <w:rPr>
                <w:rFonts w:hint="eastAsia" w:ascii="宋体" w:hAnsi="宋体"/>
              </w:rPr>
            </w:pPr>
          </w:p>
        </w:tc>
        <w:tc>
          <w:tcPr>
            <w:tcW w:w="838" w:type="dxa"/>
            <w:noWrap w:val="0"/>
            <w:vAlign w:val="center"/>
          </w:tcPr>
          <w:p w14:paraId="3CE57137">
            <w:pPr>
              <w:ind w:firstLine="480"/>
              <w:jc w:val="center"/>
              <w:rPr>
                <w:rFonts w:hint="eastAsia" w:ascii="宋体" w:hAnsi="宋体"/>
              </w:rPr>
            </w:pPr>
          </w:p>
        </w:tc>
        <w:tc>
          <w:tcPr>
            <w:tcW w:w="1356" w:type="dxa"/>
            <w:noWrap w:val="0"/>
            <w:vAlign w:val="center"/>
          </w:tcPr>
          <w:p w14:paraId="07D1C07E">
            <w:pPr>
              <w:ind w:firstLine="480"/>
              <w:jc w:val="center"/>
              <w:rPr>
                <w:rFonts w:hint="eastAsia" w:ascii="宋体" w:hAnsi="宋体"/>
              </w:rPr>
            </w:pPr>
          </w:p>
        </w:tc>
        <w:tc>
          <w:tcPr>
            <w:tcW w:w="953" w:type="dxa"/>
            <w:noWrap w:val="0"/>
            <w:vAlign w:val="center"/>
          </w:tcPr>
          <w:p w14:paraId="5CFA15D8">
            <w:pPr>
              <w:ind w:firstLine="480"/>
              <w:jc w:val="center"/>
              <w:rPr>
                <w:rFonts w:hint="eastAsia" w:ascii="宋体" w:hAnsi="宋体"/>
              </w:rPr>
            </w:pPr>
          </w:p>
        </w:tc>
        <w:tc>
          <w:tcPr>
            <w:tcW w:w="710" w:type="dxa"/>
            <w:noWrap w:val="0"/>
            <w:vAlign w:val="center"/>
          </w:tcPr>
          <w:p w14:paraId="0AEB3A6C">
            <w:pPr>
              <w:ind w:firstLine="480"/>
              <w:jc w:val="center"/>
              <w:rPr>
                <w:rFonts w:hint="eastAsia" w:ascii="宋体" w:hAnsi="宋体"/>
              </w:rPr>
            </w:pPr>
          </w:p>
        </w:tc>
        <w:tc>
          <w:tcPr>
            <w:tcW w:w="851" w:type="dxa"/>
            <w:noWrap w:val="0"/>
            <w:vAlign w:val="center"/>
          </w:tcPr>
          <w:p w14:paraId="3B9F2569">
            <w:pPr>
              <w:ind w:firstLine="480"/>
              <w:jc w:val="center"/>
              <w:rPr>
                <w:rFonts w:hint="eastAsia" w:ascii="宋体" w:hAnsi="宋体"/>
              </w:rPr>
            </w:pPr>
          </w:p>
        </w:tc>
        <w:tc>
          <w:tcPr>
            <w:tcW w:w="850" w:type="dxa"/>
            <w:noWrap w:val="0"/>
            <w:vAlign w:val="center"/>
          </w:tcPr>
          <w:p w14:paraId="68736B4E">
            <w:pPr>
              <w:ind w:firstLine="480"/>
              <w:jc w:val="center"/>
              <w:rPr>
                <w:rFonts w:hint="eastAsia" w:ascii="宋体" w:hAnsi="宋体"/>
              </w:rPr>
            </w:pPr>
          </w:p>
        </w:tc>
      </w:tr>
      <w:tr w14:paraId="51E5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65FED52">
            <w:pPr>
              <w:ind w:firstLine="174" w:firstLineChars="83"/>
              <w:jc w:val="center"/>
              <w:rPr>
                <w:rFonts w:hint="eastAsia" w:ascii="宋体" w:hAnsi="宋体"/>
              </w:rPr>
            </w:pPr>
            <w:r>
              <w:rPr>
                <w:rFonts w:ascii="宋体" w:hAnsi="宋体"/>
              </w:rPr>
              <w:t>…</w:t>
            </w:r>
          </w:p>
        </w:tc>
        <w:tc>
          <w:tcPr>
            <w:tcW w:w="1704" w:type="dxa"/>
            <w:noWrap w:val="0"/>
            <w:vAlign w:val="center"/>
          </w:tcPr>
          <w:p w14:paraId="2CF024D6">
            <w:pPr>
              <w:ind w:firstLine="480"/>
              <w:jc w:val="center"/>
              <w:rPr>
                <w:rFonts w:hint="eastAsia" w:ascii="宋体" w:hAnsi="宋体"/>
              </w:rPr>
            </w:pPr>
          </w:p>
        </w:tc>
        <w:tc>
          <w:tcPr>
            <w:tcW w:w="1081" w:type="dxa"/>
            <w:noWrap w:val="0"/>
            <w:vAlign w:val="center"/>
          </w:tcPr>
          <w:p w14:paraId="224DD939">
            <w:pPr>
              <w:ind w:firstLine="480"/>
              <w:jc w:val="center"/>
              <w:rPr>
                <w:rFonts w:hint="eastAsia" w:ascii="宋体" w:hAnsi="宋体"/>
              </w:rPr>
            </w:pPr>
          </w:p>
        </w:tc>
        <w:tc>
          <w:tcPr>
            <w:tcW w:w="838" w:type="dxa"/>
            <w:noWrap w:val="0"/>
            <w:vAlign w:val="center"/>
          </w:tcPr>
          <w:p w14:paraId="5E795CB1">
            <w:pPr>
              <w:ind w:firstLine="480"/>
              <w:jc w:val="center"/>
              <w:rPr>
                <w:rFonts w:hint="eastAsia" w:ascii="宋体" w:hAnsi="宋体"/>
              </w:rPr>
            </w:pPr>
          </w:p>
        </w:tc>
        <w:tc>
          <w:tcPr>
            <w:tcW w:w="1356" w:type="dxa"/>
            <w:noWrap w:val="0"/>
            <w:vAlign w:val="center"/>
          </w:tcPr>
          <w:p w14:paraId="263B0988">
            <w:pPr>
              <w:ind w:firstLine="480"/>
              <w:jc w:val="center"/>
              <w:rPr>
                <w:rFonts w:hint="eastAsia" w:ascii="宋体" w:hAnsi="宋体"/>
              </w:rPr>
            </w:pPr>
          </w:p>
        </w:tc>
        <w:tc>
          <w:tcPr>
            <w:tcW w:w="953" w:type="dxa"/>
            <w:noWrap w:val="0"/>
            <w:vAlign w:val="center"/>
          </w:tcPr>
          <w:p w14:paraId="76932B38">
            <w:pPr>
              <w:ind w:firstLine="480"/>
              <w:jc w:val="center"/>
              <w:rPr>
                <w:rFonts w:hint="eastAsia" w:ascii="宋体" w:hAnsi="宋体"/>
              </w:rPr>
            </w:pPr>
          </w:p>
        </w:tc>
        <w:tc>
          <w:tcPr>
            <w:tcW w:w="710" w:type="dxa"/>
            <w:noWrap w:val="0"/>
            <w:vAlign w:val="center"/>
          </w:tcPr>
          <w:p w14:paraId="3E31AC5F">
            <w:pPr>
              <w:ind w:firstLine="480"/>
              <w:jc w:val="center"/>
              <w:rPr>
                <w:rFonts w:hint="eastAsia" w:ascii="宋体" w:hAnsi="宋体"/>
              </w:rPr>
            </w:pPr>
          </w:p>
        </w:tc>
        <w:tc>
          <w:tcPr>
            <w:tcW w:w="851" w:type="dxa"/>
            <w:noWrap w:val="0"/>
            <w:vAlign w:val="center"/>
          </w:tcPr>
          <w:p w14:paraId="671F2AEB">
            <w:pPr>
              <w:ind w:firstLine="480"/>
              <w:jc w:val="center"/>
              <w:rPr>
                <w:rFonts w:hint="eastAsia" w:ascii="宋体" w:hAnsi="宋体"/>
              </w:rPr>
            </w:pPr>
          </w:p>
        </w:tc>
        <w:tc>
          <w:tcPr>
            <w:tcW w:w="850" w:type="dxa"/>
            <w:noWrap w:val="0"/>
            <w:vAlign w:val="center"/>
          </w:tcPr>
          <w:p w14:paraId="5D0DF2AB">
            <w:pPr>
              <w:ind w:firstLine="480"/>
              <w:jc w:val="center"/>
              <w:rPr>
                <w:rFonts w:hint="eastAsia" w:ascii="宋体" w:hAnsi="宋体"/>
              </w:rPr>
            </w:pPr>
          </w:p>
        </w:tc>
      </w:tr>
    </w:tbl>
    <w:p w14:paraId="3107C27B">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14:paraId="4F184292">
      <w:pPr>
        <w:autoSpaceDE w:val="0"/>
        <w:autoSpaceDN w:val="0"/>
        <w:adjustRightInd w:val="0"/>
        <w:ind w:firstLine="480"/>
        <w:rPr>
          <w:rFonts w:hint="eastAsia" w:ascii="宋体" w:hAnsi="Calibri" w:eastAsia="宋体" w:cs="宋体"/>
          <w:kern w:val="0"/>
          <w:lang w:val="en-US" w:eastAsia="zh-CN"/>
        </w:rPr>
      </w:pPr>
      <w:r>
        <w:rPr>
          <w:rFonts w:hint="eastAsia" w:ascii="宋体" w:hAnsi="Calibri" w:cs="宋体"/>
          <w:kern w:val="0"/>
          <w:lang w:val="zh-CN"/>
        </w:rPr>
        <w:t>本合同以人民币进行结算，合同总价包括：</w:t>
      </w:r>
      <w:r>
        <w:rPr>
          <w:rFonts w:hint="eastAsia" w:ascii="宋体" w:hAnsi="Calibri" w:eastAsia="宋体" w:cs="宋体"/>
          <w:kern w:val="0"/>
          <w:lang w:val="en-US" w:eastAsia="zh-CN"/>
        </w:rPr>
        <w:t>产品费、设备费、</w:t>
      </w:r>
      <w:r>
        <w:rPr>
          <w:rFonts w:hint="eastAsia" w:ascii="宋体" w:hAnsi="Calibri" w:eastAsia="宋体" w:cs="宋体"/>
          <w:kern w:val="0"/>
          <w:lang w:val="zh-CN" w:eastAsia="zh-CN"/>
        </w:rPr>
        <w:t>服务费、交通费、检验费、手续费、包装费、运输费、保险费、</w:t>
      </w:r>
      <w:r>
        <w:rPr>
          <w:rFonts w:hint="eastAsia" w:ascii="宋体" w:hAnsi="Calibri" w:eastAsia="宋体" w:cs="宋体"/>
          <w:kern w:val="0"/>
          <w:lang w:val="en-US" w:eastAsia="zh-CN"/>
        </w:rPr>
        <w:t>定制装修</w:t>
      </w:r>
      <w:r>
        <w:rPr>
          <w:rFonts w:hint="eastAsia" w:ascii="宋体" w:hAnsi="Calibri" w:eastAsia="宋体" w:cs="宋体"/>
          <w:kern w:val="0"/>
          <w:lang w:val="zh-CN" w:eastAsia="zh-CN"/>
        </w:rPr>
        <w:t>费、安装调试费、税金</w:t>
      </w:r>
      <w:r>
        <w:rPr>
          <w:rFonts w:hint="eastAsia" w:ascii="宋体" w:hAnsi="Calibri" w:eastAsia="宋体" w:cs="宋体"/>
          <w:kern w:val="0"/>
          <w:lang w:val="en-US" w:eastAsia="zh-CN"/>
        </w:rPr>
        <w:t>及不可预见费等全部费用。</w:t>
      </w:r>
    </w:p>
    <w:p w14:paraId="005A166F">
      <w:pPr>
        <w:autoSpaceDE w:val="0"/>
        <w:autoSpaceDN w:val="0"/>
        <w:adjustRightInd w:val="0"/>
        <w:ind w:firstLine="480"/>
        <w:rPr>
          <w:rFonts w:hint="eastAsia" w:ascii="宋体" w:hAnsi="Calibri" w:eastAsia="宋体" w:cs="宋体"/>
          <w:kern w:val="0"/>
          <w:lang w:val="zh-CN"/>
        </w:rPr>
      </w:pPr>
      <w:r>
        <w:rPr>
          <w:rFonts w:hint="eastAsia" w:ascii="宋体" w:hAnsi="Calibri" w:eastAsia="宋体" w:cs="宋体"/>
          <w:kern w:val="0"/>
          <w:lang w:val="zh-CN"/>
        </w:rPr>
        <w:t>三、交付时间、地点和要求</w:t>
      </w:r>
    </w:p>
    <w:p w14:paraId="5BB2EFC7">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个工作日；交货地点：</w:t>
      </w:r>
      <w:r>
        <w:rPr>
          <w:rFonts w:hint="eastAsia" w:ascii="宋体" w:hAnsi="Calibri" w:cs="宋体"/>
          <w:kern w:val="0"/>
          <w:u w:val="single"/>
          <w:lang w:val="zh-CN"/>
        </w:rPr>
        <w:t xml:space="preserve">                 </w:t>
      </w:r>
      <w:r>
        <w:rPr>
          <w:rFonts w:hint="eastAsia" w:ascii="宋体" w:hAnsi="Calibri" w:cs="宋体"/>
          <w:kern w:val="0"/>
          <w:lang w:val="zh-CN"/>
        </w:rPr>
        <w:t>。</w:t>
      </w:r>
    </w:p>
    <w:p w14:paraId="46FE1D2B">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14:paraId="4CD0E4CA">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14:paraId="637FEBB9">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个工作日内进行验收，逾期不验收的，乙方可视为验收合格。验收合格后，由甲乙双方签署产品验收单并加盖采购人公章，甲乙双方各执一份。</w:t>
      </w:r>
    </w:p>
    <w:p w14:paraId="2F200EC5">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14:paraId="31427AC2">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14:paraId="320128A4">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14:paraId="4D8D2D12">
      <w:pPr>
        <w:ind w:firstLine="480"/>
        <w:rPr>
          <w:rFonts w:hint="eastAsia" w:ascii="宋体" w:hAnsi="宋体"/>
        </w:rPr>
      </w:pPr>
      <w:r>
        <w:rPr>
          <w:rFonts w:hint="eastAsia" w:ascii="宋体" w:hAnsi="宋体"/>
        </w:rPr>
        <w:t>四、付款方式</w:t>
      </w:r>
    </w:p>
    <w:p w14:paraId="27D8E166">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lang w:val="zh-CN"/>
        </w:rPr>
        <w:t xml:space="preserve">（具体付款方式、付款比例等事项在签订合同时由甲、乙双方自行约定） </w:t>
      </w:r>
      <w:r>
        <w:rPr>
          <w:rFonts w:hint="eastAsia" w:ascii="宋体" w:hAnsi="Calibri" w:eastAsia="宋体" w:cs="宋体"/>
          <w:kern w:val="0"/>
          <w:sz w:val="21"/>
          <w:szCs w:val="21"/>
          <w:lang w:val="zh-CN"/>
        </w:rPr>
        <w:t xml:space="preserve"> </w:t>
      </w:r>
    </w:p>
    <w:p w14:paraId="06831E67">
      <w:pPr>
        <w:autoSpaceDE w:val="0"/>
        <w:autoSpaceDN w:val="0"/>
        <w:adjustRightInd w:val="0"/>
        <w:ind w:firstLine="480"/>
        <w:rPr>
          <w:rFonts w:hint="eastAsia" w:ascii="宋体" w:hAnsi="Calibri" w:eastAsia="宋体" w:cs="宋体"/>
          <w:kern w:val="0"/>
          <w:lang w:val="zh-CN"/>
        </w:rPr>
      </w:pPr>
      <w:r>
        <w:rPr>
          <w:rFonts w:hint="eastAsia" w:ascii="宋体" w:hAnsi="Calibri" w:eastAsia="宋体" w:cs="宋体"/>
          <w:kern w:val="0"/>
          <w:lang w:val="zh-CN"/>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4B6750C9">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14:paraId="5CA89702">
      <w:pPr>
        <w:autoSpaceDE w:val="0"/>
        <w:autoSpaceDN w:val="0"/>
        <w:adjustRightInd w:val="0"/>
        <w:ind w:firstLine="480"/>
        <w:rPr>
          <w:rFonts w:ascii="Calibri" w:hAnsi="Calibri" w:cs="Calibri"/>
          <w:kern w:val="0"/>
        </w:rPr>
      </w:pP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14:paraId="533FC1AD">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14:paraId="7C319001">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86C561E">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14:paraId="7EF7A39C">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14:paraId="04F60AE9">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14:paraId="7D0A75A3">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14:paraId="33AA2BEF">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14:paraId="2CE9FAE9">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14:paraId="09822B49">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14:paraId="723715DE">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14:paraId="3756A89D">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14:paraId="51EEE846">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14:paraId="12D99890">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14:paraId="65B50F16">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14:paraId="038D1A74">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14:paraId="4F929D37">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因履行本合同引起的或与本合同有关的争议，甲乙双方应首先通过友好协商解决，如果协商不能解决，可向甲方所在地人民法院提起诉讼。</w:t>
      </w:r>
    </w:p>
    <w:p w14:paraId="2255ECD3">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14:paraId="4140ABC6">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14:paraId="0936D4E8">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14:paraId="0CEBAAB7">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14:paraId="347373EF">
      <w:pPr>
        <w:autoSpaceDE w:val="0"/>
        <w:autoSpaceDN w:val="0"/>
        <w:adjustRightInd w:val="0"/>
        <w:ind w:firstLine="480"/>
        <w:rPr>
          <w:rFonts w:ascii="Calibri" w:hAnsi="Calibri" w:cs="Calibri"/>
          <w:kern w:val="0"/>
        </w:rPr>
      </w:pPr>
    </w:p>
    <w:p w14:paraId="7EB24C36">
      <w:pPr>
        <w:autoSpaceDE w:val="0"/>
        <w:autoSpaceDN w:val="0"/>
        <w:adjustRightInd w:val="0"/>
        <w:ind w:firstLine="480"/>
        <w:rPr>
          <w:rFonts w:ascii="Calibri" w:hAnsi="Calibri" w:cs="Calibri"/>
          <w:kern w:val="0"/>
        </w:rPr>
      </w:pPr>
    </w:p>
    <w:p w14:paraId="1F8422AE">
      <w:pPr>
        <w:autoSpaceDE w:val="0"/>
        <w:autoSpaceDN w:val="0"/>
        <w:adjustRightInd w:val="0"/>
        <w:ind w:firstLine="482"/>
        <w:rPr>
          <w:rFonts w:ascii="Calibri" w:hAnsi="Calibri" w:cs="Calibri"/>
          <w:b/>
          <w:kern w:val="0"/>
        </w:rPr>
      </w:pPr>
      <w:r>
        <w:rPr>
          <w:rFonts w:hint="eastAsia" w:ascii="宋体" w:hAnsi="Calibri" w:cs="宋体"/>
          <w:b/>
          <w:kern w:val="0"/>
          <w:lang w:val="zh-CN"/>
        </w:rPr>
        <w:t>甲方（盖章）：</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乙方（盖章）：</w:t>
      </w:r>
    </w:p>
    <w:p w14:paraId="6057A0F2">
      <w:pPr>
        <w:autoSpaceDE w:val="0"/>
        <w:autoSpaceDN w:val="0"/>
        <w:adjustRightInd w:val="0"/>
        <w:ind w:firstLine="482"/>
        <w:rPr>
          <w:rFonts w:ascii="Calibri" w:hAnsi="Calibri" w:cs="Calibri"/>
          <w:b/>
          <w:kern w:val="0"/>
        </w:rPr>
      </w:pPr>
      <w:r>
        <w:rPr>
          <w:rFonts w:hint="eastAsia" w:ascii="宋体" w:hAnsi="Calibri" w:cs="宋体"/>
          <w:b/>
          <w:kern w:val="0"/>
          <w:lang w:val="zh-CN"/>
        </w:rPr>
        <w:t>法定代表人或委托代理人</w:t>
      </w:r>
      <w:r>
        <w:rPr>
          <w:rFonts w:hint="eastAsia" w:ascii="宋体" w:hAnsi="Calibri" w:cs="宋体"/>
          <w:b/>
          <w:kern w:val="0"/>
        </w:rPr>
        <w:t>：</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法定代表人或委托代理人</w:t>
      </w:r>
      <w:r>
        <w:rPr>
          <w:rFonts w:hint="eastAsia" w:ascii="宋体" w:hAnsi="Calibri" w:cs="宋体"/>
          <w:b/>
          <w:kern w:val="0"/>
        </w:rPr>
        <w:t>：</w:t>
      </w:r>
    </w:p>
    <w:p w14:paraId="3A0B30B9">
      <w:pPr>
        <w:autoSpaceDE w:val="0"/>
        <w:autoSpaceDN w:val="0"/>
        <w:adjustRightInd w:val="0"/>
        <w:ind w:firstLine="482"/>
        <w:rPr>
          <w:rFonts w:hint="eastAsia" w:ascii="Calibri" w:hAnsi="Calibri" w:cs="Calibri"/>
          <w:b/>
          <w:kern w:val="0"/>
        </w:rPr>
      </w:pP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开户银行：</w:t>
      </w:r>
      <w:r>
        <w:rPr>
          <w:rFonts w:ascii="Calibri" w:hAnsi="Calibri" w:cs="Calibri"/>
          <w:b/>
          <w:kern w:val="0"/>
        </w:rPr>
        <w:t xml:space="preserve">     </w:t>
      </w:r>
    </w:p>
    <w:p w14:paraId="2D4D0414">
      <w:pPr>
        <w:autoSpaceDE w:val="0"/>
        <w:autoSpaceDN w:val="0"/>
        <w:adjustRightInd w:val="0"/>
        <w:ind w:firstLine="482"/>
        <w:rPr>
          <w:rFonts w:ascii="Calibri" w:hAnsi="Calibri" w:cs="Calibri"/>
          <w:b/>
          <w:kern w:val="0"/>
        </w:rPr>
      </w:pPr>
      <w:r>
        <w:rPr>
          <w:rFonts w:hint="eastAsia" w:ascii="宋体" w:hAnsi="Calibri" w:cs="宋体"/>
          <w:b/>
          <w:kern w:val="0"/>
          <w:lang w:val="zh-CN"/>
        </w:rPr>
        <w:t>联系电话：</w:t>
      </w: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账号：</w:t>
      </w:r>
    </w:p>
    <w:p w14:paraId="6F319CA3">
      <w:pPr>
        <w:autoSpaceDE w:val="0"/>
        <w:autoSpaceDN w:val="0"/>
        <w:adjustRightInd w:val="0"/>
        <w:ind w:firstLine="482"/>
        <w:rPr>
          <w:rFonts w:hint="eastAsia" w:ascii="Calibri" w:hAnsi="Calibri" w:cs="Calibri"/>
          <w:b/>
          <w:kern w:val="0"/>
        </w:rPr>
      </w:pP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联系电话：</w:t>
      </w:r>
    </w:p>
    <w:p w14:paraId="1D080F63">
      <w:pPr>
        <w:autoSpaceDE w:val="0"/>
        <w:autoSpaceDN w:val="0"/>
        <w:adjustRightInd w:val="0"/>
        <w:ind w:firstLine="1160" w:firstLineChars="550"/>
        <w:rPr>
          <w:rFonts w:ascii="Calibri" w:hAnsi="Calibri" w:cs="Calibri"/>
          <w:b/>
          <w:kern w:val="0"/>
        </w:rPr>
      </w:pPr>
      <w:r>
        <w:rPr>
          <w:rFonts w:hint="eastAsia" w:ascii="宋体" w:hAnsi="Calibri" w:cs="宋体"/>
          <w:b/>
          <w:kern w:val="0"/>
          <w:lang w:val="zh-CN"/>
        </w:rPr>
        <w:t>签约时间：</w:t>
      </w:r>
      <w:r>
        <w:rPr>
          <w:rFonts w:ascii="Calibri" w:hAnsi="Calibri" w:cs="Calibri"/>
          <w:b/>
          <w:kern w:val="0"/>
        </w:rPr>
        <w:t xml:space="preserve">  </w:t>
      </w:r>
      <w:r>
        <w:rPr>
          <w:rFonts w:hint="eastAsia" w:ascii="宋体" w:hAnsi="Calibri" w:cs="宋体"/>
          <w:b/>
          <w:kern w:val="0"/>
          <w:lang w:val="zh-CN"/>
        </w:rPr>
        <w:t>年</w:t>
      </w:r>
      <w:r>
        <w:rPr>
          <w:rFonts w:ascii="Calibri" w:hAnsi="Calibri" w:cs="Calibri"/>
          <w:b/>
          <w:kern w:val="0"/>
        </w:rPr>
        <w:t xml:space="preserve">  </w:t>
      </w:r>
      <w:r>
        <w:rPr>
          <w:rFonts w:hint="eastAsia" w:ascii="宋体" w:hAnsi="Calibri" w:cs="宋体"/>
          <w:b/>
          <w:kern w:val="0"/>
          <w:lang w:val="zh-CN"/>
        </w:rPr>
        <w:t>月</w:t>
      </w:r>
      <w:r>
        <w:rPr>
          <w:rFonts w:ascii="Calibri" w:hAnsi="Calibri" w:cs="Calibri"/>
          <w:b/>
          <w:kern w:val="0"/>
        </w:rPr>
        <w:t xml:space="preserve">  </w:t>
      </w:r>
      <w:r>
        <w:rPr>
          <w:rFonts w:hint="eastAsia" w:ascii="宋体" w:hAnsi="Calibri" w:cs="宋体"/>
          <w:b/>
          <w:kern w:val="0"/>
          <w:lang w:val="zh-CN"/>
        </w:rPr>
        <w:t>日</w:t>
      </w:r>
    </w:p>
    <w:p w14:paraId="4562C590">
      <w:pPr>
        <w:autoSpaceDE w:val="0"/>
        <w:autoSpaceDN w:val="0"/>
        <w:adjustRightInd w:val="0"/>
        <w:ind w:firstLine="482"/>
        <w:rPr>
          <w:rFonts w:hint="eastAsia" w:ascii="宋体" w:hAnsi="Calibri" w:cs="宋体"/>
          <w:b/>
          <w:kern w:val="0"/>
          <w:lang w:val="zh-CN"/>
        </w:rPr>
      </w:pPr>
    </w:p>
    <w:p w14:paraId="286A90BF">
      <w:pPr>
        <w:autoSpaceDE w:val="0"/>
        <w:autoSpaceDN w:val="0"/>
        <w:adjustRightInd w:val="0"/>
        <w:ind w:firstLine="482"/>
        <w:rPr>
          <w:rFonts w:ascii="Calibri" w:hAnsi="Calibri" w:cs="Calibri"/>
          <w:b/>
          <w:kern w:val="0"/>
        </w:rPr>
      </w:pPr>
      <w:r>
        <w:rPr>
          <w:rFonts w:hint="eastAsia" w:ascii="宋体" w:hAnsi="Calibri" w:cs="宋体"/>
          <w:b/>
          <w:kern w:val="0"/>
          <w:lang w:val="zh-CN"/>
        </w:rPr>
        <w:t>合同备案部门：</w:t>
      </w:r>
      <w:r>
        <w:rPr>
          <w:rFonts w:hint="eastAsia" w:ascii="Calibri" w:hAnsi="Calibri" w:cs="Calibri"/>
          <w:b/>
          <w:kern w:val="0"/>
          <w:lang w:eastAsia="zh-CN"/>
        </w:rPr>
        <w:t>海南州政府采购服务中心</w:t>
      </w:r>
      <w:r>
        <w:rPr>
          <w:rFonts w:hint="eastAsia" w:ascii="Calibri" w:hAnsi="Calibri" w:cs="Calibri"/>
          <w:b/>
          <w:kern w:val="0"/>
        </w:rPr>
        <w:t xml:space="preserve"> </w:t>
      </w:r>
      <w:r>
        <w:rPr>
          <w:rFonts w:ascii="Calibri" w:hAnsi="Calibri" w:cs="Calibri"/>
          <w:b/>
          <w:kern w:val="0"/>
        </w:rPr>
        <w:t xml:space="preserve"> </w:t>
      </w:r>
    </w:p>
    <w:p w14:paraId="6F855029">
      <w:pPr>
        <w:autoSpaceDE w:val="0"/>
        <w:autoSpaceDN w:val="0"/>
        <w:adjustRightInd w:val="0"/>
        <w:ind w:firstLine="482"/>
        <w:rPr>
          <w:rFonts w:hint="eastAsia" w:ascii="宋体" w:hAnsi="Calibri" w:cs="宋体"/>
          <w:b/>
          <w:kern w:val="0"/>
          <w:lang w:val="zh-CN"/>
        </w:rPr>
      </w:pPr>
    </w:p>
    <w:p w14:paraId="719EA470">
      <w:pPr>
        <w:autoSpaceDE w:val="0"/>
        <w:autoSpaceDN w:val="0"/>
        <w:adjustRightInd w:val="0"/>
        <w:ind w:firstLine="482"/>
        <w:rPr>
          <w:rFonts w:hint="eastAsia" w:ascii="宋体" w:hAnsi="Calibri" w:cs="宋体"/>
          <w:b/>
          <w:kern w:val="0"/>
          <w:lang w:val="zh-CN"/>
        </w:rPr>
      </w:pPr>
      <w:r>
        <w:rPr>
          <w:rFonts w:hint="eastAsia" w:ascii="宋体" w:hAnsi="Calibri" w:cs="宋体"/>
          <w:b/>
          <w:kern w:val="0"/>
          <w:lang w:val="zh-CN"/>
        </w:rPr>
        <w:t>负责人：                             经办人：</w:t>
      </w:r>
    </w:p>
    <w:p w14:paraId="47227B04">
      <w:pPr>
        <w:autoSpaceDE w:val="0"/>
        <w:autoSpaceDN w:val="0"/>
        <w:adjustRightInd w:val="0"/>
        <w:ind w:firstLine="482"/>
        <w:rPr>
          <w:rFonts w:ascii="Calibri" w:hAnsi="Calibri" w:cs="Calibri"/>
          <w:b/>
          <w:kern w:val="0"/>
          <w:sz w:val="28"/>
          <w:szCs w:val="28"/>
        </w:rPr>
      </w:pPr>
      <w:r>
        <w:rPr>
          <w:rFonts w:hint="eastAsia" w:ascii="宋体" w:hAnsi="Calibri" w:cs="宋体"/>
          <w:b/>
          <w:kern w:val="0"/>
          <w:lang w:val="zh-CN"/>
        </w:rPr>
        <w:t>合同备案时间：</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年</w:t>
      </w:r>
      <w:r>
        <w:rPr>
          <w:rFonts w:ascii="Calibri" w:hAnsi="Calibri" w:cs="Calibri"/>
          <w:b/>
          <w:kern w:val="0"/>
        </w:rPr>
        <w:t xml:space="preserve">  </w:t>
      </w:r>
      <w:r>
        <w:rPr>
          <w:rFonts w:hint="eastAsia" w:ascii="宋体" w:hAnsi="Calibri" w:cs="宋体"/>
          <w:b/>
          <w:kern w:val="0"/>
          <w:lang w:val="zh-CN"/>
        </w:rPr>
        <w:t>月</w:t>
      </w:r>
      <w:r>
        <w:rPr>
          <w:rFonts w:ascii="Calibri" w:hAnsi="Calibri" w:cs="Calibri"/>
          <w:b/>
          <w:kern w:val="0"/>
        </w:rPr>
        <w:t xml:space="preserve">  </w:t>
      </w:r>
      <w:r>
        <w:rPr>
          <w:rFonts w:hint="eastAsia" w:ascii="宋体" w:hAnsi="Calibri" w:cs="宋体"/>
          <w:b/>
          <w:kern w:val="0"/>
          <w:lang w:val="zh-CN"/>
        </w:rPr>
        <w:t>日</w:t>
      </w:r>
    </w:p>
    <w:p w14:paraId="2037A999">
      <w:pPr>
        <w:pStyle w:val="9"/>
        <w:rPr>
          <w:rFonts w:ascii="宋体" w:hAnsi="宋体"/>
          <w:b/>
          <w:color w:val="000000" w:themeColor="text1"/>
          <w:sz w:val="36"/>
          <w:szCs w:val="36"/>
          <w14:textFill>
            <w14:solidFill>
              <w14:schemeClr w14:val="tx1"/>
            </w14:solidFill>
          </w14:textFill>
        </w:rPr>
      </w:pPr>
    </w:p>
    <w:p w14:paraId="6DBC4711">
      <w:pPr>
        <w:pStyle w:val="36"/>
        <w:rPr>
          <w:color w:val="000000" w:themeColor="text1"/>
          <w14:textFill>
            <w14:solidFill>
              <w14:schemeClr w14:val="tx1"/>
            </w14:solidFill>
          </w14:textFill>
        </w:rPr>
      </w:pPr>
    </w:p>
    <w:p w14:paraId="624C513D">
      <w:pPr>
        <w:ind w:firstLine="3253" w:firstLineChars="900"/>
        <w:rPr>
          <w:rFonts w:ascii="宋体" w:hAnsi="宋体"/>
          <w:color w:val="000000" w:themeColor="text1"/>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合同通用条款</w:t>
      </w:r>
    </w:p>
    <w:p w14:paraId="3BACA6FE">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14:paraId="58626B96">
      <w:pPr>
        <w:spacing w:line="360" w:lineRule="auto"/>
        <w:ind w:firstLine="482"/>
        <w:rPr>
          <w:rFonts w:ascii="宋体" w:hAnsi="宋体"/>
          <w:b/>
        </w:rPr>
      </w:pPr>
      <w:r>
        <w:rPr>
          <w:rFonts w:hint="eastAsia" w:ascii="宋体" w:hAnsi="宋体"/>
          <w:b/>
        </w:rPr>
        <w:t>1.定义</w:t>
      </w:r>
    </w:p>
    <w:p w14:paraId="175C2889">
      <w:pPr>
        <w:spacing w:line="360" w:lineRule="auto"/>
        <w:ind w:firstLine="480"/>
        <w:rPr>
          <w:rFonts w:ascii="宋体" w:hAnsi="宋体"/>
        </w:rPr>
      </w:pPr>
      <w:r>
        <w:rPr>
          <w:rFonts w:ascii="宋体" w:hAnsi="宋体"/>
        </w:rPr>
        <w:t>本合同中的下列术语应解释为：</w:t>
      </w:r>
    </w:p>
    <w:p w14:paraId="38C71DE9">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6E3C0C21">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EDE5D5C">
      <w:pPr>
        <w:spacing w:line="360" w:lineRule="auto"/>
        <w:ind w:firstLine="480"/>
        <w:rPr>
          <w:rFonts w:ascii="宋体" w:hAnsi="宋体"/>
        </w:rPr>
      </w:pPr>
      <w:r>
        <w:rPr>
          <w:rFonts w:hint="eastAsia" w:ascii="宋体" w:hAnsi="宋体"/>
        </w:rPr>
        <w:t>1.3 “合同条款”指本合同条款。</w:t>
      </w:r>
    </w:p>
    <w:p w14:paraId="5BD765B9">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7F89FA1D">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5C200B3D">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3DA0FF36">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58CD9565">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75C4CE71">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3F533C52">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18BA0EEC">
      <w:pPr>
        <w:spacing w:line="360" w:lineRule="auto"/>
        <w:ind w:firstLine="480"/>
        <w:rPr>
          <w:rFonts w:hint="eastAsia" w:ascii="宋体" w:hAnsi="宋体"/>
        </w:rPr>
      </w:pPr>
      <w:r>
        <w:rPr>
          <w:rFonts w:hint="eastAsia" w:ascii="宋体" w:hAnsi="宋体"/>
        </w:rPr>
        <w:t>1.11 原产地：指产品的生产地，或提供服务的来源地。</w:t>
      </w:r>
    </w:p>
    <w:p w14:paraId="17562EBB">
      <w:pPr>
        <w:spacing w:line="360" w:lineRule="auto"/>
        <w:ind w:firstLine="480"/>
        <w:rPr>
          <w:rFonts w:ascii="宋体" w:hAnsi="宋体"/>
        </w:rPr>
      </w:pPr>
      <w:r>
        <w:rPr>
          <w:rFonts w:hint="eastAsia" w:ascii="宋体" w:hAnsi="宋体"/>
        </w:rPr>
        <w:t>1.12 “工作日”指国家法定工作日，“天”指日历天数。</w:t>
      </w:r>
    </w:p>
    <w:p w14:paraId="12DD7DD3">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1A07E8FC">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14:paraId="799CD614">
      <w:pPr>
        <w:spacing w:line="360" w:lineRule="auto"/>
        <w:ind w:firstLine="480"/>
        <w:rPr>
          <w:rFonts w:ascii="宋体" w:hAnsi="宋体"/>
        </w:rPr>
      </w:pPr>
      <w:r>
        <w:rPr>
          <w:rFonts w:hint="eastAsia" w:ascii="宋体" w:hAnsi="宋体"/>
        </w:rPr>
        <w:t>2.2 乙方应向甲方提供货物及服务有关的标准的中文文本。</w:t>
      </w:r>
    </w:p>
    <w:p w14:paraId="57FB560D">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0CD59C62">
      <w:pPr>
        <w:spacing w:line="360" w:lineRule="auto"/>
        <w:ind w:firstLine="482"/>
        <w:rPr>
          <w:rFonts w:ascii="宋体" w:hAnsi="宋体"/>
          <w:b/>
        </w:rPr>
      </w:pPr>
      <w:r>
        <w:rPr>
          <w:rFonts w:hint="eastAsia" w:ascii="宋体" w:hAnsi="宋体"/>
          <w:b/>
        </w:rPr>
        <w:t>3.合同范围</w:t>
      </w:r>
    </w:p>
    <w:p w14:paraId="4AAD7BA9">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7A57066">
      <w:pPr>
        <w:spacing w:line="360" w:lineRule="auto"/>
        <w:ind w:firstLine="480"/>
        <w:rPr>
          <w:rFonts w:hint="eastAsia" w:ascii="宋体" w:hAnsi="宋体"/>
        </w:rPr>
      </w:pPr>
      <w:r>
        <w:rPr>
          <w:rFonts w:hint="eastAsia" w:ascii="宋体" w:hAnsi="宋体"/>
        </w:rPr>
        <w:t>3.2 乙方应负责培训甲方的技术人员。</w:t>
      </w:r>
    </w:p>
    <w:p w14:paraId="5DD9C954">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1846C15">
      <w:pPr>
        <w:spacing w:line="360" w:lineRule="auto"/>
        <w:ind w:firstLine="482"/>
        <w:rPr>
          <w:rFonts w:ascii="宋体" w:hAnsi="宋体"/>
          <w:b/>
        </w:rPr>
      </w:pPr>
      <w:r>
        <w:rPr>
          <w:rFonts w:hint="eastAsia" w:ascii="宋体" w:hAnsi="宋体"/>
          <w:b/>
        </w:rPr>
        <w:t>4.合同文件和资料</w:t>
      </w:r>
    </w:p>
    <w:p w14:paraId="0FB56C18">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76F79303">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3C91B49">
      <w:pPr>
        <w:spacing w:line="360" w:lineRule="auto"/>
        <w:ind w:firstLine="482"/>
        <w:rPr>
          <w:rFonts w:ascii="宋体" w:hAnsi="宋体"/>
          <w:b/>
        </w:rPr>
      </w:pPr>
      <w:r>
        <w:rPr>
          <w:rFonts w:hint="eastAsia" w:ascii="宋体" w:hAnsi="宋体"/>
          <w:b/>
        </w:rPr>
        <w:t>5.</w:t>
      </w:r>
      <w:r>
        <w:rPr>
          <w:rFonts w:ascii="宋体" w:hAnsi="宋体"/>
          <w:b/>
        </w:rPr>
        <w:t>知识产权</w:t>
      </w:r>
    </w:p>
    <w:p w14:paraId="3F109081">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19705EC8">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695503DE">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28F30199">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1EA115CD">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3E4F7C2">
      <w:pPr>
        <w:spacing w:line="360" w:lineRule="auto"/>
        <w:ind w:firstLine="482"/>
        <w:rPr>
          <w:rFonts w:ascii="宋体" w:hAnsi="宋体"/>
          <w:b/>
        </w:rPr>
      </w:pPr>
      <w:r>
        <w:rPr>
          <w:rFonts w:hint="eastAsia" w:ascii="宋体" w:hAnsi="宋体"/>
          <w:b/>
        </w:rPr>
        <w:t>6.保密</w:t>
      </w:r>
    </w:p>
    <w:p w14:paraId="011BBBE9">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086A84B">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57C5A862">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13608957">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14:paraId="4DEEA50A">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14:paraId="38BC3886">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14:paraId="4252DDC7">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25FD6D33">
      <w:pPr>
        <w:spacing w:line="360" w:lineRule="auto"/>
        <w:ind w:firstLine="480"/>
        <w:rPr>
          <w:rFonts w:hint="eastAsia" w:ascii="宋体" w:hAnsi="宋体"/>
        </w:rPr>
      </w:pPr>
      <w:r>
        <w:rPr>
          <w:rFonts w:hint="eastAsia" w:ascii="宋体" w:hAnsi="宋体"/>
        </w:rPr>
        <w:t>7.1货物质量保证</w:t>
      </w:r>
    </w:p>
    <w:p w14:paraId="19C1FD3B">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13B1DFB2">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14:paraId="7F509EA9">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7C4B55CB">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63DBBBF7">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58554680">
      <w:pPr>
        <w:spacing w:line="360" w:lineRule="auto"/>
        <w:ind w:firstLine="480"/>
        <w:rPr>
          <w:rFonts w:hint="eastAsia" w:ascii="宋体" w:hAnsi="宋体"/>
        </w:rPr>
      </w:pPr>
      <w:r>
        <w:rPr>
          <w:rFonts w:hint="eastAsia" w:ascii="宋体" w:hAnsi="宋体"/>
        </w:rPr>
        <w:t>7.2辅助服务质量保证</w:t>
      </w:r>
    </w:p>
    <w:p w14:paraId="2CA10822">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1CFB7FE">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14:paraId="2A56336A">
      <w:pPr>
        <w:spacing w:line="360" w:lineRule="auto"/>
        <w:ind w:firstLine="482"/>
        <w:rPr>
          <w:rFonts w:ascii="宋体" w:hAnsi="宋体"/>
          <w:b/>
        </w:rPr>
      </w:pPr>
      <w:r>
        <w:rPr>
          <w:rFonts w:hint="eastAsia" w:ascii="宋体" w:hAnsi="宋体"/>
          <w:b/>
        </w:rPr>
        <w:t>8.</w:t>
      </w:r>
      <w:r>
        <w:rPr>
          <w:rFonts w:ascii="宋体" w:hAnsi="宋体"/>
          <w:b/>
        </w:rPr>
        <w:t>包装要求</w:t>
      </w:r>
    </w:p>
    <w:p w14:paraId="7CE529A8">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5D6DF6E9">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3E58F543">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65BFACAA">
      <w:pPr>
        <w:spacing w:line="360" w:lineRule="auto"/>
        <w:ind w:firstLine="480"/>
        <w:rPr>
          <w:rFonts w:ascii="宋体" w:hAnsi="宋体"/>
        </w:rPr>
      </w:pPr>
      <w:r>
        <w:rPr>
          <w:rFonts w:hint="eastAsia" w:ascii="宋体" w:hAnsi="宋体"/>
        </w:rPr>
        <w:t>8.3 乙方所提供的货物包装均为出厂时原包装。</w:t>
      </w:r>
    </w:p>
    <w:p w14:paraId="036C455A">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14:paraId="7DC1DD4B">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14907B17">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4BD4C965">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69006FF">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025B3889">
      <w:pPr>
        <w:spacing w:line="360" w:lineRule="auto"/>
        <w:ind w:firstLine="480"/>
        <w:rPr>
          <w:rFonts w:hint="eastAsia" w:ascii="宋体" w:hAnsi="宋体"/>
        </w:rPr>
      </w:pPr>
      <w:r>
        <w:rPr>
          <w:rFonts w:hint="eastAsia" w:ascii="宋体" w:hAnsi="宋体"/>
        </w:rPr>
        <w:t xml:space="preserve">9.3检验费用 </w:t>
      </w:r>
    </w:p>
    <w:p w14:paraId="62C6C05B">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14:paraId="0006AA3A">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2D564396">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45975428">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61CDCF82">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128A4A43">
      <w:pPr>
        <w:spacing w:line="360" w:lineRule="auto"/>
        <w:ind w:firstLine="480"/>
        <w:rPr>
          <w:rFonts w:ascii="宋体" w:hAnsi="宋体"/>
        </w:rPr>
      </w:pPr>
      <w:r>
        <w:rPr>
          <w:rFonts w:hint="eastAsia" w:ascii="宋体" w:hAnsi="宋体"/>
        </w:rPr>
        <w:t>交货日期：所有货物运抵现场并经双方开箱验收合格之日。</w:t>
      </w:r>
    </w:p>
    <w:p w14:paraId="5E26B17E">
      <w:pPr>
        <w:spacing w:line="360" w:lineRule="auto"/>
        <w:ind w:firstLine="482"/>
        <w:rPr>
          <w:rFonts w:ascii="宋体" w:hAnsi="宋体"/>
          <w:b/>
        </w:rPr>
      </w:pPr>
      <w:r>
        <w:rPr>
          <w:rFonts w:hint="eastAsia" w:ascii="宋体" w:hAnsi="宋体"/>
          <w:b/>
        </w:rPr>
        <w:t>11.</w:t>
      </w:r>
      <w:r>
        <w:rPr>
          <w:rFonts w:ascii="宋体" w:hAnsi="宋体"/>
          <w:b/>
        </w:rPr>
        <w:t>检验和验收</w:t>
      </w:r>
    </w:p>
    <w:p w14:paraId="73AE0B8F">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2977A10B">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70234597">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23D9CE7A">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47B1C2C5">
      <w:pPr>
        <w:spacing w:line="360" w:lineRule="auto"/>
        <w:ind w:firstLine="480"/>
        <w:rPr>
          <w:rFonts w:hint="eastAsia" w:ascii="宋体" w:hAnsi="宋体"/>
        </w:rPr>
      </w:pPr>
      <w:r>
        <w:rPr>
          <w:rFonts w:hint="eastAsia" w:ascii="宋体" w:hAnsi="宋体"/>
        </w:rPr>
        <w:t>11.2  检验验收</w:t>
      </w:r>
    </w:p>
    <w:p w14:paraId="2431F35A">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14:paraId="4B6A5664">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14:paraId="6A55CBEF">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5B06CEEC">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0356FE19">
      <w:pPr>
        <w:spacing w:line="360" w:lineRule="auto"/>
        <w:ind w:firstLine="480"/>
        <w:rPr>
          <w:rFonts w:ascii="宋体" w:hAnsi="宋体"/>
        </w:rPr>
      </w:pPr>
      <w:r>
        <w:rPr>
          <w:rFonts w:hint="eastAsia" w:ascii="宋体" w:hAnsi="宋体"/>
        </w:rPr>
        <w:t>a.重新测试直至合格为止；</w:t>
      </w:r>
    </w:p>
    <w:p w14:paraId="1D6121A9">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1ACBA3E7">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04EEEF3F">
      <w:pPr>
        <w:spacing w:line="360" w:lineRule="auto"/>
        <w:ind w:firstLine="480"/>
        <w:rPr>
          <w:rFonts w:hint="eastAsia" w:ascii="宋体" w:hAnsi="宋体"/>
        </w:rPr>
      </w:pPr>
      <w:r>
        <w:rPr>
          <w:rFonts w:hint="eastAsia" w:ascii="宋体" w:hAnsi="宋体"/>
        </w:rPr>
        <w:t>11.3  使用过程检验</w:t>
      </w:r>
    </w:p>
    <w:p w14:paraId="1271C573">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08050097">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411E0D45">
      <w:pPr>
        <w:spacing w:line="360" w:lineRule="auto"/>
        <w:ind w:firstLine="482"/>
        <w:rPr>
          <w:rFonts w:ascii="宋体" w:hAnsi="宋体"/>
          <w:b/>
        </w:rPr>
      </w:pPr>
      <w:r>
        <w:rPr>
          <w:rFonts w:hint="eastAsia" w:ascii="宋体" w:hAnsi="宋体"/>
          <w:b/>
        </w:rPr>
        <w:t>12.</w:t>
      </w:r>
      <w:r>
        <w:rPr>
          <w:rFonts w:ascii="宋体" w:hAnsi="宋体"/>
          <w:b/>
        </w:rPr>
        <w:t>付款条件</w:t>
      </w:r>
    </w:p>
    <w:p w14:paraId="750D3FB4">
      <w:pPr>
        <w:spacing w:line="360" w:lineRule="auto"/>
        <w:ind w:firstLine="480"/>
        <w:rPr>
          <w:rFonts w:ascii="宋体" w:hAnsi="宋体"/>
        </w:rPr>
      </w:pPr>
      <w:r>
        <w:rPr>
          <w:rFonts w:hint="eastAsia" w:ascii="宋体" w:hAnsi="宋体"/>
        </w:rPr>
        <w:t>本合同条款下的付款方法和条件在“合同专用条款”中具体规定。</w:t>
      </w:r>
    </w:p>
    <w:p w14:paraId="15758BAB">
      <w:pPr>
        <w:spacing w:line="360" w:lineRule="auto"/>
        <w:ind w:firstLine="482"/>
        <w:rPr>
          <w:rFonts w:ascii="宋体" w:hAnsi="宋体"/>
          <w:b/>
        </w:rPr>
      </w:pPr>
      <w:r>
        <w:rPr>
          <w:rFonts w:ascii="宋体" w:hAnsi="宋体"/>
          <w:b/>
        </w:rPr>
        <w:t>1</w:t>
      </w:r>
      <w:r>
        <w:rPr>
          <w:rFonts w:hint="eastAsia" w:ascii="宋体" w:hAnsi="宋体"/>
          <w:b/>
        </w:rPr>
        <w:t>3.履约保证金</w:t>
      </w:r>
    </w:p>
    <w:p w14:paraId="315A4C98">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2EEFAF74">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6999DAFB">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14:paraId="3DB03C40">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7256EE7A">
      <w:pPr>
        <w:spacing w:line="360" w:lineRule="auto"/>
        <w:ind w:firstLine="480"/>
        <w:rPr>
          <w:rFonts w:ascii="宋体" w:hAnsi="宋体"/>
        </w:rPr>
      </w:pPr>
      <w:r>
        <w:rPr>
          <w:rFonts w:hint="eastAsia" w:ascii="宋体" w:hAnsi="宋体"/>
        </w:rPr>
        <w:t>13.3.2</w:t>
      </w:r>
      <w:r>
        <w:rPr>
          <w:rFonts w:ascii="宋体" w:hAnsi="宋体"/>
        </w:rPr>
        <w:t>支票、汇票。</w:t>
      </w:r>
    </w:p>
    <w:p w14:paraId="20D29E5E">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w:t>
      </w:r>
      <w:r>
        <w:rPr>
          <w:rFonts w:ascii="宋体" w:hAnsi="宋体"/>
        </w:rPr>
        <w:t>。</w:t>
      </w:r>
    </w:p>
    <w:p w14:paraId="6A4D8E61">
      <w:pPr>
        <w:spacing w:line="360" w:lineRule="auto"/>
        <w:ind w:firstLine="482"/>
        <w:rPr>
          <w:rFonts w:ascii="宋体" w:hAnsi="宋体"/>
          <w:b/>
        </w:rPr>
      </w:pPr>
      <w:r>
        <w:rPr>
          <w:rFonts w:hint="eastAsia" w:ascii="宋体" w:hAnsi="宋体"/>
          <w:b/>
        </w:rPr>
        <w:t>14.</w:t>
      </w:r>
      <w:r>
        <w:rPr>
          <w:rFonts w:ascii="宋体" w:hAnsi="宋体"/>
          <w:b/>
        </w:rPr>
        <w:t>索赔</w:t>
      </w:r>
    </w:p>
    <w:p w14:paraId="176F7C5A">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52295D0">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3A6798BF">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3BCB5E4">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3F5C7DC5">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8D4CCA8">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3F32DA2A">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09A4DA5A">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7E939939">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775FACD0">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3AC462A5">
      <w:pPr>
        <w:spacing w:line="360" w:lineRule="auto"/>
        <w:ind w:firstLine="482"/>
        <w:rPr>
          <w:rFonts w:ascii="宋体" w:hAnsi="宋体"/>
          <w:b/>
        </w:rPr>
      </w:pPr>
      <w:r>
        <w:rPr>
          <w:rFonts w:hint="eastAsia" w:ascii="宋体" w:hAnsi="宋体"/>
          <w:b/>
        </w:rPr>
        <w:t>16.</w:t>
      </w:r>
      <w:r>
        <w:rPr>
          <w:rFonts w:ascii="宋体" w:hAnsi="宋体"/>
          <w:b/>
        </w:rPr>
        <w:t>违约赔偿</w:t>
      </w:r>
    </w:p>
    <w:p w14:paraId="486DEEAC">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21D60A8B">
      <w:pPr>
        <w:spacing w:line="360" w:lineRule="auto"/>
        <w:ind w:firstLine="482"/>
        <w:rPr>
          <w:rFonts w:ascii="宋体" w:hAnsi="宋体"/>
          <w:b/>
        </w:rPr>
      </w:pPr>
      <w:r>
        <w:rPr>
          <w:rFonts w:hint="eastAsia" w:ascii="宋体" w:hAnsi="宋体"/>
          <w:b/>
        </w:rPr>
        <w:t>17.</w:t>
      </w:r>
      <w:r>
        <w:rPr>
          <w:rFonts w:ascii="宋体" w:hAnsi="宋体"/>
          <w:b/>
        </w:rPr>
        <w:t>不可抗力</w:t>
      </w:r>
    </w:p>
    <w:p w14:paraId="77DD11E1">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09AB1957">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6699FFEE">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3354EF31">
      <w:pPr>
        <w:spacing w:line="360" w:lineRule="auto"/>
        <w:ind w:firstLine="482"/>
        <w:rPr>
          <w:rFonts w:ascii="宋体" w:hAnsi="宋体"/>
          <w:b/>
        </w:rPr>
      </w:pPr>
      <w:r>
        <w:rPr>
          <w:rFonts w:hint="eastAsia" w:ascii="宋体" w:hAnsi="宋体"/>
          <w:b/>
        </w:rPr>
        <w:t>18.</w:t>
      </w:r>
      <w:r>
        <w:rPr>
          <w:rFonts w:ascii="宋体" w:hAnsi="宋体"/>
          <w:b/>
        </w:rPr>
        <w:t>税费</w:t>
      </w:r>
    </w:p>
    <w:p w14:paraId="21E28BF5">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06C37913">
      <w:pPr>
        <w:spacing w:line="360" w:lineRule="auto"/>
        <w:ind w:firstLine="482"/>
        <w:rPr>
          <w:rFonts w:ascii="宋体" w:hAnsi="宋体"/>
          <w:b/>
        </w:rPr>
      </w:pPr>
      <w:r>
        <w:rPr>
          <w:rFonts w:hint="eastAsia" w:ascii="宋体" w:hAnsi="宋体"/>
          <w:b/>
        </w:rPr>
        <w:t>19.</w:t>
      </w:r>
      <w:r>
        <w:rPr>
          <w:rFonts w:ascii="宋体" w:hAnsi="宋体"/>
          <w:b/>
        </w:rPr>
        <w:t>合同争议的解决</w:t>
      </w:r>
    </w:p>
    <w:p w14:paraId="1C191B4B">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52BE14E0">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14:paraId="6B67E042">
      <w:pPr>
        <w:spacing w:line="360" w:lineRule="auto"/>
        <w:ind w:firstLine="482"/>
        <w:rPr>
          <w:rFonts w:ascii="宋体" w:hAnsi="宋体"/>
          <w:b/>
        </w:rPr>
      </w:pPr>
      <w:r>
        <w:rPr>
          <w:rFonts w:hint="eastAsia" w:ascii="宋体" w:hAnsi="宋体"/>
          <w:b/>
        </w:rPr>
        <w:t>20.</w:t>
      </w:r>
      <w:r>
        <w:rPr>
          <w:rFonts w:ascii="宋体" w:hAnsi="宋体"/>
          <w:b/>
        </w:rPr>
        <w:t>违约解除合同</w:t>
      </w:r>
    </w:p>
    <w:p w14:paraId="1187790C">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2E47DCEA">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4D1863C4">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63BCB69F">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3D5B4195">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5EF42B1A">
      <w:pPr>
        <w:spacing w:line="360" w:lineRule="auto"/>
        <w:ind w:firstLine="482"/>
        <w:rPr>
          <w:rFonts w:ascii="宋体" w:hAnsi="宋体"/>
          <w:b/>
        </w:rPr>
      </w:pPr>
      <w:r>
        <w:rPr>
          <w:rFonts w:hint="eastAsia" w:ascii="宋体" w:hAnsi="宋体"/>
          <w:b/>
        </w:rPr>
        <w:t>21.</w:t>
      </w:r>
      <w:r>
        <w:rPr>
          <w:rFonts w:ascii="宋体" w:hAnsi="宋体"/>
          <w:b/>
        </w:rPr>
        <w:t>破产终止合同</w:t>
      </w:r>
    </w:p>
    <w:p w14:paraId="2C254E5F">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5D3FB29E">
      <w:pPr>
        <w:spacing w:line="360" w:lineRule="auto"/>
        <w:ind w:firstLine="482"/>
        <w:rPr>
          <w:rFonts w:ascii="宋体" w:hAnsi="宋体"/>
          <w:b/>
        </w:rPr>
      </w:pPr>
      <w:r>
        <w:rPr>
          <w:rFonts w:hint="eastAsia" w:ascii="宋体" w:hAnsi="宋体"/>
          <w:b/>
        </w:rPr>
        <w:t>22.</w:t>
      </w:r>
      <w:r>
        <w:rPr>
          <w:rFonts w:ascii="宋体" w:hAnsi="宋体"/>
          <w:b/>
        </w:rPr>
        <w:t>转让和分包</w:t>
      </w:r>
    </w:p>
    <w:p w14:paraId="7988CE32">
      <w:pPr>
        <w:spacing w:line="360" w:lineRule="auto"/>
        <w:ind w:firstLine="480"/>
        <w:rPr>
          <w:rFonts w:ascii="宋体" w:hAnsi="宋体"/>
        </w:rPr>
      </w:pPr>
      <w:r>
        <w:rPr>
          <w:rFonts w:hint="eastAsia" w:ascii="宋体" w:hAnsi="宋体"/>
        </w:rPr>
        <w:t>22.1</w:t>
      </w:r>
      <w:r>
        <w:rPr>
          <w:rFonts w:ascii="宋体" w:hAnsi="宋体"/>
        </w:rPr>
        <w:t>政府采购合同不能转让。</w:t>
      </w:r>
    </w:p>
    <w:p w14:paraId="439EAB4A">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38D9BF2D">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0DB0D2B0">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4724912C">
      <w:pPr>
        <w:spacing w:line="360" w:lineRule="auto"/>
        <w:ind w:firstLine="482"/>
        <w:rPr>
          <w:rFonts w:ascii="宋体" w:hAnsi="宋体"/>
          <w:b/>
        </w:rPr>
      </w:pPr>
      <w:r>
        <w:rPr>
          <w:rFonts w:hint="eastAsia" w:ascii="宋体" w:hAnsi="宋体"/>
          <w:b/>
        </w:rPr>
        <w:t>24.</w:t>
      </w:r>
      <w:r>
        <w:rPr>
          <w:rFonts w:ascii="宋体" w:hAnsi="宋体"/>
          <w:b/>
        </w:rPr>
        <w:t>通知</w:t>
      </w:r>
    </w:p>
    <w:p w14:paraId="3D1F865E">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4DFFE894">
      <w:pPr>
        <w:spacing w:line="360" w:lineRule="auto"/>
        <w:ind w:firstLine="482"/>
        <w:rPr>
          <w:rFonts w:ascii="宋体" w:hAnsi="宋体"/>
          <w:b/>
        </w:rPr>
      </w:pPr>
      <w:r>
        <w:rPr>
          <w:rFonts w:hint="eastAsia" w:ascii="宋体" w:hAnsi="宋体"/>
          <w:b/>
        </w:rPr>
        <w:t>25.</w:t>
      </w:r>
      <w:r>
        <w:rPr>
          <w:rFonts w:ascii="宋体" w:hAnsi="宋体"/>
          <w:b/>
        </w:rPr>
        <w:t>计量单位</w:t>
      </w:r>
    </w:p>
    <w:p w14:paraId="28E9086B">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13EB9810">
      <w:pPr>
        <w:spacing w:line="360" w:lineRule="auto"/>
        <w:ind w:firstLine="482"/>
        <w:rPr>
          <w:rFonts w:ascii="宋体" w:hAnsi="宋体"/>
          <w:b/>
        </w:rPr>
      </w:pPr>
      <w:r>
        <w:rPr>
          <w:rFonts w:hint="eastAsia" w:ascii="宋体" w:hAnsi="宋体"/>
          <w:b/>
        </w:rPr>
        <w:t>26.</w:t>
      </w:r>
      <w:r>
        <w:rPr>
          <w:rFonts w:ascii="宋体" w:hAnsi="宋体"/>
          <w:b/>
        </w:rPr>
        <w:t>适用法律</w:t>
      </w:r>
    </w:p>
    <w:p w14:paraId="07113170">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409342E5">
      <w:pPr>
        <w:spacing w:line="360" w:lineRule="auto"/>
        <w:ind w:firstLine="480"/>
        <w:rPr>
          <w:rFonts w:ascii="宋体"/>
          <w:b/>
          <w:color w:val="000000" w:themeColor="text1"/>
          <w:kern w:val="28"/>
          <w:sz w:val="36"/>
          <w:szCs w:val="20"/>
          <w14:textFill>
            <w14:solidFill>
              <w14:schemeClr w14:val="tx1"/>
            </w14:solidFill>
          </w14:textFill>
        </w:rPr>
      </w:pPr>
      <w:r>
        <w:rPr>
          <w:rFonts w:ascii="宋体" w:hAnsi="宋体"/>
          <w:color w:val="000000" w:themeColor="text1"/>
          <w14:textFill>
            <w14:solidFill>
              <w14:schemeClr w14:val="tx1"/>
            </w14:solidFill>
          </w14:textFill>
        </w:rPr>
        <w:br w:type="page"/>
      </w:r>
      <w:bookmarkStart w:id="118" w:name="_Toc325726036"/>
      <w:bookmarkStart w:id="119" w:name="_Toc376936767"/>
    </w:p>
    <w:p w14:paraId="06E7F845">
      <w:pPr>
        <w:keepNext/>
        <w:keepLines/>
        <w:widowControl/>
        <w:snapToGrid w:val="0"/>
        <w:spacing w:line="400" w:lineRule="atLeast"/>
        <w:ind w:firstLine="2187" w:firstLineChars="605"/>
        <w:outlineLvl w:val="0"/>
        <w:rPr>
          <w:rFonts w:ascii="宋体"/>
          <w:b/>
          <w:color w:val="000000" w:themeColor="text1"/>
          <w:kern w:val="28"/>
          <w:sz w:val="36"/>
          <w:szCs w:val="20"/>
          <w14:textFill>
            <w14:solidFill>
              <w14:schemeClr w14:val="tx1"/>
            </w14:solidFill>
          </w14:textFill>
        </w:rPr>
      </w:pPr>
      <w:bookmarkStart w:id="120" w:name="_Toc67558599"/>
      <w:r>
        <w:rPr>
          <w:rFonts w:hint="eastAsia" w:ascii="宋体"/>
          <w:b/>
          <w:color w:val="000000" w:themeColor="text1"/>
          <w:kern w:val="28"/>
          <w:sz w:val="36"/>
          <w:szCs w:val="20"/>
          <w14:textFill>
            <w14:solidFill>
              <w14:schemeClr w14:val="tx1"/>
            </w14:solidFill>
          </w14:textFill>
        </w:rPr>
        <w:t>第四部分</w:t>
      </w:r>
      <w:r>
        <w:rPr>
          <w:rFonts w:ascii="宋体"/>
          <w:b/>
          <w:color w:val="000000" w:themeColor="text1"/>
          <w:kern w:val="28"/>
          <w:sz w:val="36"/>
          <w:szCs w:val="20"/>
          <w14:textFill>
            <w14:solidFill>
              <w14:schemeClr w14:val="tx1"/>
            </w14:solidFill>
          </w14:textFill>
        </w:rPr>
        <w:t xml:space="preserve">  </w:t>
      </w:r>
      <w:bookmarkEnd w:id="118"/>
      <w:bookmarkEnd w:id="119"/>
      <w:r>
        <w:rPr>
          <w:rFonts w:hint="eastAsia" w:ascii="宋体"/>
          <w:b/>
          <w:color w:val="000000" w:themeColor="text1"/>
          <w:kern w:val="28"/>
          <w:sz w:val="36"/>
          <w:szCs w:val="20"/>
          <w14:textFill>
            <w14:solidFill>
              <w14:schemeClr w14:val="tx1"/>
            </w14:solidFill>
          </w14:textFill>
        </w:rPr>
        <w:t>投标文件格式</w:t>
      </w:r>
      <w:bookmarkEnd w:id="120"/>
    </w:p>
    <w:p w14:paraId="4065E907">
      <w:pPr>
        <w:keepNext/>
        <w:keepLines/>
        <w:widowControl/>
        <w:snapToGrid w:val="0"/>
        <w:spacing w:line="400" w:lineRule="atLeast"/>
        <w:outlineLvl w:val="0"/>
        <w:rPr>
          <w:rFonts w:ascii="宋体"/>
          <w:b/>
          <w:color w:val="000000" w:themeColor="text1"/>
          <w:kern w:val="28"/>
          <w:sz w:val="36"/>
          <w:szCs w:val="20"/>
          <w14:textFill>
            <w14:solidFill>
              <w14:schemeClr w14:val="tx1"/>
            </w14:solidFill>
          </w14:textFill>
        </w:rPr>
      </w:pPr>
    </w:p>
    <w:p w14:paraId="713D921E">
      <w:pPr>
        <w:keepNext/>
        <w:keepLines/>
        <w:widowControl/>
        <w:snapToGrid w:val="0"/>
        <w:spacing w:line="400" w:lineRule="atLeast"/>
        <w:jc w:val="center"/>
        <w:outlineLvl w:val="0"/>
        <w:rPr>
          <w:rFonts w:ascii="宋体"/>
          <w:b/>
          <w:color w:val="000000" w:themeColor="text1"/>
          <w:kern w:val="28"/>
          <w:sz w:val="36"/>
          <w:szCs w:val="20"/>
          <w14:textFill>
            <w14:solidFill>
              <w14:schemeClr w14:val="tx1"/>
            </w14:solidFill>
          </w14:textFill>
        </w:rPr>
      </w:pPr>
      <w:bookmarkStart w:id="121" w:name="_Toc67558600"/>
      <w:r>
        <w:rPr>
          <w:rFonts w:hint="eastAsia" w:ascii="宋体"/>
          <w:b/>
          <w:color w:val="000000" w:themeColor="text1"/>
          <w:kern w:val="28"/>
          <w:sz w:val="36"/>
          <w:szCs w:val="20"/>
          <w14:textFill>
            <w14:solidFill>
              <w14:schemeClr w14:val="tx1"/>
            </w14:solidFill>
          </w14:textFill>
        </w:rPr>
        <w:t>投标文件的组成</w:t>
      </w:r>
      <w:bookmarkEnd w:id="121"/>
    </w:p>
    <w:p w14:paraId="27086FCD">
      <w:pPr>
        <w:spacing w:line="500" w:lineRule="exact"/>
        <w:ind w:firstLine="480"/>
        <w:rPr>
          <w:rFonts w:hint="eastAsia" w:ascii="宋体" w:hAnsi="宋体"/>
        </w:rPr>
      </w:pPr>
      <w:r>
        <w:rPr>
          <w:rFonts w:hint="eastAsia" w:ascii="宋体" w:hAnsi="宋体"/>
        </w:rPr>
        <w:t>（一）资格审查部分</w:t>
      </w:r>
    </w:p>
    <w:p w14:paraId="16831B7D">
      <w:pPr>
        <w:spacing w:line="500" w:lineRule="exact"/>
        <w:ind w:firstLine="480"/>
        <w:rPr>
          <w:rFonts w:hint="eastAsia" w:ascii="宋体" w:hAnsi="宋体"/>
        </w:rPr>
      </w:pPr>
      <w:r>
        <w:rPr>
          <w:rFonts w:hint="eastAsia" w:ascii="宋体" w:hAnsi="宋体"/>
        </w:rPr>
        <w:t>1.投标函……………………………………………………………（附件1）</w:t>
      </w:r>
    </w:p>
    <w:p w14:paraId="6F4E71CC">
      <w:pPr>
        <w:spacing w:line="500" w:lineRule="exact"/>
        <w:ind w:firstLine="480"/>
        <w:rPr>
          <w:rFonts w:hint="eastAsia" w:ascii="宋体" w:hAnsi="宋体"/>
        </w:rPr>
      </w:pPr>
      <w:r>
        <w:rPr>
          <w:rFonts w:hint="eastAsia" w:ascii="宋体" w:hAnsi="宋体"/>
        </w:rPr>
        <w:t>2.法定代表人证明书………………………………………………（附件2）</w:t>
      </w:r>
    </w:p>
    <w:p w14:paraId="08D4DEE7">
      <w:pPr>
        <w:spacing w:line="500" w:lineRule="exact"/>
        <w:ind w:firstLine="480"/>
        <w:rPr>
          <w:rFonts w:hint="eastAsia" w:ascii="宋体" w:hAnsi="宋体"/>
        </w:rPr>
      </w:pPr>
      <w:r>
        <w:rPr>
          <w:rFonts w:hint="eastAsia" w:ascii="宋体" w:hAnsi="宋体"/>
        </w:rPr>
        <w:t>3.法定代表人授权书………………………………………………（附件3）</w:t>
      </w:r>
    </w:p>
    <w:p w14:paraId="032C3C39">
      <w:pPr>
        <w:spacing w:line="500" w:lineRule="exact"/>
        <w:ind w:firstLine="480"/>
        <w:rPr>
          <w:rFonts w:hint="eastAsia" w:ascii="宋体" w:hAnsi="宋体"/>
        </w:rPr>
      </w:pPr>
      <w:r>
        <w:rPr>
          <w:rFonts w:hint="eastAsia" w:ascii="宋体" w:hAnsi="宋体"/>
        </w:rPr>
        <w:t>4.投标人承诺函……………………………………………………（附件4）</w:t>
      </w:r>
    </w:p>
    <w:p w14:paraId="2B7CC01B">
      <w:pPr>
        <w:spacing w:line="500" w:lineRule="exact"/>
        <w:ind w:firstLine="480"/>
        <w:rPr>
          <w:rFonts w:hint="eastAsia" w:ascii="宋体" w:hAnsi="宋体"/>
        </w:rPr>
      </w:pPr>
      <w:r>
        <w:rPr>
          <w:rFonts w:hint="eastAsia" w:ascii="宋体" w:hAnsi="宋体"/>
        </w:rPr>
        <w:t>5.供应商诚信承诺书………………………………………………（附件5）</w:t>
      </w:r>
    </w:p>
    <w:p w14:paraId="1040169F">
      <w:pPr>
        <w:spacing w:line="500" w:lineRule="exact"/>
        <w:ind w:firstLine="480"/>
        <w:rPr>
          <w:rFonts w:hint="eastAsia" w:ascii="宋体" w:hAnsi="宋体"/>
        </w:rPr>
      </w:pPr>
      <w:r>
        <w:rPr>
          <w:rFonts w:hint="eastAsia" w:ascii="宋体" w:hAnsi="宋体"/>
        </w:rPr>
        <w:t>6.投标人资格证明文件……………………………………………（附件6）</w:t>
      </w:r>
    </w:p>
    <w:p w14:paraId="22B755E9">
      <w:pPr>
        <w:spacing w:line="500" w:lineRule="exact"/>
        <w:ind w:firstLine="480"/>
        <w:rPr>
          <w:rFonts w:hint="eastAsia" w:ascii="宋体" w:hAnsi="宋体"/>
        </w:rPr>
      </w:pPr>
      <w:r>
        <w:rPr>
          <w:rFonts w:hint="eastAsia" w:ascii="宋体" w:hAnsi="宋体"/>
        </w:rPr>
        <w:t>7.财务状况、缴纳税收和社会保障资金证明……………………（附件7）</w:t>
      </w:r>
    </w:p>
    <w:p w14:paraId="77D9246C">
      <w:pPr>
        <w:spacing w:line="500" w:lineRule="exact"/>
        <w:ind w:firstLine="480"/>
        <w:rPr>
          <w:rFonts w:hint="eastAsia" w:ascii="宋体" w:hAnsi="宋体" w:eastAsiaTheme="minorEastAsia"/>
          <w:lang w:val="en-US" w:eastAsia="zh-CN"/>
        </w:rPr>
      </w:pPr>
      <w:r>
        <w:rPr>
          <w:rFonts w:hint="eastAsia" w:ascii="宋体" w:hAnsi="宋体"/>
        </w:rPr>
        <w:t>8.无重大违法记录声明……………………………………………（附件8）</w:t>
      </w:r>
      <w:r>
        <w:rPr>
          <w:rFonts w:hint="eastAsia" w:ascii="宋体" w:hAnsi="宋体"/>
          <w:lang w:val="en-US" w:eastAsia="zh-CN"/>
        </w:rPr>
        <w:t xml:space="preserve"> </w:t>
      </w:r>
    </w:p>
    <w:p w14:paraId="41BAF29C">
      <w:pPr>
        <w:spacing w:line="500" w:lineRule="exact"/>
        <w:ind w:firstLine="480"/>
        <w:rPr>
          <w:rFonts w:hint="eastAsia" w:ascii="宋体" w:hAnsi="宋体"/>
        </w:rPr>
      </w:pPr>
      <w:r>
        <w:rPr>
          <w:rFonts w:hint="eastAsia" w:ascii="宋体" w:hAnsi="宋体"/>
        </w:rPr>
        <w:t>9.中小企业声明函…………………………………………………（附件</w:t>
      </w:r>
      <w:r>
        <w:rPr>
          <w:rFonts w:hint="eastAsia" w:ascii="宋体" w:hAnsi="宋体"/>
          <w:lang w:val="en-US" w:eastAsia="zh-CN"/>
        </w:rPr>
        <w:t>9</w:t>
      </w:r>
      <w:r>
        <w:rPr>
          <w:rFonts w:hint="eastAsia" w:ascii="宋体" w:hAnsi="宋体"/>
        </w:rPr>
        <w:t>）</w:t>
      </w:r>
    </w:p>
    <w:p w14:paraId="4939B836">
      <w:pPr>
        <w:spacing w:line="500" w:lineRule="exact"/>
        <w:ind w:firstLine="480"/>
        <w:rPr>
          <w:rFonts w:hint="eastAsia" w:ascii="宋体" w:hAnsi="宋体"/>
        </w:rPr>
      </w:pPr>
      <w:r>
        <w:rPr>
          <w:rFonts w:hint="eastAsia" w:ascii="宋体" w:hAnsi="宋体"/>
        </w:rPr>
        <w:t>10.残疾人福利性单位声明函………………………………………（附件</w:t>
      </w:r>
      <w:r>
        <w:rPr>
          <w:rFonts w:hint="eastAsia" w:ascii="宋体" w:hAnsi="宋体"/>
          <w:lang w:val="en-US" w:eastAsia="zh-CN"/>
        </w:rPr>
        <w:t>10</w:t>
      </w:r>
      <w:r>
        <w:rPr>
          <w:rFonts w:hint="eastAsia" w:ascii="宋体" w:hAnsi="宋体"/>
        </w:rPr>
        <w:t>）</w:t>
      </w:r>
    </w:p>
    <w:p w14:paraId="1FB2417E">
      <w:pPr>
        <w:spacing w:line="500" w:lineRule="exact"/>
        <w:ind w:firstLine="480"/>
        <w:rPr>
          <w:rFonts w:hint="eastAsia" w:ascii="宋体" w:hAnsi="宋体"/>
        </w:rPr>
      </w:pPr>
      <w:r>
        <w:rPr>
          <w:rFonts w:hint="eastAsia" w:ascii="宋体" w:hAnsi="宋体"/>
          <w:lang w:val="en-US" w:eastAsia="zh-CN"/>
        </w:rPr>
        <w:t>11.保证金缴纳证明</w:t>
      </w:r>
      <w:r>
        <w:rPr>
          <w:rFonts w:hint="eastAsia" w:ascii="宋体" w:hAnsi="宋体"/>
        </w:rPr>
        <w:t>…………………………………………………</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11</w:t>
      </w:r>
      <w:r>
        <w:rPr>
          <w:rFonts w:hint="eastAsia" w:ascii="宋体" w:hAnsi="宋体"/>
        </w:rPr>
        <w:t>）</w:t>
      </w:r>
    </w:p>
    <w:p w14:paraId="13391B80">
      <w:pPr>
        <w:spacing w:line="500" w:lineRule="exact"/>
        <w:ind w:firstLine="480"/>
        <w:rPr>
          <w:rFonts w:hint="eastAsia" w:ascii="宋体" w:hAnsi="宋体"/>
        </w:rPr>
      </w:pPr>
      <w:r>
        <w:rPr>
          <w:rFonts w:hint="eastAsia" w:ascii="宋体" w:hAnsi="宋体"/>
        </w:rPr>
        <w:t>（二）符合性审查部分</w:t>
      </w:r>
    </w:p>
    <w:p w14:paraId="3FF2F3D9">
      <w:pPr>
        <w:spacing w:line="500" w:lineRule="exact"/>
        <w:ind w:firstLine="480"/>
        <w:rPr>
          <w:rFonts w:hint="eastAsia" w:ascii="宋体" w:hAnsi="宋体"/>
        </w:rPr>
      </w:pPr>
      <w:r>
        <w:rPr>
          <w:rFonts w:hint="eastAsia" w:ascii="宋体" w:hAnsi="宋体"/>
        </w:rPr>
        <w:t>1.投标报价一览表…………………………………………………（附件</w:t>
      </w:r>
      <w:r>
        <w:rPr>
          <w:rFonts w:hint="eastAsia" w:ascii="宋体" w:hAnsi="宋体"/>
          <w:lang w:val="en-US" w:eastAsia="zh-CN"/>
        </w:rPr>
        <w:t>12</w:t>
      </w:r>
      <w:r>
        <w:rPr>
          <w:rFonts w:hint="eastAsia" w:ascii="宋体" w:hAnsi="宋体"/>
        </w:rPr>
        <w:t>）</w:t>
      </w:r>
    </w:p>
    <w:p w14:paraId="1D68BC67">
      <w:pPr>
        <w:spacing w:line="500" w:lineRule="exact"/>
        <w:ind w:firstLine="480"/>
        <w:rPr>
          <w:rFonts w:hint="eastAsia" w:ascii="宋体" w:hAnsi="宋体"/>
        </w:rPr>
      </w:pPr>
      <w:r>
        <w:rPr>
          <w:rFonts w:hint="eastAsia" w:ascii="宋体" w:hAnsi="宋体"/>
        </w:rPr>
        <w:t>2.分项报价表………………………………………………………（附件</w:t>
      </w:r>
      <w:r>
        <w:rPr>
          <w:rFonts w:hint="eastAsia" w:ascii="宋体" w:hAnsi="宋体"/>
          <w:lang w:val="en-US" w:eastAsia="zh-CN"/>
        </w:rPr>
        <w:t>13</w:t>
      </w:r>
      <w:r>
        <w:rPr>
          <w:rFonts w:hint="eastAsia" w:ascii="宋体" w:hAnsi="宋体"/>
        </w:rPr>
        <w:t>）</w:t>
      </w:r>
    </w:p>
    <w:p w14:paraId="01B248B1">
      <w:pPr>
        <w:widowControl/>
        <w:snapToGrid w:val="0"/>
        <w:spacing w:line="360" w:lineRule="auto"/>
        <w:ind w:firstLine="420" w:firstLineChars="200"/>
        <w:outlineLvl w:val="1"/>
        <w:rPr>
          <w:rFonts w:hint="eastAsia" w:ascii="宋体" w:hAnsi="宋体"/>
        </w:rPr>
      </w:pPr>
      <w:r>
        <w:rPr>
          <w:rFonts w:hint="eastAsia" w:ascii="宋体" w:hAnsi="宋体"/>
        </w:rPr>
        <w:t>3.服务要求应答表</w:t>
      </w:r>
      <w:r>
        <w:rPr>
          <w:rFonts w:hint="eastAsia" w:ascii="宋体" w:hAnsi="宋体"/>
          <w:lang w:eastAsia="zh-CN"/>
        </w:rPr>
        <w:t>、</w:t>
      </w:r>
      <w:r>
        <w:rPr>
          <w:rFonts w:hint="eastAsia" w:ascii="宋体" w:hAnsi="宋体"/>
        </w:rPr>
        <w:t>技术规格响应表……………………………（附件</w:t>
      </w:r>
      <w:r>
        <w:rPr>
          <w:rFonts w:hint="eastAsia" w:ascii="宋体" w:hAnsi="宋体"/>
          <w:lang w:val="en-US" w:eastAsia="zh-CN"/>
        </w:rPr>
        <w:t>14</w:t>
      </w:r>
      <w:r>
        <w:rPr>
          <w:rFonts w:hint="eastAsia" w:ascii="宋体" w:hAnsi="宋体"/>
        </w:rPr>
        <w:t>）</w:t>
      </w:r>
    </w:p>
    <w:p w14:paraId="4F893F10">
      <w:pPr>
        <w:widowControl/>
        <w:snapToGrid w:val="0"/>
        <w:spacing w:line="360" w:lineRule="auto"/>
        <w:ind w:firstLine="420" w:firstLineChars="200"/>
        <w:outlineLvl w:val="1"/>
        <w:rPr>
          <w:rFonts w:hint="eastAsia" w:ascii="宋体" w:hAnsi="宋体"/>
          <w:color w:val="000000"/>
        </w:rPr>
      </w:pPr>
      <w:r>
        <w:rPr>
          <w:rFonts w:hint="eastAsia" w:ascii="宋体" w:hAnsi="宋体"/>
        </w:rPr>
        <w:t>4.</w:t>
      </w:r>
      <w:r>
        <w:rPr>
          <w:rFonts w:hint="eastAsia" w:ascii="宋体" w:hAnsi="宋体"/>
          <w:color w:val="000000"/>
        </w:rPr>
        <w:t>其他资格证明材料………………………………………………（附件</w:t>
      </w:r>
      <w:r>
        <w:rPr>
          <w:rFonts w:hint="eastAsia" w:ascii="宋体" w:hAnsi="宋体"/>
          <w:color w:val="000000"/>
          <w:lang w:val="en-US" w:eastAsia="zh-CN"/>
        </w:rPr>
        <w:t>15</w:t>
      </w:r>
      <w:r>
        <w:rPr>
          <w:rFonts w:hint="eastAsia" w:ascii="宋体" w:hAnsi="宋体"/>
          <w:color w:val="000000"/>
        </w:rPr>
        <w:t>）</w:t>
      </w:r>
    </w:p>
    <w:p w14:paraId="18B12096">
      <w:pPr>
        <w:spacing w:line="500" w:lineRule="exact"/>
        <w:ind w:firstLine="480"/>
        <w:rPr>
          <w:rFonts w:hint="eastAsia" w:ascii="宋体" w:hAnsi="宋体"/>
        </w:rPr>
      </w:pPr>
      <w:r>
        <w:rPr>
          <w:rFonts w:hint="eastAsia" w:ascii="宋体" w:hAnsi="宋体"/>
        </w:rPr>
        <w:t>5.投标产品相关资料………………………………………………（附件</w:t>
      </w:r>
      <w:r>
        <w:rPr>
          <w:rFonts w:hint="eastAsia" w:ascii="宋体" w:hAnsi="宋体"/>
          <w:lang w:val="en-US" w:eastAsia="zh-CN"/>
        </w:rPr>
        <w:t>16</w:t>
      </w:r>
      <w:r>
        <w:rPr>
          <w:rFonts w:hint="eastAsia" w:ascii="宋体" w:hAnsi="宋体"/>
        </w:rPr>
        <w:t>）</w:t>
      </w:r>
    </w:p>
    <w:p w14:paraId="6A7F967E">
      <w:pPr>
        <w:spacing w:line="500" w:lineRule="exact"/>
        <w:ind w:firstLine="480"/>
        <w:rPr>
          <w:rFonts w:hint="eastAsia" w:ascii="宋体" w:hAnsi="宋体"/>
        </w:rPr>
      </w:pPr>
      <w:r>
        <w:rPr>
          <w:rFonts w:hint="eastAsia" w:ascii="宋体" w:hAnsi="宋体"/>
          <w:color w:val="000000"/>
        </w:rPr>
        <w:t>6.技术服务方案及质量保障…</w:t>
      </w:r>
      <w:r>
        <w:rPr>
          <w:rFonts w:hint="eastAsia" w:ascii="宋体" w:hAnsi="宋体"/>
        </w:rPr>
        <w:t>…</w:t>
      </w:r>
      <w:r>
        <w:rPr>
          <w:rFonts w:hint="eastAsia" w:ascii="宋体" w:hAnsi="宋体"/>
          <w:color w:val="000000"/>
        </w:rPr>
        <w:t>…</w:t>
      </w:r>
      <w:r>
        <w:rPr>
          <w:rFonts w:hint="eastAsia" w:ascii="宋体" w:hAnsi="宋体"/>
        </w:rPr>
        <w:t>……</w:t>
      </w:r>
      <w:r>
        <w:rPr>
          <w:rFonts w:hint="eastAsia" w:ascii="宋体" w:hAnsi="宋体"/>
          <w:color w:val="000000"/>
        </w:rPr>
        <w:t>…</w:t>
      </w:r>
      <w:r>
        <w:rPr>
          <w:rFonts w:hint="eastAsia" w:ascii="宋体" w:hAnsi="宋体"/>
        </w:rPr>
        <w:t>………………………（附件</w:t>
      </w:r>
      <w:r>
        <w:rPr>
          <w:rFonts w:hint="eastAsia" w:ascii="宋体" w:hAnsi="宋体"/>
          <w:lang w:val="en-US" w:eastAsia="zh-CN"/>
        </w:rPr>
        <w:t>17</w:t>
      </w:r>
      <w:r>
        <w:rPr>
          <w:rFonts w:hint="eastAsia" w:ascii="宋体" w:hAnsi="宋体"/>
        </w:rPr>
        <w:t>）</w:t>
      </w:r>
    </w:p>
    <w:p w14:paraId="3CF99C9E">
      <w:pPr>
        <w:spacing w:line="500" w:lineRule="exact"/>
        <w:ind w:firstLine="480"/>
        <w:rPr>
          <w:rFonts w:hint="eastAsia" w:ascii="宋体" w:hAnsi="宋体"/>
        </w:rPr>
      </w:pPr>
      <w:r>
        <w:rPr>
          <w:rFonts w:hint="eastAsia" w:ascii="宋体" w:hAnsi="宋体"/>
        </w:rPr>
        <w:t>7.服务相关内容……………………………………………………（附件</w:t>
      </w:r>
      <w:r>
        <w:rPr>
          <w:rFonts w:hint="eastAsia" w:ascii="宋体" w:hAnsi="宋体"/>
          <w:lang w:val="en-US" w:eastAsia="zh-CN"/>
        </w:rPr>
        <w:t>18</w:t>
      </w:r>
      <w:r>
        <w:rPr>
          <w:rFonts w:hint="eastAsia" w:ascii="宋体" w:hAnsi="宋体"/>
        </w:rPr>
        <w:t>）</w:t>
      </w:r>
    </w:p>
    <w:p w14:paraId="48B87E06">
      <w:pPr>
        <w:spacing w:line="500" w:lineRule="exact"/>
        <w:ind w:firstLine="480"/>
        <w:rPr>
          <w:rFonts w:hint="eastAsia" w:ascii="宋体" w:hAnsi="宋体"/>
        </w:rPr>
      </w:pPr>
      <w:r>
        <w:rPr>
          <w:rFonts w:hint="eastAsia" w:ascii="宋体" w:hAnsi="宋体"/>
        </w:rPr>
        <w:t>8.投标人类似业绩证明材料………………………………………（附件</w:t>
      </w:r>
      <w:r>
        <w:rPr>
          <w:rFonts w:hint="eastAsia" w:ascii="宋体" w:hAnsi="宋体"/>
          <w:lang w:val="en-US" w:eastAsia="zh-CN"/>
        </w:rPr>
        <w:t>19</w:t>
      </w:r>
      <w:r>
        <w:rPr>
          <w:rFonts w:hint="eastAsia" w:ascii="宋体" w:hAnsi="宋体"/>
        </w:rPr>
        <w:t>）</w:t>
      </w:r>
    </w:p>
    <w:p w14:paraId="5E760CB4">
      <w:pPr>
        <w:spacing w:line="500" w:lineRule="exact"/>
        <w:ind w:firstLine="480"/>
        <w:rPr>
          <w:rFonts w:hint="eastAsia" w:ascii="宋体" w:hAnsi="宋体"/>
        </w:rPr>
      </w:pPr>
      <w:r>
        <w:rPr>
          <w:rFonts w:hint="eastAsia" w:ascii="宋体" w:hAnsi="宋体"/>
        </w:rPr>
        <w:t>11.投标人认为在其他方面有必要说明的事项……………………（附件</w:t>
      </w:r>
      <w:r>
        <w:rPr>
          <w:rFonts w:hint="eastAsia" w:ascii="宋体" w:hAnsi="宋体"/>
          <w:lang w:val="en-US" w:eastAsia="zh-CN"/>
        </w:rPr>
        <w:t>20</w:t>
      </w:r>
      <w:r>
        <w:rPr>
          <w:rFonts w:hint="eastAsia" w:ascii="宋体" w:hAnsi="宋体"/>
        </w:rPr>
        <w:t>）</w:t>
      </w:r>
    </w:p>
    <w:p w14:paraId="2828F4E0">
      <w:pPr>
        <w:widowControl/>
        <w:snapToGrid w:val="0"/>
        <w:spacing w:line="360" w:lineRule="auto"/>
        <w:jc w:val="left"/>
        <w:outlineLvl w:val="1"/>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122" w:name="_Toc67558601"/>
      <w:r>
        <w:rPr>
          <w:rFonts w:hint="eastAsia" w:ascii="宋体"/>
          <w:b/>
          <w:color w:val="000000" w:themeColor="text1"/>
          <w:sz w:val="28"/>
          <w:szCs w:val="28"/>
          <w14:textFill>
            <w14:solidFill>
              <w14:schemeClr w14:val="tx1"/>
            </w14:solidFill>
          </w14:textFill>
        </w:rPr>
        <w:t>（投标文件封面）</w:t>
      </w:r>
      <w:bookmarkEnd w:id="122"/>
    </w:p>
    <w:p w14:paraId="07E6F1C6">
      <w:pPr>
        <w:spacing w:line="360" w:lineRule="auto"/>
        <w:ind w:firstLine="2088" w:firstLineChars="400"/>
        <w:rPr>
          <w:rFonts w:ascii="仿宋_GB2312" w:hAnsi="宋体" w:eastAsia="仿宋_GB2312"/>
          <w:b/>
          <w:color w:val="000000" w:themeColor="text1"/>
          <w:sz w:val="52"/>
          <w:szCs w:val="52"/>
          <w14:textFill>
            <w14:solidFill>
              <w14:schemeClr w14:val="tx1"/>
            </w14:solidFill>
          </w14:textFill>
        </w:rPr>
      </w:pPr>
    </w:p>
    <w:p w14:paraId="37FB4E4B">
      <w:pPr>
        <w:spacing w:line="360" w:lineRule="auto"/>
        <w:ind w:firstLine="2088" w:firstLineChars="400"/>
        <w:rPr>
          <w:rFonts w:ascii="仿宋_GB2312" w:hAnsi="宋体" w:eastAsia="仿宋_GB2312"/>
          <w:b/>
          <w:color w:val="000000" w:themeColor="text1"/>
          <w:sz w:val="52"/>
          <w:szCs w:val="52"/>
          <w14:textFill>
            <w14:solidFill>
              <w14:schemeClr w14:val="tx1"/>
            </w14:solidFill>
          </w14:textFill>
        </w:rPr>
      </w:pPr>
      <w:r>
        <w:rPr>
          <w:rFonts w:hint="eastAsia" w:ascii="仿宋_GB2312" w:hAnsi="宋体" w:eastAsia="仿宋_GB2312"/>
          <w:b/>
          <w:color w:val="000000" w:themeColor="text1"/>
          <w:sz w:val="52"/>
          <w:szCs w:val="52"/>
          <w14:textFill>
            <w14:solidFill>
              <w14:schemeClr w14:val="tx1"/>
            </w14:solidFill>
          </w14:textFill>
        </w:rPr>
        <w:t>海南州政府采购项目</w:t>
      </w:r>
    </w:p>
    <w:p w14:paraId="3E1512F3">
      <w:pPr>
        <w:spacing w:line="360" w:lineRule="auto"/>
        <w:ind w:firstLine="2833" w:firstLineChars="392"/>
        <w:rPr>
          <w:rFonts w:ascii="宋体" w:hAnsi="宋体"/>
          <w:b/>
          <w:color w:val="000000" w:themeColor="text1"/>
          <w:sz w:val="72"/>
          <w:szCs w:val="72"/>
          <w14:textFill>
            <w14:solidFill>
              <w14:schemeClr w14:val="tx1"/>
            </w14:solidFill>
          </w14:textFill>
        </w:rPr>
      </w:pPr>
    </w:p>
    <w:p w14:paraId="59861968">
      <w:pPr>
        <w:spacing w:line="360" w:lineRule="auto"/>
        <w:ind w:firstLine="2364" w:firstLineChars="327"/>
        <w:rPr>
          <w:rFonts w:ascii="宋体" w:hAnsi="宋体"/>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 标 文 件</w:t>
      </w:r>
    </w:p>
    <w:p w14:paraId="0625DEB1">
      <w:pPr>
        <w:adjustRightInd w:val="0"/>
        <w:spacing w:line="360" w:lineRule="auto"/>
        <w:jc w:val="center"/>
        <w:textAlignment w:val="baseline"/>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（资格审查部分）</w:t>
      </w:r>
    </w:p>
    <w:p w14:paraId="7A0CD088">
      <w:pPr>
        <w:adjustRightInd w:val="0"/>
        <w:spacing w:line="360" w:lineRule="auto"/>
        <w:textAlignment w:val="baseline"/>
        <w:rPr>
          <w:rFonts w:ascii="宋体" w:hAnsi="宋体"/>
          <w:b/>
          <w:bCs/>
          <w:color w:val="000000" w:themeColor="text1"/>
          <w:sz w:val="36"/>
          <w:szCs w:val="36"/>
          <w14:textFill>
            <w14:solidFill>
              <w14:schemeClr w14:val="tx1"/>
            </w14:solidFill>
          </w14:textFill>
        </w:rPr>
      </w:pPr>
    </w:p>
    <w:p w14:paraId="428A2EC7">
      <w:pPr>
        <w:adjustRightInd w:val="0"/>
        <w:spacing w:line="360" w:lineRule="auto"/>
        <w:ind w:left="34" w:leftChars="-118" w:hanging="282" w:hangingChars="78"/>
        <w:textAlignment w:val="baseline"/>
        <w:rPr>
          <w:rFonts w:ascii="宋体" w:hAnsi="宋体"/>
          <w:b/>
          <w:bCs/>
          <w:color w:val="000000" w:themeColor="text1"/>
          <w:sz w:val="36"/>
          <w:szCs w:val="36"/>
          <w14:textFill>
            <w14:solidFill>
              <w14:schemeClr w14:val="tx1"/>
            </w14:solidFill>
          </w14:textFill>
        </w:rPr>
      </w:pPr>
    </w:p>
    <w:p w14:paraId="4F8D0053">
      <w:pPr>
        <w:adjustRightInd w:val="0"/>
        <w:spacing w:line="360" w:lineRule="auto"/>
        <w:jc w:val="both"/>
        <w:textAlignment w:val="baseline"/>
        <w:rPr>
          <w:rFonts w:hint="eastAsia" w:ascii="宋体" w:hAnsi="宋体"/>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xml:space="preserve">采购项目编号： </w:t>
      </w:r>
      <w:r>
        <w:rPr>
          <w:rFonts w:hint="eastAsia" w:ascii="宋体" w:hAnsi="宋体"/>
          <w:b/>
          <w:bCs/>
          <w:color w:val="000000" w:themeColor="text1"/>
          <w:sz w:val="30"/>
          <w:szCs w:val="30"/>
          <w:lang w:eastAsia="zh-CN"/>
          <w14:textFill>
            <w14:solidFill>
              <w14:schemeClr w14:val="tx1"/>
            </w14:solidFill>
          </w14:textFill>
        </w:rPr>
        <w:t>南政采公招（服务）2024-28号</w:t>
      </w:r>
      <w:r>
        <w:rPr>
          <w:rFonts w:hint="eastAsia" w:ascii="宋体" w:hAnsi="宋体"/>
          <w:b/>
          <w:bCs/>
          <w:color w:val="000000" w:themeColor="text1"/>
          <w:sz w:val="30"/>
          <w:szCs w:val="30"/>
          <w:lang w:val="en-US" w:eastAsia="zh-CN"/>
          <w14:textFill>
            <w14:solidFill>
              <w14:schemeClr w14:val="tx1"/>
            </w14:solidFill>
          </w14:textFill>
        </w:rPr>
        <w:t>(包一/包二）</w:t>
      </w:r>
      <w:r>
        <w:rPr>
          <w:rFonts w:hint="eastAsia" w:ascii="宋体" w:hAnsi="宋体"/>
          <w:b/>
          <w:bCs/>
          <w:color w:val="000000" w:themeColor="text1"/>
          <w:sz w:val="30"/>
          <w:szCs w:val="30"/>
          <w14:textFill>
            <w14:solidFill>
              <w14:schemeClr w14:val="tx1"/>
            </w14:solidFill>
          </w14:textFill>
        </w:rPr>
        <w:t xml:space="preserve"> </w:t>
      </w:r>
    </w:p>
    <w:p w14:paraId="773604F3">
      <w:pPr>
        <w:adjustRightInd w:val="0"/>
        <w:spacing w:line="360" w:lineRule="auto"/>
        <w:ind w:left="2409" w:hanging="2409" w:hangingChars="800"/>
        <w:jc w:val="both"/>
        <w:textAlignment w:val="baseline"/>
        <w:rPr>
          <w:rFonts w:hint="eastAsia" w:ascii="宋体" w:hAnsi="宋体" w:eastAsiaTheme="minorEastAsia"/>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xml:space="preserve">采购项目名称： </w:t>
      </w:r>
      <w:r>
        <w:rPr>
          <w:rFonts w:hint="eastAsia" w:ascii="宋体" w:hAnsi="宋体"/>
          <w:b/>
          <w:bCs/>
          <w:color w:val="000000" w:themeColor="text1"/>
          <w:sz w:val="30"/>
          <w:szCs w:val="30"/>
          <w:lang w:eastAsia="zh-CN"/>
          <w14:textFill>
            <w14:solidFill>
              <w14:schemeClr w14:val="tx1"/>
            </w14:solidFill>
          </w14:textFill>
        </w:rPr>
        <w:t>青海省省级区域医疗中心（海南州）建设项目信息化建设项目</w:t>
      </w:r>
      <w:r>
        <w:rPr>
          <w:rFonts w:hint="eastAsia" w:ascii="宋体" w:hAnsi="宋体"/>
          <w:b/>
          <w:bCs/>
          <w:color w:val="000000" w:themeColor="text1"/>
          <w:sz w:val="30"/>
          <w:szCs w:val="30"/>
          <w:lang w:val="en-US" w:eastAsia="zh-CN"/>
          <w14:textFill>
            <w14:solidFill>
              <w14:schemeClr w14:val="tx1"/>
            </w14:solidFill>
          </w14:textFill>
        </w:rPr>
        <w:t>(包一/包二）</w:t>
      </w:r>
      <w:r>
        <w:rPr>
          <w:rFonts w:hint="eastAsia" w:ascii="宋体" w:hAnsi="宋体"/>
          <w:b/>
          <w:bCs/>
          <w:color w:val="000000" w:themeColor="text1"/>
          <w:sz w:val="30"/>
          <w:szCs w:val="30"/>
          <w14:textFill>
            <w14:solidFill>
              <w14:schemeClr w14:val="tx1"/>
            </w14:solidFill>
          </w14:textFill>
        </w:rPr>
        <w:t xml:space="preserve"> </w:t>
      </w:r>
    </w:p>
    <w:p w14:paraId="4D8B79D0">
      <w:pPr>
        <w:autoSpaceDE w:val="0"/>
        <w:autoSpaceDN w:val="0"/>
        <w:adjustRightInd w:val="0"/>
        <w:spacing w:line="360" w:lineRule="auto"/>
        <w:ind w:left="2512" w:hanging="2512" w:hangingChars="695"/>
        <w:rPr>
          <w:rFonts w:ascii="宋体" w:hAnsi="宋体"/>
          <w:b/>
          <w:color w:val="000000" w:themeColor="text1"/>
          <w:sz w:val="36"/>
          <w:szCs w:val="36"/>
          <w14:textFill>
            <w14:solidFill>
              <w14:schemeClr w14:val="tx1"/>
            </w14:solidFill>
          </w14:textFill>
        </w:rPr>
      </w:pPr>
    </w:p>
    <w:p w14:paraId="0CD19B0C">
      <w:pPr>
        <w:autoSpaceDE w:val="0"/>
        <w:autoSpaceDN w:val="0"/>
        <w:adjustRightInd w:val="0"/>
        <w:spacing w:line="360" w:lineRule="auto"/>
        <w:ind w:left="2512" w:hanging="2512" w:hangingChars="695"/>
        <w:rPr>
          <w:rFonts w:ascii="宋体" w:hAnsi="宋体"/>
          <w:b/>
          <w:color w:val="000000" w:themeColor="text1"/>
          <w:sz w:val="36"/>
          <w:szCs w:val="36"/>
          <w14:textFill>
            <w14:solidFill>
              <w14:schemeClr w14:val="tx1"/>
            </w14:solidFill>
          </w14:textFill>
        </w:rPr>
      </w:pPr>
    </w:p>
    <w:p w14:paraId="6EBACD1C">
      <w:pPr>
        <w:autoSpaceDE w:val="0"/>
        <w:autoSpaceDN w:val="0"/>
        <w:adjustRightInd w:val="0"/>
        <w:spacing w:line="360" w:lineRule="auto"/>
        <w:ind w:left="2512" w:hanging="2512" w:hangingChars="695"/>
        <w:jc w:val="center"/>
        <w:rPr>
          <w:rFonts w:ascii="宋体" w:hAnsi="宋体"/>
          <w:b/>
          <w:color w:val="000000" w:themeColor="text1"/>
          <w:sz w:val="36"/>
          <w:szCs w:val="36"/>
          <w14:textFill>
            <w14:solidFill>
              <w14:schemeClr w14:val="tx1"/>
            </w14:solidFill>
          </w14:textFill>
        </w:rPr>
      </w:pPr>
    </w:p>
    <w:p w14:paraId="6B859E47">
      <w:pPr>
        <w:adjustRightInd w:val="0"/>
        <w:spacing w:line="360" w:lineRule="auto"/>
        <w:ind w:left="2293" w:leftChars="-68" w:hanging="2436" w:hangingChars="674"/>
        <w:textAlignment w:val="baseline"/>
        <w:rPr>
          <w:rFonts w:ascii="宋体" w:hAnsi="宋体"/>
          <w:b/>
          <w:bCs/>
          <w:color w:val="000000" w:themeColor="text1"/>
          <w:sz w:val="36"/>
          <w:szCs w:val="36"/>
          <w14:textFill>
            <w14:solidFill>
              <w14:schemeClr w14:val="tx1"/>
            </w14:solidFill>
          </w14:textFill>
        </w:rPr>
      </w:pPr>
    </w:p>
    <w:p w14:paraId="5AF06F4B">
      <w:pPr>
        <w:adjustRightInd w:val="0"/>
        <w:spacing w:line="360" w:lineRule="auto"/>
        <w:textAlignment w:val="baseline"/>
        <w:rPr>
          <w:rFonts w:ascii="宋体" w:hAnsi="宋体"/>
          <w:b/>
          <w:bCs/>
          <w:color w:val="000000" w:themeColor="text1"/>
          <w:sz w:val="36"/>
          <w:szCs w:val="36"/>
          <w14:textFill>
            <w14:solidFill>
              <w14:schemeClr w14:val="tx1"/>
            </w14:solidFill>
          </w14:textFill>
        </w:rPr>
      </w:pPr>
    </w:p>
    <w:p w14:paraId="62020301">
      <w:pPr>
        <w:adjustRightInd w:val="0"/>
        <w:spacing w:line="360" w:lineRule="auto"/>
        <w:ind w:left="-248" w:leftChars="-118" w:firstLine="1"/>
        <w:jc w:val="center"/>
        <w:textAlignment w:val="baseline"/>
        <w:rPr>
          <w:rFonts w:ascii="宋体" w:hAnsi="宋体"/>
          <w:b/>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投标单位</w:t>
      </w:r>
      <w:r>
        <w:rPr>
          <w:rFonts w:hint="eastAsia" w:ascii="宋体" w:hAnsi="宋体"/>
          <w:b/>
          <w:color w:val="000000" w:themeColor="text1"/>
          <w:sz w:val="36"/>
          <w:szCs w:val="36"/>
          <w14:textFill>
            <w14:solidFill>
              <w14:schemeClr w14:val="tx1"/>
            </w14:solidFill>
          </w14:textFill>
        </w:rPr>
        <w:t>：</w:t>
      </w:r>
    </w:p>
    <w:p w14:paraId="485455B4">
      <w:pPr>
        <w:spacing w:line="360" w:lineRule="auto"/>
        <w:ind w:firstLine="3090" w:firstLineChars="962"/>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p>
    <w:p w14:paraId="387F0FE4">
      <w:pPr>
        <w:spacing w:line="360" w:lineRule="auto"/>
        <w:ind w:firstLine="3534" w:firstLineChars="1100"/>
        <w:rPr>
          <w:rFonts w:ascii="宋体" w:hAnsi="宋体"/>
          <w:b/>
          <w:color w:val="000000" w:themeColor="text1"/>
          <w:sz w:val="32"/>
          <w14:textFill>
            <w14:solidFill>
              <w14:schemeClr w14:val="tx1"/>
            </w14:solidFill>
          </w14:textFill>
        </w:rPr>
      </w:pPr>
    </w:p>
    <w:p w14:paraId="35BF5718">
      <w:pPr>
        <w:widowControl/>
        <w:snapToGrid w:val="0"/>
        <w:spacing w:line="360" w:lineRule="auto"/>
        <w:jc w:val="left"/>
        <w:outlineLvl w:val="1"/>
        <w:rPr>
          <w:rFonts w:ascii="宋体"/>
          <w:b/>
          <w:color w:val="000000" w:themeColor="text1"/>
          <w:sz w:val="28"/>
          <w:szCs w:val="28"/>
          <w14:textFill>
            <w14:solidFill>
              <w14:schemeClr w14:val="tx1"/>
            </w14:solidFill>
          </w14:textFill>
        </w:rPr>
      </w:pPr>
      <w:bookmarkStart w:id="123" w:name="_Toc67558602"/>
    </w:p>
    <w:p w14:paraId="0BAC01D9">
      <w:pPr>
        <w:pStyle w:val="9"/>
        <w:rPr>
          <w:color w:val="000000" w:themeColor="text1"/>
          <w14:textFill>
            <w14:solidFill>
              <w14:schemeClr w14:val="tx1"/>
            </w14:solidFill>
          </w14:textFill>
        </w:rPr>
      </w:pPr>
    </w:p>
    <w:p w14:paraId="783645B8">
      <w:pPr>
        <w:pStyle w:val="9"/>
        <w:rPr>
          <w:color w:val="000000" w:themeColor="text1"/>
          <w14:textFill>
            <w14:solidFill>
              <w14:schemeClr w14:val="tx1"/>
            </w14:solidFill>
          </w14:textFill>
        </w:rPr>
      </w:pPr>
    </w:p>
    <w:p w14:paraId="437E1F08">
      <w:pPr>
        <w:widowControl/>
        <w:snapToGrid w:val="0"/>
        <w:spacing w:line="360" w:lineRule="auto"/>
        <w:jc w:val="left"/>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124" w:name="_Toc325726037"/>
      <w:bookmarkStart w:id="125" w:name="_Toc376936768"/>
      <w:r>
        <w:rPr>
          <w:rFonts w:hint="eastAsia" w:ascii="宋体"/>
          <w:b/>
          <w:color w:val="000000" w:themeColor="text1"/>
          <w:sz w:val="28"/>
          <w:szCs w:val="28"/>
          <w14:textFill>
            <w14:solidFill>
              <w14:schemeClr w14:val="tx1"/>
            </w14:solidFill>
          </w14:textFill>
        </w:rPr>
        <w:t>1：投 标 函</w:t>
      </w:r>
      <w:bookmarkEnd w:id="123"/>
      <w:bookmarkEnd w:id="124"/>
      <w:bookmarkEnd w:id="125"/>
    </w:p>
    <w:p w14:paraId="596E75D6">
      <w:pPr>
        <w:ind w:firstLine="3813" w:firstLineChars="1055"/>
        <w:rPr>
          <w:rFonts w:ascii="宋体" w:hAnsi="宋体"/>
          <w:b/>
          <w:color w:val="000000" w:themeColor="text1"/>
          <w:sz w:val="36"/>
          <w:szCs w:val="36"/>
          <w14:textFill>
            <w14:solidFill>
              <w14:schemeClr w14:val="tx1"/>
            </w14:solidFill>
          </w14:textFill>
        </w:rPr>
      </w:pPr>
    </w:p>
    <w:p w14:paraId="6271ACE4">
      <w:pPr>
        <w:ind w:firstLine="3813" w:firstLineChars="105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投标函</w:t>
      </w:r>
    </w:p>
    <w:p w14:paraId="6A5F657A">
      <w:pPr>
        <w:adjustRightInd w:val="0"/>
        <w:textAlignment w:val="baseline"/>
        <w:rPr>
          <w:rFonts w:hint="eastAsia" w:ascii="宋体" w:hAnsi="宋体" w:eastAsiaTheme="minorEastAsia"/>
          <w:b/>
          <w:color w:val="000000" w:themeColor="text1"/>
          <w:lang w:eastAsia="zh-CN"/>
          <w14:textFill>
            <w14:solidFill>
              <w14:schemeClr w14:val="tx1"/>
            </w14:solidFill>
          </w14:textFill>
        </w:rPr>
      </w:pPr>
      <w:r>
        <w:rPr>
          <w:rFonts w:hint="eastAsia" w:ascii="宋体" w:hAnsi="宋体"/>
          <w:b/>
          <w:color w:val="000000" w:themeColor="text1"/>
          <w14:textFill>
            <w14:solidFill>
              <w14:schemeClr w14:val="tx1"/>
            </w14:solidFill>
          </w14:textFill>
        </w:rPr>
        <w:t>致：</w:t>
      </w:r>
      <w:r>
        <w:rPr>
          <w:rFonts w:hint="eastAsia" w:ascii="宋体" w:hAnsi="宋体"/>
          <w:b/>
          <w:color w:val="000000" w:themeColor="text1"/>
          <w:lang w:eastAsia="zh-CN"/>
          <w14:textFill>
            <w14:solidFill>
              <w14:schemeClr w14:val="tx1"/>
            </w14:solidFill>
          </w14:textFill>
        </w:rPr>
        <w:t>海南州政府采购服务中心</w:t>
      </w:r>
    </w:p>
    <w:p w14:paraId="48B7CFC6">
      <w:pPr>
        <w:adjustRightInd w:val="0"/>
        <w:ind w:firstLine="480"/>
        <w:textAlignment w:val="baseline"/>
        <w:rPr>
          <w:rFonts w:ascii="宋体" w:hAnsi="宋体"/>
          <w:color w:val="000000" w:themeColor="text1"/>
          <w14:textFill>
            <w14:solidFill>
              <w14:schemeClr w14:val="tx1"/>
            </w14:solidFill>
          </w14:textFill>
        </w:rPr>
      </w:pPr>
    </w:p>
    <w:p w14:paraId="238F2373">
      <w:pPr>
        <w:adjustRightInd w:val="0"/>
        <w:ind w:firstLine="480"/>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w:t>
      </w:r>
      <w:r>
        <w:rPr>
          <w:rFonts w:hint="eastAsia" w:ascii="宋体" w:hAnsi="宋体"/>
          <w:color w:val="000000" w:themeColor="text1"/>
          <w:u w:val="single"/>
          <w:lang w:eastAsia="zh-CN"/>
          <w14:textFill>
            <w14:solidFill>
              <w14:schemeClr w14:val="tx1"/>
            </w14:solidFill>
          </w14:textFill>
        </w:rPr>
        <w:t>南政采公招（服务）2024-28号</w:t>
      </w:r>
      <w:r>
        <w:rPr>
          <w:rFonts w:hint="eastAsia" w:ascii="宋体" w:hAnsi="宋体"/>
          <w:color w:val="000000" w:themeColor="text1"/>
          <w14:textFill>
            <w14:solidFill>
              <w14:schemeClr w14:val="tx1"/>
            </w14:solidFill>
          </w14:textFill>
        </w:rPr>
        <w:t xml:space="preserve">招标文件，经研究，法定代表人（姓名、职务）正式授权（委托代理人姓名、职务）代表投标人（投标人名称、地址）提交投标文件。    </w:t>
      </w:r>
    </w:p>
    <w:p w14:paraId="756C9A28">
      <w:pPr>
        <w:adjustRightInd w:val="0"/>
        <w:ind w:firstLine="371"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14:paraId="79863AEC">
      <w:pPr>
        <w:adjustRightInd w:val="0"/>
        <w:ind w:firstLine="371"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1、我方已详阅招标文件的全部内容，包括澄清、修改条款等有关附件，承诺对其完全理解并接受。</w:t>
      </w:r>
    </w:p>
    <w:p w14:paraId="413C6ED2">
      <w:pPr>
        <w:adjustRightInd w:val="0"/>
        <w:ind w:firstLine="371"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2、投标有效期自开标之日起60天内有效。如果在规定的开标时间后，我方在投标有效期内撤回投标或中标后不签订合同时的，投标保证金将被贵方没收。</w:t>
      </w:r>
    </w:p>
    <w:p w14:paraId="4F01BDBE">
      <w:pPr>
        <w:adjustRightInd w:val="0"/>
        <w:ind w:firstLine="371"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3、我方同意按照贵方要求提供与投标有关的一切数据或资料，理解并接受贵方制定的评标办法。</w:t>
      </w:r>
    </w:p>
    <w:p w14:paraId="778C2B07">
      <w:pPr>
        <w:adjustRightInd w:val="0"/>
        <w:ind w:firstLine="371"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4、与本投标有关的一切正式往来通讯请寄：</w:t>
      </w:r>
    </w:p>
    <w:p w14:paraId="75A8B337">
      <w:pPr>
        <w:adjustRightInd w:val="0"/>
        <w:ind w:firstLine="371"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地址：_______________   邮编：______________</w:t>
      </w:r>
    </w:p>
    <w:p w14:paraId="6D94019B">
      <w:pPr>
        <w:adjustRightInd w:val="0"/>
        <w:ind w:firstLine="371"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电话：_______________   传真：______________</w:t>
      </w:r>
    </w:p>
    <w:p w14:paraId="1D3B2375">
      <w:pPr>
        <w:adjustRightInd w:val="0"/>
        <w:ind w:firstLine="371"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法定代表人姓名： ___________ 职务：____________</w:t>
      </w:r>
    </w:p>
    <w:p w14:paraId="4A7E16F2">
      <w:pPr>
        <w:adjustRightInd w:val="0"/>
        <w:ind w:firstLine="480"/>
        <w:textAlignment w:val="baseline"/>
        <w:rPr>
          <w:rFonts w:ascii="宋体" w:hAnsi="宋体"/>
          <w:color w:val="000000" w:themeColor="text1"/>
          <w14:textFill>
            <w14:solidFill>
              <w14:schemeClr w14:val="tx1"/>
            </w14:solidFill>
          </w14:textFill>
        </w:rPr>
      </w:pPr>
    </w:p>
    <w:p w14:paraId="1A80BA2D">
      <w:pPr>
        <w:ind w:firstLine="480"/>
        <w:rPr>
          <w:rFonts w:ascii="宋体" w:hAnsi="宋体"/>
          <w:color w:val="000000" w:themeColor="text1"/>
          <w14:textFill>
            <w14:solidFill>
              <w14:schemeClr w14:val="tx1"/>
            </w14:solidFill>
          </w14:textFill>
        </w:rPr>
      </w:pPr>
    </w:p>
    <w:p w14:paraId="200B1B4C">
      <w:pPr>
        <w:ind w:firstLine="480"/>
        <w:rPr>
          <w:rFonts w:ascii="宋体" w:hAnsi="宋体"/>
          <w:color w:val="000000" w:themeColor="text1"/>
          <w14:textFill>
            <w14:solidFill>
              <w14:schemeClr w14:val="tx1"/>
            </w14:solidFill>
          </w14:textFill>
        </w:rPr>
      </w:pPr>
    </w:p>
    <w:p w14:paraId="055141DB">
      <w:pPr>
        <w:ind w:firstLine="560"/>
        <w:rPr>
          <w:rFonts w:ascii="宋体" w:hAnsi="宋体"/>
          <w:color w:val="000000" w:themeColor="text1"/>
          <w:sz w:val="28"/>
          <w:szCs w:val="28"/>
          <w14:textFill>
            <w14:solidFill>
              <w14:schemeClr w14:val="tx1"/>
            </w14:solidFill>
          </w14:textFill>
        </w:rPr>
      </w:pPr>
    </w:p>
    <w:p w14:paraId="0879F806">
      <w:pPr>
        <w:adjustRightInd w:val="0"/>
        <w:ind w:firstLine="560"/>
        <w:textAlignment w:val="baseline"/>
        <w:rPr>
          <w:rFonts w:ascii="仿宋_GB2312" w:hAnsi="宋体" w:eastAsia="仿宋_GB2312"/>
          <w:color w:val="000000" w:themeColor="text1"/>
          <w:sz w:val="28"/>
          <w:szCs w:val="28"/>
          <w14:textFill>
            <w14:solidFill>
              <w14:schemeClr w14:val="tx1"/>
            </w14:solidFill>
          </w14:textFill>
        </w:rPr>
      </w:pPr>
    </w:p>
    <w:p w14:paraId="19CBDC1B">
      <w:pPr>
        <w:adjustRightInd w:val="0"/>
        <w:ind w:firstLine="560"/>
        <w:textAlignment w:val="baseline"/>
        <w:rPr>
          <w:rFonts w:ascii="仿宋_GB2312" w:hAnsi="宋体" w:eastAsia="仿宋_GB2312"/>
          <w:color w:val="000000" w:themeColor="text1"/>
          <w:sz w:val="28"/>
          <w:szCs w:val="28"/>
          <w14:textFill>
            <w14:solidFill>
              <w14:schemeClr w14:val="tx1"/>
            </w14:solidFill>
          </w14:textFill>
        </w:rPr>
      </w:pPr>
    </w:p>
    <w:p w14:paraId="5BE839A3">
      <w:pPr>
        <w:adjustRightInd w:val="0"/>
        <w:ind w:firstLine="560"/>
        <w:textAlignment w:val="baseline"/>
        <w:rPr>
          <w:rFonts w:ascii="仿宋_GB2312" w:hAnsi="宋体" w:eastAsia="仿宋_GB2312"/>
          <w:color w:val="000000" w:themeColor="text1"/>
          <w:sz w:val="28"/>
          <w:szCs w:val="28"/>
          <w14:textFill>
            <w14:solidFill>
              <w14:schemeClr w14:val="tx1"/>
            </w14:solidFill>
          </w14:textFill>
        </w:rPr>
      </w:pPr>
    </w:p>
    <w:p w14:paraId="156C32E0">
      <w:pPr>
        <w:adjustRightInd w:val="0"/>
        <w:textAlignment w:val="baseline"/>
        <w:rPr>
          <w:rFonts w:ascii="仿宋_GB2312" w:hAnsi="宋体" w:eastAsia="仿宋_GB2312"/>
          <w:color w:val="000000" w:themeColor="text1"/>
          <w:sz w:val="28"/>
          <w:szCs w:val="28"/>
          <w14:textFill>
            <w14:solidFill>
              <w14:schemeClr w14:val="tx1"/>
            </w14:solidFill>
          </w14:textFill>
        </w:rPr>
      </w:pPr>
    </w:p>
    <w:p w14:paraId="294B8F0E">
      <w:pPr>
        <w:adjustRightInd w:val="0"/>
        <w:textAlignment w:val="baseline"/>
        <w:rPr>
          <w:rFonts w:ascii="仿宋_GB2312" w:hAnsi="宋体" w:eastAsia="仿宋_GB2312"/>
          <w:color w:val="000000" w:themeColor="text1"/>
          <w:sz w:val="28"/>
          <w:szCs w:val="28"/>
          <w14:textFill>
            <w14:solidFill>
              <w14:schemeClr w14:val="tx1"/>
            </w14:solidFill>
          </w14:textFill>
        </w:rPr>
      </w:pPr>
    </w:p>
    <w:p w14:paraId="0A21FBA1">
      <w:pPr>
        <w:ind w:right="48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投标单位：</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3731D12">
      <w:pPr>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419777D5">
      <w:pPr>
        <w:ind w:right="1200" w:firstLine="482"/>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年  月  日</w:t>
      </w:r>
    </w:p>
    <w:p w14:paraId="02DB86B6">
      <w:pPr>
        <w:ind w:firstLine="482"/>
        <w:jc w:val="center"/>
        <w:rPr>
          <w:rFonts w:ascii="宋体" w:hAnsi="宋体"/>
          <w:b/>
          <w:color w:val="000000" w:themeColor="text1"/>
          <w14:textFill>
            <w14:solidFill>
              <w14:schemeClr w14:val="tx1"/>
            </w14:solidFill>
          </w14:textFill>
        </w:rPr>
      </w:pPr>
    </w:p>
    <w:p w14:paraId="1E35ABE5">
      <w:pPr>
        <w:ind w:firstLine="482"/>
        <w:jc w:val="center"/>
        <w:rPr>
          <w:rFonts w:ascii="宋体" w:hAnsi="宋体"/>
          <w:b/>
          <w:color w:val="000000" w:themeColor="text1"/>
          <w14:textFill>
            <w14:solidFill>
              <w14:schemeClr w14:val="tx1"/>
            </w14:solidFill>
          </w14:textFill>
        </w:rPr>
      </w:pPr>
    </w:p>
    <w:p w14:paraId="66BA2D59">
      <w:pPr>
        <w:widowControl/>
        <w:snapToGrid w:val="0"/>
        <w:spacing w:line="360" w:lineRule="auto"/>
        <w:outlineLvl w:val="1"/>
        <w:rPr>
          <w:rFonts w:ascii="宋体"/>
          <w:b/>
          <w:color w:val="000000" w:themeColor="text1"/>
          <w:sz w:val="28"/>
          <w:szCs w:val="28"/>
          <w14:textFill>
            <w14:solidFill>
              <w14:schemeClr w14:val="tx1"/>
            </w14:solidFill>
          </w14:textFill>
        </w:rPr>
      </w:pPr>
      <w:bookmarkStart w:id="126" w:name="_Toc67558603"/>
    </w:p>
    <w:p w14:paraId="23CDB25B">
      <w:pPr>
        <w:widowControl/>
        <w:snapToGrid w:val="0"/>
        <w:spacing w:line="360" w:lineRule="auto"/>
        <w:outlineLvl w:val="1"/>
        <w:rPr>
          <w:rFonts w:ascii="宋体"/>
          <w:b/>
          <w:color w:val="000000" w:themeColor="text1"/>
          <w:sz w:val="28"/>
          <w:szCs w:val="28"/>
          <w14:textFill>
            <w14:solidFill>
              <w14:schemeClr w14:val="tx1"/>
            </w14:solidFill>
          </w14:textFill>
        </w:rPr>
      </w:pPr>
    </w:p>
    <w:p w14:paraId="45A357D4">
      <w:pPr>
        <w:widowControl/>
        <w:snapToGrid w:val="0"/>
        <w:spacing w:line="360" w:lineRule="auto"/>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127" w:name="_Toc325726043"/>
      <w:bookmarkStart w:id="128" w:name="_Toc376936774"/>
      <w:bookmarkStart w:id="129" w:name="_Toc325726042"/>
      <w:bookmarkStart w:id="130" w:name="_Toc376936773"/>
      <w:r>
        <w:rPr>
          <w:rFonts w:hint="eastAsia" w:ascii="宋体"/>
          <w:b/>
          <w:color w:val="000000" w:themeColor="text1"/>
          <w:sz w:val="28"/>
          <w:szCs w:val="28"/>
          <w14:textFill>
            <w14:solidFill>
              <w14:schemeClr w14:val="tx1"/>
            </w14:solidFill>
          </w14:textFill>
        </w:rPr>
        <w:t>2：法定代表人证明书</w:t>
      </w:r>
      <w:bookmarkEnd w:id="126"/>
      <w:bookmarkEnd w:id="127"/>
      <w:bookmarkEnd w:id="128"/>
    </w:p>
    <w:p w14:paraId="0008146C">
      <w:pPr>
        <w:ind w:firstLine="723"/>
        <w:jc w:val="center"/>
        <w:rPr>
          <w:rFonts w:ascii="宋体" w:hAnsi="宋体"/>
          <w:b/>
          <w:bCs/>
          <w:color w:val="000000" w:themeColor="text1"/>
          <w:sz w:val="36"/>
          <w:szCs w:val="36"/>
          <w14:textFill>
            <w14:solidFill>
              <w14:schemeClr w14:val="tx1"/>
            </w14:solidFill>
          </w14:textFill>
        </w:rPr>
      </w:pPr>
    </w:p>
    <w:p w14:paraId="42B38E12">
      <w:pPr>
        <w:ind w:firstLine="723"/>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14:paraId="58406F59">
      <w:pPr>
        <w:rPr>
          <w:rFonts w:hint="eastAsia" w:ascii="宋体" w:hAnsi="宋体" w:eastAsiaTheme="minorEastAsia"/>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color w:val="000000" w:themeColor="text1"/>
          <w:lang w:eastAsia="zh-CN"/>
          <w14:textFill>
            <w14:solidFill>
              <w14:schemeClr w14:val="tx1"/>
            </w14:solidFill>
          </w14:textFill>
        </w:rPr>
        <w:t>海南州政府采购服务中心</w:t>
      </w:r>
    </w:p>
    <w:p w14:paraId="6309FF61">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440C292C">
      <w:pPr>
        <w:autoSpaceDE w:val="0"/>
        <w:autoSpaceDN w:val="0"/>
        <w:adjustRightInd w:val="0"/>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（法定代表人姓名）  </w:t>
      </w:r>
      <w:r>
        <w:rPr>
          <w:rFonts w:hint="eastAsia" w:ascii="宋体" w:hAnsi="宋体" w:cs="宋体"/>
          <w:color w:val="000000" w:themeColor="text1"/>
          <w:kern w:val="0"/>
          <w14:textFill>
            <w14:solidFill>
              <w14:schemeClr w14:val="tx1"/>
            </w14:solidFill>
          </w14:textFill>
        </w:rPr>
        <w:t>现任我单位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职务，为法定代表人，特此证明。</w:t>
      </w:r>
    </w:p>
    <w:p w14:paraId="139C579D">
      <w:pPr>
        <w:autoSpaceDE w:val="0"/>
        <w:autoSpaceDN w:val="0"/>
        <w:adjustRightInd w:val="0"/>
        <w:ind w:firstLine="480"/>
        <w:jc w:val="left"/>
        <w:rPr>
          <w:rFonts w:ascii="宋体" w:hAnsi="宋体"/>
          <w:color w:val="000000" w:themeColor="text1"/>
          <w14:textFill>
            <w14:solidFill>
              <w14:schemeClr w14:val="tx1"/>
            </w14:solidFill>
          </w14:textFill>
        </w:rPr>
      </w:pPr>
    </w:p>
    <w:p w14:paraId="7172E598">
      <w:pPr>
        <w:autoSpaceDE w:val="0"/>
        <w:autoSpaceDN w:val="0"/>
        <w:adjustRightInd w:val="0"/>
        <w:ind w:firstLine="480"/>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法定代表人基本情况：</w:t>
      </w:r>
    </w:p>
    <w:p w14:paraId="7241AF3C">
      <w:pPr>
        <w:autoSpaceDE w:val="0"/>
        <w:autoSpaceDN w:val="0"/>
        <w:adjustRightInd w:val="0"/>
        <w:ind w:firstLine="48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性别：</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年龄：</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民族：</w:t>
      </w:r>
      <w:r>
        <w:rPr>
          <w:rFonts w:hint="eastAsia" w:ascii="宋体" w:hAnsi="宋体" w:cs="宋体"/>
          <w:color w:val="000000" w:themeColor="text1"/>
          <w:kern w:val="0"/>
          <w:u w:val="single"/>
          <w14:textFill>
            <w14:solidFill>
              <w14:schemeClr w14:val="tx1"/>
            </w14:solidFill>
          </w14:textFill>
        </w:rPr>
        <w:t xml:space="preserve">     </w:t>
      </w:r>
    </w:p>
    <w:p w14:paraId="0EFBED31">
      <w:pPr>
        <w:autoSpaceDE w:val="0"/>
        <w:autoSpaceDN w:val="0"/>
        <w:adjustRightInd w:val="0"/>
        <w:ind w:firstLine="48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地址：</w:t>
      </w:r>
      <w:r>
        <w:rPr>
          <w:rFonts w:hint="eastAsia" w:ascii="宋体" w:hAnsi="宋体"/>
          <w:color w:val="000000" w:themeColor="text1"/>
          <w:u w:val="single"/>
          <w14:textFill>
            <w14:solidFill>
              <w14:schemeClr w14:val="tx1"/>
            </w14:solidFill>
          </w14:textFill>
        </w:rPr>
        <w:t xml:space="preserve">                 </w:t>
      </w:r>
    </w:p>
    <w:p w14:paraId="541930CF">
      <w:pPr>
        <w:autoSpaceDE w:val="0"/>
        <w:autoSpaceDN w:val="0"/>
        <w:adjustRightInd w:val="0"/>
        <w:ind w:firstLine="480"/>
        <w:jc w:val="left"/>
        <w:rPr>
          <w:rFonts w:ascii="宋体" w:hAnsi="宋体"/>
          <w:color w:val="000000" w:themeColor="text1"/>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身份证号码：</w:t>
      </w:r>
      <w:r>
        <w:rPr>
          <w:rFonts w:hint="eastAsia" w:ascii="宋体" w:hAnsi="宋体"/>
          <w:color w:val="000000" w:themeColor="text1"/>
          <w:u w:val="single"/>
          <w14:textFill>
            <w14:solidFill>
              <w14:schemeClr w14:val="tx1"/>
            </w14:solidFill>
          </w14:textFill>
        </w:rPr>
        <w:t xml:space="preserve">                 </w:t>
      </w:r>
    </w:p>
    <w:p w14:paraId="08B8D2FC">
      <w:pPr>
        <w:autoSpaceDE w:val="0"/>
        <w:autoSpaceDN w:val="0"/>
        <w:adjustRightInd w:val="0"/>
        <w:ind w:firstLine="48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附法定代表人第二代身份证双面扫描（或复印）件</w:t>
      </w:r>
    </w:p>
    <w:p w14:paraId="6DE05FB1">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069A9084">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70145790">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77EA5380">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503644C4">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54B9E337">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29E60082">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59219480">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59A9F1AA">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04971645">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6E73F758">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114430B0">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3BB79235">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47121674">
      <w:pPr>
        <w:autoSpaceDE w:val="0"/>
        <w:autoSpaceDN w:val="0"/>
        <w:adjustRightInd w:val="0"/>
        <w:ind w:firstLine="480"/>
        <w:jc w:val="left"/>
        <w:rPr>
          <w:rFonts w:ascii="宋体" w:hAnsi="宋体" w:cs="宋体"/>
          <w:color w:val="000000" w:themeColor="text1"/>
          <w:kern w:val="0"/>
          <w14:textFill>
            <w14:solidFill>
              <w14:schemeClr w14:val="tx1"/>
            </w14:solidFill>
          </w14:textFill>
        </w:rPr>
      </w:pPr>
    </w:p>
    <w:p w14:paraId="066398E4">
      <w:pPr>
        <w:autoSpaceDE w:val="0"/>
        <w:autoSpaceDN w:val="0"/>
        <w:adjustRightInd w:val="0"/>
        <w:jc w:val="left"/>
        <w:rPr>
          <w:rFonts w:ascii="宋体" w:hAnsi="宋体" w:cs="宋体"/>
          <w:color w:val="000000" w:themeColor="text1"/>
          <w:kern w:val="0"/>
          <w14:textFill>
            <w14:solidFill>
              <w14:schemeClr w14:val="tx1"/>
            </w14:solidFill>
          </w14:textFill>
        </w:rPr>
      </w:pPr>
    </w:p>
    <w:p w14:paraId="0A4B5328">
      <w:pPr>
        <w:ind w:right="240" w:firstLine="3162" w:firstLineChars="1500"/>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投标单位：</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1A44F1FB">
      <w:pPr>
        <w:ind w:firstLine="482"/>
        <w:jc w:val="left"/>
        <w:rPr>
          <w:rFonts w:ascii="宋体" w:hAnsi="宋体"/>
          <w:b/>
          <w:color w:val="000000" w:themeColor="text1"/>
          <w14:textFill>
            <w14:solidFill>
              <w14:schemeClr w14:val="tx1"/>
            </w14:solidFill>
          </w14:textFill>
        </w:rPr>
      </w:pPr>
    </w:p>
    <w:bookmarkEnd w:id="129"/>
    <w:bookmarkEnd w:id="130"/>
    <w:p w14:paraId="632C366F">
      <w:pPr>
        <w:ind w:right="1200" w:firstLine="482"/>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年  月  日</w:t>
      </w:r>
    </w:p>
    <w:p w14:paraId="5DCB7B5D">
      <w:pPr>
        <w:rPr>
          <w:rFonts w:ascii="宋体"/>
          <w:b/>
          <w:color w:val="000000" w:themeColor="text1"/>
          <w:sz w:val="36"/>
          <w:szCs w:val="36"/>
          <w14:textFill>
            <w14:solidFill>
              <w14:schemeClr w14:val="tx1"/>
            </w14:solidFill>
          </w14:textFill>
        </w:rPr>
      </w:pPr>
    </w:p>
    <w:p w14:paraId="5CEE8FB7">
      <w:pPr>
        <w:rPr>
          <w:rFonts w:ascii="宋体" w:hAnsi="宋体"/>
          <w:b/>
          <w:bCs/>
          <w:color w:val="000000" w:themeColor="text1"/>
          <w14:textFill>
            <w14:solidFill>
              <w14:schemeClr w14:val="tx1"/>
            </w14:solidFill>
          </w14:textFill>
        </w:rPr>
      </w:pPr>
    </w:p>
    <w:p w14:paraId="25ED8211">
      <w:pPr>
        <w:widowControl/>
        <w:snapToGrid w:val="0"/>
        <w:spacing w:line="360" w:lineRule="auto"/>
        <w:outlineLvl w:val="1"/>
        <w:rPr>
          <w:rFonts w:ascii="宋体"/>
          <w:b/>
          <w:color w:val="000000" w:themeColor="text1"/>
          <w:sz w:val="28"/>
          <w:szCs w:val="28"/>
          <w14:textFill>
            <w14:solidFill>
              <w14:schemeClr w14:val="tx1"/>
            </w14:solidFill>
          </w14:textFill>
        </w:rPr>
      </w:pPr>
      <w:bookmarkStart w:id="131" w:name="_Toc201287639"/>
      <w:bookmarkStart w:id="132" w:name="_Toc324756736"/>
      <w:bookmarkStart w:id="133" w:name="_Toc67558604"/>
    </w:p>
    <w:p w14:paraId="6C9B9F1E">
      <w:pPr>
        <w:widowControl/>
        <w:snapToGrid w:val="0"/>
        <w:spacing w:line="360" w:lineRule="auto"/>
        <w:outlineLvl w:val="1"/>
        <w:rPr>
          <w:rFonts w:ascii="宋体"/>
          <w:b/>
          <w:color w:val="000000" w:themeColor="text1"/>
          <w:sz w:val="28"/>
          <w:szCs w:val="28"/>
          <w14:textFill>
            <w14:solidFill>
              <w14:schemeClr w14:val="tx1"/>
            </w14:solidFill>
          </w14:textFill>
        </w:rPr>
      </w:pPr>
    </w:p>
    <w:p w14:paraId="59EBADD0">
      <w:pPr>
        <w:widowControl/>
        <w:snapToGrid w:val="0"/>
        <w:spacing w:line="360" w:lineRule="auto"/>
        <w:outlineLvl w:val="1"/>
        <w:rPr>
          <w:rFonts w:ascii="宋体"/>
          <w:b/>
          <w:color w:val="000000" w:themeColor="text1"/>
          <w:sz w:val="28"/>
          <w:szCs w:val="28"/>
          <w14:textFill>
            <w14:solidFill>
              <w14:schemeClr w14:val="tx1"/>
            </w14:solidFill>
          </w14:textFill>
        </w:rPr>
      </w:pPr>
    </w:p>
    <w:p w14:paraId="3B672BE4">
      <w:pPr>
        <w:widowControl/>
        <w:snapToGrid w:val="0"/>
        <w:spacing w:line="360" w:lineRule="auto"/>
        <w:outlineLvl w:val="1"/>
        <w:rPr>
          <w:rFonts w:ascii="宋体"/>
          <w:b/>
          <w:color w:val="000000" w:themeColor="text1"/>
          <w:sz w:val="28"/>
          <w:szCs w:val="28"/>
          <w14:textFill>
            <w14:solidFill>
              <w14:schemeClr w14:val="tx1"/>
            </w14:solidFill>
          </w14:textFill>
        </w:rPr>
      </w:pPr>
    </w:p>
    <w:p w14:paraId="7A4ECF9D">
      <w:pPr>
        <w:widowControl/>
        <w:snapToGrid w:val="0"/>
        <w:spacing w:line="360" w:lineRule="auto"/>
        <w:outlineLvl w:val="1"/>
        <w:rPr>
          <w:rFonts w:ascii="宋体"/>
          <w:b/>
          <w:color w:val="000000" w:themeColor="text1"/>
          <w:sz w:val="28"/>
          <w:szCs w:val="28"/>
          <w14:textFill>
            <w14:solidFill>
              <w14:schemeClr w14:val="tx1"/>
            </w14:solidFill>
          </w14:textFill>
        </w:rPr>
      </w:pPr>
    </w:p>
    <w:p w14:paraId="7AE63617">
      <w:pPr>
        <w:widowControl/>
        <w:snapToGrid w:val="0"/>
        <w:spacing w:line="360" w:lineRule="auto"/>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End w:id="131"/>
      <w:bookmarkEnd w:id="132"/>
      <w:r>
        <w:rPr>
          <w:rFonts w:hint="eastAsia" w:ascii="宋体"/>
          <w:b/>
          <w:color w:val="000000" w:themeColor="text1"/>
          <w:sz w:val="28"/>
          <w:szCs w:val="28"/>
          <w14:textFill>
            <w14:solidFill>
              <w14:schemeClr w14:val="tx1"/>
            </w14:solidFill>
          </w14:textFill>
        </w:rPr>
        <w:t>3：法定代表人授权书</w:t>
      </w:r>
      <w:bookmarkEnd w:id="133"/>
    </w:p>
    <w:p w14:paraId="5AE4AED2">
      <w:pPr>
        <w:ind w:firstLine="3813" w:firstLineChars="1055"/>
        <w:rPr>
          <w:rFonts w:ascii="宋体" w:hAnsi="宋体"/>
          <w:b/>
          <w:color w:val="000000" w:themeColor="text1"/>
          <w:sz w:val="36"/>
          <w:szCs w:val="36"/>
          <w14:textFill>
            <w14:solidFill>
              <w14:schemeClr w14:val="tx1"/>
            </w14:solidFill>
          </w14:textFill>
        </w:rPr>
      </w:pPr>
    </w:p>
    <w:p w14:paraId="13429C1D">
      <w:pPr>
        <w:ind w:firstLine="2909" w:firstLineChars="80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14:paraId="0797459F">
      <w:pPr>
        <w:ind w:firstLine="173" w:firstLineChars="82"/>
        <w:rPr>
          <w:rFonts w:hint="eastAsia" w:ascii="宋体" w:hAnsi="宋体" w:eastAsiaTheme="minorEastAsia"/>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color w:val="000000" w:themeColor="text1"/>
          <w:lang w:eastAsia="zh-CN"/>
          <w14:textFill>
            <w14:solidFill>
              <w14:schemeClr w14:val="tx1"/>
            </w14:solidFill>
          </w14:textFill>
        </w:rPr>
        <w:t>海南州政府采购服务中心</w:t>
      </w:r>
    </w:p>
    <w:p w14:paraId="5F3938B0">
      <w:pPr>
        <w:ind w:firstLine="480"/>
        <w:rPr>
          <w:rFonts w:ascii="宋体" w:hAnsi="宋体"/>
          <w:color w:val="000000" w:themeColor="text1"/>
          <w:u w:val="single"/>
          <w14:textFill>
            <w14:solidFill>
              <w14:schemeClr w14:val="tx1"/>
            </w14:solidFill>
          </w14:textFill>
        </w:rPr>
      </w:pPr>
    </w:p>
    <w:p w14:paraId="5735235A">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（投标人名称）  </w:t>
      </w:r>
      <w:r>
        <w:rPr>
          <w:rFonts w:hint="eastAsia" w:ascii="宋体" w:hAnsi="宋体"/>
          <w:color w:val="000000" w:themeColor="text1"/>
          <w14:textFill>
            <w14:solidFill>
              <w14:schemeClr w14:val="tx1"/>
            </w14:solidFill>
          </w14:textFill>
        </w:rPr>
        <w:t>系中华人民共和国合法企业，法定地址</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14:paraId="4C33B28D">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（法定代表人姓名）   </w:t>
      </w:r>
      <w:r>
        <w:rPr>
          <w:rFonts w:hint="eastAsia" w:ascii="宋体" w:hAnsi="宋体"/>
          <w:color w:val="000000" w:themeColor="text1"/>
          <w14:textFill>
            <w14:solidFill>
              <w14:schemeClr w14:val="tx1"/>
            </w14:solidFill>
          </w14:textFill>
        </w:rPr>
        <w:t>特授权</w:t>
      </w:r>
      <w:r>
        <w:rPr>
          <w:rFonts w:hint="eastAsia" w:ascii="宋体" w:hAnsi="宋体"/>
          <w:color w:val="000000" w:themeColor="text1"/>
          <w:u w:val="single"/>
          <w14:textFill>
            <w14:solidFill>
              <w14:schemeClr w14:val="tx1"/>
            </w14:solidFill>
          </w14:textFill>
        </w:rPr>
        <w:t xml:space="preserve"> （委托代理人姓名）    </w:t>
      </w:r>
      <w:r>
        <w:rPr>
          <w:rFonts w:hint="eastAsia" w:ascii="宋体" w:hAnsi="宋体"/>
          <w:color w:val="000000" w:themeColor="text1"/>
          <w14:textFill>
            <w14:solidFill>
              <w14:schemeClr w14:val="tx1"/>
            </w14:solidFill>
          </w14:textFill>
        </w:rPr>
        <w:t>代表我单位全权办理针对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项目的投标、答疑等具体工作，并签署全部有关的文件、资料。</w:t>
      </w:r>
    </w:p>
    <w:p w14:paraId="680394AB">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我单位对被授权人的签名负全部责任。</w:t>
      </w:r>
    </w:p>
    <w:p w14:paraId="41A35F2B">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在撤销授权的书面通知以前，本授权书一直有效，被授权人签署的所有文件（在授权书有效期内签署的）不因授权的撤销而失效。</w:t>
      </w:r>
    </w:p>
    <w:p w14:paraId="5B0B2E67">
      <w:pPr>
        <w:ind w:firstLine="480"/>
        <w:rPr>
          <w:rFonts w:ascii="宋体" w:hAnsi="宋体"/>
          <w:color w:val="000000" w:themeColor="text1"/>
          <w14:textFill>
            <w14:solidFill>
              <w14:schemeClr w14:val="tx1"/>
            </w14:solidFill>
          </w14:textFill>
        </w:rPr>
      </w:pPr>
    </w:p>
    <w:p w14:paraId="53ED7FA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授权期限：自</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日起至</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日止。</w:t>
      </w:r>
    </w:p>
    <w:p w14:paraId="728B80F5">
      <w:pPr>
        <w:ind w:firstLine="480"/>
        <w:rPr>
          <w:rFonts w:ascii="宋体" w:hAnsi="宋体"/>
          <w:color w:val="000000" w:themeColor="text1"/>
          <w14:textFill>
            <w14:solidFill>
              <w14:schemeClr w14:val="tx1"/>
            </w14:solidFill>
          </w14:textFill>
        </w:rPr>
      </w:pPr>
    </w:p>
    <w:p w14:paraId="0CA239F0">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被授权人联系电话：</w:t>
      </w:r>
      <w:r>
        <w:rPr>
          <w:rFonts w:hint="eastAsia" w:ascii="宋体" w:hAnsi="宋体"/>
          <w:color w:val="000000" w:themeColor="text1"/>
          <w:u w:val="single"/>
          <w14:textFill>
            <w14:solidFill>
              <w14:schemeClr w14:val="tx1"/>
            </w14:solidFill>
          </w14:textFill>
        </w:rPr>
        <w:t xml:space="preserve">           </w:t>
      </w:r>
    </w:p>
    <w:p w14:paraId="3CC3A16B">
      <w:pPr>
        <w:ind w:firstLine="480"/>
        <w:rPr>
          <w:rFonts w:ascii="宋体" w:hAnsi="宋体"/>
          <w:color w:val="000000" w:themeColor="text1"/>
          <w14:textFill>
            <w14:solidFill>
              <w14:schemeClr w14:val="tx1"/>
            </w14:solidFill>
          </w14:textFill>
        </w:rPr>
      </w:pPr>
    </w:p>
    <w:p w14:paraId="2098EC54">
      <w:pPr>
        <w:ind w:firstLine="480"/>
        <w:rPr>
          <w:rFonts w:ascii="宋体" w:hAnsi="宋体"/>
          <w:color w:val="000000" w:themeColor="text1"/>
          <w14:textFill>
            <w14:solidFill>
              <w14:schemeClr w14:val="tx1"/>
            </w14:solidFill>
          </w14:textFill>
        </w:rPr>
      </w:pPr>
    </w:p>
    <w:p w14:paraId="308E95CE">
      <w:pPr>
        <w:ind w:firstLine="480"/>
        <w:rPr>
          <w:rFonts w:ascii="宋体" w:hAnsi="宋体"/>
          <w:color w:val="000000" w:themeColor="text1"/>
          <w14:textFill>
            <w14:solidFill>
              <w14:schemeClr w14:val="tx1"/>
            </w14:solidFill>
          </w14:textFill>
        </w:rPr>
      </w:pPr>
    </w:p>
    <w:p w14:paraId="47C6BD9C">
      <w:pPr>
        <w:ind w:firstLine="480"/>
        <w:rPr>
          <w:rFonts w:ascii="宋体" w:hAnsi="宋体"/>
          <w:color w:val="000000" w:themeColor="text1"/>
          <w14:textFill>
            <w14:solidFill>
              <w14:schemeClr w14:val="tx1"/>
            </w14:solidFill>
          </w14:textFill>
        </w:rPr>
      </w:pPr>
    </w:p>
    <w:p w14:paraId="519CC710">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被授权人（委托代理人）签字或盖章：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职务：</w:t>
      </w:r>
      <w:r>
        <w:rPr>
          <w:rFonts w:hint="eastAsia" w:ascii="宋体" w:hAnsi="宋体"/>
          <w:color w:val="000000" w:themeColor="text1"/>
          <w:u w:val="single"/>
          <w14:textFill>
            <w14:solidFill>
              <w14:schemeClr w14:val="tx1"/>
            </w14:solidFill>
          </w14:textFill>
        </w:rPr>
        <w:t xml:space="preserve">            </w:t>
      </w:r>
    </w:p>
    <w:p w14:paraId="74D04B81">
      <w:pPr>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授权人（法定代表人）签字或盖章：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职务：</w:t>
      </w:r>
      <w:r>
        <w:rPr>
          <w:rFonts w:hint="eastAsia" w:ascii="宋体" w:hAnsi="宋体"/>
          <w:color w:val="000000" w:themeColor="text1"/>
          <w:u w:val="single"/>
          <w14:textFill>
            <w14:solidFill>
              <w14:schemeClr w14:val="tx1"/>
            </w14:solidFill>
          </w14:textFill>
        </w:rPr>
        <w:t xml:space="preserve">            </w:t>
      </w:r>
    </w:p>
    <w:p w14:paraId="3BEA7BE3">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14:paraId="4F7FDF99">
      <w:pPr>
        <w:autoSpaceDE w:val="0"/>
        <w:autoSpaceDN w:val="0"/>
        <w:adjustRightInd w:val="0"/>
        <w:ind w:firstLine="48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附被授权人第二代身份证双面扫描（或复印）件</w:t>
      </w:r>
    </w:p>
    <w:p w14:paraId="2A2163B0">
      <w:pPr>
        <w:ind w:firstLine="480"/>
        <w:jc w:val="center"/>
        <w:rPr>
          <w:rFonts w:ascii="宋体" w:hAnsi="宋体"/>
          <w:color w:val="000000" w:themeColor="text1"/>
          <w14:textFill>
            <w14:solidFill>
              <w14:schemeClr w14:val="tx1"/>
            </w14:solidFill>
          </w14:textFill>
        </w:rPr>
      </w:pPr>
    </w:p>
    <w:p w14:paraId="443E70B5">
      <w:pPr>
        <w:ind w:firstLine="480"/>
        <w:jc w:val="center"/>
        <w:rPr>
          <w:rFonts w:ascii="宋体" w:hAnsi="宋体"/>
          <w:color w:val="000000" w:themeColor="text1"/>
          <w14:textFill>
            <w14:solidFill>
              <w14:schemeClr w14:val="tx1"/>
            </w14:solidFill>
          </w14:textFill>
        </w:rPr>
      </w:pPr>
    </w:p>
    <w:p w14:paraId="488EFC12">
      <w:pPr>
        <w:ind w:firstLine="480"/>
        <w:rPr>
          <w:rFonts w:ascii="宋体" w:hAnsi="宋体"/>
          <w:color w:val="000000" w:themeColor="text1"/>
          <w14:textFill>
            <w14:solidFill>
              <w14:schemeClr w14:val="tx1"/>
            </w14:solidFill>
          </w14:textFill>
        </w:rPr>
      </w:pPr>
    </w:p>
    <w:p w14:paraId="173F238E">
      <w:pPr>
        <w:rPr>
          <w:rFonts w:ascii="宋体" w:hAnsi="宋体"/>
          <w:color w:val="000000" w:themeColor="text1"/>
          <w14:textFill>
            <w14:solidFill>
              <w14:schemeClr w14:val="tx1"/>
            </w14:solidFill>
          </w14:textFill>
        </w:rPr>
      </w:pPr>
    </w:p>
    <w:p w14:paraId="6DDA73B9">
      <w:pPr>
        <w:ind w:firstLine="3662" w:firstLineChars="1737"/>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投标单位：</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44A2D34">
      <w:pPr>
        <w:ind w:firstLine="3662" w:firstLineChars="1737"/>
        <w:rPr>
          <w:rFonts w:ascii="宋体" w:hAnsi="宋体"/>
          <w:b/>
          <w:color w:val="000000" w:themeColor="text1"/>
          <w14:textFill>
            <w14:solidFill>
              <w14:schemeClr w14:val="tx1"/>
            </w14:solidFill>
          </w14:textFill>
        </w:rPr>
      </w:pPr>
    </w:p>
    <w:p w14:paraId="3E7076D6">
      <w:pPr>
        <w:ind w:right="480" w:firstLine="4400" w:firstLineChars="2087"/>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75DFF376">
      <w:pPr>
        <w:widowControl/>
        <w:snapToGrid w:val="0"/>
        <w:spacing w:line="360" w:lineRule="auto"/>
        <w:outlineLvl w:val="1"/>
        <w:rPr>
          <w:rFonts w:ascii="宋体"/>
          <w:b/>
          <w:color w:val="000000" w:themeColor="text1"/>
          <w:sz w:val="28"/>
          <w:szCs w:val="28"/>
          <w14:textFill>
            <w14:solidFill>
              <w14:schemeClr w14:val="tx1"/>
            </w14:solidFill>
          </w14:textFill>
        </w:rPr>
      </w:pPr>
    </w:p>
    <w:p w14:paraId="60E7600E">
      <w:pPr>
        <w:widowControl/>
        <w:snapToGrid w:val="0"/>
        <w:spacing w:line="360" w:lineRule="auto"/>
        <w:outlineLvl w:val="1"/>
        <w:rPr>
          <w:rFonts w:ascii="宋体"/>
          <w:b/>
          <w:color w:val="000000" w:themeColor="text1"/>
          <w:sz w:val="28"/>
          <w:szCs w:val="28"/>
          <w14:textFill>
            <w14:solidFill>
              <w14:schemeClr w14:val="tx1"/>
            </w14:solidFill>
          </w14:textFill>
        </w:rPr>
      </w:pPr>
      <w:bookmarkStart w:id="134" w:name="_Toc67558605"/>
    </w:p>
    <w:p w14:paraId="10C417CF">
      <w:pPr>
        <w:widowControl/>
        <w:snapToGrid w:val="0"/>
        <w:spacing w:line="360" w:lineRule="auto"/>
        <w:outlineLvl w:val="1"/>
        <w:rPr>
          <w:rFonts w:ascii="宋体"/>
          <w:b/>
          <w:color w:val="000000" w:themeColor="text1"/>
          <w:sz w:val="28"/>
          <w:szCs w:val="28"/>
          <w14:textFill>
            <w14:solidFill>
              <w14:schemeClr w14:val="tx1"/>
            </w14:solidFill>
          </w14:textFill>
        </w:rPr>
      </w:pPr>
    </w:p>
    <w:p w14:paraId="22304179">
      <w:pPr>
        <w:widowControl/>
        <w:snapToGrid w:val="0"/>
        <w:spacing w:line="360" w:lineRule="auto"/>
        <w:outlineLvl w:val="1"/>
        <w:rPr>
          <w:rFonts w:ascii="宋体"/>
          <w:b/>
          <w:color w:val="000000" w:themeColor="text1"/>
          <w:sz w:val="28"/>
          <w:szCs w:val="28"/>
          <w14:textFill>
            <w14:solidFill>
              <w14:schemeClr w14:val="tx1"/>
            </w14:solidFill>
          </w14:textFill>
        </w:rPr>
      </w:pPr>
    </w:p>
    <w:p w14:paraId="1500632C">
      <w:pPr>
        <w:widowControl/>
        <w:snapToGrid w:val="0"/>
        <w:spacing w:line="360" w:lineRule="auto"/>
        <w:outlineLvl w:val="1"/>
        <w:rPr>
          <w:rFonts w:ascii="宋体"/>
          <w:b/>
          <w:color w:val="000000" w:themeColor="text1"/>
          <w:sz w:val="28"/>
          <w:szCs w:val="28"/>
          <w14:textFill>
            <w14:solidFill>
              <w14:schemeClr w14:val="tx1"/>
            </w14:solidFill>
          </w14:textFill>
        </w:rPr>
      </w:pPr>
    </w:p>
    <w:p w14:paraId="2042D40A">
      <w:pPr>
        <w:widowControl/>
        <w:snapToGrid w:val="0"/>
        <w:spacing w:line="360" w:lineRule="auto"/>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附件4：投标人承诺函</w:t>
      </w:r>
      <w:bookmarkEnd w:id="134"/>
    </w:p>
    <w:p w14:paraId="7A998288">
      <w:pPr>
        <w:ind w:firstLine="723"/>
        <w:jc w:val="center"/>
        <w:rPr>
          <w:rFonts w:ascii="宋体" w:hAnsi="宋体"/>
          <w:b/>
          <w:bCs/>
          <w:color w:val="000000" w:themeColor="text1"/>
          <w:sz w:val="36"/>
          <w:szCs w:val="36"/>
          <w14:textFill>
            <w14:solidFill>
              <w14:schemeClr w14:val="tx1"/>
            </w14:solidFill>
          </w14:textFill>
        </w:rPr>
      </w:pPr>
    </w:p>
    <w:p w14:paraId="6BB8CD82">
      <w:pPr>
        <w:ind w:firstLine="3253" w:firstLineChars="90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投标人承诺函</w:t>
      </w:r>
    </w:p>
    <w:p w14:paraId="29C59193">
      <w:pPr>
        <w:rPr>
          <w:rFonts w:hint="eastAsia" w:ascii="宋体" w:hAnsi="宋体" w:eastAsiaTheme="minorEastAsia"/>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color w:val="000000" w:themeColor="text1"/>
          <w:lang w:eastAsia="zh-CN"/>
          <w14:textFill>
            <w14:solidFill>
              <w14:schemeClr w14:val="tx1"/>
            </w14:solidFill>
          </w14:textFill>
        </w:rPr>
        <w:t>海南州政府采购服务中心</w:t>
      </w:r>
    </w:p>
    <w:p w14:paraId="7C28CB6B">
      <w:pPr>
        <w:ind w:firstLine="480"/>
        <w:rPr>
          <w:rFonts w:ascii="宋体" w:hAnsi="宋体"/>
          <w:color w:val="000000" w:themeColor="text1"/>
          <w14:textFill>
            <w14:solidFill>
              <w14:schemeClr w14:val="tx1"/>
            </w14:solidFill>
          </w14:textFill>
        </w:rPr>
      </w:pPr>
    </w:p>
    <w:p w14:paraId="668FAD6E">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u w:val="single"/>
          <w:lang w:eastAsia="zh-CN"/>
          <w14:textFill>
            <w14:solidFill>
              <w14:schemeClr w14:val="tx1"/>
            </w14:solidFill>
          </w14:textFill>
        </w:rPr>
        <w:t>南政采公招（服务）2024-28号</w:t>
      </w:r>
      <w:r>
        <w:rPr>
          <w:rFonts w:hint="eastAsia" w:ascii="宋体" w:hAnsi="宋体"/>
          <w:color w:val="000000" w:themeColor="text1"/>
          <w14:textFill>
            <w14:solidFill>
              <w14:schemeClr w14:val="tx1"/>
            </w14:solidFill>
          </w14:textFill>
        </w:rPr>
        <w:t>采购项目，本签字人愿意参加投标，提供采购一览表中要求的所有产品，并证实提交的所有资料是准确的和真实的。同时，我代表</w:t>
      </w:r>
      <w:r>
        <w:rPr>
          <w:rFonts w:hint="eastAsia" w:ascii="宋体" w:hAnsi="宋体"/>
          <w:color w:val="000000" w:themeColor="text1"/>
          <w:u w:val="single"/>
          <w14:textFill>
            <w14:solidFill>
              <w14:schemeClr w14:val="tx1"/>
            </w14:solidFill>
          </w14:textFill>
        </w:rPr>
        <w:t>（投标人名称）</w:t>
      </w:r>
      <w:r>
        <w:rPr>
          <w:rFonts w:hint="eastAsia" w:ascii="宋体" w:hAnsi="宋体"/>
          <w:color w:val="000000" w:themeColor="text1"/>
          <w14:textFill>
            <w14:solidFill>
              <w14:schemeClr w14:val="tx1"/>
            </w14:solidFill>
          </w14:textFill>
        </w:rPr>
        <w:t>，在此作如下承诺：</w:t>
      </w:r>
    </w:p>
    <w:p w14:paraId="08373270">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1、完全理解和接受招标文件的一切规定和要求；</w:t>
      </w:r>
    </w:p>
    <w:p w14:paraId="7B3149C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08F8D5BF">
      <w:pPr>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14:paraId="7E5497E8">
      <w:pPr>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4、我方承诺，除招标文件中规定的优质产品外，所投的产品均为国产产品，且均符合国家强制性标准。若有不实，愿承担相应的责任。</w:t>
      </w:r>
    </w:p>
    <w:p w14:paraId="14E2A482">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5、在整个招标过程中我方若有违规行为，贵方可按招标文件之规定给予处罚，我方完全接受。</w:t>
      </w:r>
    </w:p>
    <w:p w14:paraId="07B71367">
      <w:pPr>
        <w:ind w:firstLine="630" w:firstLineChars="3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6、若中标，本承诺将成为合同不可分割的一部分，与合同具有同等的法律效力。</w:t>
      </w:r>
    </w:p>
    <w:p w14:paraId="466833C7">
      <w:pPr>
        <w:ind w:firstLine="480"/>
        <w:rPr>
          <w:rFonts w:ascii="宋体" w:hAnsi="宋体"/>
          <w:color w:val="000000" w:themeColor="text1"/>
          <w14:textFill>
            <w14:solidFill>
              <w14:schemeClr w14:val="tx1"/>
            </w14:solidFill>
          </w14:textFill>
        </w:rPr>
      </w:pPr>
    </w:p>
    <w:p w14:paraId="04272DFE">
      <w:pPr>
        <w:ind w:firstLine="480"/>
        <w:rPr>
          <w:rFonts w:ascii="宋体" w:hAnsi="宋体"/>
          <w:color w:val="000000" w:themeColor="text1"/>
          <w14:textFill>
            <w14:solidFill>
              <w14:schemeClr w14:val="tx1"/>
            </w14:solidFill>
          </w14:textFill>
        </w:rPr>
      </w:pPr>
    </w:p>
    <w:p w14:paraId="54FBB336">
      <w:pPr>
        <w:ind w:firstLine="480"/>
        <w:rPr>
          <w:rFonts w:ascii="宋体" w:hAnsi="宋体"/>
          <w:color w:val="000000" w:themeColor="text1"/>
          <w14:textFill>
            <w14:solidFill>
              <w14:schemeClr w14:val="tx1"/>
            </w14:solidFill>
          </w14:textFill>
        </w:rPr>
      </w:pPr>
    </w:p>
    <w:p w14:paraId="4DB3E915">
      <w:pPr>
        <w:ind w:firstLine="480"/>
        <w:rPr>
          <w:rFonts w:ascii="宋体" w:hAnsi="宋体"/>
          <w:color w:val="000000" w:themeColor="text1"/>
          <w14:textFill>
            <w14:solidFill>
              <w14:schemeClr w14:val="tx1"/>
            </w14:solidFill>
          </w14:textFill>
        </w:rPr>
      </w:pPr>
    </w:p>
    <w:p w14:paraId="0D56D352">
      <w:pPr>
        <w:ind w:firstLine="480"/>
        <w:rPr>
          <w:rFonts w:ascii="宋体" w:hAnsi="宋体"/>
          <w:color w:val="000000" w:themeColor="text1"/>
          <w14:textFill>
            <w14:solidFill>
              <w14:schemeClr w14:val="tx1"/>
            </w14:solidFill>
          </w14:textFill>
        </w:rPr>
      </w:pPr>
    </w:p>
    <w:p w14:paraId="6AD1CD99">
      <w:pPr>
        <w:ind w:firstLine="480"/>
        <w:rPr>
          <w:rFonts w:ascii="宋体" w:hAnsi="宋体"/>
          <w:color w:val="000000" w:themeColor="text1"/>
          <w14:textFill>
            <w14:solidFill>
              <w14:schemeClr w14:val="tx1"/>
            </w14:solidFill>
          </w14:textFill>
        </w:rPr>
      </w:pPr>
    </w:p>
    <w:p w14:paraId="33F347BE">
      <w:pPr>
        <w:ind w:firstLine="480"/>
        <w:rPr>
          <w:rFonts w:ascii="宋体" w:hAnsi="宋体"/>
          <w:color w:val="000000" w:themeColor="text1"/>
          <w14:textFill>
            <w14:solidFill>
              <w14:schemeClr w14:val="tx1"/>
            </w14:solidFill>
          </w14:textFill>
        </w:rPr>
      </w:pPr>
    </w:p>
    <w:p w14:paraId="6A9E089F">
      <w:pPr>
        <w:ind w:firstLine="480"/>
        <w:rPr>
          <w:rFonts w:ascii="宋体" w:hAnsi="宋体"/>
          <w:color w:val="000000" w:themeColor="text1"/>
          <w14:textFill>
            <w14:solidFill>
              <w14:schemeClr w14:val="tx1"/>
            </w14:solidFill>
          </w14:textFill>
        </w:rPr>
      </w:pPr>
    </w:p>
    <w:p w14:paraId="275CDBD4">
      <w:pPr>
        <w:ind w:firstLine="4189" w:firstLineChars="1987"/>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投标单位：</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2D5DBD15">
      <w:pPr>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7798E110">
      <w:pPr>
        <w:ind w:right="480" w:firstLine="4400" w:firstLineChars="2087"/>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3D560CB8">
      <w:pPr>
        <w:widowControl/>
        <w:snapToGrid w:val="0"/>
        <w:spacing w:line="360" w:lineRule="auto"/>
        <w:outlineLvl w:val="1"/>
        <w:rPr>
          <w:rFonts w:ascii="宋体"/>
          <w:b/>
          <w:color w:val="000000" w:themeColor="text1"/>
          <w:sz w:val="28"/>
          <w:szCs w:val="28"/>
          <w14:textFill>
            <w14:solidFill>
              <w14:schemeClr w14:val="tx1"/>
            </w14:solidFill>
          </w14:textFill>
        </w:rPr>
      </w:pPr>
      <w:bookmarkStart w:id="135" w:name="_Toc67558606"/>
    </w:p>
    <w:p w14:paraId="19DBB1CF">
      <w:pPr>
        <w:widowControl/>
        <w:snapToGrid w:val="0"/>
        <w:spacing w:line="360" w:lineRule="auto"/>
        <w:outlineLvl w:val="1"/>
        <w:rPr>
          <w:rFonts w:ascii="宋体"/>
          <w:b/>
          <w:color w:val="000000" w:themeColor="text1"/>
          <w:sz w:val="28"/>
          <w:szCs w:val="28"/>
          <w14:textFill>
            <w14:solidFill>
              <w14:schemeClr w14:val="tx1"/>
            </w14:solidFill>
          </w14:textFill>
        </w:rPr>
      </w:pPr>
    </w:p>
    <w:p w14:paraId="1D4AA245">
      <w:pPr>
        <w:widowControl/>
        <w:snapToGrid w:val="0"/>
        <w:spacing w:line="360" w:lineRule="auto"/>
        <w:outlineLvl w:val="1"/>
        <w:rPr>
          <w:rFonts w:ascii="宋体"/>
          <w:b/>
          <w:color w:val="000000" w:themeColor="text1"/>
          <w:sz w:val="28"/>
          <w:szCs w:val="28"/>
          <w14:textFill>
            <w14:solidFill>
              <w14:schemeClr w14:val="tx1"/>
            </w14:solidFill>
          </w14:textFill>
        </w:rPr>
      </w:pPr>
    </w:p>
    <w:p w14:paraId="18599273">
      <w:pPr>
        <w:widowControl/>
        <w:snapToGrid w:val="0"/>
        <w:spacing w:line="360" w:lineRule="auto"/>
        <w:outlineLvl w:val="1"/>
        <w:rPr>
          <w:rFonts w:ascii="宋体"/>
          <w:b/>
          <w:color w:val="000000" w:themeColor="text1"/>
          <w:sz w:val="28"/>
          <w:szCs w:val="28"/>
          <w14:textFill>
            <w14:solidFill>
              <w14:schemeClr w14:val="tx1"/>
            </w14:solidFill>
          </w14:textFill>
        </w:rPr>
      </w:pPr>
    </w:p>
    <w:p w14:paraId="08EB9DCC">
      <w:pPr>
        <w:widowControl/>
        <w:snapToGrid w:val="0"/>
        <w:spacing w:line="360" w:lineRule="auto"/>
        <w:outlineLvl w:val="1"/>
        <w:rPr>
          <w:rFonts w:ascii="宋体"/>
          <w:b/>
          <w:color w:val="000000" w:themeColor="text1"/>
          <w:sz w:val="28"/>
          <w:szCs w:val="28"/>
          <w14:textFill>
            <w14:solidFill>
              <w14:schemeClr w14:val="tx1"/>
            </w14:solidFill>
          </w14:textFill>
        </w:rPr>
      </w:pPr>
    </w:p>
    <w:p w14:paraId="416DB1BC">
      <w:pPr>
        <w:widowControl/>
        <w:snapToGrid w:val="0"/>
        <w:spacing w:line="360" w:lineRule="auto"/>
        <w:outlineLvl w:val="1"/>
        <w:rPr>
          <w:rFonts w:ascii="宋体"/>
          <w:b/>
          <w:color w:val="000000" w:themeColor="text1"/>
          <w:sz w:val="28"/>
          <w:szCs w:val="28"/>
          <w14:textFill>
            <w14:solidFill>
              <w14:schemeClr w14:val="tx1"/>
            </w14:solidFill>
          </w14:textFill>
        </w:rPr>
      </w:pPr>
    </w:p>
    <w:p w14:paraId="57816D0A">
      <w:pPr>
        <w:widowControl/>
        <w:snapToGrid w:val="0"/>
        <w:spacing w:line="360" w:lineRule="auto"/>
        <w:outlineLvl w:val="1"/>
        <w:rPr>
          <w:rFonts w:ascii="宋体"/>
          <w:b/>
          <w:color w:val="000000" w:themeColor="text1"/>
          <w:sz w:val="28"/>
          <w:szCs w:val="28"/>
          <w14:textFill>
            <w14:solidFill>
              <w14:schemeClr w14:val="tx1"/>
            </w14:solidFill>
          </w14:textFill>
        </w:rPr>
      </w:pPr>
    </w:p>
    <w:p w14:paraId="2E1B14C1">
      <w:pPr>
        <w:widowControl/>
        <w:snapToGrid w:val="0"/>
        <w:spacing w:line="360" w:lineRule="auto"/>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136" w:name="_Toc365019584"/>
      <w:bookmarkStart w:id="137" w:name="_Toc351475542"/>
      <w:bookmarkStart w:id="138" w:name="_Toc376936779"/>
      <w:r>
        <w:rPr>
          <w:rFonts w:hint="eastAsia" w:ascii="宋体"/>
          <w:b/>
          <w:color w:val="000000" w:themeColor="text1"/>
          <w:sz w:val="28"/>
          <w:szCs w:val="28"/>
          <w14:textFill>
            <w14:solidFill>
              <w14:schemeClr w14:val="tx1"/>
            </w14:solidFill>
          </w14:textFill>
        </w:rPr>
        <w:t>5：供应商诚信承诺书</w:t>
      </w:r>
      <w:bookmarkEnd w:id="135"/>
      <w:bookmarkEnd w:id="136"/>
      <w:bookmarkEnd w:id="137"/>
      <w:bookmarkEnd w:id="138"/>
    </w:p>
    <w:p w14:paraId="5FF964D0">
      <w:pPr>
        <w:widowControl/>
        <w:snapToGrid w:val="0"/>
        <w:spacing w:line="360" w:lineRule="auto"/>
        <w:outlineLvl w:val="1"/>
        <w:rPr>
          <w:rFonts w:ascii="宋体"/>
          <w:b/>
          <w:color w:val="000000" w:themeColor="text1"/>
          <w:sz w:val="28"/>
          <w:szCs w:val="28"/>
          <w14:textFill>
            <w14:solidFill>
              <w14:schemeClr w14:val="tx1"/>
            </w14:solidFill>
          </w14:textFill>
        </w:rPr>
      </w:pPr>
    </w:p>
    <w:p w14:paraId="15D49328">
      <w:pPr>
        <w:ind w:firstLine="2729" w:firstLineChars="75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14:paraId="5A2B5323">
      <w:pPr>
        <w:spacing w:after="156" w:afterLines="50"/>
        <w:rPr>
          <w:rFonts w:hint="eastAsia" w:ascii="宋体" w:hAnsi="宋体" w:eastAsiaTheme="minorEastAsia"/>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color w:val="000000" w:themeColor="text1"/>
          <w:lang w:eastAsia="zh-CN"/>
          <w14:textFill>
            <w14:solidFill>
              <w14:schemeClr w14:val="tx1"/>
            </w14:solidFill>
          </w14:textFill>
        </w:rPr>
        <w:t>海南州政府采购服务中心</w:t>
      </w:r>
    </w:p>
    <w:p w14:paraId="59458BE5">
      <w:pPr>
        <w:ind w:firstLine="480"/>
        <w:rPr>
          <w:rFonts w:ascii="宋体" w:hAnsi="宋体"/>
          <w:color w:val="000000" w:themeColor="text1"/>
          <w14:textFill>
            <w14:solidFill>
              <w14:schemeClr w14:val="tx1"/>
            </w14:solidFill>
          </w14:textFill>
        </w:rPr>
      </w:pPr>
    </w:p>
    <w:p w14:paraId="4382FE54">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为了诚实、客观、有序地参与海南州政府采购活动，愿就以下内容作出承诺：</w:t>
      </w:r>
    </w:p>
    <w:p w14:paraId="6A81096E">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14:paraId="4D523D85">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w:t>
      </w:r>
      <w:r>
        <w:rPr>
          <w:rFonts w:hint="eastAsia" w:ascii="宋体" w:hAnsi="宋体"/>
          <w:color w:val="000000" w:themeColor="text1"/>
          <w:lang w:eastAsia="zh-CN"/>
          <w14:textFill>
            <w14:solidFill>
              <w14:schemeClr w14:val="tx1"/>
            </w14:solidFill>
          </w14:textFill>
        </w:rPr>
        <w:t>海南州政府采购服务中心</w:t>
      </w:r>
      <w:r>
        <w:rPr>
          <w:rFonts w:hint="eastAsia" w:ascii="宋体" w:hAnsi="宋体"/>
          <w:color w:val="000000" w:themeColor="text1"/>
          <w14:textFill>
            <w14:solidFill>
              <w14:schemeClr w14:val="tx1"/>
            </w14:solidFill>
          </w14:textFill>
        </w:rPr>
        <w:t>组织的政府采购活动时，严格按照招标文件的规定和要求提供所需的相关材料，并对所提供的各类资料的真实性负责，不虚假应标，不虚列业绩。</w:t>
      </w:r>
    </w:p>
    <w:p w14:paraId="75FCBF6C">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14:paraId="56C87E2D">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14:paraId="4525128F">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59E0E5D8">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六、认真履行中标供应商应承担的责任和义务，全面执行采购合同规定的各项内容，保质保量地按时提供采购物品。</w:t>
      </w:r>
    </w:p>
    <w:p w14:paraId="0290304A">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14:paraId="1D1D519A">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本承诺是采购项目投标文件的组成部分。</w:t>
      </w:r>
    </w:p>
    <w:p w14:paraId="26AD778A">
      <w:pPr>
        <w:spacing w:before="312" w:beforeLines="100"/>
        <w:jc w:val="left"/>
        <w:rPr>
          <w:rFonts w:ascii="宋体" w:hAnsi="宋体"/>
          <w:color w:val="000000" w:themeColor="text1"/>
          <w14:textFill>
            <w14:solidFill>
              <w14:schemeClr w14:val="tx1"/>
            </w14:solidFill>
          </w14:textFill>
        </w:rPr>
      </w:pPr>
    </w:p>
    <w:p w14:paraId="18AFB616">
      <w:pPr>
        <w:spacing w:line="360" w:lineRule="auto"/>
        <w:ind w:firstLine="3268" w:firstLineChars="1550"/>
        <w:rPr>
          <w:rFonts w:ascii="宋体" w:hAnsi="宋体"/>
          <w:b/>
          <w:color w:val="000000" w:themeColor="text1"/>
          <w14:textFill>
            <w14:solidFill>
              <w14:schemeClr w14:val="tx1"/>
            </w14:solidFill>
          </w14:textFill>
        </w:rPr>
      </w:pPr>
    </w:p>
    <w:p w14:paraId="310B6AC1">
      <w:pPr>
        <w:spacing w:line="360" w:lineRule="auto"/>
        <w:ind w:firstLine="3268" w:firstLineChars="1550"/>
        <w:rPr>
          <w:rFonts w:ascii="宋体" w:hAnsi="宋体"/>
          <w:b/>
          <w:color w:val="000000" w:themeColor="text1"/>
          <w14:textFill>
            <w14:solidFill>
              <w14:schemeClr w14:val="tx1"/>
            </w14:solidFill>
          </w14:textFill>
        </w:rPr>
      </w:pPr>
    </w:p>
    <w:p w14:paraId="4CDFBBBD">
      <w:pPr>
        <w:spacing w:line="360" w:lineRule="auto"/>
        <w:ind w:firstLine="3268" w:firstLineChars="1550"/>
        <w:rPr>
          <w:rFonts w:ascii="宋体" w:hAnsi="宋体"/>
          <w:b/>
          <w:color w:val="000000" w:themeColor="text1"/>
          <w14:textFill>
            <w14:solidFill>
              <w14:schemeClr w14:val="tx1"/>
            </w14:solidFill>
          </w14:textFill>
        </w:rPr>
      </w:pPr>
    </w:p>
    <w:p w14:paraId="3F94F1E3">
      <w:pPr>
        <w:spacing w:line="360" w:lineRule="auto"/>
        <w:ind w:firstLine="3268" w:firstLineChars="155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投标单位：</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731BB280">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14FB074F">
      <w:pPr>
        <w:ind w:right="480" w:firstLine="4400" w:firstLineChars="2087"/>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51B86312">
      <w:pPr>
        <w:widowControl/>
        <w:snapToGrid w:val="0"/>
        <w:spacing w:line="360" w:lineRule="auto"/>
        <w:outlineLvl w:val="1"/>
        <w:rPr>
          <w:rFonts w:ascii="宋体"/>
          <w:b/>
          <w:color w:val="000000" w:themeColor="text1"/>
          <w:sz w:val="28"/>
          <w:szCs w:val="28"/>
          <w14:textFill>
            <w14:solidFill>
              <w14:schemeClr w14:val="tx1"/>
            </w14:solidFill>
          </w14:textFill>
        </w:rPr>
      </w:pPr>
      <w:bookmarkStart w:id="139" w:name="_Toc67558607"/>
    </w:p>
    <w:p w14:paraId="2D906B9A">
      <w:pPr>
        <w:widowControl/>
        <w:snapToGrid w:val="0"/>
        <w:spacing w:line="360" w:lineRule="auto"/>
        <w:outlineLvl w:val="1"/>
        <w:rPr>
          <w:rFonts w:ascii="宋体"/>
          <w:b/>
          <w:color w:val="000000" w:themeColor="text1"/>
          <w:sz w:val="28"/>
          <w:szCs w:val="28"/>
          <w14:textFill>
            <w14:solidFill>
              <w14:schemeClr w14:val="tx1"/>
            </w14:solidFill>
          </w14:textFill>
        </w:rPr>
      </w:pPr>
    </w:p>
    <w:p w14:paraId="6E32520B">
      <w:pPr>
        <w:widowControl/>
        <w:snapToGrid w:val="0"/>
        <w:spacing w:line="360" w:lineRule="auto"/>
        <w:outlineLvl w:val="1"/>
        <w:rPr>
          <w:rFonts w:ascii="宋体"/>
          <w:b/>
          <w:color w:val="000000" w:themeColor="text1"/>
          <w:sz w:val="28"/>
          <w:szCs w:val="28"/>
          <w14:textFill>
            <w14:solidFill>
              <w14:schemeClr w14:val="tx1"/>
            </w14:solidFill>
          </w14:textFill>
        </w:rPr>
      </w:pPr>
    </w:p>
    <w:p w14:paraId="3126CF5C">
      <w:pPr>
        <w:widowControl/>
        <w:snapToGrid w:val="0"/>
        <w:spacing w:line="360" w:lineRule="auto"/>
        <w:outlineLvl w:val="1"/>
        <w:rPr>
          <w:rFonts w:ascii="宋体"/>
          <w:b/>
          <w:color w:val="000000" w:themeColor="text1"/>
          <w:sz w:val="28"/>
          <w:szCs w:val="28"/>
          <w14:textFill>
            <w14:solidFill>
              <w14:schemeClr w14:val="tx1"/>
            </w14:solidFill>
          </w14:textFill>
        </w:rPr>
      </w:pPr>
    </w:p>
    <w:p w14:paraId="3A10675A">
      <w:pPr>
        <w:widowControl/>
        <w:snapToGrid w:val="0"/>
        <w:spacing w:line="360" w:lineRule="auto"/>
        <w:outlineLvl w:val="1"/>
        <w:rPr>
          <w:rFonts w:ascii="宋体"/>
          <w:b/>
          <w:color w:val="000000" w:themeColor="text1"/>
          <w:sz w:val="28"/>
          <w:szCs w:val="28"/>
          <w14:textFill>
            <w14:solidFill>
              <w14:schemeClr w14:val="tx1"/>
            </w14:solidFill>
          </w14:textFill>
        </w:rPr>
      </w:pPr>
    </w:p>
    <w:p w14:paraId="1BB9CF4B">
      <w:pPr>
        <w:widowControl/>
        <w:snapToGrid w:val="0"/>
        <w:spacing w:line="360" w:lineRule="auto"/>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附件6：投标人资格证明文件</w:t>
      </w:r>
      <w:bookmarkEnd w:id="139"/>
    </w:p>
    <w:p w14:paraId="6CAA2B27">
      <w:pPr>
        <w:widowControl/>
        <w:snapToGrid w:val="0"/>
        <w:spacing w:line="360" w:lineRule="auto"/>
        <w:outlineLvl w:val="1"/>
        <w:rPr>
          <w:rFonts w:ascii="宋体"/>
          <w:b/>
          <w:color w:val="000000" w:themeColor="text1"/>
          <w:sz w:val="28"/>
          <w:szCs w:val="28"/>
          <w14:textFill>
            <w14:solidFill>
              <w14:schemeClr w14:val="tx1"/>
            </w14:solidFill>
          </w14:textFill>
        </w:rPr>
      </w:pPr>
    </w:p>
    <w:p w14:paraId="691B6AFB">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投标人资格证明文件</w:t>
      </w:r>
    </w:p>
    <w:p w14:paraId="5888F983">
      <w:pPr>
        <w:ind w:firstLine="480"/>
        <w:rPr>
          <w:rFonts w:ascii="宋体" w:hAnsi="宋体"/>
          <w:color w:val="000000" w:themeColor="text1"/>
          <w14:textFill>
            <w14:solidFill>
              <w14:schemeClr w14:val="tx1"/>
            </w14:solidFill>
          </w14:textFill>
        </w:rPr>
      </w:pPr>
    </w:p>
    <w:p w14:paraId="2A00AD46">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资格证明材料包括：提供有效的营业执照、税务登记证、机构代码证或三证（五证）合一统一社会代码证及其他资格证明文件（扫描或复印件）。</w:t>
      </w:r>
    </w:p>
    <w:p w14:paraId="584B852B">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BD3A571">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2、根据采购项目内容，提供投标人的相关资质证书、许可证书、认证等。</w:t>
      </w:r>
    </w:p>
    <w:p w14:paraId="60DF35BE">
      <w:pPr>
        <w:widowControl/>
        <w:snapToGrid w:val="0"/>
        <w:spacing w:line="360" w:lineRule="auto"/>
        <w:outlineLvl w:val="1"/>
        <w:rPr>
          <w:rFonts w:ascii="宋体"/>
          <w:b/>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140" w:name="_Toc67558608"/>
      <w:r>
        <w:rPr>
          <w:rFonts w:hint="eastAsia" w:ascii="宋体"/>
          <w:b/>
          <w:color w:val="000000" w:themeColor="text1"/>
          <w:sz w:val="28"/>
          <w:szCs w:val="28"/>
          <w14:textFill>
            <w14:solidFill>
              <w14:schemeClr w14:val="tx1"/>
            </w14:solidFill>
          </w14:textFill>
        </w:rPr>
        <w:t>附件7：财务状况、缴纳税收和社会保障资金证明</w:t>
      </w:r>
      <w:bookmarkEnd w:id="140"/>
    </w:p>
    <w:p w14:paraId="3DFD31AF">
      <w:pPr>
        <w:autoSpaceDE w:val="0"/>
        <w:autoSpaceDN w:val="0"/>
        <w:adjustRightInd w:val="0"/>
        <w:ind w:firstLine="904" w:firstLineChars="250"/>
        <w:jc w:val="center"/>
        <w:rPr>
          <w:rFonts w:ascii="宋体" w:hAnsi="宋体"/>
          <w:b/>
          <w:color w:val="000000" w:themeColor="text1"/>
          <w:sz w:val="36"/>
          <w:szCs w:val="36"/>
          <w14:textFill>
            <w14:solidFill>
              <w14:schemeClr w14:val="tx1"/>
            </w14:solidFill>
          </w14:textFill>
        </w:rPr>
      </w:pPr>
    </w:p>
    <w:p w14:paraId="575DF338">
      <w:pPr>
        <w:autoSpaceDE w:val="0"/>
        <w:autoSpaceDN w:val="0"/>
        <w:adjustRightInd w:val="0"/>
        <w:ind w:firstLine="904" w:firstLineChars="25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14:paraId="12C67AF8">
      <w:pPr>
        <w:autoSpaceDE w:val="0"/>
        <w:autoSpaceDN w:val="0"/>
        <w:adjustRightInd w:val="0"/>
        <w:ind w:firstLine="904" w:firstLineChars="250"/>
        <w:jc w:val="center"/>
        <w:rPr>
          <w:rFonts w:ascii="宋体" w:hAnsi="宋体"/>
          <w:b/>
          <w:color w:val="000000" w:themeColor="text1"/>
          <w:sz w:val="36"/>
          <w:szCs w:val="36"/>
          <w14:textFill>
            <w14:solidFill>
              <w14:schemeClr w14:val="tx1"/>
            </w14:solidFill>
          </w14:textFill>
        </w:rPr>
      </w:pPr>
    </w:p>
    <w:p w14:paraId="7218804C">
      <w:pPr>
        <w:autoSpaceDE w:val="0"/>
        <w:autoSpaceDN w:val="0"/>
        <w:adjustRightInd w:val="0"/>
        <w:ind w:firstLine="525" w:firstLineChars="2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按照《政府采购法》第22条规定提供以下相关材料：</w:t>
      </w:r>
    </w:p>
    <w:p w14:paraId="6374CE32">
      <w:pPr>
        <w:autoSpaceDE w:val="0"/>
        <w:autoSpaceDN w:val="0"/>
        <w:adjustRightInd w:val="0"/>
        <w:ind w:firstLine="525" w:firstLineChars="250"/>
        <w:jc w:val="left"/>
        <w:rPr>
          <w:rFonts w:hint="eastAsia" w:ascii="宋体" w:hAnsi="宋体"/>
        </w:rPr>
      </w:pPr>
      <w:r>
        <w:rPr>
          <w:rFonts w:hint="eastAsia" w:ascii="宋体" w:hAnsi="宋体"/>
        </w:rPr>
        <w:t>1.供应商是法人的，提供20</w:t>
      </w:r>
      <w:r>
        <w:rPr>
          <w:rFonts w:hint="eastAsia" w:ascii="宋体" w:hAnsi="宋体"/>
          <w:lang w:val="en-US" w:eastAsia="zh-CN"/>
        </w:rPr>
        <w:t>22</w:t>
      </w:r>
      <w:r>
        <w:rPr>
          <w:rFonts w:hint="eastAsia" w:ascii="宋体" w:hAnsi="宋体"/>
        </w:rPr>
        <w:t>年或202</w:t>
      </w:r>
      <w:r>
        <w:rPr>
          <w:rFonts w:hint="eastAsia" w:ascii="宋体" w:hAnsi="宋体"/>
          <w:lang w:val="en-US" w:eastAsia="zh-CN"/>
        </w:rPr>
        <w:t>3</w:t>
      </w:r>
      <w:r>
        <w:rPr>
          <w:rFonts w:hint="eastAsia" w:ascii="宋体" w:hAnsi="宋体"/>
        </w:rPr>
        <w:t>年度经审计的财务状况报告（包括资产负债表、利润表、现金流量表及其附注），或提供基本账户开户银行出具的资信证明材料（开标之日前六个月内有效），或财政部门认可的政府采购专业担保机构出具的投标担保函。</w:t>
      </w:r>
    </w:p>
    <w:p w14:paraId="76BBE8A6">
      <w:pPr>
        <w:tabs>
          <w:tab w:val="left" w:pos="168"/>
        </w:tabs>
        <w:adjustRightInd w:val="0"/>
        <w:ind w:firstLine="480"/>
        <w:textAlignment w:val="baseline"/>
        <w:rPr>
          <w:rFonts w:hint="eastAsia" w:ascii="宋体" w:hAnsi="宋体"/>
          <w:color w:val="000000"/>
        </w:rPr>
      </w:pPr>
      <w:r>
        <w:rPr>
          <w:rFonts w:hint="eastAsia" w:ascii="宋体" w:hAnsi="宋体"/>
        </w:rPr>
        <w:t>2.近三个月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14:paraId="377E5D2A">
      <w:pPr>
        <w:tabs>
          <w:tab w:val="left" w:pos="168"/>
        </w:tabs>
        <w:adjustRightInd w:val="0"/>
        <w:ind w:firstLine="480"/>
        <w:textAlignment w:val="baseline"/>
        <w:rPr>
          <w:rFonts w:ascii="宋体" w:hAnsi="宋体"/>
          <w:color w:val="000000" w:themeColor="text1"/>
          <w14:textFill>
            <w14:solidFill>
              <w14:schemeClr w14:val="tx1"/>
            </w14:solidFill>
          </w14:textFill>
        </w:rPr>
      </w:pPr>
    </w:p>
    <w:p w14:paraId="0DF413C4">
      <w:pPr>
        <w:widowControl/>
        <w:snapToGrid w:val="0"/>
        <w:spacing w:line="360" w:lineRule="auto"/>
        <w:outlineLvl w:val="1"/>
        <w:rPr>
          <w:rFonts w:ascii="宋体"/>
          <w:b/>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141" w:name="_Toc67558609"/>
      <w:r>
        <w:rPr>
          <w:rFonts w:hint="eastAsia" w:ascii="宋体"/>
          <w:b/>
          <w:color w:val="000000" w:themeColor="text1"/>
          <w:sz w:val="28"/>
          <w:szCs w:val="28"/>
          <w14:textFill>
            <w14:solidFill>
              <w14:schemeClr w14:val="tx1"/>
            </w14:solidFill>
          </w14:textFill>
        </w:rPr>
        <w:t>附件8：无重大违法记录声明</w:t>
      </w:r>
      <w:bookmarkEnd w:id="141"/>
    </w:p>
    <w:p w14:paraId="1490D882">
      <w:pPr>
        <w:ind w:firstLine="2909" w:firstLineChars="805"/>
        <w:rPr>
          <w:rFonts w:ascii="宋体" w:hAnsi="宋体"/>
          <w:b/>
          <w:color w:val="000000" w:themeColor="text1"/>
          <w:sz w:val="36"/>
          <w:szCs w:val="36"/>
          <w14:textFill>
            <w14:solidFill>
              <w14:schemeClr w14:val="tx1"/>
            </w14:solidFill>
          </w14:textFill>
        </w:rPr>
      </w:pPr>
    </w:p>
    <w:p w14:paraId="5A3EE416">
      <w:pPr>
        <w:ind w:firstLine="2909" w:firstLineChars="80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14:paraId="64DA1870">
      <w:pPr>
        <w:tabs>
          <w:tab w:val="left" w:pos="168"/>
        </w:tabs>
        <w:adjustRightInd w:val="0"/>
        <w:ind w:firstLine="2530" w:firstLineChars="700"/>
        <w:textAlignment w:val="baseline"/>
        <w:rPr>
          <w:rFonts w:ascii="宋体"/>
          <w:b/>
          <w:color w:val="000000" w:themeColor="text1"/>
          <w:sz w:val="36"/>
          <w:szCs w:val="36"/>
          <w14:textFill>
            <w14:solidFill>
              <w14:schemeClr w14:val="tx1"/>
            </w14:solidFill>
          </w14:textFill>
        </w:rPr>
      </w:pPr>
    </w:p>
    <w:p w14:paraId="0F14EA71">
      <w:pPr>
        <w:widowControl/>
        <w:snapToGrid w:val="0"/>
        <w:spacing w:line="360" w:lineRule="auto"/>
        <w:outlineLvl w:val="1"/>
        <w:rPr>
          <w:rFonts w:ascii="宋体"/>
          <w:b/>
          <w:color w:val="000000" w:themeColor="text1"/>
          <w:sz w:val="28"/>
          <w:szCs w:val="28"/>
          <w14:textFill>
            <w14:solidFill>
              <w14:schemeClr w14:val="tx1"/>
            </w14:solidFill>
          </w14:textFill>
        </w:rPr>
      </w:pPr>
      <w:bookmarkStart w:id="142" w:name="_Toc67558610"/>
      <w:bookmarkStart w:id="143" w:name="_Toc37147848"/>
      <w:bookmarkStart w:id="144" w:name="_Toc36567478"/>
      <w:bookmarkStart w:id="145" w:name="_Toc36569325"/>
      <w:r>
        <w:rPr>
          <w:rFonts w:hint="eastAsia" w:ascii="宋体" w:hAnsi="宋体"/>
          <w:color w:val="000000" w:themeColor="text1"/>
          <w14:textFill>
            <w14:solidFill>
              <w14:schemeClr w14:val="tx1"/>
            </w14:solidFill>
          </w14:textFill>
        </w:rPr>
        <w:t>提供参加政府采购活动前3年内在经营活动中没有重大违法记录的书面声明（格式可自定）。</w:t>
      </w:r>
      <w:r>
        <w:rPr>
          <w:rFonts w:ascii="宋体" w:hAnsi="宋体"/>
          <w:b/>
          <w:bCs/>
          <w:color w:val="000000" w:themeColor="text1"/>
          <w14:textFill>
            <w14:solidFill>
              <w14:schemeClr w14:val="tx1"/>
            </w14:solidFill>
          </w14:textFill>
        </w:rPr>
        <w:br w:type="page"/>
      </w:r>
      <w:r>
        <w:rPr>
          <w:rFonts w:hint="eastAsia" w:ascii="宋体"/>
          <w:b/>
          <w:color w:val="000000" w:themeColor="text1"/>
          <w:sz w:val="28"/>
          <w:szCs w:val="28"/>
          <w14:textFill>
            <w14:solidFill>
              <w14:schemeClr w14:val="tx1"/>
            </w14:solidFill>
          </w14:textFill>
        </w:rPr>
        <w:t xml:space="preserve">  </w:t>
      </w:r>
      <w:bookmarkStart w:id="146" w:name="_Toc82441634"/>
      <w:bookmarkStart w:id="147" w:name="_Toc82527709"/>
      <w:bookmarkStart w:id="148" w:name="_Toc67558611"/>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9</w:t>
      </w:r>
      <w:r>
        <w:rPr>
          <w:rFonts w:hint="eastAsia" w:ascii="宋体"/>
          <w:b/>
          <w:color w:val="000000" w:themeColor="text1"/>
          <w:sz w:val="28"/>
          <w:szCs w:val="28"/>
          <w14:textFill>
            <w14:solidFill>
              <w14:schemeClr w14:val="tx1"/>
            </w14:solidFill>
          </w14:textFill>
        </w:rPr>
        <w:t>：中小企业声明函</w:t>
      </w:r>
    </w:p>
    <w:p w14:paraId="20795122">
      <w:pPr>
        <w:widowControl/>
        <w:snapToGrid w:val="0"/>
        <w:spacing w:line="360" w:lineRule="auto"/>
        <w:outlineLvl w:val="1"/>
        <w:rPr>
          <w:rFonts w:ascii="宋体"/>
          <w:b/>
          <w:color w:val="000000" w:themeColor="text1"/>
          <w:sz w:val="28"/>
          <w:szCs w:val="28"/>
          <w14:textFill>
            <w14:solidFill>
              <w14:schemeClr w14:val="tx1"/>
            </w14:solidFill>
          </w14:textFill>
        </w:rPr>
      </w:pPr>
    </w:p>
    <w:p w14:paraId="21A73D2C">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中小企业声明函（服务）</w:t>
      </w:r>
    </w:p>
    <w:p w14:paraId="2EA261DC">
      <w:pPr>
        <w:spacing w:after="156" w:afterLines="50"/>
        <w:rPr>
          <w:b/>
          <w:color w:val="000000" w:themeColor="text1"/>
          <w14:textFill>
            <w14:solidFill>
              <w14:schemeClr w14:val="tx1"/>
            </w14:solidFill>
          </w14:textFill>
        </w:rPr>
      </w:pPr>
    </w:p>
    <w:p w14:paraId="008F12BA">
      <w:pPr>
        <w:spacing w:after="156" w:afterLines="50"/>
        <w:rPr>
          <w:b/>
          <w:color w:val="000000" w:themeColor="text1"/>
          <w14:textFill>
            <w14:solidFill>
              <w14:schemeClr w14:val="tx1"/>
            </w14:solidFill>
          </w14:textFill>
        </w:rPr>
      </w:pPr>
      <w:r>
        <w:rPr>
          <w:rFonts w:hint="eastAsia"/>
          <w:b/>
          <w:color w:val="000000" w:themeColor="text1"/>
          <w14:textFill>
            <w14:solidFill>
              <w14:schemeClr w14:val="tx1"/>
            </w14:solidFill>
          </w14:textFill>
        </w:rPr>
        <w:t>致：海南州政府采购服务中心</w:t>
      </w:r>
    </w:p>
    <w:p w14:paraId="34B57112">
      <w:pPr>
        <w:spacing w:after="156" w:afterLines="50"/>
        <w:rPr>
          <w:color w:val="000000" w:themeColor="text1"/>
          <w14:textFill>
            <w14:solidFill>
              <w14:schemeClr w14:val="tx1"/>
            </w14:solidFill>
          </w14:textFill>
        </w:rPr>
      </w:pPr>
    </w:p>
    <w:p w14:paraId="4928A689">
      <w:pPr>
        <w:spacing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本公司（联合体） 郑重声明， 根据《政府采购促进中小企业发展管理办法》（财库﹝ 2020﹞ 46 号） 的规定， 本公司（联合体） 参加</w:t>
      </w:r>
      <w:r>
        <w:rPr>
          <w:rFonts w:hint="eastAsia"/>
          <w:color w:val="000000" w:themeColor="text1"/>
          <w:u w:val="single"/>
          <w14:textFill>
            <w14:solidFill>
              <w14:schemeClr w14:val="tx1"/>
            </w14:solidFill>
          </w14:textFill>
        </w:rPr>
        <w:t xml:space="preserve">（单位名称） </w:t>
      </w:r>
      <w:r>
        <w:rPr>
          <w:rFonts w:hint="eastAsia"/>
          <w:color w:val="000000" w:themeColor="text1"/>
          <w14:textFill>
            <w14:solidFill>
              <w14:schemeClr w14:val="tx1"/>
            </w14:solidFill>
          </w14:textFill>
        </w:rPr>
        <w:t>的</w:t>
      </w:r>
      <w:r>
        <w:rPr>
          <w:rFonts w:hint="eastAsia"/>
          <w:color w:val="000000" w:themeColor="text1"/>
          <w:u w:val="single"/>
          <w14:textFill>
            <w14:solidFill>
              <w14:schemeClr w14:val="tx1"/>
            </w14:solidFill>
          </w14:textFill>
        </w:rPr>
        <w:t xml:space="preserve">（项目名称） </w:t>
      </w:r>
      <w:r>
        <w:rPr>
          <w:rFonts w:hint="eastAsia"/>
          <w:color w:val="000000" w:themeColor="text1"/>
          <w14:textFill>
            <w14:solidFill>
              <w14:schemeClr w14:val="tx1"/>
            </w14:solidFill>
          </w14:textFill>
        </w:rPr>
        <w:t>采购活动，服务全部由符合政策要求的中小企业承接。 相关企业（ 含联合体中的中小企业、 签订分包意向协议的中小企业） 的具体情况如下：</w:t>
      </w:r>
    </w:p>
    <w:p w14:paraId="219DEF0A">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u w:val="single"/>
          <w14:textFill>
            <w14:solidFill>
              <w14:schemeClr w14:val="tx1"/>
            </w14:solidFill>
          </w14:textFill>
        </w:rPr>
        <w:t xml:space="preserve"> （标的名称）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（采购文件中明确的所属行业）</w:t>
      </w:r>
      <w:r>
        <w:rPr>
          <w:rFonts w:hint="eastAsia"/>
          <w:color w:val="000000" w:themeColor="text1"/>
          <w14:textFill>
            <w14:solidFill>
              <w14:schemeClr w14:val="tx1"/>
            </w14:solidFill>
          </w14:textFill>
        </w:rPr>
        <w:t>；承接企业为</w:t>
      </w:r>
      <w:r>
        <w:rPr>
          <w:rFonts w:hint="eastAsia"/>
          <w:color w:val="000000" w:themeColor="text1"/>
          <w:u w:val="single"/>
          <w14:textFill>
            <w14:solidFill>
              <w14:schemeClr w14:val="tx1"/>
            </w14:solidFill>
          </w14:textFill>
        </w:rPr>
        <w:t>（企业名称）</w:t>
      </w:r>
      <w:r>
        <w:rPr>
          <w:rFonts w:hint="eastAsia"/>
          <w:color w:val="000000" w:themeColor="text1"/>
          <w14:textFill>
            <w14:solidFill>
              <w14:schemeClr w14:val="tx1"/>
            </w14:solidFill>
          </w14:textFill>
        </w:rPr>
        <w:t>， 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 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属于</w:t>
      </w:r>
      <w:r>
        <w:rPr>
          <w:rFonts w:hint="eastAsia"/>
          <w:color w:val="000000" w:themeColor="text1"/>
          <w:u w:val="single"/>
          <w14:textFill>
            <w14:solidFill>
              <w14:schemeClr w14:val="tx1"/>
            </w14:solidFill>
          </w14:textFill>
        </w:rPr>
        <w:t>（中型企业、小型企业、 微型企业）</w:t>
      </w:r>
      <w:r>
        <w:rPr>
          <w:rFonts w:hint="eastAsia"/>
          <w:color w:val="000000" w:themeColor="text1"/>
          <w14:textFill>
            <w14:solidFill>
              <w14:schemeClr w14:val="tx1"/>
            </w14:solidFill>
          </w14:textFill>
        </w:rPr>
        <w:t>；</w:t>
      </w:r>
    </w:p>
    <w:p w14:paraId="16DAC5FD">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u w:val="single"/>
          <w14:textFill>
            <w14:solidFill>
              <w14:schemeClr w14:val="tx1"/>
            </w14:solidFill>
          </w14:textFill>
        </w:rPr>
        <w:t xml:space="preserve"> （标的名称） </w:t>
      </w:r>
      <w:r>
        <w:rPr>
          <w:rFonts w:hint="eastAsia"/>
          <w:color w:val="000000" w:themeColor="text1"/>
          <w14:textFill>
            <w14:solidFill>
              <w14:schemeClr w14:val="tx1"/>
            </w14:solidFill>
          </w14:textFill>
        </w:rPr>
        <w:t>， 属于</w:t>
      </w:r>
      <w:r>
        <w:rPr>
          <w:rFonts w:hint="eastAsia"/>
          <w:color w:val="000000" w:themeColor="text1"/>
          <w:u w:val="single"/>
          <w14:textFill>
            <w14:solidFill>
              <w14:schemeClr w14:val="tx1"/>
            </w14:solidFill>
          </w14:textFill>
        </w:rPr>
        <w:t>（采购文件中明确的所属行业）</w:t>
      </w:r>
      <w:r>
        <w:rPr>
          <w:rFonts w:hint="eastAsia"/>
          <w:color w:val="000000" w:themeColor="text1"/>
          <w14:textFill>
            <w14:solidFill>
              <w14:schemeClr w14:val="tx1"/>
            </w14:solidFill>
          </w14:textFill>
        </w:rPr>
        <w:t>； 承接企业为</w:t>
      </w:r>
      <w:r>
        <w:rPr>
          <w:rFonts w:hint="eastAsia"/>
          <w:color w:val="000000" w:themeColor="text1"/>
          <w:u w:val="single"/>
          <w14:textFill>
            <w14:solidFill>
              <w14:schemeClr w14:val="tx1"/>
            </w14:solidFill>
          </w14:textFill>
        </w:rPr>
        <w:t>（企业名称）</w:t>
      </w:r>
      <w:r>
        <w:rPr>
          <w:rFonts w:hint="eastAsia"/>
          <w:color w:val="000000" w:themeColor="text1"/>
          <w14:textFill>
            <w14:solidFill>
              <w14:schemeClr w14:val="tx1"/>
            </w14:solidFill>
          </w14:textFill>
        </w:rPr>
        <w:t>， 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 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属于</w:t>
      </w:r>
      <w:r>
        <w:rPr>
          <w:rFonts w:hint="eastAsia"/>
          <w:color w:val="000000" w:themeColor="text1"/>
          <w:u w:val="single"/>
          <w14:textFill>
            <w14:solidFill>
              <w14:schemeClr w14:val="tx1"/>
            </w14:solidFill>
          </w14:textFill>
        </w:rPr>
        <w:t>（中型企业、小型企业、 微型企业）</w:t>
      </w:r>
      <w:r>
        <w:rPr>
          <w:rFonts w:hint="eastAsia"/>
          <w:color w:val="000000" w:themeColor="text1"/>
          <w14:textFill>
            <w14:solidFill>
              <w14:schemeClr w14:val="tx1"/>
            </w14:solidFill>
          </w14:textFill>
        </w:rPr>
        <w:t>；</w:t>
      </w:r>
    </w:p>
    <w:p w14:paraId="1C65E26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05A9C9ED">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以上企业， 不属于大企业的分支机构， 不存在控股股东为大企业的情形， 也不存在与大企业的负责人为同一人的情形。</w:t>
      </w:r>
    </w:p>
    <w:p w14:paraId="0BD7D751">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本企业对上述声明内容的真实性负责。 如有虚假， 将依法承担相应责任。</w:t>
      </w:r>
    </w:p>
    <w:p w14:paraId="298C9D0A">
      <w:pPr>
        <w:spacing w:line="360" w:lineRule="auto"/>
        <w:ind w:firstLine="480"/>
        <w:rPr>
          <w:color w:val="000000" w:themeColor="text1"/>
          <w14:textFill>
            <w14:solidFill>
              <w14:schemeClr w14:val="tx1"/>
            </w14:solidFill>
          </w14:textFill>
        </w:rPr>
      </w:pPr>
    </w:p>
    <w:p w14:paraId="7645AA80">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注：1、从业人员、营业收入、资产总额填报上一年度数据，无上一年度数据的新成立企业可不填报。</w:t>
      </w:r>
    </w:p>
    <w:p w14:paraId="7EDED970">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若无此项内容，可不提供此函。</w:t>
      </w:r>
    </w:p>
    <w:p w14:paraId="1F3EA1C4">
      <w:pPr>
        <w:spacing w:line="360" w:lineRule="auto"/>
        <w:rPr>
          <w:color w:val="000000" w:themeColor="text1"/>
          <w14:textFill>
            <w14:solidFill>
              <w14:schemeClr w14:val="tx1"/>
            </w14:solidFill>
          </w14:textFill>
        </w:rPr>
      </w:pPr>
    </w:p>
    <w:p w14:paraId="5598B125">
      <w:pPr>
        <w:spacing w:line="360" w:lineRule="auto"/>
        <w:ind w:right="480"/>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企业名称：</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681186B">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企业法定代表人：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2937951C">
      <w:pPr>
        <w:ind w:right="480" w:firstLine="5271" w:firstLineChars="25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1B7607CF">
      <w:pPr>
        <w:spacing w:line="360" w:lineRule="auto"/>
        <w:rPr>
          <w:color w:val="000000" w:themeColor="text1"/>
          <w14:textFill>
            <w14:solidFill>
              <w14:schemeClr w14:val="tx1"/>
            </w14:solidFill>
          </w14:textFill>
        </w:rPr>
      </w:pPr>
    </w:p>
    <w:p w14:paraId="3C5CE589">
      <w:pPr>
        <w:widowControl/>
        <w:snapToGrid w:val="0"/>
        <w:spacing w:line="360" w:lineRule="auto"/>
        <w:outlineLvl w:val="1"/>
        <w:rPr>
          <w:rFonts w:hint="eastAsia" w:ascii="宋体"/>
          <w:b/>
          <w:color w:val="000000" w:themeColor="text1"/>
          <w:sz w:val="28"/>
          <w:szCs w:val="28"/>
          <w14:textFill>
            <w14:solidFill>
              <w14:schemeClr w14:val="tx1"/>
            </w14:solidFill>
          </w14:textFill>
        </w:rPr>
      </w:pPr>
      <w:bookmarkStart w:id="149" w:name="_Toc67558619"/>
    </w:p>
    <w:p w14:paraId="0D8F4E48">
      <w:pPr>
        <w:widowControl/>
        <w:snapToGrid w:val="0"/>
        <w:spacing w:line="360" w:lineRule="auto"/>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10</w:t>
      </w:r>
      <w:r>
        <w:rPr>
          <w:rFonts w:hint="eastAsia" w:ascii="宋体"/>
          <w:b/>
          <w:color w:val="000000" w:themeColor="text1"/>
          <w:sz w:val="28"/>
          <w:szCs w:val="28"/>
          <w14:textFill>
            <w14:solidFill>
              <w14:schemeClr w14:val="tx1"/>
            </w14:solidFill>
          </w14:textFill>
        </w:rPr>
        <w:t>：残疾人福利性单位声明函</w:t>
      </w:r>
      <w:bookmarkEnd w:id="149"/>
    </w:p>
    <w:p w14:paraId="47726301">
      <w:pPr>
        <w:jc w:val="center"/>
        <w:rPr>
          <w:rFonts w:ascii="宋体" w:hAnsi="宋体"/>
          <w:b/>
          <w:color w:val="000000" w:themeColor="text1"/>
          <w:sz w:val="36"/>
          <w:szCs w:val="36"/>
          <w14:textFill>
            <w14:solidFill>
              <w14:schemeClr w14:val="tx1"/>
            </w14:solidFill>
          </w14:textFill>
        </w:rPr>
      </w:pPr>
      <w:bookmarkStart w:id="150" w:name="OLE_LINK14"/>
      <w:bookmarkStart w:id="151" w:name="OLE_LINK13"/>
    </w:p>
    <w:p w14:paraId="3C7D1D60">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残疾人福利性单位声明函</w:t>
      </w:r>
    </w:p>
    <w:bookmarkEnd w:id="150"/>
    <w:bookmarkEnd w:id="151"/>
    <w:p w14:paraId="3112012A">
      <w:pPr>
        <w:spacing w:after="156" w:afterLines="50"/>
        <w:rPr>
          <w:rFonts w:ascii="宋体" w:hAnsi="宋体"/>
          <w:bCs/>
          <w:color w:val="000000" w:themeColor="text1"/>
          <w14:textFill>
            <w14:solidFill>
              <w14:schemeClr w14:val="tx1"/>
            </w14:solidFill>
          </w14:textFill>
        </w:rPr>
      </w:pPr>
    </w:p>
    <w:p w14:paraId="0B253F4E">
      <w:pPr>
        <w:spacing w:after="156" w:afterLines="50"/>
        <w:rPr>
          <w:rFonts w:hint="eastAsia" w:ascii="宋体" w:hAnsi="宋体" w:eastAsiaTheme="minorEastAsia"/>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海南州政府采购服务中心</w:t>
      </w:r>
    </w:p>
    <w:p w14:paraId="10142078">
      <w:pPr>
        <w:spacing w:line="360" w:lineRule="auto"/>
        <w:ind w:firstLine="480"/>
        <w:rPr>
          <w:color w:val="000000" w:themeColor="text1"/>
          <w14:textFill>
            <w14:solidFill>
              <w14:schemeClr w14:val="tx1"/>
            </w14:solidFill>
          </w14:textFill>
        </w:rPr>
      </w:pPr>
    </w:p>
    <w:p w14:paraId="1E83A238">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人，安置的残疾人人数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人。且本单位参加______单位的______项目采购活动提供本单位制造的货物（由本单位承担工程/提供服务），或者提供其他残疾人福利性公司制造的货物（不包括使用非残疾人福利性公司注册商标的货物）。</w:t>
      </w:r>
    </w:p>
    <w:p w14:paraId="36B4FDF9">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本公司对上述声明的真实性负责。如有虚假，将依法承担相应责任。</w:t>
      </w:r>
    </w:p>
    <w:p w14:paraId="541244A0">
      <w:pPr>
        <w:spacing w:line="360" w:lineRule="auto"/>
        <w:ind w:firstLine="480"/>
        <w:rPr>
          <w:color w:val="000000" w:themeColor="text1"/>
          <w14:textFill>
            <w14:solidFill>
              <w14:schemeClr w14:val="tx1"/>
            </w14:solidFill>
          </w14:textFill>
        </w:rPr>
      </w:pPr>
    </w:p>
    <w:p w14:paraId="08672719">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若无此项内容，可不提供此函。</w:t>
      </w:r>
    </w:p>
    <w:p w14:paraId="7F0BD2D4">
      <w:pPr>
        <w:spacing w:line="360" w:lineRule="auto"/>
        <w:ind w:firstLine="480"/>
        <w:rPr>
          <w:color w:val="000000" w:themeColor="text1"/>
          <w14:textFill>
            <w14:solidFill>
              <w14:schemeClr w14:val="tx1"/>
            </w14:solidFill>
          </w14:textFill>
        </w:rPr>
      </w:pPr>
    </w:p>
    <w:p w14:paraId="03238300">
      <w:pPr>
        <w:spacing w:line="360" w:lineRule="auto"/>
        <w:ind w:firstLine="480"/>
        <w:rPr>
          <w:color w:val="000000" w:themeColor="text1"/>
          <w14:textFill>
            <w14:solidFill>
              <w14:schemeClr w14:val="tx1"/>
            </w14:solidFill>
          </w14:textFill>
        </w:rPr>
      </w:pPr>
    </w:p>
    <w:p w14:paraId="657E3937">
      <w:pPr>
        <w:spacing w:line="360" w:lineRule="auto"/>
        <w:ind w:firstLine="480"/>
        <w:rPr>
          <w:color w:val="000000" w:themeColor="text1"/>
          <w14:textFill>
            <w14:solidFill>
              <w14:schemeClr w14:val="tx1"/>
            </w14:solidFill>
          </w14:textFill>
        </w:rPr>
      </w:pPr>
    </w:p>
    <w:p w14:paraId="3E7A37B3">
      <w:pPr>
        <w:spacing w:line="360" w:lineRule="auto"/>
        <w:ind w:firstLine="480"/>
        <w:rPr>
          <w:color w:val="000000" w:themeColor="text1"/>
          <w14:textFill>
            <w14:solidFill>
              <w14:schemeClr w14:val="tx1"/>
            </w14:solidFill>
          </w14:textFill>
        </w:rPr>
      </w:pPr>
    </w:p>
    <w:p w14:paraId="18241211">
      <w:pPr>
        <w:spacing w:line="360" w:lineRule="auto"/>
        <w:ind w:firstLine="480"/>
        <w:rPr>
          <w:color w:val="000000" w:themeColor="text1"/>
          <w14:textFill>
            <w14:solidFill>
              <w14:schemeClr w14:val="tx1"/>
            </w14:solidFill>
          </w14:textFill>
        </w:rPr>
      </w:pPr>
    </w:p>
    <w:p w14:paraId="170882DA">
      <w:pPr>
        <w:spacing w:line="360" w:lineRule="auto"/>
        <w:ind w:firstLine="480"/>
        <w:rPr>
          <w:color w:val="000000" w:themeColor="text1"/>
          <w14:textFill>
            <w14:solidFill>
              <w14:schemeClr w14:val="tx1"/>
            </w14:solidFill>
          </w14:textFill>
        </w:rPr>
      </w:pPr>
    </w:p>
    <w:p w14:paraId="4237F249">
      <w:pPr>
        <w:spacing w:line="360" w:lineRule="auto"/>
        <w:ind w:firstLine="480"/>
        <w:rPr>
          <w:color w:val="000000" w:themeColor="text1"/>
          <w14:textFill>
            <w14:solidFill>
              <w14:schemeClr w14:val="tx1"/>
            </w14:solidFill>
          </w14:textFill>
        </w:rPr>
      </w:pPr>
    </w:p>
    <w:p w14:paraId="59D48DF4">
      <w:pPr>
        <w:spacing w:line="360" w:lineRule="auto"/>
        <w:ind w:firstLine="480"/>
        <w:rPr>
          <w:color w:val="000000" w:themeColor="text1"/>
          <w14:textFill>
            <w14:solidFill>
              <w14:schemeClr w14:val="tx1"/>
            </w14:solidFill>
          </w14:textFill>
        </w:rPr>
      </w:pPr>
    </w:p>
    <w:p w14:paraId="1BCEC625">
      <w:pPr>
        <w:spacing w:line="360" w:lineRule="auto"/>
        <w:rPr>
          <w:color w:val="000000" w:themeColor="text1"/>
          <w14:textFill>
            <w14:solidFill>
              <w14:schemeClr w14:val="tx1"/>
            </w14:solidFill>
          </w14:textFill>
        </w:rPr>
      </w:pPr>
    </w:p>
    <w:p w14:paraId="198792D0">
      <w:pPr>
        <w:spacing w:line="360" w:lineRule="auto"/>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企业名称：</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38F73CF0">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企业法定代表人：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38BF7F5D">
      <w:pPr>
        <w:ind w:right="108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762B97D8">
      <w:pPr>
        <w:widowControl/>
        <w:snapToGrid w:val="0"/>
        <w:spacing w:line="360" w:lineRule="auto"/>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0ACA699B">
      <w:pPr>
        <w:widowControl/>
        <w:snapToGrid w:val="0"/>
        <w:spacing w:line="360" w:lineRule="auto"/>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11</w:t>
      </w:r>
      <w:r>
        <w:rPr>
          <w:rFonts w:hint="eastAsia" w:ascii="宋体"/>
          <w:b/>
          <w:color w:val="000000" w:themeColor="text1"/>
          <w:sz w:val="28"/>
          <w:szCs w:val="28"/>
          <w14:textFill>
            <w14:solidFill>
              <w14:schemeClr w14:val="tx1"/>
            </w14:solidFill>
          </w14:textFill>
        </w:rPr>
        <w:t>：投标保证金证明</w:t>
      </w:r>
      <w:bookmarkEnd w:id="146"/>
      <w:bookmarkEnd w:id="147"/>
    </w:p>
    <w:p w14:paraId="7E0E7E92">
      <w:pPr>
        <w:widowControl/>
        <w:snapToGrid w:val="0"/>
        <w:spacing w:line="360" w:lineRule="auto"/>
        <w:outlineLvl w:val="1"/>
        <w:rPr>
          <w:rFonts w:ascii="宋体"/>
          <w:b/>
          <w:color w:val="000000" w:themeColor="text1"/>
          <w:sz w:val="28"/>
          <w:szCs w:val="28"/>
          <w14:textFill>
            <w14:solidFill>
              <w14:schemeClr w14:val="tx1"/>
            </w14:solidFill>
          </w14:textFill>
        </w:rPr>
      </w:pPr>
    </w:p>
    <w:p w14:paraId="6763203C">
      <w:pPr>
        <w:widowControl/>
        <w:snapToGrid w:val="0"/>
        <w:spacing w:line="360" w:lineRule="auto"/>
        <w:jc w:val="center"/>
        <w:outlineLvl w:val="1"/>
        <w:rPr>
          <w:rFonts w:ascii="宋体" w:hAnsi="宋体"/>
          <w:b/>
          <w:color w:val="000000" w:themeColor="text1"/>
          <w:sz w:val="36"/>
          <w:szCs w:val="36"/>
          <w14:textFill>
            <w14:solidFill>
              <w14:schemeClr w14:val="tx1"/>
            </w14:solidFill>
          </w14:textFill>
        </w:rPr>
      </w:pPr>
      <w:bookmarkStart w:id="152" w:name="_Toc82527237"/>
      <w:bookmarkStart w:id="153" w:name="_Toc82441635"/>
      <w:bookmarkStart w:id="154" w:name="_Toc82441345"/>
      <w:bookmarkStart w:id="155" w:name="_Toc82527710"/>
      <w:r>
        <w:rPr>
          <w:rFonts w:hint="eastAsia" w:ascii="宋体" w:hAnsi="宋体"/>
          <w:b/>
          <w:color w:val="000000" w:themeColor="text1"/>
          <w:sz w:val="36"/>
          <w:szCs w:val="36"/>
          <w14:textFill>
            <w14:solidFill>
              <w14:schemeClr w14:val="tx1"/>
            </w14:solidFill>
          </w14:textFill>
        </w:rPr>
        <w:t>投标保证金证明</w:t>
      </w:r>
      <w:bookmarkEnd w:id="152"/>
      <w:bookmarkEnd w:id="153"/>
      <w:bookmarkEnd w:id="154"/>
      <w:bookmarkEnd w:id="155"/>
    </w:p>
    <w:p w14:paraId="1DAF8D87">
      <w:pPr>
        <w:spacing w:after="156" w:afterLines="50"/>
        <w:rPr>
          <w:rFonts w:ascii="宋体" w:hAnsi="宋体"/>
          <w:b/>
          <w:bCs/>
          <w:color w:val="000000" w:themeColor="text1"/>
          <w14:textFill>
            <w14:solidFill>
              <w14:schemeClr w14:val="tx1"/>
            </w14:solidFill>
          </w14:textFill>
        </w:rPr>
      </w:pPr>
    </w:p>
    <w:p w14:paraId="1AF812F5">
      <w:pPr>
        <w:spacing w:after="156" w:afterLines="50"/>
        <w:rPr>
          <w:rFonts w:hint="eastAsia" w:ascii="宋体" w:hAnsi="宋体" w:eastAsiaTheme="minorEastAsia"/>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致：</w:t>
      </w:r>
      <w:r>
        <w:rPr>
          <w:rFonts w:hint="eastAsia" w:ascii="宋体" w:hAnsi="宋体"/>
          <w:b/>
          <w:bCs/>
          <w:color w:val="000000" w:themeColor="text1"/>
          <w:lang w:eastAsia="zh-CN"/>
          <w14:textFill>
            <w14:solidFill>
              <w14:schemeClr w14:val="tx1"/>
            </w14:solidFill>
          </w14:textFill>
        </w:rPr>
        <w:t>海南州政府采购服务中心</w:t>
      </w:r>
    </w:p>
    <w:p w14:paraId="6172AF83">
      <w:pPr>
        <w:widowControl/>
        <w:snapToGrid w:val="0"/>
        <w:ind w:firstLine="465"/>
        <w:jc w:val="left"/>
        <w:outlineLvl w:val="1"/>
        <w:rPr>
          <w:rFonts w:ascii="宋体" w:hAnsi="宋体"/>
          <w:color w:val="000000" w:themeColor="text1"/>
          <w14:textFill>
            <w14:solidFill>
              <w14:schemeClr w14:val="tx1"/>
            </w14:solidFill>
          </w14:textFill>
        </w:rPr>
      </w:pPr>
      <w:bookmarkStart w:id="156" w:name="_Toc82527711"/>
      <w:bookmarkStart w:id="157" w:name="_Toc82441636"/>
      <w:bookmarkStart w:id="158" w:name="_Toc82441346"/>
      <w:bookmarkStart w:id="159" w:name="_Toc82527238"/>
      <w:r>
        <w:rPr>
          <w:rFonts w:hint="eastAsia" w:ascii="宋体" w:hAnsi="宋体"/>
          <w:color w:val="000000" w:themeColor="text1"/>
          <w14:textFill>
            <w14:solidFill>
              <w14:schemeClr w14:val="tx1"/>
            </w14:solidFill>
          </w14:textFill>
        </w:rPr>
        <w:t>我方为项目名称</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（招标文件编号</w:t>
      </w:r>
      <w:r>
        <w:rPr>
          <w:rFonts w:hint="eastAsia" w:ascii="宋体" w:hAnsi="宋体"/>
          <w:color w:val="000000" w:themeColor="text1"/>
          <w:u w:val="single"/>
          <w14:textFill>
            <w14:solidFill>
              <w14:schemeClr w14:val="tx1"/>
            </w14:solidFill>
          </w14:textFill>
        </w:rPr>
        <w:t>南政采公招（服务）2024-</w:t>
      </w:r>
      <w:r>
        <w:rPr>
          <w:rFonts w:hint="eastAsia" w:ascii="宋体" w:hAnsi="宋体"/>
          <w:color w:val="000000" w:themeColor="text1"/>
          <w:u w:val="single"/>
          <w:lang w:val="en-US" w:eastAsia="zh-CN"/>
          <w14:textFill>
            <w14:solidFill>
              <w14:schemeClr w14:val="tx1"/>
            </w14:solidFill>
          </w14:textFill>
        </w:rPr>
        <w:t>28</w:t>
      </w:r>
      <w:r>
        <w:rPr>
          <w:rFonts w:hint="eastAsia" w:ascii="宋体" w:hAnsi="宋体"/>
          <w:color w:val="000000" w:themeColor="text1"/>
          <w:u w:val="single"/>
          <w14:textFill>
            <w14:solidFill>
              <w14:schemeClr w14:val="tx1"/>
            </w14:solidFill>
          </w14:textFill>
        </w:rPr>
        <w:t>号</w:t>
      </w:r>
      <w:r>
        <w:rPr>
          <w:rFonts w:hint="eastAsia" w:ascii="宋体" w:hAnsi="宋体"/>
          <w:color w:val="000000" w:themeColor="text1"/>
          <w:u w:val="single"/>
          <w:lang w:eastAsia="zh-CN"/>
          <w14:textFill>
            <w14:solidFill>
              <w14:schemeClr w14:val="tx1"/>
            </w14:solidFill>
          </w14:textFill>
        </w:rPr>
        <w:t>（</w:t>
      </w:r>
      <w:r>
        <w:rPr>
          <w:rFonts w:hint="eastAsia" w:ascii="宋体" w:hAnsi="宋体"/>
          <w:color w:val="000000" w:themeColor="text1"/>
          <w:u w:val="single"/>
          <w:lang w:val="en-US" w:eastAsia="zh-CN"/>
          <w14:textFill>
            <w14:solidFill>
              <w14:schemeClr w14:val="tx1"/>
            </w14:solidFill>
          </w14:textFill>
        </w:rPr>
        <w:t>包号：</w:t>
      </w:r>
      <w:r>
        <w:rPr>
          <w:rFonts w:hint="eastAsia" w:ascii="宋体" w:hAnsi="宋体"/>
          <w:color w:val="000000" w:themeColor="text1"/>
          <w:u w:val="single"/>
          <w:lang w:eastAsia="zh-CN"/>
          <w14:textFill>
            <w14:solidFill>
              <w14:schemeClr w14:val="tx1"/>
            </w14:solidFill>
          </w14:textFill>
        </w:rPr>
        <w:t>）</w:t>
      </w:r>
      <w:r>
        <w:rPr>
          <w:rFonts w:hint="eastAsia" w:ascii="宋体" w:hAnsi="宋体"/>
          <w:color w:val="000000" w:themeColor="text1"/>
          <w14:textFill>
            <w14:solidFill>
              <w14:schemeClr w14:val="tx1"/>
            </w14:solidFill>
          </w14:textFill>
        </w:rPr>
        <w:t>投标所提交的投标保证金（大写）</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，已按招标文件要求于</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日以汇款方式汇入指定账户。</w:t>
      </w:r>
      <w:bookmarkEnd w:id="156"/>
      <w:bookmarkEnd w:id="157"/>
      <w:bookmarkEnd w:id="158"/>
      <w:bookmarkEnd w:id="159"/>
    </w:p>
    <w:p w14:paraId="4280AED5">
      <w:pPr>
        <w:widowControl/>
        <w:snapToGrid w:val="0"/>
        <w:ind w:firstLine="465"/>
        <w:jc w:val="left"/>
        <w:outlineLvl w:val="1"/>
        <w:rPr>
          <w:rFonts w:ascii="宋体" w:hAnsi="宋体"/>
          <w:b/>
          <w:bCs/>
          <w:color w:val="000000" w:themeColor="text1"/>
          <w14:textFill>
            <w14:solidFill>
              <w14:schemeClr w14:val="tx1"/>
            </w14:solidFill>
          </w14:textFill>
        </w:rPr>
      </w:pPr>
    </w:p>
    <w:tbl>
      <w:tblPr>
        <w:tblStyle w:val="20"/>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14:paraId="503C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4" w:hRule="atLeast"/>
        </w:trPr>
        <w:tc>
          <w:tcPr>
            <w:tcW w:w="8868" w:type="dxa"/>
          </w:tcPr>
          <w:p w14:paraId="013686FC">
            <w:pPr>
              <w:widowControl/>
              <w:snapToGrid w:val="0"/>
              <w:spacing w:line="360" w:lineRule="auto"/>
              <w:jc w:val="left"/>
              <w:outlineLvl w:val="1"/>
              <w:rPr>
                <w:rFonts w:ascii="宋体" w:hAnsi="宋体"/>
                <w:bCs/>
                <w:color w:val="000000" w:themeColor="text1"/>
                <w14:textFill>
                  <w14:solidFill>
                    <w14:schemeClr w14:val="tx1"/>
                  </w14:solidFill>
                </w14:textFill>
              </w:rPr>
            </w:pPr>
          </w:p>
          <w:p w14:paraId="3E0F96B3">
            <w:pPr>
              <w:widowControl/>
              <w:snapToGrid w:val="0"/>
              <w:spacing w:line="360" w:lineRule="auto"/>
              <w:jc w:val="left"/>
              <w:outlineLvl w:val="1"/>
              <w:rPr>
                <w:rFonts w:ascii="宋体" w:hAnsi="宋体"/>
                <w:bCs/>
                <w:color w:val="000000" w:themeColor="text1"/>
                <w14:textFill>
                  <w14:solidFill>
                    <w14:schemeClr w14:val="tx1"/>
                  </w14:solidFill>
                </w14:textFill>
              </w:rPr>
            </w:pPr>
          </w:p>
          <w:p w14:paraId="0000C607">
            <w:pPr>
              <w:widowControl/>
              <w:snapToGrid w:val="0"/>
              <w:spacing w:line="360" w:lineRule="auto"/>
              <w:jc w:val="left"/>
              <w:outlineLvl w:val="1"/>
              <w:rPr>
                <w:rFonts w:ascii="宋体" w:hAnsi="宋体"/>
                <w:bCs/>
                <w:color w:val="000000" w:themeColor="text1"/>
                <w14:textFill>
                  <w14:solidFill>
                    <w14:schemeClr w14:val="tx1"/>
                  </w14:solidFill>
                </w14:textFill>
              </w:rPr>
            </w:pPr>
          </w:p>
          <w:p w14:paraId="0482B740">
            <w:pPr>
              <w:widowControl/>
              <w:snapToGrid w:val="0"/>
              <w:spacing w:line="360" w:lineRule="auto"/>
              <w:jc w:val="left"/>
              <w:outlineLvl w:val="1"/>
              <w:rPr>
                <w:rFonts w:ascii="宋体" w:hAnsi="宋体"/>
                <w:bCs/>
                <w:color w:val="000000" w:themeColor="text1"/>
                <w14:textFill>
                  <w14:solidFill>
                    <w14:schemeClr w14:val="tx1"/>
                  </w14:solidFill>
                </w14:textFill>
              </w:rPr>
            </w:pPr>
          </w:p>
          <w:p w14:paraId="295321D6">
            <w:pPr>
              <w:widowControl/>
              <w:snapToGrid w:val="0"/>
              <w:spacing w:line="360" w:lineRule="auto"/>
              <w:jc w:val="left"/>
              <w:outlineLvl w:val="1"/>
              <w:rPr>
                <w:rFonts w:ascii="宋体" w:hAnsi="宋体"/>
                <w:bCs/>
                <w:color w:val="000000" w:themeColor="text1"/>
                <w14:textFill>
                  <w14:solidFill>
                    <w14:schemeClr w14:val="tx1"/>
                  </w14:solidFill>
                </w14:textFill>
              </w:rPr>
            </w:pPr>
          </w:p>
          <w:p w14:paraId="0487F8BD">
            <w:pPr>
              <w:widowControl/>
              <w:snapToGrid w:val="0"/>
              <w:spacing w:line="360" w:lineRule="auto"/>
              <w:ind w:firstLine="2205" w:firstLineChars="1050"/>
              <w:jc w:val="left"/>
              <w:outlineLvl w:val="1"/>
              <w:rPr>
                <w:rFonts w:ascii="宋体" w:hAnsi="宋体"/>
                <w:b/>
                <w:bCs/>
                <w:color w:val="000000" w:themeColor="text1"/>
                <w14:textFill>
                  <w14:solidFill>
                    <w14:schemeClr w14:val="tx1"/>
                  </w14:solidFill>
                </w14:textFill>
              </w:rPr>
            </w:pPr>
            <w:bookmarkStart w:id="160" w:name="_Toc82615512"/>
            <w:bookmarkStart w:id="161" w:name="_Toc82615811"/>
            <w:r>
              <w:rPr>
                <w:rFonts w:hint="eastAsia" w:ascii="宋体" w:hAnsi="宋体"/>
                <w:bCs/>
                <w:color w:val="000000" w:themeColor="text1"/>
                <w14:textFill>
                  <w14:solidFill>
                    <w14:schemeClr w14:val="tx1"/>
                  </w14:solidFill>
                </w14:textFill>
              </w:rPr>
              <w:t>投标保证金缴款证明（</w:t>
            </w:r>
            <w:r>
              <w:rPr>
                <w:rFonts w:hint="eastAsia" w:ascii="新宋体" w:hAnsi="新宋体" w:eastAsia="新宋体" w:cs="新宋体"/>
                <w:color w:val="000000" w:themeColor="text1"/>
                <w:kern w:val="0"/>
                <w:lang w:val="zh-CN"/>
                <w14:textFill>
                  <w14:solidFill>
                    <w14:schemeClr w14:val="tx1"/>
                  </w14:solidFill>
                </w14:textFill>
              </w:rPr>
              <w:t>加盖公章）</w:t>
            </w:r>
            <w:bookmarkEnd w:id="160"/>
            <w:bookmarkEnd w:id="161"/>
          </w:p>
          <w:p w14:paraId="3415CDE8">
            <w:pPr>
              <w:widowControl/>
              <w:snapToGrid w:val="0"/>
              <w:spacing w:line="360" w:lineRule="auto"/>
              <w:jc w:val="left"/>
              <w:outlineLvl w:val="1"/>
              <w:rPr>
                <w:rFonts w:ascii="宋体" w:hAnsi="宋体"/>
                <w:b/>
                <w:bCs/>
                <w:color w:val="000000" w:themeColor="text1"/>
                <w14:textFill>
                  <w14:solidFill>
                    <w14:schemeClr w14:val="tx1"/>
                  </w14:solidFill>
                </w14:textFill>
              </w:rPr>
            </w:pPr>
          </w:p>
        </w:tc>
      </w:tr>
    </w:tbl>
    <w:p w14:paraId="1383F1E8">
      <w:pPr>
        <w:widowControl/>
        <w:snapToGrid w:val="0"/>
        <w:ind w:firstLine="465"/>
        <w:jc w:val="left"/>
        <w:outlineLvl w:val="1"/>
        <w:rPr>
          <w:rFonts w:ascii="宋体" w:hAnsi="宋体"/>
          <w:b/>
          <w:bCs/>
          <w:color w:val="000000" w:themeColor="text1"/>
          <w14:textFill>
            <w14:solidFill>
              <w14:schemeClr w14:val="tx1"/>
            </w14:solidFill>
          </w14:textFill>
        </w:rPr>
      </w:pPr>
    </w:p>
    <w:p w14:paraId="58A611ED">
      <w:pPr>
        <w:widowControl/>
        <w:snapToGrid w:val="0"/>
        <w:ind w:firstLine="465"/>
        <w:jc w:val="left"/>
        <w:outlineLvl w:val="1"/>
        <w:rPr>
          <w:rFonts w:ascii="宋体" w:hAnsi="宋体"/>
          <w:b/>
          <w:bCs/>
          <w:color w:val="000000" w:themeColor="text1"/>
          <w14:textFill>
            <w14:solidFill>
              <w14:schemeClr w14:val="tx1"/>
            </w14:solidFill>
          </w14:textFill>
        </w:rPr>
      </w:pPr>
    </w:p>
    <w:p w14:paraId="11E56692">
      <w:pPr>
        <w:widowControl/>
        <w:snapToGrid w:val="0"/>
        <w:ind w:firstLine="465"/>
        <w:jc w:val="left"/>
        <w:outlineLvl w:val="1"/>
        <w:rPr>
          <w:rFonts w:ascii="宋体" w:hAnsi="宋体"/>
          <w:b/>
          <w:bCs/>
          <w:color w:val="000000" w:themeColor="text1"/>
          <w14:textFill>
            <w14:solidFill>
              <w14:schemeClr w14:val="tx1"/>
            </w14:solidFill>
          </w14:textFill>
        </w:rPr>
      </w:pPr>
    </w:p>
    <w:p w14:paraId="3E6B02F1">
      <w:pPr>
        <w:widowControl/>
        <w:snapToGrid w:val="0"/>
        <w:spacing w:line="360" w:lineRule="auto"/>
        <w:jc w:val="left"/>
        <w:outlineLvl w:val="1"/>
        <w:rPr>
          <w:rFonts w:ascii="宋体" w:hAnsi="宋体"/>
          <w:b/>
          <w:bCs/>
          <w:color w:val="000000" w:themeColor="text1"/>
          <w14:textFill>
            <w14:solidFill>
              <w14:schemeClr w14:val="tx1"/>
            </w14:solidFill>
          </w14:textFill>
        </w:rPr>
      </w:pPr>
    </w:p>
    <w:p w14:paraId="43066D20">
      <w:pPr>
        <w:ind w:firstLine="3900" w:firstLineChars="185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投标单位：</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FDE2A88">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382AE5BF">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14:paraId="3884EB08">
      <w:pPr>
        <w:widowControl/>
        <w:snapToGrid w:val="0"/>
        <w:spacing w:line="360" w:lineRule="auto"/>
        <w:ind w:firstLine="480"/>
        <w:outlineLvl w:val="1"/>
        <w:rPr>
          <w:rFonts w:ascii="宋体"/>
          <w:b/>
          <w:color w:val="000000" w:themeColor="text1"/>
          <w:sz w:val="28"/>
          <w:szCs w:val="28"/>
          <w14:textFill>
            <w14:solidFill>
              <w14:schemeClr w14:val="tx1"/>
            </w14:solidFill>
          </w14:textFill>
        </w:rPr>
      </w:pPr>
    </w:p>
    <w:p w14:paraId="404A3ED8">
      <w:pPr>
        <w:widowControl/>
        <w:snapToGrid w:val="0"/>
        <w:spacing w:line="360" w:lineRule="auto"/>
        <w:ind w:firstLine="480"/>
        <w:outlineLvl w:val="1"/>
        <w:rPr>
          <w:rFonts w:ascii="宋体"/>
          <w:b/>
          <w:color w:val="000000" w:themeColor="text1"/>
          <w:sz w:val="28"/>
          <w:szCs w:val="28"/>
          <w14:textFill>
            <w14:solidFill>
              <w14:schemeClr w14:val="tx1"/>
            </w14:solidFill>
          </w14:textFill>
        </w:rPr>
      </w:pPr>
    </w:p>
    <w:p w14:paraId="717D84F0">
      <w:pPr>
        <w:widowControl/>
        <w:snapToGrid w:val="0"/>
        <w:spacing w:line="360" w:lineRule="auto"/>
        <w:ind w:firstLine="480"/>
        <w:outlineLvl w:val="1"/>
        <w:rPr>
          <w:rFonts w:ascii="宋体"/>
          <w:b/>
          <w:color w:val="000000" w:themeColor="text1"/>
          <w:sz w:val="28"/>
          <w:szCs w:val="28"/>
          <w14:textFill>
            <w14:solidFill>
              <w14:schemeClr w14:val="tx1"/>
            </w14:solidFill>
          </w14:textFill>
        </w:rPr>
      </w:pPr>
    </w:p>
    <w:p w14:paraId="1EA4358E">
      <w:pPr>
        <w:widowControl/>
        <w:snapToGrid w:val="0"/>
        <w:spacing w:line="360" w:lineRule="auto"/>
        <w:outlineLvl w:val="1"/>
        <w:rPr>
          <w:rFonts w:ascii="宋体"/>
          <w:b/>
          <w:color w:val="000000" w:themeColor="text1"/>
          <w:sz w:val="28"/>
          <w:szCs w:val="28"/>
          <w14:textFill>
            <w14:solidFill>
              <w14:schemeClr w14:val="tx1"/>
            </w14:solidFill>
          </w14:textFill>
        </w:rPr>
      </w:pPr>
    </w:p>
    <w:p w14:paraId="7040DA92">
      <w:pPr>
        <w:widowControl/>
        <w:snapToGrid w:val="0"/>
        <w:spacing w:line="360" w:lineRule="auto"/>
        <w:ind w:firstLine="480"/>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（投标文件封面）</w:t>
      </w:r>
      <w:bookmarkEnd w:id="142"/>
      <w:bookmarkEnd w:id="143"/>
      <w:bookmarkEnd w:id="144"/>
      <w:bookmarkEnd w:id="145"/>
      <w:bookmarkEnd w:id="148"/>
    </w:p>
    <w:p w14:paraId="1A1A375B">
      <w:pPr>
        <w:spacing w:line="360" w:lineRule="auto"/>
        <w:ind w:firstLine="2088" w:firstLineChars="400"/>
        <w:rPr>
          <w:rFonts w:ascii="仿宋_GB2312" w:hAnsi="宋体" w:eastAsia="仿宋_GB2312"/>
          <w:b/>
          <w:color w:val="000000" w:themeColor="text1"/>
          <w:sz w:val="52"/>
          <w:szCs w:val="52"/>
          <w14:textFill>
            <w14:solidFill>
              <w14:schemeClr w14:val="tx1"/>
            </w14:solidFill>
          </w14:textFill>
        </w:rPr>
      </w:pPr>
      <w:r>
        <w:rPr>
          <w:rFonts w:hint="eastAsia" w:ascii="仿宋_GB2312" w:hAnsi="宋体" w:eastAsia="仿宋_GB2312"/>
          <w:b/>
          <w:color w:val="000000" w:themeColor="text1"/>
          <w:sz w:val="52"/>
          <w:szCs w:val="52"/>
          <w14:textFill>
            <w14:solidFill>
              <w14:schemeClr w14:val="tx1"/>
            </w14:solidFill>
          </w14:textFill>
        </w:rPr>
        <w:t>海南州政府采购项目</w:t>
      </w:r>
    </w:p>
    <w:p w14:paraId="53730941">
      <w:pPr>
        <w:spacing w:line="360" w:lineRule="auto"/>
        <w:ind w:firstLine="2833" w:firstLineChars="392"/>
        <w:rPr>
          <w:rFonts w:ascii="宋体" w:hAnsi="宋体"/>
          <w:b/>
          <w:color w:val="000000" w:themeColor="text1"/>
          <w:sz w:val="72"/>
          <w:szCs w:val="72"/>
          <w14:textFill>
            <w14:solidFill>
              <w14:schemeClr w14:val="tx1"/>
            </w14:solidFill>
          </w14:textFill>
        </w:rPr>
      </w:pPr>
    </w:p>
    <w:p w14:paraId="3C8D3CE1">
      <w:pPr>
        <w:spacing w:line="360" w:lineRule="auto"/>
        <w:ind w:firstLine="2364" w:firstLineChars="327"/>
        <w:rPr>
          <w:rFonts w:ascii="宋体" w:hAnsi="宋体"/>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 标 文 件</w:t>
      </w:r>
    </w:p>
    <w:p w14:paraId="6FD09FBF">
      <w:pPr>
        <w:adjustRightInd w:val="0"/>
        <w:spacing w:line="360" w:lineRule="auto"/>
        <w:jc w:val="center"/>
        <w:textAlignment w:val="baseline"/>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（符合性审查部分）</w:t>
      </w:r>
    </w:p>
    <w:p w14:paraId="50FFC1EF">
      <w:pPr>
        <w:adjustRightInd w:val="0"/>
        <w:spacing w:line="360" w:lineRule="auto"/>
        <w:textAlignment w:val="baseline"/>
        <w:rPr>
          <w:rFonts w:ascii="宋体" w:hAnsi="宋体"/>
          <w:b/>
          <w:bCs/>
          <w:color w:val="000000" w:themeColor="text1"/>
          <w:sz w:val="32"/>
          <w14:textFill>
            <w14:solidFill>
              <w14:schemeClr w14:val="tx1"/>
            </w14:solidFill>
          </w14:textFill>
        </w:rPr>
      </w:pPr>
    </w:p>
    <w:p w14:paraId="25F6C191">
      <w:pPr>
        <w:adjustRightInd w:val="0"/>
        <w:spacing w:line="360" w:lineRule="auto"/>
        <w:textAlignment w:val="baseline"/>
        <w:rPr>
          <w:rFonts w:ascii="宋体" w:hAnsi="宋体"/>
          <w:b/>
          <w:bCs/>
          <w:color w:val="000000" w:themeColor="text1"/>
          <w:sz w:val="32"/>
          <w14:textFill>
            <w14:solidFill>
              <w14:schemeClr w14:val="tx1"/>
            </w14:solidFill>
          </w14:textFill>
        </w:rPr>
      </w:pPr>
    </w:p>
    <w:p w14:paraId="757A6875">
      <w:pPr>
        <w:adjustRightInd w:val="0"/>
        <w:spacing w:line="360" w:lineRule="auto"/>
        <w:ind w:left="34" w:leftChars="-118" w:hanging="282" w:hangingChars="78"/>
        <w:textAlignment w:val="baseline"/>
        <w:rPr>
          <w:rFonts w:ascii="宋体" w:hAnsi="宋体"/>
          <w:b/>
          <w:bCs/>
          <w:color w:val="000000" w:themeColor="text1"/>
          <w:sz w:val="36"/>
          <w:szCs w:val="36"/>
          <w14:textFill>
            <w14:solidFill>
              <w14:schemeClr w14:val="tx1"/>
            </w14:solidFill>
          </w14:textFill>
        </w:rPr>
      </w:pPr>
    </w:p>
    <w:p w14:paraId="15AE7DCA">
      <w:pPr>
        <w:adjustRightInd w:val="0"/>
        <w:spacing w:line="360" w:lineRule="auto"/>
        <w:ind w:left="34" w:leftChars="-118" w:hanging="282" w:hangingChars="78"/>
        <w:textAlignment w:val="baseline"/>
        <w:rPr>
          <w:rFonts w:ascii="宋体" w:hAnsi="宋体"/>
          <w:b/>
          <w:bCs/>
          <w:color w:val="000000" w:themeColor="text1"/>
          <w:sz w:val="36"/>
          <w:szCs w:val="36"/>
          <w14:textFill>
            <w14:solidFill>
              <w14:schemeClr w14:val="tx1"/>
            </w14:solidFill>
          </w14:textFill>
        </w:rPr>
      </w:pPr>
    </w:p>
    <w:p w14:paraId="68B2E73B">
      <w:pPr>
        <w:adjustRightInd w:val="0"/>
        <w:spacing w:line="360" w:lineRule="auto"/>
        <w:textAlignment w:val="baseline"/>
        <w:rPr>
          <w:rFonts w:ascii="宋体" w:hAnsi="宋体"/>
          <w:b/>
          <w:bCs/>
          <w:color w:val="000000" w:themeColor="text1"/>
          <w:sz w:val="36"/>
          <w:szCs w:val="36"/>
          <w14:textFill>
            <w14:solidFill>
              <w14:schemeClr w14:val="tx1"/>
            </w14:solidFill>
          </w14:textFill>
        </w:rPr>
      </w:pPr>
    </w:p>
    <w:p w14:paraId="4996B2EE">
      <w:pPr>
        <w:adjustRightInd w:val="0"/>
        <w:spacing w:line="360" w:lineRule="auto"/>
        <w:ind w:firstLine="301" w:firstLineChars="100"/>
        <w:jc w:val="both"/>
        <w:textAlignment w:val="baseline"/>
        <w:rPr>
          <w:rFonts w:hint="eastAsia" w:ascii="宋体" w:hAnsi="宋体" w:eastAsiaTheme="minorEastAsia"/>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xml:space="preserve">采购项目编号： </w:t>
      </w:r>
      <w:r>
        <w:rPr>
          <w:rFonts w:hint="eastAsia" w:ascii="宋体" w:hAnsi="宋体"/>
          <w:b/>
          <w:bCs/>
          <w:color w:val="000000" w:themeColor="text1"/>
          <w:sz w:val="30"/>
          <w:szCs w:val="30"/>
          <w:lang w:eastAsia="zh-CN"/>
          <w14:textFill>
            <w14:solidFill>
              <w14:schemeClr w14:val="tx1"/>
            </w14:solidFill>
          </w14:textFill>
        </w:rPr>
        <w:t>南政采公招（服务）2024-28号</w:t>
      </w:r>
    </w:p>
    <w:p w14:paraId="072BA59F">
      <w:pPr>
        <w:adjustRightInd w:val="0"/>
        <w:spacing w:line="360" w:lineRule="auto"/>
        <w:ind w:left="2707" w:leftChars="142" w:hanging="2409" w:hangingChars="800"/>
        <w:jc w:val="both"/>
        <w:textAlignment w:val="baseline"/>
        <w:rPr>
          <w:rFonts w:hint="eastAsia" w:ascii="宋体" w:hAnsi="宋体" w:eastAsiaTheme="minorEastAsia"/>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采购项目名称：</w:t>
      </w:r>
      <w:r>
        <w:rPr>
          <w:rFonts w:hint="eastAsia" w:ascii="宋体" w:hAnsi="宋体"/>
          <w:b/>
          <w:bCs/>
          <w:color w:val="000000" w:themeColor="text1"/>
          <w:sz w:val="30"/>
          <w:szCs w:val="30"/>
          <w:lang w:eastAsia="zh-CN"/>
          <w14:textFill>
            <w14:solidFill>
              <w14:schemeClr w14:val="tx1"/>
            </w14:solidFill>
          </w14:textFill>
        </w:rPr>
        <w:t>青海省省级区域医疗中心（海南州）建设项目信息化建设项目</w:t>
      </w:r>
    </w:p>
    <w:p w14:paraId="1BB4C5DE">
      <w:pPr>
        <w:autoSpaceDE w:val="0"/>
        <w:autoSpaceDN w:val="0"/>
        <w:adjustRightInd w:val="0"/>
        <w:spacing w:line="360" w:lineRule="auto"/>
        <w:ind w:left="2512" w:hanging="2512" w:hangingChars="695"/>
        <w:rPr>
          <w:rFonts w:ascii="宋体" w:hAnsi="宋体"/>
          <w:b/>
          <w:color w:val="000000" w:themeColor="text1"/>
          <w:sz w:val="36"/>
          <w:szCs w:val="36"/>
          <w14:textFill>
            <w14:solidFill>
              <w14:schemeClr w14:val="tx1"/>
            </w14:solidFill>
          </w14:textFill>
        </w:rPr>
      </w:pPr>
    </w:p>
    <w:p w14:paraId="0497B452">
      <w:pPr>
        <w:autoSpaceDE w:val="0"/>
        <w:autoSpaceDN w:val="0"/>
        <w:adjustRightInd w:val="0"/>
        <w:spacing w:line="360" w:lineRule="auto"/>
        <w:ind w:left="2512" w:hanging="2512" w:hangingChars="695"/>
        <w:jc w:val="center"/>
        <w:rPr>
          <w:rFonts w:ascii="宋体" w:hAnsi="宋体"/>
          <w:b/>
          <w:color w:val="000000" w:themeColor="text1"/>
          <w:sz w:val="36"/>
          <w:szCs w:val="36"/>
          <w14:textFill>
            <w14:solidFill>
              <w14:schemeClr w14:val="tx1"/>
            </w14:solidFill>
          </w14:textFill>
        </w:rPr>
      </w:pPr>
    </w:p>
    <w:p w14:paraId="526A5D37">
      <w:pPr>
        <w:adjustRightInd w:val="0"/>
        <w:spacing w:line="360" w:lineRule="auto"/>
        <w:ind w:left="2183" w:leftChars="-68" w:hanging="2326" w:hangingChars="724"/>
        <w:textAlignment w:val="baseline"/>
        <w:rPr>
          <w:rFonts w:ascii="宋体" w:hAnsi="宋体"/>
          <w:b/>
          <w:color w:val="000000" w:themeColor="text1"/>
          <w:sz w:val="32"/>
          <w14:textFill>
            <w14:solidFill>
              <w14:schemeClr w14:val="tx1"/>
            </w14:solidFill>
          </w14:textFill>
        </w:rPr>
      </w:pPr>
    </w:p>
    <w:p w14:paraId="1AFCF817">
      <w:pPr>
        <w:adjustRightInd w:val="0"/>
        <w:spacing w:line="360" w:lineRule="auto"/>
        <w:textAlignment w:val="baseline"/>
        <w:rPr>
          <w:rFonts w:ascii="宋体" w:hAnsi="宋体"/>
          <w:b/>
          <w:bCs/>
          <w:color w:val="000000" w:themeColor="text1"/>
          <w:sz w:val="36"/>
          <w:szCs w:val="36"/>
          <w14:textFill>
            <w14:solidFill>
              <w14:schemeClr w14:val="tx1"/>
            </w14:solidFill>
          </w14:textFill>
        </w:rPr>
      </w:pPr>
    </w:p>
    <w:p w14:paraId="4C2E691F">
      <w:pPr>
        <w:adjustRightInd w:val="0"/>
        <w:spacing w:line="360" w:lineRule="auto"/>
        <w:textAlignment w:val="baseline"/>
        <w:rPr>
          <w:rFonts w:ascii="宋体" w:hAnsi="宋体"/>
          <w:b/>
          <w:bCs/>
          <w:color w:val="000000" w:themeColor="text1"/>
          <w:sz w:val="36"/>
          <w:szCs w:val="36"/>
          <w14:textFill>
            <w14:solidFill>
              <w14:schemeClr w14:val="tx1"/>
            </w14:solidFill>
          </w14:textFill>
        </w:rPr>
      </w:pPr>
    </w:p>
    <w:p w14:paraId="613984F0">
      <w:pPr>
        <w:adjustRightInd w:val="0"/>
        <w:spacing w:line="360" w:lineRule="auto"/>
        <w:ind w:left="-248" w:leftChars="-118" w:firstLine="1"/>
        <w:jc w:val="center"/>
        <w:textAlignment w:val="baseline"/>
        <w:rPr>
          <w:rFonts w:ascii="宋体" w:hAnsi="宋体"/>
          <w:b/>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投标单位</w:t>
      </w:r>
      <w:r>
        <w:rPr>
          <w:rFonts w:hint="eastAsia" w:ascii="宋体" w:hAnsi="宋体"/>
          <w:b/>
          <w:color w:val="000000" w:themeColor="text1"/>
          <w:sz w:val="36"/>
          <w:szCs w:val="36"/>
          <w14:textFill>
            <w14:solidFill>
              <w14:schemeClr w14:val="tx1"/>
            </w14:solidFill>
          </w14:textFill>
        </w:rPr>
        <w:t>：</w:t>
      </w:r>
    </w:p>
    <w:p w14:paraId="105AD8A5">
      <w:pPr>
        <w:spacing w:line="360" w:lineRule="auto"/>
        <w:ind w:firstLine="3052" w:firstLineChars="95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p>
    <w:p w14:paraId="7B0A7F53">
      <w:pPr>
        <w:widowControl/>
        <w:snapToGrid w:val="0"/>
        <w:spacing w:line="360" w:lineRule="auto"/>
        <w:outlineLvl w:val="1"/>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162" w:name="_Toc82527713"/>
      <w:bookmarkStart w:id="163" w:name="_Toc67558614"/>
      <w:r>
        <w:rPr>
          <w:rFonts w:hint="eastAsia" w:ascii="宋体"/>
          <w:b/>
          <w:color w:val="000000" w:themeColor="text1"/>
          <w:sz w:val="28"/>
          <w:szCs w:val="28"/>
          <w14:textFill>
            <w14:solidFill>
              <w14:schemeClr w14:val="tx1"/>
            </w14:solidFill>
          </w14:textFill>
        </w:rPr>
        <w:t>附件</w:t>
      </w:r>
      <w:bookmarkStart w:id="164" w:name="_Toc376936769"/>
      <w:bookmarkStart w:id="165" w:name="_Toc325726038"/>
      <w:r>
        <w:rPr>
          <w:rFonts w:hint="eastAsia" w:ascii="宋体"/>
          <w:b/>
          <w:color w:val="000000" w:themeColor="text1"/>
          <w:sz w:val="28"/>
          <w:szCs w:val="28"/>
          <w:lang w:val="en-US" w:eastAsia="zh-CN"/>
          <w14:textFill>
            <w14:solidFill>
              <w14:schemeClr w14:val="tx1"/>
            </w14:solidFill>
          </w14:textFill>
        </w:rPr>
        <w:t>12</w:t>
      </w:r>
      <w:r>
        <w:rPr>
          <w:rFonts w:hint="eastAsia" w:ascii="宋体"/>
          <w:b/>
          <w:color w:val="000000" w:themeColor="text1"/>
          <w:sz w:val="28"/>
          <w:szCs w:val="28"/>
          <w14:textFill>
            <w14:solidFill>
              <w14:schemeClr w14:val="tx1"/>
            </w14:solidFill>
          </w14:textFill>
        </w:rPr>
        <w:t>：报价一览表</w:t>
      </w:r>
      <w:bookmarkEnd w:id="162"/>
      <w:bookmarkEnd w:id="164"/>
      <w:bookmarkEnd w:id="165"/>
    </w:p>
    <w:p w14:paraId="3F9F6F19">
      <w:pPr>
        <w:widowControl/>
        <w:snapToGrid w:val="0"/>
        <w:spacing w:line="360" w:lineRule="auto"/>
        <w:jc w:val="center"/>
        <w:outlineLvl w:val="1"/>
        <w:rPr>
          <w:rFonts w:ascii="宋体"/>
          <w:b/>
          <w:color w:val="000000" w:themeColor="text1"/>
          <w:sz w:val="36"/>
          <w:szCs w:val="36"/>
          <w14:textFill>
            <w14:solidFill>
              <w14:schemeClr w14:val="tx1"/>
            </w14:solidFill>
          </w14:textFill>
        </w:rPr>
      </w:pPr>
    </w:p>
    <w:p w14:paraId="7CDD3916">
      <w:pPr>
        <w:ind w:firstLine="0" w:firstLineChars="0"/>
        <w:jc w:val="center"/>
        <w:rPr>
          <w:rFonts w:hint="eastAsia" w:ascii="宋体" w:hAnsi="宋体"/>
          <w:b/>
          <w:sz w:val="36"/>
          <w:szCs w:val="36"/>
        </w:rPr>
      </w:pPr>
      <w:r>
        <w:rPr>
          <w:rFonts w:hint="eastAsia" w:ascii="宋体" w:hAnsi="宋体"/>
          <w:b/>
          <w:sz w:val="36"/>
          <w:szCs w:val="36"/>
        </w:rPr>
        <w:t>投标报价一览表</w:t>
      </w:r>
    </w:p>
    <w:p w14:paraId="588B6265">
      <w:pPr>
        <w:ind w:firstLine="0" w:firstLineChars="0"/>
        <w:rPr>
          <w:rFonts w:hint="eastAsia" w:ascii="宋体" w:hAnsi="宋体"/>
          <w:b/>
        </w:rPr>
      </w:pPr>
      <w:r>
        <w:rPr>
          <w:rFonts w:hint="eastAsia" w:ascii="宋体" w:hAnsi="宋体"/>
          <w:b/>
        </w:rPr>
        <w:t xml:space="preserve">投标单位名称：                                          </w:t>
      </w:r>
    </w:p>
    <w:p w14:paraId="598DBC12">
      <w:pPr>
        <w:ind w:firstLine="0" w:firstLineChars="0"/>
        <w:jc w:val="right"/>
        <w:rPr>
          <w:rFonts w:hint="eastAsia" w:ascii="宋体" w:hAnsi="宋体"/>
          <w:b/>
        </w:rPr>
      </w:pPr>
      <w:r>
        <w:rPr>
          <w:rFonts w:hint="eastAsia" w:ascii="宋体" w:hAnsi="宋体"/>
          <w:b/>
          <w:bCs/>
        </w:rPr>
        <w:t xml:space="preserve"> </w:t>
      </w:r>
      <w:r>
        <w:rPr>
          <w:rFonts w:hint="eastAsia" w:ascii="宋体" w:hAnsi="宋体"/>
        </w:rPr>
        <w:t>单位：</w:t>
      </w:r>
      <w:r>
        <w:rPr>
          <w:rFonts w:hint="eastAsia" w:ascii="宋体" w:hAnsi="宋体"/>
          <w:bCs/>
        </w:rPr>
        <w:t>人民币(元)</w:t>
      </w:r>
    </w:p>
    <w:tbl>
      <w:tblPr>
        <w:tblStyle w:val="20"/>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684"/>
        <w:gridCol w:w="1560"/>
        <w:gridCol w:w="1560"/>
      </w:tblGrid>
      <w:tr w14:paraId="755D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235" w:type="dxa"/>
            <w:noWrap w:val="0"/>
            <w:vAlign w:val="center"/>
          </w:tcPr>
          <w:p w14:paraId="75359D63">
            <w:pPr>
              <w:adjustRightInd w:val="0"/>
              <w:ind w:firstLine="482"/>
              <w:textAlignment w:val="baseline"/>
              <w:rPr>
                <w:rFonts w:hint="eastAsia" w:ascii="宋体" w:hAnsi="宋体"/>
                <w:b/>
              </w:rPr>
            </w:pPr>
            <w:r>
              <w:rPr>
                <w:rFonts w:hint="eastAsia" w:ascii="宋体" w:hAnsi="宋体"/>
                <w:b/>
              </w:rPr>
              <w:t>项目名称</w:t>
            </w:r>
          </w:p>
        </w:tc>
        <w:tc>
          <w:tcPr>
            <w:tcW w:w="3684" w:type="dxa"/>
            <w:noWrap w:val="0"/>
            <w:vAlign w:val="center"/>
          </w:tcPr>
          <w:p w14:paraId="160130D8">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noWrap w:val="0"/>
            <w:vAlign w:val="center"/>
          </w:tcPr>
          <w:p w14:paraId="4091BE34">
            <w:pPr>
              <w:adjustRightInd w:val="0"/>
              <w:ind w:firstLine="0" w:firstLineChars="0"/>
              <w:jc w:val="center"/>
              <w:textAlignment w:val="baseline"/>
              <w:rPr>
                <w:rFonts w:hint="eastAsia" w:ascii="宋体" w:hAnsi="宋体" w:eastAsiaTheme="minorEastAsia"/>
                <w:b/>
                <w:lang w:eastAsia="zh-CN"/>
              </w:rPr>
            </w:pPr>
            <w:r>
              <w:rPr>
                <w:rFonts w:hint="eastAsia" w:ascii="宋体" w:hAnsi="宋体"/>
                <w:b/>
                <w:lang w:eastAsia="zh-CN"/>
              </w:rPr>
              <w:t>服务期</w:t>
            </w:r>
          </w:p>
        </w:tc>
        <w:tc>
          <w:tcPr>
            <w:tcW w:w="1560" w:type="dxa"/>
            <w:noWrap w:val="0"/>
            <w:vAlign w:val="center"/>
          </w:tcPr>
          <w:p w14:paraId="4C29E1DA">
            <w:pPr>
              <w:adjustRightInd w:val="0"/>
              <w:ind w:left="245" w:leftChars="16" w:hanging="211" w:hangingChars="100"/>
              <w:jc w:val="center"/>
              <w:textAlignment w:val="baseline"/>
              <w:rPr>
                <w:rFonts w:hint="eastAsia" w:ascii="宋体" w:hAnsi="宋体"/>
                <w:b/>
              </w:rPr>
            </w:pPr>
            <w:r>
              <w:rPr>
                <w:rFonts w:hint="eastAsia" w:ascii="宋体" w:hAnsi="宋体"/>
                <w:b/>
              </w:rPr>
              <w:t>备注</w:t>
            </w:r>
          </w:p>
        </w:tc>
      </w:tr>
      <w:tr w14:paraId="086F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35" w:type="dxa"/>
            <w:vMerge w:val="restart"/>
            <w:noWrap w:val="0"/>
            <w:vAlign w:val="center"/>
          </w:tcPr>
          <w:p w14:paraId="03FD8F42">
            <w:pPr>
              <w:adjustRightInd w:val="0"/>
              <w:ind w:firstLine="482"/>
              <w:textAlignment w:val="baseline"/>
              <w:rPr>
                <w:rFonts w:hint="eastAsia" w:ascii="宋体" w:hAnsi="宋体"/>
                <w:b/>
                <w:bCs/>
              </w:rPr>
            </w:pPr>
          </w:p>
        </w:tc>
        <w:tc>
          <w:tcPr>
            <w:tcW w:w="3684" w:type="dxa"/>
            <w:noWrap w:val="0"/>
            <w:vAlign w:val="top"/>
          </w:tcPr>
          <w:p w14:paraId="693B5474">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noWrap w:val="0"/>
            <w:vAlign w:val="top"/>
          </w:tcPr>
          <w:p w14:paraId="7A57F8B1">
            <w:pPr>
              <w:adjustRightInd w:val="0"/>
              <w:ind w:firstLine="173" w:firstLineChars="82"/>
              <w:textAlignment w:val="baseline"/>
              <w:rPr>
                <w:rFonts w:hint="eastAsia" w:ascii="宋体" w:hAnsi="宋体"/>
                <w:b/>
              </w:rPr>
            </w:pPr>
          </w:p>
        </w:tc>
        <w:tc>
          <w:tcPr>
            <w:tcW w:w="1560" w:type="dxa"/>
            <w:vMerge w:val="restart"/>
            <w:noWrap w:val="0"/>
            <w:vAlign w:val="top"/>
          </w:tcPr>
          <w:p w14:paraId="71A3B8D4">
            <w:pPr>
              <w:adjustRightInd w:val="0"/>
              <w:ind w:firstLine="0" w:firstLineChars="0"/>
              <w:textAlignment w:val="baseline"/>
              <w:rPr>
                <w:rFonts w:hint="eastAsia" w:ascii="宋体" w:hAnsi="宋体"/>
                <w:b/>
              </w:rPr>
            </w:pPr>
          </w:p>
        </w:tc>
      </w:tr>
      <w:tr w14:paraId="08B0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235" w:type="dxa"/>
            <w:vMerge w:val="continue"/>
            <w:noWrap w:val="0"/>
            <w:vAlign w:val="center"/>
          </w:tcPr>
          <w:p w14:paraId="79554C6E">
            <w:pPr>
              <w:adjustRightInd w:val="0"/>
              <w:ind w:firstLine="482"/>
              <w:textAlignment w:val="baseline"/>
              <w:rPr>
                <w:rFonts w:hint="eastAsia" w:ascii="宋体" w:hAnsi="宋体"/>
                <w:b/>
                <w:bCs/>
              </w:rPr>
            </w:pPr>
          </w:p>
        </w:tc>
        <w:tc>
          <w:tcPr>
            <w:tcW w:w="3684" w:type="dxa"/>
            <w:noWrap w:val="0"/>
            <w:vAlign w:val="top"/>
          </w:tcPr>
          <w:p w14:paraId="0B3C7D1D">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noWrap w:val="0"/>
            <w:vAlign w:val="top"/>
          </w:tcPr>
          <w:p w14:paraId="1F90EB77">
            <w:pPr>
              <w:adjustRightInd w:val="0"/>
              <w:ind w:firstLine="482"/>
              <w:textAlignment w:val="baseline"/>
              <w:rPr>
                <w:rFonts w:hint="eastAsia" w:ascii="宋体" w:hAnsi="宋体"/>
                <w:b/>
              </w:rPr>
            </w:pPr>
          </w:p>
        </w:tc>
        <w:tc>
          <w:tcPr>
            <w:tcW w:w="1560" w:type="dxa"/>
            <w:vMerge w:val="continue"/>
            <w:noWrap w:val="0"/>
            <w:vAlign w:val="top"/>
          </w:tcPr>
          <w:p w14:paraId="080BB6CA">
            <w:pPr>
              <w:adjustRightInd w:val="0"/>
              <w:ind w:firstLine="0" w:firstLineChars="0"/>
              <w:textAlignment w:val="baseline"/>
              <w:rPr>
                <w:rFonts w:hint="eastAsia" w:ascii="宋体" w:hAnsi="宋体"/>
                <w:b/>
              </w:rPr>
            </w:pPr>
          </w:p>
        </w:tc>
      </w:tr>
      <w:tr w14:paraId="2387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noWrap w:val="0"/>
            <w:vAlign w:val="center"/>
          </w:tcPr>
          <w:p w14:paraId="283D5401">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7579C1E9">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313425C2">
      <w:pPr>
        <w:adjustRightInd w:val="0"/>
        <w:spacing w:line="276" w:lineRule="auto"/>
        <w:ind w:firstLine="480"/>
        <w:textAlignment w:val="baseline"/>
        <w:rPr>
          <w:rFonts w:hint="eastAsia" w:ascii="宋体" w:hAnsi="宋体"/>
        </w:rPr>
      </w:pPr>
      <w:r>
        <w:rPr>
          <w:rFonts w:hint="eastAsia" w:ascii="宋体" w:hAnsi="宋体"/>
        </w:rPr>
        <w:t>2.投标总报价包括</w:t>
      </w:r>
      <w:r>
        <w:t>产品费、服务费、软件开发费、技术支持费、培训费、检验费、手续费、包装费、运输费、保险费、系统集成费、安装调试费、税金及其他不可预见费等全部费用。</w:t>
      </w:r>
    </w:p>
    <w:p w14:paraId="51AEE231">
      <w:pPr>
        <w:adjustRightInd w:val="0"/>
        <w:spacing w:line="276" w:lineRule="auto"/>
        <w:ind w:firstLine="480"/>
        <w:textAlignment w:val="baseline"/>
        <w:rPr>
          <w:rFonts w:hint="eastAsia" w:ascii="宋体" w:hAnsi="宋体"/>
        </w:rPr>
      </w:pPr>
      <w:r>
        <w:rPr>
          <w:rFonts w:hint="eastAsia" w:ascii="宋体" w:hAnsi="宋体"/>
        </w:rPr>
        <w:t>3.“</w:t>
      </w:r>
      <w:r>
        <w:rPr>
          <w:rFonts w:hint="eastAsia" w:ascii="宋体" w:hAnsi="宋体"/>
          <w:lang w:eastAsia="zh-CN"/>
        </w:rPr>
        <w:t>服务期</w:t>
      </w:r>
      <w:r>
        <w:rPr>
          <w:rFonts w:hint="eastAsia" w:ascii="宋体" w:hAnsi="宋体"/>
        </w:rPr>
        <w:t>”是指该项目能够交付使用的具体时间。</w:t>
      </w:r>
    </w:p>
    <w:p w14:paraId="02B53AC2">
      <w:pPr>
        <w:adjustRightInd w:val="0"/>
        <w:spacing w:line="276" w:lineRule="auto"/>
        <w:ind w:firstLine="480"/>
        <w:textAlignment w:val="baseline"/>
        <w:rPr>
          <w:rFonts w:hint="eastAsia" w:ascii="宋体" w:hAnsi="宋体"/>
          <w:color w:val="000000"/>
        </w:rPr>
      </w:pPr>
      <w:r>
        <w:rPr>
          <w:rFonts w:hint="eastAsia" w:ascii="宋体" w:hAnsi="宋体"/>
        </w:rPr>
        <w:t>4</w:t>
      </w:r>
      <w:r>
        <w:rPr>
          <w:rFonts w:hint="eastAsia" w:ascii="宋体" w:hAnsi="宋体"/>
          <w:color w:val="000000"/>
        </w:rPr>
        <w:t>.除在投标文件中编制此表以外，投标人应在青海省</w:t>
      </w:r>
      <w:r>
        <w:rPr>
          <w:rFonts w:hint="eastAsia" w:ascii="宋体" w:hAnsi="宋体"/>
          <w:color w:val="000000"/>
          <w:lang w:eastAsia="zh-CN"/>
        </w:rPr>
        <w:t>政采云平台</w:t>
      </w:r>
      <w:r>
        <w:rPr>
          <w:rFonts w:hint="eastAsia" w:ascii="宋体" w:hAnsi="宋体"/>
          <w:color w:val="000000"/>
        </w:rPr>
        <w:t>中进行网上报价，网上报价应和此表报价一致，否则以网上报价为准，不接受者投标无效</w:t>
      </w:r>
    </w:p>
    <w:p w14:paraId="1B13383B">
      <w:pPr>
        <w:adjustRightInd w:val="0"/>
        <w:spacing w:line="276" w:lineRule="auto"/>
        <w:ind w:firstLine="480"/>
        <w:textAlignment w:val="baseline"/>
        <w:rPr>
          <w:rFonts w:hint="eastAsia" w:ascii="宋体" w:hAnsi="宋体"/>
          <w:color w:val="000000"/>
        </w:rPr>
      </w:pPr>
      <w:r>
        <w:rPr>
          <w:rFonts w:hint="eastAsia" w:ascii="宋体" w:hAnsi="宋体"/>
          <w:color w:val="000000"/>
        </w:rPr>
        <w:t>5.投标总报价不能有两个或两个以上的报价方案，否则，投标无效。</w:t>
      </w:r>
    </w:p>
    <w:p w14:paraId="74E45774">
      <w:pPr>
        <w:adjustRightInd w:val="0"/>
        <w:spacing w:line="276" w:lineRule="auto"/>
        <w:ind w:firstLine="480"/>
        <w:textAlignment w:val="baseline"/>
        <w:rPr>
          <w:rFonts w:ascii="宋体" w:hAnsi="宋体"/>
          <w:color w:val="000000" w:themeColor="text1"/>
          <w14:textFill>
            <w14:solidFill>
              <w14:schemeClr w14:val="tx1"/>
            </w14:solidFill>
          </w14:textFill>
        </w:rPr>
      </w:pPr>
    </w:p>
    <w:p w14:paraId="6E440D9D">
      <w:pPr>
        <w:adjustRightInd w:val="0"/>
        <w:textAlignment w:val="baseline"/>
        <w:rPr>
          <w:rFonts w:ascii="宋体" w:hAnsi="宋体"/>
          <w:color w:val="000000" w:themeColor="text1"/>
          <w14:textFill>
            <w14:solidFill>
              <w14:schemeClr w14:val="tx1"/>
            </w14:solidFill>
          </w14:textFill>
        </w:rPr>
      </w:pPr>
    </w:p>
    <w:p w14:paraId="0B618D7E">
      <w:pPr>
        <w:adjustRightInd w:val="0"/>
        <w:textAlignment w:val="baseline"/>
        <w:rPr>
          <w:rFonts w:ascii="宋体" w:hAnsi="宋体"/>
          <w:color w:val="000000" w:themeColor="text1"/>
          <w14:textFill>
            <w14:solidFill>
              <w14:schemeClr w14:val="tx1"/>
            </w14:solidFill>
          </w14:textFill>
        </w:rPr>
      </w:pPr>
    </w:p>
    <w:p w14:paraId="543AF4AA">
      <w:pPr>
        <w:adjustRightInd w:val="0"/>
        <w:textAlignment w:val="baseline"/>
        <w:rPr>
          <w:rFonts w:ascii="宋体" w:hAnsi="宋体"/>
          <w:color w:val="000000" w:themeColor="text1"/>
          <w14:textFill>
            <w14:solidFill>
              <w14:schemeClr w14:val="tx1"/>
            </w14:solidFill>
          </w14:textFill>
        </w:rPr>
      </w:pPr>
    </w:p>
    <w:p w14:paraId="45800258">
      <w:pPr>
        <w:ind w:firstLine="480"/>
        <w:jc w:val="center"/>
        <w:rPr>
          <w:rFonts w:ascii="宋体" w:hAnsi="宋体"/>
          <w:color w:val="000000" w:themeColor="text1"/>
          <w14:textFill>
            <w14:solidFill>
              <w14:schemeClr w14:val="tx1"/>
            </w14:solidFill>
          </w14:textFill>
        </w:rPr>
      </w:pPr>
    </w:p>
    <w:p w14:paraId="29B7BFC7">
      <w:pPr>
        <w:ind w:firstLine="480"/>
        <w:jc w:val="center"/>
        <w:rPr>
          <w:rFonts w:ascii="宋体" w:hAnsi="宋体"/>
          <w:color w:val="000000" w:themeColor="text1"/>
          <w14:textFill>
            <w14:solidFill>
              <w14:schemeClr w14:val="tx1"/>
            </w14:solidFill>
          </w14:textFill>
        </w:rPr>
      </w:pPr>
    </w:p>
    <w:p w14:paraId="438754E6">
      <w:pPr>
        <w:ind w:firstLine="480"/>
        <w:jc w:val="center"/>
        <w:rPr>
          <w:rFonts w:ascii="宋体" w:hAnsi="宋体"/>
          <w:color w:val="000000" w:themeColor="text1"/>
          <w14:textFill>
            <w14:solidFill>
              <w14:schemeClr w14:val="tx1"/>
            </w14:solidFill>
          </w14:textFill>
        </w:rPr>
      </w:pPr>
    </w:p>
    <w:p w14:paraId="1EF75BC2">
      <w:pPr>
        <w:ind w:firstLine="2215" w:firstLineChars="1055"/>
        <w:rPr>
          <w:rFonts w:ascii="宋体" w:hAnsi="宋体"/>
          <w:color w:val="000000" w:themeColor="text1"/>
          <w14:textFill>
            <w14:solidFill>
              <w14:schemeClr w14:val="tx1"/>
            </w14:solidFill>
          </w14:textFill>
        </w:rPr>
      </w:pPr>
    </w:p>
    <w:p w14:paraId="3B2678F7">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投标单位：</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14C57082">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40874C97">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14:paraId="6585C131">
      <w:pPr>
        <w:widowControl/>
        <w:snapToGrid w:val="0"/>
        <w:spacing w:line="360" w:lineRule="auto"/>
        <w:outlineLvl w:val="1"/>
        <w:rPr>
          <w:rFonts w:ascii="宋体"/>
          <w:b/>
          <w:color w:val="000000" w:themeColor="text1"/>
          <w:sz w:val="28"/>
          <w:szCs w:val="28"/>
          <w14:textFill>
            <w14:solidFill>
              <w14:schemeClr w14:val="tx1"/>
            </w14:solidFill>
          </w14:textFill>
        </w:rPr>
      </w:pPr>
    </w:p>
    <w:p w14:paraId="7E046F51">
      <w:pPr>
        <w:widowControl/>
        <w:snapToGrid w:val="0"/>
        <w:spacing w:line="360" w:lineRule="auto"/>
        <w:outlineLvl w:val="1"/>
        <w:rPr>
          <w:rFonts w:ascii="宋体"/>
          <w:b/>
          <w:color w:val="000000" w:themeColor="text1"/>
          <w:sz w:val="28"/>
          <w:szCs w:val="28"/>
          <w14:textFill>
            <w14:solidFill>
              <w14:schemeClr w14:val="tx1"/>
            </w14:solidFill>
          </w14:textFill>
        </w:rPr>
      </w:pPr>
      <w:bookmarkStart w:id="166" w:name="_Toc82527714"/>
    </w:p>
    <w:p w14:paraId="47575339">
      <w:pPr>
        <w:widowControl/>
        <w:snapToGrid w:val="0"/>
        <w:spacing w:line="360" w:lineRule="auto"/>
        <w:outlineLvl w:val="1"/>
        <w:rPr>
          <w:rFonts w:ascii="宋体"/>
          <w:b/>
          <w:color w:val="000000" w:themeColor="text1"/>
          <w:sz w:val="28"/>
          <w:szCs w:val="28"/>
          <w14:textFill>
            <w14:solidFill>
              <w14:schemeClr w14:val="tx1"/>
            </w14:solidFill>
          </w14:textFill>
        </w:rPr>
      </w:pPr>
    </w:p>
    <w:p w14:paraId="2C9A15C7">
      <w:pPr>
        <w:widowControl/>
        <w:snapToGrid w:val="0"/>
        <w:spacing w:line="360" w:lineRule="auto"/>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167" w:name="_Toc325726039"/>
      <w:bookmarkStart w:id="168" w:name="_Toc376936770"/>
      <w:r>
        <w:rPr>
          <w:rFonts w:hint="eastAsia" w:ascii="宋体"/>
          <w:b/>
          <w:color w:val="000000" w:themeColor="text1"/>
          <w:sz w:val="28"/>
          <w:szCs w:val="28"/>
          <w14:textFill>
            <w14:solidFill>
              <w14:schemeClr w14:val="tx1"/>
            </w14:solidFill>
          </w14:textFill>
        </w:rPr>
        <w:t>1</w:t>
      </w:r>
      <w:r>
        <w:rPr>
          <w:rFonts w:hint="eastAsia" w:ascii="宋体"/>
          <w:b/>
          <w:color w:val="000000" w:themeColor="text1"/>
          <w:sz w:val="28"/>
          <w:szCs w:val="28"/>
          <w:lang w:val="en-US" w:eastAsia="zh-CN"/>
          <w14:textFill>
            <w14:solidFill>
              <w14:schemeClr w14:val="tx1"/>
            </w14:solidFill>
          </w14:textFill>
        </w:rPr>
        <w:t>3</w:t>
      </w:r>
      <w:r>
        <w:rPr>
          <w:rFonts w:hint="eastAsia" w:ascii="宋体"/>
          <w:b/>
          <w:color w:val="000000" w:themeColor="text1"/>
          <w:sz w:val="28"/>
          <w:szCs w:val="28"/>
          <w14:textFill>
            <w14:solidFill>
              <w14:schemeClr w14:val="tx1"/>
            </w14:solidFill>
          </w14:textFill>
        </w:rPr>
        <w:t>：分项报价表</w:t>
      </w:r>
      <w:bookmarkEnd w:id="166"/>
      <w:bookmarkEnd w:id="167"/>
      <w:bookmarkEnd w:id="168"/>
    </w:p>
    <w:p w14:paraId="097082BC">
      <w:pPr>
        <w:widowControl/>
        <w:snapToGrid w:val="0"/>
        <w:spacing w:line="360" w:lineRule="auto"/>
        <w:jc w:val="center"/>
        <w:outlineLvl w:val="1"/>
        <w:rPr>
          <w:rFonts w:ascii="宋体"/>
          <w:b/>
          <w:color w:val="000000" w:themeColor="text1"/>
          <w:sz w:val="36"/>
          <w:szCs w:val="36"/>
          <w14:textFill>
            <w14:solidFill>
              <w14:schemeClr w14:val="tx1"/>
            </w14:solidFill>
          </w14:textFill>
        </w:rPr>
      </w:pPr>
    </w:p>
    <w:p w14:paraId="516B7DFD">
      <w:pPr>
        <w:ind w:firstLine="0" w:firstLineChars="0"/>
        <w:jc w:val="center"/>
        <w:rPr>
          <w:rFonts w:hint="eastAsia" w:ascii="宋体" w:hAnsi="宋体" w:eastAsiaTheme="minorEastAsia"/>
          <w:b/>
          <w:sz w:val="36"/>
          <w:szCs w:val="36"/>
          <w:lang w:eastAsia="zh-CN"/>
        </w:rPr>
      </w:pPr>
      <w:r>
        <w:rPr>
          <w:rFonts w:hint="eastAsia" w:ascii="宋体" w:hAnsi="宋体"/>
          <w:b/>
          <w:sz w:val="36"/>
          <w:szCs w:val="36"/>
        </w:rPr>
        <w:t>分项报价表</w:t>
      </w:r>
      <w:r>
        <w:rPr>
          <w:rFonts w:hint="eastAsia" w:ascii="宋体" w:hAnsi="宋体"/>
          <w:b/>
          <w:sz w:val="36"/>
          <w:szCs w:val="36"/>
          <w:lang w:eastAsia="zh-CN"/>
        </w:rPr>
        <w:t>（</w:t>
      </w:r>
      <w:r>
        <w:rPr>
          <w:rFonts w:hint="eastAsia" w:ascii="宋体" w:hAnsi="宋体"/>
          <w:b/>
          <w:sz w:val="36"/>
          <w:szCs w:val="36"/>
          <w:lang w:val="en-US" w:eastAsia="zh-CN"/>
        </w:rPr>
        <w:t>包一</w:t>
      </w:r>
      <w:r>
        <w:rPr>
          <w:rFonts w:hint="eastAsia" w:ascii="宋体" w:hAnsi="宋体"/>
          <w:b/>
          <w:sz w:val="36"/>
          <w:szCs w:val="36"/>
          <w:lang w:eastAsia="zh-CN"/>
        </w:rPr>
        <w:t>）</w:t>
      </w:r>
    </w:p>
    <w:p w14:paraId="0BC736E6">
      <w:pPr>
        <w:ind w:firstLine="0" w:firstLineChars="0"/>
        <w:rPr>
          <w:rFonts w:hint="eastAsia" w:ascii="宋体" w:hAnsi="宋体"/>
          <w:b/>
        </w:rPr>
      </w:pPr>
    </w:p>
    <w:p w14:paraId="405E1AE0">
      <w:pPr>
        <w:ind w:firstLine="0" w:firstLineChars="0"/>
        <w:rPr>
          <w:rFonts w:hint="eastAsia" w:ascii="宋体" w:hAnsi="宋体"/>
          <w:b/>
        </w:rPr>
      </w:pPr>
      <w:r>
        <w:rPr>
          <w:rFonts w:hint="eastAsia" w:ascii="宋体" w:hAnsi="宋体"/>
          <w:b/>
        </w:rPr>
        <w:t>投标单位名称:</w:t>
      </w:r>
    </w:p>
    <w:p w14:paraId="5DC2BE0C">
      <w:pPr>
        <w:ind w:right="120" w:firstLine="0" w:firstLineChars="0"/>
        <w:jc w:val="right"/>
        <w:rPr>
          <w:rFonts w:hint="eastAsia" w:ascii="宋体" w:hAnsi="宋体"/>
        </w:rPr>
      </w:pPr>
      <w:r>
        <w:rPr>
          <w:rFonts w:hint="eastAsia" w:ascii="宋体" w:hAnsi="宋体"/>
        </w:rPr>
        <w:t xml:space="preserve">                                                  单位：人民币（元）</w:t>
      </w:r>
    </w:p>
    <w:tbl>
      <w:tblPr>
        <w:tblStyle w:val="20"/>
        <w:tblW w:w="89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352"/>
        <w:gridCol w:w="850"/>
        <w:gridCol w:w="2268"/>
        <w:gridCol w:w="851"/>
        <w:gridCol w:w="709"/>
        <w:gridCol w:w="527"/>
        <w:gridCol w:w="40"/>
      </w:tblGrid>
      <w:tr w14:paraId="52279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8959" w:type="dxa"/>
            <w:gridSpan w:val="9"/>
            <w:noWrap w:val="0"/>
            <w:vAlign w:val="center"/>
          </w:tcPr>
          <w:p w14:paraId="4DFB2435">
            <w:pPr>
              <w:ind w:firstLine="0" w:firstLineChars="0"/>
              <w:jc w:val="center"/>
              <w:rPr>
                <w:rFonts w:hint="eastAsia" w:ascii="宋体" w:hAnsi="宋体"/>
                <w:b/>
                <w:sz w:val="36"/>
                <w:szCs w:val="36"/>
              </w:rPr>
            </w:pPr>
            <w:r>
              <w:rPr>
                <w:rFonts w:hint="eastAsia" w:ascii="宋体" w:hAnsi="宋体"/>
                <w:b/>
                <w:sz w:val="28"/>
                <w:szCs w:val="36"/>
              </w:rPr>
              <w:t>分项报价表</w:t>
            </w:r>
          </w:p>
        </w:tc>
      </w:tr>
      <w:tr w14:paraId="1D133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7D3E2678">
            <w:pPr>
              <w:ind w:firstLine="0" w:firstLineChars="0"/>
              <w:jc w:val="center"/>
              <w:rPr>
                <w:rFonts w:hint="eastAsia" w:ascii="宋体" w:hAnsi="宋体"/>
              </w:rPr>
            </w:pPr>
            <w:r>
              <w:rPr>
                <w:rFonts w:hint="eastAsia" w:ascii="宋体" w:hAnsi="宋体"/>
              </w:rPr>
              <w:t>序号</w:t>
            </w:r>
          </w:p>
        </w:tc>
        <w:tc>
          <w:tcPr>
            <w:tcW w:w="3056" w:type="dxa"/>
            <w:gridSpan w:val="2"/>
            <w:noWrap w:val="0"/>
            <w:vAlign w:val="center"/>
          </w:tcPr>
          <w:p w14:paraId="565D36AD">
            <w:pPr>
              <w:ind w:firstLine="0" w:firstLineChars="0"/>
              <w:jc w:val="center"/>
              <w:rPr>
                <w:rFonts w:hint="eastAsia" w:ascii="宋体" w:hAnsi="宋体"/>
              </w:rPr>
            </w:pPr>
            <w:r>
              <w:rPr>
                <w:rFonts w:hint="eastAsia" w:ascii="宋体" w:hAnsi="宋体"/>
              </w:rPr>
              <w:t>针对该项目所提供的产品、软件开发等分项服务内容</w:t>
            </w:r>
          </w:p>
        </w:tc>
        <w:tc>
          <w:tcPr>
            <w:tcW w:w="850" w:type="dxa"/>
            <w:noWrap w:val="0"/>
            <w:vAlign w:val="center"/>
          </w:tcPr>
          <w:p w14:paraId="7178E39F">
            <w:pPr>
              <w:ind w:firstLine="0" w:firstLineChars="0"/>
              <w:jc w:val="center"/>
              <w:rPr>
                <w:rFonts w:hint="eastAsia" w:ascii="宋体" w:hAnsi="宋体"/>
              </w:rPr>
            </w:pPr>
            <w:r>
              <w:rPr>
                <w:rFonts w:hint="eastAsia" w:ascii="宋体" w:hAnsi="宋体"/>
              </w:rPr>
              <w:t>数量及单位</w:t>
            </w:r>
          </w:p>
        </w:tc>
        <w:tc>
          <w:tcPr>
            <w:tcW w:w="2268" w:type="dxa"/>
            <w:noWrap w:val="0"/>
            <w:vAlign w:val="center"/>
          </w:tcPr>
          <w:p w14:paraId="6F0B9BEF">
            <w:pPr>
              <w:ind w:firstLine="0" w:firstLineChars="0"/>
              <w:jc w:val="center"/>
              <w:rPr>
                <w:rFonts w:hint="eastAsia" w:ascii="宋体" w:hAnsi="宋体"/>
              </w:rPr>
            </w:pPr>
            <w:r>
              <w:rPr>
                <w:rFonts w:hint="eastAsia" w:ascii="宋体" w:hAnsi="宋体"/>
              </w:rPr>
              <w:t>生产厂家</w:t>
            </w:r>
          </w:p>
          <w:p w14:paraId="31D9CD18">
            <w:pPr>
              <w:ind w:firstLine="0" w:firstLineChars="0"/>
              <w:jc w:val="center"/>
              <w:rPr>
                <w:rFonts w:hint="eastAsia" w:ascii="宋体" w:hAnsi="宋体"/>
              </w:rPr>
            </w:pPr>
            <w:r>
              <w:rPr>
                <w:rFonts w:hint="eastAsia" w:ascii="宋体" w:hAnsi="宋体"/>
              </w:rPr>
              <w:t>（软件升级、服务商）</w:t>
            </w:r>
          </w:p>
        </w:tc>
        <w:tc>
          <w:tcPr>
            <w:tcW w:w="851" w:type="dxa"/>
            <w:noWrap w:val="0"/>
            <w:vAlign w:val="center"/>
          </w:tcPr>
          <w:p w14:paraId="6F82EAC4">
            <w:pPr>
              <w:ind w:firstLine="0" w:firstLineChars="0"/>
              <w:jc w:val="center"/>
              <w:rPr>
                <w:rFonts w:hint="eastAsia" w:ascii="宋体" w:hAnsi="宋体"/>
              </w:rPr>
            </w:pPr>
            <w:r>
              <w:rPr>
                <w:rFonts w:hint="eastAsia" w:ascii="宋体" w:hAnsi="宋体"/>
              </w:rPr>
              <w:t>单价</w:t>
            </w:r>
          </w:p>
        </w:tc>
        <w:tc>
          <w:tcPr>
            <w:tcW w:w="709" w:type="dxa"/>
            <w:noWrap w:val="0"/>
            <w:vAlign w:val="center"/>
          </w:tcPr>
          <w:p w14:paraId="1E084F8D">
            <w:pPr>
              <w:ind w:firstLine="0" w:firstLineChars="0"/>
              <w:jc w:val="center"/>
              <w:rPr>
                <w:rFonts w:hint="eastAsia" w:ascii="宋体" w:hAnsi="宋体"/>
              </w:rPr>
            </w:pPr>
            <w:r>
              <w:rPr>
                <w:rFonts w:hint="eastAsia" w:ascii="宋体" w:hAnsi="宋体"/>
              </w:rPr>
              <w:t>合计</w:t>
            </w:r>
          </w:p>
        </w:tc>
        <w:tc>
          <w:tcPr>
            <w:tcW w:w="567" w:type="dxa"/>
            <w:gridSpan w:val="2"/>
            <w:noWrap w:val="0"/>
            <w:vAlign w:val="center"/>
          </w:tcPr>
          <w:p w14:paraId="2CE9921E">
            <w:pPr>
              <w:ind w:firstLine="0" w:firstLineChars="0"/>
              <w:jc w:val="center"/>
              <w:rPr>
                <w:rFonts w:hint="eastAsia" w:ascii="宋体" w:hAnsi="宋体"/>
              </w:rPr>
            </w:pPr>
            <w:r>
              <w:rPr>
                <w:rFonts w:hint="eastAsia" w:ascii="宋体" w:hAnsi="宋体"/>
              </w:rPr>
              <w:t>备注</w:t>
            </w:r>
          </w:p>
        </w:tc>
      </w:tr>
      <w:tr w14:paraId="64B47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4B98451C">
            <w:pPr>
              <w:ind w:firstLine="174" w:firstLineChars="83"/>
              <w:jc w:val="center"/>
              <w:rPr>
                <w:rFonts w:hint="eastAsia" w:ascii="宋体" w:hAnsi="宋体"/>
              </w:rPr>
            </w:pPr>
            <w:r>
              <w:rPr>
                <w:rFonts w:hint="eastAsia" w:ascii="宋体" w:hAnsi="宋体"/>
              </w:rPr>
              <w:t>1</w:t>
            </w:r>
          </w:p>
        </w:tc>
        <w:tc>
          <w:tcPr>
            <w:tcW w:w="3056" w:type="dxa"/>
            <w:gridSpan w:val="2"/>
            <w:noWrap w:val="0"/>
            <w:vAlign w:val="center"/>
          </w:tcPr>
          <w:p w14:paraId="21C1BBDA">
            <w:pPr>
              <w:ind w:firstLine="480"/>
              <w:jc w:val="center"/>
              <w:rPr>
                <w:rFonts w:hint="eastAsia" w:ascii="宋体" w:hAnsi="宋体"/>
              </w:rPr>
            </w:pPr>
          </w:p>
        </w:tc>
        <w:tc>
          <w:tcPr>
            <w:tcW w:w="850" w:type="dxa"/>
            <w:noWrap w:val="0"/>
            <w:vAlign w:val="center"/>
          </w:tcPr>
          <w:p w14:paraId="232E39F8">
            <w:pPr>
              <w:ind w:firstLine="480"/>
              <w:jc w:val="center"/>
              <w:rPr>
                <w:rFonts w:hint="eastAsia" w:ascii="宋体" w:hAnsi="宋体"/>
              </w:rPr>
            </w:pPr>
          </w:p>
        </w:tc>
        <w:tc>
          <w:tcPr>
            <w:tcW w:w="2268" w:type="dxa"/>
            <w:noWrap w:val="0"/>
            <w:vAlign w:val="center"/>
          </w:tcPr>
          <w:p w14:paraId="0B92734C">
            <w:pPr>
              <w:ind w:firstLine="480"/>
              <w:jc w:val="center"/>
              <w:rPr>
                <w:rFonts w:hint="eastAsia" w:ascii="宋体" w:hAnsi="宋体"/>
              </w:rPr>
            </w:pPr>
          </w:p>
        </w:tc>
        <w:tc>
          <w:tcPr>
            <w:tcW w:w="851" w:type="dxa"/>
            <w:noWrap w:val="0"/>
            <w:vAlign w:val="center"/>
          </w:tcPr>
          <w:p w14:paraId="1A3801B4">
            <w:pPr>
              <w:ind w:firstLine="480"/>
              <w:rPr>
                <w:rFonts w:hint="eastAsia" w:ascii="宋体" w:hAnsi="宋体"/>
              </w:rPr>
            </w:pPr>
          </w:p>
        </w:tc>
        <w:tc>
          <w:tcPr>
            <w:tcW w:w="709" w:type="dxa"/>
            <w:noWrap w:val="0"/>
            <w:vAlign w:val="center"/>
          </w:tcPr>
          <w:p w14:paraId="6CD6228F">
            <w:pPr>
              <w:ind w:firstLine="480"/>
              <w:jc w:val="center"/>
              <w:rPr>
                <w:rFonts w:hint="eastAsia" w:ascii="宋体" w:hAnsi="宋体"/>
              </w:rPr>
            </w:pPr>
          </w:p>
        </w:tc>
        <w:tc>
          <w:tcPr>
            <w:tcW w:w="567" w:type="dxa"/>
            <w:gridSpan w:val="2"/>
            <w:noWrap w:val="0"/>
            <w:vAlign w:val="center"/>
          </w:tcPr>
          <w:p w14:paraId="152346CF">
            <w:pPr>
              <w:ind w:firstLine="480"/>
              <w:jc w:val="center"/>
              <w:rPr>
                <w:rFonts w:hint="eastAsia" w:ascii="宋体" w:hAnsi="宋体"/>
              </w:rPr>
            </w:pPr>
          </w:p>
        </w:tc>
      </w:tr>
      <w:tr w14:paraId="62B3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3F1D3587">
            <w:pPr>
              <w:ind w:firstLine="174" w:firstLineChars="83"/>
              <w:jc w:val="center"/>
              <w:rPr>
                <w:rFonts w:hint="eastAsia" w:ascii="宋体" w:hAnsi="宋体"/>
              </w:rPr>
            </w:pPr>
            <w:r>
              <w:rPr>
                <w:rFonts w:hint="eastAsia" w:ascii="宋体" w:hAnsi="宋体"/>
              </w:rPr>
              <w:t>2</w:t>
            </w:r>
          </w:p>
        </w:tc>
        <w:tc>
          <w:tcPr>
            <w:tcW w:w="3056" w:type="dxa"/>
            <w:gridSpan w:val="2"/>
            <w:noWrap w:val="0"/>
            <w:vAlign w:val="center"/>
          </w:tcPr>
          <w:p w14:paraId="5658CD14">
            <w:pPr>
              <w:ind w:firstLine="480"/>
              <w:jc w:val="center"/>
              <w:rPr>
                <w:rFonts w:hint="eastAsia" w:ascii="宋体" w:hAnsi="宋体"/>
              </w:rPr>
            </w:pPr>
          </w:p>
        </w:tc>
        <w:tc>
          <w:tcPr>
            <w:tcW w:w="850" w:type="dxa"/>
            <w:noWrap w:val="0"/>
            <w:vAlign w:val="center"/>
          </w:tcPr>
          <w:p w14:paraId="6E8BE059">
            <w:pPr>
              <w:ind w:firstLine="480"/>
              <w:jc w:val="center"/>
              <w:rPr>
                <w:rFonts w:hint="eastAsia" w:ascii="宋体" w:hAnsi="宋体"/>
              </w:rPr>
            </w:pPr>
          </w:p>
        </w:tc>
        <w:tc>
          <w:tcPr>
            <w:tcW w:w="2268" w:type="dxa"/>
            <w:noWrap w:val="0"/>
            <w:vAlign w:val="center"/>
          </w:tcPr>
          <w:p w14:paraId="36CF4DAD">
            <w:pPr>
              <w:ind w:firstLine="480"/>
              <w:jc w:val="center"/>
              <w:rPr>
                <w:rFonts w:hint="eastAsia" w:ascii="宋体" w:hAnsi="宋体"/>
              </w:rPr>
            </w:pPr>
          </w:p>
        </w:tc>
        <w:tc>
          <w:tcPr>
            <w:tcW w:w="851" w:type="dxa"/>
            <w:noWrap w:val="0"/>
            <w:vAlign w:val="center"/>
          </w:tcPr>
          <w:p w14:paraId="1547A3E9">
            <w:pPr>
              <w:ind w:firstLine="480"/>
              <w:jc w:val="center"/>
              <w:rPr>
                <w:rFonts w:hint="eastAsia" w:ascii="宋体" w:hAnsi="宋体"/>
              </w:rPr>
            </w:pPr>
          </w:p>
        </w:tc>
        <w:tc>
          <w:tcPr>
            <w:tcW w:w="709" w:type="dxa"/>
            <w:noWrap w:val="0"/>
            <w:vAlign w:val="center"/>
          </w:tcPr>
          <w:p w14:paraId="3571B086">
            <w:pPr>
              <w:ind w:firstLine="480"/>
              <w:jc w:val="center"/>
              <w:rPr>
                <w:rFonts w:hint="eastAsia" w:ascii="宋体" w:hAnsi="宋体"/>
              </w:rPr>
            </w:pPr>
          </w:p>
        </w:tc>
        <w:tc>
          <w:tcPr>
            <w:tcW w:w="567" w:type="dxa"/>
            <w:gridSpan w:val="2"/>
            <w:noWrap w:val="0"/>
            <w:vAlign w:val="center"/>
          </w:tcPr>
          <w:p w14:paraId="1EBC9026">
            <w:pPr>
              <w:ind w:firstLine="480"/>
              <w:jc w:val="center"/>
              <w:rPr>
                <w:rFonts w:hint="eastAsia" w:ascii="宋体" w:hAnsi="宋体"/>
              </w:rPr>
            </w:pPr>
          </w:p>
        </w:tc>
      </w:tr>
      <w:tr w14:paraId="18F78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64B76B79">
            <w:pPr>
              <w:ind w:firstLine="174" w:firstLineChars="83"/>
              <w:jc w:val="center"/>
              <w:rPr>
                <w:rFonts w:hint="eastAsia" w:ascii="宋体" w:hAnsi="宋体"/>
              </w:rPr>
            </w:pPr>
            <w:r>
              <w:rPr>
                <w:rFonts w:hint="eastAsia" w:ascii="宋体" w:hAnsi="宋体"/>
              </w:rPr>
              <w:t>3</w:t>
            </w:r>
          </w:p>
        </w:tc>
        <w:tc>
          <w:tcPr>
            <w:tcW w:w="3056" w:type="dxa"/>
            <w:gridSpan w:val="2"/>
            <w:noWrap w:val="0"/>
            <w:vAlign w:val="center"/>
          </w:tcPr>
          <w:p w14:paraId="2156BFD5">
            <w:pPr>
              <w:ind w:firstLine="480"/>
              <w:jc w:val="center"/>
              <w:rPr>
                <w:rFonts w:hint="eastAsia" w:ascii="宋体" w:hAnsi="宋体"/>
              </w:rPr>
            </w:pPr>
          </w:p>
        </w:tc>
        <w:tc>
          <w:tcPr>
            <w:tcW w:w="850" w:type="dxa"/>
            <w:noWrap w:val="0"/>
            <w:vAlign w:val="center"/>
          </w:tcPr>
          <w:p w14:paraId="67E1C384">
            <w:pPr>
              <w:ind w:firstLine="480"/>
              <w:jc w:val="center"/>
              <w:rPr>
                <w:rFonts w:hint="eastAsia" w:ascii="宋体" w:hAnsi="宋体"/>
              </w:rPr>
            </w:pPr>
          </w:p>
        </w:tc>
        <w:tc>
          <w:tcPr>
            <w:tcW w:w="2268" w:type="dxa"/>
            <w:noWrap w:val="0"/>
            <w:vAlign w:val="center"/>
          </w:tcPr>
          <w:p w14:paraId="31292DFA">
            <w:pPr>
              <w:ind w:firstLine="480"/>
              <w:jc w:val="center"/>
              <w:rPr>
                <w:rFonts w:hint="eastAsia" w:ascii="宋体" w:hAnsi="宋体"/>
              </w:rPr>
            </w:pPr>
          </w:p>
        </w:tc>
        <w:tc>
          <w:tcPr>
            <w:tcW w:w="851" w:type="dxa"/>
            <w:noWrap w:val="0"/>
            <w:vAlign w:val="center"/>
          </w:tcPr>
          <w:p w14:paraId="5EA064E0">
            <w:pPr>
              <w:ind w:firstLine="480"/>
              <w:jc w:val="center"/>
              <w:rPr>
                <w:rFonts w:hint="eastAsia" w:ascii="宋体" w:hAnsi="宋体"/>
              </w:rPr>
            </w:pPr>
          </w:p>
        </w:tc>
        <w:tc>
          <w:tcPr>
            <w:tcW w:w="709" w:type="dxa"/>
            <w:noWrap w:val="0"/>
            <w:vAlign w:val="center"/>
          </w:tcPr>
          <w:p w14:paraId="43A22795">
            <w:pPr>
              <w:ind w:firstLine="480"/>
              <w:jc w:val="center"/>
              <w:rPr>
                <w:rFonts w:hint="eastAsia" w:ascii="宋体" w:hAnsi="宋体"/>
              </w:rPr>
            </w:pPr>
          </w:p>
        </w:tc>
        <w:tc>
          <w:tcPr>
            <w:tcW w:w="567" w:type="dxa"/>
            <w:gridSpan w:val="2"/>
            <w:noWrap w:val="0"/>
            <w:vAlign w:val="center"/>
          </w:tcPr>
          <w:p w14:paraId="72062F38">
            <w:pPr>
              <w:ind w:firstLine="480"/>
              <w:jc w:val="center"/>
              <w:rPr>
                <w:rFonts w:hint="eastAsia" w:ascii="宋体" w:hAnsi="宋体"/>
              </w:rPr>
            </w:pPr>
          </w:p>
        </w:tc>
      </w:tr>
      <w:tr w14:paraId="7C232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14B1921A">
            <w:pPr>
              <w:ind w:firstLine="174" w:firstLineChars="83"/>
              <w:jc w:val="center"/>
              <w:rPr>
                <w:rFonts w:hint="eastAsia" w:ascii="宋体" w:hAnsi="宋体"/>
              </w:rPr>
            </w:pPr>
            <w:r>
              <w:rPr>
                <w:rFonts w:hint="eastAsia" w:ascii="宋体" w:hAnsi="宋体"/>
              </w:rPr>
              <w:t>4</w:t>
            </w:r>
          </w:p>
        </w:tc>
        <w:tc>
          <w:tcPr>
            <w:tcW w:w="3056" w:type="dxa"/>
            <w:gridSpan w:val="2"/>
            <w:noWrap w:val="0"/>
            <w:vAlign w:val="center"/>
          </w:tcPr>
          <w:p w14:paraId="6C8F78AB">
            <w:pPr>
              <w:ind w:firstLine="480"/>
              <w:jc w:val="center"/>
              <w:rPr>
                <w:rFonts w:hint="eastAsia" w:ascii="宋体" w:hAnsi="宋体"/>
              </w:rPr>
            </w:pPr>
          </w:p>
        </w:tc>
        <w:tc>
          <w:tcPr>
            <w:tcW w:w="850" w:type="dxa"/>
            <w:noWrap w:val="0"/>
            <w:vAlign w:val="center"/>
          </w:tcPr>
          <w:p w14:paraId="0FB88864">
            <w:pPr>
              <w:ind w:firstLine="480"/>
              <w:jc w:val="center"/>
              <w:rPr>
                <w:rFonts w:hint="eastAsia" w:ascii="宋体" w:hAnsi="宋体"/>
              </w:rPr>
            </w:pPr>
          </w:p>
        </w:tc>
        <w:tc>
          <w:tcPr>
            <w:tcW w:w="2268" w:type="dxa"/>
            <w:noWrap w:val="0"/>
            <w:vAlign w:val="center"/>
          </w:tcPr>
          <w:p w14:paraId="0197296D">
            <w:pPr>
              <w:ind w:firstLine="480"/>
              <w:jc w:val="center"/>
              <w:rPr>
                <w:rFonts w:hint="eastAsia" w:ascii="宋体" w:hAnsi="宋体"/>
              </w:rPr>
            </w:pPr>
          </w:p>
        </w:tc>
        <w:tc>
          <w:tcPr>
            <w:tcW w:w="851" w:type="dxa"/>
            <w:noWrap w:val="0"/>
            <w:vAlign w:val="center"/>
          </w:tcPr>
          <w:p w14:paraId="0E568530">
            <w:pPr>
              <w:ind w:firstLine="480"/>
              <w:jc w:val="center"/>
              <w:rPr>
                <w:rFonts w:hint="eastAsia" w:ascii="宋体" w:hAnsi="宋体"/>
              </w:rPr>
            </w:pPr>
          </w:p>
        </w:tc>
        <w:tc>
          <w:tcPr>
            <w:tcW w:w="709" w:type="dxa"/>
            <w:noWrap w:val="0"/>
            <w:vAlign w:val="center"/>
          </w:tcPr>
          <w:p w14:paraId="524AC8DA">
            <w:pPr>
              <w:ind w:firstLine="480"/>
              <w:jc w:val="center"/>
              <w:rPr>
                <w:rFonts w:hint="eastAsia" w:ascii="宋体" w:hAnsi="宋体"/>
              </w:rPr>
            </w:pPr>
          </w:p>
        </w:tc>
        <w:tc>
          <w:tcPr>
            <w:tcW w:w="567" w:type="dxa"/>
            <w:gridSpan w:val="2"/>
            <w:noWrap w:val="0"/>
            <w:vAlign w:val="center"/>
          </w:tcPr>
          <w:p w14:paraId="029D1DBF">
            <w:pPr>
              <w:ind w:firstLine="480"/>
              <w:jc w:val="center"/>
              <w:rPr>
                <w:rFonts w:hint="eastAsia" w:ascii="宋体" w:hAnsi="宋体"/>
              </w:rPr>
            </w:pPr>
          </w:p>
        </w:tc>
      </w:tr>
      <w:tr w14:paraId="48F8A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14:paraId="3A659E2B">
            <w:pPr>
              <w:ind w:firstLine="174" w:firstLineChars="83"/>
              <w:jc w:val="center"/>
              <w:rPr>
                <w:rFonts w:hint="eastAsia" w:ascii="宋体" w:hAnsi="宋体"/>
              </w:rPr>
            </w:pPr>
            <w:r>
              <w:rPr>
                <w:rFonts w:ascii="宋体" w:hAnsi="宋体"/>
              </w:rPr>
              <w:t>…</w:t>
            </w:r>
          </w:p>
        </w:tc>
        <w:tc>
          <w:tcPr>
            <w:tcW w:w="3056" w:type="dxa"/>
            <w:gridSpan w:val="2"/>
            <w:noWrap w:val="0"/>
            <w:vAlign w:val="center"/>
          </w:tcPr>
          <w:p w14:paraId="1B53E2BF">
            <w:pPr>
              <w:ind w:firstLine="480"/>
              <w:jc w:val="center"/>
              <w:rPr>
                <w:rFonts w:hint="eastAsia" w:ascii="宋体" w:hAnsi="宋体"/>
              </w:rPr>
            </w:pPr>
          </w:p>
        </w:tc>
        <w:tc>
          <w:tcPr>
            <w:tcW w:w="850" w:type="dxa"/>
            <w:noWrap w:val="0"/>
            <w:vAlign w:val="center"/>
          </w:tcPr>
          <w:p w14:paraId="684B2BF5">
            <w:pPr>
              <w:ind w:firstLine="480"/>
              <w:jc w:val="center"/>
              <w:rPr>
                <w:rFonts w:hint="eastAsia" w:ascii="宋体" w:hAnsi="宋体"/>
              </w:rPr>
            </w:pPr>
          </w:p>
        </w:tc>
        <w:tc>
          <w:tcPr>
            <w:tcW w:w="2268" w:type="dxa"/>
            <w:noWrap w:val="0"/>
            <w:vAlign w:val="center"/>
          </w:tcPr>
          <w:p w14:paraId="322A1B3A">
            <w:pPr>
              <w:ind w:firstLine="480"/>
              <w:jc w:val="center"/>
              <w:rPr>
                <w:rFonts w:hint="eastAsia" w:ascii="宋体" w:hAnsi="宋体"/>
              </w:rPr>
            </w:pPr>
          </w:p>
        </w:tc>
        <w:tc>
          <w:tcPr>
            <w:tcW w:w="851" w:type="dxa"/>
            <w:noWrap w:val="0"/>
            <w:vAlign w:val="center"/>
          </w:tcPr>
          <w:p w14:paraId="589AD3A7">
            <w:pPr>
              <w:ind w:firstLine="480"/>
              <w:jc w:val="center"/>
              <w:rPr>
                <w:rFonts w:hint="eastAsia" w:ascii="宋体" w:hAnsi="宋体"/>
              </w:rPr>
            </w:pPr>
          </w:p>
        </w:tc>
        <w:tc>
          <w:tcPr>
            <w:tcW w:w="709" w:type="dxa"/>
            <w:noWrap w:val="0"/>
            <w:vAlign w:val="center"/>
          </w:tcPr>
          <w:p w14:paraId="6D023694">
            <w:pPr>
              <w:ind w:firstLine="480"/>
              <w:jc w:val="center"/>
              <w:rPr>
                <w:rFonts w:hint="eastAsia" w:ascii="宋体" w:hAnsi="宋体"/>
              </w:rPr>
            </w:pPr>
          </w:p>
        </w:tc>
        <w:tc>
          <w:tcPr>
            <w:tcW w:w="567" w:type="dxa"/>
            <w:gridSpan w:val="2"/>
            <w:noWrap w:val="0"/>
            <w:vAlign w:val="center"/>
          </w:tcPr>
          <w:p w14:paraId="142DA974">
            <w:pPr>
              <w:ind w:firstLine="480"/>
              <w:jc w:val="center"/>
              <w:rPr>
                <w:rFonts w:hint="eastAsia" w:ascii="宋体" w:hAnsi="宋体"/>
              </w:rPr>
            </w:pPr>
          </w:p>
        </w:tc>
      </w:tr>
      <w:tr w14:paraId="7F5D1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3" w:hRule="atLeast"/>
        </w:trPr>
        <w:tc>
          <w:tcPr>
            <w:tcW w:w="8959" w:type="dxa"/>
            <w:gridSpan w:val="9"/>
            <w:noWrap w:val="0"/>
            <w:vAlign w:val="center"/>
          </w:tcPr>
          <w:p w14:paraId="55B1CA8A">
            <w:pPr>
              <w:ind w:firstLine="0" w:firstLineChars="0"/>
              <w:rPr>
                <w:rFonts w:hint="eastAsia" w:ascii="宋体" w:hAnsi="宋体"/>
              </w:rPr>
            </w:pPr>
            <w:r>
              <w:rPr>
                <w:rFonts w:hint="eastAsia" w:ascii="宋体" w:hAnsi="宋体"/>
              </w:rPr>
              <w:t>其他承诺及需要说明的事项：</w:t>
            </w:r>
          </w:p>
        </w:tc>
      </w:tr>
      <w:tr w14:paraId="2DE7E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40" w:type="dxa"/>
          <w:trHeight w:val="529" w:hRule="atLeast"/>
        </w:trPr>
        <w:tc>
          <w:tcPr>
            <w:tcW w:w="2362" w:type="dxa"/>
            <w:gridSpan w:val="2"/>
            <w:noWrap w:val="0"/>
            <w:vAlign w:val="center"/>
          </w:tcPr>
          <w:p w14:paraId="69838E98">
            <w:pPr>
              <w:ind w:firstLine="480"/>
              <w:rPr>
                <w:rFonts w:hint="eastAsia" w:ascii="宋体" w:hAnsi="宋体"/>
              </w:rPr>
            </w:pPr>
            <w:r>
              <w:rPr>
                <w:rFonts w:hint="eastAsia" w:ascii="宋体" w:hAnsi="宋体"/>
              </w:rPr>
              <w:t>投标总价</w:t>
            </w:r>
          </w:p>
        </w:tc>
        <w:tc>
          <w:tcPr>
            <w:tcW w:w="6557" w:type="dxa"/>
            <w:gridSpan w:val="6"/>
            <w:noWrap w:val="0"/>
            <w:vAlign w:val="center"/>
          </w:tcPr>
          <w:p w14:paraId="2F850721">
            <w:pPr>
              <w:ind w:firstLine="480"/>
              <w:rPr>
                <w:rFonts w:hint="eastAsia" w:ascii="宋体" w:hAnsi="宋体"/>
              </w:rPr>
            </w:pPr>
            <w:r>
              <w:rPr>
                <w:rFonts w:hint="eastAsia" w:ascii="宋体" w:hAnsi="宋体"/>
              </w:rPr>
              <w:t>大写：                      小写：</w:t>
            </w:r>
          </w:p>
        </w:tc>
      </w:tr>
    </w:tbl>
    <w:p w14:paraId="225D1A32">
      <w:pPr>
        <w:spacing w:line="276" w:lineRule="auto"/>
        <w:ind w:firstLine="525" w:firstLineChars="250"/>
        <w:rPr>
          <w:rFonts w:hint="eastAsia" w:ascii="宋体" w:hAnsi="宋体"/>
        </w:rPr>
      </w:pPr>
      <w:r>
        <w:rPr>
          <w:rFonts w:hint="eastAsia" w:ascii="宋体" w:hAnsi="宋体"/>
        </w:rPr>
        <w:t>注：1、</w:t>
      </w:r>
      <w:r>
        <w:rPr>
          <w:rFonts w:hint="eastAsia" w:ascii="宋体" w:hAnsi="宋体"/>
          <w:color w:val="000000"/>
        </w:rPr>
        <w:t>本表分项报价表（软件部分）应依照采购一览表及技术参数中“软件部分”的内容填写</w:t>
      </w:r>
      <w:r>
        <w:rPr>
          <w:rFonts w:hint="eastAsia" w:ascii="宋体" w:hAnsi="宋体"/>
          <w:color w:val="000000"/>
          <w:lang w:eastAsia="zh-CN"/>
        </w:rPr>
        <w:t>，</w:t>
      </w:r>
      <w:r>
        <w:rPr>
          <w:rFonts w:hint="eastAsia" w:ascii="宋体" w:hAnsi="宋体"/>
          <w:color w:val="000000"/>
        </w:rPr>
        <w:t>序号按顺序逐项填写，不得遗漏，</w:t>
      </w:r>
      <w:r>
        <w:rPr>
          <w:rFonts w:hint="eastAsia" w:ascii="宋体" w:hAnsi="宋体"/>
          <w:color w:val="000000"/>
          <w:lang w:eastAsia="zh-CN"/>
        </w:rPr>
        <w:t>行数不够可自行添加，</w:t>
      </w:r>
      <w:r>
        <w:rPr>
          <w:rFonts w:hint="eastAsia" w:ascii="宋体" w:hAnsi="宋体"/>
          <w:color w:val="000000"/>
        </w:rPr>
        <w:t>否则</w:t>
      </w:r>
      <w:r>
        <w:rPr>
          <w:rFonts w:hint="eastAsia" w:ascii="宋体" w:hAnsi="宋体"/>
          <w:color w:val="000000"/>
          <w:kern w:val="0"/>
          <w:szCs w:val="20"/>
        </w:rPr>
        <w:t>，按无效投标处理。</w:t>
      </w:r>
    </w:p>
    <w:p w14:paraId="61034DA5">
      <w:pPr>
        <w:spacing w:line="276" w:lineRule="auto"/>
        <w:ind w:firstLine="480"/>
        <w:rPr>
          <w:rFonts w:hint="eastAsia" w:ascii="宋体" w:hAnsi="宋体"/>
          <w:color w:val="000000"/>
        </w:rPr>
      </w:pPr>
    </w:p>
    <w:p w14:paraId="66FB741D">
      <w:pPr>
        <w:adjustRightInd w:val="0"/>
        <w:ind w:firstLine="480"/>
        <w:textAlignment w:val="baseline"/>
        <w:rPr>
          <w:rFonts w:ascii="宋体" w:hAnsi="宋体"/>
          <w:color w:val="0000FF"/>
        </w:rPr>
      </w:pPr>
    </w:p>
    <w:p w14:paraId="3DE1128F">
      <w:pPr>
        <w:adjustRightInd w:val="0"/>
        <w:ind w:firstLine="480"/>
        <w:textAlignment w:val="baseline"/>
        <w:rPr>
          <w:rFonts w:ascii="宋体" w:hAnsi="宋体"/>
          <w:color w:val="0000FF"/>
        </w:rPr>
      </w:pPr>
    </w:p>
    <w:p w14:paraId="41468A34">
      <w:pPr>
        <w:adjustRightInd w:val="0"/>
        <w:ind w:firstLine="480"/>
        <w:textAlignment w:val="baseline"/>
        <w:rPr>
          <w:rFonts w:ascii="宋体" w:hAnsi="宋体"/>
          <w:color w:val="0000FF"/>
        </w:rPr>
      </w:pPr>
    </w:p>
    <w:p w14:paraId="4F800A14">
      <w:pPr>
        <w:adjustRightInd w:val="0"/>
        <w:ind w:firstLine="480"/>
        <w:textAlignment w:val="baseline"/>
        <w:rPr>
          <w:rFonts w:ascii="宋体" w:hAnsi="宋体"/>
          <w:color w:val="0000FF"/>
        </w:rPr>
      </w:pPr>
    </w:p>
    <w:p w14:paraId="2503A0B8">
      <w:pPr>
        <w:adjustRightInd w:val="0"/>
        <w:textAlignment w:val="baseline"/>
        <w:rPr>
          <w:rFonts w:ascii="宋体" w:hAnsi="宋体"/>
          <w:color w:val="0000FF"/>
        </w:rPr>
      </w:pPr>
    </w:p>
    <w:p w14:paraId="0C2B4259">
      <w:pPr>
        <w:rPr>
          <w:rFonts w:ascii="宋体" w:hAnsi="宋体"/>
          <w:color w:val="000000" w:themeColor="text1"/>
          <w14:textFill>
            <w14:solidFill>
              <w14:schemeClr w14:val="tx1"/>
            </w14:solidFill>
          </w14:textFill>
        </w:rPr>
      </w:pPr>
    </w:p>
    <w:p w14:paraId="497E23A8">
      <w:pPr>
        <w:ind w:firstLine="174" w:firstLineChars="83"/>
        <w:rPr>
          <w:rFonts w:ascii="宋体" w:hAnsi="宋体"/>
          <w:color w:val="000000" w:themeColor="text1"/>
          <w14:textFill>
            <w14:solidFill>
              <w14:schemeClr w14:val="tx1"/>
            </w14:solidFill>
          </w14:textFill>
        </w:rPr>
      </w:pPr>
    </w:p>
    <w:p w14:paraId="18EB587D">
      <w:pPr>
        <w:ind w:firstLine="174" w:firstLineChars="83"/>
        <w:rPr>
          <w:rFonts w:ascii="宋体" w:hAnsi="宋体"/>
          <w:color w:val="000000" w:themeColor="text1"/>
          <w14:textFill>
            <w14:solidFill>
              <w14:schemeClr w14:val="tx1"/>
            </w14:solidFill>
          </w14:textFill>
        </w:rPr>
      </w:pPr>
    </w:p>
    <w:p w14:paraId="4E5EFBEE">
      <w:pPr>
        <w:ind w:firstLine="3995" w:firstLineChars="1895"/>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投标单位：</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4A207E7B">
      <w:pPr>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0ACB64DB">
      <w:pPr>
        <w:ind w:right="480" w:firstLine="4849" w:firstLineChars="2300"/>
        <w:rPr>
          <w:b/>
          <w:color w:val="000000" w:themeColor="text1"/>
          <w14:textFill>
            <w14:solidFill>
              <w14:schemeClr w14:val="tx1"/>
            </w14:solidFill>
          </w14:textFill>
        </w:rPr>
      </w:pPr>
      <w:r>
        <w:rPr>
          <w:rFonts w:hint="eastAsia"/>
          <w:b/>
          <w:color w:val="000000" w:themeColor="text1"/>
          <w14:textFill>
            <w14:solidFill>
              <w14:schemeClr w14:val="tx1"/>
            </w14:solidFill>
          </w14:textFill>
        </w:rPr>
        <w:t>年  月  日</w:t>
      </w:r>
    </w:p>
    <w:p w14:paraId="425F1C0D">
      <w:pPr>
        <w:ind w:firstLine="482"/>
        <w:jc w:val="center"/>
        <w:rPr>
          <w:rFonts w:ascii="宋体" w:hAnsi="宋体"/>
          <w:b/>
          <w:color w:val="000000" w:themeColor="text1"/>
          <w14:textFill>
            <w14:solidFill>
              <w14:schemeClr w14:val="tx1"/>
            </w14:solidFill>
          </w14:textFill>
        </w:rPr>
      </w:pPr>
    </w:p>
    <w:p w14:paraId="77A2A7F6">
      <w:pPr>
        <w:ind w:firstLine="482"/>
        <w:jc w:val="center"/>
        <w:rPr>
          <w:rFonts w:ascii="宋体" w:hAnsi="宋体"/>
          <w:b/>
          <w:color w:val="000000" w:themeColor="text1"/>
          <w14:textFill>
            <w14:solidFill>
              <w14:schemeClr w14:val="tx1"/>
            </w14:solidFill>
          </w14:textFill>
        </w:rPr>
      </w:pPr>
    </w:p>
    <w:p w14:paraId="5CECC6A1">
      <w:pPr>
        <w:ind w:firstLine="482"/>
        <w:jc w:val="center"/>
        <w:rPr>
          <w:rFonts w:ascii="宋体" w:hAnsi="宋体"/>
          <w:b/>
          <w:color w:val="000000" w:themeColor="text1"/>
          <w14:textFill>
            <w14:solidFill>
              <w14:schemeClr w14:val="tx1"/>
            </w14:solidFill>
          </w14:textFill>
        </w:rPr>
      </w:pPr>
    </w:p>
    <w:p w14:paraId="2A601C20">
      <w:pPr>
        <w:ind w:firstLine="482"/>
        <w:jc w:val="center"/>
        <w:rPr>
          <w:rFonts w:ascii="宋体" w:hAnsi="宋体"/>
          <w:b/>
          <w:color w:val="000000" w:themeColor="text1"/>
          <w14:textFill>
            <w14:solidFill>
              <w14:schemeClr w14:val="tx1"/>
            </w14:solidFill>
          </w14:textFill>
        </w:rPr>
      </w:pPr>
    </w:p>
    <w:p w14:paraId="715DF783">
      <w:pPr>
        <w:ind w:firstLine="3614" w:firstLineChars="1000"/>
        <w:rPr>
          <w:rFonts w:hint="eastAsia" w:ascii="宋体" w:hAnsi="宋体"/>
          <w:b/>
          <w:sz w:val="36"/>
          <w:szCs w:val="36"/>
        </w:rPr>
      </w:pPr>
    </w:p>
    <w:p w14:paraId="0A34E84C">
      <w:pPr>
        <w:ind w:firstLine="3614" w:firstLineChars="1000"/>
        <w:rPr>
          <w:rFonts w:hint="eastAsia" w:ascii="宋体" w:hAnsi="宋体"/>
          <w:b/>
          <w:sz w:val="36"/>
          <w:szCs w:val="36"/>
        </w:rPr>
      </w:pPr>
    </w:p>
    <w:p w14:paraId="7F18F18F">
      <w:pPr>
        <w:ind w:firstLine="2530" w:firstLineChars="700"/>
        <w:rPr>
          <w:rFonts w:hint="eastAsia" w:ascii="宋体" w:hAnsi="宋体"/>
          <w:b w:val="0"/>
          <w:bCs/>
          <w:sz w:val="36"/>
          <w:szCs w:val="36"/>
        </w:rPr>
      </w:pPr>
      <w:r>
        <w:rPr>
          <w:rFonts w:hint="eastAsia" w:ascii="宋体" w:hAnsi="宋体"/>
          <w:b/>
          <w:sz w:val="36"/>
          <w:szCs w:val="36"/>
        </w:rPr>
        <w:t>分项报价表</w:t>
      </w:r>
      <w:r>
        <w:rPr>
          <w:rFonts w:hint="eastAsia" w:ascii="宋体" w:hAnsi="宋体"/>
          <w:b/>
          <w:sz w:val="36"/>
          <w:szCs w:val="36"/>
          <w:lang w:eastAsia="zh-CN"/>
        </w:rPr>
        <w:t>（</w:t>
      </w:r>
      <w:r>
        <w:rPr>
          <w:rFonts w:hint="eastAsia" w:ascii="宋体" w:hAnsi="宋体"/>
          <w:b/>
          <w:sz w:val="36"/>
          <w:szCs w:val="36"/>
          <w:lang w:val="en-US" w:eastAsia="zh-CN"/>
        </w:rPr>
        <w:t>包二</w:t>
      </w:r>
      <w:r>
        <w:rPr>
          <w:rFonts w:hint="eastAsia" w:ascii="宋体" w:hAnsi="宋体"/>
          <w:b/>
          <w:sz w:val="36"/>
          <w:szCs w:val="36"/>
          <w:lang w:eastAsia="zh-CN"/>
        </w:rPr>
        <w:t>）</w:t>
      </w:r>
    </w:p>
    <w:p w14:paraId="50AFFA0B">
      <w:pPr>
        <w:spacing w:line="240" w:lineRule="auto"/>
        <w:ind w:firstLine="0" w:firstLineChars="0"/>
        <w:rPr>
          <w:rFonts w:hint="eastAsia" w:ascii="宋体" w:hAnsi="宋体"/>
          <w:b/>
        </w:rPr>
      </w:pPr>
    </w:p>
    <w:p w14:paraId="582B3231">
      <w:pPr>
        <w:spacing w:line="240" w:lineRule="auto"/>
        <w:ind w:firstLine="0" w:firstLineChars="0"/>
        <w:rPr>
          <w:rFonts w:hint="eastAsia" w:ascii="宋体" w:hAnsi="宋体"/>
          <w:b/>
        </w:rPr>
      </w:pPr>
      <w:r>
        <w:rPr>
          <w:rFonts w:hint="eastAsia" w:ascii="宋体" w:hAnsi="宋体"/>
          <w:b/>
        </w:rPr>
        <w:t>供应商名称:</w:t>
      </w:r>
    </w:p>
    <w:p w14:paraId="6183A6A6">
      <w:pPr>
        <w:spacing w:after="120" w:afterLines="50" w:line="240" w:lineRule="auto"/>
        <w:ind w:firstLine="480"/>
        <w:jc w:val="right"/>
        <w:rPr>
          <w:rFonts w:hint="eastAsia" w:ascii="宋体" w:hAnsi="宋体"/>
          <w:b/>
        </w:rPr>
      </w:pPr>
      <w:r>
        <w:rPr>
          <w:rFonts w:hint="eastAsia" w:ascii="宋体" w:hAnsi="宋体"/>
        </w:rPr>
        <w:t>单位：人民币（元）</w:t>
      </w:r>
    </w:p>
    <w:tbl>
      <w:tblPr>
        <w:tblStyle w:val="20"/>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14BD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BAB6543">
            <w:pPr>
              <w:ind w:firstLine="0" w:firstLineChars="0"/>
              <w:jc w:val="center"/>
              <w:rPr>
                <w:rFonts w:hint="eastAsia" w:ascii="宋体" w:hAnsi="宋体"/>
              </w:rPr>
            </w:pPr>
            <w:r>
              <w:rPr>
                <w:rFonts w:hint="eastAsia" w:ascii="宋体" w:hAnsi="宋体"/>
              </w:rPr>
              <w:t>序号</w:t>
            </w:r>
          </w:p>
        </w:tc>
        <w:tc>
          <w:tcPr>
            <w:tcW w:w="1704" w:type="dxa"/>
            <w:noWrap w:val="0"/>
            <w:vAlign w:val="center"/>
          </w:tcPr>
          <w:p w14:paraId="36242411">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14:paraId="4FEDEDB5">
            <w:pPr>
              <w:ind w:firstLine="0" w:firstLineChars="0"/>
              <w:jc w:val="center"/>
              <w:rPr>
                <w:rFonts w:hint="eastAsia" w:ascii="宋体" w:hAnsi="宋体"/>
              </w:rPr>
            </w:pPr>
            <w:r>
              <w:rPr>
                <w:rFonts w:hint="eastAsia" w:ascii="宋体" w:hAnsi="宋体"/>
              </w:rPr>
              <w:t>品牌</w:t>
            </w:r>
          </w:p>
        </w:tc>
        <w:tc>
          <w:tcPr>
            <w:tcW w:w="838" w:type="dxa"/>
            <w:noWrap w:val="0"/>
            <w:vAlign w:val="center"/>
          </w:tcPr>
          <w:p w14:paraId="2DA3C122">
            <w:pPr>
              <w:ind w:firstLine="0" w:firstLineChars="0"/>
              <w:jc w:val="center"/>
              <w:rPr>
                <w:rFonts w:hint="eastAsia" w:ascii="宋体" w:hAnsi="宋体"/>
              </w:rPr>
            </w:pPr>
            <w:r>
              <w:rPr>
                <w:rFonts w:hint="eastAsia" w:ascii="宋体" w:hAnsi="宋体"/>
              </w:rPr>
              <w:t>规格或型号</w:t>
            </w:r>
          </w:p>
        </w:tc>
        <w:tc>
          <w:tcPr>
            <w:tcW w:w="1356" w:type="dxa"/>
            <w:noWrap w:val="0"/>
            <w:vAlign w:val="center"/>
          </w:tcPr>
          <w:p w14:paraId="37384FEE">
            <w:pPr>
              <w:ind w:firstLine="0" w:firstLineChars="0"/>
              <w:jc w:val="center"/>
              <w:rPr>
                <w:rFonts w:hint="eastAsia" w:ascii="宋体" w:hAnsi="宋体"/>
              </w:rPr>
            </w:pPr>
            <w:r>
              <w:rPr>
                <w:rFonts w:hint="eastAsia" w:ascii="宋体" w:hAnsi="宋体"/>
              </w:rPr>
              <w:t>生产厂家</w:t>
            </w:r>
          </w:p>
        </w:tc>
        <w:tc>
          <w:tcPr>
            <w:tcW w:w="953" w:type="dxa"/>
            <w:noWrap w:val="0"/>
            <w:vAlign w:val="center"/>
          </w:tcPr>
          <w:p w14:paraId="292D1857">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14:paraId="1074749A">
            <w:pPr>
              <w:ind w:firstLine="0" w:firstLineChars="0"/>
              <w:jc w:val="center"/>
              <w:rPr>
                <w:rFonts w:hint="eastAsia" w:ascii="宋体" w:hAnsi="宋体"/>
              </w:rPr>
            </w:pPr>
            <w:r>
              <w:rPr>
                <w:rFonts w:hint="eastAsia" w:ascii="宋体" w:hAnsi="宋体"/>
              </w:rPr>
              <w:t>单价</w:t>
            </w:r>
          </w:p>
        </w:tc>
        <w:tc>
          <w:tcPr>
            <w:tcW w:w="851" w:type="dxa"/>
            <w:noWrap w:val="0"/>
            <w:vAlign w:val="center"/>
          </w:tcPr>
          <w:p w14:paraId="6A466D5F">
            <w:pPr>
              <w:ind w:firstLine="0" w:firstLineChars="0"/>
              <w:jc w:val="center"/>
              <w:rPr>
                <w:rFonts w:hint="eastAsia" w:ascii="宋体" w:hAnsi="宋体"/>
              </w:rPr>
            </w:pPr>
            <w:r>
              <w:rPr>
                <w:rFonts w:hint="eastAsia" w:ascii="宋体" w:hAnsi="宋体"/>
              </w:rPr>
              <w:t>合计</w:t>
            </w:r>
          </w:p>
        </w:tc>
        <w:tc>
          <w:tcPr>
            <w:tcW w:w="850" w:type="dxa"/>
            <w:noWrap w:val="0"/>
            <w:vAlign w:val="center"/>
          </w:tcPr>
          <w:p w14:paraId="65737A5A">
            <w:pPr>
              <w:ind w:firstLine="0" w:firstLineChars="0"/>
              <w:jc w:val="center"/>
              <w:rPr>
                <w:rFonts w:hint="eastAsia" w:ascii="宋体" w:hAnsi="宋体"/>
              </w:rPr>
            </w:pPr>
            <w:r>
              <w:rPr>
                <w:rFonts w:hint="eastAsia" w:ascii="宋体" w:hAnsi="宋体"/>
              </w:rPr>
              <w:t>备注</w:t>
            </w:r>
          </w:p>
        </w:tc>
      </w:tr>
      <w:tr w14:paraId="5F1E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CDCB997">
            <w:pPr>
              <w:ind w:firstLine="174" w:firstLineChars="83"/>
              <w:jc w:val="center"/>
              <w:rPr>
                <w:rFonts w:hint="eastAsia" w:ascii="宋体" w:hAnsi="宋体"/>
              </w:rPr>
            </w:pPr>
            <w:r>
              <w:rPr>
                <w:rFonts w:hint="eastAsia" w:ascii="宋体" w:hAnsi="宋体"/>
              </w:rPr>
              <w:t>1</w:t>
            </w:r>
          </w:p>
        </w:tc>
        <w:tc>
          <w:tcPr>
            <w:tcW w:w="1704" w:type="dxa"/>
            <w:noWrap w:val="0"/>
            <w:vAlign w:val="center"/>
          </w:tcPr>
          <w:p w14:paraId="5ACA2977">
            <w:pPr>
              <w:ind w:firstLine="480"/>
              <w:jc w:val="center"/>
              <w:rPr>
                <w:rFonts w:hint="eastAsia" w:ascii="宋体" w:hAnsi="宋体"/>
              </w:rPr>
            </w:pPr>
          </w:p>
        </w:tc>
        <w:tc>
          <w:tcPr>
            <w:tcW w:w="1081" w:type="dxa"/>
            <w:noWrap w:val="0"/>
            <w:vAlign w:val="center"/>
          </w:tcPr>
          <w:p w14:paraId="47A95E48">
            <w:pPr>
              <w:ind w:firstLine="480"/>
              <w:jc w:val="center"/>
              <w:rPr>
                <w:rFonts w:hint="eastAsia" w:ascii="宋体" w:hAnsi="宋体"/>
              </w:rPr>
            </w:pPr>
          </w:p>
        </w:tc>
        <w:tc>
          <w:tcPr>
            <w:tcW w:w="838" w:type="dxa"/>
            <w:noWrap w:val="0"/>
            <w:vAlign w:val="center"/>
          </w:tcPr>
          <w:p w14:paraId="7F9A064B">
            <w:pPr>
              <w:ind w:firstLine="480"/>
              <w:jc w:val="center"/>
              <w:rPr>
                <w:rFonts w:hint="eastAsia" w:ascii="宋体" w:hAnsi="宋体"/>
              </w:rPr>
            </w:pPr>
          </w:p>
        </w:tc>
        <w:tc>
          <w:tcPr>
            <w:tcW w:w="1356" w:type="dxa"/>
            <w:noWrap w:val="0"/>
            <w:vAlign w:val="center"/>
          </w:tcPr>
          <w:p w14:paraId="32B29AC4">
            <w:pPr>
              <w:ind w:firstLine="480"/>
              <w:jc w:val="center"/>
              <w:rPr>
                <w:rFonts w:hint="eastAsia" w:ascii="宋体" w:hAnsi="宋体"/>
              </w:rPr>
            </w:pPr>
          </w:p>
        </w:tc>
        <w:tc>
          <w:tcPr>
            <w:tcW w:w="953" w:type="dxa"/>
            <w:noWrap w:val="0"/>
            <w:vAlign w:val="center"/>
          </w:tcPr>
          <w:p w14:paraId="5292506D">
            <w:pPr>
              <w:ind w:firstLine="480"/>
              <w:jc w:val="center"/>
              <w:rPr>
                <w:rFonts w:hint="eastAsia" w:ascii="宋体" w:hAnsi="宋体"/>
              </w:rPr>
            </w:pPr>
          </w:p>
        </w:tc>
        <w:tc>
          <w:tcPr>
            <w:tcW w:w="710" w:type="dxa"/>
            <w:noWrap w:val="0"/>
            <w:vAlign w:val="center"/>
          </w:tcPr>
          <w:p w14:paraId="75D05325">
            <w:pPr>
              <w:ind w:firstLine="480"/>
              <w:jc w:val="center"/>
              <w:rPr>
                <w:rFonts w:hint="eastAsia" w:ascii="宋体" w:hAnsi="宋体"/>
              </w:rPr>
            </w:pPr>
          </w:p>
        </w:tc>
        <w:tc>
          <w:tcPr>
            <w:tcW w:w="851" w:type="dxa"/>
            <w:noWrap w:val="0"/>
            <w:vAlign w:val="center"/>
          </w:tcPr>
          <w:p w14:paraId="189FAFA0">
            <w:pPr>
              <w:ind w:firstLine="480"/>
              <w:jc w:val="center"/>
              <w:rPr>
                <w:rFonts w:hint="eastAsia" w:ascii="宋体" w:hAnsi="宋体"/>
              </w:rPr>
            </w:pPr>
          </w:p>
        </w:tc>
        <w:tc>
          <w:tcPr>
            <w:tcW w:w="850" w:type="dxa"/>
            <w:noWrap w:val="0"/>
            <w:vAlign w:val="center"/>
          </w:tcPr>
          <w:p w14:paraId="7B9C9E04">
            <w:pPr>
              <w:ind w:firstLine="480"/>
              <w:jc w:val="center"/>
              <w:rPr>
                <w:rFonts w:hint="eastAsia" w:ascii="宋体" w:hAnsi="宋体"/>
              </w:rPr>
            </w:pPr>
          </w:p>
        </w:tc>
      </w:tr>
      <w:tr w14:paraId="5F24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4597019">
            <w:pPr>
              <w:ind w:firstLine="174" w:firstLineChars="83"/>
              <w:jc w:val="center"/>
              <w:rPr>
                <w:rFonts w:hint="eastAsia" w:ascii="宋体" w:hAnsi="宋体"/>
              </w:rPr>
            </w:pPr>
            <w:r>
              <w:rPr>
                <w:rFonts w:hint="eastAsia" w:ascii="宋体" w:hAnsi="宋体"/>
              </w:rPr>
              <w:t>2</w:t>
            </w:r>
          </w:p>
        </w:tc>
        <w:tc>
          <w:tcPr>
            <w:tcW w:w="1704" w:type="dxa"/>
            <w:noWrap w:val="0"/>
            <w:vAlign w:val="center"/>
          </w:tcPr>
          <w:p w14:paraId="47D2DEC3">
            <w:pPr>
              <w:ind w:firstLine="480"/>
              <w:jc w:val="center"/>
              <w:rPr>
                <w:rFonts w:hint="eastAsia" w:ascii="宋体" w:hAnsi="宋体"/>
              </w:rPr>
            </w:pPr>
          </w:p>
        </w:tc>
        <w:tc>
          <w:tcPr>
            <w:tcW w:w="1081" w:type="dxa"/>
            <w:noWrap w:val="0"/>
            <w:vAlign w:val="center"/>
          </w:tcPr>
          <w:p w14:paraId="52ECDD64">
            <w:pPr>
              <w:ind w:firstLine="480"/>
              <w:jc w:val="center"/>
              <w:rPr>
                <w:rFonts w:hint="eastAsia" w:ascii="宋体" w:hAnsi="宋体"/>
              </w:rPr>
            </w:pPr>
          </w:p>
        </w:tc>
        <w:tc>
          <w:tcPr>
            <w:tcW w:w="838" w:type="dxa"/>
            <w:noWrap w:val="0"/>
            <w:vAlign w:val="center"/>
          </w:tcPr>
          <w:p w14:paraId="02F428C8">
            <w:pPr>
              <w:ind w:firstLine="480"/>
              <w:jc w:val="center"/>
              <w:rPr>
                <w:rFonts w:hint="eastAsia" w:ascii="宋体" w:hAnsi="宋体"/>
              </w:rPr>
            </w:pPr>
          </w:p>
        </w:tc>
        <w:tc>
          <w:tcPr>
            <w:tcW w:w="1356" w:type="dxa"/>
            <w:noWrap w:val="0"/>
            <w:vAlign w:val="center"/>
          </w:tcPr>
          <w:p w14:paraId="1DC0341C">
            <w:pPr>
              <w:ind w:firstLine="480"/>
              <w:jc w:val="center"/>
              <w:rPr>
                <w:rFonts w:hint="eastAsia" w:ascii="宋体" w:hAnsi="宋体"/>
              </w:rPr>
            </w:pPr>
          </w:p>
        </w:tc>
        <w:tc>
          <w:tcPr>
            <w:tcW w:w="953" w:type="dxa"/>
            <w:noWrap w:val="0"/>
            <w:vAlign w:val="center"/>
          </w:tcPr>
          <w:p w14:paraId="52C02FE3">
            <w:pPr>
              <w:ind w:firstLine="480"/>
              <w:jc w:val="center"/>
              <w:rPr>
                <w:rFonts w:hint="eastAsia" w:ascii="宋体" w:hAnsi="宋体"/>
              </w:rPr>
            </w:pPr>
          </w:p>
        </w:tc>
        <w:tc>
          <w:tcPr>
            <w:tcW w:w="710" w:type="dxa"/>
            <w:noWrap w:val="0"/>
            <w:vAlign w:val="center"/>
          </w:tcPr>
          <w:p w14:paraId="07E43AE9">
            <w:pPr>
              <w:ind w:firstLine="480"/>
              <w:jc w:val="center"/>
              <w:rPr>
                <w:rFonts w:hint="eastAsia" w:ascii="宋体" w:hAnsi="宋体"/>
              </w:rPr>
            </w:pPr>
          </w:p>
        </w:tc>
        <w:tc>
          <w:tcPr>
            <w:tcW w:w="851" w:type="dxa"/>
            <w:noWrap w:val="0"/>
            <w:vAlign w:val="center"/>
          </w:tcPr>
          <w:p w14:paraId="33FDAB9F">
            <w:pPr>
              <w:ind w:firstLine="480"/>
              <w:jc w:val="center"/>
              <w:rPr>
                <w:rFonts w:hint="eastAsia" w:ascii="宋体" w:hAnsi="宋体"/>
              </w:rPr>
            </w:pPr>
          </w:p>
        </w:tc>
        <w:tc>
          <w:tcPr>
            <w:tcW w:w="850" w:type="dxa"/>
            <w:noWrap w:val="0"/>
            <w:vAlign w:val="center"/>
          </w:tcPr>
          <w:p w14:paraId="1776168E">
            <w:pPr>
              <w:ind w:firstLine="480"/>
              <w:jc w:val="center"/>
              <w:rPr>
                <w:rFonts w:hint="eastAsia" w:ascii="宋体" w:hAnsi="宋体"/>
              </w:rPr>
            </w:pPr>
          </w:p>
        </w:tc>
      </w:tr>
      <w:tr w14:paraId="60D9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4B5D862">
            <w:pPr>
              <w:ind w:firstLine="174" w:firstLineChars="83"/>
              <w:jc w:val="center"/>
              <w:rPr>
                <w:rFonts w:hint="eastAsia" w:ascii="宋体" w:hAnsi="宋体"/>
              </w:rPr>
            </w:pPr>
            <w:r>
              <w:rPr>
                <w:rFonts w:hint="eastAsia" w:ascii="宋体" w:hAnsi="宋体"/>
              </w:rPr>
              <w:t>3</w:t>
            </w:r>
          </w:p>
        </w:tc>
        <w:tc>
          <w:tcPr>
            <w:tcW w:w="1704" w:type="dxa"/>
            <w:noWrap w:val="0"/>
            <w:vAlign w:val="center"/>
          </w:tcPr>
          <w:p w14:paraId="617F1609">
            <w:pPr>
              <w:ind w:firstLine="480"/>
              <w:jc w:val="center"/>
              <w:rPr>
                <w:rFonts w:hint="eastAsia" w:ascii="宋体" w:hAnsi="宋体"/>
              </w:rPr>
            </w:pPr>
          </w:p>
        </w:tc>
        <w:tc>
          <w:tcPr>
            <w:tcW w:w="1081" w:type="dxa"/>
            <w:noWrap w:val="0"/>
            <w:vAlign w:val="center"/>
          </w:tcPr>
          <w:p w14:paraId="2B6A6244">
            <w:pPr>
              <w:ind w:firstLine="480"/>
              <w:jc w:val="center"/>
              <w:rPr>
                <w:rFonts w:hint="eastAsia" w:ascii="宋体" w:hAnsi="宋体"/>
              </w:rPr>
            </w:pPr>
          </w:p>
        </w:tc>
        <w:tc>
          <w:tcPr>
            <w:tcW w:w="838" w:type="dxa"/>
            <w:noWrap w:val="0"/>
            <w:vAlign w:val="center"/>
          </w:tcPr>
          <w:p w14:paraId="54FF2C07">
            <w:pPr>
              <w:ind w:firstLine="480"/>
              <w:jc w:val="center"/>
              <w:rPr>
                <w:rFonts w:hint="eastAsia" w:ascii="宋体" w:hAnsi="宋体"/>
              </w:rPr>
            </w:pPr>
          </w:p>
        </w:tc>
        <w:tc>
          <w:tcPr>
            <w:tcW w:w="1356" w:type="dxa"/>
            <w:noWrap w:val="0"/>
            <w:vAlign w:val="center"/>
          </w:tcPr>
          <w:p w14:paraId="6100E96F">
            <w:pPr>
              <w:ind w:firstLine="480"/>
              <w:jc w:val="center"/>
              <w:rPr>
                <w:rFonts w:hint="eastAsia" w:ascii="宋体" w:hAnsi="宋体"/>
              </w:rPr>
            </w:pPr>
          </w:p>
        </w:tc>
        <w:tc>
          <w:tcPr>
            <w:tcW w:w="953" w:type="dxa"/>
            <w:noWrap w:val="0"/>
            <w:vAlign w:val="center"/>
          </w:tcPr>
          <w:p w14:paraId="393C75A2">
            <w:pPr>
              <w:ind w:firstLine="480"/>
              <w:jc w:val="center"/>
              <w:rPr>
                <w:rFonts w:hint="eastAsia" w:ascii="宋体" w:hAnsi="宋体"/>
              </w:rPr>
            </w:pPr>
          </w:p>
        </w:tc>
        <w:tc>
          <w:tcPr>
            <w:tcW w:w="710" w:type="dxa"/>
            <w:noWrap w:val="0"/>
            <w:vAlign w:val="center"/>
          </w:tcPr>
          <w:p w14:paraId="2A74E1F7">
            <w:pPr>
              <w:ind w:firstLine="480"/>
              <w:jc w:val="center"/>
              <w:rPr>
                <w:rFonts w:hint="eastAsia" w:ascii="宋体" w:hAnsi="宋体"/>
              </w:rPr>
            </w:pPr>
          </w:p>
        </w:tc>
        <w:tc>
          <w:tcPr>
            <w:tcW w:w="851" w:type="dxa"/>
            <w:noWrap w:val="0"/>
            <w:vAlign w:val="center"/>
          </w:tcPr>
          <w:p w14:paraId="33CC2B60">
            <w:pPr>
              <w:ind w:firstLine="480"/>
              <w:jc w:val="center"/>
              <w:rPr>
                <w:rFonts w:hint="eastAsia" w:ascii="宋体" w:hAnsi="宋体"/>
              </w:rPr>
            </w:pPr>
          </w:p>
        </w:tc>
        <w:tc>
          <w:tcPr>
            <w:tcW w:w="850" w:type="dxa"/>
            <w:noWrap w:val="0"/>
            <w:vAlign w:val="center"/>
          </w:tcPr>
          <w:p w14:paraId="6C3D1711">
            <w:pPr>
              <w:ind w:firstLine="480"/>
              <w:jc w:val="center"/>
              <w:rPr>
                <w:rFonts w:hint="eastAsia" w:ascii="宋体" w:hAnsi="宋体"/>
              </w:rPr>
            </w:pPr>
          </w:p>
        </w:tc>
      </w:tr>
      <w:tr w14:paraId="7F26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C2B0209">
            <w:pPr>
              <w:ind w:firstLine="174" w:firstLineChars="83"/>
              <w:jc w:val="center"/>
              <w:rPr>
                <w:rFonts w:hint="eastAsia" w:ascii="宋体" w:hAnsi="宋体"/>
              </w:rPr>
            </w:pPr>
            <w:r>
              <w:rPr>
                <w:rFonts w:hint="eastAsia" w:ascii="宋体" w:hAnsi="宋体"/>
              </w:rPr>
              <w:t>4</w:t>
            </w:r>
          </w:p>
        </w:tc>
        <w:tc>
          <w:tcPr>
            <w:tcW w:w="1704" w:type="dxa"/>
            <w:noWrap w:val="0"/>
            <w:vAlign w:val="center"/>
          </w:tcPr>
          <w:p w14:paraId="7E2CF1C0">
            <w:pPr>
              <w:ind w:firstLine="480"/>
              <w:jc w:val="center"/>
              <w:rPr>
                <w:rFonts w:hint="eastAsia" w:ascii="宋体" w:hAnsi="宋体"/>
              </w:rPr>
            </w:pPr>
          </w:p>
        </w:tc>
        <w:tc>
          <w:tcPr>
            <w:tcW w:w="1081" w:type="dxa"/>
            <w:noWrap w:val="0"/>
            <w:vAlign w:val="center"/>
          </w:tcPr>
          <w:p w14:paraId="3BD12F35">
            <w:pPr>
              <w:ind w:firstLine="480"/>
              <w:jc w:val="center"/>
              <w:rPr>
                <w:rFonts w:hint="eastAsia" w:ascii="宋体" w:hAnsi="宋体"/>
              </w:rPr>
            </w:pPr>
          </w:p>
        </w:tc>
        <w:tc>
          <w:tcPr>
            <w:tcW w:w="838" w:type="dxa"/>
            <w:noWrap w:val="0"/>
            <w:vAlign w:val="center"/>
          </w:tcPr>
          <w:p w14:paraId="68E8E8CF">
            <w:pPr>
              <w:ind w:firstLine="480"/>
              <w:jc w:val="center"/>
              <w:rPr>
                <w:rFonts w:hint="eastAsia" w:ascii="宋体" w:hAnsi="宋体"/>
              </w:rPr>
            </w:pPr>
          </w:p>
        </w:tc>
        <w:tc>
          <w:tcPr>
            <w:tcW w:w="1356" w:type="dxa"/>
            <w:noWrap w:val="0"/>
            <w:vAlign w:val="center"/>
          </w:tcPr>
          <w:p w14:paraId="1C1F5B0F">
            <w:pPr>
              <w:ind w:firstLine="480"/>
              <w:jc w:val="center"/>
              <w:rPr>
                <w:rFonts w:hint="eastAsia" w:ascii="宋体" w:hAnsi="宋体"/>
              </w:rPr>
            </w:pPr>
          </w:p>
        </w:tc>
        <w:tc>
          <w:tcPr>
            <w:tcW w:w="953" w:type="dxa"/>
            <w:noWrap w:val="0"/>
            <w:vAlign w:val="center"/>
          </w:tcPr>
          <w:p w14:paraId="455B79EE">
            <w:pPr>
              <w:ind w:firstLine="480"/>
              <w:jc w:val="center"/>
              <w:rPr>
                <w:rFonts w:hint="eastAsia" w:ascii="宋体" w:hAnsi="宋体"/>
              </w:rPr>
            </w:pPr>
          </w:p>
        </w:tc>
        <w:tc>
          <w:tcPr>
            <w:tcW w:w="710" w:type="dxa"/>
            <w:noWrap w:val="0"/>
            <w:vAlign w:val="center"/>
          </w:tcPr>
          <w:p w14:paraId="1E6BE75A">
            <w:pPr>
              <w:ind w:firstLine="480"/>
              <w:jc w:val="center"/>
              <w:rPr>
                <w:rFonts w:hint="eastAsia" w:ascii="宋体" w:hAnsi="宋体"/>
              </w:rPr>
            </w:pPr>
          </w:p>
        </w:tc>
        <w:tc>
          <w:tcPr>
            <w:tcW w:w="851" w:type="dxa"/>
            <w:noWrap w:val="0"/>
            <w:vAlign w:val="center"/>
          </w:tcPr>
          <w:p w14:paraId="61E6C470">
            <w:pPr>
              <w:ind w:firstLine="480"/>
              <w:jc w:val="center"/>
              <w:rPr>
                <w:rFonts w:hint="eastAsia" w:ascii="宋体" w:hAnsi="宋体"/>
              </w:rPr>
            </w:pPr>
          </w:p>
        </w:tc>
        <w:tc>
          <w:tcPr>
            <w:tcW w:w="850" w:type="dxa"/>
            <w:noWrap w:val="0"/>
            <w:vAlign w:val="center"/>
          </w:tcPr>
          <w:p w14:paraId="618C16FE">
            <w:pPr>
              <w:ind w:firstLine="480"/>
              <w:jc w:val="center"/>
              <w:rPr>
                <w:rFonts w:hint="eastAsia" w:ascii="宋体" w:hAnsi="宋体"/>
              </w:rPr>
            </w:pPr>
          </w:p>
        </w:tc>
      </w:tr>
      <w:tr w14:paraId="3CC5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15D19C1">
            <w:pPr>
              <w:ind w:firstLine="174" w:firstLineChars="83"/>
              <w:jc w:val="center"/>
              <w:rPr>
                <w:rFonts w:hint="eastAsia" w:ascii="宋体" w:hAnsi="宋体"/>
              </w:rPr>
            </w:pPr>
            <w:r>
              <w:rPr>
                <w:rFonts w:ascii="宋体" w:hAnsi="宋体"/>
              </w:rPr>
              <w:t>…</w:t>
            </w:r>
          </w:p>
        </w:tc>
        <w:tc>
          <w:tcPr>
            <w:tcW w:w="1704" w:type="dxa"/>
            <w:noWrap w:val="0"/>
            <w:vAlign w:val="center"/>
          </w:tcPr>
          <w:p w14:paraId="1CEE3EEB">
            <w:pPr>
              <w:ind w:firstLine="480"/>
              <w:jc w:val="center"/>
              <w:rPr>
                <w:rFonts w:hint="eastAsia" w:ascii="宋体" w:hAnsi="宋体"/>
              </w:rPr>
            </w:pPr>
          </w:p>
        </w:tc>
        <w:tc>
          <w:tcPr>
            <w:tcW w:w="1081" w:type="dxa"/>
            <w:noWrap w:val="0"/>
            <w:vAlign w:val="center"/>
          </w:tcPr>
          <w:p w14:paraId="3BE1F5A4">
            <w:pPr>
              <w:ind w:firstLine="480"/>
              <w:jc w:val="center"/>
              <w:rPr>
                <w:rFonts w:hint="eastAsia" w:ascii="宋体" w:hAnsi="宋体"/>
              </w:rPr>
            </w:pPr>
          </w:p>
        </w:tc>
        <w:tc>
          <w:tcPr>
            <w:tcW w:w="838" w:type="dxa"/>
            <w:noWrap w:val="0"/>
            <w:vAlign w:val="center"/>
          </w:tcPr>
          <w:p w14:paraId="471199DB">
            <w:pPr>
              <w:ind w:firstLine="480"/>
              <w:jc w:val="center"/>
              <w:rPr>
                <w:rFonts w:hint="eastAsia" w:ascii="宋体" w:hAnsi="宋体"/>
              </w:rPr>
            </w:pPr>
          </w:p>
        </w:tc>
        <w:tc>
          <w:tcPr>
            <w:tcW w:w="1356" w:type="dxa"/>
            <w:noWrap w:val="0"/>
            <w:vAlign w:val="center"/>
          </w:tcPr>
          <w:p w14:paraId="750D8266">
            <w:pPr>
              <w:ind w:firstLine="480"/>
              <w:jc w:val="center"/>
              <w:rPr>
                <w:rFonts w:hint="eastAsia" w:ascii="宋体" w:hAnsi="宋体"/>
              </w:rPr>
            </w:pPr>
          </w:p>
        </w:tc>
        <w:tc>
          <w:tcPr>
            <w:tcW w:w="953" w:type="dxa"/>
            <w:noWrap w:val="0"/>
            <w:vAlign w:val="center"/>
          </w:tcPr>
          <w:p w14:paraId="7481FFF1">
            <w:pPr>
              <w:ind w:firstLine="480"/>
              <w:jc w:val="center"/>
              <w:rPr>
                <w:rFonts w:hint="eastAsia" w:ascii="宋体" w:hAnsi="宋体"/>
              </w:rPr>
            </w:pPr>
          </w:p>
        </w:tc>
        <w:tc>
          <w:tcPr>
            <w:tcW w:w="710" w:type="dxa"/>
            <w:noWrap w:val="0"/>
            <w:vAlign w:val="center"/>
          </w:tcPr>
          <w:p w14:paraId="54D1A360">
            <w:pPr>
              <w:ind w:firstLine="480"/>
              <w:jc w:val="center"/>
              <w:rPr>
                <w:rFonts w:hint="eastAsia" w:ascii="宋体" w:hAnsi="宋体"/>
              </w:rPr>
            </w:pPr>
          </w:p>
        </w:tc>
        <w:tc>
          <w:tcPr>
            <w:tcW w:w="851" w:type="dxa"/>
            <w:noWrap w:val="0"/>
            <w:vAlign w:val="center"/>
          </w:tcPr>
          <w:p w14:paraId="3D9E1D0C">
            <w:pPr>
              <w:ind w:firstLine="480"/>
              <w:jc w:val="center"/>
              <w:rPr>
                <w:rFonts w:hint="eastAsia" w:ascii="宋体" w:hAnsi="宋体"/>
              </w:rPr>
            </w:pPr>
          </w:p>
        </w:tc>
        <w:tc>
          <w:tcPr>
            <w:tcW w:w="850" w:type="dxa"/>
            <w:noWrap w:val="0"/>
            <w:vAlign w:val="center"/>
          </w:tcPr>
          <w:p w14:paraId="2D77A3FB">
            <w:pPr>
              <w:ind w:firstLine="480"/>
              <w:jc w:val="center"/>
              <w:rPr>
                <w:rFonts w:hint="eastAsia" w:ascii="宋体" w:hAnsi="宋体"/>
              </w:rPr>
            </w:pPr>
          </w:p>
        </w:tc>
      </w:tr>
      <w:tr w14:paraId="7570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9001" w:type="dxa"/>
            <w:gridSpan w:val="9"/>
            <w:noWrap w:val="0"/>
            <w:vAlign w:val="center"/>
          </w:tcPr>
          <w:p w14:paraId="2345B428">
            <w:pPr>
              <w:ind w:firstLine="0" w:firstLineChars="0"/>
              <w:rPr>
                <w:rFonts w:hint="eastAsia" w:ascii="宋体" w:hAnsi="宋体"/>
                <w:b/>
              </w:rPr>
            </w:pPr>
            <w:r>
              <w:rPr>
                <w:rFonts w:hint="eastAsia" w:ascii="宋体" w:hAnsi="宋体"/>
                <w:b/>
              </w:rPr>
              <w:t>其他承诺及需要说明的事项：</w:t>
            </w:r>
          </w:p>
        </w:tc>
      </w:tr>
      <w:tr w14:paraId="5938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14:paraId="34459ED1">
            <w:pPr>
              <w:ind w:firstLine="480"/>
              <w:rPr>
                <w:rFonts w:hint="eastAsia" w:ascii="宋体" w:hAnsi="宋体"/>
              </w:rPr>
            </w:pPr>
            <w:r>
              <w:rPr>
                <w:rFonts w:hint="eastAsia" w:ascii="宋体" w:hAnsi="宋体"/>
              </w:rPr>
              <w:t>磋商总价</w:t>
            </w:r>
          </w:p>
        </w:tc>
        <w:tc>
          <w:tcPr>
            <w:tcW w:w="6639" w:type="dxa"/>
            <w:gridSpan w:val="7"/>
            <w:noWrap w:val="0"/>
            <w:vAlign w:val="center"/>
          </w:tcPr>
          <w:p w14:paraId="77D9E1B5">
            <w:pPr>
              <w:ind w:firstLine="480"/>
              <w:rPr>
                <w:rFonts w:hint="eastAsia" w:ascii="宋体" w:hAnsi="宋体"/>
              </w:rPr>
            </w:pPr>
            <w:r>
              <w:rPr>
                <w:rFonts w:hint="eastAsia" w:ascii="宋体" w:hAnsi="宋体"/>
              </w:rPr>
              <w:t>大写：                      小写：</w:t>
            </w:r>
          </w:p>
        </w:tc>
      </w:tr>
    </w:tbl>
    <w:p w14:paraId="13EB2DB8">
      <w:pPr>
        <w:adjustRightInd w:val="0"/>
        <w:spacing w:line="240" w:lineRule="auto"/>
        <w:ind w:firstLine="480"/>
        <w:textAlignment w:val="baseline"/>
        <w:rPr>
          <w:rFonts w:hint="eastAsia" w:ascii="宋体" w:hAnsi="宋体"/>
          <w:sz w:val="32"/>
          <w:szCs w:val="32"/>
        </w:rPr>
      </w:pPr>
      <w:r>
        <w:rPr>
          <w:rFonts w:hint="eastAsia" w:ascii="宋体" w:hAnsi="宋体"/>
        </w:rPr>
        <w:t>注：本表应依照采购一览表中的产品序号按顺序逐项填写，不得遗漏，否则</w:t>
      </w:r>
      <w:r>
        <w:rPr>
          <w:rFonts w:hint="eastAsia" w:ascii="宋体" w:hAnsi="宋体"/>
          <w:kern w:val="0"/>
          <w:szCs w:val="20"/>
        </w:rPr>
        <w:t>，按无效投标处理</w:t>
      </w:r>
      <w:r>
        <w:rPr>
          <w:rFonts w:hint="eastAsia" w:ascii="宋体" w:hAnsi="宋体"/>
        </w:rPr>
        <w:t>。</w:t>
      </w:r>
    </w:p>
    <w:p w14:paraId="301F2E29">
      <w:pPr>
        <w:adjustRightInd w:val="0"/>
        <w:spacing w:line="240" w:lineRule="auto"/>
        <w:ind w:firstLine="480" w:firstLineChars="0"/>
        <w:textAlignment w:val="baseline"/>
        <w:rPr>
          <w:rFonts w:hint="eastAsia" w:ascii="宋体" w:hAnsi="宋体"/>
          <w:sz w:val="32"/>
          <w:szCs w:val="32"/>
        </w:rPr>
      </w:pPr>
    </w:p>
    <w:p w14:paraId="54A97977">
      <w:pPr>
        <w:ind w:firstLine="0" w:firstLineChars="0"/>
        <w:rPr>
          <w:rFonts w:hint="eastAsia" w:ascii="宋体" w:hAnsi="宋体"/>
          <w:b/>
        </w:rPr>
      </w:pPr>
    </w:p>
    <w:p w14:paraId="725F1DEA">
      <w:pPr>
        <w:ind w:firstLine="0" w:firstLineChars="0"/>
        <w:rPr>
          <w:rFonts w:hint="eastAsia" w:ascii="宋体" w:hAnsi="宋体"/>
          <w:b/>
        </w:rPr>
      </w:pPr>
    </w:p>
    <w:p w14:paraId="0228FEA7">
      <w:pPr>
        <w:ind w:firstLine="0" w:firstLineChars="0"/>
        <w:rPr>
          <w:rFonts w:hint="eastAsia" w:ascii="宋体" w:hAnsi="宋体"/>
          <w:b/>
        </w:rPr>
      </w:pPr>
    </w:p>
    <w:p w14:paraId="491030C6">
      <w:pPr>
        <w:ind w:firstLine="0" w:firstLineChars="0"/>
        <w:rPr>
          <w:rFonts w:hint="eastAsia" w:ascii="宋体" w:hAnsi="宋体"/>
          <w:b/>
        </w:rPr>
      </w:pPr>
    </w:p>
    <w:p w14:paraId="01362236">
      <w:pPr>
        <w:ind w:firstLine="0" w:firstLineChars="0"/>
        <w:rPr>
          <w:rFonts w:hint="eastAsia" w:ascii="宋体" w:hAnsi="宋体"/>
          <w:b/>
        </w:rPr>
      </w:pPr>
    </w:p>
    <w:p w14:paraId="7A4403FD">
      <w:pPr>
        <w:ind w:firstLine="0" w:firstLineChars="0"/>
        <w:rPr>
          <w:rFonts w:hint="eastAsia" w:ascii="宋体" w:hAnsi="宋体"/>
          <w:b/>
        </w:rPr>
      </w:pPr>
    </w:p>
    <w:p w14:paraId="14CE55A2">
      <w:pPr>
        <w:ind w:firstLine="0" w:firstLineChars="0"/>
        <w:jc w:val="right"/>
        <w:rPr>
          <w:rFonts w:hint="eastAsia" w:ascii="宋体" w:hAnsi="宋体"/>
          <w:b/>
        </w:rPr>
      </w:pPr>
    </w:p>
    <w:p w14:paraId="09C92990">
      <w:pPr>
        <w:ind w:left="5055" w:leftChars="1900" w:hanging="1065" w:hangingChars="505"/>
        <w:rPr>
          <w:rFonts w:ascii="宋体" w:hAnsi="宋体"/>
          <w:b/>
          <w:color w:val="000000" w:themeColor="text1"/>
          <w14:textFill>
            <w14:solidFill>
              <w14:schemeClr w14:val="tx1"/>
            </w14:solidFill>
          </w14:textFill>
        </w:rPr>
      </w:pPr>
      <w:r>
        <w:rPr>
          <w:rFonts w:hint="eastAsia" w:ascii="宋体" w:hAnsi="宋体"/>
          <w:b/>
          <w:lang w:val="en-US" w:eastAsia="zh-CN"/>
        </w:rPr>
        <w:t xml:space="preserve">                                                         </w:t>
      </w:r>
      <w:r>
        <w:rPr>
          <w:rFonts w:hint="eastAsia" w:ascii="宋体" w:hAnsi="宋体"/>
          <w:b/>
          <w:color w:val="000000" w:themeColor="text1"/>
          <w14:textFill>
            <w14:solidFill>
              <w14:schemeClr w14:val="tx1"/>
            </w14:solidFill>
          </w14:textFill>
        </w:rPr>
        <w:t>投标单位：</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877DD02">
      <w:pPr>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1DEC28FB">
      <w:pPr>
        <w:ind w:right="480" w:firstLine="4849" w:firstLineChars="2300"/>
        <w:rPr>
          <w:b/>
          <w:color w:val="000000" w:themeColor="text1"/>
          <w14:textFill>
            <w14:solidFill>
              <w14:schemeClr w14:val="tx1"/>
            </w14:solidFill>
          </w14:textFill>
        </w:rPr>
      </w:pPr>
      <w:r>
        <w:rPr>
          <w:rFonts w:hint="eastAsia"/>
          <w:b/>
          <w:color w:val="000000" w:themeColor="text1"/>
          <w14:textFill>
            <w14:solidFill>
              <w14:schemeClr w14:val="tx1"/>
            </w14:solidFill>
          </w14:textFill>
        </w:rPr>
        <w:t>年  月  日</w:t>
      </w:r>
    </w:p>
    <w:p w14:paraId="4D78E325">
      <w:pPr>
        <w:widowControl/>
        <w:snapToGrid w:val="0"/>
        <w:spacing w:line="360" w:lineRule="auto"/>
        <w:ind w:firstLine="0" w:firstLineChars="0"/>
        <w:outlineLvl w:val="1"/>
        <w:rPr>
          <w:rFonts w:hint="default" w:ascii="宋体" w:hAnsi="宋体" w:eastAsiaTheme="minorEastAsia"/>
          <w:b/>
          <w:lang w:val="en-US" w:eastAsia="zh-CN"/>
        </w:rPr>
      </w:pPr>
    </w:p>
    <w:p w14:paraId="29414BC3">
      <w:pPr>
        <w:ind w:firstLine="482"/>
        <w:jc w:val="center"/>
        <w:rPr>
          <w:rFonts w:ascii="宋体" w:hAnsi="宋体"/>
          <w:b/>
          <w:color w:val="000000" w:themeColor="text1"/>
          <w14:textFill>
            <w14:solidFill>
              <w14:schemeClr w14:val="tx1"/>
            </w14:solidFill>
          </w14:textFill>
        </w:rPr>
      </w:pPr>
    </w:p>
    <w:p w14:paraId="58ABFC33">
      <w:pPr>
        <w:widowControl/>
        <w:snapToGrid w:val="0"/>
        <w:spacing w:line="360" w:lineRule="auto"/>
        <w:outlineLvl w:val="1"/>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End w:id="163"/>
      <w:bookmarkStart w:id="169" w:name="_Toc67558615"/>
    </w:p>
    <w:p w14:paraId="080FB437">
      <w:pPr>
        <w:widowControl/>
        <w:snapToGrid w:val="0"/>
        <w:spacing w:line="360" w:lineRule="auto"/>
        <w:outlineLvl w:val="1"/>
        <w:rPr>
          <w:rFonts w:ascii="宋体" w:hAnsi="宋体"/>
          <w:color w:val="000000" w:themeColor="text1"/>
          <w14:textFill>
            <w14:solidFill>
              <w14:schemeClr w14:val="tx1"/>
            </w14:solidFill>
          </w14:textFill>
        </w:rPr>
      </w:pPr>
      <w:bookmarkStart w:id="170" w:name="_Toc82441640"/>
      <w:r>
        <w:rPr>
          <w:rFonts w:hint="eastAsia" w:ascii="宋体"/>
          <w:b/>
          <w:color w:val="000000" w:themeColor="text1"/>
          <w:sz w:val="28"/>
          <w:szCs w:val="28"/>
          <w14:textFill>
            <w14:solidFill>
              <w14:schemeClr w14:val="tx1"/>
            </w14:solidFill>
          </w14:textFill>
        </w:rPr>
        <w:t>附件</w:t>
      </w:r>
      <w:bookmarkStart w:id="171" w:name="_Toc325726040"/>
      <w:bookmarkStart w:id="172" w:name="_Toc376936771"/>
      <w:r>
        <w:rPr>
          <w:rFonts w:hint="eastAsia" w:ascii="宋体"/>
          <w:b/>
          <w:color w:val="000000" w:themeColor="text1"/>
          <w:sz w:val="28"/>
          <w:szCs w:val="28"/>
          <w:lang w:val="en-US" w:eastAsia="zh-CN"/>
          <w14:textFill>
            <w14:solidFill>
              <w14:schemeClr w14:val="tx1"/>
            </w14:solidFill>
          </w14:textFill>
        </w:rPr>
        <w:t>14</w:t>
      </w:r>
      <w:r>
        <w:rPr>
          <w:rFonts w:hint="eastAsia" w:ascii="宋体"/>
          <w:b/>
          <w:color w:val="000000" w:themeColor="text1"/>
          <w:sz w:val="28"/>
          <w:szCs w:val="28"/>
          <w14:textFill>
            <w14:solidFill>
              <w14:schemeClr w14:val="tx1"/>
            </w14:solidFill>
          </w14:textFill>
        </w:rPr>
        <w:t>：</w:t>
      </w:r>
      <w:bookmarkEnd w:id="170"/>
      <w:bookmarkEnd w:id="171"/>
      <w:bookmarkEnd w:id="172"/>
      <w:r>
        <w:rPr>
          <w:rFonts w:hint="eastAsia" w:ascii="宋体"/>
          <w:b/>
          <w:color w:val="000000" w:themeColor="text1"/>
          <w:sz w:val="28"/>
          <w:szCs w:val="28"/>
          <w14:textFill>
            <w14:solidFill>
              <w14:schemeClr w14:val="tx1"/>
            </w14:solidFill>
          </w14:textFill>
        </w:rPr>
        <w:t>服务要求应答表</w:t>
      </w:r>
      <w:r>
        <w:rPr>
          <w:rFonts w:hint="eastAsia" w:ascii="宋体"/>
          <w:b/>
          <w:color w:val="000000" w:themeColor="text1"/>
          <w:sz w:val="28"/>
          <w:szCs w:val="28"/>
          <w:lang w:eastAsia="zh-CN"/>
          <w14:textFill>
            <w14:solidFill>
              <w14:schemeClr w14:val="tx1"/>
            </w14:solidFill>
          </w14:textFill>
        </w:rPr>
        <w:t>、</w:t>
      </w:r>
      <w:r>
        <w:rPr>
          <w:rFonts w:hint="eastAsia" w:ascii="宋体"/>
          <w:b/>
          <w:sz w:val="28"/>
          <w:szCs w:val="28"/>
        </w:rPr>
        <w:t>技术规格响应表</w:t>
      </w:r>
    </w:p>
    <w:p w14:paraId="3C73A5DF">
      <w:pPr>
        <w:ind w:firstLine="2530" w:firstLineChars="70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服务要求应答表 </w:t>
      </w:r>
      <w:r>
        <w:rPr>
          <w:rFonts w:hint="eastAsia" w:ascii="宋体" w:hAnsi="宋体"/>
          <w:b/>
          <w:color w:val="000000" w:themeColor="text1"/>
          <w:sz w:val="36"/>
          <w:szCs w:val="36"/>
          <w:lang w:eastAsia="zh-CN"/>
          <w14:textFill>
            <w14:solidFill>
              <w14:schemeClr w14:val="tx1"/>
            </w14:solidFill>
          </w14:textFill>
        </w:rPr>
        <w:t>（</w:t>
      </w:r>
      <w:r>
        <w:rPr>
          <w:rFonts w:hint="eastAsia" w:ascii="宋体" w:hAnsi="宋体"/>
          <w:b/>
          <w:color w:val="000000" w:themeColor="text1"/>
          <w:sz w:val="36"/>
          <w:szCs w:val="36"/>
          <w:lang w:val="en-US" w:eastAsia="zh-CN"/>
          <w14:textFill>
            <w14:solidFill>
              <w14:schemeClr w14:val="tx1"/>
            </w14:solidFill>
          </w14:textFill>
        </w:rPr>
        <w:t>包号：</w:t>
      </w:r>
      <w:r>
        <w:rPr>
          <w:rFonts w:hint="eastAsia" w:ascii="宋体" w:hAnsi="宋体"/>
          <w:b/>
          <w:color w:val="000000" w:themeColor="text1"/>
          <w:sz w:val="36"/>
          <w:szCs w:val="36"/>
          <w:lang w:eastAsia="zh-CN"/>
          <w14:textFill>
            <w14:solidFill>
              <w14:schemeClr w14:val="tx1"/>
            </w14:solidFill>
          </w14:textFill>
        </w:rPr>
        <w:t>）</w:t>
      </w:r>
      <w:r>
        <w:rPr>
          <w:rFonts w:hint="eastAsia" w:ascii="宋体" w:hAnsi="宋体"/>
          <w:b/>
          <w:color w:val="000000" w:themeColor="text1"/>
          <w:sz w:val="36"/>
          <w:szCs w:val="36"/>
          <w14:textFill>
            <w14:solidFill>
              <w14:schemeClr w14:val="tx1"/>
            </w14:solidFill>
          </w14:textFill>
        </w:rPr>
        <w:t xml:space="preserve">   </w:t>
      </w:r>
    </w:p>
    <w:p w14:paraId="43131735">
      <w:pPr>
        <w:ind w:firstLine="5421" w:firstLineChars="1500"/>
        <w:rPr>
          <w:rFonts w:ascii="宋体" w:hAnsi="宋体"/>
          <w:b/>
          <w:color w:val="000000" w:themeColor="text1"/>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投标单位名称:</w:t>
      </w:r>
    </w:p>
    <w:tbl>
      <w:tblPr>
        <w:tblStyle w:val="20"/>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8"/>
        <w:gridCol w:w="1935"/>
        <w:gridCol w:w="1467"/>
        <w:gridCol w:w="1177"/>
        <w:gridCol w:w="1177"/>
        <w:gridCol w:w="1755"/>
      </w:tblGrid>
      <w:tr w14:paraId="5480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07" w:type="pct"/>
            <w:vAlign w:val="center"/>
          </w:tcPr>
          <w:p w14:paraId="5BE78FC9">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157" w:type="pct"/>
            <w:vAlign w:val="center"/>
          </w:tcPr>
          <w:p w14:paraId="17D54B8E">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招标文件条目号</w:t>
            </w:r>
          </w:p>
        </w:tc>
        <w:tc>
          <w:tcPr>
            <w:tcW w:w="877" w:type="pct"/>
            <w:vAlign w:val="center"/>
          </w:tcPr>
          <w:p w14:paraId="58ABAB01">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招标文件要求</w:t>
            </w:r>
          </w:p>
        </w:tc>
        <w:tc>
          <w:tcPr>
            <w:tcW w:w="704" w:type="pct"/>
            <w:vAlign w:val="center"/>
          </w:tcPr>
          <w:p w14:paraId="252E3FE6">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投标文件的应答</w:t>
            </w:r>
          </w:p>
        </w:tc>
        <w:tc>
          <w:tcPr>
            <w:tcW w:w="704" w:type="pct"/>
            <w:vAlign w:val="center"/>
          </w:tcPr>
          <w:p w14:paraId="385C3E78">
            <w:pPr>
              <w:jc w:val="center"/>
              <w:rPr>
                <w:rFonts w:hint="default" w:ascii="宋体" w:hAnsi="宋体" w:eastAsiaTheme="minorEastAsia"/>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偏离</w:t>
            </w:r>
          </w:p>
        </w:tc>
        <w:tc>
          <w:tcPr>
            <w:tcW w:w="1049" w:type="pct"/>
            <w:vAlign w:val="center"/>
          </w:tcPr>
          <w:p w14:paraId="7516D747">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w:t>
            </w:r>
          </w:p>
        </w:tc>
      </w:tr>
      <w:tr w14:paraId="6FDE4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07" w:type="pct"/>
            <w:vAlign w:val="center"/>
          </w:tcPr>
          <w:p w14:paraId="2D21BD3B">
            <w:pPr>
              <w:ind w:firstLine="174" w:firstLineChars="83"/>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157" w:type="pct"/>
            <w:vAlign w:val="center"/>
          </w:tcPr>
          <w:p w14:paraId="4EA395B4">
            <w:pPr>
              <w:ind w:firstLine="480"/>
              <w:jc w:val="center"/>
              <w:rPr>
                <w:rFonts w:ascii="宋体" w:hAnsi="宋体"/>
                <w:color w:val="000000" w:themeColor="text1"/>
                <w14:textFill>
                  <w14:solidFill>
                    <w14:schemeClr w14:val="tx1"/>
                  </w14:solidFill>
                </w14:textFill>
              </w:rPr>
            </w:pPr>
          </w:p>
        </w:tc>
        <w:tc>
          <w:tcPr>
            <w:tcW w:w="877" w:type="pct"/>
            <w:vAlign w:val="center"/>
          </w:tcPr>
          <w:p w14:paraId="23A54B5F">
            <w:pPr>
              <w:ind w:firstLine="480"/>
              <w:jc w:val="center"/>
              <w:rPr>
                <w:rFonts w:ascii="宋体" w:hAnsi="宋体"/>
                <w:color w:val="000000" w:themeColor="text1"/>
                <w14:textFill>
                  <w14:solidFill>
                    <w14:schemeClr w14:val="tx1"/>
                  </w14:solidFill>
                </w14:textFill>
              </w:rPr>
            </w:pPr>
          </w:p>
        </w:tc>
        <w:tc>
          <w:tcPr>
            <w:tcW w:w="704" w:type="pct"/>
            <w:vAlign w:val="center"/>
          </w:tcPr>
          <w:p w14:paraId="74567315">
            <w:pPr>
              <w:ind w:firstLine="480"/>
              <w:jc w:val="center"/>
              <w:rPr>
                <w:rFonts w:ascii="宋体" w:hAnsi="宋体"/>
                <w:color w:val="000000" w:themeColor="text1"/>
                <w14:textFill>
                  <w14:solidFill>
                    <w14:schemeClr w14:val="tx1"/>
                  </w14:solidFill>
                </w14:textFill>
              </w:rPr>
            </w:pPr>
          </w:p>
        </w:tc>
        <w:tc>
          <w:tcPr>
            <w:tcW w:w="704" w:type="pct"/>
            <w:vAlign w:val="center"/>
          </w:tcPr>
          <w:p w14:paraId="109973F3">
            <w:pPr>
              <w:ind w:firstLine="480"/>
              <w:jc w:val="center"/>
              <w:rPr>
                <w:rFonts w:ascii="宋体" w:hAnsi="宋体"/>
                <w:color w:val="000000" w:themeColor="text1"/>
                <w14:textFill>
                  <w14:solidFill>
                    <w14:schemeClr w14:val="tx1"/>
                  </w14:solidFill>
                </w14:textFill>
              </w:rPr>
            </w:pPr>
          </w:p>
        </w:tc>
        <w:tc>
          <w:tcPr>
            <w:tcW w:w="1049" w:type="pct"/>
            <w:vAlign w:val="center"/>
          </w:tcPr>
          <w:p w14:paraId="25958120">
            <w:pPr>
              <w:ind w:firstLine="480"/>
              <w:jc w:val="center"/>
              <w:rPr>
                <w:rFonts w:ascii="宋体" w:hAnsi="宋体"/>
                <w:color w:val="000000" w:themeColor="text1"/>
                <w14:textFill>
                  <w14:solidFill>
                    <w14:schemeClr w14:val="tx1"/>
                  </w14:solidFill>
                </w14:textFill>
              </w:rPr>
            </w:pPr>
          </w:p>
        </w:tc>
      </w:tr>
      <w:tr w14:paraId="00FBA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07" w:type="pct"/>
            <w:vAlign w:val="center"/>
          </w:tcPr>
          <w:p w14:paraId="256AFF29">
            <w:pPr>
              <w:ind w:firstLine="174" w:firstLineChars="83"/>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1157" w:type="pct"/>
            <w:vAlign w:val="center"/>
          </w:tcPr>
          <w:p w14:paraId="6D453F4B">
            <w:pPr>
              <w:ind w:firstLine="480"/>
              <w:jc w:val="center"/>
              <w:rPr>
                <w:rFonts w:ascii="宋体" w:hAnsi="宋体"/>
                <w:color w:val="000000" w:themeColor="text1"/>
                <w14:textFill>
                  <w14:solidFill>
                    <w14:schemeClr w14:val="tx1"/>
                  </w14:solidFill>
                </w14:textFill>
              </w:rPr>
            </w:pPr>
          </w:p>
        </w:tc>
        <w:tc>
          <w:tcPr>
            <w:tcW w:w="877" w:type="pct"/>
            <w:vAlign w:val="center"/>
          </w:tcPr>
          <w:p w14:paraId="43928ED8">
            <w:pPr>
              <w:ind w:firstLine="480"/>
              <w:jc w:val="center"/>
              <w:rPr>
                <w:rFonts w:ascii="宋体" w:hAnsi="宋体"/>
                <w:color w:val="000000" w:themeColor="text1"/>
                <w14:textFill>
                  <w14:solidFill>
                    <w14:schemeClr w14:val="tx1"/>
                  </w14:solidFill>
                </w14:textFill>
              </w:rPr>
            </w:pPr>
          </w:p>
        </w:tc>
        <w:tc>
          <w:tcPr>
            <w:tcW w:w="704" w:type="pct"/>
            <w:vAlign w:val="center"/>
          </w:tcPr>
          <w:p w14:paraId="3E9EDEE1">
            <w:pPr>
              <w:ind w:firstLine="480"/>
              <w:jc w:val="center"/>
              <w:rPr>
                <w:rFonts w:ascii="宋体" w:hAnsi="宋体"/>
                <w:color w:val="000000" w:themeColor="text1"/>
                <w14:textFill>
                  <w14:solidFill>
                    <w14:schemeClr w14:val="tx1"/>
                  </w14:solidFill>
                </w14:textFill>
              </w:rPr>
            </w:pPr>
          </w:p>
        </w:tc>
        <w:tc>
          <w:tcPr>
            <w:tcW w:w="704" w:type="pct"/>
            <w:vAlign w:val="center"/>
          </w:tcPr>
          <w:p w14:paraId="125BF603">
            <w:pPr>
              <w:ind w:firstLine="480"/>
              <w:jc w:val="center"/>
              <w:rPr>
                <w:rFonts w:ascii="宋体" w:hAnsi="宋体"/>
                <w:color w:val="000000" w:themeColor="text1"/>
                <w14:textFill>
                  <w14:solidFill>
                    <w14:schemeClr w14:val="tx1"/>
                  </w14:solidFill>
                </w14:textFill>
              </w:rPr>
            </w:pPr>
          </w:p>
        </w:tc>
        <w:tc>
          <w:tcPr>
            <w:tcW w:w="1049" w:type="pct"/>
            <w:vAlign w:val="center"/>
          </w:tcPr>
          <w:p w14:paraId="5BCB0669">
            <w:pPr>
              <w:ind w:firstLine="480"/>
              <w:jc w:val="center"/>
              <w:rPr>
                <w:rFonts w:ascii="宋体" w:hAnsi="宋体"/>
                <w:color w:val="000000" w:themeColor="text1"/>
                <w14:textFill>
                  <w14:solidFill>
                    <w14:schemeClr w14:val="tx1"/>
                  </w14:solidFill>
                </w14:textFill>
              </w:rPr>
            </w:pPr>
          </w:p>
        </w:tc>
      </w:tr>
      <w:tr w14:paraId="16262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507" w:type="pct"/>
            <w:vAlign w:val="center"/>
          </w:tcPr>
          <w:p w14:paraId="01CC983A">
            <w:pPr>
              <w:ind w:firstLine="174" w:firstLineChars="83"/>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57" w:type="pct"/>
            <w:vAlign w:val="center"/>
          </w:tcPr>
          <w:p w14:paraId="375AE089">
            <w:pPr>
              <w:ind w:firstLine="480"/>
              <w:jc w:val="center"/>
              <w:rPr>
                <w:rFonts w:ascii="宋体" w:hAnsi="宋体"/>
                <w:color w:val="000000" w:themeColor="text1"/>
                <w14:textFill>
                  <w14:solidFill>
                    <w14:schemeClr w14:val="tx1"/>
                  </w14:solidFill>
                </w14:textFill>
              </w:rPr>
            </w:pPr>
          </w:p>
        </w:tc>
        <w:tc>
          <w:tcPr>
            <w:tcW w:w="877" w:type="pct"/>
            <w:vAlign w:val="center"/>
          </w:tcPr>
          <w:p w14:paraId="3D330DC4">
            <w:pPr>
              <w:ind w:firstLine="480"/>
              <w:jc w:val="center"/>
              <w:rPr>
                <w:rFonts w:ascii="宋体" w:hAnsi="宋体"/>
                <w:color w:val="000000" w:themeColor="text1"/>
                <w14:textFill>
                  <w14:solidFill>
                    <w14:schemeClr w14:val="tx1"/>
                  </w14:solidFill>
                </w14:textFill>
              </w:rPr>
            </w:pPr>
          </w:p>
        </w:tc>
        <w:tc>
          <w:tcPr>
            <w:tcW w:w="704" w:type="pct"/>
            <w:vAlign w:val="center"/>
          </w:tcPr>
          <w:p w14:paraId="2BE9301B">
            <w:pPr>
              <w:ind w:firstLine="480"/>
              <w:jc w:val="center"/>
              <w:rPr>
                <w:rFonts w:ascii="宋体" w:hAnsi="宋体"/>
                <w:color w:val="000000" w:themeColor="text1"/>
                <w14:textFill>
                  <w14:solidFill>
                    <w14:schemeClr w14:val="tx1"/>
                  </w14:solidFill>
                </w14:textFill>
              </w:rPr>
            </w:pPr>
          </w:p>
        </w:tc>
        <w:tc>
          <w:tcPr>
            <w:tcW w:w="704" w:type="pct"/>
            <w:vAlign w:val="center"/>
          </w:tcPr>
          <w:p w14:paraId="77FD1570">
            <w:pPr>
              <w:ind w:firstLine="480"/>
              <w:jc w:val="center"/>
              <w:rPr>
                <w:rFonts w:ascii="宋体" w:hAnsi="宋体"/>
                <w:color w:val="000000" w:themeColor="text1"/>
                <w14:textFill>
                  <w14:solidFill>
                    <w14:schemeClr w14:val="tx1"/>
                  </w14:solidFill>
                </w14:textFill>
              </w:rPr>
            </w:pPr>
          </w:p>
        </w:tc>
        <w:tc>
          <w:tcPr>
            <w:tcW w:w="1049" w:type="pct"/>
            <w:vAlign w:val="center"/>
          </w:tcPr>
          <w:p w14:paraId="59817FC5">
            <w:pPr>
              <w:ind w:firstLine="480"/>
              <w:jc w:val="center"/>
              <w:rPr>
                <w:rFonts w:ascii="宋体" w:hAnsi="宋体"/>
                <w:color w:val="000000" w:themeColor="text1"/>
                <w14:textFill>
                  <w14:solidFill>
                    <w14:schemeClr w14:val="tx1"/>
                  </w14:solidFill>
                </w14:textFill>
              </w:rPr>
            </w:pPr>
          </w:p>
        </w:tc>
      </w:tr>
    </w:tbl>
    <w:p w14:paraId="5F6C939D">
      <w:pPr>
        <w:spacing w:line="360" w:lineRule="exact"/>
        <w:ind w:firstLine="480"/>
        <w:rPr>
          <w:rFonts w:hint="eastAsia" w:ascii="宋体" w:hAnsi="宋体"/>
          <w:color w:val="000000"/>
        </w:rPr>
      </w:pPr>
      <w:r>
        <w:rPr>
          <w:rFonts w:hint="eastAsia" w:ascii="宋体" w:hAnsi="宋体"/>
          <w:color w:val="000000" w:themeColor="text1"/>
          <w14:textFill>
            <w14:solidFill>
              <w14:schemeClr w14:val="tx1"/>
            </w14:solidFill>
          </w14:textFill>
        </w:rPr>
        <w:t>注：1.</w:t>
      </w:r>
      <w:r>
        <w:rPr>
          <w:rFonts w:hint="eastAsia" w:ascii="宋体" w:hAnsi="宋体"/>
          <w:color w:val="000000"/>
        </w:rPr>
        <w:t>本表应按照采购一览表及技术参数中“</w:t>
      </w:r>
      <w:r>
        <w:rPr>
          <w:rFonts w:hint="eastAsia" w:ascii="宋体" w:hAnsi="宋体"/>
          <w:color w:val="000000"/>
          <w:lang w:eastAsia="zh-CN"/>
        </w:rPr>
        <w:t>软</w:t>
      </w:r>
      <w:r>
        <w:rPr>
          <w:rFonts w:hint="eastAsia" w:ascii="宋体" w:hAnsi="宋体"/>
          <w:color w:val="000000"/>
        </w:rPr>
        <w:t>件部分”要求指标逐项填写，不得遗漏。</w:t>
      </w:r>
    </w:p>
    <w:p w14:paraId="2F4B89DF">
      <w:pPr>
        <w:spacing w:line="276" w:lineRule="auto"/>
        <w:ind w:firstLine="896" w:firstLineChars="427"/>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2．按照招标项目服务要求的顺序对应填写。</w:t>
      </w:r>
    </w:p>
    <w:p w14:paraId="1B1519F2">
      <w:pPr>
        <w:widowControl/>
        <w:spacing w:line="360" w:lineRule="exact"/>
        <w:ind w:firstLine="840" w:firstLineChars="400"/>
        <w:jc w:val="left"/>
        <w:rPr>
          <w:rFonts w:hint="eastAsia" w:ascii="宋体" w:hAnsi="宋体"/>
          <w:color w:val="000000"/>
        </w:rPr>
      </w:pPr>
      <w:r>
        <w:rPr>
          <w:rFonts w:hint="eastAsia" w:ascii="宋体" w:hAnsi="宋体"/>
          <w:color w:val="000000"/>
        </w:rPr>
        <w:t>3、填写此表时以招标项目参数要求为基本投标要求，满足招标项目参数要求的指标需在“偏离”中列出“0”；超出、不满足招标项目参数要求的指标需在“偏离”中列出“+”、“-”偏差，并做出详细说明；如果只注明“+”、“-”或未填写，将视为该项指标不响应。</w:t>
      </w:r>
    </w:p>
    <w:p w14:paraId="3B506381">
      <w:pPr>
        <w:spacing w:line="276" w:lineRule="auto"/>
        <w:ind w:firstLine="480"/>
        <w:rPr>
          <w:rFonts w:ascii="宋体" w:hAnsi="宋体"/>
          <w:color w:val="000000" w:themeColor="text1"/>
          <w14:textFill>
            <w14:solidFill>
              <w14:schemeClr w14:val="tx1"/>
            </w14:solidFill>
          </w14:textFill>
        </w:rPr>
      </w:pPr>
    </w:p>
    <w:p w14:paraId="7E461353">
      <w:pPr>
        <w:spacing w:line="276" w:lineRule="auto"/>
        <w:rPr>
          <w:rFonts w:ascii="宋体" w:hAnsi="宋体"/>
          <w:color w:val="000000" w:themeColor="text1"/>
          <w14:textFill>
            <w14:solidFill>
              <w14:schemeClr w14:val="tx1"/>
            </w14:solidFill>
          </w14:textFill>
        </w:rPr>
      </w:pPr>
    </w:p>
    <w:p w14:paraId="6C3AD4E8">
      <w:pPr>
        <w:ind w:firstLine="3679" w:firstLineChars="1745"/>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投标单位：</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163A2F24">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1CFEF897">
      <w:pPr>
        <w:ind w:firstLine="480"/>
        <w:jc w:val="center"/>
        <w:rPr>
          <w:rFonts w:ascii="宋体"/>
          <w:b/>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年   月  日</w:t>
      </w:r>
    </w:p>
    <w:p w14:paraId="7662D5BE">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19B717D9">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2D464B42">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5A61AF2B">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64B3B3C6">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3304B153">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1D74B54F">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3A24BDFB">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4C3E3CBD">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12C29216">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2F72C7B4">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2284C271">
      <w:pPr>
        <w:ind w:firstLine="0" w:firstLineChars="0"/>
        <w:jc w:val="center"/>
        <w:rPr>
          <w:rFonts w:hint="eastAsia" w:ascii="宋体" w:hAnsi="宋体"/>
          <w:b/>
          <w:sz w:val="36"/>
          <w:szCs w:val="36"/>
        </w:rPr>
      </w:pPr>
      <w:r>
        <w:rPr>
          <w:rFonts w:hint="eastAsia" w:ascii="宋体" w:hAnsi="宋体"/>
          <w:b/>
          <w:sz w:val="36"/>
          <w:szCs w:val="36"/>
        </w:rPr>
        <w:t>技术规格响应表</w:t>
      </w:r>
      <w:r>
        <w:rPr>
          <w:rFonts w:hint="eastAsia" w:ascii="宋体" w:hAnsi="宋体"/>
          <w:b/>
          <w:color w:val="000000" w:themeColor="text1"/>
          <w:sz w:val="36"/>
          <w:szCs w:val="36"/>
          <w:lang w:eastAsia="zh-CN"/>
          <w14:textFill>
            <w14:solidFill>
              <w14:schemeClr w14:val="tx1"/>
            </w14:solidFill>
          </w14:textFill>
        </w:rPr>
        <w:t>（</w:t>
      </w:r>
      <w:r>
        <w:rPr>
          <w:rFonts w:hint="eastAsia" w:ascii="宋体" w:hAnsi="宋体"/>
          <w:b/>
          <w:color w:val="000000" w:themeColor="text1"/>
          <w:sz w:val="36"/>
          <w:szCs w:val="36"/>
          <w:lang w:val="en-US" w:eastAsia="zh-CN"/>
          <w14:textFill>
            <w14:solidFill>
              <w14:schemeClr w14:val="tx1"/>
            </w14:solidFill>
          </w14:textFill>
        </w:rPr>
        <w:t>包号：</w:t>
      </w:r>
      <w:r>
        <w:rPr>
          <w:rFonts w:hint="eastAsia" w:ascii="宋体" w:hAnsi="宋体"/>
          <w:b/>
          <w:color w:val="000000" w:themeColor="text1"/>
          <w:sz w:val="36"/>
          <w:szCs w:val="36"/>
          <w:lang w:eastAsia="zh-CN"/>
          <w14:textFill>
            <w14:solidFill>
              <w14:schemeClr w14:val="tx1"/>
            </w14:solidFill>
          </w14:textFill>
        </w:rPr>
        <w:t>）</w:t>
      </w:r>
    </w:p>
    <w:p w14:paraId="64CFE25A">
      <w:pPr>
        <w:ind w:firstLine="0" w:firstLineChars="0"/>
        <w:rPr>
          <w:rFonts w:hint="eastAsia" w:ascii="宋体" w:hAnsi="宋体"/>
          <w:b/>
        </w:rPr>
      </w:pPr>
      <w:r>
        <w:rPr>
          <w:rFonts w:hint="eastAsia" w:ascii="宋体" w:hAnsi="宋体"/>
          <w:b/>
        </w:rPr>
        <w:t>供应商名称:</w:t>
      </w:r>
    </w:p>
    <w:tbl>
      <w:tblPr>
        <w:tblStyle w:val="20"/>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14:paraId="6E1DE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7AD29A73">
            <w:pPr>
              <w:spacing w:before="40" w:after="40"/>
              <w:ind w:firstLine="480"/>
              <w:jc w:val="center"/>
              <w:rPr>
                <w:rFonts w:hint="eastAsia" w:ascii="宋体" w:hAnsi="宋体"/>
              </w:rPr>
            </w:pPr>
            <w:r>
              <w:rPr>
                <w:rFonts w:hint="eastAsia" w:ascii="宋体" w:hAnsi="宋体"/>
              </w:rPr>
              <w:t xml:space="preserve">  </w:t>
            </w:r>
          </w:p>
        </w:tc>
        <w:tc>
          <w:tcPr>
            <w:tcW w:w="3261" w:type="dxa"/>
            <w:gridSpan w:val="2"/>
            <w:noWrap w:val="0"/>
            <w:vAlign w:val="top"/>
          </w:tcPr>
          <w:p w14:paraId="24BE04F2">
            <w:pPr>
              <w:spacing w:before="40" w:after="40"/>
              <w:ind w:firstLine="105" w:firstLineChars="50"/>
              <w:rPr>
                <w:rFonts w:hint="eastAsia" w:ascii="宋体" w:hAnsi="宋体"/>
              </w:rPr>
            </w:pPr>
            <w:r>
              <w:rPr>
                <w:rFonts w:hint="eastAsia" w:ascii="宋体" w:hAnsi="宋体"/>
              </w:rPr>
              <w:t>采购需求技术参数、指标</w:t>
            </w:r>
          </w:p>
        </w:tc>
        <w:tc>
          <w:tcPr>
            <w:tcW w:w="4591" w:type="dxa"/>
            <w:gridSpan w:val="3"/>
            <w:noWrap w:val="0"/>
            <w:vAlign w:val="top"/>
          </w:tcPr>
          <w:p w14:paraId="3232547B">
            <w:pPr>
              <w:spacing w:before="40" w:after="40"/>
              <w:ind w:firstLine="480"/>
              <w:rPr>
                <w:rFonts w:hint="eastAsia" w:ascii="宋体" w:hAnsi="宋体"/>
              </w:rPr>
            </w:pPr>
            <w:r>
              <w:rPr>
                <w:rFonts w:hint="eastAsia" w:ascii="宋体" w:hAnsi="宋体"/>
              </w:rPr>
              <w:t>投标产品技术参数、指标</w:t>
            </w:r>
          </w:p>
        </w:tc>
        <w:tc>
          <w:tcPr>
            <w:tcW w:w="695" w:type="dxa"/>
            <w:noWrap w:val="0"/>
            <w:vAlign w:val="center"/>
          </w:tcPr>
          <w:p w14:paraId="1186486F">
            <w:pPr>
              <w:spacing w:before="40" w:after="40"/>
              <w:ind w:firstLine="0" w:firstLineChars="0"/>
              <w:jc w:val="center"/>
              <w:rPr>
                <w:rFonts w:hint="eastAsia" w:ascii="宋体" w:hAnsi="宋体"/>
              </w:rPr>
            </w:pPr>
            <w:r>
              <w:rPr>
                <w:rFonts w:hint="eastAsia" w:ascii="宋体" w:hAnsi="宋体"/>
              </w:rPr>
              <w:t>偏离</w:t>
            </w:r>
          </w:p>
        </w:tc>
      </w:tr>
      <w:tr w14:paraId="70A9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178E6906">
            <w:pPr>
              <w:spacing w:before="40" w:after="40"/>
              <w:ind w:firstLine="0" w:firstLineChars="0"/>
              <w:rPr>
                <w:rFonts w:hint="eastAsia" w:ascii="宋体" w:hAnsi="宋体"/>
              </w:rPr>
            </w:pPr>
            <w:r>
              <w:rPr>
                <w:rFonts w:hint="eastAsia" w:ascii="宋体" w:hAnsi="宋体"/>
              </w:rPr>
              <w:t>序号</w:t>
            </w:r>
          </w:p>
        </w:tc>
        <w:tc>
          <w:tcPr>
            <w:tcW w:w="851" w:type="dxa"/>
            <w:noWrap w:val="0"/>
            <w:vAlign w:val="center"/>
          </w:tcPr>
          <w:p w14:paraId="728008EA">
            <w:pPr>
              <w:spacing w:before="40" w:after="40"/>
              <w:ind w:firstLine="174" w:firstLineChars="83"/>
              <w:rPr>
                <w:rFonts w:hint="eastAsia" w:ascii="宋体" w:hAnsi="宋体"/>
              </w:rPr>
            </w:pPr>
            <w:r>
              <w:rPr>
                <w:rFonts w:hint="eastAsia" w:ascii="宋体" w:hAnsi="宋体"/>
              </w:rPr>
              <w:t>名称</w:t>
            </w:r>
          </w:p>
        </w:tc>
        <w:tc>
          <w:tcPr>
            <w:tcW w:w="2410" w:type="dxa"/>
            <w:noWrap w:val="0"/>
            <w:vAlign w:val="center"/>
          </w:tcPr>
          <w:p w14:paraId="2F78DF30">
            <w:pPr>
              <w:spacing w:before="40" w:after="40"/>
              <w:ind w:firstLine="0" w:firstLineChars="0"/>
              <w:rPr>
                <w:rFonts w:ascii="宋体" w:hAnsi="宋体"/>
              </w:rPr>
            </w:pPr>
            <w:r>
              <w:rPr>
                <w:rFonts w:hint="eastAsia" w:ascii="宋体" w:hAnsi="宋体"/>
              </w:rPr>
              <w:t>技术参数、指标及配置</w:t>
            </w:r>
          </w:p>
        </w:tc>
        <w:tc>
          <w:tcPr>
            <w:tcW w:w="708" w:type="dxa"/>
            <w:noWrap w:val="0"/>
            <w:vAlign w:val="center"/>
          </w:tcPr>
          <w:p w14:paraId="61B9ED98">
            <w:pPr>
              <w:spacing w:before="40" w:after="40"/>
              <w:ind w:firstLine="105" w:firstLineChars="50"/>
              <w:rPr>
                <w:rFonts w:hint="eastAsia" w:ascii="宋体" w:hAnsi="宋体"/>
              </w:rPr>
            </w:pPr>
            <w:r>
              <w:rPr>
                <w:rFonts w:hint="eastAsia" w:ascii="宋体" w:hAnsi="宋体"/>
              </w:rPr>
              <w:t>名称</w:t>
            </w:r>
          </w:p>
        </w:tc>
        <w:tc>
          <w:tcPr>
            <w:tcW w:w="1332" w:type="dxa"/>
            <w:noWrap w:val="0"/>
            <w:vAlign w:val="center"/>
          </w:tcPr>
          <w:p w14:paraId="18C2E0BE">
            <w:pPr>
              <w:spacing w:before="40" w:after="40"/>
              <w:ind w:firstLine="0" w:firstLineChars="0"/>
              <w:jc w:val="center"/>
              <w:rPr>
                <w:rFonts w:hint="eastAsia" w:ascii="宋体" w:hAnsi="宋体"/>
              </w:rPr>
            </w:pPr>
            <w:r>
              <w:rPr>
                <w:rFonts w:hint="eastAsia" w:ascii="宋体" w:hAnsi="宋体"/>
              </w:rPr>
              <w:t>规格或型号</w:t>
            </w:r>
          </w:p>
        </w:tc>
        <w:tc>
          <w:tcPr>
            <w:tcW w:w="2551" w:type="dxa"/>
            <w:noWrap w:val="0"/>
            <w:vAlign w:val="center"/>
          </w:tcPr>
          <w:p w14:paraId="162CFFAA">
            <w:pPr>
              <w:spacing w:before="40" w:after="40"/>
              <w:ind w:left="94" w:firstLine="0" w:firstLineChars="0"/>
              <w:jc w:val="center"/>
              <w:rPr>
                <w:rFonts w:ascii="宋体" w:hAnsi="宋体"/>
              </w:rPr>
            </w:pPr>
            <w:r>
              <w:rPr>
                <w:rFonts w:hint="eastAsia" w:ascii="宋体" w:hAnsi="宋体"/>
              </w:rPr>
              <w:t>技术参数、指标及配置</w:t>
            </w:r>
          </w:p>
        </w:tc>
        <w:tc>
          <w:tcPr>
            <w:tcW w:w="695" w:type="dxa"/>
            <w:noWrap w:val="0"/>
            <w:vAlign w:val="top"/>
          </w:tcPr>
          <w:p w14:paraId="3A3A24A7">
            <w:pPr>
              <w:spacing w:before="40" w:after="40"/>
              <w:ind w:firstLine="480"/>
              <w:jc w:val="center"/>
              <w:rPr>
                <w:rFonts w:hint="eastAsia" w:ascii="宋体" w:hAnsi="宋体"/>
              </w:rPr>
            </w:pPr>
          </w:p>
        </w:tc>
      </w:tr>
      <w:tr w14:paraId="66FE9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5B6C1E26">
            <w:pPr>
              <w:spacing w:before="40" w:after="40"/>
              <w:ind w:firstLine="174" w:firstLineChars="83"/>
              <w:jc w:val="center"/>
              <w:rPr>
                <w:rFonts w:hint="eastAsia" w:ascii="宋体" w:hAnsi="宋体"/>
              </w:rPr>
            </w:pPr>
            <w:r>
              <w:rPr>
                <w:rFonts w:hint="eastAsia" w:ascii="宋体" w:hAnsi="宋体"/>
              </w:rPr>
              <w:t>1</w:t>
            </w:r>
          </w:p>
        </w:tc>
        <w:tc>
          <w:tcPr>
            <w:tcW w:w="851" w:type="dxa"/>
            <w:noWrap w:val="0"/>
            <w:vAlign w:val="top"/>
          </w:tcPr>
          <w:p w14:paraId="3C0D9C96">
            <w:pPr>
              <w:spacing w:before="40" w:after="40"/>
              <w:ind w:firstLine="480"/>
              <w:jc w:val="center"/>
              <w:rPr>
                <w:rFonts w:hint="eastAsia" w:ascii="宋体" w:hAnsi="宋体"/>
              </w:rPr>
            </w:pPr>
          </w:p>
        </w:tc>
        <w:tc>
          <w:tcPr>
            <w:tcW w:w="2410" w:type="dxa"/>
            <w:noWrap w:val="0"/>
            <w:vAlign w:val="top"/>
          </w:tcPr>
          <w:p w14:paraId="1AEAB9E2">
            <w:pPr>
              <w:spacing w:before="40" w:after="40"/>
              <w:ind w:firstLine="480"/>
              <w:jc w:val="center"/>
              <w:rPr>
                <w:rFonts w:hint="eastAsia" w:ascii="宋体" w:hAnsi="宋体"/>
              </w:rPr>
            </w:pPr>
          </w:p>
        </w:tc>
        <w:tc>
          <w:tcPr>
            <w:tcW w:w="708" w:type="dxa"/>
            <w:noWrap w:val="0"/>
            <w:vAlign w:val="top"/>
          </w:tcPr>
          <w:p w14:paraId="36632254">
            <w:pPr>
              <w:spacing w:before="40" w:after="40"/>
              <w:ind w:firstLine="480"/>
              <w:jc w:val="center"/>
              <w:rPr>
                <w:rFonts w:hint="eastAsia" w:ascii="宋体" w:hAnsi="宋体"/>
              </w:rPr>
            </w:pPr>
          </w:p>
        </w:tc>
        <w:tc>
          <w:tcPr>
            <w:tcW w:w="1332" w:type="dxa"/>
            <w:noWrap w:val="0"/>
            <w:vAlign w:val="top"/>
          </w:tcPr>
          <w:p w14:paraId="03C457D6">
            <w:pPr>
              <w:spacing w:before="40" w:after="40"/>
              <w:ind w:firstLine="480"/>
              <w:jc w:val="center"/>
              <w:rPr>
                <w:rFonts w:hint="eastAsia" w:ascii="宋体" w:hAnsi="宋体"/>
              </w:rPr>
            </w:pPr>
          </w:p>
        </w:tc>
        <w:tc>
          <w:tcPr>
            <w:tcW w:w="2551" w:type="dxa"/>
            <w:noWrap w:val="0"/>
            <w:vAlign w:val="top"/>
          </w:tcPr>
          <w:p w14:paraId="2DA437C3">
            <w:pPr>
              <w:spacing w:before="40" w:after="40"/>
              <w:ind w:firstLine="480"/>
              <w:jc w:val="center"/>
              <w:rPr>
                <w:rFonts w:hint="eastAsia" w:ascii="宋体" w:hAnsi="宋体"/>
              </w:rPr>
            </w:pPr>
          </w:p>
        </w:tc>
        <w:tc>
          <w:tcPr>
            <w:tcW w:w="695" w:type="dxa"/>
            <w:noWrap w:val="0"/>
            <w:vAlign w:val="top"/>
          </w:tcPr>
          <w:p w14:paraId="003EC444">
            <w:pPr>
              <w:spacing w:before="40" w:after="40"/>
              <w:ind w:firstLine="480"/>
              <w:jc w:val="center"/>
              <w:rPr>
                <w:rFonts w:hint="eastAsia" w:ascii="宋体" w:hAnsi="宋体"/>
              </w:rPr>
            </w:pPr>
          </w:p>
        </w:tc>
      </w:tr>
      <w:tr w14:paraId="082FB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6F13D07B">
            <w:pPr>
              <w:spacing w:before="40" w:after="40"/>
              <w:ind w:firstLine="174" w:firstLineChars="83"/>
              <w:jc w:val="center"/>
              <w:rPr>
                <w:rFonts w:hint="eastAsia" w:ascii="宋体" w:hAnsi="宋体"/>
              </w:rPr>
            </w:pPr>
            <w:r>
              <w:rPr>
                <w:rFonts w:hint="eastAsia" w:ascii="宋体" w:hAnsi="宋体"/>
              </w:rPr>
              <w:t>2</w:t>
            </w:r>
          </w:p>
        </w:tc>
        <w:tc>
          <w:tcPr>
            <w:tcW w:w="851" w:type="dxa"/>
            <w:noWrap w:val="0"/>
            <w:vAlign w:val="top"/>
          </w:tcPr>
          <w:p w14:paraId="0DB05579">
            <w:pPr>
              <w:spacing w:before="40" w:after="40"/>
              <w:ind w:firstLine="480"/>
              <w:jc w:val="center"/>
              <w:rPr>
                <w:rFonts w:hint="eastAsia" w:ascii="宋体" w:hAnsi="宋体"/>
              </w:rPr>
            </w:pPr>
          </w:p>
        </w:tc>
        <w:tc>
          <w:tcPr>
            <w:tcW w:w="2410" w:type="dxa"/>
            <w:noWrap w:val="0"/>
            <w:vAlign w:val="top"/>
          </w:tcPr>
          <w:p w14:paraId="57798602">
            <w:pPr>
              <w:spacing w:before="40" w:after="40"/>
              <w:ind w:firstLine="480"/>
              <w:jc w:val="center"/>
              <w:rPr>
                <w:rFonts w:hint="eastAsia" w:ascii="宋体" w:hAnsi="宋体"/>
              </w:rPr>
            </w:pPr>
          </w:p>
        </w:tc>
        <w:tc>
          <w:tcPr>
            <w:tcW w:w="708" w:type="dxa"/>
            <w:noWrap w:val="0"/>
            <w:vAlign w:val="top"/>
          </w:tcPr>
          <w:p w14:paraId="4ED3EB99">
            <w:pPr>
              <w:spacing w:before="40" w:after="40"/>
              <w:ind w:firstLine="480"/>
              <w:jc w:val="center"/>
              <w:rPr>
                <w:rFonts w:hint="eastAsia" w:ascii="宋体" w:hAnsi="宋体"/>
              </w:rPr>
            </w:pPr>
          </w:p>
        </w:tc>
        <w:tc>
          <w:tcPr>
            <w:tcW w:w="1332" w:type="dxa"/>
            <w:noWrap w:val="0"/>
            <w:vAlign w:val="top"/>
          </w:tcPr>
          <w:p w14:paraId="66D762F2">
            <w:pPr>
              <w:spacing w:before="40" w:after="40"/>
              <w:ind w:firstLine="480"/>
              <w:jc w:val="center"/>
              <w:rPr>
                <w:rFonts w:hint="eastAsia" w:ascii="宋体" w:hAnsi="宋体"/>
              </w:rPr>
            </w:pPr>
          </w:p>
        </w:tc>
        <w:tc>
          <w:tcPr>
            <w:tcW w:w="2551" w:type="dxa"/>
            <w:noWrap w:val="0"/>
            <w:vAlign w:val="top"/>
          </w:tcPr>
          <w:p w14:paraId="5D3BB98E">
            <w:pPr>
              <w:spacing w:before="40" w:after="40"/>
              <w:ind w:firstLine="480"/>
              <w:jc w:val="center"/>
              <w:rPr>
                <w:rFonts w:hint="eastAsia" w:ascii="宋体" w:hAnsi="宋体"/>
              </w:rPr>
            </w:pPr>
          </w:p>
        </w:tc>
        <w:tc>
          <w:tcPr>
            <w:tcW w:w="695" w:type="dxa"/>
            <w:noWrap w:val="0"/>
            <w:vAlign w:val="top"/>
          </w:tcPr>
          <w:p w14:paraId="1E093831">
            <w:pPr>
              <w:spacing w:before="40" w:after="40"/>
              <w:ind w:firstLine="480"/>
              <w:jc w:val="center"/>
              <w:rPr>
                <w:rFonts w:hint="eastAsia" w:ascii="宋体" w:hAnsi="宋体"/>
              </w:rPr>
            </w:pPr>
          </w:p>
        </w:tc>
      </w:tr>
      <w:tr w14:paraId="76073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449DC063">
            <w:pPr>
              <w:spacing w:before="40" w:after="40"/>
              <w:ind w:firstLine="174" w:firstLineChars="83"/>
              <w:jc w:val="center"/>
              <w:rPr>
                <w:rFonts w:hint="eastAsia" w:ascii="宋体" w:hAnsi="宋体"/>
              </w:rPr>
            </w:pPr>
            <w:r>
              <w:rPr>
                <w:rFonts w:hint="eastAsia" w:ascii="宋体" w:hAnsi="宋体"/>
              </w:rPr>
              <w:t>3</w:t>
            </w:r>
          </w:p>
        </w:tc>
        <w:tc>
          <w:tcPr>
            <w:tcW w:w="851" w:type="dxa"/>
            <w:noWrap w:val="0"/>
            <w:vAlign w:val="top"/>
          </w:tcPr>
          <w:p w14:paraId="437AE748">
            <w:pPr>
              <w:spacing w:before="40" w:after="40"/>
              <w:ind w:firstLine="480"/>
              <w:jc w:val="center"/>
              <w:rPr>
                <w:rFonts w:hint="eastAsia" w:ascii="宋体" w:hAnsi="宋体"/>
              </w:rPr>
            </w:pPr>
          </w:p>
        </w:tc>
        <w:tc>
          <w:tcPr>
            <w:tcW w:w="2410" w:type="dxa"/>
            <w:noWrap w:val="0"/>
            <w:vAlign w:val="top"/>
          </w:tcPr>
          <w:p w14:paraId="282ABC6E">
            <w:pPr>
              <w:spacing w:before="40" w:after="40"/>
              <w:ind w:firstLine="480"/>
              <w:jc w:val="center"/>
              <w:rPr>
                <w:rFonts w:hint="eastAsia" w:ascii="宋体" w:hAnsi="宋体"/>
              </w:rPr>
            </w:pPr>
          </w:p>
        </w:tc>
        <w:tc>
          <w:tcPr>
            <w:tcW w:w="708" w:type="dxa"/>
            <w:noWrap w:val="0"/>
            <w:vAlign w:val="top"/>
          </w:tcPr>
          <w:p w14:paraId="598DB413">
            <w:pPr>
              <w:spacing w:before="40" w:after="40"/>
              <w:ind w:firstLine="480"/>
              <w:jc w:val="center"/>
              <w:rPr>
                <w:rFonts w:hint="eastAsia" w:ascii="宋体" w:hAnsi="宋体"/>
              </w:rPr>
            </w:pPr>
          </w:p>
        </w:tc>
        <w:tc>
          <w:tcPr>
            <w:tcW w:w="1332" w:type="dxa"/>
            <w:noWrap w:val="0"/>
            <w:vAlign w:val="top"/>
          </w:tcPr>
          <w:p w14:paraId="6C28ECFB">
            <w:pPr>
              <w:spacing w:before="40" w:after="40"/>
              <w:ind w:firstLine="480"/>
              <w:jc w:val="center"/>
              <w:rPr>
                <w:rFonts w:hint="eastAsia" w:ascii="宋体" w:hAnsi="宋体"/>
              </w:rPr>
            </w:pPr>
          </w:p>
        </w:tc>
        <w:tc>
          <w:tcPr>
            <w:tcW w:w="2551" w:type="dxa"/>
            <w:noWrap w:val="0"/>
            <w:vAlign w:val="top"/>
          </w:tcPr>
          <w:p w14:paraId="75523775">
            <w:pPr>
              <w:spacing w:before="40" w:after="40"/>
              <w:ind w:firstLine="480"/>
              <w:jc w:val="center"/>
              <w:rPr>
                <w:rFonts w:hint="eastAsia" w:ascii="宋体" w:hAnsi="宋体"/>
              </w:rPr>
            </w:pPr>
          </w:p>
        </w:tc>
        <w:tc>
          <w:tcPr>
            <w:tcW w:w="695" w:type="dxa"/>
            <w:noWrap w:val="0"/>
            <w:vAlign w:val="top"/>
          </w:tcPr>
          <w:p w14:paraId="5CB6161A">
            <w:pPr>
              <w:spacing w:before="40" w:after="40"/>
              <w:ind w:firstLine="480"/>
              <w:jc w:val="center"/>
              <w:rPr>
                <w:rFonts w:hint="eastAsia" w:ascii="宋体" w:hAnsi="宋体"/>
              </w:rPr>
            </w:pPr>
          </w:p>
        </w:tc>
      </w:tr>
      <w:tr w14:paraId="3BA63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01398A8E">
            <w:pPr>
              <w:spacing w:before="40" w:after="40"/>
              <w:ind w:firstLine="174" w:firstLineChars="83"/>
              <w:jc w:val="center"/>
              <w:rPr>
                <w:rFonts w:hint="eastAsia" w:ascii="宋体" w:hAnsi="宋体"/>
              </w:rPr>
            </w:pPr>
            <w:r>
              <w:rPr>
                <w:rFonts w:hint="eastAsia" w:ascii="宋体" w:hAnsi="宋体"/>
              </w:rPr>
              <w:t>4</w:t>
            </w:r>
          </w:p>
        </w:tc>
        <w:tc>
          <w:tcPr>
            <w:tcW w:w="851" w:type="dxa"/>
            <w:noWrap w:val="0"/>
            <w:vAlign w:val="top"/>
          </w:tcPr>
          <w:p w14:paraId="4B111621">
            <w:pPr>
              <w:spacing w:before="40" w:after="40"/>
              <w:ind w:firstLine="480"/>
              <w:jc w:val="center"/>
              <w:rPr>
                <w:rFonts w:hint="eastAsia" w:ascii="宋体" w:hAnsi="宋体"/>
              </w:rPr>
            </w:pPr>
          </w:p>
        </w:tc>
        <w:tc>
          <w:tcPr>
            <w:tcW w:w="2410" w:type="dxa"/>
            <w:noWrap w:val="0"/>
            <w:vAlign w:val="top"/>
          </w:tcPr>
          <w:p w14:paraId="4B58F306">
            <w:pPr>
              <w:spacing w:before="40" w:after="40"/>
              <w:ind w:firstLine="480"/>
              <w:jc w:val="center"/>
              <w:rPr>
                <w:rFonts w:hint="eastAsia" w:ascii="宋体" w:hAnsi="宋体"/>
              </w:rPr>
            </w:pPr>
          </w:p>
        </w:tc>
        <w:tc>
          <w:tcPr>
            <w:tcW w:w="708" w:type="dxa"/>
            <w:noWrap w:val="0"/>
            <w:vAlign w:val="top"/>
          </w:tcPr>
          <w:p w14:paraId="6B847562">
            <w:pPr>
              <w:spacing w:before="40" w:after="40"/>
              <w:ind w:firstLine="480"/>
              <w:jc w:val="center"/>
              <w:rPr>
                <w:rFonts w:hint="eastAsia" w:ascii="宋体" w:hAnsi="宋体"/>
              </w:rPr>
            </w:pPr>
          </w:p>
        </w:tc>
        <w:tc>
          <w:tcPr>
            <w:tcW w:w="1332" w:type="dxa"/>
            <w:noWrap w:val="0"/>
            <w:vAlign w:val="top"/>
          </w:tcPr>
          <w:p w14:paraId="160A298C">
            <w:pPr>
              <w:spacing w:before="40" w:after="40"/>
              <w:ind w:firstLine="480"/>
              <w:jc w:val="center"/>
              <w:rPr>
                <w:rFonts w:hint="eastAsia" w:ascii="宋体" w:hAnsi="宋体"/>
              </w:rPr>
            </w:pPr>
          </w:p>
        </w:tc>
        <w:tc>
          <w:tcPr>
            <w:tcW w:w="2551" w:type="dxa"/>
            <w:noWrap w:val="0"/>
            <w:vAlign w:val="top"/>
          </w:tcPr>
          <w:p w14:paraId="7E70BBAF">
            <w:pPr>
              <w:spacing w:before="40" w:after="40"/>
              <w:ind w:firstLine="480"/>
              <w:jc w:val="center"/>
              <w:rPr>
                <w:rFonts w:hint="eastAsia" w:ascii="宋体" w:hAnsi="宋体"/>
              </w:rPr>
            </w:pPr>
          </w:p>
        </w:tc>
        <w:tc>
          <w:tcPr>
            <w:tcW w:w="695" w:type="dxa"/>
            <w:noWrap w:val="0"/>
            <w:vAlign w:val="top"/>
          </w:tcPr>
          <w:p w14:paraId="0CDA0A6F">
            <w:pPr>
              <w:spacing w:before="40" w:after="40"/>
              <w:ind w:firstLine="480"/>
              <w:jc w:val="center"/>
              <w:rPr>
                <w:rFonts w:hint="eastAsia" w:ascii="宋体" w:hAnsi="宋体"/>
              </w:rPr>
            </w:pPr>
          </w:p>
        </w:tc>
      </w:tr>
      <w:tr w14:paraId="3B375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6AD51A13">
            <w:pPr>
              <w:spacing w:before="40" w:after="40"/>
              <w:ind w:firstLine="174" w:firstLineChars="83"/>
              <w:jc w:val="center"/>
              <w:rPr>
                <w:rFonts w:hint="eastAsia" w:ascii="宋体" w:hAnsi="宋体"/>
              </w:rPr>
            </w:pPr>
            <w:r>
              <w:rPr>
                <w:rFonts w:ascii="宋体" w:hAnsi="宋体"/>
              </w:rPr>
              <w:t>…</w:t>
            </w:r>
          </w:p>
        </w:tc>
        <w:tc>
          <w:tcPr>
            <w:tcW w:w="851" w:type="dxa"/>
            <w:noWrap w:val="0"/>
            <w:vAlign w:val="top"/>
          </w:tcPr>
          <w:p w14:paraId="7FDDA47F">
            <w:pPr>
              <w:spacing w:before="40" w:after="40"/>
              <w:ind w:firstLine="480"/>
              <w:jc w:val="center"/>
              <w:rPr>
                <w:rFonts w:hint="eastAsia" w:ascii="宋体" w:hAnsi="宋体"/>
              </w:rPr>
            </w:pPr>
          </w:p>
        </w:tc>
        <w:tc>
          <w:tcPr>
            <w:tcW w:w="2410" w:type="dxa"/>
            <w:noWrap w:val="0"/>
            <w:vAlign w:val="top"/>
          </w:tcPr>
          <w:p w14:paraId="1D0BD0BB">
            <w:pPr>
              <w:spacing w:before="40" w:after="40"/>
              <w:ind w:firstLine="480"/>
              <w:jc w:val="center"/>
              <w:rPr>
                <w:rFonts w:hint="eastAsia" w:ascii="宋体" w:hAnsi="宋体"/>
              </w:rPr>
            </w:pPr>
          </w:p>
        </w:tc>
        <w:tc>
          <w:tcPr>
            <w:tcW w:w="708" w:type="dxa"/>
            <w:noWrap w:val="0"/>
            <w:vAlign w:val="top"/>
          </w:tcPr>
          <w:p w14:paraId="4B7374FC">
            <w:pPr>
              <w:spacing w:before="40" w:after="40"/>
              <w:ind w:firstLine="480"/>
              <w:jc w:val="center"/>
              <w:rPr>
                <w:rFonts w:hint="eastAsia" w:ascii="宋体" w:hAnsi="宋体"/>
              </w:rPr>
            </w:pPr>
          </w:p>
        </w:tc>
        <w:tc>
          <w:tcPr>
            <w:tcW w:w="1332" w:type="dxa"/>
            <w:noWrap w:val="0"/>
            <w:vAlign w:val="top"/>
          </w:tcPr>
          <w:p w14:paraId="700B0BB6">
            <w:pPr>
              <w:spacing w:before="40" w:after="40"/>
              <w:ind w:firstLine="480"/>
              <w:jc w:val="center"/>
              <w:rPr>
                <w:rFonts w:hint="eastAsia" w:ascii="宋体" w:hAnsi="宋体"/>
              </w:rPr>
            </w:pPr>
          </w:p>
        </w:tc>
        <w:tc>
          <w:tcPr>
            <w:tcW w:w="2551" w:type="dxa"/>
            <w:noWrap w:val="0"/>
            <w:vAlign w:val="top"/>
          </w:tcPr>
          <w:p w14:paraId="0C274BD9">
            <w:pPr>
              <w:spacing w:before="40" w:after="40"/>
              <w:ind w:firstLine="480"/>
              <w:jc w:val="center"/>
              <w:rPr>
                <w:rFonts w:hint="eastAsia" w:ascii="宋体" w:hAnsi="宋体"/>
              </w:rPr>
            </w:pPr>
          </w:p>
        </w:tc>
        <w:tc>
          <w:tcPr>
            <w:tcW w:w="695" w:type="dxa"/>
            <w:noWrap w:val="0"/>
            <w:vAlign w:val="top"/>
          </w:tcPr>
          <w:p w14:paraId="6E733F2B">
            <w:pPr>
              <w:spacing w:before="40" w:after="40"/>
              <w:ind w:firstLine="480"/>
              <w:jc w:val="center"/>
              <w:rPr>
                <w:rFonts w:hint="eastAsia" w:ascii="宋体" w:hAnsi="宋体"/>
              </w:rPr>
            </w:pPr>
          </w:p>
        </w:tc>
      </w:tr>
    </w:tbl>
    <w:p w14:paraId="49DEAB62">
      <w:pPr>
        <w:spacing w:line="360" w:lineRule="exact"/>
        <w:ind w:firstLine="308"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14:paraId="352A359C">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lang w:val="en-US" w:eastAsia="zh-CN"/>
        </w:rPr>
        <w:t>2、</w:t>
      </w:r>
      <w:r>
        <w:rPr>
          <w:rFonts w:hint="eastAsia" w:ascii="宋体" w:hAnsi="宋体"/>
          <w:color w:val="000000"/>
          <w:kern w:val="0"/>
          <w:sz w:val="24"/>
          <w:szCs w:val="20"/>
        </w:rPr>
        <w:t>“投标产品技术参数、指标”必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按评标办法处理。</w:t>
      </w:r>
    </w:p>
    <w:p w14:paraId="10C7B359">
      <w:pPr>
        <w:autoSpaceDE w:val="0"/>
        <w:autoSpaceDN w:val="0"/>
        <w:adjustRightInd w:val="0"/>
        <w:spacing w:line="400" w:lineRule="exact"/>
        <w:ind w:firstLine="484" w:firstLineChars="202"/>
        <w:rPr>
          <w:rFonts w:hint="eastAsia" w:ascii="宋体" w:hAnsi="宋体" w:cs="Times New Roman"/>
          <w:color w:val="000000"/>
          <w:kern w:val="0"/>
          <w:sz w:val="24"/>
          <w:szCs w:val="20"/>
        </w:rPr>
      </w:pPr>
      <w:r>
        <w:rPr>
          <w:rFonts w:hint="eastAsia" w:ascii="宋体" w:hAnsi="宋体" w:cs="Times New Roman"/>
          <w:color w:val="000000"/>
          <w:kern w:val="0"/>
          <w:sz w:val="24"/>
          <w:szCs w:val="20"/>
          <w:lang w:val="en-US" w:eastAsia="zh-CN"/>
        </w:rPr>
        <w:t>3、</w:t>
      </w:r>
      <w:r>
        <w:rPr>
          <w:rFonts w:hint="eastAsia" w:ascii="宋体" w:hAnsi="宋体" w:cs="Times New Roman"/>
          <w:color w:val="000000"/>
          <w:kern w:val="0"/>
          <w:sz w:val="24"/>
          <w:szCs w:val="20"/>
          <w:lang w:val="zh-CN"/>
        </w:rPr>
        <w:t>写此表时以招标项目参数要求为基本投标要求，满足招标项目参数要求的指标需在“偏离”中列出“</w:t>
      </w:r>
      <w:r>
        <w:rPr>
          <w:rFonts w:hint="eastAsia" w:ascii="宋体" w:hAnsi="宋体" w:cs="Times New Roman"/>
          <w:color w:val="000000"/>
          <w:kern w:val="0"/>
          <w:sz w:val="24"/>
          <w:szCs w:val="20"/>
        </w:rPr>
        <w:t>0</w:t>
      </w:r>
      <w:r>
        <w:rPr>
          <w:rFonts w:hint="eastAsia" w:ascii="宋体" w:hAnsi="宋体" w:cs="Times New Roman"/>
          <w:color w:val="000000"/>
          <w:kern w:val="0"/>
          <w:sz w:val="24"/>
          <w:szCs w:val="20"/>
          <w:lang w:val="zh-CN"/>
        </w:rPr>
        <w:t>”；超出、不满足招标项目参数要求的指标需在“偏离”中列出“+”、“-”偏差，并做出详细说明；如果只注明“+”、“-”或未填写，将视为该项指标不响应。</w:t>
      </w:r>
    </w:p>
    <w:p w14:paraId="7691DD6C">
      <w:pPr>
        <w:widowControl/>
        <w:spacing w:after="160" w:line="276" w:lineRule="auto"/>
        <w:ind w:firstLine="0" w:firstLineChars="0"/>
        <w:jc w:val="left"/>
        <w:rPr>
          <w:rFonts w:hint="eastAsia" w:ascii="宋体" w:hAnsi="宋体"/>
        </w:rPr>
      </w:pPr>
    </w:p>
    <w:p w14:paraId="0696EAD2">
      <w:pPr>
        <w:ind w:firstLine="0" w:firstLineChars="0"/>
        <w:rPr>
          <w:rFonts w:hint="eastAsia" w:ascii="宋体" w:hAnsi="宋体"/>
        </w:rPr>
      </w:pPr>
    </w:p>
    <w:p w14:paraId="21AAAE34">
      <w:pPr>
        <w:ind w:firstLine="0" w:firstLineChars="0"/>
        <w:rPr>
          <w:rFonts w:hint="eastAsia" w:ascii="宋体" w:hAnsi="宋体"/>
        </w:rPr>
      </w:pPr>
    </w:p>
    <w:p w14:paraId="4573B918">
      <w:pPr>
        <w:ind w:firstLine="0" w:firstLineChars="0"/>
        <w:rPr>
          <w:rFonts w:hint="eastAsia" w:ascii="宋体" w:hAnsi="宋体"/>
        </w:rPr>
      </w:pPr>
    </w:p>
    <w:p w14:paraId="540E2768">
      <w:pPr>
        <w:ind w:right="480" w:firstLine="4075" w:firstLineChars="1933"/>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0302EF95">
      <w:pPr>
        <w:ind w:right="360"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04C4358D">
      <w:pPr>
        <w:ind w:right="480" w:firstLine="5060" w:firstLineChars="2400"/>
        <w:rPr>
          <w:rFonts w:hint="eastAsia" w:ascii="宋体" w:hAnsi="宋体"/>
          <w:b/>
        </w:rPr>
      </w:pPr>
      <w:r>
        <w:rPr>
          <w:rFonts w:hint="eastAsia" w:ascii="宋体" w:hAnsi="宋体"/>
          <w:b/>
        </w:rPr>
        <w:t>年  月  日</w:t>
      </w:r>
    </w:p>
    <w:p w14:paraId="0DED5435">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2945C6B2">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60F5861B">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15B9E57E">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4B010748">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390A9BE9">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5BAA2C17">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7E1D7720">
      <w:pPr>
        <w:widowControl/>
        <w:snapToGrid w:val="0"/>
        <w:spacing w:line="360" w:lineRule="auto"/>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5</w:t>
      </w:r>
      <w:r>
        <w:rPr>
          <w:rFonts w:hint="eastAsia" w:ascii="宋体"/>
          <w:b/>
          <w:color w:val="000000" w:themeColor="text1"/>
          <w:sz w:val="28"/>
          <w:szCs w:val="28"/>
          <w14:textFill>
            <w14:solidFill>
              <w14:schemeClr w14:val="tx1"/>
            </w14:solidFill>
          </w14:textFill>
        </w:rPr>
        <w:t>：其他资格证明材料</w:t>
      </w:r>
      <w:bookmarkEnd w:id="169"/>
    </w:p>
    <w:p w14:paraId="723700A5">
      <w:pPr>
        <w:ind w:firstLine="2909" w:firstLineChars="805"/>
        <w:rPr>
          <w:rFonts w:ascii="宋体"/>
          <w:b/>
          <w:color w:val="000000" w:themeColor="text1"/>
          <w:sz w:val="36"/>
          <w:szCs w:val="36"/>
          <w14:textFill>
            <w14:solidFill>
              <w14:schemeClr w14:val="tx1"/>
            </w14:solidFill>
          </w14:textFill>
        </w:rPr>
      </w:pPr>
    </w:p>
    <w:p w14:paraId="6DA25FDC">
      <w:pPr>
        <w:ind w:firstLine="2909" w:firstLineChars="80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其他资格证明材料</w:t>
      </w:r>
    </w:p>
    <w:p w14:paraId="3B866881">
      <w:pPr>
        <w:ind w:firstLine="411" w:firstLineChars="196"/>
        <w:rPr>
          <w:rFonts w:ascii="宋体" w:hAnsi="宋体"/>
          <w:bCs/>
          <w:color w:val="000000" w:themeColor="text1"/>
          <w14:textFill>
            <w14:solidFill>
              <w14:schemeClr w14:val="tx1"/>
            </w14:solidFill>
          </w14:textFill>
        </w:rPr>
      </w:pPr>
    </w:p>
    <w:p w14:paraId="5A62C7C2">
      <w:pPr>
        <w:ind w:firstLine="480"/>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根据采购项目内容，投标时按招标文件要求提供</w:t>
      </w:r>
      <w:r>
        <w:rPr>
          <w:rFonts w:hint="eastAsia" w:ascii="宋体" w:hAnsi="宋体"/>
          <w:color w:val="000000" w:themeColor="text1"/>
          <w14:textFill>
            <w14:solidFill>
              <w14:schemeClr w14:val="tx1"/>
            </w14:solidFill>
          </w14:textFill>
        </w:rPr>
        <w:t>服务提供商的相关资质、相关认证和投标人认为有必要提供的其他资格证明文件等材料。</w:t>
      </w:r>
    </w:p>
    <w:p w14:paraId="2FE9E195">
      <w:pPr>
        <w:tabs>
          <w:tab w:val="left" w:pos="168"/>
        </w:tabs>
        <w:adjustRightInd w:val="0"/>
        <w:ind w:firstLine="480"/>
        <w:textAlignment w:val="baseline"/>
        <w:rPr>
          <w:rFonts w:ascii="宋体" w:hAnsi="宋体"/>
          <w:color w:val="000000" w:themeColor="text1"/>
          <w14:textFill>
            <w14:solidFill>
              <w14:schemeClr w14:val="tx1"/>
            </w14:solidFill>
          </w14:textFill>
        </w:rPr>
      </w:pPr>
    </w:p>
    <w:p w14:paraId="3D5F89A8">
      <w:pPr>
        <w:rPr>
          <w:rFonts w:ascii="宋体" w:hAnsi="宋体"/>
          <w:bCs/>
          <w:color w:val="000000" w:themeColor="text1"/>
          <w14:textFill>
            <w14:solidFill>
              <w14:schemeClr w14:val="tx1"/>
            </w14:solidFill>
          </w14:textFill>
        </w:rPr>
      </w:pPr>
    </w:p>
    <w:p w14:paraId="2DF1DB34">
      <w:pPr>
        <w:widowControl/>
        <w:snapToGrid w:val="0"/>
        <w:spacing w:line="360" w:lineRule="auto"/>
        <w:outlineLvl w:val="1"/>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173" w:name="_Toc82527716"/>
      <w:bookmarkStart w:id="174" w:name="_Toc500754532"/>
      <w:bookmarkStart w:id="175" w:name="_Toc376936780"/>
      <w:bookmarkStart w:id="176" w:name="_Toc365019586"/>
      <w:bookmarkStart w:id="177" w:name="_Toc325726045"/>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6</w:t>
      </w:r>
      <w:r>
        <w:rPr>
          <w:rFonts w:hint="eastAsia" w:ascii="宋体"/>
          <w:b/>
          <w:color w:val="000000" w:themeColor="text1"/>
          <w:sz w:val="28"/>
          <w:szCs w:val="28"/>
          <w14:textFill>
            <w14:solidFill>
              <w14:schemeClr w14:val="tx1"/>
            </w14:solidFill>
          </w14:textFill>
        </w:rPr>
        <w:t>：</w:t>
      </w:r>
      <w:bookmarkEnd w:id="173"/>
      <w:bookmarkEnd w:id="174"/>
      <w:r>
        <w:rPr>
          <w:rFonts w:hint="eastAsia" w:ascii="宋体"/>
          <w:b/>
          <w:color w:val="000000" w:themeColor="text1"/>
          <w:sz w:val="28"/>
          <w:szCs w:val="28"/>
          <w14:textFill>
            <w14:solidFill>
              <w14:schemeClr w14:val="tx1"/>
            </w14:solidFill>
          </w14:textFill>
        </w:rPr>
        <w:t>投标产品相关资料</w:t>
      </w:r>
    </w:p>
    <w:p w14:paraId="59E15600">
      <w:pPr>
        <w:ind w:firstLine="7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w:t>
      </w:r>
    </w:p>
    <w:bookmarkEnd w:id="175"/>
    <w:bookmarkEnd w:id="176"/>
    <w:bookmarkEnd w:id="177"/>
    <w:p w14:paraId="15BB70B5">
      <w:pPr>
        <w:ind w:firstLine="2909" w:firstLineChars="805"/>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投标产品相关资料</w:t>
      </w:r>
    </w:p>
    <w:p w14:paraId="2F0BEDFE">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color w:val="000000"/>
          <w:kern w:val="0"/>
          <w:lang w:val="zh-CN"/>
        </w:rPr>
        <w:t>厂家公开发布的资料参数</w:t>
      </w:r>
      <w:r>
        <w:rPr>
          <w:rFonts w:hint="eastAsia" w:ascii="宋体" w:hAnsi="宋体"/>
          <w:bCs/>
        </w:rPr>
        <w:t>）等相关资料。</w:t>
      </w:r>
    </w:p>
    <w:p w14:paraId="261B0CCC">
      <w:pPr>
        <w:widowControl/>
        <w:snapToGrid w:val="0"/>
        <w:spacing w:line="360" w:lineRule="auto"/>
        <w:ind w:firstLine="0" w:firstLineChars="0"/>
        <w:outlineLvl w:val="1"/>
        <w:rPr>
          <w:rFonts w:hint="eastAsia" w:ascii="宋体"/>
          <w:b/>
          <w:color w:val="000000"/>
          <w:sz w:val="28"/>
          <w:szCs w:val="28"/>
        </w:rPr>
      </w:pPr>
      <w:r>
        <w:rPr>
          <w:rFonts w:ascii="宋体" w:hAnsi="宋体"/>
          <w:color w:val="000000" w:themeColor="text1"/>
          <w14:textFill>
            <w14:solidFill>
              <w14:schemeClr w14:val="tx1"/>
            </w14:solidFill>
          </w14:textFill>
        </w:rPr>
        <w:br w:type="page"/>
      </w:r>
      <w:bookmarkStart w:id="178" w:name="_Toc67558617"/>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7</w:t>
      </w:r>
      <w:r>
        <w:rPr>
          <w:rFonts w:hint="eastAsia" w:ascii="宋体"/>
          <w:b/>
          <w:color w:val="000000" w:themeColor="text1"/>
          <w:sz w:val="28"/>
          <w:szCs w:val="28"/>
          <w14:textFill>
            <w14:solidFill>
              <w14:schemeClr w14:val="tx1"/>
            </w14:solidFill>
          </w14:textFill>
        </w:rPr>
        <w:t>：</w:t>
      </w:r>
      <w:bookmarkEnd w:id="178"/>
      <w:r>
        <w:rPr>
          <w:rFonts w:hint="eastAsia" w:ascii="宋体"/>
          <w:b/>
          <w:sz w:val="28"/>
          <w:szCs w:val="28"/>
        </w:rPr>
        <w:t>技术服务方案及质量保障</w:t>
      </w:r>
    </w:p>
    <w:p w14:paraId="35DF39A8">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64A2531E">
      <w:pPr>
        <w:ind w:firstLine="708" w:firstLineChars="196"/>
        <w:jc w:val="center"/>
        <w:rPr>
          <w:rFonts w:hint="eastAsia" w:ascii="宋体" w:hAnsi="宋体"/>
          <w:bCs/>
        </w:rPr>
      </w:pPr>
      <w:r>
        <w:rPr>
          <w:rFonts w:hint="eastAsia" w:ascii="宋体" w:hAnsi="宋体"/>
          <w:b/>
          <w:sz w:val="36"/>
          <w:szCs w:val="36"/>
        </w:rPr>
        <w:t>技术服务方案及质量保障</w:t>
      </w:r>
    </w:p>
    <w:p w14:paraId="1FF8E595">
      <w:pPr>
        <w:ind w:firstLine="480"/>
        <w:rPr>
          <w:rFonts w:hint="eastAsia" w:ascii="宋体" w:hAnsi="宋体"/>
          <w:bCs/>
        </w:rPr>
      </w:pPr>
    </w:p>
    <w:p w14:paraId="56388E96">
      <w:pPr>
        <w:ind w:firstLine="480"/>
        <w:rPr>
          <w:rFonts w:ascii="宋体" w:hAnsi="宋体"/>
          <w:bCs/>
        </w:rPr>
      </w:pPr>
      <w:r>
        <w:rPr>
          <w:rFonts w:hint="eastAsia" w:ascii="宋体" w:hAnsi="宋体"/>
          <w:bCs/>
        </w:rPr>
        <w:t>根据采购项目内容及评标标准，投标时提供完整的设计方案、运维方案。</w:t>
      </w:r>
    </w:p>
    <w:p w14:paraId="3FA4F13A">
      <w:pPr>
        <w:tabs>
          <w:tab w:val="left" w:pos="168"/>
        </w:tabs>
        <w:adjustRightInd w:val="0"/>
        <w:ind w:firstLine="480"/>
        <w:textAlignment w:val="baseline"/>
        <w:rPr>
          <w:rFonts w:ascii="宋体" w:hAnsi="宋体"/>
          <w:color w:val="000000" w:themeColor="text1"/>
          <w14:textFill>
            <w14:solidFill>
              <w14:schemeClr w14:val="tx1"/>
            </w14:solidFill>
          </w14:textFill>
        </w:rPr>
      </w:pPr>
    </w:p>
    <w:p w14:paraId="448A6C13">
      <w:pPr>
        <w:widowControl/>
        <w:snapToGrid w:val="0"/>
        <w:spacing w:line="360" w:lineRule="auto"/>
        <w:outlineLvl w:val="1"/>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179" w:name="_Toc460486440"/>
    </w:p>
    <w:p w14:paraId="35805945">
      <w:pPr>
        <w:widowControl/>
        <w:snapToGrid w:val="0"/>
        <w:spacing w:line="360" w:lineRule="auto"/>
        <w:outlineLvl w:val="1"/>
        <w:rPr>
          <w:rFonts w:ascii="宋体"/>
          <w:b/>
          <w:color w:val="000000" w:themeColor="text1"/>
          <w:sz w:val="28"/>
          <w:szCs w:val="28"/>
          <w14:textFill>
            <w14:solidFill>
              <w14:schemeClr w14:val="tx1"/>
            </w14:solidFill>
          </w14:textFill>
        </w:rPr>
      </w:pPr>
      <w:bookmarkStart w:id="180" w:name="_Toc82441646"/>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18</w:t>
      </w:r>
      <w:r>
        <w:rPr>
          <w:rFonts w:hint="eastAsia" w:ascii="宋体"/>
          <w:b/>
          <w:color w:val="000000" w:themeColor="text1"/>
          <w:sz w:val="28"/>
          <w:szCs w:val="28"/>
          <w14:textFill>
            <w14:solidFill>
              <w14:schemeClr w14:val="tx1"/>
            </w14:solidFill>
          </w14:textFill>
        </w:rPr>
        <w:t>：</w:t>
      </w:r>
      <w:bookmarkEnd w:id="180"/>
      <w:bookmarkStart w:id="181" w:name="_Toc116304918"/>
      <w:r>
        <w:rPr>
          <w:rFonts w:hint="eastAsia" w:ascii="宋体"/>
          <w:b/>
          <w:color w:val="000000" w:themeColor="text1"/>
          <w:sz w:val="28"/>
          <w:szCs w:val="28"/>
          <w14:textFill>
            <w14:solidFill>
              <w14:schemeClr w14:val="tx1"/>
            </w14:solidFill>
          </w14:textFill>
        </w:rPr>
        <w:t>服务相关内容</w:t>
      </w:r>
      <w:bookmarkEnd w:id="181"/>
    </w:p>
    <w:p w14:paraId="4CFE6FAB">
      <w:pPr>
        <w:ind w:firstLine="7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w:t>
      </w:r>
    </w:p>
    <w:p w14:paraId="1BDD2D0E">
      <w:pPr>
        <w:ind w:firstLine="7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服务相关内容</w:t>
      </w:r>
    </w:p>
    <w:p w14:paraId="3B66DA38">
      <w:pPr>
        <w:ind w:firstLine="480"/>
        <w:rPr>
          <w:color w:val="000000" w:themeColor="text1"/>
          <w14:textFill>
            <w14:solidFill>
              <w14:schemeClr w14:val="tx1"/>
            </w14:solidFill>
          </w14:textFill>
        </w:rPr>
      </w:pPr>
    </w:p>
    <w:p w14:paraId="09B2D1E7">
      <w:pPr>
        <w:ind w:firstLine="480"/>
        <w:rPr>
          <w:rFonts w:ascii="宋体" w:hAnsi="宋体"/>
          <w:color w:val="000000"/>
        </w:rPr>
      </w:pPr>
      <w:r>
        <w:rPr>
          <w:rFonts w:hint="eastAsia" w:ascii="宋体" w:hAnsi="宋体"/>
          <w:color w:val="000000"/>
        </w:rPr>
        <w:t>按照招标文件评标标准中的相关要求，提供服务人员配置（表附后）。</w:t>
      </w:r>
    </w:p>
    <w:p w14:paraId="66B5A4F3">
      <w:pPr>
        <w:ind w:firstLine="480"/>
        <w:rPr>
          <w:rFonts w:hint="eastAsia" w:ascii="宋体" w:hAnsi="宋体"/>
          <w:color w:val="000000"/>
        </w:rPr>
      </w:pPr>
      <w:r>
        <w:rPr>
          <w:rFonts w:hint="eastAsia" w:ascii="宋体" w:hAnsi="宋体"/>
          <w:color w:val="000000"/>
        </w:rPr>
        <w:t>1、服务相关内容；</w:t>
      </w:r>
    </w:p>
    <w:p w14:paraId="401DAA2C">
      <w:pPr>
        <w:ind w:firstLine="480"/>
        <w:rPr>
          <w:rFonts w:hint="eastAsia" w:ascii="宋体" w:hAnsi="宋体"/>
          <w:color w:val="000000"/>
        </w:rPr>
      </w:pPr>
      <w:r>
        <w:rPr>
          <w:rFonts w:hint="eastAsia" w:ascii="宋体" w:hAnsi="宋体"/>
          <w:color w:val="000000"/>
        </w:rPr>
        <w:t>2、服务人员配置（表附后）；</w:t>
      </w:r>
    </w:p>
    <w:p w14:paraId="7393108D">
      <w:pPr>
        <w:ind w:firstLine="480"/>
        <w:rPr>
          <w:rFonts w:ascii="宋体" w:hAnsi="宋体"/>
          <w:color w:val="000000"/>
        </w:rPr>
      </w:pPr>
      <w:r>
        <w:rPr>
          <w:rFonts w:hint="eastAsia" w:ascii="宋体" w:hAnsi="宋体"/>
          <w:color w:val="000000"/>
        </w:rPr>
        <w:t>3、售后服务及相关承诺。</w:t>
      </w:r>
    </w:p>
    <w:p w14:paraId="06028E2E">
      <w:pPr>
        <w:ind w:firstLine="480"/>
        <w:rPr>
          <w:rFonts w:ascii="宋体" w:hAnsi="宋体"/>
          <w:color w:val="000000" w:themeColor="text1"/>
          <w14:textFill>
            <w14:solidFill>
              <w14:schemeClr w14:val="tx1"/>
            </w14:solidFill>
          </w14:textFill>
        </w:rPr>
      </w:pPr>
    </w:p>
    <w:p w14:paraId="42558435">
      <w:pPr>
        <w:ind w:firstLine="480"/>
        <w:rPr>
          <w:rFonts w:ascii="宋体" w:hAnsi="宋体"/>
          <w:color w:val="000000" w:themeColor="text1"/>
          <w14:textFill>
            <w14:solidFill>
              <w14:schemeClr w14:val="tx1"/>
            </w14:solidFill>
          </w14:textFill>
        </w:rPr>
      </w:pPr>
    </w:p>
    <w:p w14:paraId="3547EAD7">
      <w:pPr>
        <w:ind w:firstLine="480"/>
        <w:rPr>
          <w:rFonts w:ascii="宋体" w:hAnsi="宋体"/>
          <w:color w:val="000000" w:themeColor="text1"/>
          <w14:textFill>
            <w14:solidFill>
              <w14:schemeClr w14:val="tx1"/>
            </w14:solidFill>
          </w14:textFill>
        </w:rPr>
      </w:pPr>
    </w:p>
    <w:p w14:paraId="0DCD3309">
      <w:pPr>
        <w:ind w:firstLine="480"/>
        <w:rPr>
          <w:rFonts w:ascii="宋体" w:hAnsi="宋体"/>
          <w:color w:val="000000" w:themeColor="text1"/>
          <w14:textFill>
            <w14:solidFill>
              <w14:schemeClr w14:val="tx1"/>
            </w14:solidFill>
          </w14:textFill>
        </w:rPr>
      </w:pPr>
    </w:p>
    <w:p w14:paraId="45CA131A">
      <w:pPr>
        <w:ind w:firstLine="480"/>
        <w:rPr>
          <w:rFonts w:ascii="宋体" w:hAnsi="宋体"/>
          <w:color w:val="000000" w:themeColor="text1"/>
          <w14:textFill>
            <w14:solidFill>
              <w14:schemeClr w14:val="tx1"/>
            </w14:solidFill>
          </w14:textFill>
        </w:rPr>
      </w:pPr>
    </w:p>
    <w:p w14:paraId="06F0E4D7">
      <w:pPr>
        <w:ind w:firstLine="480"/>
        <w:rPr>
          <w:rFonts w:ascii="宋体" w:hAnsi="宋体"/>
          <w:color w:val="000000" w:themeColor="text1"/>
          <w14:textFill>
            <w14:solidFill>
              <w14:schemeClr w14:val="tx1"/>
            </w14:solidFill>
          </w14:textFill>
        </w:rPr>
      </w:pPr>
    </w:p>
    <w:p w14:paraId="607D1252">
      <w:pPr>
        <w:ind w:firstLine="480"/>
        <w:rPr>
          <w:rFonts w:ascii="宋体" w:hAnsi="宋体"/>
          <w:color w:val="000000" w:themeColor="text1"/>
          <w14:textFill>
            <w14:solidFill>
              <w14:schemeClr w14:val="tx1"/>
            </w14:solidFill>
          </w14:textFill>
        </w:rPr>
      </w:pPr>
    </w:p>
    <w:p w14:paraId="69D691CE">
      <w:pPr>
        <w:ind w:firstLine="480"/>
        <w:rPr>
          <w:rFonts w:ascii="宋体" w:hAnsi="宋体"/>
          <w:color w:val="000000" w:themeColor="text1"/>
          <w14:textFill>
            <w14:solidFill>
              <w14:schemeClr w14:val="tx1"/>
            </w14:solidFill>
          </w14:textFill>
        </w:rPr>
      </w:pPr>
    </w:p>
    <w:p w14:paraId="7E80D478">
      <w:pPr>
        <w:ind w:firstLine="480"/>
        <w:rPr>
          <w:rFonts w:ascii="宋体" w:hAnsi="宋体"/>
          <w:color w:val="000000" w:themeColor="text1"/>
          <w14:textFill>
            <w14:solidFill>
              <w14:schemeClr w14:val="tx1"/>
            </w14:solidFill>
          </w14:textFill>
        </w:rPr>
      </w:pPr>
    </w:p>
    <w:p w14:paraId="1D0E643D">
      <w:pPr>
        <w:ind w:firstLine="480"/>
        <w:rPr>
          <w:rFonts w:ascii="宋体" w:hAnsi="宋体"/>
          <w:color w:val="000000" w:themeColor="text1"/>
          <w14:textFill>
            <w14:solidFill>
              <w14:schemeClr w14:val="tx1"/>
            </w14:solidFill>
          </w14:textFill>
        </w:rPr>
      </w:pPr>
    </w:p>
    <w:p w14:paraId="38980BC7">
      <w:pPr>
        <w:ind w:firstLine="480"/>
        <w:rPr>
          <w:rFonts w:ascii="宋体" w:hAnsi="宋体"/>
          <w:color w:val="000000" w:themeColor="text1"/>
          <w14:textFill>
            <w14:solidFill>
              <w14:schemeClr w14:val="tx1"/>
            </w14:solidFill>
          </w14:textFill>
        </w:rPr>
      </w:pPr>
    </w:p>
    <w:p w14:paraId="0FD214FB">
      <w:pPr>
        <w:ind w:firstLine="480"/>
        <w:rPr>
          <w:rFonts w:ascii="宋体" w:hAnsi="宋体"/>
          <w:color w:val="000000" w:themeColor="text1"/>
          <w14:textFill>
            <w14:solidFill>
              <w14:schemeClr w14:val="tx1"/>
            </w14:solidFill>
          </w14:textFill>
        </w:rPr>
      </w:pPr>
    </w:p>
    <w:p w14:paraId="4D59A25D">
      <w:pPr>
        <w:ind w:firstLine="480"/>
        <w:rPr>
          <w:rFonts w:ascii="宋体" w:hAnsi="宋体"/>
          <w:color w:val="000000" w:themeColor="text1"/>
          <w14:textFill>
            <w14:solidFill>
              <w14:schemeClr w14:val="tx1"/>
            </w14:solidFill>
          </w14:textFill>
        </w:rPr>
      </w:pPr>
    </w:p>
    <w:p w14:paraId="644B36DA">
      <w:pPr>
        <w:ind w:firstLine="480"/>
        <w:rPr>
          <w:rFonts w:ascii="宋体" w:hAnsi="宋体"/>
          <w:color w:val="000000" w:themeColor="text1"/>
          <w14:textFill>
            <w14:solidFill>
              <w14:schemeClr w14:val="tx1"/>
            </w14:solidFill>
          </w14:textFill>
        </w:rPr>
      </w:pPr>
    </w:p>
    <w:p w14:paraId="54B0E936">
      <w:pPr>
        <w:ind w:firstLine="480"/>
        <w:rPr>
          <w:rFonts w:ascii="宋体" w:hAnsi="宋体"/>
          <w:color w:val="000000" w:themeColor="text1"/>
          <w14:textFill>
            <w14:solidFill>
              <w14:schemeClr w14:val="tx1"/>
            </w14:solidFill>
          </w14:textFill>
        </w:rPr>
      </w:pPr>
    </w:p>
    <w:p w14:paraId="68E8428D">
      <w:pPr>
        <w:ind w:firstLine="480"/>
        <w:rPr>
          <w:rFonts w:ascii="宋体" w:hAnsi="宋体"/>
          <w:color w:val="000000" w:themeColor="text1"/>
          <w14:textFill>
            <w14:solidFill>
              <w14:schemeClr w14:val="tx1"/>
            </w14:solidFill>
          </w14:textFill>
        </w:rPr>
      </w:pPr>
    </w:p>
    <w:p w14:paraId="15E0A767">
      <w:pPr>
        <w:ind w:firstLine="480"/>
        <w:rPr>
          <w:rFonts w:ascii="宋体" w:hAnsi="宋体"/>
          <w:color w:val="000000" w:themeColor="text1"/>
          <w14:textFill>
            <w14:solidFill>
              <w14:schemeClr w14:val="tx1"/>
            </w14:solidFill>
          </w14:textFill>
        </w:rPr>
      </w:pPr>
    </w:p>
    <w:p w14:paraId="4BF98F4C">
      <w:pPr>
        <w:ind w:firstLine="480"/>
        <w:rPr>
          <w:rFonts w:ascii="宋体" w:hAnsi="宋体"/>
          <w:color w:val="000000" w:themeColor="text1"/>
          <w14:textFill>
            <w14:solidFill>
              <w14:schemeClr w14:val="tx1"/>
            </w14:solidFill>
          </w14:textFill>
        </w:rPr>
      </w:pPr>
    </w:p>
    <w:p w14:paraId="54CED6DB">
      <w:pPr>
        <w:ind w:firstLine="480"/>
        <w:rPr>
          <w:rFonts w:ascii="宋体" w:hAnsi="宋体"/>
          <w:color w:val="000000" w:themeColor="text1"/>
          <w14:textFill>
            <w14:solidFill>
              <w14:schemeClr w14:val="tx1"/>
            </w14:solidFill>
          </w14:textFill>
        </w:rPr>
      </w:pPr>
    </w:p>
    <w:p w14:paraId="02B640A1">
      <w:pPr>
        <w:ind w:firstLine="480"/>
        <w:rPr>
          <w:rFonts w:ascii="宋体" w:hAnsi="宋体"/>
          <w:color w:val="000000" w:themeColor="text1"/>
          <w14:textFill>
            <w14:solidFill>
              <w14:schemeClr w14:val="tx1"/>
            </w14:solidFill>
          </w14:textFill>
        </w:rPr>
      </w:pPr>
    </w:p>
    <w:p w14:paraId="0C107ED2">
      <w:pPr>
        <w:ind w:firstLine="480"/>
        <w:rPr>
          <w:rFonts w:ascii="宋体" w:hAnsi="宋体"/>
          <w:color w:val="000000" w:themeColor="text1"/>
          <w14:textFill>
            <w14:solidFill>
              <w14:schemeClr w14:val="tx1"/>
            </w14:solidFill>
          </w14:textFill>
        </w:rPr>
      </w:pPr>
    </w:p>
    <w:p w14:paraId="11873490">
      <w:pPr>
        <w:ind w:firstLine="480"/>
        <w:rPr>
          <w:rFonts w:ascii="宋体" w:hAnsi="宋体"/>
          <w:color w:val="000000" w:themeColor="text1"/>
          <w14:textFill>
            <w14:solidFill>
              <w14:schemeClr w14:val="tx1"/>
            </w14:solidFill>
          </w14:textFill>
        </w:rPr>
      </w:pPr>
    </w:p>
    <w:p w14:paraId="4B9B4075">
      <w:pPr>
        <w:ind w:firstLine="480"/>
        <w:rPr>
          <w:rFonts w:ascii="宋体" w:hAnsi="宋体"/>
          <w:color w:val="000000" w:themeColor="text1"/>
          <w14:textFill>
            <w14:solidFill>
              <w14:schemeClr w14:val="tx1"/>
            </w14:solidFill>
          </w14:textFill>
        </w:rPr>
      </w:pPr>
    </w:p>
    <w:p w14:paraId="069512A7">
      <w:pPr>
        <w:ind w:firstLine="480"/>
        <w:rPr>
          <w:rFonts w:ascii="宋体" w:hAnsi="宋体"/>
          <w:color w:val="000000" w:themeColor="text1"/>
          <w14:textFill>
            <w14:solidFill>
              <w14:schemeClr w14:val="tx1"/>
            </w14:solidFill>
          </w14:textFill>
        </w:rPr>
      </w:pPr>
    </w:p>
    <w:p w14:paraId="0F2A6AA4">
      <w:pPr>
        <w:ind w:firstLine="480"/>
        <w:rPr>
          <w:rFonts w:ascii="宋体" w:hAnsi="宋体"/>
          <w:color w:val="000000" w:themeColor="text1"/>
          <w14:textFill>
            <w14:solidFill>
              <w14:schemeClr w14:val="tx1"/>
            </w14:solidFill>
          </w14:textFill>
        </w:rPr>
      </w:pPr>
    </w:p>
    <w:p w14:paraId="5D9F4640">
      <w:pPr>
        <w:ind w:firstLine="480"/>
        <w:rPr>
          <w:rFonts w:ascii="宋体" w:hAnsi="宋体"/>
          <w:color w:val="000000" w:themeColor="text1"/>
          <w14:textFill>
            <w14:solidFill>
              <w14:schemeClr w14:val="tx1"/>
            </w14:solidFill>
          </w14:textFill>
        </w:rPr>
      </w:pPr>
    </w:p>
    <w:p w14:paraId="1B9F4A86">
      <w:pPr>
        <w:ind w:firstLine="480"/>
        <w:rPr>
          <w:rFonts w:ascii="宋体" w:hAnsi="宋体"/>
          <w:color w:val="000000" w:themeColor="text1"/>
          <w14:textFill>
            <w14:solidFill>
              <w14:schemeClr w14:val="tx1"/>
            </w14:solidFill>
          </w14:textFill>
        </w:rPr>
      </w:pPr>
    </w:p>
    <w:p w14:paraId="6C417BA8">
      <w:pPr>
        <w:ind w:firstLine="480"/>
        <w:rPr>
          <w:rFonts w:ascii="宋体" w:hAnsi="宋体"/>
          <w:color w:val="000000" w:themeColor="text1"/>
          <w14:textFill>
            <w14:solidFill>
              <w14:schemeClr w14:val="tx1"/>
            </w14:solidFill>
          </w14:textFill>
        </w:rPr>
      </w:pPr>
    </w:p>
    <w:p w14:paraId="08CBF743">
      <w:pPr>
        <w:ind w:firstLine="480"/>
        <w:rPr>
          <w:rFonts w:ascii="宋体" w:hAnsi="宋体"/>
          <w:color w:val="000000" w:themeColor="text1"/>
          <w14:textFill>
            <w14:solidFill>
              <w14:schemeClr w14:val="tx1"/>
            </w14:solidFill>
          </w14:textFill>
        </w:rPr>
      </w:pPr>
    </w:p>
    <w:p w14:paraId="7E44BCCC">
      <w:pPr>
        <w:ind w:firstLine="480"/>
        <w:rPr>
          <w:rFonts w:ascii="宋体" w:hAnsi="宋体"/>
          <w:color w:val="000000" w:themeColor="text1"/>
          <w14:textFill>
            <w14:solidFill>
              <w14:schemeClr w14:val="tx1"/>
            </w14:solidFill>
          </w14:textFill>
        </w:rPr>
      </w:pPr>
    </w:p>
    <w:p w14:paraId="7B2EAB3D">
      <w:pPr>
        <w:ind w:firstLine="480"/>
        <w:rPr>
          <w:rFonts w:ascii="宋体" w:hAnsi="宋体"/>
          <w:color w:val="000000" w:themeColor="text1"/>
          <w14:textFill>
            <w14:solidFill>
              <w14:schemeClr w14:val="tx1"/>
            </w14:solidFill>
          </w14:textFill>
        </w:rPr>
      </w:pPr>
    </w:p>
    <w:p w14:paraId="343202FF">
      <w:pPr>
        <w:ind w:firstLine="480"/>
        <w:rPr>
          <w:rFonts w:ascii="宋体" w:hAnsi="宋体"/>
          <w:color w:val="000000" w:themeColor="text1"/>
          <w14:textFill>
            <w14:solidFill>
              <w14:schemeClr w14:val="tx1"/>
            </w14:solidFill>
          </w14:textFill>
        </w:rPr>
      </w:pPr>
    </w:p>
    <w:p w14:paraId="4A155BA5">
      <w:pPr>
        <w:ind w:firstLine="480"/>
        <w:rPr>
          <w:rFonts w:ascii="宋体" w:hAnsi="宋体"/>
          <w:color w:val="000000" w:themeColor="text1"/>
          <w14:textFill>
            <w14:solidFill>
              <w14:schemeClr w14:val="tx1"/>
            </w14:solidFill>
          </w14:textFill>
        </w:rPr>
      </w:pPr>
    </w:p>
    <w:p w14:paraId="3DF6FE59">
      <w:pPr>
        <w:ind w:firstLine="480"/>
        <w:rPr>
          <w:rFonts w:ascii="宋体" w:hAnsi="宋体"/>
          <w:color w:val="000000" w:themeColor="text1"/>
          <w14:textFill>
            <w14:solidFill>
              <w14:schemeClr w14:val="tx1"/>
            </w14:solidFill>
          </w14:textFill>
        </w:rPr>
      </w:pPr>
    </w:p>
    <w:p w14:paraId="249D5DA7">
      <w:pPr>
        <w:ind w:firstLine="480"/>
        <w:rPr>
          <w:rFonts w:ascii="宋体" w:hAnsi="宋体"/>
          <w:color w:val="000000" w:themeColor="text1"/>
          <w14:textFill>
            <w14:solidFill>
              <w14:schemeClr w14:val="tx1"/>
            </w14:solidFill>
          </w14:textFill>
        </w:rPr>
      </w:pPr>
    </w:p>
    <w:p w14:paraId="00570661">
      <w:pPr>
        <w:ind w:firstLine="482"/>
        <w:jc w:val="center"/>
        <w:rPr>
          <w:b/>
          <w:color w:val="000000" w:themeColor="text1"/>
          <w14:textFill>
            <w14:solidFill>
              <w14:schemeClr w14:val="tx1"/>
            </w14:solidFill>
          </w14:textFill>
        </w:rPr>
      </w:pPr>
    </w:p>
    <w:p w14:paraId="44AC823F">
      <w:pPr>
        <w:ind w:firstLine="482"/>
        <w:jc w:val="center"/>
        <w:rPr>
          <w:b/>
          <w:color w:val="000000" w:themeColor="text1"/>
          <w14:textFill>
            <w14:solidFill>
              <w14:schemeClr w14:val="tx1"/>
            </w14:solidFill>
          </w14:textFill>
        </w:rPr>
      </w:pPr>
    </w:p>
    <w:p w14:paraId="144DA002">
      <w:pPr>
        <w:ind w:firstLine="482"/>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（一）项目负责人基本情况表</w:t>
      </w:r>
    </w:p>
    <w:p w14:paraId="105EC93A">
      <w:pPr>
        <w:rPr>
          <w:b/>
          <w:color w:val="000000" w:themeColor="text1"/>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430"/>
        <w:gridCol w:w="770"/>
        <w:gridCol w:w="741"/>
        <w:gridCol w:w="719"/>
        <w:gridCol w:w="415"/>
        <w:gridCol w:w="1145"/>
        <w:gridCol w:w="414"/>
        <w:gridCol w:w="1895"/>
        <w:gridCol w:w="11"/>
      </w:tblGrid>
      <w:tr w14:paraId="640E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89" w:hRule="atLeast"/>
          <w:jc w:val="center"/>
        </w:trPr>
        <w:tc>
          <w:tcPr>
            <w:tcW w:w="1997" w:type="dxa"/>
            <w:vAlign w:val="center"/>
          </w:tcPr>
          <w:p w14:paraId="7DA3F6A5">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姓名</w:t>
            </w:r>
          </w:p>
        </w:tc>
        <w:tc>
          <w:tcPr>
            <w:tcW w:w="1200" w:type="dxa"/>
            <w:gridSpan w:val="2"/>
            <w:vAlign w:val="center"/>
          </w:tcPr>
          <w:p w14:paraId="2918FE2A">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741" w:type="dxa"/>
            <w:vAlign w:val="center"/>
          </w:tcPr>
          <w:p w14:paraId="3B20FDDF">
            <w:pPr>
              <w:widowControl/>
              <w:spacing w:before="100" w:beforeAutospacing="1" w:after="100" w:afterAutospacing="1" w:line="345" w:lineRule="atLeast"/>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性别</w:t>
            </w:r>
          </w:p>
        </w:tc>
        <w:tc>
          <w:tcPr>
            <w:tcW w:w="1134" w:type="dxa"/>
            <w:gridSpan w:val="2"/>
            <w:vAlign w:val="center"/>
          </w:tcPr>
          <w:p w14:paraId="5ACFFDF8">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1559" w:type="dxa"/>
            <w:gridSpan w:val="2"/>
            <w:vAlign w:val="center"/>
          </w:tcPr>
          <w:p w14:paraId="70BC67D5">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出生日期</w:t>
            </w:r>
          </w:p>
        </w:tc>
        <w:tc>
          <w:tcPr>
            <w:tcW w:w="1895" w:type="dxa"/>
            <w:vAlign w:val="center"/>
          </w:tcPr>
          <w:p w14:paraId="63EDEE2D">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r>
      <w:tr w14:paraId="53CF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54" w:hRule="atLeast"/>
          <w:jc w:val="center"/>
        </w:trPr>
        <w:tc>
          <w:tcPr>
            <w:tcW w:w="1997" w:type="dxa"/>
            <w:vAlign w:val="center"/>
          </w:tcPr>
          <w:p w14:paraId="721A14BF">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毕业院校及专业</w:t>
            </w:r>
          </w:p>
        </w:tc>
        <w:tc>
          <w:tcPr>
            <w:tcW w:w="3075" w:type="dxa"/>
            <w:gridSpan w:val="5"/>
            <w:vAlign w:val="center"/>
          </w:tcPr>
          <w:p w14:paraId="29DCBA99">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1559" w:type="dxa"/>
            <w:gridSpan w:val="2"/>
            <w:vAlign w:val="center"/>
          </w:tcPr>
          <w:p w14:paraId="195EA848">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学历</w:t>
            </w:r>
          </w:p>
        </w:tc>
        <w:tc>
          <w:tcPr>
            <w:tcW w:w="1895" w:type="dxa"/>
            <w:vAlign w:val="center"/>
          </w:tcPr>
          <w:p w14:paraId="2D4F810C">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r>
      <w:tr w14:paraId="3869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8" w:hRule="atLeast"/>
          <w:jc w:val="center"/>
        </w:trPr>
        <w:tc>
          <w:tcPr>
            <w:tcW w:w="1997" w:type="dxa"/>
            <w:vAlign w:val="center"/>
          </w:tcPr>
          <w:p w14:paraId="25F98043">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从事本专业时间</w:t>
            </w:r>
          </w:p>
        </w:tc>
        <w:tc>
          <w:tcPr>
            <w:tcW w:w="3075" w:type="dxa"/>
            <w:gridSpan w:val="5"/>
            <w:vAlign w:val="center"/>
          </w:tcPr>
          <w:p w14:paraId="49EDA99C">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1559" w:type="dxa"/>
            <w:gridSpan w:val="2"/>
            <w:vAlign w:val="center"/>
          </w:tcPr>
          <w:p w14:paraId="7DB77E60">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为投标人工作时间</w:t>
            </w:r>
          </w:p>
        </w:tc>
        <w:tc>
          <w:tcPr>
            <w:tcW w:w="1895" w:type="dxa"/>
            <w:vAlign w:val="center"/>
          </w:tcPr>
          <w:p w14:paraId="5A7E5D84">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r>
      <w:tr w14:paraId="3D47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70" w:hRule="atLeast"/>
          <w:jc w:val="center"/>
        </w:trPr>
        <w:tc>
          <w:tcPr>
            <w:tcW w:w="1997" w:type="dxa"/>
            <w:vAlign w:val="center"/>
          </w:tcPr>
          <w:p w14:paraId="738B3D26">
            <w:pPr>
              <w:widowControl/>
              <w:spacing w:line="280" w:lineRule="exac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职务</w:t>
            </w:r>
          </w:p>
        </w:tc>
        <w:tc>
          <w:tcPr>
            <w:tcW w:w="3075" w:type="dxa"/>
            <w:gridSpan w:val="5"/>
            <w:vAlign w:val="center"/>
          </w:tcPr>
          <w:p w14:paraId="1EC32FA7">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1559" w:type="dxa"/>
            <w:gridSpan w:val="2"/>
            <w:vAlign w:val="center"/>
          </w:tcPr>
          <w:p w14:paraId="0B2D8017">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职称</w:t>
            </w:r>
          </w:p>
        </w:tc>
        <w:tc>
          <w:tcPr>
            <w:tcW w:w="1895" w:type="dxa"/>
            <w:vAlign w:val="center"/>
          </w:tcPr>
          <w:p w14:paraId="0549A644">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r>
      <w:tr w14:paraId="1804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35" w:hRule="atLeast"/>
          <w:jc w:val="center"/>
        </w:trPr>
        <w:tc>
          <w:tcPr>
            <w:tcW w:w="1997" w:type="dxa"/>
            <w:vAlign w:val="center"/>
          </w:tcPr>
          <w:p w14:paraId="42CBD0BC">
            <w:pPr>
              <w:widowControl/>
              <w:spacing w:line="280" w:lineRule="exac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在本项目中主要负责内容</w:t>
            </w:r>
          </w:p>
        </w:tc>
        <w:tc>
          <w:tcPr>
            <w:tcW w:w="6529" w:type="dxa"/>
            <w:gridSpan w:val="8"/>
            <w:vAlign w:val="center"/>
          </w:tcPr>
          <w:p w14:paraId="7F8389D5">
            <w:pPr>
              <w:widowControl/>
              <w:spacing w:before="100" w:beforeAutospacing="1" w:after="100" w:afterAutospacing="1" w:line="345" w:lineRule="atLeast"/>
              <w:rPr>
                <w:rFonts w:ascii="宋体" w:hAnsi="宋体" w:cs="宋体"/>
                <w:color w:val="000000" w:themeColor="text1"/>
                <w:kern w:val="0"/>
                <w:szCs w:val="28"/>
                <w14:textFill>
                  <w14:solidFill>
                    <w14:schemeClr w14:val="tx1"/>
                  </w14:solidFill>
                </w14:textFill>
              </w:rPr>
            </w:pPr>
          </w:p>
        </w:tc>
      </w:tr>
      <w:tr w14:paraId="4168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97" w:type="dxa"/>
            <w:vMerge w:val="restart"/>
            <w:vAlign w:val="center"/>
          </w:tcPr>
          <w:p w14:paraId="05248EBE">
            <w:pPr>
              <w:widowControl/>
              <w:spacing w:line="280" w:lineRule="exac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主要成果</w:t>
            </w:r>
          </w:p>
        </w:tc>
        <w:tc>
          <w:tcPr>
            <w:tcW w:w="430" w:type="dxa"/>
            <w:vAlign w:val="center"/>
          </w:tcPr>
          <w:p w14:paraId="68AE7A9B">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1</w:t>
            </w:r>
          </w:p>
        </w:tc>
        <w:tc>
          <w:tcPr>
            <w:tcW w:w="2230" w:type="dxa"/>
            <w:gridSpan w:val="3"/>
            <w:vAlign w:val="center"/>
          </w:tcPr>
          <w:p w14:paraId="0090FB2B">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项目名称及规模</w:t>
            </w:r>
          </w:p>
        </w:tc>
        <w:tc>
          <w:tcPr>
            <w:tcW w:w="1560" w:type="dxa"/>
            <w:gridSpan w:val="2"/>
            <w:vAlign w:val="center"/>
          </w:tcPr>
          <w:p w14:paraId="04F56006">
            <w:pPr>
              <w:widowControl/>
              <w:spacing w:before="100" w:beforeAutospacing="1" w:after="100" w:afterAutospacing="1" w:line="345" w:lineRule="atLeast"/>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完成年月</w:t>
            </w:r>
          </w:p>
        </w:tc>
        <w:tc>
          <w:tcPr>
            <w:tcW w:w="2320" w:type="dxa"/>
            <w:gridSpan w:val="3"/>
            <w:vAlign w:val="center"/>
          </w:tcPr>
          <w:p w14:paraId="0F7865CD">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在该项目中任何职</w:t>
            </w:r>
          </w:p>
        </w:tc>
      </w:tr>
      <w:tr w14:paraId="531A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97" w:type="dxa"/>
            <w:vMerge w:val="continue"/>
            <w:vAlign w:val="center"/>
          </w:tcPr>
          <w:p w14:paraId="0EE7E0D5">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430" w:type="dxa"/>
            <w:vAlign w:val="center"/>
          </w:tcPr>
          <w:p w14:paraId="7229A175">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2</w:t>
            </w:r>
          </w:p>
        </w:tc>
        <w:tc>
          <w:tcPr>
            <w:tcW w:w="2230" w:type="dxa"/>
            <w:gridSpan w:val="3"/>
            <w:vAlign w:val="center"/>
          </w:tcPr>
          <w:p w14:paraId="1FC39945">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1560" w:type="dxa"/>
            <w:gridSpan w:val="2"/>
            <w:vAlign w:val="center"/>
          </w:tcPr>
          <w:p w14:paraId="30B48D20">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2320" w:type="dxa"/>
            <w:gridSpan w:val="3"/>
            <w:vAlign w:val="center"/>
          </w:tcPr>
          <w:p w14:paraId="0E142D70">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r>
      <w:tr w14:paraId="3F3D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97" w:type="dxa"/>
            <w:vMerge w:val="continue"/>
            <w:vAlign w:val="center"/>
          </w:tcPr>
          <w:p w14:paraId="1B926454">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430" w:type="dxa"/>
            <w:vAlign w:val="center"/>
          </w:tcPr>
          <w:p w14:paraId="1EEABE8A">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3</w:t>
            </w:r>
          </w:p>
        </w:tc>
        <w:tc>
          <w:tcPr>
            <w:tcW w:w="2230" w:type="dxa"/>
            <w:gridSpan w:val="3"/>
            <w:vAlign w:val="center"/>
          </w:tcPr>
          <w:p w14:paraId="01E16F75">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1560" w:type="dxa"/>
            <w:gridSpan w:val="2"/>
            <w:vAlign w:val="center"/>
          </w:tcPr>
          <w:p w14:paraId="19C84E47">
            <w:pPr>
              <w:widowControl/>
              <w:spacing w:before="100" w:beforeAutospacing="1" w:after="100" w:afterAutospacing="1" w:line="345" w:lineRule="atLeast"/>
              <w:rPr>
                <w:rFonts w:ascii="宋体" w:hAnsi="宋体" w:cs="宋体"/>
                <w:color w:val="000000" w:themeColor="text1"/>
                <w:kern w:val="0"/>
                <w:szCs w:val="28"/>
                <w14:textFill>
                  <w14:solidFill>
                    <w14:schemeClr w14:val="tx1"/>
                  </w14:solidFill>
                </w14:textFill>
              </w:rPr>
            </w:pPr>
          </w:p>
        </w:tc>
        <w:tc>
          <w:tcPr>
            <w:tcW w:w="2320" w:type="dxa"/>
            <w:gridSpan w:val="3"/>
            <w:vAlign w:val="center"/>
          </w:tcPr>
          <w:p w14:paraId="0CDE4690">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r>
      <w:tr w14:paraId="31BD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97" w:type="dxa"/>
            <w:vMerge w:val="continue"/>
            <w:vAlign w:val="center"/>
          </w:tcPr>
          <w:p w14:paraId="0EB1BD52">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430" w:type="dxa"/>
            <w:vAlign w:val="center"/>
          </w:tcPr>
          <w:p w14:paraId="1E478356">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4</w:t>
            </w:r>
          </w:p>
        </w:tc>
        <w:tc>
          <w:tcPr>
            <w:tcW w:w="2230" w:type="dxa"/>
            <w:gridSpan w:val="3"/>
            <w:vAlign w:val="center"/>
          </w:tcPr>
          <w:p w14:paraId="2327D1E7">
            <w:pPr>
              <w:widowControl/>
              <w:spacing w:before="100" w:beforeAutospacing="1" w:after="100" w:afterAutospacing="1" w:line="345" w:lineRule="atLeast"/>
              <w:rPr>
                <w:rFonts w:ascii="宋体" w:hAnsi="宋体" w:cs="宋体"/>
                <w:color w:val="000000" w:themeColor="text1"/>
                <w:kern w:val="0"/>
                <w:szCs w:val="28"/>
                <w14:textFill>
                  <w14:solidFill>
                    <w14:schemeClr w14:val="tx1"/>
                  </w14:solidFill>
                </w14:textFill>
              </w:rPr>
            </w:pPr>
          </w:p>
        </w:tc>
        <w:tc>
          <w:tcPr>
            <w:tcW w:w="1560" w:type="dxa"/>
            <w:gridSpan w:val="2"/>
            <w:vAlign w:val="center"/>
          </w:tcPr>
          <w:p w14:paraId="429B4203">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2320" w:type="dxa"/>
            <w:gridSpan w:val="3"/>
            <w:vAlign w:val="center"/>
          </w:tcPr>
          <w:p w14:paraId="1CB2ADC9">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r>
      <w:tr w14:paraId="04F5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97" w:type="dxa"/>
            <w:vMerge w:val="continue"/>
            <w:vAlign w:val="center"/>
          </w:tcPr>
          <w:p w14:paraId="68D81947">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430" w:type="dxa"/>
            <w:vAlign w:val="center"/>
          </w:tcPr>
          <w:p w14:paraId="7CCE9536">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5</w:t>
            </w:r>
          </w:p>
        </w:tc>
        <w:tc>
          <w:tcPr>
            <w:tcW w:w="2230" w:type="dxa"/>
            <w:gridSpan w:val="3"/>
            <w:vAlign w:val="center"/>
          </w:tcPr>
          <w:p w14:paraId="04EBF721">
            <w:pPr>
              <w:widowControl/>
              <w:spacing w:before="100" w:beforeAutospacing="1" w:after="100" w:afterAutospacing="1" w:line="345" w:lineRule="atLeast"/>
              <w:rPr>
                <w:rFonts w:ascii="宋体" w:hAnsi="宋体" w:cs="宋体"/>
                <w:color w:val="000000" w:themeColor="text1"/>
                <w:kern w:val="0"/>
                <w:szCs w:val="28"/>
                <w14:textFill>
                  <w14:solidFill>
                    <w14:schemeClr w14:val="tx1"/>
                  </w14:solidFill>
                </w14:textFill>
              </w:rPr>
            </w:pPr>
          </w:p>
        </w:tc>
        <w:tc>
          <w:tcPr>
            <w:tcW w:w="1560" w:type="dxa"/>
            <w:gridSpan w:val="2"/>
            <w:vAlign w:val="center"/>
          </w:tcPr>
          <w:p w14:paraId="1C60EA07">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c>
          <w:tcPr>
            <w:tcW w:w="2320" w:type="dxa"/>
            <w:gridSpan w:val="3"/>
            <w:vAlign w:val="center"/>
          </w:tcPr>
          <w:p w14:paraId="75692B4A">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p>
        </w:tc>
      </w:tr>
      <w:tr w14:paraId="7A79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319" w:hRule="atLeast"/>
          <w:jc w:val="center"/>
        </w:trPr>
        <w:tc>
          <w:tcPr>
            <w:tcW w:w="1997" w:type="dxa"/>
            <w:vAlign w:val="center"/>
          </w:tcPr>
          <w:p w14:paraId="24335694">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技术职称</w:t>
            </w:r>
          </w:p>
          <w:p w14:paraId="39669AB3">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（资质证书）</w:t>
            </w:r>
          </w:p>
        </w:tc>
        <w:tc>
          <w:tcPr>
            <w:tcW w:w="6529" w:type="dxa"/>
            <w:gridSpan w:val="8"/>
            <w:vAlign w:val="center"/>
          </w:tcPr>
          <w:p w14:paraId="2E0A5E53">
            <w:pPr>
              <w:widowControl/>
              <w:spacing w:before="100" w:beforeAutospacing="1" w:after="100" w:afterAutospacing="1" w:line="345" w:lineRule="atLeast"/>
              <w:rPr>
                <w:rFonts w:ascii="宋体" w:hAnsi="宋体" w:cs="宋体"/>
                <w:color w:val="000000" w:themeColor="text1"/>
                <w:kern w:val="0"/>
                <w:szCs w:val="28"/>
                <w14:textFill>
                  <w14:solidFill>
                    <w14:schemeClr w14:val="tx1"/>
                  </w14:solidFill>
                </w14:textFill>
              </w:rPr>
            </w:pPr>
          </w:p>
        </w:tc>
      </w:tr>
      <w:tr w14:paraId="06CA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58" w:hRule="atLeast"/>
          <w:jc w:val="center"/>
        </w:trPr>
        <w:tc>
          <w:tcPr>
            <w:tcW w:w="1997" w:type="dxa"/>
            <w:vAlign w:val="center"/>
          </w:tcPr>
          <w:p w14:paraId="349001DE">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获奖情况</w:t>
            </w:r>
          </w:p>
        </w:tc>
        <w:tc>
          <w:tcPr>
            <w:tcW w:w="6529" w:type="dxa"/>
            <w:gridSpan w:val="8"/>
            <w:vAlign w:val="center"/>
          </w:tcPr>
          <w:p w14:paraId="0185AE88">
            <w:pPr>
              <w:widowControl/>
              <w:spacing w:before="100" w:beforeAutospacing="1" w:after="100" w:afterAutospacing="1" w:line="345" w:lineRule="atLeast"/>
              <w:rPr>
                <w:rFonts w:ascii="宋体" w:hAnsi="宋体" w:cs="宋体"/>
                <w:color w:val="000000" w:themeColor="text1"/>
                <w:kern w:val="0"/>
                <w:szCs w:val="28"/>
                <w14:textFill>
                  <w14:solidFill>
                    <w14:schemeClr w14:val="tx1"/>
                  </w14:solidFill>
                </w14:textFill>
              </w:rPr>
            </w:pPr>
          </w:p>
        </w:tc>
      </w:tr>
      <w:tr w14:paraId="3C04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088" w:hRule="atLeast"/>
          <w:jc w:val="center"/>
        </w:trPr>
        <w:tc>
          <w:tcPr>
            <w:tcW w:w="1997" w:type="dxa"/>
            <w:vAlign w:val="center"/>
          </w:tcPr>
          <w:p w14:paraId="2BAE9EC8">
            <w:pPr>
              <w:widowControl/>
              <w:spacing w:before="100" w:beforeAutospacing="1" w:after="100" w:afterAutospacing="1" w:line="345" w:lineRule="atLeast"/>
              <w:jc w:val="center"/>
              <w:rPr>
                <w:rFonts w:ascii="宋体" w:hAnsi="宋体" w:cs="宋体"/>
                <w:color w:val="000000" w:themeColor="text1"/>
                <w:kern w:val="0"/>
                <w:szCs w:val="28"/>
                <w14:textFill>
                  <w14:solidFill>
                    <w14:schemeClr w14:val="tx1"/>
                  </w14:solidFill>
                </w14:textFill>
              </w:rPr>
            </w:pPr>
            <w:r>
              <w:rPr>
                <w:rFonts w:hint="eastAsia" w:ascii="宋体" w:hAnsi="宋体" w:cs="宋体"/>
                <w:color w:val="000000" w:themeColor="text1"/>
                <w:kern w:val="0"/>
                <w:szCs w:val="28"/>
                <w14:textFill>
                  <w14:solidFill>
                    <w14:schemeClr w14:val="tx1"/>
                  </w14:solidFill>
                </w14:textFill>
              </w:rPr>
              <w:t>备注</w:t>
            </w:r>
          </w:p>
        </w:tc>
        <w:tc>
          <w:tcPr>
            <w:tcW w:w="6529" w:type="dxa"/>
            <w:gridSpan w:val="8"/>
            <w:vAlign w:val="center"/>
          </w:tcPr>
          <w:p w14:paraId="14658239">
            <w:pPr>
              <w:widowControl/>
              <w:spacing w:before="100" w:beforeAutospacing="1" w:after="100" w:afterAutospacing="1" w:line="345" w:lineRule="atLeast"/>
              <w:rPr>
                <w:rFonts w:ascii="宋体" w:hAnsi="宋体" w:cs="宋体"/>
                <w:color w:val="000000" w:themeColor="text1"/>
                <w:kern w:val="0"/>
                <w:szCs w:val="28"/>
                <w14:textFill>
                  <w14:solidFill>
                    <w14:schemeClr w14:val="tx1"/>
                  </w14:solidFill>
                </w14:textFill>
              </w:rPr>
            </w:pPr>
          </w:p>
        </w:tc>
      </w:tr>
    </w:tbl>
    <w:p w14:paraId="1EB53B27">
      <w:pPr>
        <w:spacing w:line="38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注：1.本表按照“运维人员资格要求”分别填写。</w:t>
      </w:r>
    </w:p>
    <w:p w14:paraId="3E86CA83">
      <w:pPr>
        <w:spacing w:line="380" w:lineRule="exact"/>
        <w:ind w:firstLine="84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随本表提供社保缴纳证明、劳务合同、身份证、资格证书及相关证明材料等证明资料。未提供证明材料、相关人员专业与本项目无关或职业人员资格证上的工作单位非投标单位（工作单位变动，资格证正在变更中的，需提供相关管理部门出具的变更证明材料；如各人员所属不同公司之间存在隶属关系，请提供公司关系证明文件并加盖公章。）的不计入有效范围。</w:t>
      </w:r>
    </w:p>
    <w:p w14:paraId="0C954282">
      <w:pPr>
        <w:ind w:firstLine="480"/>
        <w:rPr>
          <w:rFonts w:ascii="宋体" w:hAnsi="宋体"/>
          <w:color w:val="000000" w:themeColor="text1"/>
          <w14:textFill>
            <w14:solidFill>
              <w14:schemeClr w14:val="tx1"/>
            </w14:solidFill>
          </w14:textFill>
        </w:rPr>
      </w:pPr>
    </w:p>
    <w:p w14:paraId="2C44668B">
      <w:pPr>
        <w:ind w:firstLine="482"/>
        <w:jc w:val="center"/>
        <w:rPr>
          <w:b/>
          <w:color w:val="000000" w:themeColor="text1"/>
          <w14:textFill>
            <w14:solidFill>
              <w14:schemeClr w14:val="tx1"/>
            </w14:solidFill>
          </w14:textFill>
        </w:rPr>
      </w:pPr>
    </w:p>
    <w:p w14:paraId="29CD6F86">
      <w:pPr>
        <w:rPr>
          <w:b/>
          <w:color w:val="000000" w:themeColor="text1"/>
          <w14:textFill>
            <w14:solidFill>
              <w14:schemeClr w14:val="tx1"/>
            </w14:solidFill>
          </w14:textFill>
        </w:rPr>
      </w:pPr>
    </w:p>
    <w:p w14:paraId="05FA781F">
      <w:pPr>
        <w:ind w:firstLine="482"/>
        <w:jc w:val="center"/>
        <w:rPr>
          <w:b/>
          <w:color w:val="000000" w:themeColor="text1"/>
          <w14:textFill>
            <w14:solidFill>
              <w14:schemeClr w14:val="tx1"/>
            </w14:solidFill>
          </w14:textFill>
        </w:rPr>
      </w:pPr>
    </w:p>
    <w:p w14:paraId="23AD8A59">
      <w:pPr>
        <w:ind w:firstLine="482"/>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（二）拟投入项目工作人员汇总表</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560"/>
        <w:gridCol w:w="1701"/>
      </w:tblGrid>
      <w:tr w14:paraId="06CF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14:paraId="5412D260">
            <w:pPr>
              <w:widowControl/>
              <w:spacing w:before="100" w:beforeAutospacing="1" w:after="100" w:afterAutospacing="1" w:line="345" w:lineRule="atLeast"/>
              <w:jc w:val="center"/>
              <w:rPr>
                <w:rFonts w:ascii="宋体" w:hAnsi="宋体" w:cs="宋体"/>
                <w:b/>
                <w:color w:val="000000" w:themeColor="text1"/>
                <w:kern w:val="0"/>
                <w14:textFill>
                  <w14:solidFill>
                    <w14:schemeClr w14:val="tx1"/>
                  </w14:solidFill>
                </w14:textFill>
              </w:rPr>
            </w:pPr>
            <w:r>
              <w:rPr>
                <w:rFonts w:hint="eastAsia" w:ascii="宋体" w:hAnsi="宋体"/>
                <w:b/>
                <w:color w:val="000000" w:themeColor="text1"/>
                <w14:textFill>
                  <w14:solidFill>
                    <w14:schemeClr w14:val="tx1"/>
                  </w14:solidFill>
                </w14:textFill>
              </w:rPr>
              <w:t>项目工作人员总数</w:t>
            </w:r>
          </w:p>
        </w:tc>
        <w:tc>
          <w:tcPr>
            <w:tcW w:w="6379" w:type="dxa"/>
            <w:gridSpan w:val="5"/>
            <w:vAlign w:val="center"/>
          </w:tcPr>
          <w:p w14:paraId="08ED3A4E">
            <w:pPr>
              <w:widowControl/>
              <w:spacing w:before="100" w:beforeAutospacing="1" w:after="100" w:afterAutospacing="1" w:line="345" w:lineRule="atLeast"/>
              <w:jc w:val="center"/>
              <w:rPr>
                <w:rFonts w:ascii="宋体" w:hAnsi="宋体" w:cs="宋体"/>
                <w:b/>
                <w:color w:val="000000" w:themeColor="text1"/>
                <w:kern w:val="0"/>
                <w14:textFill>
                  <w14:solidFill>
                    <w14:schemeClr w14:val="tx1"/>
                  </w14:solidFill>
                </w14:textFill>
              </w:rPr>
            </w:pPr>
          </w:p>
        </w:tc>
      </w:tr>
      <w:tr w14:paraId="7223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14:paraId="59302736">
            <w:pPr>
              <w:widowControl/>
              <w:spacing w:before="100" w:beforeAutospacing="1" w:after="100" w:afterAutospacing="1" w:line="345" w:lineRule="atLeast"/>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序号</w:t>
            </w:r>
          </w:p>
        </w:tc>
        <w:tc>
          <w:tcPr>
            <w:tcW w:w="840" w:type="dxa"/>
            <w:vAlign w:val="center"/>
          </w:tcPr>
          <w:p w14:paraId="736ABCB4">
            <w:pPr>
              <w:widowControl/>
              <w:spacing w:before="100" w:beforeAutospacing="1" w:after="100" w:afterAutospacing="1" w:line="345" w:lineRule="atLeast"/>
              <w:ind w:firstLine="19" w:firstLineChars="9"/>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姓名</w:t>
            </w:r>
          </w:p>
        </w:tc>
        <w:tc>
          <w:tcPr>
            <w:tcW w:w="992" w:type="dxa"/>
            <w:vAlign w:val="center"/>
          </w:tcPr>
          <w:p w14:paraId="68C131C7">
            <w:pPr>
              <w:widowControl/>
              <w:spacing w:before="100" w:beforeAutospacing="1" w:after="100" w:afterAutospacing="1" w:line="345" w:lineRule="atLeast"/>
              <w:ind w:firstLine="27" w:firstLineChars="13"/>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性别</w:t>
            </w:r>
          </w:p>
        </w:tc>
        <w:tc>
          <w:tcPr>
            <w:tcW w:w="1276" w:type="dxa"/>
            <w:vAlign w:val="center"/>
          </w:tcPr>
          <w:p w14:paraId="1D43736F">
            <w:pPr>
              <w:widowControl/>
              <w:spacing w:before="100" w:beforeAutospacing="1" w:after="100" w:afterAutospacing="1" w:line="345" w:lineRule="atLeast"/>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出生日期</w:t>
            </w:r>
          </w:p>
        </w:tc>
        <w:tc>
          <w:tcPr>
            <w:tcW w:w="930" w:type="dxa"/>
            <w:vAlign w:val="center"/>
          </w:tcPr>
          <w:p w14:paraId="734DC341">
            <w:pPr>
              <w:widowControl/>
              <w:spacing w:before="100" w:beforeAutospacing="1" w:after="100" w:afterAutospacing="1" w:line="345" w:lineRule="atLeast"/>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学历</w:t>
            </w:r>
          </w:p>
        </w:tc>
        <w:tc>
          <w:tcPr>
            <w:tcW w:w="912" w:type="dxa"/>
            <w:vAlign w:val="center"/>
          </w:tcPr>
          <w:p w14:paraId="4E62D93D">
            <w:pPr>
              <w:widowControl/>
              <w:spacing w:before="100" w:beforeAutospacing="1" w:after="100" w:afterAutospacing="1" w:line="345" w:lineRule="atLeast"/>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专业</w:t>
            </w:r>
          </w:p>
        </w:tc>
        <w:tc>
          <w:tcPr>
            <w:tcW w:w="1560" w:type="dxa"/>
            <w:vAlign w:val="center"/>
          </w:tcPr>
          <w:p w14:paraId="3BEE45AB">
            <w:pPr>
              <w:widowControl/>
              <w:spacing w:before="100" w:beforeAutospacing="1" w:after="100" w:afterAutospacing="1" w:line="345" w:lineRule="atLeast"/>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技术职称</w:t>
            </w:r>
          </w:p>
          <w:p w14:paraId="39558972">
            <w:pPr>
              <w:widowControl/>
              <w:spacing w:before="100" w:beforeAutospacing="1" w:after="100" w:afterAutospacing="1" w:line="345" w:lineRule="atLeast"/>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（资质证书）</w:t>
            </w:r>
          </w:p>
        </w:tc>
        <w:tc>
          <w:tcPr>
            <w:tcW w:w="1701" w:type="dxa"/>
            <w:vAlign w:val="center"/>
          </w:tcPr>
          <w:p w14:paraId="51B5D277">
            <w:pPr>
              <w:widowControl/>
              <w:spacing w:before="100" w:beforeAutospacing="1" w:after="100" w:afterAutospacing="1" w:line="345" w:lineRule="atLeast"/>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在本项目中主要负责工作</w:t>
            </w:r>
          </w:p>
        </w:tc>
      </w:tr>
      <w:tr w14:paraId="18A2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14:paraId="1B86D175">
            <w:pPr>
              <w:widowControl/>
              <w:spacing w:before="100" w:beforeAutospacing="1" w:after="100" w:afterAutospacing="1" w:line="345" w:lineRule="atLeas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840" w:type="dxa"/>
            <w:vAlign w:val="center"/>
          </w:tcPr>
          <w:p w14:paraId="783C9035">
            <w:pPr>
              <w:widowControl/>
              <w:spacing w:before="100" w:beforeAutospacing="1" w:after="100" w:afterAutospacing="1" w:line="345" w:lineRule="atLeast"/>
              <w:ind w:firstLine="18" w:firstLineChars="9"/>
              <w:jc w:val="center"/>
              <w:rPr>
                <w:rFonts w:ascii="宋体" w:hAnsi="宋体" w:cs="宋体"/>
                <w:color w:val="000000" w:themeColor="text1"/>
                <w:kern w:val="0"/>
                <w14:textFill>
                  <w14:solidFill>
                    <w14:schemeClr w14:val="tx1"/>
                  </w14:solidFill>
                </w14:textFill>
              </w:rPr>
            </w:pPr>
          </w:p>
        </w:tc>
        <w:tc>
          <w:tcPr>
            <w:tcW w:w="992" w:type="dxa"/>
            <w:vAlign w:val="center"/>
          </w:tcPr>
          <w:p w14:paraId="5EF8D25B">
            <w:pPr>
              <w:widowControl/>
              <w:spacing w:before="100" w:beforeAutospacing="1" w:after="100" w:afterAutospacing="1" w:line="345" w:lineRule="atLeast"/>
              <w:ind w:firstLine="27" w:firstLineChars="13"/>
              <w:jc w:val="center"/>
              <w:rPr>
                <w:rFonts w:ascii="宋体" w:hAnsi="宋体" w:cs="宋体"/>
                <w:color w:val="000000" w:themeColor="text1"/>
                <w:kern w:val="0"/>
                <w14:textFill>
                  <w14:solidFill>
                    <w14:schemeClr w14:val="tx1"/>
                  </w14:solidFill>
                </w14:textFill>
              </w:rPr>
            </w:pPr>
          </w:p>
        </w:tc>
        <w:tc>
          <w:tcPr>
            <w:tcW w:w="1276" w:type="dxa"/>
            <w:vAlign w:val="center"/>
          </w:tcPr>
          <w:p w14:paraId="37B861A3">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30" w:type="dxa"/>
            <w:vAlign w:val="center"/>
          </w:tcPr>
          <w:p w14:paraId="6A894222">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12" w:type="dxa"/>
            <w:vAlign w:val="center"/>
          </w:tcPr>
          <w:p w14:paraId="3BB5F19B">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560" w:type="dxa"/>
            <w:vAlign w:val="center"/>
          </w:tcPr>
          <w:p w14:paraId="13C045E6">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701" w:type="dxa"/>
            <w:vAlign w:val="center"/>
          </w:tcPr>
          <w:p w14:paraId="451C5B33">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r>
      <w:tr w14:paraId="280B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14:paraId="093223C5">
            <w:pPr>
              <w:widowControl/>
              <w:spacing w:before="100" w:beforeAutospacing="1" w:after="100" w:afterAutospacing="1" w:line="345" w:lineRule="atLeas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840" w:type="dxa"/>
            <w:vAlign w:val="center"/>
          </w:tcPr>
          <w:p w14:paraId="57713B47">
            <w:pPr>
              <w:widowControl/>
              <w:spacing w:before="100" w:beforeAutospacing="1" w:after="100" w:afterAutospacing="1" w:line="345" w:lineRule="atLeast"/>
              <w:ind w:firstLine="18" w:firstLineChars="9"/>
              <w:jc w:val="center"/>
              <w:rPr>
                <w:rFonts w:ascii="宋体" w:hAnsi="宋体" w:cs="宋体"/>
                <w:color w:val="000000" w:themeColor="text1"/>
                <w:kern w:val="0"/>
                <w14:textFill>
                  <w14:solidFill>
                    <w14:schemeClr w14:val="tx1"/>
                  </w14:solidFill>
                </w14:textFill>
              </w:rPr>
            </w:pPr>
          </w:p>
        </w:tc>
        <w:tc>
          <w:tcPr>
            <w:tcW w:w="992" w:type="dxa"/>
            <w:vAlign w:val="center"/>
          </w:tcPr>
          <w:p w14:paraId="01538A07">
            <w:pPr>
              <w:widowControl/>
              <w:spacing w:before="100" w:beforeAutospacing="1" w:after="100" w:afterAutospacing="1" w:line="345" w:lineRule="atLeast"/>
              <w:ind w:firstLine="27" w:firstLineChars="13"/>
              <w:jc w:val="center"/>
              <w:rPr>
                <w:rFonts w:ascii="宋体" w:hAnsi="宋体" w:cs="宋体"/>
                <w:color w:val="000000" w:themeColor="text1"/>
                <w:kern w:val="0"/>
                <w14:textFill>
                  <w14:solidFill>
                    <w14:schemeClr w14:val="tx1"/>
                  </w14:solidFill>
                </w14:textFill>
              </w:rPr>
            </w:pPr>
          </w:p>
        </w:tc>
        <w:tc>
          <w:tcPr>
            <w:tcW w:w="1276" w:type="dxa"/>
            <w:vAlign w:val="center"/>
          </w:tcPr>
          <w:p w14:paraId="19AC8E2E">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30" w:type="dxa"/>
            <w:vAlign w:val="center"/>
          </w:tcPr>
          <w:p w14:paraId="08C1D316">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12" w:type="dxa"/>
            <w:vAlign w:val="center"/>
          </w:tcPr>
          <w:p w14:paraId="50F3DA5B">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560" w:type="dxa"/>
            <w:vAlign w:val="center"/>
          </w:tcPr>
          <w:p w14:paraId="42CC65D4">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701" w:type="dxa"/>
            <w:vAlign w:val="center"/>
          </w:tcPr>
          <w:p w14:paraId="2F048C17">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r>
      <w:tr w14:paraId="0F3A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14:paraId="6C9E2199">
            <w:pPr>
              <w:widowControl/>
              <w:spacing w:before="100" w:beforeAutospacing="1" w:after="100" w:afterAutospacing="1" w:line="345" w:lineRule="atLeas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840" w:type="dxa"/>
            <w:vAlign w:val="center"/>
          </w:tcPr>
          <w:p w14:paraId="773049A7">
            <w:pPr>
              <w:widowControl/>
              <w:spacing w:before="100" w:beforeAutospacing="1" w:after="100" w:afterAutospacing="1" w:line="345" w:lineRule="atLeast"/>
              <w:ind w:firstLine="18" w:firstLineChars="9"/>
              <w:jc w:val="center"/>
              <w:rPr>
                <w:rFonts w:ascii="宋体" w:hAnsi="宋体" w:cs="宋体"/>
                <w:color w:val="000000" w:themeColor="text1"/>
                <w:kern w:val="0"/>
                <w14:textFill>
                  <w14:solidFill>
                    <w14:schemeClr w14:val="tx1"/>
                  </w14:solidFill>
                </w14:textFill>
              </w:rPr>
            </w:pPr>
          </w:p>
        </w:tc>
        <w:tc>
          <w:tcPr>
            <w:tcW w:w="992" w:type="dxa"/>
            <w:vAlign w:val="center"/>
          </w:tcPr>
          <w:p w14:paraId="2453DC2E">
            <w:pPr>
              <w:widowControl/>
              <w:spacing w:before="100" w:beforeAutospacing="1" w:after="100" w:afterAutospacing="1" w:line="345" w:lineRule="atLeast"/>
              <w:ind w:firstLine="27" w:firstLineChars="13"/>
              <w:jc w:val="center"/>
              <w:rPr>
                <w:rFonts w:ascii="宋体" w:hAnsi="宋体" w:cs="宋体"/>
                <w:color w:val="000000" w:themeColor="text1"/>
                <w:kern w:val="0"/>
                <w14:textFill>
                  <w14:solidFill>
                    <w14:schemeClr w14:val="tx1"/>
                  </w14:solidFill>
                </w14:textFill>
              </w:rPr>
            </w:pPr>
          </w:p>
        </w:tc>
        <w:tc>
          <w:tcPr>
            <w:tcW w:w="1276" w:type="dxa"/>
            <w:vAlign w:val="center"/>
          </w:tcPr>
          <w:p w14:paraId="2D58903C">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30" w:type="dxa"/>
            <w:vAlign w:val="center"/>
          </w:tcPr>
          <w:p w14:paraId="08CF39A9">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12" w:type="dxa"/>
            <w:vAlign w:val="center"/>
          </w:tcPr>
          <w:p w14:paraId="798EB118">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560" w:type="dxa"/>
            <w:vAlign w:val="center"/>
          </w:tcPr>
          <w:p w14:paraId="367AC0D8">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701" w:type="dxa"/>
            <w:vAlign w:val="center"/>
          </w:tcPr>
          <w:p w14:paraId="3254A23A">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r>
      <w:tr w14:paraId="0EB5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421784F7">
            <w:pPr>
              <w:widowControl/>
              <w:spacing w:before="100" w:beforeAutospacing="1" w:after="100" w:afterAutospacing="1" w:line="345" w:lineRule="atLeas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p>
        </w:tc>
        <w:tc>
          <w:tcPr>
            <w:tcW w:w="840" w:type="dxa"/>
            <w:vAlign w:val="center"/>
          </w:tcPr>
          <w:p w14:paraId="01E64FB8">
            <w:pPr>
              <w:widowControl/>
              <w:spacing w:before="100" w:beforeAutospacing="1" w:after="100" w:afterAutospacing="1" w:line="345" w:lineRule="atLeast"/>
              <w:ind w:firstLine="18" w:firstLineChars="9"/>
              <w:jc w:val="center"/>
              <w:rPr>
                <w:rFonts w:ascii="宋体" w:hAnsi="宋体" w:cs="宋体"/>
                <w:color w:val="000000" w:themeColor="text1"/>
                <w:kern w:val="0"/>
                <w14:textFill>
                  <w14:solidFill>
                    <w14:schemeClr w14:val="tx1"/>
                  </w14:solidFill>
                </w14:textFill>
              </w:rPr>
            </w:pPr>
          </w:p>
        </w:tc>
        <w:tc>
          <w:tcPr>
            <w:tcW w:w="992" w:type="dxa"/>
            <w:vAlign w:val="center"/>
          </w:tcPr>
          <w:p w14:paraId="1C69E5E6">
            <w:pPr>
              <w:widowControl/>
              <w:spacing w:before="100" w:beforeAutospacing="1" w:after="100" w:afterAutospacing="1" w:line="345" w:lineRule="atLeast"/>
              <w:ind w:firstLine="27" w:firstLineChars="13"/>
              <w:jc w:val="center"/>
              <w:rPr>
                <w:rFonts w:ascii="宋体" w:hAnsi="宋体" w:cs="宋体"/>
                <w:color w:val="000000" w:themeColor="text1"/>
                <w:kern w:val="0"/>
                <w14:textFill>
                  <w14:solidFill>
                    <w14:schemeClr w14:val="tx1"/>
                  </w14:solidFill>
                </w14:textFill>
              </w:rPr>
            </w:pPr>
          </w:p>
        </w:tc>
        <w:tc>
          <w:tcPr>
            <w:tcW w:w="1276" w:type="dxa"/>
            <w:vAlign w:val="center"/>
          </w:tcPr>
          <w:p w14:paraId="238884A0">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30" w:type="dxa"/>
            <w:vAlign w:val="center"/>
          </w:tcPr>
          <w:p w14:paraId="0D2D9F81">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12" w:type="dxa"/>
            <w:vAlign w:val="center"/>
          </w:tcPr>
          <w:p w14:paraId="6124DFAC">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560" w:type="dxa"/>
            <w:vAlign w:val="center"/>
          </w:tcPr>
          <w:p w14:paraId="1AAE1F7C">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701" w:type="dxa"/>
            <w:vAlign w:val="center"/>
          </w:tcPr>
          <w:p w14:paraId="0322AD10">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r>
      <w:tr w14:paraId="0F5E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14:paraId="65C59452">
            <w:pPr>
              <w:widowControl/>
              <w:spacing w:before="100" w:beforeAutospacing="1" w:after="100" w:afterAutospacing="1" w:line="345" w:lineRule="atLeas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p>
        </w:tc>
        <w:tc>
          <w:tcPr>
            <w:tcW w:w="840" w:type="dxa"/>
            <w:vAlign w:val="center"/>
          </w:tcPr>
          <w:p w14:paraId="6E99CAAB">
            <w:pPr>
              <w:widowControl/>
              <w:spacing w:before="100" w:beforeAutospacing="1" w:after="100" w:afterAutospacing="1" w:line="345" w:lineRule="atLeast"/>
              <w:ind w:firstLine="18" w:firstLineChars="9"/>
              <w:jc w:val="center"/>
              <w:rPr>
                <w:rFonts w:ascii="宋体" w:hAnsi="宋体" w:cs="宋体"/>
                <w:color w:val="000000" w:themeColor="text1"/>
                <w:kern w:val="0"/>
                <w14:textFill>
                  <w14:solidFill>
                    <w14:schemeClr w14:val="tx1"/>
                  </w14:solidFill>
                </w14:textFill>
              </w:rPr>
            </w:pPr>
          </w:p>
        </w:tc>
        <w:tc>
          <w:tcPr>
            <w:tcW w:w="992" w:type="dxa"/>
            <w:vAlign w:val="center"/>
          </w:tcPr>
          <w:p w14:paraId="7F4BD9EF">
            <w:pPr>
              <w:widowControl/>
              <w:spacing w:before="100" w:beforeAutospacing="1" w:after="100" w:afterAutospacing="1" w:line="345" w:lineRule="atLeast"/>
              <w:ind w:firstLine="27" w:firstLineChars="13"/>
              <w:jc w:val="center"/>
              <w:rPr>
                <w:rFonts w:ascii="宋体" w:hAnsi="宋体" w:cs="宋体"/>
                <w:color w:val="000000" w:themeColor="text1"/>
                <w:kern w:val="0"/>
                <w14:textFill>
                  <w14:solidFill>
                    <w14:schemeClr w14:val="tx1"/>
                  </w14:solidFill>
                </w14:textFill>
              </w:rPr>
            </w:pPr>
          </w:p>
        </w:tc>
        <w:tc>
          <w:tcPr>
            <w:tcW w:w="1276" w:type="dxa"/>
            <w:vAlign w:val="center"/>
          </w:tcPr>
          <w:p w14:paraId="033EC7F3">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30" w:type="dxa"/>
            <w:vAlign w:val="center"/>
          </w:tcPr>
          <w:p w14:paraId="77CC0834">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12" w:type="dxa"/>
            <w:vAlign w:val="center"/>
          </w:tcPr>
          <w:p w14:paraId="778C6861">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560" w:type="dxa"/>
            <w:vAlign w:val="center"/>
          </w:tcPr>
          <w:p w14:paraId="0853DD88">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701" w:type="dxa"/>
            <w:vAlign w:val="center"/>
          </w:tcPr>
          <w:p w14:paraId="0FC73637">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r>
      <w:tr w14:paraId="152F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14:paraId="44893EF4">
            <w:pPr>
              <w:widowControl/>
              <w:spacing w:before="100" w:beforeAutospacing="1" w:after="100" w:afterAutospacing="1" w:line="345" w:lineRule="atLeas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p>
        </w:tc>
        <w:tc>
          <w:tcPr>
            <w:tcW w:w="840" w:type="dxa"/>
            <w:vAlign w:val="center"/>
          </w:tcPr>
          <w:p w14:paraId="2C3DD258">
            <w:pPr>
              <w:widowControl/>
              <w:spacing w:before="100" w:beforeAutospacing="1" w:after="100" w:afterAutospacing="1" w:line="345" w:lineRule="atLeast"/>
              <w:ind w:firstLine="18" w:firstLineChars="9"/>
              <w:jc w:val="center"/>
              <w:rPr>
                <w:rFonts w:ascii="宋体" w:hAnsi="宋体" w:cs="宋体"/>
                <w:color w:val="000000" w:themeColor="text1"/>
                <w:kern w:val="0"/>
                <w14:textFill>
                  <w14:solidFill>
                    <w14:schemeClr w14:val="tx1"/>
                  </w14:solidFill>
                </w14:textFill>
              </w:rPr>
            </w:pPr>
          </w:p>
        </w:tc>
        <w:tc>
          <w:tcPr>
            <w:tcW w:w="992" w:type="dxa"/>
            <w:vAlign w:val="center"/>
          </w:tcPr>
          <w:p w14:paraId="5D9C0413">
            <w:pPr>
              <w:widowControl/>
              <w:spacing w:before="100" w:beforeAutospacing="1" w:after="100" w:afterAutospacing="1" w:line="345" w:lineRule="atLeast"/>
              <w:ind w:firstLine="27" w:firstLineChars="13"/>
              <w:jc w:val="center"/>
              <w:rPr>
                <w:rFonts w:ascii="宋体" w:hAnsi="宋体" w:cs="宋体"/>
                <w:color w:val="000000" w:themeColor="text1"/>
                <w:kern w:val="0"/>
                <w14:textFill>
                  <w14:solidFill>
                    <w14:schemeClr w14:val="tx1"/>
                  </w14:solidFill>
                </w14:textFill>
              </w:rPr>
            </w:pPr>
          </w:p>
        </w:tc>
        <w:tc>
          <w:tcPr>
            <w:tcW w:w="1276" w:type="dxa"/>
            <w:vAlign w:val="center"/>
          </w:tcPr>
          <w:p w14:paraId="1A49BB94">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30" w:type="dxa"/>
            <w:vAlign w:val="center"/>
          </w:tcPr>
          <w:p w14:paraId="2DF70B9F">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12" w:type="dxa"/>
            <w:vAlign w:val="center"/>
          </w:tcPr>
          <w:p w14:paraId="5A12CB2C">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560" w:type="dxa"/>
            <w:vAlign w:val="center"/>
          </w:tcPr>
          <w:p w14:paraId="38D56C61">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701" w:type="dxa"/>
            <w:vAlign w:val="center"/>
          </w:tcPr>
          <w:p w14:paraId="34CB7843">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r>
      <w:tr w14:paraId="3220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14:paraId="0740BB9B">
            <w:pPr>
              <w:widowControl/>
              <w:spacing w:before="100" w:beforeAutospacing="1" w:after="100" w:afterAutospacing="1" w:line="345" w:lineRule="atLeas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w:t>
            </w:r>
          </w:p>
        </w:tc>
        <w:tc>
          <w:tcPr>
            <w:tcW w:w="840" w:type="dxa"/>
            <w:vAlign w:val="center"/>
          </w:tcPr>
          <w:p w14:paraId="53AED014">
            <w:pPr>
              <w:widowControl/>
              <w:spacing w:before="100" w:beforeAutospacing="1" w:after="100" w:afterAutospacing="1" w:line="345" w:lineRule="atLeast"/>
              <w:ind w:firstLine="18" w:firstLineChars="9"/>
              <w:jc w:val="center"/>
              <w:rPr>
                <w:rFonts w:ascii="宋体" w:hAnsi="宋体" w:cs="宋体"/>
                <w:color w:val="000000" w:themeColor="text1"/>
                <w:kern w:val="0"/>
                <w14:textFill>
                  <w14:solidFill>
                    <w14:schemeClr w14:val="tx1"/>
                  </w14:solidFill>
                </w14:textFill>
              </w:rPr>
            </w:pPr>
          </w:p>
        </w:tc>
        <w:tc>
          <w:tcPr>
            <w:tcW w:w="992" w:type="dxa"/>
            <w:vAlign w:val="center"/>
          </w:tcPr>
          <w:p w14:paraId="0D829455">
            <w:pPr>
              <w:widowControl/>
              <w:spacing w:before="100" w:beforeAutospacing="1" w:after="100" w:afterAutospacing="1" w:line="345" w:lineRule="atLeast"/>
              <w:ind w:firstLine="27" w:firstLineChars="13"/>
              <w:jc w:val="center"/>
              <w:rPr>
                <w:rFonts w:ascii="宋体" w:hAnsi="宋体" w:cs="宋体"/>
                <w:color w:val="000000" w:themeColor="text1"/>
                <w:kern w:val="0"/>
                <w14:textFill>
                  <w14:solidFill>
                    <w14:schemeClr w14:val="tx1"/>
                  </w14:solidFill>
                </w14:textFill>
              </w:rPr>
            </w:pPr>
          </w:p>
        </w:tc>
        <w:tc>
          <w:tcPr>
            <w:tcW w:w="1276" w:type="dxa"/>
            <w:vAlign w:val="center"/>
          </w:tcPr>
          <w:p w14:paraId="0EBF44D1">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30" w:type="dxa"/>
            <w:vAlign w:val="center"/>
          </w:tcPr>
          <w:p w14:paraId="750B0991">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12" w:type="dxa"/>
            <w:vAlign w:val="center"/>
          </w:tcPr>
          <w:p w14:paraId="51CF68AA">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560" w:type="dxa"/>
            <w:vAlign w:val="center"/>
          </w:tcPr>
          <w:p w14:paraId="6F8297A7">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701" w:type="dxa"/>
            <w:vAlign w:val="center"/>
          </w:tcPr>
          <w:p w14:paraId="1B3C0042">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r>
      <w:tr w14:paraId="3806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14:paraId="6D15F9C1">
            <w:pPr>
              <w:widowControl/>
              <w:spacing w:before="100" w:beforeAutospacing="1" w:after="100" w:afterAutospacing="1" w:line="345" w:lineRule="atLeas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8</w:t>
            </w:r>
          </w:p>
        </w:tc>
        <w:tc>
          <w:tcPr>
            <w:tcW w:w="840" w:type="dxa"/>
            <w:vAlign w:val="center"/>
          </w:tcPr>
          <w:p w14:paraId="696B91B1">
            <w:pPr>
              <w:widowControl/>
              <w:spacing w:before="100" w:beforeAutospacing="1" w:after="100" w:afterAutospacing="1" w:line="345" w:lineRule="atLeast"/>
              <w:ind w:firstLine="18" w:firstLineChars="9"/>
              <w:jc w:val="center"/>
              <w:rPr>
                <w:rFonts w:ascii="宋体" w:hAnsi="宋体" w:cs="宋体"/>
                <w:color w:val="000000" w:themeColor="text1"/>
                <w:kern w:val="0"/>
                <w14:textFill>
                  <w14:solidFill>
                    <w14:schemeClr w14:val="tx1"/>
                  </w14:solidFill>
                </w14:textFill>
              </w:rPr>
            </w:pPr>
          </w:p>
        </w:tc>
        <w:tc>
          <w:tcPr>
            <w:tcW w:w="992" w:type="dxa"/>
            <w:vAlign w:val="center"/>
          </w:tcPr>
          <w:p w14:paraId="39D468A3">
            <w:pPr>
              <w:widowControl/>
              <w:spacing w:before="100" w:beforeAutospacing="1" w:after="100" w:afterAutospacing="1" w:line="345" w:lineRule="atLeast"/>
              <w:ind w:firstLine="27" w:firstLineChars="13"/>
              <w:jc w:val="center"/>
              <w:rPr>
                <w:rFonts w:ascii="宋体" w:hAnsi="宋体" w:cs="宋体"/>
                <w:color w:val="000000" w:themeColor="text1"/>
                <w:kern w:val="0"/>
                <w14:textFill>
                  <w14:solidFill>
                    <w14:schemeClr w14:val="tx1"/>
                  </w14:solidFill>
                </w14:textFill>
              </w:rPr>
            </w:pPr>
          </w:p>
        </w:tc>
        <w:tc>
          <w:tcPr>
            <w:tcW w:w="1276" w:type="dxa"/>
            <w:vAlign w:val="center"/>
          </w:tcPr>
          <w:p w14:paraId="4FAA7533">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30" w:type="dxa"/>
            <w:vAlign w:val="center"/>
          </w:tcPr>
          <w:p w14:paraId="424E1595">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912" w:type="dxa"/>
            <w:vAlign w:val="center"/>
          </w:tcPr>
          <w:p w14:paraId="06C4F735">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560" w:type="dxa"/>
            <w:vAlign w:val="center"/>
          </w:tcPr>
          <w:p w14:paraId="57D25D8E">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c>
          <w:tcPr>
            <w:tcW w:w="1701" w:type="dxa"/>
            <w:vAlign w:val="center"/>
          </w:tcPr>
          <w:p w14:paraId="3DAE8E5F">
            <w:pPr>
              <w:widowControl/>
              <w:spacing w:before="100" w:beforeAutospacing="1" w:after="100" w:afterAutospacing="1" w:line="345" w:lineRule="atLeast"/>
              <w:ind w:firstLine="480"/>
              <w:jc w:val="center"/>
              <w:rPr>
                <w:rFonts w:ascii="宋体" w:hAnsi="宋体" w:cs="宋体"/>
                <w:color w:val="000000" w:themeColor="text1"/>
                <w:kern w:val="0"/>
                <w14:textFill>
                  <w14:solidFill>
                    <w14:schemeClr w14:val="tx1"/>
                  </w14:solidFill>
                </w14:textFill>
              </w:rPr>
            </w:pPr>
          </w:p>
        </w:tc>
      </w:tr>
    </w:tbl>
    <w:p w14:paraId="3757031F">
      <w:pPr>
        <w:spacing w:line="380" w:lineRule="exact"/>
        <w:ind w:firstLine="480"/>
        <w:rPr>
          <w:rFonts w:ascii="宋体" w:hAnsi="宋体"/>
          <w:color w:val="000000" w:themeColor="text1"/>
          <w14:textFill>
            <w14:solidFill>
              <w14:schemeClr w14:val="tx1"/>
            </w14:solidFill>
          </w14:textFill>
        </w:rPr>
      </w:pPr>
      <w:bookmarkStart w:id="182" w:name="_Toc478396721"/>
      <w:bookmarkStart w:id="183" w:name="_Toc478482844"/>
      <w:bookmarkStart w:id="184" w:name="_Toc492973937"/>
      <w:bookmarkStart w:id="185" w:name="_Toc493753807"/>
      <w:bookmarkStart w:id="186" w:name="_Toc501444651"/>
      <w:bookmarkStart w:id="187" w:name="_Toc487816975"/>
      <w:bookmarkStart w:id="188" w:name="_Toc457229309"/>
      <w:bookmarkStart w:id="189" w:name="_Toc21732"/>
      <w:bookmarkStart w:id="190" w:name="_Toc476039519"/>
      <w:bookmarkStart w:id="191" w:name="_Toc489004471"/>
      <w:bookmarkStart w:id="192" w:name="_Toc501444775"/>
      <w:bookmarkStart w:id="193" w:name="_Toc501444975"/>
      <w:bookmarkStart w:id="194" w:name="_Toc493752348"/>
      <w:r>
        <w:rPr>
          <w:rFonts w:hint="eastAsia" w:ascii="宋体" w:hAnsi="宋体"/>
          <w:color w:val="000000" w:themeColor="text1"/>
          <w14:textFill>
            <w14:solidFill>
              <w14:schemeClr w14:val="tx1"/>
            </w14:solidFill>
          </w14:textFill>
        </w:rPr>
        <w:t>注：1. 本表按照“拟投入项目工作人员资格要求”分别填写。</w:t>
      </w:r>
    </w:p>
    <w:bookmarkEnd w:id="182"/>
    <w:bookmarkEnd w:id="183"/>
    <w:bookmarkEnd w:id="184"/>
    <w:bookmarkEnd w:id="185"/>
    <w:bookmarkEnd w:id="186"/>
    <w:bookmarkEnd w:id="187"/>
    <w:bookmarkEnd w:id="188"/>
    <w:bookmarkEnd w:id="189"/>
    <w:bookmarkEnd w:id="190"/>
    <w:bookmarkEnd w:id="191"/>
    <w:bookmarkEnd w:id="192"/>
    <w:bookmarkEnd w:id="193"/>
    <w:bookmarkEnd w:id="194"/>
    <w:p w14:paraId="2BCFBBF8">
      <w:pPr>
        <w:numPr>
          <w:ilvl w:val="0"/>
          <w:numId w:val="4"/>
        </w:num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随本表提供社保缴纳证明、劳务合同、身份证、资格证书及相关证明材料等证明资料。未提供证明材料、相关人员专业与本项目无关或职业人员资格证上的工作单位非投标单位（工作单位变动，资格证正在变更中的，需提供相关管理部门出具的变更证明材料；如各人员所属不同公司之间存在隶属关系，请提供公司关系证明文件并加盖公章。）的不计入有效范围。</w:t>
      </w:r>
    </w:p>
    <w:p w14:paraId="44342D7D">
      <w:pPr>
        <w:rPr>
          <w:rFonts w:ascii="宋体" w:hAnsi="宋体"/>
          <w:color w:val="000000" w:themeColor="text1"/>
          <w14:textFill>
            <w14:solidFill>
              <w14:schemeClr w14:val="tx1"/>
            </w14:solidFill>
          </w14:textFill>
        </w:rPr>
      </w:pPr>
    </w:p>
    <w:p w14:paraId="5058E280">
      <w:pPr>
        <w:rPr>
          <w:rFonts w:ascii="宋体" w:hAnsi="宋体"/>
          <w:color w:val="000000" w:themeColor="text1"/>
          <w14:textFill>
            <w14:solidFill>
              <w14:schemeClr w14:val="tx1"/>
            </w14:solidFill>
          </w14:textFill>
        </w:rPr>
      </w:pPr>
    </w:p>
    <w:p w14:paraId="10310D7D">
      <w:pPr>
        <w:rPr>
          <w:rFonts w:ascii="宋体" w:hAnsi="宋体"/>
          <w:color w:val="000000" w:themeColor="text1"/>
          <w14:textFill>
            <w14:solidFill>
              <w14:schemeClr w14:val="tx1"/>
            </w14:solidFill>
          </w14:textFill>
        </w:rPr>
      </w:pPr>
    </w:p>
    <w:p w14:paraId="69E650C0">
      <w:pPr>
        <w:rPr>
          <w:rFonts w:ascii="宋体" w:hAnsi="宋体"/>
          <w:color w:val="000000" w:themeColor="text1"/>
          <w14:textFill>
            <w14:solidFill>
              <w14:schemeClr w14:val="tx1"/>
            </w14:solidFill>
          </w14:textFill>
        </w:rPr>
      </w:pPr>
    </w:p>
    <w:p w14:paraId="745A9DE3">
      <w:pPr>
        <w:rPr>
          <w:rFonts w:ascii="宋体" w:hAnsi="宋体"/>
          <w:color w:val="000000" w:themeColor="text1"/>
          <w14:textFill>
            <w14:solidFill>
              <w14:schemeClr w14:val="tx1"/>
            </w14:solidFill>
          </w14:textFill>
        </w:rPr>
      </w:pPr>
    </w:p>
    <w:p w14:paraId="74EC2E8C">
      <w:pPr>
        <w:rPr>
          <w:rFonts w:ascii="宋体" w:hAnsi="宋体"/>
          <w:color w:val="000000" w:themeColor="text1"/>
          <w14:textFill>
            <w14:solidFill>
              <w14:schemeClr w14:val="tx1"/>
            </w14:solidFill>
          </w14:textFill>
        </w:rPr>
      </w:pPr>
    </w:p>
    <w:p w14:paraId="79E57C00">
      <w:pPr>
        <w:rPr>
          <w:rFonts w:ascii="宋体" w:hAnsi="宋体"/>
          <w:color w:val="000000" w:themeColor="text1"/>
          <w14:textFill>
            <w14:solidFill>
              <w14:schemeClr w14:val="tx1"/>
            </w14:solidFill>
          </w14:textFill>
        </w:rPr>
      </w:pPr>
    </w:p>
    <w:p w14:paraId="1264E1F7">
      <w:pPr>
        <w:rPr>
          <w:rFonts w:ascii="宋体" w:hAnsi="宋体"/>
          <w:color w:val="000000" w:themeColor="text1"/>
          <w14:textFill>
            <w14:solidFill>
              <w14:schemeClr w14:val="tx1"/>
            </w14:solidFill>
          </w14:textFill>
        </w:rPr>
      </w:pPr>
    </w:p>
    <w:p w14:paraId="6241DB47">
      <w:pPr>
        <w:rPr>
          <w:rFonts w:ascii="宋体" w:hAnsi="宋体"/>
          <w:color w:val="000000" w:themeColor="text1"/>
          <w14:textFill>
            <w14:solidFill>
              <w14:schemeClr w14:val="tx1"/>
            </w14:solidFill>
          </w14:textFill>
        </w:rPr>
      </w:pPr>
    </w:p>
    <w:p w14:paraId="554A5AC6">
      <w:pPr>
        <w:rPr>
          <w:rFonts w:ascii="宋体" w:hAnsi="宋体"/>
          <w:color w:val="000000" w:themeColor="text1"/>
          <w14:textFill>
            <w14:solidFill>
              <w14:schemeClr w14:val="tx1"/>
            </w14:solidFill>
          </w14:textFill>
        </w:rPr>
      </w:pPr>
    </w:p>
    <w:p w14:paraId="2045CE52">
      <w:pPr>
        <w:rPr>
          <w:rFonts w:ascii="宋体" w:hAnsi="宋体"/>
          <w:color w:val="000000" w:themeColor="text1"/>
          <w14:textFill>
            <w14:solidFill>
              <w14:schemeClr w14:val="tx1"/>
            </w14:solidFill>
          </w14:textFill>
        </w:rPr>
      </w:pPr>
    </w:p>
    <w:p w14:paraId="57D4101C">
      <w:pPr>
        <w:rPr>
          <w:rFonts w:ascii="宋体" w:hAnsi="宋体"/>
          <w:color w:val="000000" w:themeColor="text1"/>
          <w14:textFill>
            <w14:solidFill>
              <w14:schemeClr w14:val="tx1"/>
            </w14:solidFill>
          </w14:textFill>
        </w:rPr>
      </w:pPr>
    </w:p>
    <w:p w14:paraId="6DE0DF11">
      <w:pPr>
        <w:rPr>
          <w:rFonts w:ascii="宋体" w:hAnsi="宋体"/>
          <w:color w:val="000000" w:themeColor="text1"/>
          <w14:textFill>
            <w14:solidFill>
              <w14:schemeClr w14:val="tx1"/>
            </w14:solidFill>
          </w14:textFill>
        </w:rPr>
      </w:pPr>
    </w:p>
    <w:bookmarkEnd w:id="179"/>
    <w:p w14:paraId="27910B96">
      <w:pPr>
        <w:widowControl/>
        <w:snapToGrid w:val="0"/>
        <w:spacing w:line="360" w:lineRule="auto"/>
        <w:ind w:firstLine="0" w:firstLineChars="0"/>
        <w:outlineLvl w:val="1"/>
        <w:rPr>
          <w:rFonts w:hint="eastAsia" w:ascii="宋体"/>
          <w:b/>
          <w:color w:val="000000"/>
          <w:sz w:val="28"/>
          <w:szCs w:val="28"/>
        </w:rPr>
      </w:pPr>
      <w:bookmarkStart w:id="195" w:name="_Toc137633011"/>
      <w:bookmarkStart w:id="196" w:name="_Toc67558618"/>
      <w:bookmarkStart w:id="197" w:name="_Toc474913501"/>
      <w:bookmarkStart w:id="198" w:name="_Toc325726051"/>
      <w:bookmarkStart w:id="199" w:name="_Toc67558622"/>
      <w:bookmarkStart w:id="200" w:name="_Toc376936782"/>
    </w:p>
    <w:p w14:paraId="103AB3A1">
      <w:pPr>
        <w:widowControl/>
        <w:snapToGrid w:val="0"/>
        <w:spacing w:line="360" w:lineRule="auto"/>
        <w:ind w:firstLine="0" w:firstLineChars="0"/>
        <w:outlineLvl w:val="1"/>
        <w:rPr>
          <w:rFonts w:hint="eastAsia" w:ascii="宋体" w:hAnsi="宋体"/>
          <w:bCs/>
        </w:rPr>
      </w:pPr>
      <w:r>
        <w:rPr>
          <w:rFonts w:hint="eastAsia" w:ascii="宋体"/>
          <w:b/>
          <w:color w:val="000000"/>
          <w:sz w:val="28"/>
          <w:szCs w:val="28"/>
        </w:rPr>
        <w:t>附件</w:t>
      </w:r>
      <w:r>
        <w:rPr>
          <w:rFonts w:hint="eastAsia" w:ascii="宋体"/>
          <w:b/>
          <w:color w:val="000000"/>
          <w:sz w:val="28"/>
          <w:szCs w:val="28"/>
          <w:lang w:val="en-US" w:eastAsia="zh-CN"/>
        </w:rPr>
        <w:t>19</w:t>
      </w:r>
      <w:r>
        <w:rPr>
          <w:rFonts w:hint="eastAsia" w:ascii="宋体"/>
          <w:b/>
          <w:color w:val="000000"/>
          <w:sz w:val="28"/>
          <w:szCs w:val="28"/>
        </w:rPr>
        <w:t>：投标人类似业绩证明材料</w:t>
      </w:r>
      <w:bookmarkEnd w:id="195"/>
    </w:p>
    <w:p w14:paraId="7418079A">
      <w:pPr>
        <w:ind w:firstLine="2909" w:firstLineChars="805"/>
        <w:rPr>
          <w:rFonts w:hint="eastAsia" w:ascii="宋体" w:hAnsi="宋体"/>
          <w:b/>
          <w:sz w:val="36"/>
          <w:szCs w:val="36"/>
        </w:rPr>
      </w:pPr>
    </w:p>
    <w:p w14:paraId="62BB0AFC">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14:paraId="5A0876BB">
      <w:pPr>
        <w:tabs>
          <w:tab w:val="left" w:pos="168"/>
        </w:tabs>
        <w:adjustRightInd w:val="0"/>
        <w:ind w:firstLine="2530" w:firstLineChars="700"/>
        <w:textAlignment w:val="baseline"/>
        <w:rPr>
          <w:rFonts w:hint="eastAsia" w:ascii="宋体"/>
          <w:b/>
          <w:sz w:val="36"/>
          <w:szCs w:val="36"/>
        </w:rPr>
      </w:pPr>
    </w:p>
    <w:p w14:paraId="76B226DE">
      <w:pPr>
        <w:tabs>
          <w:tab w:val="left" w:pos="168"/>
        </w:tabs>
        <w:adjustRightInd w:val="0"/>
        <w:ind w:firstLine="480"/>
        <w:textAlignment w:val="baseline"/>
        <w:rPr>
          <w:rFonts w:hint="eastAsia" w:ascii="宋体" w:hAnsi="宋体"/>
          <w:color w:val="000000"/>
        </w:rPr>
      </w:pPr>
      <w:r>
        <w:rPr>
          <w:rFonts w:hint="eastAsia" w:ascii="宋体" w:hAnsi="宋体"/>
          <w:color w:val="000000"/>
        </w:rPr>
        <w:t>提供自</w:t>
      </w:r>
      <w:r>
        <w:rPr>
          <w:rFonts w:hint="eastAsia" w:ascii="宋体" w:hAnsi="宋体"/>
          <w:color w:val="000000"/>
          <w:lang w:eastAsia="zh-CN"/>
        </w:rPr>
        <w:t>近三</w:t>
      </w:r>
      <w:r>
        <w:rPr>
          <w:rFonts w:hint="eastAsia" w:ascii="宋体" w:hAnsi="宋体"/>
          <w:color w:val="000000"/>
        </w:rPr>
        <w:t>年以来的类似业绩证明材料。类似业绩是指与采购项目在服务类型、服务功能、合同规模等方面相同或相近的项目。需提供包含合同首页、标的及金额所在页、供货合同签字盖章页的扫描（或复印）件。</w:t>
      </w:r>
    </w:p>
    <w:p w14:paraId="4945F2E3">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2764A85E">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0F90C130">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6FE03093">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03F29544">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59DBDD1A">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399018A3">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788D77B0">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46D5862B">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6890A0C9">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393F1763">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62D8899A">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172EB912">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07A66719">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71F7FC4A">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46B714A3">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1CBDE346">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5BE3CEBF">
      <w:pPr>
        <w:widowControl/>
        <w:snapToGrid w:val="0"/>
        <w:spacing w:line="360" w:lineRule="auto"/>
        <w:outlineLvl w:val="1"/>
        <w:rPr>
          <w:rFonts w:hint="eastAsia" w:ascii="宋体"/>
          <w:b/>
          <w:color w:val="000000" w:themeColor="text1"/>
          <w:sz w:val="28"/>
          <w:szCs w:val="28"/>
          <w14:textFill>
            <w14:solidFill>
              <w14:schemeClr w14:val="tx1"/>
            </w14:solidFill>
          </w14:textFill>
        </w:rPr>
      </w:pPr>
    </w:p>
    <w:p w14:paraId="0BFCB41A">
      <w:pPr>
        <w:widowControl/>
        <w:snapToGrid w:val="0"/>
        <w:spacing w:line="360" w:lineRule="auto"/>
        <w:outlineLvl w:val="1"/>
        <w:rPr>
          <w:rFonts w:hint="eastAsia" w:ascii="宋体"/>
          <w:b/>
          <w:color w:val="000000" w:themeColor="text1"/>
          <w:sz w:val="28"/>
          <w:szCs w:val="28"/>
          <w14:textFill>
            <w14:solidFill>
              <w14:schemeClr w14:val="tx1"/>
            </w14:solidFill>
          </w14:textFill>
        </w:rPr>
      </w:pPr>
    </w:p>
    <w:bookmarkEnd w:id="196"/>
    <w:bookmarkEnd w:id="197"/>
    <w:p w14:paraId="38F25BB2">
      <w:pPr>
        <w:widowControl/>
        <w:snapToGrid w:val="0"/>
        <w:spacing w:line="360" w:lineRule="auto"/>
        <w:outlineLvl w:val="1"/>
        <w:rPr>
          <w:rFonts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20</w:t>
      </w:r>
      <w:r>
        <w:rPr>
          <w:rFonts w:hint="eastAsia" w:ascii="宋体"/>
          <w:b/>
          <w:color w:val="000000" w:themeColor="text1"/>
          <w:sz w:val="28"/>
          <w:szCs w:val="28"/>
          <w14:textFill>
            <w14:solidFill>
              <w14:schemeClr w14:val="tx1"/>
            </w14:solidFill>
          </w14:textFill>
        </w:rPr>
        <w:t>：投标人认为在其他方面有必要说明的事项</w:t>
      </w:r>
    </w:p>
    <w:p w14:paraId="52663BD3">
      <w:pPr>
        <w:ind w:firstLine="723"/>
        <w:jc w:val="center"/>
        <w:rPr>
          <w:rFonts w:ascii="宋体" w:hAnsi="宋体"/>
          <w:b/>
          <w:color w:val="000000" w:themeColor="text1"/>
          <w:sz w:val="36"/>
          <w:szCs w:val="36"/>
          <w14:textFill>
            <w14:solidFill>
              <w14:schemeClr w14:val="tx1"/>
            </w14:solidFill>
          </w14:textFill>
        </w:rPr>
      </w:pPr>
    </w:p>
    <w:p w14:paraId="0B183A6D">
      <w:pPr>
        <w:ind w:firstLine="7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投标人认为在其他方面有必要说明的事项</w:t>
      </w:r>
    </w:p>
    <w:p w14:paraId="37765499">
      <w:pPr>
        <w:ind w:firstLine="7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（格式自定）</w:t>
      </w:r>
    </w:p>
    <w:p w14:paraId="28AAF497">
      <w:pPr>
        <w:widowControl/>
        <w:snapToGrid w:val="0"/>
        <w:spacing w:line="360" w:lineRule="auto"/>
        <w:outlineLvl w:val="1"/>
        <w:rPr>
          <w:rFonts w:ascii="宋体" w:hAnsi="宋体"/>
          <w:color w:val="000000" w:themeColor="text1"/>
          <w14:textFill>
            <w14:solidFill>
              <w14:schemeClr w14:val="tx1"/>
            </w14:solidFill>
          </w14:textFill>
        </w:rPr>
      </w:pPr>
    </w:p>
    <w:p w14:paraId="7621D066">
      <w:pPr>
        <w:pStyle w:val="36"/>
        <w:rPr>
          <w:color w:val="000000" w:themeColor="text1"/>
          <w14:textFill>
            <w14:solidFill>
              <w14:schemeClr w14:val="tx1"/>
            </w14:solidFill>
          </w14:textFill>
        </w:rPr>
      </w:pPr>
    </w:p>
    <w:p w14:paraId="76B29A2D">
      <w:pPr>
        <w:pStyle w:val="38"/>
        <w:ind w:firstLine="420"/>
        <w:rPr>
          <w:color w:val="000000" w:themeColor="text1"/>
          <w14:textFill>
            <w14:solidFill>
              <w14:schemeClr w14:val="tx1"/>
            </w14:solidFill>
          </w14:textFill>
        </w:rPr>
      </w:pPr>
    </w:p>
    <w:p w14:paraId="658227A9">
      <w:pPr>
        <w:keepNext/>
        <w:keepLines/>
        <w:widowControl/>
        <w:snapToGrid w:val="0"/>
        <w:spacing w:line="400" w:lineRule="atLeast"/>
        <w:outlineLvl w:val="0"/>
        <w:rPr>
          <w:rFonts w:ascii="宋体"/>
          <w:b/>
          <w:color w:val="000000" w:themeColor="text1"/>
          <w:kern w:val="28"/>
          <w:sz w:val="36"/>
          <w:szCs w:val="20"/>
          <w14:textFill>
            <w14:solidFill>
              <w14:schemeClr w14:val="tx1"/>
            </w14:solidFill>
          </w14:textFill>
        </w:rPr>
      </w:pPr>
      <w:bookmarkStart w:id="201" w:name="_Toc116304920"/>
    </w:p>
    <w:p w14:paraId="2BCA3726">
      <w:pPr>
        <w:keepNext/>
        <w:keepLines/>
        <w:widowControl/>
        <w:snapToGrid w:val="0"/>
        <w:spacing w:line="400" w:lineRule="atLeast"/>
        <w:jc w:val="center"/>
        <w:outlineLvl w:val="0"/>
        <w:rPr>
          <w:rFonts w:ascii="宋体"/>
          <w:b/>
          <w:color w:val="000000" w:themeColor="text1"/>
          <w:kern w:val="28"/>
          <w:sz w:val="36"/>
          <w:szCs w:val="20"/>
          <w14:textFill>
            <w14:solidFill>
              <w14:schemeClr w14:val="tx1"/>
            </w14:solidFill>
          </w14:textFill>
        </w:rPr>
      </w:pPr>
    </w:p>
    <w:p w14:paraId="14586714">
      <w:pPr>
        <w:keepNext/>
        <w:keepLines/>
        <w:widowControl/>
        <w:snapToGrid w:val="0"/>
        <w:spacing w:line="400" w:lineRule="atLeast"/>
        <w:jc w:val="center"/>
        <w:outlineLvl w:val="0"/>
        <w:rPr>
          <w:rFonts w:hint="eastAsia" w:ascii="宋体"/>
          <w:b/>
          <w:color w:val="000000" w:themeColor="text1"/>
          <w:kern w:val="28"/>
          <w:sz w:val="36"/>
          <w:szCs w:val="20"/>
          <w14:textFill>
            <w14:solidFill>
              <w14:schemeClr w14:val="tx1"/>
            </w14:solidFill>
          </w14:textFill>
        </w:rPr>
      </w:pPr>
    </w:p>
    <w:p w14:paraId="3FB49E94">
      <w:pPr>
        <w:keepNext/>
        <w:keepLines/>
        <w:widowControl/>
        <w:snapToGrid w:val="0"/>
        <w:spacing w:line="400" w:lineRule="atLeast"/>
        <w:jc w:val="center"/>
        <w:outlineLvl w:val="0"/>
        <w:rPr>
          <w:rFonts w:hint="eastAsia" w:ascii="宋体"/>
          <w:b/>
          <w:color w:val="000000" w:themeColor="text1"/>
          <w:kern w:val="28"/>
          <w:sz w:val="36"/>
          <w:szCs w:val="20"/>
          <w14:textFill>
            <w14:solidFill>
              <w14:schemeClr w14:val="tx1"/>
            </w14:solidFill>
          </w14:textFill>
        </w:rPr>
      </w:pPr>
    </w:p>
    <w:p w14:paraId="66B6AEC0">
      <w:pPr>
        <w:keepNext/>
        <w:keepLines/>
        <w:widowControl/>
        <w:snapToGrid w:val="0"/>
        <w:spacing w:line="400" w:lineRule="atLeast"/>
        <w:jc w:val="center"/>
        <w:outlineLvl w:val="0"/>
        <w:rPr>
          <w:rFonts w:hint="eastAsia" w:ascii="宋体"/>
          <w:b/>
          <w:color w:val="000000" w:themeColor="text1"/>
          <w:kern w:val="28"/>
          <w:sz w:val="36"/>
          <w:szCs w:val="20"/>
          <w14:textFill>
            <w14:solidFill>
              <w14:schemeClr w14:val="tx1"/>
            </w14:solidFill>
          </w14:textFill>
        </w:rPr>
      </w:pPr>
    </w:p>
    <w:p w14:paraId="435098C4">
      <w:pPr>
        <w:keepNext/>
        <w:keepLines/>
        <w:widowControl/>
        <w:snapToGrid w:val="0"/>
        <w:spacing w:line="400" w:lineRule="atLeast"/>
        <w:jc w:val="center"/>
        <w:outlineLvl w:val="0"/>
        <w:rPr>
          <w:rFonts w:hint="eastAsia" w:ascii="宋体"/>
          <w:b/>
          <w:color w:val="000000" w:themeColor="text1"/>
          <w:kern w:val="28"/>
          <w:sz w:val="36"/>
          <w:szCs w:val="20"/>
          <w14:textFill>
            <w14:solidFill>
              <w14:schemeClr w14:val="tx1"/>
            </w14:solidFill>
          </w14:textFill>
        </w:rPr>
      </w:pPr>
    </w:p>
    <w:p w14:paraId="0D811F03">
      <w:pPr>
        <w:keepNext/>
        <w:keepLines/>
        <w:widowControl/>
        <w:snapToGrid w:val="0"/>
        <w:spacing w:line="400" w:lineRule="atLeast"/>
        <w:jc w:val="both"/>
        <w:outlineLvl w:val="0"/>
        <w:rPr>
          <w:rFonts w:hint="eastAsia" w:ascii="宋体"/>
          <w:b/>
          <w:color w:val="000000" w:themeColor="text1"/>
          <w:kern w:val="28"/>
          <w:sz w:val="36"/>
          <w:szCs w:val="20"/>
          <w14:textFill>
            <w14:solidFill>
              <w14:schemeClr w14:val="tx1"/>
            </w14:solidFill>
          </w14:textFill>
        </w:rPr>
      </w:pPr>
    </w:p>
    <w:p w14:paraId="27459F9F">
      <w:pPr>
        <w:keepNext/>
        <w:keepLines/>
        <w:widowControl/>
        <w:snapToGrid w:val="0"/>
        <w:spacing w:line="400" w:lineRule="atLeast"/>
        <w:ind w:firstLine="1446" w:firstLineChars="400"/>
        <w:jc w:val="both"/>
        <w:outlineLvl w:val="0"/>
        <w:rPr>
          <w:rFonts w:hint="eastAsia" w:ascii="宋体"/>
          <w:b/>
          <w:color w:val="000000" w:themeColor="text1"/>
          <w:kern w:val="28"/>
          <w:sz w:val="36"/>
          <w:szCs w:val="20"/>
          <w14:textFill>
            <w14:solidFill>
              <w14:schemeClr w14:val="tx1"/>
            </w14:solidFill>
          </w14:textFill>
        </w:rPr>
      </w:pPr>
    </w:p>
    <w:p w14:paraId="5C380B1C">
      <w:pPr>
        <w:keepNext/>
        <w:keepLines/>
        <w:widowControl/>
        <w:snapToGrid w:val="0"/>
        <w:spacing w:line="400" w:lineRule="atLeast"/>
        <w:ind w:firstLine="1446" w:firstLineChars="400"/>
        <w:jc w:val="both"/>
        <w:outlineLvl w:val="0"/>
        <w:rPr>
          <w:rFonts w:hint="eastAsia" w:ascii="宋体"/>
          <w:b/>
          <w:color w:val="000000" w:themeColor="text1"/>
          <w:kern w:val="28"/>
          <w:sz w:val="36"/>
          <w:szCs w:val="20"/>
          <w14:textFill>
            <w14:solidFill>
              <w14:schemeClr w14:val="tx1"/>
            </w14:solidFill>
          </w14:textFill>
        </w:rPr>
      </w:pPr>
    </w:p>
    <w:p w14:paraId="0C6FD674">
      <w:pPr>
        <w:keepNext/>
        <w:keepLines/>
        <w:widowControl/>
        <w:snapToGrid w:val="0"/>
        <w:spacing w:line="400" w:lineRule="atLeast"/>
        <w:ind w:firstLine="1446" w:firstLineChars="400"/>
        <w:jc w:val="both"/>
        <w:outlineLvl w:val="0"/>
        <w:rPr>
          <w:rFonts w:hint="eastAsia" w:ascii="宋体"/>
          <w:b/>
          <w:color w:val="000000" w:themeColor="text1"/>
          <w:kern w:val="28"/>
          <w:sz w:val="36"/>
          <w:szCs w:val="20"/>
          <w14:textFill>
            <w14:solidFill>
              <w14:schemeClr w14:val="tx1"/>
            </w14:solidFill>
          </w14:textFill>
        </w:rPr>
      </w:pPr>
    </w:p>
    <w:p w14:paraId="3C158005">
      <w:pPr>
        <w:keepNext/>
        <w:keepLines/>
        <w:widowControl/>
        <w:snapToGrid w:val="0"/>
        <w:spacing w:line="400" w:lineRule="atLeast"/>
        <w:ind w:firstLine="1446" w:firstLineChars="400"/>
        <w:jc w:val="both"/>
        <w:outlineLvl w:val="0"/>
        <w:rPr>
          <w:rFonts w:hint="eastAsia" w:ascii="宋体"/>
          <w:b/>
          <w:color w:val="000000" w:themeColor="text1"/>
          <w:kern w:val="28"/>
          <w:sz w:val="36"/>
          <w:szCs w:val="20"/>
          <w14:textFill>
            <w14:solidFill>
              <w14:schemeClr w14:val="tx1"/>
            </w14:solidFill>
          </w14:textFill>
        </w:rPr>
      </w:pPr>
    </w:p>
    <w:p w14:paraId="49E3F90C">
      <w:pPr>
        <w:keepNext/>
        <w:keepLines/>
        <w:widowControl/>
        <w:snapToGrid w:val="0"/>
        <w:spacing w:line="400" w:lineRule="atLeast"/>
        <w:ind w:firstLine="1446" w:firstLineChars="400"/>
        <w:jc w:val="both"/>
        <w:outlineLvl w:val="0"/>
        <w:rPr>
          <w:rFonts w:hint="eastAsia" w:ascii="宋体"/>
          <w:b/>
          <w:color w:val="000000" w:themeColor="text1"/>
          <w:kern w:val="28"/>
          <w:sz w:val="36"/>
          <w:szCs w:val="20"/>
          <w14:textFill>
            <w14:solidFill>
              <w14:schemeClr w14:val="tx1"/>
            </w14:solidFill>
          </w14:textFill>
        </w:rPr>
      </w:pPr>
    </w:p>
    <w:p w14:paraId="2EBB3FFC">
      <w:pPr>
        <w:keepNext/>
        <w:keepLines/>
        <w:widowControl/>
        <w:snapToGrid w:val="0"/>
        <w:spacing w:line="400" w:lineRule="atLeast"/>
        <w:ind w:firstLine="1446" w:firstLineChars="400"/>
        <w:jc w:val="both"/>
        <w:outlineLvl w:val="0"/>
        <w:rPr>
          <w:rFonts w:hint="eastAsia" w:ascii="宋体"/>
          <w:b/>
          <w:color w:val="000000" w:themeColor="text1"/>
          <w:kern w:val="28"/>
          <w:sz w:val="36"/>
          <w:szCs w:val="20"/>
          <w14:textFill>
            <w14:solidFill>
              <w14:schemeClr w14:val="tx1"/>
            </w14:solidFill>
          </w14:textFill>
        </w:rPr>
      </w:pPr>
    </w:p>
    <w:p w14:paraId="1D75E94B">
      <w:pPr>
        <w:keepNext/>
        <w:keepLines/>
        <w:widowControl/>
        <w:snapToGrid w:val="0"/>
        <w:spacing w:line="400" w:lineRule="atLeast"/>
        <w:ind w:firstLine="1446" w:firstLineChars="400"/>
        <w:jc w:val="both"/>
        <w:outlineLvl w:val="0"/>
        <w:rPr>
          <w:rFonts w:hint="eastAsia" w:ascii="宋体"/>
          <w:b/>
          <w:color w:val="000000" w:themeColor="text1"/>
          <w:kern w:val="28"/>
          <w:sz w:val="36"/>
          <w:szCs w:val="20"/>
          <w14:textFill>
            <w14:solidFill>
              <w14:schemeClr w14:val="tx1"/>
            </w14:solidFill>
          </w14:textFill>
        </w:rPr>
      </w:pPr>
    </w:p>
    <w:p w14:paraId="63F69400">
      <w:pPr>
        <w:keepNext/>
        <w:keepLines/>
        <w:widowControl/>
        <w:snapToGrid w:val="0"/>
        <w:spacing w:line="400" w:lineRule="atLeast"/>
        <w:ind w:firstLine="1446" w:firstLineChars="400"/>
        <w:jc w:val="both"/>
        <w:outlineLvl w:val="0"/>
        <w:rPr>
          <w:rFonts w:hint="eastAsia" w:ascii="宋体"/>
          <w:b/>
          <w:color w:val="000000" w:themeColor="text1"/>
          <w:kern w:val="28"/>
          <w:sz w:val="36"/>
          <w:szCs w:val="20"/>
          <w14:textFill>
            <w14:solidFill>
              <w14:schemeClr w14:val="tx1"/>
            </w14:solidFill>
          </w14:textFill>
        </w:rPr>
      </w:pPr>
    </w:p>
    <w:p w14:paraId="344AF45A">
      <w:pPr>
        <w:keepNext/>
        <w:keepLines/>
        <w:widowControl/>
        <w:snapToGrid w:val="0"/>
        <w:spacing w:line="400" w:lineRule="atLeast"/>
        <w:ind w:firstLine="1446" w:firstLineChars="400"/>
        <w:jc w:val="both"/>
        <w:outlineLvl w:val="0"/>
        <w:rPr>
          <w:rFonts w:hint="eastAsia" w:ascii="宋体"/>
          <w:b/>
          <w:color w:val="000000" w:themeColor="text1"/>
          <w:kern w:val="28"/>
          <w:sz w:val="36"/>
          <w:szCs w:val="20"/>
          <w14:textFill>
            <w14:solidFill>
              <w14:schemeClr w14:val="tx1"/>
            </w14:solidFill>
          </w14:textFill>
        </w:rPr>
      </w:pPr>
    </w:p>
    <w:bookmarkEnd w:id="201"/>
    <w:p w14:paraId="35E93FEA">
      <w:pPr>
        <w:widowControl/>
        <w:spacing w:before="624" w:beforeLines="200" w:after="624" w:afterLines="200"/>
        <w:jc w:val="center"/>
        <w:outlineLvl w:val="1"/>
        <w:rPr>
          <w:rFonts w:hint="eastAsia" w:ascii="宋体" w:hAnsi="宋体"/>
          <w:b/>
          <w:bCs/>
          <w:color w:val="000000" w:themeColor="text1"/>
          <w:kern w:val="0"/>
          <w:sz w:val="36"/>
          <w:szCs w:val="36"/>
          <w14:textFill>
            <w14:solidFill>
              <w14:schemeClr w14:val="tx1"/>
            </w14:solidFill>
          </w14:textFill>
        </w:rPr>
      </w:pPr>
      <w:bookmarkStart w:id="202" w:name="_Toc325726052"/>
      <w:bookmarkStart w:id="203" w:name="_Toc376936783"/>
      <w:bookmarkStart w:id="204" w:name="_Toc116304921"/>
    </w:p>
    <w:p w14:paraId="1C802E41">
      <w:pPr>
        <w:widowControl/>
        <w:spacing w:before="624" w:beforeLines="200" w:after="624" w:afterLines="200"/>
        <w:jc w:val="center"/>
        <w:outlineLvl w:val="1"/>
        <w:rPr>
          <w:rFonts w:hint="eastAsia" w:ascii="宋体" w:hAnsi="宋体"/>
          <w:b/>
          <w:bCs/>
          <w:color w:val="000000" w:themeColor="text1"/>
          <w:kern w:val="0"/>
          <w:sz w:val="36"/>
          <w:szCs w:val="36"/>
          <w14:textFill>
            <w14:solidFill>
              <w14:schemeClr w14:val="tx1"/>
            </w14:solidFill>
          </w14:textFill>
        </w:rPr>
      </w:pPr>
    </w:p>
    <w:p w14:paraId="7B567D8D">
      <w:pPr>
        <w:keepNext/>
        <w:keepLines/>
        <w:widowControl/>
        <w:snapToGrid w:val="0"/>
        <w:spacing w:line="400" w:lineRule="atLeast"/>
        <w:ind w:firstLine="1446" w:firstLineChars="400"/>
        <w:jc w:val="both"/>
        <w:outlineLvl w:val="0"/>
        <w:rPr>
          <w:rFonts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t>第五部分  采购项目要求及技术参数</w:t>
      </w:r>
    </w:p>
    <w:p w14:paraId="0A20C754">
      <w:pPr>
        <w:widowControl/>
        <w:spacing w:before="624" w:beforeLines="200" w:after="624" w:afterLines="20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一、投标要求</w:t>
      </w:r>
      <w:bookmarkEnd w:id="202"/>
      <w:bookmarkEnd w:id="203"/>
      <w:bookmarkEnd w:id="204"/>
    </w:p>
    <w:p w14:paraId="11315178">
      <w:pPr>
        <w:widowControl/>
        <w:spacing w:before="100" w:beforeAutospacing="1" w:after="100" w:afterAutospacing="1"/>
        <w:ind w:firstLine="542"/>
        <w:jc w:val="left"/>
        <w:outlineLvl w:val="2"/>
        <w:rPr>
          <w:rFonts w:ascii="宋体" w:hAnsi="宋体"/>
          <w:b/>
          <w:bCs/>
          <w:color w:val="000000" w:themeColor="text1"/>
          <w:kern w:val="0"/>
          <w:sz w:val="27"/>
          <w:szCs w:val="27"/>
          <w14:textFill>
            <w14:solidFill>
              <w14:schemeClr w14:val="tx1"/>
            </w14:solidFill>
          </w14:textFill>
        </w:rPr>
      </w:pPr>
      <w:bookmarkStart w:id="205" w:name="_Toc325726053"/>
      <w:bookmarkStart w:id="206" w:name="_Toc376936784"/>
      <w:bookmarkStart w:id="207" w:name="_Toc116304922"/>
      <w:r>
        <w:rPr>
          <w:rFonts w:hint="eastAsia" w:ascii="宋体" w:hAnsi="宋体"/>
          <w:b/>
          <w:bCs/>
          <w:color w:val="000000" w:themeColor="text1"/>
          <w:kern w:val="0"/>
          <w:sz w:val="27"/>
          <w:szCs w:val="27"/>
          <w14:textFill>
            <w14:solidFill>
              <w14:schemeClr w14:val="tx1"/>
            </w14:solidFill>
          </w14:textFill>
        </w:rPr>
        <w:t>1、投标说明</w:t>
      </w:r>
      <w:bookmarkEnd w:id="205"/>
      <w:bookmarkEnd w:id="206"/>
      <w:bookmarkEnd w:id="207"/>
    </w:p>
    <w:p w14:paraId="2C63A556">
      <w:pPr>
        <w:ind w:firstLine="411" w:firstLineChars="196"/>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1.1</w:t>
      </w:r>
      <w:r>
        <w:rPr>
          <w:rFonts w:hint="eastAsia"/>
          <w:color w:val="000000" w:themeColor="text1"/>
          <w14:textFill>
            <w14:solidFill>
              <w14:schemeClr w14:val="tx1"/>
            </w14:solidFill>
          </w14:textFill>
        </w:rPr>
        <w:t>投标人可以按照招标文件规定的包号选择投标，但必须对所投包号中的所有内容作为一个整体进行投标，不能拆分或少报。否则，投标无效。</w:t>
      </w:r>
    </w:p>
    <w:p w14:paraId="2A53FE19">
      <w:pPr>
        <w:adjustRightInd w:val="0"/>
        <w:spacing w:line="276" w:lineRule="auto"/>
        <w:ind w:firstLine="480"/>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r>
        <w:rPr>
          <w:rFonts w:hint="eastAsia" w:ascii="宋体" w:hAnsi="宋体"/>
        </w:rPr>
        <w:t>投标总报价包括</w:t>
      </w:r>
      <w:r>
        <w:t>产品费、服务费、软件开发费、技术支持费、培训费、检验费、手续费、保险费、安装调试费、税金及其他不可预见费等全部费用。</w:t>
      </w:r>
      <w:r>
        <w:rPr>
          <w:rFonts w:hint="eastAsia" w:ascii="宋体" w:hAnsi="宋体"/>
          <w:color w:val="000000" w:themeColor="text1"/>
          <w14:textFill>
            <w14:solidFill>
              <w14:schemeClr w14:val="tx1"/>
            </w14:solidFill>
          </w14:textFill>
        </w:rPr>
        <w:t>若投标报价不能完全包括上述内容，该投标将被认为非实质性响应。</w:t>
      </w:r>
    </w:p>
    <w:p w14:paraId="1DCC9793">
      <w:pPr>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所投产品或其任何一部分不得侵犯专利权、著作权、商标权和工业设计权等知识产权。</w:t>
      </w:r>
    </w:p>
    <w:p w14:paraId="78EF9972">
      <w:pPr>
        <w:ind w:firstLine="411"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bookmarkStart w:id="208" w:name="_Toc325726054"/>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服务</w:t>
      </w:r>
      <w:r>
        <w:rPr>
          <w:rFonts w:hint="eastAsia" w:ascii="宋体" w:hAnsi="宋体"/>
          <w:color w:val="000000" w:themeColor="text1"/>
          <w:lang w:val="en-US" w:eastAsia="zh-CN"/>
          <w14:textFill>
            <w14:solidFill>
              <w14:schemeClr w14:val="tx1"/>
            </w14:solidFill>
          </w14:textFill>
        </w:rPr>
        <w:t>/交货</w:t>
      </w:r>
      <w:r>
        <w:rPr>
          <w:rFonts w:hint="eastAsia" w:ascii="宋体" w:hAnsi="宋体"/>
          <w:color w:val="000000" w:themeColor="text1"/>
          <w14:textFill>
            <w14:solidFill>
              <w14:schemeClr w14:val="tx1"/>
            </w14:solidFill>
          </w14:textFill>
        </w:rPr>
        <w:t>时间、地点：按采购人指定的时间、地点提供相关服务。</w:t>
      </w:r>
    </w:p>
    <w:p w14:paraId="72E1774D">
      <w:pPr>
        <w:widowControl/>
        <w:spacing w:before="100" w:beforeAutospacing="1" w:after="100" w:afterAutospacing="1"/>
        <w:ind w:firstLine="542"/>
        <w:jc w:val="left"/>
        <w:outlineLvl w:val="2"/>
        <w:rPr>
          <w:rFonts w:ascii="宋体" w:hAnsi="宋体"/>
          <w:b/>
          <w:bCs/>
          <w:color w:val="000000" w:themeColor="text1"/>
          <w:kern w:val="0"/>
          <w:sz w:val="27"/>
          <w:szCs w:val="27"/>
          <w:highlight w:val="none"/>
          <w14:textFill>
            <w14:solidFill>
              <w14:schemeClr w14:val="tx1"/>
            </w14:solidFill>
          </w14:textFill>
        </w:rPr>
      </w:pPr>
      <w:bookmarkStart w:id="209" w:name="_Toc376936786"/>
      <w:bookmarkStart w:id="210" w:name="_Toc116304924"/>
      <w:r>
        <w:rPr>
          <w:rFonts w:hint="eastAsia" w:ascii="宋体" w:hAnsi="宋体"/>
          <w:b/>
          <w:bCs/>
          <w:color w:val="000000" w:themeColor="text1"/>
          <w:kern w:val="0"/>
          <w:sz w:val="27"/>
          <w:szCs w:val="27"/>
          <w:highlight w:val="none"/>
          <w:lang w:val="en-US" w:eastAsia="zh-CN"/>
          <w14:textFill>
            <w14:solidFill>
              <w14:schemeClr w14:val="tx1"/>
            </w14:solidFill>
          </w14:textFill>
        </w:rPr>
        <w:t>2</w:t>
      </w:r>
      <w:r>
        <w:rPr>
          <w:rFonts w:hint="eastAsia" w:ascii="宋体" w:hAnsi="宋体"/>
          <w:b/>
          <w:bCs/>
          <w:color w:val="000000" w:themeColor="text1"/>
          <w:kern w:val="0"/>
          <w:sz w:val="27"/>
          <w:szCs w:val="27"/>
          <w:highlight w:val="none"/>
          <w14:textFill>
            <w14:solidFill>
              <w14:schemeClr w14:val="tx1"/>
            </w14:solidFill>
          </w14:textFill>
        </w:rPr>
        <w:t>、重要指标</w:t>
      </w:r>
      <w:bookmarkEnd w:id="208"/>
      <w:bookmarkEnd w:id="209"/>
      <w:bookmarkEnd w:id="210"/>
    </w:p>
    <w:p w14:paraId="1D9A7E30">
      <w:pPr>
        <w:ind w:firstLine="411" w:firstLineChars="1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文件在技术参数中列出了招标人可以接受的最低技术指标，投标人必须对技术参数一览表中各项产品和指标进行实质性响应，所推荐的每一项产品在性能上不能低于所列的各项指标，应提供完善的技术方案及相关映证材料。</w:t>
      </w:r>
    </w:p>
    <w:p w14:paraId="74AF8ACA">
      <w:pPr>
        <w:pStyle w:val="2"/>
        <w:ind w:left="431" w:hanging="431"/>
        <w:rPr>
          <w:rFonts w:ascii="宋体" w:hAnsi="宋体"/>
          <w:highlight w:val="none"/>
        </w:rPr>
      </w:pPr>
      <w:r>
        <w:rPr>
          <w:rFonts w:hint="eastAsia" w:ascii="宋体" w:hAnsi="宋体"/>
          <w:highlight w:val="none"/>
        </w:rPr>
        <w:t>项目技术要求</w:t>
      </w:r>
    </w:p>
    <w:p w14:paraId="43A6B682">
      <w:pPr>
        <w:pStyle w:val="2"/>
        <w:ind w:left="431" w:hanging="431"/>
        <w:rPr>
          <w:rFonts w:hint="eastAsia" w:ascii="宋体" w:hAnsi="宋体" w:eastAsia="宋体"/>
          <w:highlight w:val="none"/>
          <w:lang w:eastAsia="zh-CN"/>
        </w:rPr>
      </w:pPr>
      <w:r>
        <w:rPr>
          <w:rFonts w:hint="eastAsia" w:ascii="宋体" w:hAnsi="宋体"/>
          <w:highlight w:val="none"/>
        </w:rPr>
        <w:t>项目技术要求</w:t>
      </w:r>
      <w:r>
        <w:rPr>
          <w:rFonts w:hint="eastAsia" w:hAnsi="宋体"/>
          <w:highlight w:val="none"/>
          <w:lang w:eastAsia="zh-CN"/>
        </w:rPr>
        <w:t>（</w:t>
      </w:r>
      <w:r>
        <w:rPr>
          <w:rFonts w:hint="eastAsia" w:hAnsi="宋体"/>
          <w:highlight w:val="none"/>
          <w:lang w:val="en-US" w:eastAsia="zh-CN"/>
        </w:rPr>
        <w:t>包一、包二</w:t>
      </w:r>
      <w:r>
        <w:rPr>
          <w:rFonts w:hint="eastAsia" w:hAnsi="宋体"/>
          <w:highlight w:val="none"/>
          <w:lang w:eastAsia="zh-CN"/>
        </w:rPr>
        <w:t>）</w:t>
      </w:r>
    </w:p>
    <w:p w14:paraId="1F0F8DE7">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（1）投标人须对本项目目标、内容和范围准确 把握，对本项目建设背景、建设需求理解分析，提供的系统技术设计方案、满足医院目标需求，技术方案科学合理、完整且切实可行，并提供新老系统融合对接方案、应急方案。</w:t>
      </w:r>
    </w:p>
    <w:p w14:paraId="7AA64149">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人需要对项目进行过程中的文档进行有效的管理，接受用户方对项目各阶段评估分析和监督管理。整个项目的过程包括后期修改维护贯穿ISO9001和CMMI5的规范，包含但不限于项目管理、设计和开发、操作说明等书面文档和电子版。投标人具有信息安全服务资质认证证书。</w:t>
      </w:r>
    </w:p>
    <w:p w14:paraId="258F39B3">
      <w:pPr>
        <w:ind w:firstLine="411" w:firstLineChars="196"/>
        <w:rPr>
          <w:rFonts w:hint="eastAsia" w:ascii="宋体" w:hAnsi="宋体"/>
          <w:b/>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投标系统须满足民族医疗信息化需求，要求HIS基础字典均可使用藏汉双语对照，包括但不限于科室、人员、药品、项目、诊断、患者信息，用药方法、执行频率、民族、职业、户籍等；面向患者指引的单据或患者自助服务端均须采用藏汉双语。</w:t>
      </w:r>
      <w:r>
        <w:rPr>
          <w:rFonts w:hint="eastAsia" w:ascii="宋体" w:hAnsi="宋体"/>
          <w:b/>
          <w:bCs/>
          <w:color w:val="000000" w:themeColor="text1"/>
          <w:highlight w:val="none"/>
          <w14:textFill>
            <w14:solidFill>
              <w14:schemeClr w14:val="tx1"/>
            </w14:solidFill>
          </w14:textFill>
        </w:rPr>
        <w:t>（针对本条提供承诺函）</w:t>
      </w:r>
    </w:p>
    <w:p w14:paraId="2B58CFF6">
      <w:pPr>
        <w:ind w:firstLine="411" w:firstLineChars="196"/>
        <w:rPr>
          <w:rFonts w:hint="eastAsia" w:ascii="宋体" w:hAnsi="宋体"/>
          <w:b/>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投标人提供的技术方案须充分满足本次采购的软硬件系统能够接入医院现有的业务系统，实现数据共享，业务闭环。信息的获取或传送方式必须安全可行，不得对正在运行的系统性能和医院业务产生任何不良影响，须确保医院业务开展不中断。所有与医院现有设备及信息系统接口（包括数据迁移）等所有费用都应包含在本次投标报价之中，不再另行计费。建设期和维护期所有政府行政管理机构所需的各类报表、接口不再另行计费。</w:t>
      </w:r>
      <w:r>
        <w:rPr>
          <w:rFonts w:hint="eastAsia" w:ascii="宋体" w:hAnsi="宋体"/>
          <w:b/>
          <w:bCs/>
          <w:color w:val="000000" w:themeColor="text1"/>
          <w:highlight w:val="none"/>
          <w14:textFill>
            <w14:solidFill>
              <w14:schemeClr w14:val="tx1"/>
            </w14:solidFill>
          </w14:textFill>
        </w:rPr>
        <w:t>（针对本条提供承诺函）</w:t>
      </w:r>
    </w:p>
    <w:p w14:paraId="675FD84B">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（5）备份环境搭建服务：将医院历史数据及本次项目建设系统数据统一存储进行备份及查询，可利用备份数据作为医院需求测试环境，测试完成后与医院生产环境数据实时同步。</w:t>
      </w:r>
      <w:r>
        <w:rPr>
          <w:rFonts w:hint="eastAsia" w:ascii="宋体" w:hAnsi="宋体"/>
          <w:b/>
          <w:bCs/>
          <w:color w:val="000000" w:themeColor="text1"/>
          <w:highlight w:val="none"/>
          <w14:textFill>
            <w14:solidFill>
              <w14:schemeClr w14:val="tx1"/>
            </w14:solidFill>
          </w14:textFill>
        </w:rPr>
        <w:t>（针对本条提供承诺函）</w:t>
      </w:r>
    </w:p>
    <w:p w14:paraId="14F71E80">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（6）电子病历分级应用评价过五级，此项工作不受维护期约束，根据医院申报要求随时配合，直到医院五级达标完成。</w:t>
      </w:r>
      <w:r>
        <w:rPr>
          <w:rFonts w:hint="eastAsia" w:ascii="宋体" w:hAnsi="宋体"/>
          <w:b/>
          <w:bCs/>
          <w:color w:val="000000" w:themeColor="text1"/>
          <w:highlight w:val="none"/>
          <w14:textFill>
            <w14:solidFill>
              <w14:schemeClr w14:val="tx1"/>
            </w14:solidFill>
          </w14:textFill>
        </w:rPr>
        <w:t>（提供承诺函及支持方案）</w:t>
      </w:r>
    </w:p>
    <w:p w14:paraId="3559C30F">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系统及数据迁移要求：本次项目医院将新建机房及数据中心硬件设备环境，要求投标人将医院原机房系统及数据迁移到本次新建机房内，保证系统及数据的一致性和连续性，所产生的费用均包含在投标报价中。</w:t>
      </w:r>
      <w:r>
        <w:rPr>
          <w:rFonts w:hint="eastAsia" w:ascii="宋体" w:hAnsi="宋体"/>
          <w:b/>
          <w:bCs/>
          <w:color w:val="000000" w:themeColor="text1"/>
          <w:highlight w:val="none"/>
          <w14:textFill>
            <w14:solidFill>
              <w14:schemeClr w14:val="tx1"/>
            </w14:solidFill>
          </w14:textFill>
        </w:rPr>
        <w:t>（投标人须针对本条提供承诺函，否则做无效投标处理）</w:t>
      </w:r>
    </w:p>
    <w:p w14:paraId="029BB6EA">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（8）机房建设、新楼网络布线及网络设备要根据医院实际情况随时进行调整，中标人要无条件配合完成。</w:t>
      </w:r>
    </w:p>
    <w:p w14:paraId="2478ABAA">
      <w:pPr>
        <w:pStyle w:val="2"/>
        <w:ind w:left="431" w:hanging="431"/>
        <w:rPr>
          <w:rFonts w:ascii="宋体" w:hAnsi="宋体"/>
          <w:sz w:val="32"/>
          <w:szCs w:val="32"/>
          <w:highlight w:val="none"/>
        </w:rPr>
      </w:pPr>
      <w:r>
        <w:rPr>
          <w:rFonts w:hint="eastAsia" w:ascii="宋体" w:hAnsi="宋体"/>
          <w:sz w:val="32"/>
          <w:szCs w:val="32"/>
          <w:highlight w:val="none"/>
        </w:rPr>
        <w:t>项目商务要求</w:t>
      </w:r>
    </w:p>
    <w:p w14:paraId="2C7120D7">
      <w:pPr>
        <w:ind w:firstLine="411" w:firstLineChars="196"/>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项目工期：</w:t>
      </w:r>
      <w:r>
        <w:rPr>
          <w:rFonts w:hint="eastAsia" w:ascii="宋体" w:hAnsi="宋体"/>
          <w:color w:val="000000" w:themeColor="text1"/>
          <w:highlight w:val="none"/>
          <w:lang w:val="en-US" w:eastAsia="zh-CN"/>
          <w14:textFill>
            <w14:solidFill>
              <w14:schemeClr w14:val="tx1"/>
            </w14:solidFill>
          </w14:textFill>
        </w:rPr>
        <w:t>包一服务期：该项目服务期三年（签订合同后3个月内完成软件开发上线使用）；</w:t>
      </w:r>
    </w:p>
    <w:p w14:paraId="6242CB05">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包二交货期：签订合同后3个月内</w:t>
      </w:r>
    </w:p>
    <w:p w14:paraId="5D4ABBFB">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（2）交付地点：海南藏族自治州人民医院</w:t>
      </w:r>
    </w:p>
    <w:p w14:paraId="2EBD8324">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（3）质量要求：必须符合或优于国家（行业）标准，以及本项目招标文件的质量要求和技术指标标准。</w:t>
      </w:r>
    </w:p>
    <w:p w14:paraId="45172A54">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验收要求：按国家有关规定以及招标文件的质量要求和技术指标、中标人的投标文件及承诺与本合同约定标准进行验收；甲乙双方如对质量要求和技术指标的约定标准有相互抵触或异议的事项，由采购人在招标文件与投标文件中按质量要求和技术指标比较优胜的原则确定该项的约定标准进行验收。</w:t>
      </w:r>
    </w:p>
    <w:p w14:paraId="26CFFA32">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（5）培训要求：投标人须针对本项目制定切实可行的培训方案，采用集中与现场培训等多种方式，培训计划应根据实际情况灵活调整，保证所有使用人员熟练操作。</w:t>
      </w:r>
    </w:p>
    <w:p w14:paraId="59EE0909">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（6）售后服务要求</w:t>
      </w:r>
    </w:p>
    <w:p w14:paraId="68450FF0">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1）本次建设软件内容自项目验收合格免费维护3年，以及基础日常运维、新增设备接入、政策性数据上报支持、行政指令性、政府公益性、院方需求接口免费。 </w:t>
      </w:r>
    </w:p>
    <w:p w14:paraId="3FA09B96">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2）硬件设备均按技术参数要求执行，技术参数未明确的均按设备随箱质保证书为准。</w:t>
      </w:r>
    </w:p>
    <w:p w14:paraId="6521B226">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val="en-US" w:eastAsia="zh-CN"/>
          <w14:textFill>
            <w14:solidFill>
              <w14:schemeClr w14:val="tx1"/>
            </w14:solidFill>
          </w14:textFill>
        </w:rPr>
        <w:t>包一：</w:t>
      </w:r>
      <w:r>
        <w:rPr>
          <w:rFonts w:hint="eastAsia" w:ascii="宋体" w:hAnsi="宋体"/>
          <w:color w:val="000000" w:themeColor="text1"/>
          <w:highlight w:val="none"/>
          <w14:textFill>
            <w14:solidFill>
              <w14:schemeClr w14:val="tx1"/>
            </w14:solidFill>
          </w14:textFill>
        </w:rPr>
        <w:t>提供2名工程师驻场服务3年，该工程师须是参与项目实施的人员之一，中级职称并且有三年以上在职经验。</w:t>
      </w:r>
    </w:p>
    <w:p w14:paraId="64DD5555">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4）响应时间要求接到问题后10分钟内远程响应，如远程无法解决，必须8小时内到达现场解决。</w:t>
      </w:r>
    </w:p>
    <w:p w14:paraId="5128EA04">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5）免费维护期满后，双方友好协商，原则上年维护费用不超本项目软件部分的6%。</w:t>
      </w:r>
    </w:p>
    <w:p w14:paraId="725C92B8">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6）本次建设系统不限站点，包含医院在用的临床业务系统及现有接口运维服务，运维期内增加检查检验设备均免费接入。</w:t>
      </w:r>
    </w:p>
    <w:p w14:paraId="4F929CDE">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r>
        <w:rPr>
          <w:rFonts w:hint="eastAsia" w:ascii="宋体" w:hAnsi="宋体"/>
          <w:color w:val="000000" w:themeColor="text1"/>
          <w:highlight w:val="none"/>
          <w:lang w:val="en-US" w:eastAsia="zh-CN"/>
          <w14:textFill>
            <w14:solidFill>
              <w14:schemeClr w14:val="tx1"/>
            </w14:solidFill>
          </w14:textFill>
        </w:rPr>
        <w:t>包一：</w:t>
      </w:r>
      <w:r>
        <w:rPr>
          <w:rFonts w:hint="eastAsia" w:ascii="宋体" w:hAnsi="宋体"/>
          <w:color w:val="000000" w:themeColor="text1"/>
          <w:highlight w:val="none"/>
          <w14:textFill>
            <w14:solidFill>
              <w14:schemeClr w14:val="tx1"/>
            </w14:solidFill>
          </w14:textFill>
        </w:rPr>
        <w:t>中标人应承诺在3年内对所提供的软件系统出具网络安全三级等保备案证明，测评费用由中标人承担。</w:t>
      </w:r>
    </w:p>
    <w:p w14:paraId="3CA59A51">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8）医院区域医疗中心运行时，投标人须提供人员配合医院信息相关的搬迁，包含软件、硬件、网络等多方面人员，根据新楼业务科室规划进行系统配置实施，保障业务正常开展。</w:t>
      </w:r>
    </w:p>
    <w:p w14:paraId="53F33661">
      <w:pPr>
        <w:ind w:firstLine="411" w:firstLineChars="196"/>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w:t>
      </w:r>
      <w:r>
        <w:rPr>
          <w:rFonts w:hint="eastAsia" w:ascii="宋体" w:hAnsi="宋体"/>
          <w:color w:val="000000" w:themeColor="text1"/>
          <w:highlight w:val="none"/>
          <w:lang w:val="en-US" w:eastAsia="zh-CN"/>
          <w14:textFill>
            <w14:solidFill>
              <w14:schemeClr w14:val="tx1"/>
            </w14:solidFill>
          </w14:textFill>
        </w:rPr>
        <w:t>包一：</w:t>
      </w:r>
      <w:r>
        <w:rPr>
          <w:rFonts w:hint="eastAsia" w:ascii="宋体" w:hAnsi="宋体"/>
          <w:color w:val="000000" w:themeColor="text1"/>
          <w:highlight w:val="none"/>
          <w14:textFill>
            <w14:solidFill>
              <w14:schemeClr w14:val="tx1"/>
            </w14:solidFill>
          </w14:textFill>
        </w:rPr>
        <w:t>由医院和中标人共同指定专业软件测评公司对本次建设的软件进行功能、性能、安全、兼容性、用户体验、压力测试、负载测试、可靠性测试。</w:t>
      </w:r>
    </w:p>
    <w:p w14:paraId="637C0BA7">
      <w:pPr>
        <w:rPr>
          <w:color w:val="000000"/>
          <w:sz w:val="32"/>
          <w:szCs w:val="32"/>
          <w:highlight w:val="none"/>
        </w:rPr>
      </w:pPr>
    </w:p>
    <w:p w14:paraId="52713373">
      <w:pPr>
        <w:pStyle w:val="38"/>
      </w:pPr>
    </w:p>
    <w:p w14:paraId="56E568FC">
      <w:pPr>
        <w:pStyle w:val="2"/>
        <w:jc w:val="both"/>
        <w:rPr>
          <w:rFonts w:hint="eastAsia" w:ascii="宋体" w:hAnsi="宋体"/>
          <w:lang w:val="en-US" w:eastAsia="zh-CN"/>
          <w14:textFill>
            <w14:gradFill>
              <w14:gsLst>
                <w14:gs w14:pos="0">
                  <w14:srgbClr w14:val="FE4444"/>
                </w14:gs>
                <w14:gs w14:pos="100000">
                  <w14:srgbClr w14:val="832B2B"/>
                </w14:gs>
              </w14:gsLst>
              <w14:lin w14:scaled="0"/>
            </w14:gradFill>
          </w14:textFill>
        </w:rPr>
      </w:pPr>
      <w:r>
        <w:rPr>
          <w:rFonts w:hint="eastAsia" w:ascii="宋体" w:hAnsi="宋体"/>
          <w:lang w:val="en-US" w:eastAsia="zh-CN"/>
          <w14:textFill>
            <w14:gradFill>
              <w14:gsLst>
                <w14:gs w14:pos="0">
                  <w14:srgbClr w14:val="FE4444"/>
                </w14:gs>
                <w14:gs w14:pos="100000">
                  <w14:srgbClr w14:val="832B2B"/>
                </w14:gs>
              </w14:gsLst>
              <w14:lin w14:scaled="0"/>
            </w14:gradFill>
          </w14:textFill>
        </w:rPr>
        <w:t>包一：</w:t>
      </w:r>
    </w:p>
    <w:p w14:paraId="5E86A38C">
      <w:pPr>
        <w:pStyle w:val="2"/>
        <w:jc w:val="both"/>
        <w:rPr>
          <w:rFonts w:ascii="宋体" w:hAnsi="宋体"/>
          <w14:textFill>
            <w14:gradFill>
              <w14:gsLst>
                <w14:gs w14:pos="0">
                  <w14:srgbClr w14:val="FE4444"/>
                </w14:gs>
                <w14:gs w14:pos="100000">
                  <w14:srgbClr w14:val="832B2B"/>
                </w14:gs>
              </w14:gsLst>
              <w14:lin w14:scaled="0"/>
            </w14:gradFill>
          </w14:textFill>
        </w:rPr>
      </w:pPr>
      <w:r>
        <w:rPr>
          <w:rFonts w:hint="eastAsia" w:hAnsi="宋体"/>
          <w:lang w:val="en-US" w:eastAsia="zh-CN"/>
          <w14:textFill>
            <w14:gradFill>
              <w14:gsLst>
                <w14:gs w14:pos="0">
                  <w14:srgbClr w14:val="FE4444"/>
                </w14:gs>
                <w14:gs w14:pos="100000">
                  <w14:srgbClr w14:val="832B2B"/>
                </w14:gs>
              </w14:gsLst>
              <w14:lin w14:scaled="0"/>
            </w14:gradFill>
          </w14:textFill>
        </w:rPr>
        <w:t>1.</w:t>
      </w:r>
      <w:r>
        <w:rPr>
          <w:rFonts w:hint="eastAsia" w:ascii="宋体" w:hAnsi="宋体"/>
          <w14:textFill>
            <w14:gradFill>
              <w14:gsLst>
                <w14:gs w14:pos="0">
                  <w14:srgbClr w14:val="FE4444"/>
                </w14:gs>
                <w14:gs w14:pos="100000">
                  <w14:srgbClr w14:val="832B2B"/>
                </w14:gs>
              </w14:gsLst>
              <w14:lin w14:scaled="0"/>
            </w14:gradFill>
          </w14:textFill>
        </w:rPr>
        <w:t>信息化软件清单及详细技术参数</w:t>
      </w:r>
    </w:p>
    <w:tbl>
      <w:tblPr>
        <w:tblStyle w:val="20"/>
        <w:tblW w:w="8620" w:type="dxa"/>
        <w:tblInd w:w="0" w:type="dxa"/>
        <w:tblLayout w:type="autofit"/>
        <w:tblCellMar>
          <w:top w:w="0" w:type="dxa"/>
          <w:left w:w="108" w:type="dxa"/>
          <w:bottom w:w="0" w:type="dxa"/>
          <w:right w:w="108" w:type="dxa"/>
        </w:tblCellMar>
      </w:tblPr>
      <w:tblGrid>
        <w:gridCol w:w="585"/>
        <w:gridCol w:w="1805"/>
        <w:gridCol w:w="1650"/>
        <w:gridCol w:w="2534"/>
        <w:gridCol w:w="654"/>
        <w:gridCol w:w="626"/>
        <w:gridCol w:w="766"/>
      </w:tblGrid>
      <w:tr w14:paraId="18C951A6">
        <w:tblPrEx>
          <w:tblCellMar>
            <w:top w:w="0" w:type="dxa"/>
            <w:left w:w="108" w:type="dxa"/>
            <w:bottom w:w="0" w:type="dxa"/>
            <w:right w:w="108" w:type="dxa"/>
          </w:tblCellMar>
        </w:tblPrEx>
        <w:trPr>
          <w:trHeight w:val="278" w:hRule="atLeast"/>
        </w:trPr>
        <w:tc>
          <w:tcPr>
            <w:tcW w:w="585"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1146661">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序号</w:t>
            </w:r>
          </w:p>
        </w:tc>
        <w:tc>
          <w:tcPr>
            <w:tcW w:w="1805" w:type="dxa"/>
            <w:tcBorders>
              <w:top w:val="single" w:color="auto" w:sz="8" w:space="0"/>
              <w:left w:val="nil"/>
              <w:bottom w:val="single" w:color="auto" w:sz="8" w:space="0"/>
              <w:right w:val="single" w:color="auto" w:sz="8" w:space="0"/>
            </w:tcBorders>
            <w:shd w:val="clear" w:color="auto" w:fill="auto"/>
            <w:noWrap/>
            <w:vAlign w:val="center"/>
          </w:tcPr>
          <w:p w14:paraId="2E783D39">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类别</w:t>
            </w: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785A8661">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模块/子系统名称</w:t>
            </w:r>
          </w:p>
        </w:tc>
        <w:tc>
          <w:tcPr>
            <w:tcW w:w="654" w:type="dxa"/>
            <w:tcBorders>
              <w:top w:val="single" w:color="auto" w:sz="8" w:space="0"/>
              <w:left w:val="nil"/>
              <w:bottom w:val="single" w:color="auto" w:sz="8" w:space="0"/>
              <w:right w:val="single" w:color="auto" w:sz="8" w:space="0"/>
            </w:tcBorders>
            <w:shd w:val="clear" w:color="auto" w:fill="auto"/>
            <w:noWrap/>
            <w:vAlign w:val="center"/>
          </w:tcPr>
          <w:p w14:paraId="5EB74F3A">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单位</w:t>
            </w:r>
          </w:p>
        </w:tc>
        <w:tc>
          <w:tcPr>
            <w:tcW w:w="626" w:type="dxa"/>
            <w:tcBorders>
              <w:top w:val="single" w:color="auto" w:sz="8" w:space="0"/>
              <w:left w:val="nil"/>
              <w:bottom w:val="single" w:color="auto" w:sz="8" w:space="0"/>
              <w:right w:val="single" w:color="auto" w:sz="8" w:space="0"/>
            </w:tcBorders>
            <w:shd w:val="clear" w:color="auto" w:fill="auto"/>
            <w:noWrap/>
            <w:vAlign w:val="center"/>
          </w:tcPr>
          <w:p w14:paraId="50FB4A15">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数量</w:t>
            </w:r>
          </w:p>
        </w:tc>
        <w:tc>
          <w:tcPr>
            <w:tcW w:w="766" w:type="dxa"/>
            <w:tcBorders>
              <w:top w:val="single" w:color="auto" w:sz="8" w:space="0"/>
              <w:left w:val="nil"/>
              <w:bottom w:val="single" w:color="auto" w:sz="8" w:space="0"/>
              <w:right w:val="single" w:color="auto" w:sz="8" w:space="0"/>
            </w:tcBorders>
            <w:shd w:val="clear" w:color="auto" w:fill="auto"/>
            <w:noWrap/>
            <w:vAlign w:val="center"/>
          </w:tcPr>
          <w:p w14:paraId="051B4378">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备注</w:t>
            </w:r>
          </w:p>
        </w:tc>
      </w:tr>
      <w:tr w14:paraId="546F9A94">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F9A66C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1805" w:type="dxa"/>
            <w:vMerge w:val="restart"/>
            <w:tcBorders>
              <w:top w:val="nil"/>
              <w:left w:val="single" w:color="auto" w:sz="8" w:space="0"/>
              <w:bottom w:val="single" w:color="000000" w:sz="8" w:space="0"/>
              <w:right w:val="single" w:color="auto" w:sz="8" w:space="0"/>
            </w:tcBorders>
            <w:shd w:val="clear" w:color="auto" w:fill="auto"/>
            <w:noWrap/>
            <w:vAlign w:val="center"/>
          </w:tcPr>
          <w:p w14:paraId="5AE867DD">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医院信息集成平台升级扩展</w:t>
            </w: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69F56BA5">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医院信息集成引擎</w:t>
            </w:r>
          </w:p>
        </w:tc>
        <w:tc>
          <w:tcPr>
            <w:tcW w:w="654" w:type="dxa"/>
            <w:tcBorders>
              <w:top w:val="nil"/>
              <w:left w:val="nil"/>
              <w:bottom w:val="single" w:color="auto" w:sz="8" w:space="0"/>
              <w:right w:val="single" w:color="auto" w:sz="8" w:space="0"/>
            </w:tcBorders>
            <w:shd w:val="clear" w:color="auto" w:fill="auto"/>
            <w:noWrap/>
            <w:vAlign w:val="center"/>
          </w:tcPr>
          <w:p w14:paraId="34E535D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F11D1D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F28898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E54C5E9">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12DB65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w:t>
            </w:r>
          </w:p>
        </w:tc>
        <w:tc>
          <w:tcPr>
            <w:tcW w:w="1805" w:type="dxa"/>
            <w:vMerge w:val="continue"/>
            <w:tcBorders>
              <w:top w:val="nil"/>
              <w:left w:val="single" w:color="auto" w:sz="8" w:space="0"/>
              <w:bottom w:val="single" w:color="000000" w:sz="8" w:space="0"/>
              <w:right w:val="single" w:color="auto" w:sz="8" w:space="0"/>
            </w:tcBorders>
            <w:vAlign w:val="center"/>
          </w:tcPr>
          <w:p w14:paraId="422FAC44">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4F872155">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集成平台管理</w:t>
            </w:r>
          </w:p>
        </w:tc>
        <w:tc>
          <w:tcPr>
            <w:tcW w:w="654" w:type="dxa"/>
            <w:tcBorders>
              <w:top w:val="nil"/>
              <w:left w:val="nil"/>
              <w:bottom w:val="single" w:color="auto" w:sz="8" w:space="0"/>
              <w:right w:val="single" w:color="auto" w:sz="8" w:space="0"/>
            </w:tcBorders>
            <w:shd w:val="clear" w:color="auto" w:fill="auto"/>
            <w:noWrap/>
            <w:vAlign w:val="center"/>
          </w:tcPr>
          <w:p w14:paraId="3E9BC94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A9276D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295C6A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A68735B">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A64827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w:t>
            </w:r>
          </w:p>
        </w:tc>
        <w:tc>
          <w:tcPr>
            <w:tcW w:w="1805" w:type="dxa"/>
            <w:vMerge w:val="continue"/>
            <w:tcBorders>
              <w:top w:val="nil"/>
              <w:left w:val="single" w:color="auto" w:sz="8" w:space="0"/>
              <w:bottom w:val="single" w:color="000000" w:sz="8" w:space="0"/>
              <w:right w:val="single" w:color="auto" w:sz="8" w:space="0"/>
            </w:tcBorders>
            <w:vAlign w:val="center"/>
          </w:tcPr>
          <w:p w14:paraId="0A504D52">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77787387">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集成平台监控</w:t>
            </w:r>
          </w:p>
        </w:tc>
        <w:tc>
          <w:tcPr>
            <w:tcW w:w="654" w:type="dxa"/>
            <w:tcBorders>
              <w:top w:val="nil"/>
              <w:left w:val="nil"/>
              <w:bottom w:val="single" w:color="auto" w:sz="8" w:space="0"/>
              <w:right w:val="single" w:color="auto" w:sz="8" w:space="0"/>
            </w:tcBorders>
            <w:shd w:val="clear" w:color="auto" w:fill="auto"/>
            <w:noWrap/>
            <w:vAlign w:val="center"/>
          </w:tcPr>
          <w:p w14:paraId="0E826C5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5FB5D4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908E60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3B7D230">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6B95B7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w:t>
            </w:r>
          </w:p>
        </w:tc>
        <w:tc>
          <w:tcPr>
            <w:tcW w:w="1805" w:type="dxa"/>
            <w:vMerge w:val="continue"/>
            <w:tcBorders>
              <w:top w:val="nil"/>
              <w:left w:val="single" w:color="auto" w:sz="8" w:space="0"/>
              <w:bottom w:val="single" w:color="000000" w:sz="8" w:space="0"/>
              <w:right w:val="single" w:color="auto" w:sz="8" w:space="0"/>
            </w:tcBorders>
            <w:vAlign w:val="center"/>
          </w:tcPr>
          <w:p w14:paraId="62287F10">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13B35BD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主数据管理系统</w:t>
            </w:r>
          </w:p>
        </w:tc>
        <w:tc>
          <w:tcPr>
            <w:tcW w:w="654" w:type="dxa"/>
            <w:tcBorders>
              <w:top w:val="nil"/>
              <w:left w:val="nil"/>
              <w:bottom w:val="single" w:color="auto" w:sz="8" w:space="0"/>
              <w:right w:val="single" w:color="auto" w:sz="8" w:space="0"/>
            </w:tcBorders>
            <w:shd w:val="clear" w:color="auto" w:fill="auto"/>
            <w:noWrap/>
            <w:vAlign w:val="center"/>
          </w:tcPr>
          <w:p w14:paraId="14A51C5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E673E3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7C7695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60594C6">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AAAEE9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w:t>
            </w:r>
          </w:p>
        </w:tc>
        <w:tc>
          <w:tcPr>
            <w:tcW w:w="1805" w:type="dxa"/>
            <w:vMerge w:val="continue"/>
            <w:tcBorders>
              <w:top w:val="nil"/>
              <w:left w:val="single" w:color="auto" w:sz="8" w:space="0"/>
              <w:bottom w:val="single" w:color="000000" w:sz="8" w:space="0"/>
              <w:right w:val="single" w:color="auto" w:sz="8" w:space="0"/>
            </w:tcBorders>
            <w:vAlign w:val="center"/>
          </w:tcPr>
          <w:p w14:paraId="63B4ECF3">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7FE782A5">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服务统一订阅发布</w:t>
            </w:r>
          </w:p>
        </w:tc>
        <w:tc>
          <w:tcPr>
            <w:tcW w:w="654" w:type="dxa"/>
            <w:tcBorders>
              <w:top w:val="nil"/>
              <w:left w:val="nil"/>
              <w:bottom w:val="single" w:color="auto" w:sz="8" w:space="0"/>
              <w:right w:val="single" w:color="auto" w:sz="8" w:space="0"/>
            </w:tcBorders>
            <w:shd w:val="clear" w:color="auto" w:fill="auto"/>
            <w:noWrap/>
            <w:vAlign w:val="center"/>
          </w:tcPr>
          <w:p w14:paraId="0D01374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C79A16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2F1A3C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1BFB067">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893BE4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w:t>
            </w:r>
          </w:p>
        </w:tc>
        <w:tc>
          <w:tcPr>
            <w:tcW w:w="1805" w:type="dxa"/>
            <w:vMerge w:val="continue"/>
            <w:tcBorders>
              <w:top w:val="nil"/>
              <w:left w:val="single" w:color="auto" w:sz="8" w:space="0"/>
              <w:bottom w:val="single" w:color="000000" w:sz="8" w:space="0"/>
              <w:right w:val="single" w:color="auto" w:sz="8" w:space="0"/>
            </w:tcBorders>
            <w:vAlign w:val="center"/>
          </w:tcPr>
          <w:p w14:paraId="687467B3">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7AD4AD88">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统一身份认证系统</w:t>
            </w:r>
          </w:p>
        </w:tc>
        <w:tc>
          <w:tcPr>
            <w:tcW w:w="654" w:type="dxa"/>
            <w:tcBorders>
              <w:top w:val="nil"/>
              <w:left w:val="nil"/>
              <w:bottom w:val="single" w:color="auto" w:sz="8" w:space="0"/>
              <w:right w:val="single" w:color="auto" w:sz="8" w:space="0"/>
            </w:tcBorders>
            <w:shd w:val="clear" w:color="auto" w:fill="auto"/>
            <w:noWrap/>
            <w:vAlign w:val="center"/>
          </w:tcPr>
          <w:p w14:paraId="3A0735C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944115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83A32D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4FE8DAF8">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0AE12E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w:t>
            </w:r>
          </w:p>
        </w:tc>
        <w:tc>
          <w:tcPr>
            <w:tcW w:w="1805" w:type="dxa"/>
            <w:vMerge w:val="continue"/>
            <w:tcBorders>
              <w:top w:val="nil"/>
              <w:left w:val="single" w:color="auto" w:sz="8" w:space="0"/>
              <w:bottom w:val="single" w:color="000000" w:sz="8" w:space="0"/>
              <w:right w:val="single" w:color="auto" w:sz="8" w:space="0"/>
            </w:tcBorders>
            <w:vAlign w:val="center"/>
          </w:tcPr>
          <w:p w14:paraId="602CFD37">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489CFC29">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交互服务（数据采集交换平台）</w:t>
            </w:r>
          </w:p>
        </w:tc>
        <w:tc>
          <w:tcPr>
            <w:tcW w:w="654" w:type="dxa"/>
            <w:tcBorders>
              <w:top w:val="nil"/>
              <w:left w:val="nil"/>
              <w:bottom w:val="single" w:color="auto" w:sz="8" w:space="0"/>
              <w:right w:val="single" w:color="auto" w:sz="8" w:space="0"/>
            </w:tcBorders>
            <w:shd w:val="clear" w:color="auto" w:fill="auto"/>
            <w:noWrap/>
            <w:vAlign w:val="center"/>
          </w:tcPr>
          <w:p w14:paraId="3D1DC4D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3CE6E95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A7BFBC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2DA9DE5">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7B77C2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w:t>
            </w:r>
          </w:p>
        </w:tc>
        <w:tc>
          <w:tcPr>
            <w:tcW w:w="1805" w:type="dxa"/>
            <w:vMerge w:val="continue"/>
            <w:tcBorders>
              <w:top w:val="nil"/>
              <w:left w:val="single" w:color="auto" w:sz="8" w:space="0"/>
              <w:bottom w:val="single" w:color="000000" w:sz="8" w:space="0"/>
              <w:right w:val="single" w:color="auto" w:sz="8" w:space="0"/>
            </w:tcBorders>
            <w:vAlign w:val="center"/>
          </w:tcPr>
          <w:p w14:paraId="464D6A6A">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6E6782E5">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结构化共享文档（CDA）</w:t>
            </w:r>
          </w:p>
        </w:tc>
        <w:tc>
          <w:tcPr>
            <w:tcW w:w="654" w:type="dxa"/>
            <w:tcBorders>
              <w:top w:val="nil"/>
              <w:left w:val="nil"/>
              <w:bottom w:val="single" w:color="auto" w:sz="8" w:space="0"/>
              <w:right w:val="single" w:color="auto" w:sz="8" w:space="0"/>
            </w:tcBorders>
            <w:shd w:val="clear" w:color="auto" w:fill="auto"/>
            <w:noWrap/>
            <w:vAlign w:val="center"/>
          </w:tcPr>
          <w:p w14:paraId="32C056C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3F9E57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652B94F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3FC9E3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C459D0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w:t>
            </w:r>
          </w:p>
        </w:tc>
        <w:tc>
          <w:tcPr>
            <w:tcW w:w="1805" w:type="dxa"/>
            <w:vMerge w:val="continue"/>
            <w:tcBorders>
              <w:top w:val="nil"/>
              <w:left w:val="single" w:color="auto" w:sz="8" w:space="0"/>
              <w:bottom w:val="single" w:color="000000" w:sz="8" w:space="0"/>
              <w:right w:val="single" w:color="auto" w:sz="8" w:space="0"/>
            </w:tcBorders>
            <w:vAlign w:val="center"/>
          </w:tcPr>
          <w:p w14:paraId="05424D6D">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7914CCC6">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医学术语标准化服务管理</w:t>
            </w:r>
          </w:p>
        </w:tc>
        <w:tc>
          <w:tcPr>
            <w:tcW w:w="654" w:type="dxa"/>
            <w:tcBorders>
              <w:top w:val="nil"/>
              <w:left w:val="nil"/>
              <w:bottom w:val="single" w:color="auto" w:sz="8" w:space="0"/>
              <w:right w:val="single" w:color="auto" w:sz="8" w:space="0"/>
            </w:tcBorders>
            <w:shd w:val="clear" w:color="auto" w:fill="auto"/>
            <w:noWrap/>
            <w:vAlign w:val="center"/>
          </w:tcPr>
          <w:p w14:paraId="31D1366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FF10B5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18BF21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84857A9">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2A0B59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w:t>
            </w:r>
          </w:p>
        </w:tc>
        <w:tc>
          <w:tcPr>
            <w:tcW w:w="1805" w:type="dxa"/>
            <w:vMerge w:val="continue"/>
            <w:tcBorders>
              <w:top w:val="nil"/>
              <w:left w:val="single" w:color="auto" w:sz="8" w:space="0"/>
              <w:bottom w:val="single" w:color="000000" w:sz="8" w:space="0"/>
              <w:right w:val="single" w:color="auto" w:sz="8" w:space="0"/>
            </w:tcBorders>
            <w:vAlign w:val="center"/>
          </w:tcPr>
          <w:p w14:paraId="432F9895">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0330260E">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患者主索引管理</w:t>
            </w:r>
          </w:p>
        </w:tc>
        <w:tc>
          <w:tcPr>
            <w:tcW w:w="654" w:type="dxa"/>
            <w:tcBorders>
              <w:top w:val="nil"/>
              <w:left w:val="nil"/>
              <w:bottom w:val="single" w:color="auto" w:sz="8" w:space="0"/>
              <w:right w:val="single" w:color="auto" w:sz="8" w:space="0"/>
            </w:tcBorders>
            <w:shd w:val="clear" w:color="auto" w:fill="auto"/>
            <w:noWrap/>
            <w:vAlign w:val="center"/>
          </w:tcPr>
          <w:p w14:paraId="5467C81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269498F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856998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522DFC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5B462F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w:t>
            </w:r>
          </w:p>
        </w:tc>
        <w:tc>
          <w:tcPr>
            <w:tcW w:w="1805" w:type="dxa"/>
            <w:vMerge w:val="restart"/>
            <w:tcBorders>
              <w:top w:val="nil"/>
              <w:left w:val="single" w:color="auto" w:sz="8" w:space="0"/>
              <w:bottom w:val="single" w:color="000000" w:sz="8" w:space="0"/>
              <w:right w:val="single" w:color="auto" w:sz="8" w:space="0"/>
            </w:tcBorders>
            <w:shd w:val="clear" w:color="auto" w:fill="auto"/>
            <w:noWrap/>
            <w:vAlign w:val="center"/>
          </w:tcPr>
          <w:p w14:paraId="47C128A8">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数据中心</w:t>
            </w: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1ED8064D">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临床数据中心（CDR）</w:t>
            </w:r>
          </w:p>
        </w:tc>
        <w:tc>
          <w:tcPr>
            <w:tcW w:w="654" w:type="dxa"/>
            <w:tcBorders>
              <w:top w:val="nil"/>
              <w:left w:val="nil"/>
              <w:bottom w:val="single" w:color="auto" w:sz="8" w:space="0"/>
              <w:right w:val="single" w:color="auto" w:sz="8" w:space="0"/>
            </w:tcBorders>
            <w:shd w:val="clear" w:color="auto" w:fill="auto"/>
            <w:noWrap/>
            <w:vAlign w:val="center"/>
          </w:tcPr>
          <w:p w14:paraId="10D41F8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CC3E66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6039ED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7EBA0C3">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2D32E1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w:t>
            </w:r>
          </w:p>
        </w:tc>
        <w:tc>
          <w:tcPr>
            <w:tcW w:w="1805" w:type="dxa"/>
            <w:vMerge w:val="continue"/>
            <w:tcBorders>
              <w:top w:val="nil"/>
              <w:left w:val="single" w:color="auto" w:sz="8" w:space="0"/>
              <w:bottom w:val="single" w:color="000000" w:sz="8" w:space="0"/>
              <w:right w:val="single" w:color="auto" w:sz="8" w:space="0"/>
            </w:tcBorders>
            <w:vAlign w:val="center"/>
          </w:tcPr>
          <w:p w14:paraId="2186548F">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3D22598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运营数据中心（ODR）</w:t>
            </w:r>
          </w:p>
        </w:tc>
        <w:tc>
          <w:tcPr>
            <w:tcW w:w="654" w:type="dxa"/>
            <w:tcBorders>
              <w:top w:val="nil"/>
              <w:left w:val="nil"/>
              <w:bottom w:val="single" w:color="auto" w:sz="8" w:space="0"/>
              <w:right w:val="single" w:color="auto" w:sz="8" w:space="0"/>
            </w:tcBorders>
            <w:shd w:val="clear" w:color="auto" w:fill="auto"/>
            <w:noWrap/>
            <w:vAlign w:val="center"/>
          </w:tcPr>
          <w:p w14:paraId="5EB719D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C81877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89AA52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6F91813">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47B052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13</w:t>
            </w:r>
          </w:p>
        </w:tc>
        <w:tc>
          <w:tcPr>
            <w:tcW w:w="1805" w:type="dxa"/>
            <w:vMerge w:val="continue"/>
            <w:tcBorders>
              <w:top w:val="nil"/>
              <w:left w:val="single" w:color="auto" w:sz="8" w:space="0"/>
              <w:bottom w:val="single" w:color="000000" w:sz="8" w:space="0"/>
              <w:right w:val="single" w:color="auto" w:sz="8" w:space="0"/>
            </w:tcBorders>
            <w:vAlign w:val="center"/>
          </w:tcPr>
          <w:p w14:paraId="1EED4C7C">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67EC82E8">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医疗大数据分析平台（BI）</w:t>
            </w:r>
          </w:p>
        </w:tc>
        <w:tc>
          <w:tcPr>
            <w:tcW w:w="654" w:type="dxa"/>
            <w:tcBorders>
              <w:top w:val="nil"/>
              <w:left w:val="nil"/>
              <w:bottom w:val="single" w:color="auto" w:sz="8" w:space="0"/>
              <w:right w:val="single" w:color="auto" w:sz="8" w:space="0"/>
            </w:tcBorders>
            <w:shd w:val="clear" w:color="auto" w:fill="auto"/>
            <w:noWrap/>
            <w:vAlign w:val="center"/>
          </w:tcPr>
          <w:p w14:paraId="454CEBB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044228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B044BA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0E69E17">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0810B0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14</w:t>
            </w:r>
          </w:p>
        </w:tc>
        <w:tc>
          <w:tcPr>
            <w:tcW w:w="1805" w:type="dxa"/>
            <w:vMerge w:val="continue"/>
            <w:tcBorders>
              <w:top w:val="nil"/>
              <w:left w:val="single" w:color="auto" w:sz="8" w:space="0"/>
              <w:bottom w:val="single" w:color="000000" w:sz="8" w:space="0"/>
              <w:right w:val="single" w:color="auto" w:sz="8" w:space="0"/>
            </w:tcBorders>
            <w:vAlign w:val="center"/>
          </w:tcPr>
          <w:p w14:paraId="5448DA36">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2EDCD517">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医院运营决策分析系统（ODR）</w:t>
            </w:r>
          </w:p>
        </w:tc>
        <w:tc>
          <w:tcPr>
            <w:tcW w:w="654" w:type="dxa"/>
            <w:tcBorders>
              <w:top w:val="nil"/>
              <w:left w:val="nil"/>
              <w:bottom w:val="single" w:color="auto" w:sz="8" w:space="0"/>
              <w:right w:val="single" w:color="auto" w:sz="8" w:space="0"/>
            </w:tcBorders>
            <w:shd w:val="clear" w:color="auto" w:fill="auto"/>
            <w:noWrap/>
            <w:vAlign w:val="center"/>
          </w:tcPr>
          <w:p w14:paraId="0E15574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2BC8C14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D896A8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D4D7B7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915E50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15</w:t>
            </w:r>
          </w:p>
        </w:tc>
        <w:tc>
          <w:tcPr>
            <w:tcW w:w="1805" w:type="dxa"/>
            <w:vMerge w:val="continue"/>
            <w:tcBorders>
              <w:top w:val="nil"/>
              <w:left w:val="single" w:color="auto" w:sz="8" w:space="0"/>
              <w:bottom w:val="single" w:color="000000" w:sz="8" w:space="0"/>
              <w:right w:val="single" w:color="auto" w:sz="8" w:space="0"/>
            </w:tcBorders>
            <w:vAlign w:val="center"/>
          </w:tcPr>
          <w:p w14:paraId="0A5BBE62">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4F854AF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三级公立医院绩效考核指标系统</w:t>
            </w:r>
          </w:p>
        </w:tc>
        <w:tc>
          <w:tcPr>
            <w:tcW w:w="654" w:type="dxa"/>
            <w:tcBorders>
              <w:top w:val="nil"/>
              <w:left w:val="nil"/>
              <w:bottom w:val="single" w:color="auto" w:sz="8" w:space="0"/>
              <w:right w:val="single" w:color="auto" w:sz="8" w:space="0"/>
            </w:tcBorders>
            <w:shd w:val="clear" w:color="auto" w:fill="auto"/>
            <w:noWrap/>
            <w:vAlign w:val="center"/>
          </w:tcPr>
          <w:p w14:paraId="4081A15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391C74F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23F1C0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73AF39B">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933367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16</w:t>
            </w:r>
          </w:p>
        </w:tc>
        <w:tc>
          <w:tcPr>
            <w:tcW w:w="1805" w:type="dxa"/>
            <w:vMerge w:val="continue"/>
            <w:tcBorders>
              <w:top w:val="nil"/>
              <w:left w:val="single" w:color="auto" w:sz="8" w:space="0"/>
              <w:bottom w:val="single" w:color="000000" w:sz="8" w:space="0"/>
              <w:right w:val="single" w:color="auto" w:sz="8" w:space="0"/>
            </w:tcBorders>
            <w:vAlign w:val="center"/>
          </w:tcPr>
          <w:p w14:paraId="3195B2D0">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6C165EAF">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数据质量管理</w:t>
            </w:r>
          </w:p>
        </w:tc>
        <w:tc>
          <w:tcPr>
            <w:tcW w:w="654" w:type="dxa"/>
            <w:tcBorders>
              <w:top w:val="nil"/>
              <w:left w:val="nil"/>
              <w:bottom w:val="single" w:color="auto" w:sz="8" w:space="0"/>
              <w:right w:val="single" w:color="auto" w:sz="8" w:space="0"/>
            </w:tcBorders>
            <w:shd w:val="clear" w:color="auto" w:fill="auto"/>
            <w:noWrap/>
            <w:vAlign w:val="center"/>
          </w:tcPr>
          <w:p w14:paraId="631A668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70780B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433580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1B92276">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2D47B7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17</w:t>
            </w:r>
          </w:p>
        </w:tc>
        <w:tc>
          <w:tcPr>
            <w:tcW w:w="1805" w:type="dxa"/>
            <w:vMerge w:val="continue"/>
            <w:tcBorders>
              <w:top w:val="nil"/>
              <w:left w:val="single" w:color="auto" w:sz="8" w:space="0"/>
              <w:bottom w:val="single" w:color="000000" w:sz="8" w:space="0"/>
              <w:right w:val="single" w:color="auto" w:sz="8" w:space="0"/>
            </w:tcBorders>
            <w:vAlign w:val="center"/>
          </w:tcPr>
          <w:p w14:paraId="4DABB96D">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457135C2">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指标标准管理</w:t>
            </w:r>
          </w:p>
        </w:tc>
        <w:tc>
          <w:tcPr>
            <w:tcW w:w="654" w:type="dxa"/>
            <w:tcBorders>
              <w:top w:val="nil"/>
              <w:left w:val="nil"/>
              <w:bottom w:val="single" w:color="auto" w:sz="8" w:space="0"/>
              <w:right w:val="single" w:color="auto" w:sz="8" w:space="0"/>
            </w:tcBorders>
            <w:shd w:val="clear" w:color="auto" w:fill="auto"/>
            <w:noWrap/>
            <w:vAlign w:val="center"/>
          </w:tcPr>
          <w:p w14:paraId="1D761C6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D0DDDB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731259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9A6F2C2">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12FD88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18</w:t>
            </w:r>
          </w:p>
        </w:tc>
        <w:tc>
          <w:tcPr>
            <w:tcW w:w="1805" w:type="dxa"/>
            <w:vMerge w:val="continue"/>
            <w:tcBorders>
              <w:top w:val="nil"/>
              <w:left w:val="single" w:color="auto" w:sz="8" w:space="0"/>
              <w:bottom w:val="single" w:color="000000" w:sz="8" w:space="0"/>
              <w:right w:val="single" w:color="auto" w:sz="8" w:space="0"/>
            </w:tcBorders>
            <w:vAlign w:val="center"/>
          </w:tcPr>
          <w:p w14:paraId="031D4BCF">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6129F916">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三级公立医院评审指标管理</w:t>
            </w:r>
          </w:p>
        </w:tc>
        <w:tc>
          <w:tcPr>
            <w:tcW w:w="654" w:type="dxa"/>
            <w:tcBorders>
              <w:top w:val="nil"/>
              <w:left w:val="nil"/>
              <w:bottom w:val="single" w:color="auto" w:sz="8" w:space="0"/>
              <w:right w:val="single" w:color="auto" w:sz="8" w:space="0"/>
            </w:tcBorders>
            <w:shd w:val="clear" w:color="auto" w:fill="auto"/>
            <w:noWrap/>
            <w:vAlign w:val="center"/>
          </w:tcPr>
          <w:p w14:paraId="05135CE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29E0FE4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FD2301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0E3466B">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11EF1B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19</w:t>
            </w:r>
          </w:p>
        </w:tc>
        <w:tc>
          <w:tcPr>
            <w:tcW w:w="1805" w:type="dxa"/>
            <w:vMerge w:val="continue"/>
            <w:tcBorders>
              <w:top w:val="nil"/>
              <w:left w:val="single" w:color="auto" w:sz="8" w:space="0"/>
              <w:bottom w:val="single" w:color="000000" w:sz="8" w:space="0"/>
              <w:right w:val="single" w:color="auto" w:sz="8" w:space="0"/>
            </w:tcBorders>
            <w:vAlign w:val="center"/>
          </w:tcPr>
          <w:p w14:paraId="55F8D759">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575B7B74">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医疗大数据移动端</w:t>
            </w:r>
          </w:p>
        </w:tc>
        <w:tc>
          <w:tcPr>
            <w:tcW w:w="654" w:type="dxa"/>
            <w:tcBorders>
              <w:top w:val="nil"/>
              <w:left w:val="nil"/>
              <w:bottom w:val="single" w:color="auto" w:sz="8" w:space="0"/>
              <w:right w:val="single" w:color="auto" w:sz="8" w:space="0"/>
            </w:tcBorders>
            <w:shd w:val="clear" w:color="auto" w:fill="auto"/>
            <w:noWrap/>
            <w:vAlign w:val="center"/>
          </w:tcPr>
          <w:p w14:paraId="12EE09D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FBCEAB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51B1D9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857022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1C29F3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20</w:t>
            </w:r>
          </w:p>
        </w:tc>
        <w:tc>
          <w:tcPr>
            <w:tcW w:w="1805" w:type="dxa"/>
            <w:vMerge w:val="continue"/>
            <w:tcBorders>
              <w:top w:val="nil"/>
              <w:left w:val="single" w:color="auto" w:sz="8" w:space="0"/>
              <w:bottom w:val="single" w:color="000000" w:sz="8" w:space="0"/>
              <w:right w:val="single" w:color="auto" w:sz="8" w:space="0"/>
            </w:tcBorders>
            <w:vAlign w:val="center"/>
          </w:tcPr>
          <w:p w14:paraId="3000916A">
            <w:pPr>
              <w:widowControl/>
              <w:spacing w:line="276" w:lineRule="auto"/>
              <w:jc w:val="left"/>
              <w:rPr>
                <w:rFonts w:ascii="宋体" w:hAnsi="宋体" w:eastAsia="宋体" w:cs="Tahoma"/>
                <w:b/>
                <w:bCs/>
                <w:color w:val="000000"/>
                <w:kern w:val="0"/>
                <w:sz w:val="21"/>
                <w:szCs w:val="21"/>
              </w:rPr>
            </w:pPr>
          </w:p>
        </w:tc>
        <w:tc>
          <w:tcPr>
            <w:tcW w:w="4184" w:type="dxa"/>
            <w:gridSpan w:val="2"/>
            <w:tcBorders>
              <w:top w:val="single" w:color="auto" w:sz="8" w:space="0"/>
              <w:left w:val="nil"/>
              <w:bottom w:val="single" w:color="auto" w:sz="8" w:space="0"/>
              <w:right w:val="single" w:color="000000" w:sz="8" w:space="0"/>
            </w:tcBorders>
            <w:shd w:val="clear" w:color="auto" w:fill="auto"/>
            <w:noWrap/>
            <w:vAlign w:val="center"/>
          </w:tcPr>
          <w:p w14:paraId="6A562AF9">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患者360可视化系统</w:t>
            </w:r>
          </w:p>
        </w:tc>
        <w:tc>
          <w:tcPr>
            <w:tcW w:w="654" w:type="dxa"/>
            <w:tcBorders>
              <w:top w:val="nil"/>
              <w:left w:val="nil"/>
              <w:bottom w:val="single" w:color="auto" w:sz="8" w:space="0"/>
              <w:right w:val="single" w:color="auto" w:sz="8" w:space="0"/>
            </w:tcBorders>
            <w:shd w:val="clear" w:color="auto" w:fill="auto"/>
            <w:noWrap/>
            <w:vAlign w:val="center"/>
          </w:tcPr>
          <w:p w14:paraId="4DAC511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1FD1CB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52C280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9C7F260">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617570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21</w:t>
            </w:r>
          </w:p>
        </w:tc>
        <w:tc>
          <w:tcPr>
            <w:tcW w:w="1805" w:type="dxa"/>
            <w:vMerge w:val="restart"/>
            <w:tcBorders>
              <w:top w:val="nil"/>
              <w:left w:val="single" w:color="auto" w:sz="8" w:space="0"/>
              <w:bottom w:val="single" w:color="000000" w:sz="8" w:space="0"/>
              <w:right w:val="single" w:color="auto" w:sz="8" w:space="0"/>
            </w:tcBorders>
            <w:shd w:val="clear" w:color="auto" w:fill="auto"/>
            <w:noWrap/>
            <w:vAlign w:val="center"/>
          </w:tcPr>
          <w:p w14:paraId="223B6247">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HIS系统管理新增</w:t>
            </w:r>
          </w:p>
        </w:tc>
        <w:tc>
          <w:tcPr>
            <w:tcW w:w="1650" w:type="dxa"/>
            <w:vMerge w:val="restart"/>
            <w:tcBorders>
              <w:top w:val="nil"/>
              <w:left w:val="single" w:color="auto" w:sz="8" w:space="0"/>
              <w:bottom w:val="single" w:color="000000" w:sz="8" w:space="0"/>
              <w:right w:val="single" w:color="auto" w:sz="8" w:space="0"/>
            </w:tcBorders>
            <w:shd w:val="clear" w:color="auto" w:fill="auto"/>
            <w:noWrap/>
            <w:vAlign w:val="center"/>
          </w:tcPr>
          <w:p w14:paraId="0687D69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现有HIS系统标准化改造</w:t>
            </w:r>
          </w:p>
        </w:tc>
        <w:tc>
          <w:tcPr>
            <w:tcW w:w="2534" w:type="dxa"/>
            <w:tcBorders>
              <w:top w:val="nil"/>
              <w:left w:val="nil"/>
              <w:bottom w:val="single" w:color="auto" w:sz="8" w:space="0"/>
              <w:right w:val="single" w:color="auto" w:sz="8" w:space="0"/>
            </w:tcBorders>
            <w:shd w:val="clear" w:color="auto" w:fill="auto"/>
            <w:noWrap/>
            <w:vAlign w:val="center"/>
          </w:tcPr>
          <w:p w14:paraId="45324AE8">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门诊收费、挂号系统</w:t>
            </w:r>
          </w:p>
        </w:tc>
        <w:tc>
          <w:tcPr>
            <w:tcW w:w="654" w:type="dxa"/>
            <w:tcBorders>
              <w:top w:val="nil"/>
              <w:left w:val="nil"/>
              <w:bottom w:val="single" w:color="auto" w:sz="8" w:space="0"/>
              <w:right w:val="single" w:color="auto" w:sz="8" w:space="0"/>
            </w:tcBorders>
            <w:shd w:val="clear" w:color="auto" w:fill="auto"/>
            <w:noWrap/>
            <w:vAlign w:val="center"/>
          </w:tcPr>
          <w:p w14:paraId="183D120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28D115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B95C27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5369F85">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49D6C8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22</w:t>
            </w:r>
          </w:p>
        </w:tc>
        <w:tc>
          <w:tcPr>
            <w:tcW w:w="1805" w:type="dxa"/>
            <w:vMerge w:val="continue"/>
            <w:tcBorders>
              <w:top w:val="nil"/>
              <w:left w:val="single" w:color="auto" w:sz="8" w:space="0"/>
              <w:bottom w:val="single" w:color="000000" w:sz="8" w:space="0"/>
              <w:right w:val="single" w:color="auto" w:sz="8" w:space="0"/>
            </w:tcBorders>
            <w:vAlign w:val="center"/>
          </w:tcPr>
          <w:p w14:paraId="189D5BD3">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F5ED43C">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BCCAC82">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住院结算系统</w:t>
            </w:r>
          </w:p>
        </w:tc>
        <w:tc>
          <w:tcPr>
            <w:tcW w:w="654" w:type="dxa"/>
            <w:tcBorders>
              <w:top w:val="nil"/>
              <w:left w:val="nil"/>
              <w:bottom w:val="single" w:color="auto" w:sz="8" w:space="0"/>
              <w:right w:val="single" w:color="auto" w:sz="8" w:space="0"/>
            </w:tcBorders>
            <w:shd w:val="clear" w:color="auto" w:fill="auto"/>
            <w:noWrap/>
            <w:vAlign w:val="center"/>
          </w:tcPr>
          <w:p w14:paraId="17127BA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BB5A81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B33A13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133AE49">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1AD2E8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23</w:t>
            </w:r>
          </w:p>
        </w:tc>
        <w:tc>
          <w:tcPr>
            <w:tcW w:w="1805" w:type="dxa"/>
            <w:vMerge w:val="continue"/>
            <w:tcBorders>
              <w:top w:val="nil"/>
              <w:left w:val="single" w:color="auto" w:sz="8" w:space="0"/>
              <w:bottom w:val="single" w:color="000000" w:sz="8" w:space="0"/>
              <w:right w:val="single" w:color="auto" w:sz="8" w:space="0"/>
            </w:tcBorders>
            <w:vAlign w:val="center"/>
          </w:tcPr>
          <w:p w14:paraId="3EE59AAB">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4129E8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7C09DC7">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住院入出转管理系统</w:t>
            </w:r>
          </w:p>
        </w:tc>
        <w:tc>
          <w:tcPr>
            <w:tcW w:w="654" w:type="dxa"/>
            <w:tcBorders>
              <w:top w:val="nil"/>
              <w:left w:val="nil"/>
              <w:bottom w:val="single" w:color="auto" w:sz="8" w:space="0"/>
              <w:right w:val="single" w:color="auto" w:sz="8" w:space="0"/>
            </w:tcBorders>
            <w:shd w:val="clear" w:color="auto" w:fill="auto"/>
            <w:noWrap/>
            <w:vAlign w:val="center"/>
          </w:tcPr>
          <w:p w14:paraId="12BA9CB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C04B3F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6947410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43FE5B6">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7EE7C4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24</w:t>
            </w:r>
          </w:p>
        </w:tc>
        <w:tc>
          <w:tcPr>
            <w:tcW w:w="1805" w:type="dxa"/>
            <w:vMerge w:val="continue"/>
            <w:tcBorders>
              <w:top w:val="nil"/>
              <w:left w:val="single" w:color="auto" w:sz="8" w:space="0"/>
              <w:bottom w:val="single" w:color="000000" w:sz="8" w:space="0"/>
              <w:right w:val="single" w:color="auto" w:sz="8" w:space="0"/>
            </w:tcBorders>
            <w:vAlign w:val="center"/>
          </w:tcPr>
          <w:p w14:paraId="38011C46">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3022CE48">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E4D56AB">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低值医用材料管理系统</w:t>
            </w:r>
          </w:p>
        </w:tc>
        <w:tc>
          <w:tcPr>
            <w:tcW w:w="654" w:type="dxa"/>
            <w:tcBorders>
              <w:top w:val="nil"/>
              <w:left w:val="nil"/>
              <w:bottom w:val="single" w:color="auto" w:sz="8" w:space="0"/>
              <w:right w:val="single" w:color="auto" w:sz="8" w:space="0"/>
            </w:tcBorders>
            <w:shd w:val="clear" w:color="auto" w:fill="auto"/>
            <w:noWrap/>
            <w:vAlign w:val="center"/>
          </w:tcPr>
          <w:p w14:paraId="4CF8798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42EF60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9DBB59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77F1591">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710D70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25</w:t>
            </w:r>
          </w:p>
        </w:tc>
        <w:tc>
          <w:tcPr>
            <w:tcW w:w="1805" w:type="dxa"/>
            <w:vMerge w:val="continue"/>
            <w:tcBorders>
              <w:top w:val="nil"/>
              <w:left w:val="single" w:color="auto" w:sz="8" w:space="0"/>
              <w:bottom w:val="single" w:color="000000" w:sz="8" w:space="0"/>
              <w:right w:val="single" w:color="auto" w:sz="8" w:space="0"/>
            </w:tcBorders>
            <w:vAlign w:val="center"/>
          </w:tcPr>
          <w:p w14:paraId="673B76B8">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0B56690">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C3A1B46">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高值耗材管理系统</w:t>
            </w:r>
          </w:p>
        </w:tc>
        <w:tc>
          <w:tcPr>
            <w:tcW w:w="654" w:type="dxa"/>
            <w:tcBorders>
              <w:top w:val="nil"/>
              <w:left w:val="nil"/>
              <w:bottom w:val="single" w:color="auto" w:sz="8" w:space="0"/>
              <w:right w:val="single" w:color="auto" w:sz="8" w:space="0"/>
            </w:tcBorders>
            <w:shd w:val="clear" w:color="auto" w:fill="auto"/>
            <w:noWrap/>
            <w:vAlign w:val="center"/>
          </w:tcPr>
          <w:p w14:paraId="7F0B5F4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30BED8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AA1A35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456A6088">
        <w:tblPrEx>
          <w:tblCellMar>
            <w:top w:w="0" w:type="dxa"/>
            <w:left w:w="108" w:type="dxa"/>
            <w:bottom w:w="0" w:type="dxa"/>
            <w:right w:w="108" w:type="dxa"/>
          </w:tblCellMar>
        </w:tblPrEx>
        <w:trPr>
          <w:trHeight w:val="533"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50682A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26</w:t>
            </w:r>
          </w:p>
        </w:tc>
        <w:tc>
          <w:tcPr>
            <w:tcW w:w="1805" w:type="dxa"/>
            <w:vMerge w:val="continue"/>
            <w:tcBorders>
              <w:top w:val="nil"/>
              <w:left w:val="single" w:color="auto" w:sz="8" w:space="0"/>
              <w:bottom w:val="single" w:color="000000" w:sz="8" w:space="0"/>
              <w:right w:val="single" w:color="auto" w:sz="8" w:space="0"/>
            </w:tcBorders>
            <w:vAlign w:val="center"/>
          </w:tcPr>
          <w:p w14:paraId="0F57545A">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82AD4F9">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12B4FC2C">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临床科室耗材管理系统</w:t>
            </w:r>
          </w:p>
        </w:tc>
        <w:tc>
          <w:tcPr>
            <w:tcW w:w="654" w:type="dxa"/>
            <w:tcBorders>
              <w:top w:val="nil"/>
              <w:left w:val="nil"/>
              <w:bottom w:val="single" w:color="auto" w:sz="8" w:space="0"/>
              <w:right w:val="single" w:color="auto" w:sz="8" w:space="0"/>
            </w:tcBorders>
            <w:shd w:val="clear" w:color="auto" w:fill="auto"/>
            <w:noWrap/>
            <w:vAlign w:val="center"/>
          </w:tcPr>
          <w:p w14:paraId="165492D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480D31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E378DD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1BA518B">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91F444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27</w:t>
            </w:r>
          </w:p>
        </w:tc>
        <w:tc>
          <w:tcPr>
            <w:tcW w:w="1805" w:type="dxa"/>
            <w:vMerge w:val="continue"/>
            <w:tcBorders>
              <w:top w:val="nil"/>
              <w:left w:val="single" w:color="auto" w:sz="8" w:space="0"/>
              <w:bottom w:val="single" w:color="000000" w:sz="8" w:space="0"/>
              <w:right w:val="single" w:color="auto" w:sz="8" w:space="0"/>
            </w:tcBorders>
            <w:vAlign w:val="center"/>
          </w:tcPr>
          <w:p w14:paraId="01CD492D">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70E6E77">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4C50B97F">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固定资产管理</w:t>
            </w:r>
          </w:p>
        </w:tc>
        <w:tc>
          <w:tcPr>
            <w:tcW w:w="654" w:type="dxa"/>
            <w:tcBorders>
              <w:top w:val="nil"/>
              <w:left w:val="nil"/>
              <w:bottom w:val="single" w:color="auto" w:sz="8" w:space="0"/>
              <w:right w:val="single" w:color="auto" w:sz="8" w:space="0"/>
            </w:tcBorders>
            <w:shd w:val="clear" w:color="auto" w:fill="auto"/>
            <w:noWrap/>
            <w:vAlign w:val="center"/>
          </w:tcPr>
          <w:p w14:paraId="0029C16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2FA42CA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71290E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83870F6">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43002E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28</w:t>
            </w:r>
          </w:p>
        </w:tc>
        <w:tc>
          <w:tcPr>
            <w:tcW w:w="1805" w:type="dxa"/>
            <w:vMerge w:val="continue"/>
            <w:tcBorders>
              <w:top w:val="nil"/>
              <w:left w:val="single" w:color="auto" w:sz="8" w:space="0"/>
              <w:bottom w:val="single" w:color="000000" w:sz="8" w:space="0"/>
              <w:right w:val="single" w:color="auto" w:sz="8" w:space="0"/>
            </w:tcBorders>
            <w:vAlign w:val="center"/>
          </w:tcPr>
          <w:p w14:paraId="258310FE">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691DDCF">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6CCD60D">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供应室追溯管理系统</w:t>
            </w:r>
          </w:p>
        </w:tc>
        <w:tc>
          <w:tcPr>
            <w:tcW w:w="654" w:type="dxa"/>
            <w:tcBorders>
              <w:top w:val="nil"/>
              <w:left w:val="nil"/>
              <w:bottom w:val="single" w:color="auto" w:sz="8" w:space="0"/>
              <w:right w:val="single" w:color="auto" w:sz="8" w:space="0"/>
            </w:tcBorders>
            <w:shd w:val="clear" w:color="auto" w:fill="auto"/>
            <w:noWrap/>
            <w:vAlign w:val="center"/>
          </w:tcPr>
          <w:p w14:paraId="1B64564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023CA5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6566DEB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65D78C0">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10C891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29</w:t>
            </w:r>
          </w:p>
        </w:tc>
        <w:tc>
          <w:tcPr>
            <w:tcW w:w="1805" w:type="dxa"/>
            <w:vMerge w:val="continue"/>
            <w:tcBorders>
              <w:top w:val="nil"/>
              <w:left w:val="single" w:color="auto" w:sz="8" w:space="0"/>
              <w:bottom w:val="single" w:color="000000" w:sz="8" w:space="0"/>
              <w:right w:val="single" w:color="auto" w:sz="8" w:space="0"/>
            </w:tcBorders>
            <w:vAlign w:val="center"/>
          </w:tcPr>
          <w:p w14:paraId="54612F36">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7FE8577">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8C351D4">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医院绩效管理系统</w:t>
            </w:r>
          </w:p>
        </w:tc>
        <w:tc>
          <w:tcPr>
            <w:tcW w:w="654" w:type="dxa"/>
            <w:tcBorders>
              <w:top w:val="nil"/>
              <w:left w:val="nil"/>
              <w:bottom w:val="single" w:color="auto" w:sz="8" w:space="0"/>
              <w:right w:val="single" w:color="auto" w:sz="8" w:space="0"/>
            </w:tcBorders>
            <w:shd w:val="clear" w:color="auto" w:fill="auto"/>
            <w:noWrap/>
            <w:vAlign w:val="center"/>
          </w:tcPr>
          <w:p w14:paraId="16799A9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08C89F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1B6B7E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BD9FC4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8A9496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30</w:t>
            </w:r>
          </w:p>
        </w:tc>
        <w:tc>
          <w:tcPr>
            <w:tcW w:w="1805" w:type="dxa"/>
            <w:vMerge w:val="continue"/>
            <w:tcBorders>
              <w:top w:val="nil"/>
              <w:left w:val="single" w:color="auto" w:sz="8" w:space="0"/>
              <w:bottom w:val="single" w:color="000000" w:sz="8" w:space="0"/>
              <w:right w:val="single" w:color="auto" w:sz="8" w:space="0"/>
            </w:tcBorders>
            <w:vAlign w:val="center"/>
          </w:tcPr>
          <w:p w14:paraId="23CEB1BA">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38E2A524">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5942913">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药库管理系统</w:t>
            </w:r>
          </w:p>
        </w:tc>
        <w:tc>
          <w:tcPr>
            <w:tcW w:w="654" w:type="dxa"/>
            <w:tcBorders>
              <w:top w:val="nil"/>
              <w:left w:val="nil"/>
              <w:bottom w:val="single" w:color="auto" w:sz="8" w:space="0"/>
              <w:right w:val="single" w:color="auto" w:sz="8" w:space="0"/>
            </w:tcBorders>
            <w:shd w:val="clear" w:color="auto" w:fill="auto"/>
            <w:noWrap/>
            <w:vAlign w:val="center"/>
          </w:tcPr>
          <w:p w14:paraId="0CA3F3F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9E1AB4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E4CB46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42A9CA3">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7F7C10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31</w:t>
            </w:r>
          </w:p>
        </w:tc>
        <w:tc>
          <w:tcPr>
            <w:tcW w:w="1805" w:type="dxa"/>
            <w:vMerge w:val="continue"/>
            <w:tcBorders>
              <w:top w:val="nil"/>
              <w:left w:val="single" w:color="auto" w:sz="8" w:space="0"/>
              <w:bottom w:val="single" w:color="000000" w:sz="8" w:space="0"/>
              <w:right w:val="single" w:color="auto" w:sz="8" w:space="0"/>
            </w:tcBorders>
            <w:vAlign w:val="center"/>
          </w:tcPr>
          <w:p w14:paraId="0143A074">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27A8B5A7">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79329BD">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病案管理系统</w:t>
            </w:r>
          </w:p>
        </w:tc>
        <w:tc>
          <w:tcPr>
            <w:tcW w:w="654" w:type="dxa"/>
            <w:tcBorders>
              <w:top w:val="nil"/>
              <w:left w:val="nil"/>
              <w:bottom w:val="single" w:color="auto" w:sz="8" w:space="0"/>
              <w:right w:val="single" w:color="auto" w:sz="8" w:space="0"/>
            </w:tcBorders>
            <w:shd w:val="clear" w:color="auto" w:fill="auto"/>
            <w:noWrap/>
            <w:vAlign w:val="center"/>
          </w:tcPr>
          <w:p w14:paraId="6172EE5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92FE87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042461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3181742">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048045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32</w:t>
            </w:r>
          </w:p>
        </w:tc>
        <w:tc>
          <w:tcPr>
            <w:tcW w:w="1805" w:type="dxa"/>
            <w:vMerge w:val="continue"/>
            <w:tcBorders>
              <w:top w:val="nil"/>
              <w:left w:val="single" w:color="auto" w:sz="8" w:space="0"/>
              <w:bottom w:val="single" w:color="000000" w:sz="8" w:space="0"/>
              <w:right w:val="single" w:color="auto" w:sz="8" w:space="0"/>
            </w:tcBorders>
            <w:vAlign w:val="center"/>
          </w:tcPr>
          <w:p w14:paraId="05BC1533">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7C56708">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9EA2BFD">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电子病历质量监控管理系统</w:t>
            </w:r>
          </w:p>
        </w:tc>
        <w:tc>
          <w:tcPr>
            <w:tcW w:w="654" w:type="dxa"/>
            <w:tcBorders>
              <w:top w:val="nil"/>
              <w:left w:val="nil"/>
              <w:bottom w:val="single" w:color="auto" w:sz="8" w:space="0"/>
              <w:right w:val="single" w:color="auto" w:sz="8" w:space="0"/>
            </w:tcBorders>
            <w:shd w:val="clear" w:color="auto" w:fill="auto"/>
            <w:noWrap/>
            <w:vAlign w:val="center"/>
          </w:tcPr>
          <w:p w14:paraId="4722DBC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50CC32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05D8D7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6A9B7C3">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A8B57B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33</w:t>
            </w:r>
          </w:p>
        </w:tc>
        <w:tc>
          <w:tcPr>
            <w:tcW w:w="1805" w:type="dxa"/>
            <w:vMerge w:val="continue"/>
            <w:tcBorders>
              <w:top w:val="nil"/>
              <w:left w:val="single" w:color="auto" w:sz="8" w:space="0"/>
              <w:bottom w:val="single" w:color="000000" w:sz="8" w:space="0"/>
              <w:right w:val="single" w:color="auto" w:sz="8" w:space="0"/>
            </w:tcBorders>
            <w:vAlign w:val="center"/>
          </w:tcPr>
          <w:p w14:paraId="58A436E3">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92E7D75">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424D6E38">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门诊医生工作站</w:t>
            </w:r>
          </w:p>
        </w:tc>
        <w:tc>
          <w:tcPr>
            <w:tcW w:w="654" w:type="dxa"/>
            <w:tcBorders>
              <w:top w:val="nil"/>
              <w:left w:val="nil"/>
              <w:bottom w:val="single" w:color="auto" w:sz="8" w:space="0"/>
              <w:right w:val="single" w:color="auto" w:sz="8" w:space="0"/>
            </w:tcBorders>
            <w:shd w:val="clear" w:color="auto" w:fill="auto"/>
            <w:noWrap/>
            <w:vAlign w:val="center"/>
          </w:tcPr>
          <w:p w14:paraId="17E26AA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DCE8DC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17B475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BBF3A9C">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0ED016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34</w:t>
            </w:r>
          </w:p>
        </w:tc>
        <w:tc>
          <w:tcPr>
            <w:tcW w:w="1805" w:type="dxa"/>
            <w:vMerge w:val="continue"/>
            <w:tcBorders>
              <w:top w:val="nil"/>
              <w:left w:val="single" w:color="auto" w:sz="8" w:space="0"/>
              <w:bottom w:val="single" w:color="000000" w:sz="8" w:space="0"/>
              <w:right w:val="single" w:color="auto" w:sz="8" w:space="0"/>
            </w:tcBorders>
            <w:vAlign w:val="center"/>
          </w:tcPr>
          <w:p w14:paraId="43C57307">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E539BC3">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1BCF201">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门急诊护士工作站</w:t>
            </w:r>
          </w:p>
        </w:tc>
        <w:tc>
          <w:tcPr>
            <w:tcW w:w="654" w:type="dxa"/>
            <w:tcBorders>
              <w:top w:val="nil"/>
              <w:left w:val="nil"/>
              <w:bottom w:val="single" w:color="auto" w:sz="8" w:space="0"/>
              <w:right w:val="single" w:color="auto" w:sz="8" w:space="0"/>
            </w:tcBorders>
            <w:shd w:val="clear" w:color="auto" w:fill="auto"/>
            <w:noWrap/>
            <w:vAlign w:val="center"/>
          </w:tcPr>
          <w:p w14:paraId="73EB287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C017D4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41C0D9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7C1F858">
        <w:tblPrEx>
          <w:tblCellMar>
            <w:top w:w="0" w:type="dxa"/>
            <w:left w:w="108" w:type="dxa"/>
            <w:bottom w:w="0" w:type="dxa"/>
            <w:right w:w="108" w:type="dxa"/>
          </w:tblCellMar>
        </w:tblPrEx>
        <w:trPr>
          <w:trHeight w:val="533"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2B3035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35</w:t>
            </w:r>
          </w:p>
        </w:tc>
        <w:tc>
          <w:tcPr>
            <w:tcW w:w="1805" w:type="dxa"/>
            <w:vMerge w:val="continue"/>
            <w:tcBorders>
              <w:top w:val="nil"/>
              <w:left w:val="single" w:color="auto" w:sz="8" w:space="0"/>
              <w:bottom w:val="single" w:color="000000" w:sz="8" w:space="0"/>
              <w:right w:val="single" w:color="auto" w:sz="8" w:space="0"/>
            </w:tcBorders>
            <w:vAlign w:val="center"/>
          </w:tcPr>
          <w:p w14:paraId="352AAC42">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FDE1AAB">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473409E">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结构化电子病历系统（门诊和住院）</w:t>
            </w:r>
          </w:p>
        </w:tc>
        <w:tc>
          <w:tcPr>
            <w:tcW w:w="654" w:type="dxa"/>
            <w:tcBorders>
              <w:top w:val="nil"/>
              <w:left w:val="nil"/>
              <w:bottom w:val="single" w:color="auto" w:sz="8" w:space="0"/>
              <w:right w:val="single" w:color="auto" w:sz="8" w:space="0"/>
            </w:tcBorders>
            <w:shd w:val="clear" w:color="auto" w:fill="auto"/>
            <w:noWrap/>
            <w:vAlign w:val="center"/>
          </w:tcPr>
          <w:p w14:paraId="424C643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8A94D3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037E6F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63DA77A">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EFAA40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36</w:t>
            </w:r>
          </w:p>
        </w:tc>
        <w:tc>
          <w:tcPr>
            <w:tcW w:w="1805" w:type="dxa"/>
            <w:vMerge w:val="continue"/>
            <w:tcBorders>
              <w:top w:val="nil"/>
              <w:left w:val="single" w:color="auto" w:sz="8" w:space="0"/>
              <w:bottom w:val="single" w:color="000000" w:sz="8" w:space="0"/>
              <w:right w:val="single" w:color="auto" w:sz="8" w:space="0"/>
            </w:tcBorders>
            <w:vAlign w:val="center"/>
          </w:tcPr>
          <w:p w14:paraId="314F52A8">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8D3B7BC">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F6F61F1">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门诊药房管理系统</w:t>
            </w:r>
          </w:p>
        </w:tc>
        <w:tc>
          <w:tcPr>
            <w:tcW w:w="654" w:type="dxa"/>
            <w:tcBorders>
              <w:top w:val="nil"/>
              <w:left w:val="nil"/>
              <w:bottom w:val="single" w:color="auto" w:sz="8" w:space="0"/>
              <w:right w:val="single" w:color="auto" w:sz="8" w:space="0"/>
            </w:tcBorders>
            <w:shd w:val="clear" w:color="auto" w:fill="auto"/>
            <w:noWrap/>
            <w:vAlign w:val="center"/>
          </w:tcPr>
          <w:p w14:paraId="7274144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356CBE1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3B0AAB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E7BD8D6">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C3FFBD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37</w:t>
            </w:r>
          </w:p>
        </w:tc>
        <w:tc>
          <w:tcPr>
            <w:tcW w:w="1805" w:type="dxa"/>
            <w:vMerge w:val="continue"/>
            <w:tcBorders>
              <w:top w:val="nil"/>
              <w:left w:val="single" w:color="auto" w:sz="8" w:space="0"/>
              <w:bottom w:val="single" w:color="000000" w:sz="8" w:space="0"/>
              <w:right w:val="single" w:color="auto" w:sz="8" w:space="0"/>
            </w:tcBorders>
            <w:vAlign w:val="center"/>
          </w:tcPr>
          <w:p w14:paraId="588531A1">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24EDE23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E873CF9">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住院医生工作站</w:t>
            </w:r>
          </w:p>
        </w:tc>
        <w:tc>
          <w:tcPr>
            <w:tcW w:w="654" w:type="dxa"/>
            <w:tcBorders>
              <w:top w:val="nil"/>
              <w:left w:val="nil"/>
              <w:bottom w:val="single" w:color="auto" w:sz="8" w:space="0"/>
              <w:right w:val="single" w:color="auto" w:sz="8" w:space="0"/>
            </w:tcBorders>
            <w:shd w:val="clear" w:color="auto" w:fill="auto"/>
            <w:noWrap/>
            <w:vAlign w:val="center"/>
          </w:tcPr>
          <w:p w14:paraId="71A224A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37A1CA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04F757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4D939AA">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C315F9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38</w:t>
            </w:r>
          </w:p>
        </w:tc>
        <w:tc>
          <w:tcPr>
            <w:tcW w:w="1805" w:type="dxa"/>
            <w:vMerge w:val="continue"/>
            <w:tcBorders>
              <w:top w:val="nil"/>
              <w:left w:val="single" w:color="auto" w:sz="8" w:space="0"/>
              <w:bottom w:val="single" w:color="000000" w:sz="8" w:space="0"/>
              <w:right w:val="single" w:color="auto" w:sz="8" w:space="0"/>
            </w:tcBorders>
            <w:vAlign w:val="center"/>
          </w:tcPr>
          <w:p w14:paraId="56F1EA7A">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E52070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272ED16">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住院护士工作站</w:t>
            </w:r>
          </w:p>
        </w:tc>
        <w:tc>
          <w:tcPr>
            <w:tcW w:w="654" w:type="dxa"/>
            <w:tcBorders>
              <w:top w:val="nil"/>
              <w:left w:val="nil"/>
              <w:bottom w:val="single" w:color="auto" w:sz="8" w:space="0"/>
              <w:right w:val="single" w:color="auto" w:sz="8" w:space="0"/>
            </w:tcBorders>
            <w:shd w:val="clear" w:color="auto" w:fill="auto"/>
            <w:noWrap/>
            <w:vAlign w:val="center"/>
          </w:tcPr>
          <w:p w14:paraId="19CF1B0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DDF467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CA39D8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28BABF3">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B07AE0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39</w:t>
            </w:r>
          </w:p>
        </w:tc>
        <w:tc>
          <w:tcPr>
            <w:tcW w:w="1805" w:type="dxa"/>
            <w:vMerge w:val="continue"/>
            <w:tcBorders>
              <w:top w:val="nil"/>
              <w:left w:val="single" w:color="auto" w:sz="8" w:space="0"/>
              <w:bottom w:val="single" w:color="000000" w:sz="8" w:space="0"/>
              <w:right w:val="single" w:color="auto" w:sz="8" w:space="0"/>
            </w:tcBorders>
            <w:vAlign w:val="center"/>
          </w:tcPr>
          <w:p w14:paraId="7A3D7086">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355305E7">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1920EC61">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住院药房管理系统</w:t>
            </w:r>
          </w:p>
        </w:tc>
        <w:tc>
          <w:tcPr>
            <w:tcW w:w="654" w:type="dxa"/>
            <w:tcBorders>
              <w:top w:val="nil"/>
              <w:left w:val="nil"/>
              <w:bottom w:val="single" w:color="auto" w:sz="8" w:space="0"/>
              <w:right w:val="single" w:color="auto" w:sz="8" w:space="0"/>
            </w:tcBorders>
            <w:shd w:val="clear" w:color="auto" w:fill="auto"/>
            <w:noWrap/>
            <w:vAlign w:val="center"/>
          </w:tcPr>
          <w:p w14:paraId="7314483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3BCE771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9B3A0D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6EC0492">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581D828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40</w:t>
            </w:r>
          </w:p>
        </w:tc>
        <w:tc>
          <w:tcPr>
            <w:tcW w:w="1805" w:type="dxa"/>
            <w:vMerge w:val="continue"/>
            <w:tcBorders>
              <w:top w:val="nil"/>
              <w:left w:val="single" w:color="auto" w:sz="8" w:space="0"/>
              <w:bottom w:val="single" w:color="000000" w:sz="8" w:space="0"/>
              <w:right w:val="single" w:color="auto" w:sz="8" w:space="0"/>
            </w:tcBorders>
            <w:vAlign w:val="center"/>
          </w:tcPr>
          <w:p w14:paraId="056346CB">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3F21E344">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098653D4">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护理病历管理系统</w:t>
            </w:r>
          </w:p>
        </w:tc>
        <w:tc>
          <w:tcPr>
            <w:tcW w:w="654" w:type="dxa"/>
            <w:tcBorders>
              <w:top w:val="nil"/>
              <w:left w:val="nil"/>
              <w:bottom w:val="single" w:color="auto" w:sz="8" w:space="0"/>
              <w:right w:val="single" w:color="auto" w:sz="8" w:space="0"/>
            </w:tcBorders>
            <w:shd w:val="clear" w:color="auto" w:fill="auto"/>
            <w:noWrap/>
            <w:vAlign w:val="center"/>
          </w:tcPr>
          <w:p w14:paraId="54A85E4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CF8F9A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F41656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32285FD">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52B1A4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41</w:t>
            </w:r>
          </w:p>
        </w:tc>
        <w:tc>
          <w:tcPr>
            <w:tcW w:w="1805" w:type="dxa"/>
            <w:vMerge w:val="continue"/>
            <w:tcBorders>
              <w:top w:val="nil"/>
              <w:left w:val="single" w:color="auto" w:sz="8" w:space="0"/>
              <w:bottom w:val="single" w:color="000000" w:sz="8" w:space="0"/>
              <w:right w:val="single" w:color="auto" w:sz="8" w:space="0"/>
            </w:tcBorders>
            <w:vAlign w:val="center"/>
          </w:tcPr>
          <w:p w14:paraId="7A3A2AC7">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00D736BF">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464EE316">
            <w:pPr>
              <w:widowControl/>
              <w:spacing w:line="276" w:lineRule="auto"/>
              <w:rPr>
                <w:rFonts w:ascii="宋体" w:hAnsi="宋体" w:eastAsia="宋体" w:cs="Tahoma"/>
                <w:color w:val="000000"/>
                <w:kern w:val="0"/>
                <w:sz w:val="21"/>
                <w:szCs w:val="21"/>
              </w:rPr>
            </w:pPr>
            <w:r>
              <w:rPr>
                <w:rFonts w:hint="eastAsia" w:ascii="宋体" w:hAnsi="宋体" w:eastAsia="宋体" w:cs="Tahoma"/>
                <w:color w:val="000000"/>
                <w:kern w:val="0"/>
                <w:sz w:val="21"/>
                <w:szCs w:val="21"/>
              </w:rPr>
              <w:t>临床路径管理系统</w:t>
            </w:r>
          </w:p>
        </w:tc>
        <w:tc>
          <w:tcPr>
            <w:tcW w:w="654" w:type="dxa"/>
            <w:tcBorders>
              <w:top w:val="nil"/>
              <w:left w:val="nil"/>
              <w:bottom w:val="single" w:color="auto" w:sz="8" w:space="0"/>
              <w:right w:val="single" w:color="auto" w:sz="8" w:space="0"/>
            </w:tcBorders>
            <w:shd w:val="clear" w:color="auto" w:fill="auto"/>
            <w:noWrap/>
            <w:vAlign w:val="center"/>
          </w:tcPr>
          <w:p w14:paraId="09985F6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AE66B3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4D4621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B2227F4">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3DD84A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42</w:t>
            </w:r>
          </w:p>
        </w:tc>
        <w:tc>
          <w:tcPr>
            <w:tcW w:w="1805" w:type="dxa"/>
            <w:vMerge w:val="continue"/>
            <w:tcBorders>
              <w:top w:val="nil"/>
              <w:left w:val="single" w:color="auto" w:sz="8" w:space="0"/>
              <w:bottom w:val="single" w:color="000000" w:sz="8" w:space="0"/>
              <w:right w:val="single" w:color="auto" w:sz="8" w:space="0"/>
            </w:tcBorders>
            <w:vAlign w:val="center"/>
          </w:tcPr>
          <w:p w14:paraId="5E2C096E">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EB6A27F">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7135E43">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合理用血管理系统</w:t>
            </w:r>
          </w:p>
        </w:tc>
        <w:tc>
          <w:tcPr>
            <w:tcW w:w="654" w:type="dxa"/>
            <w:tcBorders>
              <w:top w:val="nil"/>
              <w:left w:val="nil"/>
              <w:bottom w:val="single" w:color="auto" w:sz="8" w:space="0"/>
              <w:right w:val="single" w:color="auto" w:sz="8" w:space="0"/>
            </w:tcBorders>
            <w:shd w:val="clear" w:color="auto" w:fill="auto"/>
            <w:noWrap/>
            <w:vAlign w:val="center"/>
          </w:tcPr>
          <w:p w14:paraId="1A64364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ACE45F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B6BF65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C936B56">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2A4FFE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43</w:t>
            </w:r>
          </w:p>
        </w:tc>
        <w:tc>
          <w:tcPr>
            <w:tcW w:w="1805" w:type="dxa"/>
            <w:vMerge w:val="continue"/>
            <w:tcBorders>
              <w:top w:val="nil"/>
              <w:left w:val="single" w:color="auto" w:sz="8" w:space="0"/>
              <w:bottom w:val="single" w:color="000000" w:sz="8" w:space="0"/>
              <w:right w:val="single" w:color="auto" w:sz="8" w:space="0"/>
            </w:tcBorders>
            <w:vAlign w:val="center"/>
          </w:tcPr>
          <w:p w14:paraId="7770F889">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21936C8">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064521E">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手术麻醉系统</w:t>
            </w:r>
          </w:p>
        </w:tc>
        <w:tc>
          <w:tcPr>
            <w:tcW w:w="654" w:type="dxa"/>
            <w:tcBorders>
              <w:top w:val="nil"/>
              <w:left w:val="nil"/>
              <w:bottom w:val="single" w:color="auto" w:sz="8" w:space="0"/>
              <w:right w:val="single" w:color="auto" w:sz="8" w:space="0"/>
            </w:tcBorders>
            <w:shd w:val="clear" w:color="auto" w:fill="auto"/>
            <w:noWrap/>
            <w:vAlign w:val="center"/>
          </w:tcPr>
          <w:p w14:paraId="3CCDD70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E12273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D87237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43F6C68C">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765EBA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44</w:t>
            </w:r>
          </w:p>
        </w:tc>
        <w:tc>
          <w:tcPr>
            <w:tcW w:w="1805" w:type="dxa"/>
            <w:vMerge w:val="continue"/>
            <w:tcBorders>
              <w:top w:val="nil"/>
              <w:left w:val="single" w:color="auto" w:sz="8" w:space="0"/>
              <w:bottom w:val="single" w:color="000000" w:sz="8" w:space="0"/>
              <w:right w:val="single" w:color="auto" w:sz="8" w:space="0"/>
            </w:tcBorders>
            <w:vAlign w:val="center"/>
          </w:tcPr>
          <w:p w14:paraId="03255050">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3FC869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6343056C">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抗菌药物分级管理</w:t>
            </w:r>
          </w:p>
        </w:tc>
        <w:tc>
          <w:tcPr>
            <w:tcW w:w="654" w:type="dxa"/>
            <w:tcBorders>
              <w:top w:val="nil"/>
              <w:left w:val="nil"/>
              <w:bottom w:val="single" w:color="auto" w:sz="8" w:space="0"/>
              <w:right w:val="single" w:color="auto" w:sz="8" w:space="0"/>
            </w:tcBorders>
            <w:shd w:val="clear" w:color="auto" w:fill="auto"/>
            <w:noWrap/>
            <w:vAlign w:val="center"/>
          </w:tcPr>
          <w:p w14:paraId="61BB934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0BA5DB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DB53F0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A94001A">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FB96E1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45</w:t>
            </w:r>
          </w:p>
        </w:tc>
        <w:tc>
          <w:tcPr>
            <w:tcW w:w="1805" w:type="dxa"/>
            <w:vMerge w:val="continue"/>
            <w:tcBorders>
              <w:top w:val="nil"/>
              <w:left w:val="single" w:color="auto" w:sz="8" w:space="0"/>
              <w:bottom w:val="single" w:color="000000" w:sz="8" w:space="0"/>
              <w:right w:val="single" w:color="auto" w:sz="8" w:space="0"/>
            </w:tcBorders>
            <w:vAlign w:val="center"/>
          </w:tcPr>
          <w:p w14:paraId="17CD5072">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ED9C879">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14020934">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不良事件管理系统</w:t>
            </w:r>
          </w:p>
        </w:tc>
        <w:tc>
          <w:tcPr>
            <w:tcW w:w="654" w:type="dxa"/>
            <w:tcBorders>
              <w:top w:val="nil"/>
              <w:left w:val="nil"/>
              <w:bottom w:val="single" w:color="auto" w:sz="8" w:space="0"/>
              <w:right w:val="single" w:color="auto" w:sz="8" w:space="0"/>
            </w:tcBorders>
            <w:shd w:val="clear" w:color="auto" w:fill="auto"/>
            <w:noWrap/>
            <w:vAlign w:val="center"/>
          </w:tcPr>
          <w:p w14:paraId="59B6F15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1BFCFE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697A7D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44F7E9A2">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17D1A1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46</w:t>
            </w:r>
          </w:p>
        </w:tc>
        <w:tc>
          <w:tcPr>
            <w:tcW w:w="1805" w:type="dxa"/>
            <w:vMerge w:val="continue"/>
            <w:tcBorders>
              <w:top w:val="nil"/>
              <w:left w:val="single" w:color="auto" w:sz="8" w:space="0"/>
              <w:bottom w:val="single" w:color="000000" w:sz="8" w:space="0"/>
              <w:right w:val="single" w:color="auto" w:sz="8" w:space="0"/>
            </w:tcBorders>
            <w:vAlign w:val="center"/>
          </w:tcPr>
          <w:p w14:paraId="3ECFC767">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3B60378">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10B584E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青海省全民健康信息平台接口</w:t>
            </w:r>
          </w:p>
        </w:tc>
        <w:tc>
          <w:tcPr>
            <w:tcW w:w="654" w:type="dxa"/>
            <w:tcBorders>
              <w:top w:val="nil"/>
              <w:left w:val="nil"/>
              <w:bottom w:val="single" w:color="auto" w:sz="8" w:space="0"/>
              <w:right w:val="single" w:color="auto" w:sz="8" w:space="0"/>
            </w:tcBorders>
            <w:shd w:val="clear" w:color="auto" w:fill="auto"/>
            <w:noWrap/>
            <w:vAlign w:val="center"/>
          </w:tcPr>
          <w:p w14:paraId="49549C8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7B8D95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968642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63D0A28">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9C2645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47</w:t>
            </w:r>
          </w:p>
        </w:tc>
        <w:tc>
          <w:tcPr>
            <w:tcW w:w="1805" w:type="dxa"/>
            <w:vMerge w:val="continue"/>
            <w:tcBorders>
              <w:top w:val="nil"/>
              <w:left w:val="single" w:color="auto" w:sz="8" w:space="0"/>
              <w:bottom w:val="single" w:color="000000" w:sz="8" w:space="0"/>
              <w:right w:val="single" w:color="auto" w:sz="8" w:space="0"/>
            </w:tcBorders>
            <w:vAlign w:val="center"/>
          </w:tcPr>
          <w:p w14:paraId="5D941A23">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26E42A63">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9BD2F99">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海南州全民健康信息平台接口（预留）</w:t>
            </w:r>
          </w:p>
        </w:tc>
        <w:tc>
          <w:tcPr>
            <w:tcW w:w="654" w:type="dxa"/>
            <w:tcBorders>
              <w:top w:val="nil"/>
              <w:left w:val="nil"/>
              <w:bottom w:val="single" w:color="auto" w:sz="8" w:space="0"/>
              <w:right w:val="single" w:color="auto" w:sz="8" w:space="0"/>
            </w:tcBorders>
            <w:shd w:val="clear" w:color="auto" w:fill="auto"/>
            <w:noWrap/>
            <w:vAlign w:val="center"/>
          </w:tcPr>
          <w:p w14:paraId="4477150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AE243A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AA209E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F66BA3D">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5160AC5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48</w:t>
            </w:r>
          </w:p>
        </w:tc>
        <w:tc>
          <w:tcPr>
            <w:tcW w:w="1805" w:type="dxa"/>
            <w:vMerge w:val="continue"/>
            <w:tcBorders>
              <w:top w:val="nil"/>
              <w:left w:val="single" w:color="auto" w:sz="8" w:space="0"/>
              <w:bottom w:val="single" w:color="000000" w:sz="8" w:space="0"/>
              <w:right w:val="single" w:color="auto" w:sz="8" w:space="0"/>
            </w:tcBorders>
            <w:vAlign w:val="center"/>
          </w:tcPr>
          <w:p w14:paraId="49FC64A5">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2005F5A7">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69715C6">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海南州远程医疗接口</w:t>
            </w:r>
          </w:p>
        </w:tc>
        <w:tc>
          <w:tcPr>
            <w:tcW w:w="654" w:type="dxa"/>
            <w:tcBorders>
              <w:top w:val="nil"/>
              <w:left w:val="nil"/>
              <w:bottom w:val="single" w:color="auto" w:sz="8" w:space="0"/>
              <w:right w:val="single" w:color="auto" w:sz="8" w:space="0"/>
            </w:tcBorders>
            <w:shd w:val="clear" w:color="auto" w:fill="auto"/>
            <w:noWrap/>
            <w:vAlign w:val="center"/>
          </w:tcPr>
          <w:p w14:paraId="02572E5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3848434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860F69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849403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2119C5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49</w:t>
            </w:r>
          </w:p>
        </w:tc>
        <w:tc>
          <w:tcPr>
            <w:tcW w:w="1805" w:type="dxa"/>
            <w:vMerge w:val="continue"/>
            <w:tcBorders>
              <w:top w:val="nil"/>
              <w:left w:val="single" w:color="auto" w:sz="8" w:space="0"/>
              <w:bottom w:val="single" w:color="000000" w:sz="8" w:space="0"/>
              <w:right w:val="single" w:color="auto" w:sz="8" w:space="0"/>
            </w:tcBorders>
            <w:vAlign w:val="center"/>
          </w:tcPr>
          <w:p w14:paraId="22A17CC1">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AF27F79">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08079B0">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银行对账平台接口</w:t>
            </w:r>
          </w:p>
        </w:tc>
        <w:tc>
          <w:tcPr>
            <w:tcW w:w="654" w:type="dxa"/>
            <w:tcBorders>
              <w:top w:val="nil"/>
              <w:left w:val="nil"/>
              <w:bottom w:val="single" w:color="auto" w:sz="8" w:space="0"/>
              <w:right w:val="single" w:color="auto" w:sz="8" w:space="0"/>
            </w:tcBorders>
            <w:shd w:val="clear" w:color="auto" w:fill="auto"/>
            <w:noWrap/>
            <w:vAlign w:val="center"/>
          </w:tcPr>
          <w:p w14:paraId="34EA8FF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99B57A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6DC6C1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CDAC9E5">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8BEE71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50</w:t>
            </w:r>
          </w:p>
        </w:tc>
        <w:tc>
          <w:tcPr>
            <w:tcW w:w="1805" w:type="dxa"/>
            <w:vMerge w:val="continue"/>
            <w:tcBorders>
              <w:top w:val="nil"/>
              <w:left w:val="single" w:color="auto" w:sz="8" w:space="0"/>
              <w:bottom w:val="single" w:color="000000" w:sz="8" w:space="0"/>
              <w:right w:val="single" w:color="auto" w:sz="8" w:space="0"/>
            </w:tcBorders>
            <w:vAlign w:val="center"/>
          </w:tcPr>
          <w:p w14:paraId="5823DADC">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D00E5A3">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3850523">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医保平台所有接口（包含自助机）</w:t>
            </w:r>
          </w:p>
        </w:tc>
        <w:tc>
          <w:tcPr>
            <w:tcW w:w="654" w:type="dxa"/>
            <w:tcBorders>
              <w:top w:val="nil"/>
              <w:left w:val="nil"/>
              <w:bottom w:val="single" w:color="auto" w:sz="8" w:space="0"/>
              <w:right w:val="single" w:color="auto" w:sz="8" w:space="0"/>
            </w:tcBorders>
            <w:shd w:val="clear" w:color="auto" w:fill="auto"/>
            <w:noWrap/>
            <w:vAlign w:val="center"/>
          </w:tcPr>
          <w:p w14:paraId="5289E94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F5F29A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405A63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41161610">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D6AE4E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51</w:t>
            </w:r>
          </w:p>
        </w:tc>
        <w:tc>
          <w:tcPr>
            <w:tcW w:w="1805" w:type="dxa"/>
            <w:vMerge w:val="continue"/>
            <w:tcBorders>
              <w:top w:val="nil"/>
              <w:left w:val="single" w:color="auto" w:sz="8" w:space="0"/>
              <w:bottom w:val="single" w:color="000000" w:sz="8" w:space="0"/>
              <w:right w:val="single" w:color="auto" w:sz="8" w:space="0"/>
            </w:tcBorders>
            <w:vAlign w:val="center"/>
          </w:tcPr>
          <w:p w14:paraId="4281F0C5">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267F38D">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0D5FF693">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传染病智能监测接口</w:t>
            </w:r>
          </w:p>
        </w:tc>
        <w:tc>
          <w:tcPr>
            <w:tcW w:w="654" w:type="dxa"/>
            <w:tcBorders>
              <w:top w:val="nil"/>
              <w:left w:val="nil"/>
              <w:bottom w:val="single" w:color="auto" w:sz="8" w:space="0"/>
              <w:right w:val="single" w:color="auto" w:sz="8" w:space="0"/>
            </w:tcBorders>
            <w:shd w:val="clear" w:color="auto" w:fill="auto"/>
            <w:noWrap/>
            <w:vAlign w:val="center"/>
          </w:tcPr>
          <w:p w14:paraId="36983BF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8C6AF9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63C06FB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DB22D22">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67A6A7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52</w:t>
            </w:r>
          </w:p>
        </w:tc>
        <w:tc>
          <w:tcPr>
            <w:tcW w:w="1805" w:type="dxa"/>
            <w:vMerge w:val="continue"/>
            <w:tcBorders>
              <w:top w:val="nil"/>
              <w:left w:val="single" w:color="auto" w:sz="8" w:space="0"/>
              <w:bottom w:val="single" w:color="000000" w:sz="8" w:space="0"/>
              <w:right w:val="single" w:color="auto" w:sz="8" w:space="0"/>
            </w:tcBorders>
            <w:vAlign w:val="center"/>
          </w:tcPr>
          <w:p w14:paraId="26B1F02F">
            <w:pPr>
              <w:widowControl/>
              <w:spacing w:line="276" w:lineRule="auto"/>
              <w:jc w:val="left"/>
              <w:rPr>
                <w:rFonts w:ascii="宋体" w:hAnsi="宋体" w:eastAsia="宋体" w:cs="Tahoma"/>
                <w:b/>
                <w:bCs/>
                <w:color w:val="000000"/>
                <w:kern w:val="0"/>
                <w:sz w:val="21"/>
                <w:szCs w:val="21"/>
              </w:rPr>
            </w:pPr>
          </w:p>
        </w:tc>
        <w:tc>
          <w:tcPr>
            <w:tcW w:w="1650" w:type="dxa"/>
            <w:vMerge w:val="restart"/>
            <w:tcBorders>
              <w:top w:val="nil"/>
              <w:left w:val="single" w:color="auto" w:sz="8" w:space="0"/>
              <w:bottom w:val="single" w:color="000000" w:sz="8" w:space="0"/>
              <w:right w:val="single" w:color="auto" w:sz="8" w:space="0"/>
            </w:tcBorders>
            <w:shd w:val="clear" w:color="auto" w:fill="auto"/>
            <w:noWrap/>
            <w:vAlign w:val="center"/>
          </w:tcPr>
          <w:p w14:paraId="52DAE0D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医务管理系统</w:t>
            </w:r>
          </w:p>
        </w:tc>
        <w:tc>
          <w:tcPr>
            <w:tcW w:w="2534" w:type="dxa"/>
            <w:tcBorders>
              <w:top w:val="nil"/>
              <w:left w:val="nil"/>
              <w:bottom w:val="single" w:color="auto" w:sz="8" w:space="0"/>
              <w:right w:val="single" w:color="auto" w:sz="8" w:space="0"/>
            </w:tcBorders>
            <w:shd w:val="clear" w:color="auto" w:fill="auto"/>
            <w:noWrap/>
            <w:vAlign w:val="center"/>
          </w:tcPr>
          <w:p w14:paraId="3D23118D">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个人与医院门户管理</w:t>
            </w:r>
          </w:p>
        </w:tc>
        <w:tc>
          <w:tcPr>
            <w:tcW w:w="654" w:type="dxa"/>
            <w:tcBorders>
              <w:top w:val="nil"/>
              <w:left w:val="nil"/>
              <w:bottom w:val="single" w:color="auto" w:sz="8" w:space="0"/>
              <w:right w:val="single" w:color="auto" w:sz="8" w:space="0"/>
            </w:tcBorders>
            <w:shd w:val="clear" w:color="auto" w:fill="auto"/>
            <w:noWrap/>
            <w:vAlign w:val="center"/>
          </w:tcPr>
          <w:p w14:paraId="138A53F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C11639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E481AA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B5457E4">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D3E7B2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53</w:t>
            </w:r>
          </w:p>
        </w:tc>
        <w:tc>
          <w:tcPr>
            <w:tcW w:w="1805" w:type="dxa"/>
            <w:vMerge w:val="continue"/>
            <w:tcBorders>
              <w:top w:val="nil"/>
              <w:left w:val="single" w:color="auto" w:sz="8" w:space="0"/>
              <w:bottom w:val="single" w:color="000000" w:sz="8" w:space="0"/>
              <w:right w:val="single" w:color="auto" w:sz="8" w:space="0"/>
            </w:tcBorders>
            <w:vAlign w:val="center"/>
          </w:tcPr>
          <w:p w14:paraId="41E9307F">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C1689E4">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75C1888">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医疗技术档案管理</w:t>
            </w:r>
          </w:p>
        </w:tc>
        <w:tc>
          <w:tcPr>
            <w:tcW w:w="654" w:type="dxa"/>
            <w:tcBorders>
              <w:top w:val="nil"/>
              <w:left w:val="nil"/>
              <w:bottom w:val="single" w:color="auto" w:sz="8" w:space="0"/>
              <w:right w:val="single" w:color="auto" w:sz="8" w:space="0"/>
            </w:tcBorders>
            <w:shd w:val="clear" w:color="auto" w:fill="auto"/>
            <w:noWrap/>
            <w:vAlign w:val="center"/>
          </w:tcPr>
          <w:p w14:paraId="24A0CAD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2F435E1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BBB283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1B39309">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779508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54</w:t>
            </w:r>
          </w:p>
        </w:tc>
        <w:tc>
          <w:tcPr>
            <w:tcW w:w="1805" w:type="dxa"/>
            <w:vMerge w:val="continue"/>
            <w:tcBorders>
              <w:top w:val="nil"/>
              <w:left w:val="single" w:color="auto" w:sz="8" w:space="0"/>
              <w:bottom w:val="single" w:color="000000" w:sz="8" w:space="0"/>
              <w:right w:val="single" w:color="auto" w:sz="8" w:space="0"/>
            </w:tcBorders>
            <w:vAlign w:val="center"/>
          </w:tcPr>
          <w:p w14:paraId="5D91E3E3">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36E3C941">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D7981A0">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申请与审批管理</w:t>
            </w:r>
          </w:p>
        </w:tc>
        <w:tc>
          <w:tcPr>
            <w:tcW w:w="654" w:type="dxa"/>
            <w:tcBorders>
              <w:top w:val="nil"/>
              <w:left w:val="nil"/>
              <w:bottom w:val="single" w:color="auto" w:sz="8" w:space="0"/>
              <w:right w:val="single" w:color="auto" w:sz="8" w:space="0"/>
            </w:tcBorders>
            <w:shd w:val="clear" w:color="auto" w:fill="auto"/>
            <w:noWrap/>
            <w:vAlign w:val="center"/>
          </w:tcPr>
          <w:p w14:paraId="0934851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AAD1D0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2473A9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B09FE0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34A734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55</w:t>
            </w:r>
          </w:p>
        </w:tc>
        <w:tc>
          <w:tcPr>
            <w:tcW w:w="1805" w:type="dxa"/>
            <w:vMerge w:val="continue"/>
            <w:tcBorders>
              <w:top w:val="nil"/>
              <w:left w:val="single" w:color="auto" w:sz="8" w:space="0"/>
              <w:bottom w:val="single" w:color="000000" w:sz="8" w:space="0"/>
              <w:right w:val="single" w:color="auto" w:sz="8" w:space="0"/>
            </w:tcBorders>
            <w:vAlign w:val="center"/>
          </w:tcPr>
          <w:p w14:paraId="223CD1B7">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24A7F158">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DFD9F9C">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手术授权管理</w:t>
            </w:r>
          </w:p>
        </w:tc>
        <w:tc>
          <w:tcPr>
            <w:tcW w:w="654" w:type="dxa"/>
            <w:tcBorders>
              <w:top w:val="nil"/>
              <w:left w:val="nil"/>
              <w:bottom w:val="single" w:color="auto" w:sz="8" w:space="0"/>
              <w:right w:val="single" w:color="auto" w:sz="8" w:space="0"/>
            </w:tcBorders>
            <w:shd w:val="clear" w:color="auto" w:fill="auto"/>
            <w:noWrap/>
            <w:vAlign w:val="center"/>
          </w:tcPr>
          <w:p w14:paraId="03BB514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E23D53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74C819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964A6C7">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5E31130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56</w:t>
            </w:r>
          </w:p>
        </w:tc>
        <w:tc>
          <w:tcPr>
            <w:tcW w:w="1805" w:type="dxa"/>
            <w:vMerge w:val="continue"/>
            <w:tcBorders>
              <w:top w:val="nil"/>
              <w:left w:val="single" w:color="auto" w:sz="8" w:space="0"/>
              <w:bottom w:val="single" w:color="000000" w:sz="8" w:space="0"/>
              <w:right w:val="single" w:color="auto" w:sz="8" w:space="0"/>
            </w:tcBorders>
            <w:vAlign w:val="center"/>
          </w:tcPr>
          <w:p w14:paraId="3C7A7D9A">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3704371">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7D21887">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医务排班管理</w:t>
            </w:r>
          </w:p>
        </w:tc>
        <w:tc>
          <w:tcPr>
            <w:tcW w:w="654" w:type="dxa"/>
            <w:tcBorders>
              <w:top w:val="nil"/>
              <w:left w:val="nil"/>
              <w:bottom w:val="single" w:color="auto" w:sz="8" w:space="0"/>
              <w:right w:val="single" w:color="auto" w:sz="8" w:space="0"/>
            </w:tcBorders>
            <w:shd w:val="clear" w:color="auto" w:fill="auto"/>
            <w:noWrap/>
            <w:vAlign w:val="center"/>
          </w:tcPr>
          <w:p w14:paraId="58C5139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2B03CA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30BF8E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C98C4C6">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6BA757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57</w:t>
            </w:r>
          </w:p>
        </w:tc>
        <w:tc>
          <w:tcPr>
            <w:tcW w:w="1805" w:type="dxa"/>
            <w:vMerge w:val="continue"/>
            <w:tcBorders>
              <w:top w:val="nil"/>
              <w:left w:val="single" w:color="auto" w:sz="8" w:space="0"/>
              <w:bottom w:val="single" w:color="000000" w:sz="8" w:space="0"/>
              <w:right w:val="single" w:color="auto" w:sz="8" w:space="0"/>
            </w:tcBorders>
            <w:vAlign w:val="center"/>
          </w:tcPr>
          <w:p w14:paraId="6DA4F924">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6BEF7E1">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AA9410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医德医风管理</w:t>
            </w:r>
          </w:p>
        </w:tc>
        <w:tc>
          <w:tcPr>
            <w:tcW w:w="654" w:type="dxa"/>
            <w:tcBorders>
              <w:top w:val="nil"/>
              <w:left w:val="nil"/>
              <w:bottom w:val="single" w:color="auto" w:sz="8" w:space="0"/>
              <w:right w:val="single" w:color="auto" w:sz="8" w:space="0"/>
            </w:tcBorders>
            <w:shd w:val="clear" w:color="auto" w:fill="auto"/>
            <w:noWrap/>
            <w:vAlign w:val="center"/>
          </w:tcPr>
          <w:p w14:paraId="461412B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B01E7F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04BED3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9CB5588">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2B7D79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58</w:t>
            </w:r>
          </w:p>
        </w:tc>
        <w:tc>
          <w:tcPr>
            <w:tcW w:w="1805" w:type="dxa"/>
            <w:vMerge w:val="continue"/>
            <w:tcBorders>
              <w:top w:val="nil"/>
              <w:left w:val="single" w:color="auto" w:sz="8" w:space="0"/>
              <w:bottom w:val="single" w:color="000000" w:sz="8" w:space="0"/>
              <w:right w:val="single" w:color="auto" w:sz="8" w:space="0"/>
            </w:tcBorders>
            <w:vAlign w:val="center"/>
          </w:tcPr>
          <w:p w14:paraId="44A47F57">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0C4F0149">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1943A504">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应急预案管理</w:t>
            </w:r>
          </w:p>
        </w:tc>
        <w:tc>
          <w:tcPr>
            <w:tcW w:w="654" w:type="dxa"/>
            <w:tcBorders>
              <w:top w:val="nil"/>
              <w:left w:val="nil"/>
              <w:bottom w:val="single" w:color="auto" w:sz="8" w:space="0"/>
              <w:right w:val="single" w:color="auto" w:sz="8" w:space="0"/>
            </w:tcBorders>
            <w:shd w:val="clear" w:color="auto" w:fill="auto"/>
            <w:noWrap/>
            <w:vAlign w:val="center"/>
          </w:tcPr>
          <w:p w14:paraId="0AF6CC8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86239A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83BF18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E6BADFC">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50D6177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59</w:t>
            </w:r>
          </w:p>
        </w:tc>
        <w:tc>
          <w:tcPr>
            <w:tcW w:w="1805" w:type="dxa"/>
            <w:vMerge w:val="continue"/>
            <w:tcBorders>
              <w:top w:val="nil"/>
              <w:left w:val="single" w:color="auto" w:sz="8" w:space="0"/>
              <w:bottom w:val="single" w:color="000000" w:sz="8" w:space="0"/>
              <w:right w:val="single" w:color="auto" w:sz="8" w:space="0"/>
            </w:tcBorders>
            <w:vAlign w:val="center"/>
          </w:tcPr>
          <w:p w14:paraId="47BB1C8E">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7DCD97C">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42E940CA">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公益派单管理</w:t>
            </w:r>
          </w:p>
        </w:tc>
        <w:tc>
          <w:tcPr>
            <w:tcW w:w="654" w:type="dxa"/>
            <w:tcBorders>
              <w:top w:val="nil"/>
              <w:left w:val="nil"/>
              <w:bottom w:val="single" w:color="auto" w:sz="8" w:space="0"/>
              <w:right w:val="single" w:color="auto" w:sz="8" w:space="0"/>
            </w:tcBorders>
            <w:shd w:val="clear" w:color="auto" w:fill="auto"/>
            <w:noWrap/>
            <w:vAlign w:val="center"/>
          </w:tcPr>
          <w:p w14:paraId="6327842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49630F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69AC6D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5F23964">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EADD82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60</w:t>
            </w:r>
          </w:p>
        </w:tc>
        <w:tc>
          <w:tcPr>
            <w:tcW w:w="1805" w:type="dxa"/>
            <w:vMerge w:val="continue"/>
            <w:tcBorders>
              <w:top w:val="nil"/>
              <w:left w:val="single" w:color="auto" w:sz="8" w:space="0"/>
              <w:bottom w:val="single" w:color="000000" w:sz="8" w:space="0"/>
              <w:right w:val="single" w:color="auto" w:sz="8" w:space="0"/>
            </w:tcBorders>
            <w:vAlign w:val="center"/>
          </w:tcPr>
          <w:p w14:paraId="345D0E9F">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5A3882D">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DEA9D1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医务安全管理</w:t>
            </w:r>
          </w:p>
        </w:tc>
        <w:tc>
          <w:tcPr>
            <w:tcW w:w="654" w:type="dxa"/>
            <w:tcBorders>
              <w:top w:val="nil"/>
              <w:left w:val="nil"/>
              <w:bottom w:val="single" w:color="auto" w:sz="8" w:space="0"/>
              <w:right w:val="single" w:color="auto" w:sz="8" w:space="0"/>
            </w:tcBorders>
            <w:shd w:val="clear" w:color="auto" w:fill="auto"/>
            <w:noWrap/>
            <w:vAlign w:val="center"/>
          </w:tcPr>
          <w:p w14:paraId="233CAC4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F8DD63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1E9EFA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C610D48">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7092BE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61</w:t>
            </w:r>
          </w:p>
        </w:tc>
        <w:tc>
          <w:tcPr>
            <w:tcW w:w="1805" w:type="dxa"/>
            <w:vMerge w:val="continue"/>
            <w:tcBorders>
              <w:top w:val="nil"/>
              <w:left w:val="single" w:color="auto" w:sz="8" w:space="0"/>
              <w:bottom w:val="single" w:color="000000" w:sz="8" w:space="0"/>
              <w:right w:val="single" w:color="auto" w:sz="8" w:space="0"/>
            </w:tcBorders>
            <w:vAlign w:val="center"/>
          </w:tcPr>
          <w:p w14:paraId="7367BE07">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7C32931">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52EFF5E">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院际会诊管理</w:t>
            </w:r>
          </w:p>
        </w:tc>
        <w:tc>
          <w:tcPr>
            <w:tcW w:w="654" w:type="dxa"/>
            <w:tcBorders>
              <w:top w:val="nil"/>
              <w:left w:val="nil"/>
              <w:bottom w:val="single" w:color="auto" w:sz="8" w:space="0"/>
              <w:right w:val="single" w:color="auto" w:sz="8" w:space="0"/>
            </w:tcBorders>
            <w:shd w:val="clear" w:color="auto" w:fill="auto"/>
            <w:noWrap/>
            <w:vAlign w:val="center"/>
          </w:tcPr>
          <w:p w14:paraId="04F87D7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3C87D24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4B2637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4E2F452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6DE1CF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62</w:t>
            </w:r>
          </w:p>
        </w:tc>
        <w:tc>
          <w:tcPr>
            <w:tcW w:w="1805" w:type="dxa"/>
            <w:vMerge w:val="continue"/>
            <w:tcBorders>
              <w:top w:val="nil"/>
              <w:left w:val="single" w:color="auto" w:sz="8" w:space="0"/>
              <w:bottom w:val="single" w:color="000000" w:sz="8" w:space="0"/>
              <w:right w:val="single" w:color="auto" w:sz="8" w:space="0"/>
            </w:tcBorders>
            <w:vAlign w:val="center"/>
          </w:tcPr>
          <w:p w14:paraId="421F87F8">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2F54EF3">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F1D029B">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奖惩及考试管理</w:t>
            </w:r>
          </w:p>
        </w:tc>
        <w:tc>
          <w:tcPr>
            <w:tcW w:w="654" w:type="dxa"/>
            <w:tcBorders>
              <w:top w:val="nil"/>
              <w:left w:val="nil"/>
              <w:bottom w:val="single" w:color="auto" w:sz="8" w:space="0"/>
              <w:right w:val="single" w:color="auto" w:sz="8" w:space="0"/>
            </w:tcBorders>
            <w:shd w:val="clear" w:color="auto" w:fill="auto"/>
            <w:noWrap/>
            <w:vAlign w:val="center"/>
          </w:tcPr>
          <w:p w14:paraId="59DB0FD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4E255D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2DCA1D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32853E0">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F6598F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63</w:t>
            </w:r>
          </w:p>
        </w:tc>
        <w:tc>
          <w:tcPr>
            <w:tcW w:w="1805" w:type="dxa"/>
            <w:vMerge w:val="continue"/>
            <w:tcBorders>
              <w:top w:val="nil"/>
              <w:left w:val="single" w:color="auto" w:sz="8" w:space="0"/>
              <w:bottom w:val="single" w:color="000000" w:sz="8" w:space="0"/>
              <w:right w:val="single" w:color="auto" w:sz="8" w:space="0"/>
            </w:tcBorders>
            <w:vAlign w:val="center"/>
          </w:tcPr>
          <w:p w14:paraId="26807178">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D50F36F">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025AA82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医务工作计划及报表管理</w:t>
            </w:r>
          </w:p>
        </w:tc>
        <w:tc>
          <w:tcPr>
            <w:tcW w:w="654" w:type="dxa"/>
            <w:tcBorders>
              <w:top w:val="nil"/>
              <w:left w:val="nil"/>
              <w:bottom w:val="single" w:color="auto" w:sz="8" w:space="0"/>
              <w:right w:val="single" w:color="auto" w:sz="8" w:space="0"/>
            </w:tcBorders>
            <w:shd w:val="clear" w:color="auto" w:fill="auto"/>
            <w:noWrap/>
            <w:vAlign w:val="center"/>
          </w:tcPr>
          <w:p w14:paraId="4924404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87076F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C86337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548C0B9">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5736A72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64</w:t>
            </w:r>
          </w:p>
        </w:tc>
        <w:tc>
          <w:tcPr>
            <w:tcW w:w="1805" w:type="dxa"/>
            <w:vMerge w:val="continue"/>
            <w:tcBorders>
              <w:top w:val="nil"/>
              <w:left w:val="single" w:color="auto" w:sz="8" w:space="0"/>
              <w:bottom w:val="single" w:color="000000" w:sz="8" w:space="0"/>
              <w:right w:val="single" w:color="auto" w:sz="8" w:space="0"/>
            </w:tcBorders>
            <w:vAlign w:val="center"/>
          </w:tcPr>
          <w:p w14:paraId="513A39FE">
            <w:pPr>
              <w:widowControl/>
              <w:spacing w:line="276" w:lineRule="auto"/>
              <w:jc w:val="left"/>
              <w:rPr>
                <w:rFonts w:ascii="宋体" w:hAnsi="宋体" w:eastAsia="宋体" w:cs="Tahoma"/>
                <w:b/>
                <w:bCs/>
                <w:color w:val="000000"/>
                <w:kern w:val="0"/>
                <w:sz w:val="21"/>
                <w:szCs w:val="21"/>
              </w:rPr>
            </w:pPr>
          </w:p>
        </w:tc>
        <w:tc>
          <w:tcPr>
            <w:tcW w:w="1650" w:type="dxa"/>
            <w:vMerge w:val="restart"/>
            <w:tcBorders>
              <w:top w:val="nil"/>
              <w:left w:val="single" w:color="auto" w:sz="8" w:space="0"/>
              <w:bottom w:val="single" w:color="000000" w:sz="8" w:space="0"/>
              <w:right w:val="single" w:color="auto" w:sz="8" w:space="0"/>
            </w:tcBorders>
            <w:shd w:val="clear" w:color="auto" w:fill="auto"/>
            <w:noWrap/>
            <w:vAlign w:val="center"/>
          </w:tcPr>
          <w:p w14:paraId="08AF540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护理管理系统</w:t>
            </w:r>
          </w:p>
        </w:tc>
        <w:tc>
          <w:tcPr>
            <w:tcW w:w="2534" w:type="dxa"/>
            <w:tcBorders>
              <w:top w:val="nil"/>
              <w:left w:val="nil"/>
              <w:bottom w:val="single" w:color="auto" w:sz="8" w:space="0"/>
              <w:right w:val="single" w:color="auto" w:sz="8" w:space="0"/>
            </w:tcBorders>
            <w:shd w:val="clear" w:color="auto" w:fill="auto"/>
            <w:noWrap/>
            <w:vAlign w:val="center"/>
          </w:tcPr>
          <w:p w14:paraId="6558FFCB">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首页综合管理</w:t>
            </w:r>
          </w:p>
        </w:tc>
        <w:tc>
          <w:tcPr>
            <w:tcW w:w="654" w:type="dxa"/>
            <w:tcBorders>
              <w:top w:val="nil"/>
              <w:left w:val="nil"/>
              <w:bottom w:val="single" w:color="auto" w:sz="8" w:space="0"/>
              <w:right w:val="single" w:color="auto" w:sz="8" w:space="0"/>
            </w:tcBorders>
            <w:shd w:val="clear" w:color="auto" w:fill="auto"/>
            <w:noWrap/>
            <w:vAlign w:val="center"/>
          </w:tcPr>
          <w:p w14:paraId="2D0E74E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EE79F2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EC92C5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A27D24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9A19D9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65</w:t>
            </w:r>
          </w:p>
        </w:tc>
        <w:tc>
          <w:tcPr>
            <w:tcW w:w="1805" w:type="dxa"/>
            <w:vMerge w:val="continue"/>
            <w:tcBorders>
              <w:top w:val="nil"/>
              <w:left w:val="single" w:color="auto" w:sz="8" w:space="0"/>
              <w:bottom w:val="single" w:color="000000" w:sz="8" w:space="0"/>
              <w:right w:val="single" w:color="auto" w:sz="8" w:space="0"/>
            </w:tcBorders>
            <w:vAlign w:val="center"/>
          </w:tcPr>
          <w:p w14:paraId="57991421">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087279C3">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7E9F1BF">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待办事项管理</w:t>
            </w:r>
          </w:p>
        </w:tc>
        <w:tc>
          <w:tcPr>
            <w:tcW w:w="654" w:type="dxa"/>
            <w:tcBorders>
              <w:top w:val="nil"/>
              <w:left w:val="nil"/>
              <w:bottom w:val="single" w:color="auto" w:sz="8" w:space="0"/>
              <w:right w:val="single" w:color="auto" w:sz="8" w:space="0"/>
            </w:tcBorders>
            <w:shd w:val="clear" w:color="auto" w:fill="auto"/>
            <w:noWrap/>
            <w:vAlign w:val="center"/>
          </w:tcPr>
          <w:p w14:paraId="1CBF514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B6AE3D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663958E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81A1AEC">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3ED0F0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66</w:t>
            </w:r>
          </w:p>
        </w:tc>
        <w:tc>
          <w:tcPr>
            <w:tcW w:w="1805" w:type="dxa"/>
            <w:vMerge w:val="continue"/>
            <w:tcBorders>
              <w:top w:val="nil"/>
              <w:left w:val="single" w:color="auto" w:sz="8" w:space="0"/>
              <w:bottom w:val="single" w:color="000000" w:sz="8" w:space="0"/>
              <w:right w:val="single" w:color="auto" w:sz="8" w:space="0"/>
            </w:tcBorders>
            <w:vAlign w:val="center"/>
          </w:tcPr>
          <w:p w14:paraId="41F1FB69">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44A8EC8">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2F1F4D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人员档案管理</w:t>
            </w:r>
          </w:p>
        </w:tc>
        <w:tc>
          <w:tcPr>
            <w:tcW w:w="654" w:type="dxa"/>
            <w:tcBorders>
              <w:top w:val="nil"/>
              <w:left w:val="nil"/>
              <w:bottom w:val="single" w:color="auto" w:sz="8" w:space="0"/>
              <w:right w:val="single" w:color="auto" w:sz="8" w:space="0"/>
            </w:tcBorders>
            <w:shd w:val="clear" w:color="auto" w:fill="auto"/>
            <w:noWrap/>
            <w:vAlign w:val="center"/>
          </w:tcPr>
          <w:p w14:paraId="773D7BB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2BFA31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64D330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18697C5">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5241271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67</w:t>
            </w:r>
          </w:p>
        </w:tc>
        <w:tc>
          <w:tcPr>
            <w:tcW w:w="1805" w:type="dxa"/>
            <w:vMerge w:val="continue"/>
            <w:tcBorders>
              <w:top w:val="nil"/>
              <w:left w:val="single" w:color="auto" w:sz="8" w:space="0"/>
              <w:bottom w:val="single" w:color="000000" w:sz="8" w:space="0"/>
              <w:right w:val="single" w:color="auto" w:sz="8" w:space="0"/>
            </w:tcBorders>
            <w:vAlign w:val="center"/>
          </w:tcPr>
          <w:p w14:paraId="749B2F2B">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896C357">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303CADB">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护理排班管理</w:t>
            </w:r>
          </w:p>
        </w:tc>
        <w:tc>
          <w:tcPr>
            <w:tcW w:w="654" w:type="dxa"/>
            <w:tcBorders>
              <w:top w:val="nil"/>
              <w:left w:val="nil"/>
              <w:bottom w:val="single" w:color="auto" w:sz="8" w:space="0"/>
              <w:right w:val="single" w:color="auto" w:sz="8" w:space="0"/>
            </w:tcBorders>
            <w:shd w:val="clear" w:color="auto" w:fill="auto"/>
            <w:noWrap/>
            <w:vAlign w:val="center"/>
          </w:tcPr>
          <w:p w14:paraId="23510AE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E8047C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2623A4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3A3CAF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782271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68</w:t>
            </w:r>
          </w:p>
        </w:tc>
        <w:tc>
          <w:tcPr>
            <w:tcW w:w="1805" w:type="dxa"/>
            <w:vMerge w:val="continue"/>
            <w:tcBorders>
              <w:top w:val="nil"/>
              <w:left w:val="single" w:color="auto" w:sz="8" w:space="0"/>
              <w:bottom w:val="single" w:color="000000" w:sz="8" w:space="0"/>
              <w:right w:val="single" w:color="auto" w:sz="8" w:space="0"/>
            </w:tcBorders>
            <w:vAlign w:val="center"/>
          </w:tcPr>
          <w:p w14:paraId="656AFD6B">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E7459F4">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61E46294">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护理质量管理</w:t>
            </w:r>
          </w:p>
        </w:tc>
        <w:tc>
          <w:tcPr>
            <w:tcW w:w="654" w:type="dxa"/>
            <w:tcBorders>
              <w:top w:val="nil"/>
              <w:left w:val="nil"/>
              <w:bottom w:val="single" w:color="auto" w:sz="8" w:space="0"/>
              <w:right w:val="single" w:color="auto" w:sz="8" w:space="0"/>
            </w:tcBorders>
            <w:shd w:val="clear" w:color="auto" w:fill="auto"/>
            <w:noWrap/>
            <w:vAlign w:val="center"/>
          </w:tcPr>
          <w:p w14:paraId="0E04E08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3252958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C53636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3702097">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2EB947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69</w:t>
            </w:r>
          </w:p>
        </w:tc>
        <w:tc>
          <w:tcPr>
            <w:tcW w:w="1805" w:type="dxa"/>
            <w:vMerge w:val="continue"/>
            <w:tcBorders>
              <w:top w:val="nil"/>
              <w:left w:val="single" w:color="auto" w:sz="8" w:space="0"/>
              <w:bottom w:val="single" w:color="000000" w:sz="8" w:space="0"/>
              <w:right w:val="single" w:color="auto" w:sz="8" w:space="0"/>
            </w:tcBorders>
            <w:vAlign w:val="center"/>
          </w:tcPr>
          <w:p w14:paraId="6B153BA5">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09FA481A">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140E112C">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护理工作手册</w:t>
            </w:r>
          </w:p>
        </w:tc>
        <w:tc>
          <w:tcPr>
            <w:tcW w:w="654" w:type="dxa"/>
            <w:tcBorders>
              <w:top w:val="nil"/>
              <w:left w:val="nil"/>
              <w:bottom w:val="single" w:color="auto" w:sz="8" w:space="0"/>
              <w:right w:val="single" w:color="auto" w:sz="8" w:space="0"/>
            </w:tcBorders>
            <w:shd w:val="clear" w:color="auto" w:fill="auto"/>
            <w:noWrap/>
            <w:vAlign w:val="center"/>
          </w:tcPr>
          <w:p w14:paraId="7FE0664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CF06E2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6563B0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00ECB87">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41C265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70</w:t>
            </w:r>
          </w:p>
        </w:tc>
        <w:tc>
          <w:tcPr>
            <w:tcW w:w="1805" w:type="dxa"/>
            <w:vMerge w:val="continue"/>
            <w:tcBorders>
              <w:top w:val="nil"/>
              <w:left w:val="single" w:color="auto" w:sz="8" w:space="0"/>
              <w:bottom w:val="single" w:color="000000" w:sz="8" w:space="0"/>
              <w:right w:val="single" w:color="auto" w:sz="8" w:space="0"/>
            </w:tcBorders>
            <w:vAlign w:val="center"/>
          </w:tcPr>
          <w:p w14:paraId="6674490A">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3F4AEBA1">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0D2E872E">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护理敏感指标管理</w:t>
            </w:r>
          </w:p>
        </w:tc>
        <w:tc>
          <w:tcPr>
            <w:tcW w:w="654" w:type="dxa"/>
            <w:tcBorders>
              <w:top w:val="nil"/>
              <w:left w:val="nil"/>
              <w:bottom w:val="single" w:color="auto" w:sz="8" w:space="0"/>
              <w:right w:val="single" w:color="auto" w:sz="8" w:space="0"/>
            </w:tcBorders>
            <w:shd w:val="clear" w:color="auto" w:fill="auto"/>
            <w:noWrap/>
            <w:vAlign w:val="center"/>
          </w:tcPr>
          <w:p w14:paraId="0EAA371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6677FB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5B263A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10663CA">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F39D8D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71</w:t>
            </w:r>
          </w:p>
        </w:tc>
        <w:tc>
          <w:tcPr>
            <w:tcW w:w="1805" w:type="dxa"/>
            <w:vMerge w:val="continue"/>
            <w:tcBorders>
              <w:top w:val="nil"/>
              <w:left w:val="single" w:color="auto" w:sz="8" w:space="0"/>
              <w:bottom w:val="single" w:color="000000" w:sz="8" w:space="0"/>
              <w:right w:val="single" w:color="auto" w:sz="8" w:space="0"/>
            </w:tcBorders>
            <w:vAlign w:val="center"/>
          </w:tcPr>
          <w:p w14:paraId="7E84C784">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2C23632F">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6419CB98">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临床患者管理</w:t>
            </w:r>
          </w:p>
        </w:tc>
        <w:tc>
          <w:tcPr>
            <w:tcW w:w="654" w:type="dxa"/>
            <w:tcBorders>
              <w:top w:val="nil"/>
              <w:left w:val="nil"/>
              <w:bottom w:val="single" w:color="auto" w:sz="8" w:space="0"/>
              <w:right w:val="single" w:color="auto" w:sz="8" w:space="0"/>
            </w:tcBorders>
            <w:shd w:val="clear" w:color="auto" w:fill="auto"/>
            <w:noWrap/>
            <w:vAlign w:val="center"/>
          </w:tcPr>
          <w:p w14:paraId="2BB26DD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423506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8226E1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4B6CB745">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92C255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72</w:t>
            </w:r>
          </w:p>
        </w:tc>
        <w:tc>
          <w:tcPr>
            <w:tcW w:w="1805" w:type="dxa"/>
            <w:vMerge w:val="continue"/>
            <w:tcBorders>
              <w:top w:val="nil"/>
              <w:left w:val="single" w:color="auto" w:sz="8" w:space="0"/>
              <w:bottom w:val="single" w:color="000000" w:sz="8" w:space="0"/>
              <w:right w:val="single" w:color="auto" w:sz="8" w:space="0"/>
            </w:tcBorders>
            <w:vAlign w:val="center"/>
          </w:tcPr>
          <w:p w14:paraId="41D4E17B">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1EB5218">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8076E45">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护理安全管理</w:t>
            </w:r>
          </w:p>
        </w:tc>
        <w:tc>
          <w:tcPr>
            <w:tcW w:w="654" w:type="dxa"/>
            <w:tcBorders>
              <w:top w:val="nil"/>
              <w:left w:val="nil"/>
              <w:bottom w:val="single" w:color="auto" w:sz="8" w:space="0"/>
              <w:right w:val="single" w:color="auto" w:sz="8" w:space="0"/>
            </w:tcBorders>
            <w:shd w:val="clear" w:color="auto" w:fill="auto"/>
            <w:noWrap/>
            <w:vAlign w:val="center"/>
          </w:tcPr>
          <w:p w14:paraId="6997CB3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008CB1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41738F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0EF6E51">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C0E1C3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73</w:t>
            </w:r>
          </w:p>
        </w:tc>
        <w:tc>
          <w:tcPr>
            <w:tcW w:w="1805" w:type="dxa"/>
            <w:vMerge w:val="continue"/>
            <w:tcBorders>
              <w:top w:val="nil"/>
              <w:left w:val="single" w:color="auto" w:sz="8" w:space="0"/>
              <w:bottom w:val="single" w:color="000000" w:sz="8" w:space="0"/>
              <w:right w:val="single" w:color="auto" w:sz="8" w:space="0"/>
            </w:tcBorders>
            <w:vAlign w:val="center"/>
          </w:tcPr>
          <w:p w14:paraId="197F45AC">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4B0712C">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08504F72">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统计分析模块</w:t>
            </w:r>
          </w:p>
        </w:tc>
        <w:tc>
          <w:tcPr>
            <w:tcW w:w="654" w:type="dxa"/>
            <w:tcBorders>
              <w:top w:val="nil"/>
              <w:left w:val="nil"/>
              <w:bottom w:val="single" w:color="auto" w:sz="8" w:space="0"/>
              <w:right w:val="single" w:color="auto" w:sz="8" w:space="0"/>
            </w:tcBorders>
            <w:shd w:val="clear" w:color="auto" w:fill="auto"/>
            <w:noWrap/>
            <w:vAlign w:val="center"/>
          </w:tcPr>
          <w:p w14:paraId="43B15D9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68F0F9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F76661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FE9F4DB">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F4E5F5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74</w:t>
            </w:r>
          </w:p>
        </w:tc>
        <w:tc>
          <w:tcPr>
            <w:tcW w:w="1805" w:type="dxa"/>
            <w:vMerge w:val="continue"/>
            <w:tcBorders>
              <w:top w:val="nil"/>
              <w:left w:val="single" w:color="auto" w:sz="8" w:space="0"/>
              <w:bottom w:val="single" w:color="000000" w:sz="8" w:space="0"/>
              <w:right w:val="single" w:color="auto" w:sz="8" w:space="0"/>
            </w:tcBorders>
            <w:vAlign w:val="center"/>
          </w:tcPr>
          <w:p w14:paraId="6D3860C1">
            <w:pPr>
              <w:widowControl/>
              <w:spacing w:line="276" w:lineRule="auto"/>
              <w:jc w:val="left"/>
              <w:rPr>
                <w:rFonts w:ascii="宋体" w:hAnsi="宋体" w:eastAsia="宋体" w:cs="Tahoma"/>
                <w:b/>
                <w:bCs/>
                <w:color w:val="000000"/>
                <w:kern w:val="0"/>
                <w:sz w:val="21"/>
                <w:szCs w:val="21"/>
              </w:rPr>
            </w:pPr>
          </w:p>
        </w:tc>
        <w:tc>
          <w:tcPr>
            <w:tcW w:w="1650" w:type="dxa"/>
            <w:vMerge w:val="restart"/>
            <w:tcBorders>
              <w:top w:val="nil"/>
              <w:left w:val="single" w:color="auto" w:sz="8" w:space="0"/>
              <w:bottom w:val="single" w:color="000000" w:sz="8" w:space="0"/>
              <w:right w:val="single" w:color="auto" w:sz="8" w:space="0"/>
            </w:tcBorders>
            <w:shd w:val="clear" w:color="auto" w:fill="auto"/>
            <w:noWrap/>
            <w:vAlign w:val="center"/>
          </w:tcPr>
          <w:p w14:paraId="1D95F04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护理综合发布系统</w:t>
            </w:r>
          </w:p>
        </w:tc>
        <w:tc>
          <w:tcPr>
            <w:tcW w:w="2534" w:type="dxa"/>
            <w:tcBorders>
              <w:top w:val="nil"/>
              <w:left w:val="nil"/>
              <w:bottom w:val="single" w:color="auto" w:sz="8" w:space="0"/>
              <w:right w:val="single" w:color="auto" w:sz="8" w:space="0"/>
            </w:tcBorders>
            <w:shd w:val="clear" w:color="auto" w:fill="auto"/>
            <w:noWrap/>
            <w:vAlign w:val="center"/>
          </w:tcPr>
          <w:p w14:paraId="0BD1EAED">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病区概况</w:t>
            </w:r>
          </w:p>
        </w:tc>
        <w:tc>
          <w:tcPr>
            <w:tcW w:w="654" w:type="dxa"/>
            <w:tcBorders>
              <w:top w:val="nil"/>
              <w:left w:val="nil"/>
              <w:bottom w:val="single" w:color="auto" w:sz="8" w:space="0"/>
              <w:right w:val="single" w:color="auto" w:sz="8" w:space="0"/>
            </w:tcBorders>
            <w:shd w:val="clear" w:color="auto" w:fill="auto"/>
            <w:noWrap/>
            <w:vAlign w:val="center"/>
          </w:tcPr>
          <w:p w14:paraId="71D3CD4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25CF4D6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78FA15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923C2AD">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32A85E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75</w:t>
            </w:r>
          </w:p>
        </w:tc>
        <w:tc>
          <w:tcPr>
            <w:tcW w:w="1805" w:type="dxa"/>
            <w:vMerge w:val="continue"/>
            <w:tcBorders>
              <w:top w:val="nil"/>
              <w:left w:val="single" w:color="auto" w:sz="8" w:space="0"/>
              <w:bottom w:val="single" w:color="000000" w:sz="8" w:space="0"/>
              <w:right w:val="single" w:color="auto" w:sz="8" w:space="0"/>
            </w:tcBorders>
            <w:vAlign w:val="center"/>
          </w:tcPr>
          <w:p w14:paraId="639F2D06">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9EEA001">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1739CAD4">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床位一览</w:t>
            </w:r>
          </w:p>
        </w:tc>
        <w:tc>
          <w:tcPr>
            <w:tcW w:w="654" w:type="dxa"/>
            <w:tcBorders>
              <w:top w:val="nil"/>
              <w:left w:val="nil"/>
              <w:bottom w:val="single" w:color="auto" w:sz="8" w:space="0"/>
              <w:right w:val="single" w:color="auto" w:sz="8" w:space="0"/>
            </w:tcBorders>
            <w:shd w:val="clear" w:color="auto" w:fill="auto"/>
            <w:noWrap/>
            <w:vAlign w:val="center"/>
          </w:tcPr>
          <w:p w14:paraId="2410BD5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1D80C6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BF4A5E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A450893">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C513C2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76</w:t>
            </w:r>
          </w:p>
        </w:tc>
        <w:tc>
          <w:tcPr>
            <w:tcW w:w="1805" w:type="dxa"/>
            <w:vMerge w:val="continue"/>
            <w:tcBorders>
              <w:top w:val="nil"/>
              <w:left w:val="single" w:color="auto" w:sz="8" w:space="0"/>
              <w:bottom w:val="single" w:color="000000" w:sz="8" w:space="0"/>
              <w:right w:val="single" w:color="auto" w:sz="8" w:space="0"/>
            </w:tcBorders>
            <w:vAlign w:val="center"/>
          </w:tcPr>
          <w:p w14:paraId="160C40FB">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08BA033D">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6743914C">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护理计划</w:t>
            </w:r>
          </w:p>
        </w:tc>
        <w:tc>
          <w:tcPr>
            <w:tcW w:w="654" w:type="dxa"/>
            <w:tcBorders>
              <w:top w:val="nil"/>
              <w:left w:val="nil"/>
              <w:bottom w:val="single" w:color="auto" w:sz="8" w:space="0"/>
              <w:right w:val="single" w:color="auto" w:sz="8" w:space="0"/>
            </w:tcBorders>
            <w:shd w:val="clear" w:color="auto" w:fill="auto"/>
            <w:noWrap/>
            <w:vAlign w:val="center"/>
          </w:tcPr>
          <w:p w14:paraId="73A2818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ED0D00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14131B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5CCCA61">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910416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77</w:t>
            </w:r>
          </w:p>
        </w:tc>
        <w:tc>
          <w:tcPr>
            <w:tcW w:w="1805" w:type="dxa"/>
            <w:vMerge w:val="continue"/>
            <w:tcBorders>
              <w:top w:val="nil"/>
              <w:left w:val="single" w:color="auto" w:sz="8" w:space="0"/>
              <w:bottom w:val="single" w:color="000000" w:sz="8" w:space="0"/>
              <w:right w:val="single" w:color="auto" w:sz="8" w:space="0"/>
            </w:tcBorders>
            <w:vAlign w:val="center"/>
          </w:tcPr>
          <w:p w14:paraId="28EE77D2">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38AA5D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71ADE83">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排班信息</w:t>
            </w:r>
          </w:p>
        </w:tc>
        <w:tc>
          <w:tcPr>
            <w:tcW w:w="654" w:type="dxa"/>
            <w:tcBorders>
              <w:top w:val="nil"/>
              <w:left w:val="nil"/>
              <w:bottom w:val="single" w:color="auto" w:sz="8" w:space="0"/>
              <w:right w:val="single" w:color="auto" w:sz="8" w:space="0"/>
            </w:tcBorders>
            <w:shd w:val="clear" w:color="auto" w:fill="auto"/>
            <w:noWrap/>
            <w:vAlign w:val="center"/>
          </w:tcPr>
          <w:p w14:paraId="07CF993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BB78B8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976D4F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5135C6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2330C0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78</w:t>
            </w:r>
          </w:p>
        </w:tc>
        <w:tc>
          <w:tcPr>
            <w:tcW w:w="1805" w:type="dxa"/>
            <w:vMerge w:val="continue"/>
            <w:tcBorders>
              <w:top w:val="nil"/>
              <w:left w:val="single" w:color="auto" w:sz="8" w:space="0"/>
              <w:bottom w:val="single" w:color="000000" w:sz="8" w:space="0"/>
              <w:right w:val="single" w:color="auto" w:sz="8" w:space="0"/>
            </w:tcBorders>
            <w:vAlign w:val="center"/>
          </w:tcPr>
          <w:p w14:paraId="4B42A854">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4F8CA4F">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18F7554">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体征事件发布</w:t>
            </w:r>
          </w:p>
        </w:tc>
        <w:tc>
          <w:tcPr>
            <w:tcW w:w="654" w:type="dxa"/>
            <w:tcBorders>
              <w:top w:val="nil"/>
              <w:left w:val="nil"/>
              <w:bottom w:val="single" w:color="auto" w:sz="8" w:space="0"/>
              <w:right w:val="single" w:color="auto" w:sz="8" w:space="0"/>
            </w:tcBorders>
            <w:shd w:val="clear" w:color="auto" w:fill="auto"/>
            <w:noWrap/>
            <w:vAlign w:val="center"/>
          </w:tcPr>
          <w:p w14:paraId="6389DAA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D95E68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161B48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3941B8C">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2DC418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79</w:t>
            </w:r>
          </w:p>
        </w:tc>
        <w:tc>
          <w:tcPr>
            <w:tcW w:w="1805" w:type="dxa"/>
            <w:vMerge w:val="continue"/>
            <w:tcBorders>
              <w:top w:val="nil"/>
              <w:left w:val="single" w:color="auto" w:sz="8" w:space="0"/>
              <w:bottom w:val="single" w:color="000000" w:sz="8" w:space="0"/>
              <w:right w:val="single" w:color="auto" w:sz="8" w:space="0"/>
            </w:tcBorders>
            <w:vAlign w:val="center"/>
          </w:tcPr>
          <w:p w14:paraId="1449D262">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061C33F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DC746E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手术监控发布</w:t>
            </w:r>
          </w:p>
        </w:tc>
        <w:tc>
          <w:tcPr>
            <w:tcW w:w="654" w:type="dxa"/>
            <w:tcBorders>
              <w:top w:val="nil"/>
              <w:left w:val="nil"/>
              <w:bottom w:val="single" w:color="auto" w:sz="8" w:space="0"/>
              <w:right w:val="single" w:color="auto" w:sz="8" w:space="0"/>
            </w:tcBorders>
            <w:shd w:val="clear" w:color="auto" w:fill="auto"/>
            <w:noWrap/>
            <w:vAlign w:val="center"/>
          </w:tcPr>
          <w:p w14:paraId="5E1CA91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15EB6B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764B47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DC6E59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850460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80</w:t>
            </w:r>
          </w:p>
        </w:tc>
        <w:tc>
          <w:tcPr>
            <w:tcW w:w="1805" w:type="dxa"/>
            <w:vMerge w:val="continue"/>
            <w:tcBorders>
              <w:top w:val="nil"/>
              <w:left w:val="single" w:color="auto" w:sz="8" w:space="0"/>
              <w:bottom w:val="single" w:color="000000" w:sz="8" w:space="0"/>
              <w:right w:val="single" w:color="auto" w:sz="8" w:space="0"/>
            </w:tcBorders>
            <w:vAlign w:val="center"/>
          </w:tcPr>
          <w:p w14:paraId="390A5B52">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9099AF6">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476CE69D">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交班日志发布</w:t>
            </w:r>
          </w:p>
        </w:tc>
        <w:tc>
          <w:tcPr>
            <w:tcW w:w="654" w:type="dxa"/>
            <w:tcBorders>
              <w:top w:val="nil"/>
              <w:left w:val="nil"/>
              <w:bottom w:val="single" w:color="auto" w:sz="8" w:space="0"/>
              <w:right w:val="single" w:color="auto" w:sz="8" w:space="0"/>
            </w:tcBorders>
            <w:shd w:val="clear" w:color="auto" w:fill="auto"/>
            <w:noWrap/>
            <w:vAlign w:val="center"/>
          </w:tcPr>
          <w:p w14:paraId="000CCB0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4279E0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A38FA5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C542FF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EBBF88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81</w:t>
            </w:r>
          </w:p>
        </w:tc>
        <w:tc>
          <w:tcPr>
            <w:tcW w:w="1805" w:type="dxa"/>
            <w:vMerge w:val="continue"/>
            <w:tcBorders>
              <w:top w:val="nil"/>
              <w:left w:val="single" w:color="auto" w:sz="8" w:space="0"/>
              <w:bottom w:val="single" w:color="000000" w:sz="8" w:space="0"/>
              <w:right w:val="single" w:color="auto" w:sz="8" w:space="0"/>
            </w:tcBorders>
            <w:vAlign w:val="center"/>
          </w:tcPr>
          <w:p w14:paraId="59C33F05">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9D9771E">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2DC6799">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通讯录发布</w:t>
            </w:r>
          </w:p>
        </w:tc>
        <w:tc>
          <w:tcPr>
            <w:tcW w:w="654" w:type="dxa"/>
            <w:tcBorders>
              <w:top w:val="nil"/>
              <w:left w:val="nil"/>
              <w:bottom w:val="single" w:color="auto" w:sz="8" w:space="0"/>
              <w:right w:val="single" w:color="auto" w:sz="8" w:space="0"/>
            </w:tcBorders>
            <w:shd w:val="clear" w:color="auto" w:fill="auto"/>
            <w:noWrap/>
            <w:vAlign w:val="center"/>
          </w:tcPr>
          <w:p w14:paraId="5E2268A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BECA36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555936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5E4DBD9">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548FFB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82</w:t>
            </w:r>
          </w:p>
        </w:tc>
        <w:tc>
          <w:tcPr>
            <w:tcW w:w="1805" w:type="dxa"/>
            <w:vMerge w:val="continue"/>
            <w:tcBorders>
              <w:top w:val="nil"/>
              <w:left w:val="single" w:color="auto" w:sz="8" w:space="0"/>
              <w:bottom w:val="single" w:color="000000" w:sz="8" w:space="0"/>
              <w:right w:val="single" w:color="auto" w:sz="8" w:space="0"/>
            </w:tcBorders>
            <w:vAlign w:val="center"/>
          </w:tcPr>
          <w:p w14:paraId="3E3DD24B">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7AA40B5">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69C1B394">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多媒体发布</w:t>
            </w:r>
          </w:p>
        </w:tc>
        <w:tc>
          <w:tcPr>
            <w:tcW w:w="654" w:type="dxa"/>
            <w:tcBorders>
              <w:top w:val="nil"/>
              <w:left w:val="nil"/>
              <w:bottom w:val="single" w:color="auto" w:sz="8" w:space="0"/>
              <w:right w:val="single" w:color="auto" w:sz="8" w:space="0"/>
            </w:tcBorders>
            <w:shd w:val="clear" w:color="auto" w:fill="auto"/>
            <w:noWrap/>
            <w:vAlign w:val="center"/>
          </w:tcPr>
          <w:p w14:paraId="2D21923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DF4D06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DC9DA2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3EEB7FF">
        <w:tblPrEx>
          <w:tblCellMar>
            <w:top w:w="0" w:type="dxa"/>
            <w:left w:w="108" w:type="dxa"/>
            <w:bottom w:w="0" w:type="dxa"/>
            <w:right w:w="108" w:type="dxa"/>
          </w:tblCellMar>
        </w:tblPrEx>
        <w:trPr>
          <w:trHeight w:val="533"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5CEF5D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83</w:t>
            </w:r>
          </w:p>
        </w:tc>
        <w:tc>
          <w:tcPr>
            <w:tcW w:w="1805" w:type="dxa"/>
            <w:vMerge w:val="restart"/>
            <w:tcBorders>
              <w:top w:val="nil"/>
              <w:left w:val="single" w:color="auto" w:sz="8" w:space="0"/>
              <w:bottom w:val="single" w:color="000000" w:sz="8" w:space="0"/>
              <w:right w:val="single" w:color="auto" w:sz="8" w:space="0"/>
            </w:tcBorders>
            <w:shd w:val="clear" w:color="auto" w:fill="auto"/>
            <w:noWrap/>
            <w:vAlign w:val="center"/>
          </w:tcPr>
          <w:p w14:paraId="3CEAA30B">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LIS 系统升级扩建</w:t>
            </w:r>
          </w:p>
        </w:tc>
        <w:tc>
          <w:tcPr>
            <w:tcW w:w="1650" w:type="dxa"/>
            <w:vMerge w:val="restart"/>
            <w:tcBorders>
              <w:top w:val="nil"/>
              <w:left w:val="single" w:color="auto" w:sz="8" w:space="0"/>
              <w:bottom w:val="single" w:color="000000" w:sz="8" w:space="0"/>
              <w:right w:val="single" w:color="auto" w:sz="8" w:space="0"/>
            </w:tcBorders>
            <w:shd w:val="clear" w:color="auto" w:fill="auto"/>
            <w:noWrap/>
            <w:vAlign w:val="center"/>
          </w:tcPr>
          <w:p w14:paraId="732070E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LIS系统升级</w:t>
            </w:r>
          </w:p>
        </w:tc>
        <w:tc>
          <w:tcPr>
            <w:tcW w:w="2534" w:type="dxa"/>
            <w:tcBorders>
              <w:top w:val="nil"/>
              <w:left w:val="nil"/>
              <w:bottom w:val="single" w:color="auto" w:sz="8" w:space="0"/>
              <w:right w:val="single" w:color="auto" w:sz="8" w:space="0"/>
            </w:tcBorders>
            <w:shd w:val="clear" w:color="auto" w:fill="auto"/>
            <w:noWrap/>
            <w:vAlign w:val="center"/>
          </w:tcPr>
          <w:p w14:paraId="6B7A117B">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标本采集工作站模块</w:t>
            </w:r>
          </w:p>
        </w:tc>
        <w:tc>
          <w:tcPr>
            <w:tcW w:w="654" w:type="dxa"/>
            <w:tcBorders>
              <w:top w:val="nil"/>
              <w:left w:val="nil"/>
              <w:bottom w:val="single" w:color="auto" w:sz="8" w:space="0"/>
              <w:right w:val="single" w:color="auto" w:sz="8" w:space="0"/>
            </w:tcBorders>
            <w:shd w:val="clear" w:color="auto" w:fill="auto"/>
            <w:noWrap/>
            <w:vAlign w:val="center"/>
          </w:tcPr>
          <w:p w14:paraId="1672EE1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37C0A98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FAEB79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49146A7">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AE7421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84</w:t>
            </w:r>
          </w:p>
        </w:tc>
        <w:tc>
          <w:tcPr>
            <w:tcW w:w="1805" w:type="dxa"/>
            <w:vMerge w:val="continue"/>
            <w:tcBorders>
              <w:top w:val="nil"/>
              <w:left w:val="single" w:color="auto" w:sz="8" w:space="0"/>
              <w:bottom w:val="single" w:color="000000" w:sz="8" w:space="0"/>
              <w:right w:val="single" w:color="auto" w:sz="8" w:space="0"/>
            </w:tcBorders>
            <w:vAlign w:val="center"/>
          </w:tcPr>
          <w:p w14:paraId="78E45FA7">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EC92C67">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4EA7FB9">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检验工作站模块</w:t>
            </w:r>
          </w:p>
        </w:tc>
        <w:tc>
          <w:tcPr>
            <w:tcW w:w="654" w:type="dxa"/>
            <w:tcBorders>
              <w:top w:val="nil"/>
              <w:left w:val="nil"/>
              <w:bottom w:val="single" w:color="auto" w:sz="8" w:space="0"/>
              <w:right w:val="single" w:color="auto" w:sz="8" w:space="0"/>
            </w:tcBorders>
            <w:shd w:val="clear" w:color="auto" w:fill="auto"/>
            <w:noWrap/>
            <w:vAlign w:val="center"/>
          </w:tcPr>
          <w:p w14:paraId="3C7789E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1E2F67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336103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939DB5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5A5854B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85</w:t>
            </w:r>
          </w:p>
        </w:tc>
        <w:tc>
          <w:tcPr>
            <w:tcW w:w="1805" w:type="dxa"/>
            <w:vMerge w:val="continue"/>
            <w:tcBorders>
              <w:top w:val="nil"/>
              <w:left w:val="single" w:color="auto" w:sz="8" w:space="0"/>
              <w:bottom w:val="single" w:color="000000" w:sz="8" w:space="0"/>
              <w:right w:val="single" w:color="auto" w:sz="8" w:space="0"/>
            </w:tcBorders>
            <w:vAlign w:val="center"/>
          </w:tcPr>
          <w:p w14:paraId="6DC14B28">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BDC52D1">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9699858">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微生物工作站模块</w:t>
            </w:r>
          </w:p>
        </w:tc>
        <w:tc>
          <w:tcPr>
            <w:tcW w:w="654" w:type="dxa"/>
            <w:tcBorders>
              <w:top w:val="nil"/>
              <w:left w:val="nil"/>
              <w:bottom w:val="single" w:color="auto" w:sz="8" w:space="0"/>
              <w:right w:val="single" w:color="auto" w:sz="8" w:space="0"/>
            </w:tcBorders>
            <w:shd w:val="clear" w:color="auto" w:fill="auto"/>
            <w:noWrap/>
            <w:vAlign w:val="center"/>
          </w:tcPr>
          <w:p w14:paraId="5A84378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04A01A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657A82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FABB753">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9FEBFB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86</w:t>
            </w:r>
          </w:p>
        </w:tc>
        <w:tc>
          <w:tcPr>
            <w:tcW w:w="1805" w:type="dxa"/>
            <w:vMerge w:val="continue"/>
            <w:tcBorders>
              <w:top w:val="nil"/>
              <w:left w:val="single" w:color="auto" w:sz="8" w:space="0"/>
              <w:bottom w:val="single" w:color="000000" w:sz="8" w:space="0"/>
              <w:right w:val="single" w:color="auto" w:sz="8" w:space="0"/>
            </w:tcBorders>
            <w:vAlign w:val="center"/>
          </w:tcPr>
          <w:p w14:paraId="26E91C17">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1EC6A16">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18DED583">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费用管理模块</w:t>
            </w:r>
          </w:p>
        </w:tc>
        <w:tc>
          <w:tcPr>
            <w:tcW w:w="654" w:type="dxa"/>
            <w:tcBorders>
              <w:top w:val="nil"/>
              <w:left w:val="nil"/>
              <w:bottom w:val="single" w:color="auto" w:sz="8" w:space="0"/>
              <w:right w:val="single" w:color="auto" w:sz="8" w:space="0"/>
            </w:tcBorders>
            <w:shd w:val="clear" w:color="auto" w:fill="auto"/>
            <w:noWrap/>
            <w:vAlign w:val="center"/>
          </w:tcPr>
          <w:p w14:paraId="65A8B23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37BCA88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6FBDCA3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B68847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E2F44F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87</w:t>
            </w:r>
          </w:p>
        </w:tc>
        <w:tc>
          <w:tcPr>
            <w:tcW w:w="1805" w:type="dxa"/>
            <w:vMerge w:val="continue"/>
            <w:tcBorders>
              <w:top w:val="nil"/>
              <w:left w:val="single" w:color="auto" w:sz="8" w:space="0"/>
              <w:bottom w:val="single" w:color="000000" w:sz="8" w:space="0"/>
              <w:right w:val="single" w:color="auto" w:sz="8" w:space="0"/>
            </w:tcBorders>
            <w:vAlign w:val="center"/>
          </w:tcPr>
          <w:p w14:paraId="7ADB0EED">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00D1076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419574C2">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基础数据管理模块</w:t>
            </w:r>
          </w:p>
        </w:tc>
        <w:tc>
          <w:tcPr>
            <w:tcW w:w="654" w:type="dxa"/>
            <w:tcBorders>
              <w:top w:val="nil"/>
              <w:left w:val="nil"/>
              <w:bottom w:val="single" w:color="auto" w:sz="8" w:space="0"/>
              <w:right w:val="single" w:color="auto" w:sz="8" w:space="0"/>
            </w:tcBorders>
            <w:shd w:val="clear" w:color="auto" w:fill="auto"/>
            <w:noWrap/>
            <w:vAlign w:val="center"/>
          </w:tcPr>
          <w:p w14:paraId="5343B23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1C169F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6708736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45341C27">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B167F4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88</w:t>
            </w:r>
          </w:p>
        </w:tc>
        <w:tc>
          <w:tcPr>
            <w:tcW w:w="1805" w:type="dxa"/>
            <w:vMerge w:val="continue"/>
            <w:tcBorders>
              <w:top w:val="nil"/>
              <w:left w:val="single" w:color="auto" w:sz="8" w:space="0"/>
              <w:bottom w:val="single" w:color="000000" w:sz="8" w:space="0"/>
              <w:right w:val="single" w:color="auto" w:sz="8" w:space="0"/>
            </w:tcBorders>
            <w:vAlign w:val="center"/>
          </w:tcPr>
          <w:p w14:paraId="65F0E2C2">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20D69A2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3F5F0D5">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查询与统计模块</w:t>
            </w:r>
          </w:p>
        </w:tc>
        <w:tc>
          <w:tcPr>
            <w:tcW w:w="654" w:type="dxa"/>
            <w:tcBorders>
              <w:top w:val="nil"/>
              <w:left w:val="nil"/>
              <w:bottom w:val="single" w:color="auto" w:sz="8" w:space="0"/>
              <w:right w:val="single" w:color="auto" w:sz="8" w:space="0"/>
            </w:tcBorders>
            <w:shd w:val="clear" w:color="auto" w:fill="auto"/>
            <w:noWrap/>
            <w:vAlign w:val="center"/>
          </w:tcPr>
          <w:p w14:paraId="484808F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1A0175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C4B266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E4C5DC6">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0C2239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89</w:t>
            </w:r>
          </w:p>
        </w:tc>
        <w:tc>
          <w:tcPr>
            <w:tcW w:w="1805" w:type="dxa"/>
            <w:vMerge w:val="continue"/>
            <w:tcBorders>
              <w:top w:val="nil"/>
              <w:left w:val="single" w:color="auto" w:sz="8" w:space="0"/>
              <w:bottom w:val="single" w:color="000000" w:sz="8" w:space="0"/>
              <w:right w:val="single" w:color="auto" w:sz="8" w:space="0"/>
            </w:tcBorders>
            <w:vAlign w:val="center"/>
          </w:tcPr>
          <w:p w14:paraId="6B7A634E">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5A53ED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AC2A85B">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检验结果共享模块</w:t>
            </w:r>
          </w:p>
        </w:tc>
        <w:tc>
          <w:tcPr>
            <w:tcW w:w="654" w:type="dxa"/>
            <w:tcBorders>
              <w:top w:val="nil"/>
              <w:left w:val="nil"/>
              <w:bottom w:val="single" w:color="auto" w:sz="8" w:space="0"/>
              <w:right w:val="single" w:color="auto" w:sz="8" w:space="0"/>
            </w:tcBorders>
            <w:shd w:val="clear" w:color="auto" w:fill="auto"/>
            <w:noWrap/>
            <w:vAlign w:val="center"/>
          </w:tcPr>
          <w:p w14:paraId="163CE11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2BF5CC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E84634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19D5319">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22DE91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90</w:t>
            </w:r>
          </w:p>
        </w:tc>
        <w:tc>
          <w:tcPr>
            <w:tcW w:w="1805" w:type="dxa"/>
            <w:vMerge w:val="continue"/>
            <w:tcBorders>
              <w:top w:val="nil"/>
              <w:left w:val="single" w:color="auto" w:sz="8" w:space="0"/>
              <w:bottom w:val="single" w:color="000000" w:sz="8" w:space="0"/>
              <w:right w:val="single" w:color="auto" w:sz="8" w:space="0"/>
            </w:tcBorders>
            <w:vAlign w:val="center"/>
          </w:tcPr>
          <w:p w14:paraId="142BA1C7">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0F2A22D">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02285D7E">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临床报告打印模块</w:t>
            </w:r>
          </w:p>
        </w:tc>
        <w:tc>
          <w:tcPr>
            <w:tcW w:w="654" w:type="dxa"/>
            <w:tcBorders>
              <w:top w:val="nil"/>
              <w:left w:val="nil"/>
              <w:bottom w:val="single" w:color="auto" w:sz="8" w:space="0"/>
              <w:right w:val="single" w:color="auto" w:sz="8" w:space="0"/>
            </w:tcBorders>
            <w:shd w:val="clear" w:color="auto" w:fill="auto"/>
            <w:noWrap/>
            <w:vAlign w:val="center"/>
          </w:tcPr>
          <w:p w14:paraId="3510DAF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7A193D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6CD3F1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BFC379A">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491612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91</w:t>
            </w:r>
          </w:p>
        </w:tc>
        <w:tc>
          <w:tcPr>
            <w:tcW w:w="1805" w:type="dxa"/>
            <w:vMerge w:val="continue"/>
            <w:tcBorders>
              <w:top w:val="nil"/>
              <w:left w:val="single" w:color="auto" w:sz="8" w:space="0"/>
              <w:bottom w:val="single" w:color="000000" w:sz="8" w:space="0"/>
              <w:right w:val="single" w:color="auto" w:sz="8" w:space="0"/>
            </w:tcBorders>
            <w:vAlign w:val="center"/>
          </w:tcPr>
          <w:p w14:paraId="252A8D26">
            <w:pPr>
              <w:widowControl/>
              <w:spacing w:line="276" w:lineRule="auto"/>
              <w:jc w:val="left"/>
              <w:rPr>
                <w:rFonts w:ascii="宋体" w:hAnsi="宋体" w:eastAsia="宋体" w:cs="Tahoma"/>
                <w:b/>
                <w:bCs/>
                <w:color w:val="000000"/>
                <w:kern w:val="0"/>
                <w:sz w:val="21"/>
                <w:szCs w:val="21"/>
              </w:rPr>
            </w:pPr>
          </w:p>
        </w:tc>
        <w:tc>
          <w:tcPr>
            <w:tcW w:w="1650" w:type="dxa"/>
            <w:vMerge w:val="restart"/>
            <w:tcBorders>
              <w:top w:val="nil"/>
              <w:left w:val="single" w:color="auto" w:sz="8" w:space="0"/>
              <w:bottom w:val="single" w:color="000000" w:sz="8" w:space="0"/>
              <w:right w:val="nil"/>
            </w:tcBorders>
            <w:shd w:val="clear" w:color="auto" w:fill="auto"/>
            <w:noWrap/>
            <w:vAlign w:val="center"/>
          </w:tcPr>
          <w:p w14:paraId="30A2915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LIS系统扩建新增</w:t>
            </w:r>
          </w:p>
        </w:tc>
        <w:tc>
          <w:tcPr>
            <w:tcW w:w="2534" w:type="dxa"/>
            <w:tcBorders>
              <w:top w:val="nil"/>
              <w:left w:val="nil"/>
              <w:bottom w:val="single" w:color="auto" w:sz="8" w:space="0"/>
              <w:right w:val="single" w:color="auto" w:sz="8" w:space="0"/>
            </w:tcBorders>
            <w:shd w:val="clear" w:color="auto" w:fill="auto"/>
            <w:noWrap/>
            <w:vAlign w:val="center"/>
          </w:tcPr>
          <w:p w14:paraId="6478ADE2">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试剂管理系统</w:t>
            </w:r>
          </w:p>
        </w:tc>
        <w:tc>
          <w:tcPr>
            <w:tcW w:w="654" w:type="dxa"/>
            <w:tcBorders>
              <w:top w:val="nil"/>
              <w:left w:val="nil"/>
              <w:bottom w:val="single" w:color="auto" w:sz="8" w:space="0"/>
              <w:right w:val="single" w:color="auto" w:sz="8" w:space="0"/>
            </w:tcBorders>
            <w:shd w:val="clear" w:color="auto" w:fill="auto"/>
            <w:noWrap/>
            <w:vAlign w:val="center"/>
          </w:tcPr>
          <w:p w14:paraId="06A026B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E4207C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30B56B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011619A">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8D5B38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92</w:t>
            </w:r>
          </w:p>
        </w:tc>
        <w:tc>
          <w:tcPr>
            <w:tcW w:w="1805" w:type="dxa"/>
            <w:vMerge w:val="continue"/>
            <w:tcBorders>
              <w:top w:val="nil"/>
              <w:left w:val="single" w:color="auto" w:sz="8" w:space="0"/>
              <w:bottom w:val="single" w:color="000000" w:sz="8" w:space="0"/>
              <w:right w:val="single" w:color="auto" w:sz="8" w:space="0"/>
            </w:tcBorders>
            <w:vAlign w:val="center"/>
          </w:tcPr>
          <w:p w14:paraId="7432BACA">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nil"/>
            </w:tcBorders>
            <w:vAlign w:val="center"/>
          </w:tcPr>
          <w:p w14:paraId="1166D867">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1A1346F6">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危急值管理系统</w:t>
            </w:r>
          </w:p>
        </w:tc>
        <w:tc>
          <w:tcPr>
            <w:tcW w:w="654" w:type="dxa"/>
            <w:tcBorders>
              <w:top w:val="nil"/>
              <w:left w:val="nil"/>
              <w:bottom w:val="single" w:color="auto" w:sz="8" w:space="0"/>
              <w:right w:val="single" w:color="auto" w:sz="8" w:space="0"/>
            </w:tcBorders>
            <w:shd w:val="clear" w:color="auto" w:fill="auto"/>
            <w:noWrap/>
            <w:vAlign w:val="center"/>
          </w:tcPr>
          <w:p w14:paraId="07311C8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2368F8B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3749A5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6BC4F5B">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F74107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93</w:t>
            </w:r>
          </w:p>
        </w:tc>
        <w:tc>
          <w:tcPr>
            <w:tcW w:w="1805" w:type="dxa"/>
            <w:vMerge w:val="continue"/>
            <w:tcBorders>
              <w:top w:val="nil"/>
              <w:left w:val="single" w:color="auto" w:sz="8" w:space="0"/>
              <w:bottom w:val="single" w:color="000000" w:sz="8" w:space="0"/>
              <w:right w:val="single" w:color="auto" w:sz="8" w:space="0"/>
            </w:tcBorders>
            <w:vAlign w:val="center"/>
          </w:tcPr>
          <w:p w14:paraId="7DAAC3BC">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nil"/>
            </w:tcBorders>
            <w:vAlign w:val="center"/>
          </w:tcPr>
          <w:p w14:paraId="26574E9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07E89583">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实验室质控管理</w:t>
            </w:r>
          </w:p>
        </w:tc>
        <w:tc>
          <w:tcPr>
            <w:tcW w:w="654" w:type="dxa"/>
            <w:tcBorders>
              <w:top w:val="nil"/>
              <w:left w:val="nil"/>
              <w:bottom w:val="single" w:color="auto" w:sz="8" w:space="0"/>
              <w:right w:val="single" w:color="auto" w:sz="8" w:space="0"/>
            </w:tcBorders>
            <w:shd w:val="clear" w:color="auto" w:fill="auto"/>
            <w:noWrap/>
            <w:vAlign w:val="center"/>
          </w:tcPr>
          <w:p w14:paraId="014C984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5DC23F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8A800E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41FA78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21F821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94</w:t>
            </w:r>
          </w:p>
        </w:tc>
        <w:tc>
          <w:tcPr>
            <w:tcW w:w="1805" w:type="dxa"/>
            <w:vMerge w:val="continue"/>
            <w:tcBorders>
              <w:top w:val="nil"/>
              <w:left w:val="single" w:color="auto" w:sz="8" w:space="0"/>
              <w:bottom w:val="single" w:color="000000" w:sz="8" w:space="0"/>
              <w:right w:val="single" w:color="auto" w:sz="8" w:space="0"/>
            </w:tcBorders>
            <w:vAlign w:val="center"/>
          </w:tcPr>
          <w:p w14:paraId="3C5543A8">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nil"/>
            </w:tcBorders>
            <w:vAlign w:val="center"/>
          </w:tcPr>
          <w:p w14:paraId="73FD9144">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F4470D6">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检验设备管理系统</w:t>
            </w:r>
          </w:p>
        </w:tc>
        <w:tc>
          <w:tcPr>
            <w:tcW w:w="654" w:type="dxa"/>
            <w:tcBorders>
              <w:top w:val="nil"/>
              <w:left w:val="nil"/>
              <w:bottom w:val="single" w:color="auto" w:sz="8" w:space="0"/>
              <w:right w:val="single" w:color="auto" w:sz="8" w:space="0"/>
            </w:tcBorders>
            <w:shd w:val="clear" w:color="auto" w:fill="auto"/>
            <w:noWrap/>
            <w:vAlign w:val="center"/>
          </w:tcPr>
          <w:p w14:paraId="6B47BC6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0E41F8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FD9CA9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6D65418">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5184A2F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95</w:t>
            </w:r>
          </w:p>
        </w:tc>
        <w:tc>
          <w:tcPr>
            <w:tcW w:w="1805" w:type="dxa"/>
            <w:vMerge w:val="restart"/>
            <w:tcBorders>
              <w:top w:val="nil"/>
              <w:left w:val="single" w:color="auto" w:sz="8" w:space="0"/>
              <w:bottom w:val="single" w:color="000000" w:sz="8" w:space="0"/>
              <w:right w:val="single" w:color="auto" w:sz="8" w:space="0"/>
            </w:tcBorders>
            <w:shd w:val="clear" w:color="auto" w:fill="auto"/>
            <w:noWrap/>
            <w:vAlign w:val="center"/>
          </w:tcPr>
          <w:p w14:paraId="7B38F505">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PACS升级扩建</w:t>
            </w:r>
          </w:p>
        </w:tc>
        <w:tc>
          <w:tcPr>
            <w:tcW w:w="1650" w:type="dxa"/>
            <w:vMerge w:val="restart"/>
            <w:tcBorders>
              <w:top w:val="nil"/>
              <w:left w:val="single" w:color="auto" w:sz="8" w:space="0"/>
              <w:bottom w:val="single" w:color="000000" w:sz="8" w:space="0"/>
              <w:right w:val="single" w:color="auto" w:sz="8" w:space="0"/>
            </w:tcBorders>
            <w:shd w:val="clear" w:color="auto" w:fill="auto"/>
            <w:noWrap/>
            <w:vAlign w:val="center"/>
          </w:tcPr>
          <w:p w14:paraId="3FE1AB4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PACS升级</w:t>
            </w:r>
          </w:p>
        </w:tc>
        <w:tc>
          <w:tcPr>
            <w:tcW w:w="2534" w:type="dxa"/>
            <w:tcBorders>
              <w:top w:val="nil"/>
              <w:left w:val="nil"/>
              <w:bottom w:val="single" w:color="auto" w:sz="8" w:space="0"/>
              <w:right w:val="single" w:color="auto" w:sz="8" w:space="0"/>
            </w:tcBorders>
            <w:shd w:val="clear" w:color="auto" w:fill="auto"/>
            <w:noWrap/>
            <w:vAlign w:val="center"/>
          </w:tcPr>
          <w:p w14:paraId="6964B4EF">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放射信息管理系统</w:t>
            </w:r>
          </w:p>
        </w:tc>
        <w:tc>
          <w:tcPr>
            <w:tcW w:w="654" w:type="dxa"/>
            <w:tcBorders>
              <w:top w:val="nil"/>
              <w:left w:val="nil"/>
              <w:bottom w:val="single" w:color="auto" w:sz="8" w:space="0"/>
              <w:right w:val="single" w:color="auto" w:sz="8" w:space="0"/>
            </w:tcBorders>
            <w:shd w:val="clear" w:color="auto" w:fill="auto"/>
            <w:noWrap/>
            <w:vAlign w:val="center"/>
          </w:tcPr>
          <w:p w14:paraId="220F890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283F97E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6F9DDC6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5E452FC">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51771F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96</w:t>
            </w:r>
          </w:p>
        </w:tc>
        <w:tc>
          <w:tcPr>
            <w:tcW w:w="1805" w:type="dxa"/>
            <w:vMerge w:val="continue"/>
            <w:tcBorders>
              <w:top w:val="nil"/>
              <w:left w:val="single" w:color="auto" w:sz="8" w:space="0"/>
              <w:bottom w:val="single" w:color="000000" w:sz="8" w:space="0"/>
              <w:right w:val="single" w:color="auto" w:sz="8" w:space="0"/>
            </w:tcBorders>
            <w:vAlign w:val="center"/>
          </w:tcPr>
          <w:p w14:paraId="51AAE0BC">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71C860E">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AEB521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医学影像存储与通讯系统</w:t>
            </w:r>
          </w:p>
        </w:tc>
        <w:tc>
          <w:tcPr>
            <w:tcW w:w="654" w:type="dxa"/>
            <w:tcBorders>
              <w:top w:val="nil"/>
              <w:left w:val="nil"/>
              <w:bottom w:val="single" w:color="auto" w:sz="8" w:space="0"/>
              <w:right w:val="single" w:color="auto" w:sz="8" w:space="0"/>
            </w:tcBorders>
            <w:shd w:val="clear" w:color="auto" w:fill="auto"/>
            <w:noWrap/>
            <w:vAlign w:val="center"/>
          </w:tcPr>
          <w:p w14:paraId="13518B9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C5CA68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9A7320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37D098B">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428928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97</w:t>
            </w:r>
          </w:p>
        </w:tc>
        <w:tc>
          <w:tcPr>
            <w:tcW w:w="1805" w:type="dxa"/>
            <w:vMerge w:val="continue"/>
            <w:tcBorders>
              <w:top w:val="nil"/>
              <w:left w:val="single" w:color="auto" w:sz="8" w:space="0"/>
              <w:bottom w:val="single" w:color="000000" w:sz="8" w:space="0"/>
              <w:right w:val="single" w:color="auto" w:sz="8" w:space="0"/>
            </w:tcBorders>
            <w:vAlign w:val="center"/>
          </w:tcPr>
          <w:p w14:paraId="1335FBF3">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43B302A">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2E3B022">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超声信息管理系统</w:t>
            </w:r>
          </w:p>
        </w:tc>
        <w:tc>
          <w:tcPr>
            <w:tcW w:w="654" w:type="dxa"/>
            <w:tcBorders>
              <w:top w:val="nil"/>
              <w:left w:val="nil"/>
              <w:bottom w:val="single" w:color="auto" w:sz="8" w:space="0"/>
              <w:right w:val="single" w:color="auto" w:sz="8" w:space="0"/>
            </w:tcBorders>
            <w:shd w:val="clear" w:color="auto" w:fill="auto"/>
            <w:noWrap/>
            <w:vAlign w:val="center"/>
          </w:tcPr>
          <w:p w14:paraId="14C000A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04349E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958DF9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2EF84D5">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68F6A4B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98</w:t>
            </w:r>
          </w:p>
        </w:tc>
        <w:tc>
          <w:tcPr>
            <w:tcW w:w="1805" w:type="dxa"/>
            <w:vMerge w:val="continue"/>
            <w:tcBorders>
              <w:top w:val="nil"/>
              <w:left w:val="single" w:color="auto" w:sz="8" w:space="0"/>
              <w:bottom w:val="single" w:color="000000" w:sz="8" w:space="0"/>
              <w:right w:val="single" w:color="auto" w:sz="8" w:space="0"/>
            </w:tcBorders>
            <w:vAlign w:val="center"/>
          </w:tcPr>
          <w:p w14:paraId="22875AAA">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1DF48738">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604E97B5">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内镜信息管理系统</w:t>
            </w:r>
          </w:p>
        </w:tc>
        <w:tc>
          <w:tcPr>
            <w:tcW w:w="654" w:type="dxa"/>
            <w:tcBorders>
              <w:top w:val="nil"/>
              <w:left w:val="nil"/>
              <w:bottom w:val="single" w:color="auto" w:sz="8" w:space="0"/>
              <w:right w:val="single" w:color="auto" w:sz="8" w:space="0"/>
            </w:tcBorders>
            <w:shd w:val="clear" w:color="auto" w:fill="auto"/>
            <w:noWrap/>
            <w:vAlign w:val="center"/>
          </w:tcPr>
          <w:p w14:paraId="442CAA0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DE7385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3C0384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168736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D8B5E0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99</w:t>
            </w:r>
          </w:p>
        </w:tc>
        <w:tc>
          <w:tcPr>
            <w:tcW w:w="1805" w:type="dxa"/>
            <w:vMerge w:val="continue"/>
            <w:tcBorders>
              <w:top w:val="nil"/>
              <w:left w:val="single" w:color="auto" w:sz="8" w:space="0"/>
              <w:bottom w:val="single" w:color="000000" w:sz="8" w:space="0"/>
              <w:right w:val="single" w:color="auto" w:sz="8" w:space="0"/>
            </w:tcBorders>
            <w:vAlign w:val="center"/>
          </w:tcPr>
          <w:p w14:paraId="6F66C711">
            <w:pPr>
              <w:widowControl/>
              <w:spacing w:line="276" w:lineRule="auto"/>
              <w:jc w:val="left"/>
              <w:rPr>
                <w:rFonts w:ascii="宋体" w:hAnsi="宋体" w:eastAsia="宋体" w:cs="Tahoma"/>
                <w:b/>
                <w:bCs/>
                <w:color w:val="000000"/>
                <w:kern w:val="0"/>
                <w:sz w:val="21"/>
                <w:szCs w:val="21"/>
              </w:rPr>
            </w:pPr>
          </w:p>
        </w:tc>
        <w:tc>
          <w:tcPr>
            <w:tcW w:w="1650" w:type="dxa"/>
            <w:tcBorders>
              <w:top w:val="nil"/>
              <w:left w:val="nil"/>
              <w:bottom w:val="single" w:color="auto" w:sz="8" w:space="0"/>
              <w:right w:val="nil"/>
            </w:tcBorders>
            <w:shd w:val="clear" w:color="auto" w:fill="auto"/>
            <w:noWrap/>
            <w:vAlign w:val="center"/>
          </w:tcPr>
          <w:p w14:paraId="1557BCA6">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PACS扩建新增</w:t>
            </w:r>
          </w:p>
        </w:tc>
        <w:tc>
          <w:tcPr>
            <w:tcW w:w="2534" w:type="dxa"/>
            <w:tcBorders>
              <w:top w:val="nil"/>
              <w:left w:val="nil"/>
              <w:bottom w:val="single" w:color="auto" w:sz="8" w:space="0"/>
              <w:right w:val="single" w:color="auto" w:sz="8" w:space="0"/>
            </w:tcBorders>
            <w:shd w:val="clear" w:color="auto" w:fill="auto"/>
            <w:noWrap/>
            <w:vAlign w:val="center"/>
          </w:tcPr>
          <w:p w14:paraId="6E43C543">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医技预约管理系统</w:t>
            </w:r>
          </w:p>
        </w:tc>
        <w:tc>
          <w:tcPr>
            <w:tcW w:w="654" w:type="dxa"/>
            <w:tcBorders>
              <w:top w:val="nil"/>
              <w:left w:val="nil"/>
              <w:bottom w:val="single" w:color="auto" w:sz="8" w:space="0"/>
              <w:right w:val="single" w:color="auto" w:sz="8" w:space="0"/>
            </w:tcBorders>
            <w:shd w:val="clear" w:color="auto" w:fill="auto"/>
            <w:noWrap/>
            <w:vAlign w:val="center"/>
          </w:tcPr>
          <w:p w14:paraId="30218EC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ABDFA4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7B7093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21C540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B481AC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100</w:t>
            </w:r>
          </w:p>
        </w:tc>
        <w:tc>
          <w:tcPr>
            <w:tcW w:w="1805" w:type="dxa"/>
            <w:vMerge w:val="restart"/>
            <w:tcBorders>
              <w:top w:val="nil"/>
              <w:left w:val="single" w:color="auto" w:sz="8" w:space="0"/>
              <w:bottom w:val="single" w:color="000000" w:sz="8" w:space="0"/>
              <w:right w:val="single" w:color="auto" w:sz="8" w:space="0"/>
            </w:tcBorders>
            <w:shd w:val="clear" w:color="auto" w:fill="auto"/>
            <w:noWrap/>
            <w:vAlign w:val="center"/>
          </w:tcPr>
          <w:p w14:paraId="73BCA3A3">
            <w:pPr>
              <w:widowControl/>
              <w:spacing w:line="276" w:lineRule="auto"/>
              <w:jc w:val="center"/>
              <w:rPr>
                <w:rFonts w:ascii="宋体" w:hAnsi="宋体" w:eastAsia="宋体" w:cs="Tahoma"/>
                <w:b/>
                <w:bCs/>
                <w:color w:val="000000"/>
                <w:kern w:val="0"/>
                <w:sz w:val="21"/>
                <w:szCs w:val="21"/>
              </w:rPr>
            </w:pPr>
            <w:r>
              <w:rPr>
                <w:rFonts w:hint="eastAsia" w:ascii="宋体" w:hAnsi="宋体" w:eastAsia="宋体" w:cs="Tahoma"/>
                <w:b/>
                <w:bCs/>
                <w:color w:val="000000"/>
                <w:kern w:val="0"/>
                <w:sz w:val="21"/>
                <w:szCs w:val="21"/>
              </w:rPr>
              <w:t>移动医护系统项目</w:t>
            </w:r>
          </w:p>
        </w:tc>
        <w:tc>
          <w:tcPr>
            <w:tcW w:w="1650" w:type="dxa"/>
            <w:vMerge w:val="restart"/>
            <w:tcBorders>
              <w:top w:val="nil"/>
              <w:left w:val="single" w:color="auto" w:sz="8" w:space="0"/>
              <w:bottom w:val="single" w:color="000000" w:sz="8" w:space="0"/>
              <w:right w:val="single" w:color="auto" w:sz="8" w:space="0"/>
            </w:tcBorders>
            <w:shd w:val="clear" w:color="auto" w:fill="auto"/>
            <w:noWrap/>
            <w:vAlign w:val="center"/>
          </w:tcPr>
          <w:p w14:paraId="5A163D9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移动医生工作站</w:t>
            </w:r>
          </w:p>
        </w:tc>
        <w:tc>
          <w:tcPr>
            <w:tcW w:w="2534" w:type="dxa"/>
            <w:tcBorders>
              <w:top w:val="nil"/>
              <w:left w:val="nil"/>
              <w:bottom w:val="single" w:color="auto" w:sz="8" w:space="0"/>
              <w:right w:val="single" w:color="auto" w:sz="8" w:space="0"/>
            </w:tcBorders>
            <w:shd w:val="clear" w:color="auto" w:fill="auto"/>
            <w:noWrap/>
            <w:vAlign w:val="center"/>
          </w:tcPr>
          <w:p w14:paraId="0AE88223">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住院病人统一管理</w:t>
            </w:r>
          </w:p>
        </w:tc>
        <w:tc>
          <w:tcPr>
            <w:tcW w:w="654" w:type="dxa"/>
            <w:tcBorders>
              <w:top w:val="nil"/>
              <w:left w:val="nil"/>
              <w:bottom w:val="single" w:color="auto" w:sz="8" w:space="0"/>
              <w:right w:val="single" w:color="auto" w:sz="8" w:space="0"/>
            </w:tcBorders>
            <w:shd w:val="clear" w:color="auto" w:fill="auto"/>
            <w:noWrap/>
            <w:vAlign w:val="center"/>
          </w:tcPr>
          <w:p w14:paraId="22207F4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53A265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886EA1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2F3F100">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092173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101</w:t>
            </w:r>
          </w:p>
        </w:tc>
        <w:tc>
          <w:tcPr>
            <w:tcW w:w="1805" w:type="dxa"/>
            <w:vMerge w:val="continue"/>
            <w:tcBorders>
              <w:top w:val="nil"/>
              <w:left w:val="single" w:color="auto" w:sz="8" w:space="0"/>
              <w:bottom w:val="single" w:color="000000" w:sz="8" w:space="0"/>
              <w:right w:val="single" w:color="auto" w:sz="8" w:space="0"/>
            </w:tcBorders>
            <w:vAlign w:val="center"/>
          </w:tcPr>
          <w:p w14:paraId="5AB4FD15">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33462C4">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86179E4">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报告查询</w:t>
            </w:r>
          </w:p>
        </w:tc>
        <w:tc>
          <w:tcPr>
            <w:tcW w:w="654" w:type="dxa"/>
            <w:tcBorders>
              <w:top w:val="nil"/>
              <w:left w:val="nil"/>
              <w:bottom w:val="single" w:color="auto" w:sz="8" w:space="0"/>
              <w:right w:val="single" w:color="auto" w:sz="8" w:space="0"/>
            </w:tcBorders>
            <w:shd w:val="clear" w:color="auto" w:fill="auto"/>
            <w:noWrap/>
            <w:vAlign w:val="center"/>
          </w:tcPr>
          <w:p w14:paraId="540B583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555219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0F7D2B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702D7F0">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00BE2E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102</w:t>
            </w:r>
          </w:p>
        </w:tc>
        <w:tc>
          <w:tcPr>
            <w:tcW w:w="1805" w:type="dxa"/>
            <w:vMerge w:val="continue"/>
            <w:tcBorders>
              <w:top w:val="nil"/>
              <w:left w:val="single" w:color="auto" w:sz="8" w:space="0"/>
              <w:bottom w:val="single" w:color="000000" w:sz="8" w:space="0"/>
              <w:right w:val="single" w:color="auto" w:sz="8" w:space="0"/>
            </w:tcBorders>
            <w:vAlign w:val="center"/>
          </w:tcPr>
          <w:p w14:paraId="6A600D8C">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6067D74">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59303FF">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医嘱处理</w:t>
            </w:r>
          </w:p>
        </w:tc>
        <w:tc>
          <w:tcPr>
            <w:tcW w:w="654" w:type="dxa"/>
            <w:tcBorders>
              <w:top w:val="nil"/>
              <w:left w:val="nil"/>
              <w:bottom w:val="single" w:color="auto" w:sz="8" w:space="0"/>
              <w:right w:val="single" w:color="auto" w:sz="8" w:space="0"/>
            </w:tcBorders>
            <w:shd w:val="clear" w:color="auto" w:fill="auto"/>
            <w:noWrap/>
            <w:vAlign w:val="center"/>
          </w:tcPr>
          <w:p w14:paraId="1A3D249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37B8AD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49AE06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ADB6AC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5EBEC3A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103</w:t>
            </w:r>
          </w:p>
        </w:tc>
        <w:tc>
          <w:tcPr>
            <w:tcW w:w="1805" w:type="dxa"/>
            <w:vMerge w:val="continue"/>
            <w:tcBorders>
              <w:top w:val="nil"/>
              <w:left w:val="single" w:color="auto" w:sz="8" w:space="0"/>
              <w:bottom w:val="single" w:color="000000" w:sz="8" w:space="0"/>
              <w:right w:val="single" w:color="auto" w:sz="8" w:space="0"/>
            </w:tcBorders>
            <w:vAlign w:val="center"/>
          </w:tcPr>
          <w:p w14:paraId="29A967F7">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2E92D297">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9D7D66A">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床位查询</w:t>
            </w:r>
          </w:p>
        </w:tc>
        <w:tc>
          <w:tcPr>
            <w:tcW w:w="654" w:type="dxa"/>
            <w:tcBorders>
              <w:top w:val="nil"/>
              <w:left w:val="nil"/>
              <w:bottom w:val="single" w:color="auto" w:sz="8" w:space="0"/>
              <w:right w:val="single" w:color="auto" w:sz="8" w:space="0"/>
            </w:tcBorders>
            <w:shd w:val="clear" w:color="auto" w:fill="auto"/>
            <w:noWrap/>
            <w:vAlign w:val="center"/>
          </w:tcPr>
          <w:p w14:paraId="6D752F6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5CE928B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A68AEE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83F874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253C695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104</w:t>
            </w:r>
          </w:p>
        </w:tc>
        <w:tc>
          <w:tcPr>
            <w:tcW w:w="1805" w:type="dxa"/>
            <w:vMerge w:val="continue"/>
            <w:tcBorders>
              <w:top w:val="nil"/>
              <w:left w:val="single" w:color="auto" w:sz="8" w:space="0"/>
              <w:bottom w:val="single" w:color="000000" w:sz="8" w:space="0"/>
              <w:right w:val="single" w:color="auto" w:sz="8" w:space="0"/>
            </w:tcBorders>
            <w:vAlign w:val="center"/>
          </w:tcPr>
          <w:p w14:paraId="5C46F7B9">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490B683">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05CF664E">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费用查询</w:t>
            </w:r>
          </w:p>
        </w:tc>
        <w:tc>
          <w:tcPr>
            <w:tcW w:w="654" w:type="dxa"/>
            <w:tcBorders>
              <w:top w:val="nil"/>
              <w:left w:val="nil"/>
              <w:bottom w:val="single" w:color="auto" w:sz="8" w:space="0"/>
              <w:right w:val="single" w:color="auto" w:sz="8" w:space="0"/>
            </w:tcBorders>
            <w:shd w:val="clear" w:color="auto" w:fill="auto"/>
            <w:noWrap/>
            <w:vAlign w:val="center"/>
          </w:tcPr>
          <w:p w14:paraId="7FF02E8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423570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71FADE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64776279">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A4FD70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105</w:t>
            </w:r>
          </w:p>
        </w:tc>
        <w:tc>
          <w:tcPr>
            <w:tcW w:w="1805" w:type="dxa"/>
            <w:vMerge w:val="continue"/>
            <w:tcBorders>
              <w:top w:val="nil"/>
              <w:left w:val="single" w:color="auto" w:sz="8" w:space="0"/>
              <w:bottom w:val="single" w:color="000000" w:sz="8" w:space="0"/>
              <w:right w:val="single" w:color="auto" w:sz="8" w:space="0"/>
            </w:tcBorders>
            <w:vAlign w:val="center"/>
          </w:tcPr>
          <w:p w14:paraId="58821589">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B240FFC">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474A601B">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住院电子病历管理</w:t>
            </w:r>
          </w:p>
        </w:tc>
        <w:tc>
          <w:tcPr>
            <w:tcW w:w="654" w:type="dxa"/>
            <w:tcBorders>
              <w:top w:val="nil"/>
              <w:left w:val="nil"/>
              <w:bottom w:val="single" w:color="auto" w:sz="8" w:space="0"/>
              <w:right w:val="single" w:color="auto" w:sz="8" w:space="0"/>
            </w:tcBorders>
            <w:shd w:val="clear" w:color="auto" w:fill="auto"/>
            <w:noWrap/>
            <w:vAlign w:val="center"/>
          </w:tcPr>
          <w:p w14:paraId="75793B8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BE2B65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331A24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6DF1D41">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5032C2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106</w:t>
            </w:r>
          </w:p>
        </w:tc>
        <w:tc>
          <w:tcPr>
            <w:tcW w:w="1805" w:type="dxa"/>
            <w:vMerge w:val="continue"/>
            <w:tcBorders>
              <w:top w:val="nil"/>
              <w:left w:val="single" w:color="auto" w:sz="8" w:space="0"/>
              <w:bottom w:val="single" w:color="000000" w:sz="8" w:space="0"/>
              <w:right w:val="single" w:color="auto" w:sz="8" w:space="0"/>
            </w:tcBorders>
            <w:vAlign w:val="center"/>
          </w:tcPr>
          <w:p w14:paraId="4DFE860C">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03AB77CA">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0A272847">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住院病案首页管理</w:t>
            </w:r>
          </w:p>
        </w:tc>
        <w:tc>
          <w:tcPr>
            <w:tcW w:w="654" w:type="dxa"/>
            <w:tcBorders>
              <w:top w:val="nil"/>
              <w:left w:val="nil"/>
              <w:bottom w:val="single" w:color="auto" w:sz="8" w:space="0"/>
              <w:right w:val="single" w:color="auto" w:sz="8" w:space="0"/>
            </w:tcBorders>
            <w:shd w:val="clear" w:color="auto" w:fill="auto"/>
            <w:noWrap/>
            <w:vAlign w:val="center"/>
          </w:tcPr>
          <w:p w14:paraId="660E502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32D8353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ADBE00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98F43C2">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EECA8A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107</w:t>
            </w:r>
          </w:p>
        </w:tc>
        <w:tc>
          <w:tcPr>
            <w:tcW w:w="1805" w:type="dxa"/>
            <w:vMerge w:val="continue"/>
            <w:tcBorders>
              <w:top w:val="nil"/>
              <w:left w:val="single" w:color="auto" w:sz="8" w:space="0"/>
              <w:bottom w:val="single" w:color="000000" w:sz="8" w:space="0"/>
              <w:right w:val="single" w:color="auto" w:sz="8" w:space="0"/>
            </w:tcBorders>
            <w:vAlign w:val="center"/>
          </w:tcPr>
          <w:p w14:paraId="1FE04671">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827BE28">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09BCB50A">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门诊病人管理</w:t>
            </w:r>
          </w:p>
        </w:tc>
        <w:tc>
          <w:tcPr>
            <w:tcW w:w="654" w:type="dxa"/>
            <w:tcBorders>
              <w:top w:val="nil"/>
              <w:left w:val="nil"/>
              <w:bottom w:val="single" w:color="auto" w:sz="8" w:space="0"/>
              <w:right w:val="single" w:color="auto" w:sz="8" w:space="0"/>
            </w:tcBorders>
            <w:shd w:val="clear" w:color="auto" w:fill="auto"/>
            <w:noWrap/>
            <w:vAlign w:val="center"/>
          </w:tcPr>
          <w:p w14:paraId="7E53E55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AEBD7C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7B44575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0D48677D">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6DF30B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108</w:t>
            </w:r>
          </w:p>
        </w:tc>
        <w:tc>
          <w:tcPr>
            <w:tcW w:w="1805" w:type="dxa"/>
            <w:vMerge w:val="continue"/>
            <w:tcBorders>
              <w:top w:val="nil"/>
              <w:left w:val="single" w:color="auto" w:sz="8" w:space="0"/>
              <w:bottom w:val="single" w:color="000000" w:sz="8" w:space="0"/>
              <w:right w:val="single" w:color="auto" w:sz="8" w:space="0"/>
            </w:tcBorders>
            <w:vAlign w:val="center"/>
          </w:tcPr>
          <w:p w14:paraId="0CBC1128">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46B8EDB">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39AA7E0">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统计分析模块</w:t>
            </w:r>
          </w:p>
        </w:tc>
        <w:tc>
          <w:tcPr>
            <w:tcW w:w="654" w:type="dxa"/>
            <w:tcBorders>
              <w:top w:val="nil"/>
              <w:left w:val="nil"/>
              <w:bottom w:val="single" w:color="auto" w:sz="8" w:space="0"/>
              <w:right w:val="single" w:color="auto" w:sz="8" w:space="0"/>
            </w:tcBorders>
            <w:shd w:val="clear" w:color="auto" w:fill="auto"/>
            <w:noWrap/>
            <w:vAlign w:val="center"/>
          </w:tcPr>
          <w:p w14:paraId="6CD5A01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31FB730">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DC334A7">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A623B1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A90EBC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109</w:t>
            </w:r>
          </w:p>
        </w:tc>
        <w:tc>
          <w:tcPr>
            <w:tcW w:w="1805" w:type="dxa"/>
            <w:vMerge w:val="continue"/>
            <w:tcBorders>
              <w:top w:val="nil"/>
              <w:left w:val="single" w:color="auto" w:sz="8" w:space="0"/>
              <w:bottom w:val="single" w:color="000000" w:sz="8" w:space="0"/>
              <w:right w:val="single" w:color="auto" w:sz="8" w:space="0"/>
            </w:tcBorders>
            <w:vAlign w:val="center"/>
          </w:tcPr>
          <w:p w14:paraId="7E1FD831">
            <w:pPr>
              <w:widowControl/>
              <w:spacing w:line="276" w:lineRule="auto"/>
              <w:jc w:val="left"/>
              <w:rPr>
                <w:rFonts w:ascii="宋体" w:hAnsi="宋体" w:eastAsia="宋体" w:cs="Tahoma"/>
                <w:b/>
                <w:bCs/>
                <w:color w:val="000000"/>
                <w:kern w:val="0"/>
                <w:sz w:val="21"/>
                <w:szCs w:val="21"/>
              </w:rPr>
            </w:pPr>
          </w:p>
        </w:tc>
        <w:tc>
          <w:tcPr>
            <w:tcW w:w="1650" w:type="dxa"/>
            <w:vMerge w:val="restart"/>
            <w:tcBorders>
              <w:top w:val="nil"/>
              <w:left w:val="single" w:color="auto" w:sz="8" w:space="0"/>
              <w:bottom w:val="single" w:color="000000" w:sz="8" w:space="0"/>
              <w:right w:val="single" w:color="auto" w:sz="8" w:space="0"/>
            </w:tcBorders>
            <w:shd w:val="clear" w:color="auto" w:fill="auto"/>
            <w:noWrap/>
            <w:vAlign w:val="center"/>
          </w:tcPr>
          <w:p w14:paraId="249AF61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移动护士工作站</w:t>
            </w:r>
          </w:p>
        </w:tc>
        <w:tc>
          <w:tcPr>
            <w:tcW w:w="2534" w:type="dxa"/>
            <w:tcBorders>
              <w:top w:val="nil"/>
              <w:left w:val="nil"/>
              <w:bottom w:val="single" w:color="auto" w:sz="8" w:space="0"/>
              <w:right w:val="single" w:color="auto" w:sz="8" w:space="0"/>
            </w:tcBorders>
            <w:shd w:val="clear" w:color="auto" w:fill="auto"/>
            <w:noWrap/>
            <w:vAlign w:val="center"/>
          </w:tcPr>
          <w:p w14:paraId="6C05731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床位病人统一管理</w:t>
            </w:r>
          </w:p>
        </w:tc>
        <w:tc>
          <w:tcPr>
            <w:tcW w:w="654" w:type="dxa"/>
            <w:tcBorders>
              <w:top w:val="nil"/>
              <w:left w:val="nil"/>
              <w:bottom w:val="single" w:color="auto" w:sz="8" w:space="0"/>
              <w:right w:val="single" w:color="auto" w:sz="8" w:space="0"/>
            </w:tcBorders>
            <w:shd w:val="clear" w:color="auto" w:fill="auto"/>
            <w:noWrap/>
            <w:vAlign w:val="center"/>
          </w:tcPr>
          <w:p w14:paraId="29D1B89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5DED34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60B57879">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B9FD93C">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164481E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110</w:t>
            </w:r>
          </w:p>
        </w:tc>
        <w:tc>
          <w:tcPr>
            <w:tcW w:w="1805" w:type="dxa"/>
            <w:vMerge w:val="continue"/>
            <w:tcBorders>
              <w:top w:val="nil"/>
              <w:left w:val="single" w:color="auto" w:sz="8" w:space="0"/>
              <w:bottom w:val="single" w:color="000000" w:sz="8" w:space="0"/>
              <w:right w:val="single" w:color="auto" w:sz="8" w:space="0"/>
            </w:tcBorders>
            <w:vAlign w:val="center"/>
          </w:tcPr>
          <w:p w14:paraId="3CCF8999">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386348E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14FFFE8">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标本管理</w:t>
            </w:r>
          </w:p>
        </w:tc>
        <w:tc>
          <w:tcPr>
            <w:tcW w:w="654" w:type="dxa"/>
            <w:tcBorders>
              <w:top w:val="nil"/>
              <w:left w:val="nil"/>
              <w:bottom w:val="single" w:color="auto" w:sz="8" w:space="0"/>
              <w:right w:val="single" w:color="auto" w:sz="8" w:space="0"/>
            </w:tcBorders>
            <w:shd w:val="clear" w:color="auto" w:fill="auto"/>
            <w:noWrap/>
            <w:vAlign w:val="center"/>
          </w:tcPr>
          <w:p w14:paraId="7ECFFC7E">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47B0EFA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8C27890">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417811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31A8794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111</w:t>
            </w:r>
          </w:p>
        </w:tc>
        <w:tc>
          <w:tcPr>
            <w:tcW w:w="1805" w:type="dxa"/>
            <w:vMerge w:val="continue"/>
            <w:tcBorders>
              <w:top w:val="nil"/>
              <w:left w:val="single" w:color="auto" w:sz="8" w:space="0"/>
              <w:bottom w:val="single" w:color="000000" w:sz="8" w:space="0"/>
              <w:right w:val="single" w:color="auto" w:sz="8" w:space="0"/>
            </w:tcBorders>
            <w:vAlign w:val="center"/>
          </w:tcPr>
          <w:p w14:paraId="73420FA6">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33751E31">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4FAF819E">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配液管理</w:t>
            </w:r>
          </w:p>
        </w:tc>
        <w:tc>
          <w:tcPr>
            <w:tcW w:w="654" w:type="dxa"/>
            <w:tcBorders>
              <w:top w:val="nil"/>
              <w:left w:val="nil"/>
              <w:bottom w:val="single" w:color="auto" w:sz="8" w:space="0"/>
              <w:right w:val="single" w:color="auto" w:sz="8" w:space="0"/>
            </w:tcBorders>
            <w:shd w:val="clear" w:color="auto" w:fill="auto"/>
            <w:noWrap/>
            <w:vAlign w:val="center"/>
          </w:tcPr>
          <w:p w14:paraId="233AC8C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0EACB2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1C028935">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46767341">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7A6CC2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112</w:t>
            </w:r>
          </w:p>
        </w:tc>
        <w:tc>
          <w:tcPr>
            <w:tcW w:w="1805" w:type="dxa"/>
            <w:vMerge w:val="continue"/>
            <w:tcBorders>
              <w:top w:val="nil"/>
              <w:left w:val="single" w:color="auto" w:sz="8" w:space="0"/>
              <w:bottom w:val="single" w:color="000000" w:sz="8" w:space="0"/>
              <w:right w:val="single" w:color="auto" w:sz="8" w:space="0"/>
            </w:tcBorders>
            <w:vAlign w:val="center"/>
          </w:tcPr>
          <w:p w14:paraId="6D546A44">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571568DB">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7B68F598">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输液管理</w:t>
            </w:r>
          </w:p>
        </w:tc>
        <w:tc>
          <w:tcPr>
            <w:tcW w:w="654" w:type="dxa"/>
            <w:tcBorders>
              <w:top w:val="nil"/>
              <w:left w:val="nil"/>
              <w:bottom w:val="single" w:color="auto" w:sz="8" w:space="0"/>
              <w:right w:val="single" w:color="auto" w:sz="8" w:space="0"/>
            </w:tcBorders>
            <w:shd w:val="clear" w:color="auto" w:fill="auto"/>
            <w:noWrap/>
            <w:vAlign w:val="center"/>
          </w:tcPr>
          <w:p w14:paraId="260C717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0628CC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D675C8C">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7914C43">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230F81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113</w:t>
            </w:r>
          </w:p>
        </w:tc>
        <w:tc>
          <w:tcPr>
            <w:tcW w:w="1805" w:type="dxa"/>
            <w:vMerge w:val="continue"/>
            <w:tcBorders>
              <w:top w:val="nil"/>
              <w:left w:val="single" w:color="auto" w:sz="8" w:space="0"/>
              <w:bottom w:val="single" w:color="000000" w:sz="8" w:space="0"/>
              <w:right w:val="single" w:color="auto" w:sz="8" w:space="0"/>
            </w:tcBorders>
            <w:vAlign w:val="center"/>
          </w:tcPr>
          <w:p w14:paraId="63E2E0C1">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0CC126B">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485EACB0">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体征录入</w:t>
            </w:r>
          </w:p>
        </w:tc>
        <w:tc>
          <w:tcPr>
            <w:tcW w:w="654" w:type="dxa"/>
            <w:tcBorders>
              <w:top w:val="nil"/>
              <w:left w:val="nil"/>
              <w:bottom w:val="single" w:color="auto" w:sz="8" w:space="0"/>
              <w:right w:val="single" w:color="auto" w:sz="8" w:space="0"/>
            </w:tcBorders>
            <w:shd w:val="clear" w:color="auto" w:fill="auto"/>
            <w:noWrap/>
            <w:vAlign w:val="center"/>
          </w:tcPr>
          <w:p w14:paraId="6E0F1C5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39D5096">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5C15ECB4">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27DA6E5B">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5C7B54E7">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114</w:t>
            </w:r>
          </w:p>
        </w:tc>
        <w:tc>
          <w:tcPr>
            <w:tcW w:w="1805" w:type="dxa"/>
            <w:vMerge w:val="continue"/>
            <w:tcBorders>
              <w:top w:val="nil"/>
              <w:left w:val="single" w:color="auto" w:sz="8" w:space="0"/>
              <w:bottom w:val="single" w:color="000000" w:sz="8" w:space="0"/>
              <w:right w:val="single" w:color="auto" w:sz="8" w:space="0"/>
            </w:tcBorders>
            <w:vAlign w:val="center"/>
          </w:tcPr>
          <w:p w14:paraId="410F18C0">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DCDF075">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3666AA48">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医嘱执行管理</w:t>
            </w:r>
          </w:p>
        </w:tc>
        <w:tc>
          <w:tcPr>
            <w:tcW w:w="654" w:type="dxa"/>
            <w:tcBorders>
              <w:top w:val="nil"/>
              <w:left w:val="nil"/>
              <w:bottom w:val="single" w:color="auto" w:sz="8" w:space="0"/>
              <w:right w:val="single" w:color="auto" w:sz="8" w:space="0"/>
            </w:tcBorders>
            <w:shd w:val="clear" w:color="auto" w:fill="auto"/>
            <w:noWrap/>
            <w:vAlign w:val="center"/>
          </w:tcPr>
          <w:p w14:paraId="3B825CD1">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06EE67A5">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923F2BD">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44BB7C5">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2943C4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115</w:t>
            </w:r>
          </w:p>
        </w:tc>
        <w:tc>
          <w:tcPr>
            <w:tcW w:w="1805" w:type="dxa"/>
            <w:vMerge w:val="continue"/>
            <w:tcBorders>
              <w:top w:val="nil"/>
              <w:left w:val="single" w:color="auto" w:sz="8" w:space="0"/>
              <w:bottom w:val="single" w:color="000000" w:sz="8" w:space="0"/>
              <w:right w:val="single" w:color="auto" w:sz="8" w:space="0"/>
            </w:tcBorders>
            <w:vAlign w:val="center"/>
          </w:tcPr>
          <w:p w14:paraId="3464DEA5">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FFB86A3">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6722070">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费用管理</w:t>
            </w:r>
          </w:p>
        </w:tc>
        <w:tc>
          <w:tcPr>
            <w:tcW w:w="654" w:type="dxa"/>
            <w:tcBorders>
              <w:top w:val="nil"/>
              <w:left w:val="nil"/>
              <w:bottom w:val="single" w:color="auto" w:sz="8" w:space="0"/>
              <w:right w:val="single" w:color="auto" w:sz="8" w:space="0"/>
            </w:tcBorders>
            <w:shd w:val="clear" w:color="auto" w:fill="auto"/>
            <w:noWrap/>
            <w:vAlign w:val="center"/>
          </w:tcPr>
          <w:p w14:paraId="3FDA188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3860D3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BD4356B">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3F34EBD1">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C75419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116</w:t>
            </w:r>
          </w:p>
        </w:tc>
        <w:tc>
          <w:tcPr>
            <w:tcW w:w="1805" w:type="dxa"/>
            <w:vMerge w:val="continue"/>
            <w:tcBorders>
              <w:top w:val="nil"/>
              <w:left w:val="single" w:color="auto" w:sz="8" w:space="0"/>
              <w:bottom w:val="single" w:color="000000" w:sz="8" w:space="0"/>
              <w:right w:val="single" w:color="auto" w:sz="8" w:space="0"/>
            </w:tcBorders>
            <w:vAlign w:val="center"/>
          </w:tcPr>
          <w:p w14:paraId="45A4058A">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24603C2">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CB6F94B">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一日清单</w:t>
            </w:r>
          </w:p>
        </w:tc>
        <w:tc>
          <w:tcPr>
            <w:tcW w:w="654" w:type="dxa"/>
            <w:tcBorders>
              <w:top w:val="nil"/>
              <w:left w:val="nil"/>
              <w:bottom w:val="single" w:color="auto" w:sz="8" w:space="0"/>
              <w:right w:val="single" w:color="auto" w:sz="8" w:space="0"/>
            </w:tcBorders>
            <w:shd w:val="clear" w:color="auto" w:fill="auto"/>
            <w:noWrap/>
            <w:vAlign w:val="center"/>
          </w:tcPr>
          <w:p w14:paraId="579A48E9">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22E33F4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39241D8D">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12CECFDB">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71AB3FA2">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117</w:t>
            </w:r>
          </w:p>
        </w:tc>
        <w:tc>
          <w:tcPr>
            <w:tcW w:w="1805" w:type="dxa"/>
            <w:vMerge w:val="continue"/>
            <w:tcBorders>
              <w:top w:val="nil"/>
              <w:left w:val="single" w:color="auto" w:sz="8" w:space="0"/>
              <w:bottom w:val="single" w:color="000000" w:sz="8" w:space="0"/>
              <w:right w:val="single" w:color="auto" w:sz="8" w:space="0"/>
            </w:tcBorders>
            <w:vAlign w:val="center"/>
          </w:tcPr>
          <w:p w14:paraId="5DF3AAAF">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20462CF4">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4C9998FB">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入科安床</w:t>
            </w:r>
          </w:p>
        </w:tc>
        <w:tc>
          <w:tcPr>
            <w:tcW w:w="654" w:type="dxa"/>
            <w:tcBorders>
              <w:top w:val="nil"/>
              <w:left w:val="nil"/>
              <w:bottom w:val="single" w:color="auto" w:sz="8" w:space="0"/>
              <w:right w:val="single" w:color="auto" w:sz="8" w:space="0"/>
            </w:tcBorders>
            <w:shd w:val="clear" w:color="auto" w:fill="auto"/>
            <w:noWrap/>
            <w:vAlign w:val="center"/>
          </w:tcPr>
          <w:p w14:paraId="2CAAE03D">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71AC631C">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40456510">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548C5F3F">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006C71C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118</w:t>
            </w:r>
          </w:p>
        </w:tc>
        <w:tc>
          <w:tcPr>
            <w:tcW w:w="1805" w:type="dxa"/>
            <w:vMerge w:val="continue"/>
            <w:tcBorders>
              <w:top w:val="nil"/>
              <w:left w:val="single" w:color="auto" w:sz="8" w:space="0"/>
              <w:bottom w:val="single" w:color="000000" w:sz="8" w:space="0"/>
              <w:right w:val="single" w:color="auto" w:sz="8" w:space="0"/>
            </w:tcBorders>
            <w:vAlign w:val="center"/>
          </w:tcPr>
          <w:p w14:paraId="16A80900">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475FB9BD">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2DBC0E68">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皮试管理</w:t>
            </w:r>
          </w:p>
        </w:tc>
        <w:tc>
          <w:tcPr>
            <w:tcW w:w="654" w:type="dxa"/>
            <w:tcBorders>
              <w:top w:val="nil"/>
              <w:left w:val="nil"/>
              <w:bottom w:val="single" w:color="auto" w:sz="8" w:space="0"/>
              <w:right w:val="single" w:color="auto" w:sz="8" w:space="0"/>
            </w:tcBorders>
            <w:shd w:val="clear" w:color="auto" w:fill="auto"/>
            <w:noWrap/>
            <w:vAlign w:val="center"/>
          </w:tcPr>
          <w:p w14:paraId="76CF851B">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2EB079AA">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0C934E41">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1DE125E">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BA2E8A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119</w:t>
            </w:r>
          </w:p>
        </w:tc>
        <w:tc>
          <w:tcPr>
            <w:tcW w:w="1805" w:type="dxa"/>
            <w:vMerge w:val="continue"/>
            <w:tcBorders>
              <w:top w:val="nil"/>
              <w:left w:val="single" w:color="auto" w:sz="8" w:space="0"/>
              <w:bottom w:val="single" w:color="000000" w:sz="8" w:space="0"/>
              <w:right w:val="single" w:color="auto" w:sz="8" w:space="0"/>
            </w:tcBorders>
            <w:vAlign w:val="center"/>
          </w:tcPr>
          <w:p w14:paraId="3812C2D3">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643B4D9E">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5EF84ED7">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患者巡视</w:t>
            </w:r>
          </w:p>
        </w:tc>
        <w:tc>
          <w:tcPr>
            <w:tcW w:w="654" w:type="dxa"/>
            <w:tcBorders>
              <w:top w:val="nil"/>
              <w:left w:val="nil"/>
              <w:bottom w:val="single" w:color="auto" w:sz="8" w:space="0"/>
              <w:right w:val="single" w:color="auto" w:sz="8" w:space="0"/>
            </w:tcBorders>
            <w:shd w:val="clear" w:color="auto" w:fill="auto"/>
            <w:noWrap/>
            <w:vAlign w:val="center"/>
          </w:tcPr>
          <w:p w14:paraId="656FC0A3">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1F189F2F">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E03D58F">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r w14:paraId="78BD3DF6">
        <w:tblPrEx>
          <w:tblCellMar>
            <w:top w:w="0" w:type="dxa"/>
            <w:left w:w="108" w:type="dxa"/>
            <w:bottom w:w="0" w:type="dxa"/>
            <w:right w:w="108" w:type="dxa"/>
          </w:tblCellMar>
        </w:tblPrEx>
        <w:trPr>
          <w:trHeight w:val="278" w:hRule="atLeast"/>
        </w:trPr>
        <w:tc>
          <w:tcPr>
            <w:tcW w:w="585" w:type="dxa"/>
            <w:tcBorders>
              <w:top w:val="nil"/>
              <w:left w:val="single" w:color="auto" w:sz="8" w:space="0"/>
              <w:bottom w:val="single" w:color="auto" w:sz="8" w:space="0"/>
              <w:right w:val="single" w:color="auto" w:sz="8" w:space="0"/>
            </w:tcBorders>
            <w:shd w:val="clear" w:color="auto" w:fill="auto"/>
            <w:noWrap/>
            <w:vAlign w:val="center"/>
          </w:tcPr>
          <w:p w14:paraId="4ED19344">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120</w:t>
            </w:r>
          </w:p>
        </w:tc>
        <w:tc>
          <w:tcPr>
            <w:tcW w:w="1805" w:type="dxa"/>
            <w:vMerge w:val="continue"/>
            <w:tcBorders>
              <w:top w:val="nil"/>
              <w:left w:val="single" w:color="auto" w:sz="8" w:space="0"/>
              <w:bottom w:val="single" w:color="000000" w:sz="8" w:space="0"/>
              <w:right w:val="single" w:color="auto" w:sz="8" w:space="0"/>
            </w:tcBorders>
            <w:vAlign w:val="center"/>
          </w:tcPr>
          <w:p w14:paraId="1B2DDFAE">
            <w:pPr>
              <w:widowControl/>
              <w:spacing w:line="276" w:lineRule="auto"/>
              <w:jc w:val="left"/>
              <w:rPr>
                <w:rFonts w:ascii="宋体" w:hAnsi="宋体" w:eastAsia="宋体" w:cs="Tahoma"/>
                <w:b/>
                <w:bCs/>
                <w:color w:val="000000"/>
                <w:kern w:val="0"/>
                <w:sz w:val="21"/>
                <w:szCs w:val="21"/>
              </w:rPr>
            </w:pPr>
          </w:p>
        </w:tc>
        <w:tc>
          <w:tcPr>
            <w:tcW w:w="1650" w:type="dxa"/>
            <w:vMerge w:val="continue"/>
            <w:tcBorders>
              <w:top w:val="nil"/>
              <w:left w:val="single" w:color="auto" w:sz="8" w:space="0"/>
              <w:bottom w:val="single" w:color="000000" w:sz="8" w:space="0"/>
              <w:right w:val="single" w:color="auto" w:sz="8" w:space="0"/>
            </w:tcBorders>
            <w:vAlign w:val="center"/>
          </w:tcPr>
          <w:p w14:paraId="72CF475B">
            <w:pPr>
              <w:widowControl/>
              <w:spacing w:line="276" w:lineRule="auto"/>
              <w:jc w:val="left"/>
              <w:rPr>
                <w:rFonts w:ascii="宋体" w:hAnsi="宋体" w:eastAsia="宋体" w:cs="Tahoma"/>
                <w:color w:val="000000"/>
                <w:kern w:val="0"/>
                <w:sz w:val="21"/>
                <w:szCs w:val="21"/>
              </w:rPr>
            </w:pPr>
          </w:p>
        </w:tc>
        <w:tc>
          <w:tcPr>
            <w:tcW w:w="2534" w:type="dxa"/>
            <w:tcBorders>
              <w:top w:val="nil"/>
              <w:left w:val="nil"/>
              <w:bottom w:val="single" w:color="auto" w:sz="8" w:space="0"/>
              <w:right w:val="single" w:color="auto" w:sz="8" w:space="0"/>
            </w:tcBorders>
            <w:shd w:val="clear" w:color="auto" w:fill="auto"/>
            <w:noWrap/>
            <w:vAlign w:val="center"/>
          </w:tcPr>
          <w:p w14:paraId="1302B577">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统计查询</w:t>
            </w:r>
          </w:p>
        </w:tc>
        <w:tc>
          <w:tcPr>
            <w:tcW w:w="654" w:type="dxa"/>
            <w:tcBorders>
              <w:top w:val="nil"/>
              <w:left w:val="nil"/>
              <w:bottom w:val="single" w:color="auto" w:sz="8" w:space="0"/>
              <w:right w:val="single" w:color="auto" w:sz="8" w:space="0"/>
            </w:tcBorders>
            <w:shd w:val="clear" w:color="auto" w:fill="auto"/>
            <w:noWrap/>
            <w:vAlign w:val="center"/>
          </w:tcPr>
          <w:p w14:paraId="5C4BE64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套</w:t>
            </w:r>
          </w:p>
        </w:tc>
        <w:tc>
          <w:tcPr>
            <w:tcW w:w="626" w:type="dxa"/>
            <w:tcBorders>
              <w:top w:val="nil"/>
              <w:left w:val="nil"/>
              <w:bottom w:val="single" w:color="auto" w:sz="8" w:space="0"/>
              <w:right w:val="single" w:color="auto" w:sz="8" w:space="0"/>
            </w:tcBorders>
            <w:shd w:val="clear" w:color="auto" w:fill="auto"/>
            <w:noWrap/>
            <w:vAlign w:val="center"/>
          </w:tcPr>
          <w:p w14:paraId="6BCBE158">
            <w:pPr>
              <w:widowControl/>
              <w:spacing w:line="276" w:lineRule="auto"/>
              <w:jc w:val="center"/>
              <w:rPr>
                <w:rFonts w:ascii="宋体" w:hAnsi="宋体" w:eastAsia="宋体" w:cs="Tahoma"/>
                <w:color w:val="000000"/>
                <w:kern w:val="0"/>
                <w:sz w:val="21"/>
                <w:szCs w:val="21"/>
              </w:rPr>
            </w:pPr>
            <w:r>
              <w:rPr>
                <w:rFonts w:hint="eastAsia" w:ascii="宋体" w:hAnsi="宋体" w:eastAsia="宋体" w:cs="Tahoma"/>
                <w:color w:val="000000"/>
                <w:kern w:val="0"/>
                <w:sz w:val="21"/>
                <w:szCs w:val="21"/>
              </w:rPr>
              <w:t>1</w:t>
            </w:r>
          </w:p>
        </w:tc>
        <w:tc>
          <w:tcPr>
            <w:tcW w:w="766" w:type="dxa"/>
            <w:tcBorders>
              <w:top w:val="nil"/>
              <w:left w:val="nil"/>
              <w:bottom w:val="single" w:color="auto" w:sz="8" w:space="0"/>
              <w:right w:val="single" w:color="auto" w:sz="8" w:space="0"/>
            </w:tcBorders>
            <w:shd w:val="clear" w:color="auto" w:fill="auto"/>
            <w:noWrap/>
            <w:vAlign w:val="center"/>
          </w:tcPr>
          <w:p w14:paraId="21A8037F">
            <w:pPr>
              <w:widowControl/>
              <w:spacing w:line="276" w:lineRule="auto"/>
              <w:jc w:val="left"/>
              <w:rPr>
                <w:rFonts w:ascii="宋体" w:hAnsi="宋体" w:eastAsia="宋体" w:cs="Tahoma"/>
                <w:color w:val="000000"/>
                <w:kern w:val="0"/>
                <w:sz w:val="21"/>
                <w:szCs w:val="21"/>
              </w:rPr>
            </w:pPr>
            <w:r>
              <w:rPr>
                <w:rFonts w:hint="eastAsia" w:ascii="宋体" w:hAnsi="宋体" w:eastAsia="宋体" w:cs="Tahoma"/>
                <w:color w:val="000000"/>
                <w:kern w:val="0"/>
                <w:sz w:val="21"/>
                <w:szCs w:val="21"/>
              </w:rPr>
              <w:t>　</w:t>
            </w:r>
          </w:p>
        </w:tc>
      </w:tr>
    </w:tbl>
    <w:p w14:paraId="54276F0C"/>
    <w:p w14:paraId="2ABBE8F6"/>
    <w:p w14:paraId="3F60DA38"/>
    <w:p w14:paraId="5A400DBA"/>
    <w:p w14:paraId="140CDA52"/>
    <w:p w14:paraId="185B56FA"/>
    <w:p w14:paraId="141611E1"/>
    <w:p w14:paraId="1A9FCE42">
      <w:pPr>
        <w:pStyle w:val="3"/>
      </w:pPr>
      <w:r>
        <w:rPr>
          <w:rFonts w:hint="eastAsia"/>
        </w:rPr>
        <w:t>医院信息集成平台升级扩展</w:t>
      </w:r>
    </w:p>
    <w:p w14:paraId="5E8B7634">
      <w:pPr>
        <w:pStyle w:val="4"/>
        <w:rPr>
          <w:rFonts w:ascii="宋体" w:hAnsi="宋体"/>
        </w:rPr>
      </w:pPr>
      <w:r>
        <w:rPr>
          <w:rFonts w:hint="eastAsia" w:ascii="宋体" w:hAnsi="宋体"/>
        </w:rPr>
        <w:t>医院信息集成引擎</w:t>
      </w:r>
    </w:p>
    <w:p w14:paraId="0919F27F">
      <w:pPr>
        <w:rPr>
          <w:rFonts w:ascii="宋体" w:hAnsi="宋体" w:eastAsia="宋体"/>
        </w:rPr>
      </w:pPr>
      <w:r>
        <w:rPr>
          <w:rFonts w:hint="eastAsia" w:ascii="宋体" w:hAnsi="宋体" w:eastAsia="宋体"/>
        </w:rPr>
        <w:t>（1）全院级集成应用的企业服务总线，实现消息转换与数据传输，基于内容的智能路由，完成各业务系统之间的解耦连接。</w:t>
      </w:r>
    </w:p>
    <w:p w14:paraId="7D60B178">
      <w:pPr>
        <w:rPr>
          <w:rFonts w:ascii="宋体" w:hAnsi="宋体" w:eastAsia="宋体"/>
        </w:rPr>
      </w:pPr>
      <w:r>
        <w:rPr>
          <w:rFonts w:hint="eastAsia" w:ascii="宋体" w:hAnsi="宋体" w:eastAsia="宋体"/>
        </w:rPr>
        <w:t>（2）支持集成的几大引擎机制，执行引擎支持引擎的服务创建与管理，内部数据交换，消息映射，消息路由；支持IDE环境，流程定义，流程维护，字典同步。更新引擎：协同更新服务，使多个系统同步完成同一工作流程带来的数据更新；数据库连接配置，数据映射与转换的自动化。</w:t>
      </w:r>
    </w:p>
    <w:p w14:paraId="7053D734">
      <w:pPr>
        <w:rPr>
          <w:rFonts w:ascii="宋体" w:hAnsi="宋体" w:eastAsia="宋体"/>
        </w:rPr>
      </w:pPr>
      <w:r>
        <w:rPr>
          <w:rFonts w:hint="eastAsia" w:ascii="宋体" w:hAnsi="宋体" w:eastAsia="宋体"/>
        </w:rPr>
        <w:t>（3）支持基于事件驱动的消息传输机制，支持服务的发布和订阅。</w:t>
      </w:r>
    </w:p>
    <w:p w14:paraId="3A06A1E1">
      <w:pPr>
        <w:rPr>
          <w:rFonts w:ascii="宋体" w:hAnsi="宋体" w:eastAsia="宋体"/>
        </w:rPr>
      </w:pPr>
      <w:r>
        <w:rPr>
          <w:rFonts w:hint="eastAsia" w:ascii="宋体" w:hAnsi="宋体" w:eastAsia="宋体"/>
        </w:rPr>
        <w:t>（4）基于平台的数据交换标准化，对HL7V3交互服务进行本土化约束和适当扩展，以制定行业消息交互规范。</w:t>
      </w:r>
    </w:p>
    <w:p w14:paraId="2E7FFD18">
      <w:pPr>
        <w:rPr>
          <w:rFonts w:ascii="宋体" w:hAnsi="宋体" w:eastAsia="宋体"/>
        </w:rPr>
      </w:pPr>
      <w:r>
        <w:rPr>
          <w:rFonts w:hint="eastAsia" w:ascii="宋体" w:hAnsi="宋体" w:eastAsia="宋体"/>
        </w:rPr>
        <w:t>（5）支持热备高可用性部署，主备机之间配置、消息库可实时同步，当主机发生故障时，备机可在不需人工干预的情况下自动启动，消息在备机中继续运行，当主机修复后，消息会转回主机中继续处理。</w:t>
      </w:r>
    </w:p>
    <w:p w14:paraId="7EB9D7F0">
      <w:pPr>
        <w:rPr>
          <w:rFonts w:ascii="宋体" w:hAnsi="宋体" w:eastAsia="宋体"/>
        </w:rPr>
      </w:pPr>
      <w:r>
        <w:rPr>
          <w:rFonts w:hint="eastAsia" w:ascii="宋体" w:hAnsi="宋体" w:eastAsia="宋体"/>
        </w:rPr>
        <w:t>（6）支持多种用于主流信息交互方式的适配器：数据库适配器、文件适配器、WebService适配器、socket适配器、队列适配器等。</w:t>
      </w:r>
    </w:p>
    <w:p w14:paraId="0662B6E5">
      <w:pPr>
        <w:rPr>
          <w:rFonts w:ascii="宋体" w:hAnsi="宋体" w:eastAsia="宋体"/>
        </w:rPr>
      </w:pPr>
      <w:r>
        <w:rPr>
          <w:rFonts w:hint="eastAsia" w:ascii="宋体" w:hAnsi="宋体" w:eastAsia="宋体"/>
        </w:rPr>
        <w:t>（7）提供基于内容的路由、广播路由、聚合路由、拆分路由、排序路由、自定义中介器、XML消息转换器。</w:t>
      </w:r>
    </w:p>
    <w:p w14:paraId="36634A73">
      <w:pPr>
        <w:rPr>
          <w:rFonts w:ascii="宋体" w:hAnsi="宋体" w:eastAsia="宋体"/>
        </w:rPr>
      </w:pPr>
      <w:r>
        <w:rPr>
          <w:rFonts w:hint="eastAsia" w:ascii="宋体" w:hAnsi="宋体" w:eastAsia="宋体"/>
        </w:rPr>
        <w:t>（8）通过配置而非编程的方式，支持集成现有系统且无论其底层采用何种技术。</w:t>
      </w:r>
    </w:p>
    <w:p w14:paraId="60394823">
      <w:pPr>
        <w:rPr>
          <w:rFonts w:ascii="宋体" w:hAnsi="宋体" w:eastAsia="宋体"/>
        </w:rPr>
      </w:pPr>
      <w:r>
        <w:rPr>
          <w:rFonts w:hint="eastAsia" w:ascii="宋体" w:hAnsi="宋体" w:eastAsia="宋体"/>
        </w:rPr>
        <w:t>（9）支持多种文件格式转换，支持文件格式转换的转换器。</w:t>
      </w:r>
    </w:p>
    <w:p w14:paraId="405F3C5B">
      <w:pPr>
        <w:rPr>
          <w:rFonts w:ascii="宋体" w:hAnsi="宋体" w:eastAsia="宋体"/>
        </w:rPr>
      </w:pPr>
      <w:r>
        <w:rPr>
          <w:rFonts w:hint="eastAsia" w:ascii="宋体" w:hAnsi="宋体" w:eastAsia="宋体"/>
        </w:rPr>
        <w:t>（10）支持XML标准定义，允许通过XSLT能够实现对XML格式的转换。</w:t>
      </w:r>
    </w:p>
    <w:p w14:paraId="165B4216">
      <w:pPr>
        <w:rPr>
          <w:rFonts w:ascii="宋体" w:hAnsi="宋体" w:eastAsia="宋体"/>
        </w:rPr>
      </w:pPr>
      <w:r>
        <w:rPr>
          <w:rFonts w:hint="eastAsia" w:ascii="宋体" w:hAnsi="宋体" w:eastAsia="宋体"/>
        </w:rPr>
        <w:t>（11）实现不同规则的动态路由，且路由规则通过配置方式实现，可以用消息中的属性信息进行消息的分发，过滤。</w:t>
      </w:r>
    </w:p>
    <w:p w14:paraId="74F43538">
      <w:pPr>
        <w:rPr>
          <w:rFonts w:ascii="宋体" w:hAnsi="宋体" w:eastAsia="宋体"/>
        </w:rPr>
      </w:pPr>
      <w:r>
        <w:rPr>
          <w:rFonts w:hint="eastAsia" w:ascii="宋体" w:hAnsi="宋体" w:eastAsia="宋体"/>
        </w:rPr>
        <w:t>（12）支持对已有服务流程的重新编排，组合生成新的流程。</w:t>
      </w:r>
    </w:p>
    <w:p w14:paraId="65F30C46">
      <w:pPr>
        <w:rPr>
          <w:rFonts w:ascii="宋体" w:hAnsi="宋体" w:eastAsia="宋体"/>
        </w:rPr>
      </w:pPr>
      <w:r>
        <w:rPr>
          <w:rFonts w:hint="eastAsia" w:ascii="宋体" w:hAnsi="宋体" w:eastAsia="宋体"/>
        </w:rPr>
        <w:t>（13）支持主流数据库的连接。</w:t>
      </w:r>
    </w:p>
    <w:p w14:paraId="0EF905F0">
      <w:pPr>
        <w:rPr>
          <w:rFonts w:ascii="宋体" w:hAnsi="宋体" w:eastAsia="宋体"/>
        </w:rPr>
      </w:pPr>
      <w:r>
        <w:rPr>
          <w:rFonts w:hint="eastAsia" w:ascii="宋体" w:hAnsi="宋体" w:eastAsia="宋体"/>
        </w:rPr>
        <w:t>（14）支持HTTP与HTTPS组件，支持各种语言对平台的接入，包括C#、JAVA、Groovy、python等。</w:t>
      </w:r>
    </w:p>
    <w:p w14:paraId="67170473">
      <w:pPr>
        <w:rPr>
          <w:rFonts w:ascii="宋体" w:hAnsi="宋体" w:eastAsia="宋体"/>
        </w:rPr>
      </w:pPr>
      <w:r>
        <w:rPr>
          <w:rFonts w:hint="eastAsia" w:ascii="宋体" w:hAnsi="宋体" w:eastAsia="宋体"/>
        </w:rPr>
        <w:t>（15）支持数据集成（如主数据管理、医学术语标服务）、功能集成（如统一身份认证、患者主索引）、业务集成（如统一订阅发布、交互服务）等</w:t>
      </w:r>
    </w:p>
    <w:p w14:paraId="64E7C291">
      <w:pPr>
        <w:pStyle w:val="4"/>
        <w:rPr>
          <w:rFonts w:ascii="宋体" w:hAnsi="宋体"/>
        </w:rPr>
      </w:pPr>
      <w:r>
        <w:rPr>
          <w:rFonts w:hint="eastAsia" w:ascii="宋体" w:hAnsi="宋体"/>
        </w:rPr>
        <w:t>集成平台管理</w:t>
      </w:r>
    </w:p>
    <w:p w14:paraId="49967C49">
      <w:pPr>
        <w:rPr>
          <w:rFonts w:ascii="宋体" w:hAnsi="宋体" w:eastAsia="宋体"/>
        </w:rPr>
      </w:pPr>
      <w:r>
        <w:rPr>
          <w:rFonts w:hint="eastAsia" w:ascii="宋体" w:hAnsi="宋体" w:eastAsia="宋体"/>
        </w:rPr>
        <w:t>（1）数据元管理：通过属性描述其定义、标识、允许值的数据单元等对数据元进行标准化管理。</w:t>
      </w:r>
    </w:p>
    <w:p w14:paraId="07945D46">
      <w:pPr>
        <w:rPr>
          <w:rFonts w:ascii="宋体" w:hAnsi="宋体" w:eastAsia="宋体"/>
        </w:rPr>
      </w:pPr>
      <w:r>
        <w:rPr>
          <w:rFonts w:hint="eastAsia" w:ascii="宋体" w:hAnsi="宋体" w:eastAsia="宋体"/>
        </w:rPr>
        <w:t>（2）数据集管理：根据标准数据元，把医疗数据划分为17类标准数据集。分别对数据集的新增、编辑、修改等维护。</w:t>
      </w:r>
    </w:p>
    <w:p w14:paraId="0076BE2B">
      <w:pPr>
        <w:rPr>
          <w:rFonts w:ascii="宋体" w:hAnsi="宋体" w:eastAsia="宋体"/>
        </w:rPr>
      </w:pPr>
      <w:r>
        <w:rPr>
          <w:rFonts w:hint="eastAsia" w:ascii="宋体" w:hAnsi="宋体" w:eastAsia="宋体"/>
        </w:rPr>
        <w:t>（3）临床数据浏览：根据标准的数据元,数据集展示实际的业务数据，患者在医疗机构就诊所产生的门诊处方明细，检查申请记录，检查申请记录明细，检查报告，检查报告明细，检验记录，检验记录明细，检验条码记录，检验报告，检验报告明细，一般手术记录，治疗记录，治疗记录用药，治疗记录手术，手术申请单，手术申请单手术，麻醉术前访视记录，麻醉记录，麻醉术后访视记录，待产记录，阴道分娩记录，剖宫产记录，一般护理记录，高值耗材使用记录，病重(病危)护理记录，手术护理记录，生命体征测量记录，入院评估，出院评估与指导，护理计划，手术知情同意，书麻醉知情同意书，输血治疗同意书，病危（重）通知书，特殊检查及特殊治疗同意书，其他知情同意书中，西医病案首页，入院记录，24h内入出院记录，24h内入院死亡记录，首次病程记录，日常病程记录，上级医师查房记录，疑难病例讨论记录，交接班记录，转科记录，转诊记录，阶段小结，抢救记录，会诊记录，术前小结，术前讨论，术后首次病程记录，出院记录，死亡记录，死亡病例讨论记录，住院医嘱，输血记录，输血记录明细，患者个人信息，患者基本健康信息，住院诊断，门诊诊断，关键药物，患者医疗费用记录，门急诊病历（含留观病历)，门诊医嘱，门诊处方(中西药处方）医疗数据</w:t>
      </w:r>
    </w:p>
    <w:p w14:paraId="2A488FEE">
      <w:pPr>
        <w:rPr>
          <w:rFonts w:ascii="宋体" w:hAnsi="宋体" w:eastAsia="宋体"/>
        </w:rPr>
      </w:pPr>
      <w:r>
        <w:rPr>
          <w:rFonts w:hint="eastAsia" w:ascii="宋体" w:hAnsi="宋体" w:eastAsia="宋体"/>
        </w:rPr>
        <w:t>（4）任务管理：结合设置好的执行器配置数据采集任务，灵活实现定时任务。</w:t>
      </w:r>
    </w:p>
    <w:p w14:paraId="12426C75">
      <w:pPr>
        <w:rPr>
          <w:rFonts w:ascii="宋体" w:hAnsi="宋体" w:eastAsia="宋体"/>
        </w:rPr>
      </w:pPr>
      <w:r>
        <w:rPr>
          <w:rFonts w:hint="eastAsia" w:ascii="宋体" w:hAnsi="宋体" w:eastAsia="宋体"/>
        </w:rPr>
        <w:t>（5）调度日志：查看任务调度的各项日志信息。包括任务ID、调度时间、调度结果、调度备注、执行时间、执行结果、执行备注、操作等日志信息。</w:t>
      </w:r>
    </w:p>
    <w:p w14:paraId="5A2EDA64">
      <w:pPr>
        <w:rPr>
          <w:rFonts w:ascii="宋体" w:hAnsi="宋体" w:eastAsia="宋体"/>
        </w:rPr>
      </w:pPr>
      <w:r>
        <w:rPr>
          <w:rFonts w:hint="eastAsia" w:ascii="宋体" w:hAnsi="宋体" w:eastAsia="宋体"/>
        </w:rPr>
        <w:t>（6）执行器管理：对任务调度的执行器进行注册和管理。执行器的新增与编辑。</w:t>
      </w:r>
    </w:p>
    <w:p w14:paraId="0A7888C0">
      <w:pPr>
        <w:pStyle w:val="4"/>
        <w:rPr>
          <w:rFonts w:ascii="宋体" w:hAnsi="宋体"/>
        </w:rPr>
      </w:pPr>
      <w:r>
        <w:rPr>
          <w:rFonts w:hint="eastAsia" w:ascii="宋体" w:hAnsi="宋体"/>
        </w:rPr>
        <w:t>集成平台监控</w:t>
      </w:r>
    </w:p>
    <w:p w14:paraId="4357FC1B">
      <w:pPr>
        <w:rPr>
          <w:rFonts w:ascii="宋体" w:hAnsi="宋体" w:eastAsia="宋体"/>
        </w:rPr>
      </w:pPr>
      <w:r>
        <w:rPr>
          <w:rFonts w:hint="eastAsia" w:ascii="宋体" w:hAnsi="宋体" w:eastAsia="宋体"/>
        </w:rPr>
        <w:t>（1）平台综合监控</w:t>
      </w:r>
    </w:p>
    <w:p w14:paraId="477E77F7">
      <w:pPr>
        <w:ind w:firstLine="480"/>
        <w:rPr>
          <w:rFonts w:ascii="宋体" w:hAnsi="宋体" w:eastAsia="宋体"/>
        </w:rPr>
      </w:pPr>
      <w:r>
        <w:rPr>
          <w:rFonts w:hint="eastAsia" w:ascii="宋体" w:hAnsi="宋体" w:eastAsia="宋体"/>
        </w:rPr>
        <w:t>1）实时监控消息发送相关信息，实时刷新各个业务消息的流动状态，更新监控结果，记录系统日志；</w:t>
      </w:r>
    </w:p>
    <w:p w14:paraId="7E23F059">
      <w:pPr>
        <w:ind w:firstLine="480"/>
        <w:rPr>
          <w:rFonts w:ascii="宋体" w:hAnsi="宋体" w:eastAsia="宋体"/>
        </w:rPr>
      </w:pPr>
      <w:r>
        <w:rPr>
          <w:rFonts w:hint="eastAsia" w:ascii="宋体" w:hAnsi="宋体" w:eastAsia="宋体"/>
        </w:rPr>
        <w:t>2）实时监控消息发送失败相关信息；</w:t>
      </w:r>
    </w:p>
    <w:p w14:paraId="4B4DC6CB">
      <w:pPr>
        <w:ind w:firstLine="480"/>
        <w:rPr>
          <w:rFonts w:ascii="宋体" w:hAnsi="宋体" w:eastAsia="宋体"/>
        </w:rPr>
      </w:pPr>
      <w:r>
        <w:rPr>
          <w:rFonts w:hint="eastAsia" w:ascii="宋体" w:hAnsi="宋体" w:eastAsia="宋体"/>
        </w:rPr>
        <w:t>3）基于业务条件进行监控查询；</w:t>
      </w:r>
    </w:p>
    <w:p w14:paraId="11663BC8">
      <w:pPr>
        <w:ind w:firstLine="480"/>
        <w:rPr>
          <w:rFonts w:ascii="宋体" w:hAnsi="宋体" w:eastAsia="宋体"/>
        </w:rPr>
      </w:pPr>
      <w:r>
        <w:rPr>
          <w:rFonts w:hint="eastAsia" w:ascii="宋体" w:hAnsi="宋体" w:eastAsia="宋体"/>
        </w:rPr>
        <w:t>4）实时展示集成平台的服务器资源监控结果，包括监控概况、队列积压情况、服务器资源监控；</w:t>
      </w:r>
    </w:p>
    <w:p w14:paraId="7E8E0CDD">
      <w:pPr>
        <w:ind w:firstLine="480"/>
        <w:rPr>
          <w:rFonts w:ascii="宋体" w:hAnsi="宋体" w:eastAsia="宋体"/>
        </w:rPr>
      </w:pPr>
      <w:r>
        <w:rPr>
          <w:rFonts w:hint="eastAsia" w:ascii="宋体" w:hAnsi="宋体" w:eastAsia="宋体"/>
        </w:rPr>
        <w:t>5）实时对第三方数据交换接口状态、第三方应用系统的运行状态和用户关键性操作的跟踪记录，自动产生记录接口状态日志及操作日志；</w:t>
      </w:r>
    </w:p>
    <w:p w14:paraId="6E4BF3D5">
      <w:pPr>
        <w:ind w:firstLine="480"/>
        <w:rPr>
          <w:rFonts w:ascii="宋体" w:hAnsi="宋体" w:eastAsia="宋体"/>
        </w:rPr>
      </w:pPr>
      <w:r>
        <w:rPr>
          <w:rFonts w:hint="eastAsia" w:ascii="宋体" w:hAnsi="宋体" w:eastAsia="宋体"/>
        </w:rPr>
        <w:t>6）实现各类统计包括启用服务总数，接入系统总数，服务调用总数，今日服务调用次数，CDA文档生成数，消息队列消息数等统计分析。</w:t>
      </w:r>
    </w:p>
    <w:p w14:paraId="04F1A23D">
      <w:pPr>
        <w:ind w:firstLine="480"/>
        <w:rPr>
          <w:rFonts w:ascii="宋体" w:hAnsi="宋体" w:eastAsia="宋体"/>
        </w:rPr>
      </w:pPr>
      <w:r>
        <w:rPr>
          <w:rFonts w:hint="eastAsia" w:ascii="宋体" w:hAnsi="宋体" w:eastAsia="宋体"/>
        </w:rPr>
        <w:t>7）检索设定日期内特定名称和类别的告警信息，配置告警项，对告警条件的增、改、删及启用、停用等。</w:t>
      </w:r>
    </w:p>
    <w:p w14:paraId="7518EE4B">
      <w:pPr>
        <w:rPr>
          <w:rFonts w:ascii="宋体" w:hAnsi="宋体" w:eastAsia="宋体"/>
        </w:rPr>
      </w:pPr>
      <w:r>
        <w:rPr>
          <w:rFonts w:hint="eastAsia" w:ascii="宋体" w:hAnsi="宋体" w:eastAsia="宋体"/>
        </w:rPr>
        <w:t>（2）ESB(企业服务总线的监控)</w:t>
      </w:r>
    </w:p>
    <w:p w14:paraId="08CD5777">
      <w:pPr>
        <w:ind w:firstLine="480"/>
        <w:rPr>
          <w:rFonts w:ascii="宋体" w:hAnsi="宋体" w:eastAsia="宋体"/>
        </w:rPr>
      </w:pPr>
      <w:r>
        <w:rPr>
          <w:rFonts w:hint="eastAsia" w:ascii="宋体" w:hAnsi="宋体" w:eastAsia="宋体"/>
        </w:rPr>
        <w:t>1）监控消息发送相关信息，实时记录各个业务消息的流动状态，更新监控结果。</w:t>
      </w:r>
    </w:p>
    <w:p w14:paraId="1A251E90">
      <w:pPr>
        <w:ind w:firstLine="480"/>
        <w:rPr>
          <w:rFonts w:ascii="宋体" w:hAnsi="宋体" w:eastAsia="宋体"/>
        </w:rPr>
      </w:pPr>
      <w:r>
        <w:rPr>
          <w:rFonts w:hint="eastAsia" w:ascii="宋体" w:hAnsi="宋体" w:eastAsia="宋体"/>
        </w:rPr>
        <w:t>2）显示企业服务总线的监控结果，包括服务器资源情况、服务流程情况监控、部署情况监控。</w:t>
      </w:r>
    </w:p>
    <w:p w14:paraId="4E035B76">
      <w:pPr>
        <w:ind w:firstLine="480"/>
        <w:rPr>
          <w:rFonts w:ascii="宋体" w:hAnsi="宋体" w:eastAsia="宋体"/>
        </w:rPr>
      </w:pPr>
      <w:r>
        <w:rPr>
          <w:rFonts w:hint="eastAsia" w:ascii="宋体" w:hAnsi="宋体" w:eastAsia="宋体"/>
        </w:rPr>
        <w:t>3）第三方数据交换接口状态、第三方应用系统的运行状态和用户关键性操作的跟踪记录。</w:t>
      </w:r>
    </w:p>
    <w:p w14:paraId="299B0FB5">
      <w:pPr>
        <w:pStyle w:val="4"/>
        <w:rPr>
          <w:rFonts w:ascii="宋体" w:hAnsi="宋体"/>
        </w:rPr>
      </w:pPr>
      <w:r>
        <w:rPr>
          <w:rFonts w:hint="eastAsia" w:ascii="宋体" w:hAnsi="宋体"/>
        </w:rPr>
        <w:t>交互服务（数据采集交换平台）</w:t>
      </w:r>
    </w:p>
    <w:p w14:paraId="79588447">
      <w:pPr>
        <w:rPr>
          <w:rFonts w:ascii="宋体" w:hAnsi="宋体" w:eastAsia="宋体"/>
        </w:rPr>
      </w:pPr>
      <w:r>
        <w:rPr>
          <w:rFonts w:hint="eastAsia" w:ascii="宋体" w:hAnsi="宋体" w:eastAsia="宋体"/>
        </w:rPr>
        <w:t>（1）通过集成引擎及服务统一订阅发布实现实时交互服务，实现集成平台对第三方开发者接入的授权、审核及接入环境、具体操作和一些常见问题的处理等。</w:t>
      </w:r>
    </w:p>
    <w:p w14:paraId="4342E819">
      <w:pPr>
        <w:rPr>
          <w:rFonts w:ascii="宋体" w:hAnsi="宋体" w:eastAsia="宋体"/>
        </w:rPr>
      </w:pPr>
      <w:r>
        <w:rPr>
          <w:rFonts w:hint="eastAsia" w:ascii="宋体" w:hAnsi="宋体" w:eastAsia="宋体"/>
        </w:rPr>
        <w:t>（2）区域平台交互：支持区域卫生人员、科室、文档、患者的注册和查询等。</w:t>
      </w:r>
    </w:p>
    <w:p w14:paraId="76B80AD1">
      <w:pPr>
        <w:pStyle w:val="4"/>
        <w:rPr>
          <w:rFonts w:ascii="宋体" w:hAnsi="宋体"/>
        </w:rPr>
      </w:pPr>
      <w:r>
        <w:rPr>
          <w:rFonts w:hint="eastAsia" w:ascii="宋体" w:hAnsi="宋体"/>
        </w:rPr>
        <w:t xml:space="preserve">主数据管理系统    </w:t>
      </w:r>
    </w:p>
    <w:p w14:paraId="5AA8D0D6">
      <w:pPr>
        <w:rPr>
          <w:rFonts w:ascii="宋体" w:hAnsi="宋体" w:eastAsia="宋体"/>
        </w:rPr>
      </w:pPr>
      <w:r>
        <w:rPr>
          <w:rFonts w:hint="eastAsia" w:ascii="宋体" w:hAnsi="宋体" w:eastAsia="宋体"/>
        </w:rPr>
        <w:t>（1）患者数据管理：建立统一的患者基本信息库，实现患者数据的完整性、准确性和一致性，保证同一患者信息的逻辑唯一性，包含历史数据的管理。</w:t>
      </w:r>
    </w:p>
    <w:p w14:paraId="31F8637F">
      <w:pPr>
        <w:rPr>
          <w:rFonts w:ascii="宋体" w:hAnsi="宋体" w:eastAsia="宋体"/>
        </w:rPr>
      </w:pPr>
      <w:r>
        <w:rPr>
          <w:rFonts w:hint="eastAsia" w:ascii="宋体" w:hAnsi="宋体" w:eastAsia="宋体"/>
        </w:rPr>
        <w:t>（2）人员科室数据管理：提供统一的人员数据管理功能，整合HIS、HRP、OA等所有系统的人员信息，能够持有和管理所有人员数据，并使各个系统的人员和组织数据保持一致，包含历史数据的管理和利用。</w:t>
      </w:r>
    </w:p>
    <w:p w14:paraId="5ADC1464">
      <w:pPr>
        <w:rPr>
          <w:rFonts w:ascii="宋体" w:hAnsi="宋体" w:eastAsia="宋体"/>
        </w:rPr>
      </w:pPr>
      <w:r>
        <w:rPr>
          <w:rFonts w:hint="eastAsia" w:ascii="宋体" w:hAnsi="宋体" w:eastAsia="宋体"/>
        </w:rPr>
        <w:t>（3）物价类数据管理：能够统一管理和维护医嘱术语、医疗服务项目、药品字典、物资项目、医嘱术语和收费项目之间的关系、各个系统和平台术语的对照关系、保证各个系统的术语与平台术语的一致性，包含历史数据的管理和利用。</w:t>
      </w:r>
    </w:p>
    <w:p w14:paraId="3B83A330">
      <w:pPr>
        <w:rPr>
          <w:rFonts w:ascii="宋体" w:hAnsi="宋体" w:eastAsia="宋体"/>
        </w:rPr>
      </w:pPr>
      <w:r>
        <w:rPr>
          <w:rFonts w:hint="eastAsia" w:ascii="宋体" w:hAnsi="宋体" w:eastAsia="宋体"/>
        </w:rPr>
        <w:t>（4）对主数据目录的全生命周期管理，包含主数据目录的申请、校验、审核、发布、变更、注销。</w:t>
      </w:r>
    </w:p>
    <w:p w14:paraId="1658C9D7">
      <w:pPr>
        <w:rPr>
          <w:rFonts w:ascii="宋体" w:hAnsi="宋体" w:eastAsia="宋体"/>
        </w:rPr>
      </w:pPr>
      <w:r>
        <w:rPr>
          <w:rFonts w:hint="eastAsia" w:ascii="宋体" w:hAnsi="宋体" w:eastAsia="宋体"/>
        </w:rPr>
        <w:t>（5）对主数据目录的版本进行管理。</w:t>
      </w:r>
    </w:p>
    <w:p w14:paraId="252CDC36">
      <w:pPr>
        <w:rPr>
          <w:rFonts w:ascii="宋体" w:hAnsi="宋体" w:eastAsia="宋体"/>
        </w:rPr>
      </w:pPr>
      <w:r>
        <w:rPr>
          <w:rFonts w:hint="eastAsia" w:ascii="宋体" w:hAnsi="宋体" w:eastAsia="宋体"/>
        </w:rPr>
        <w:t>（6）主数据的模型关联管理包含模型的字段定义、修改、注销。</w:t>
      </w:r>
    </w:p>
    <w:p w14:paraId="1A59A1E3">
      <w:pPr>
        <w:rPr>
          <w:rFonts w:ascii="宋体" w:hAnsi="宋体" w:eastAsia="宋体"/>
        </w:rPr>
      </w:pPr>
      <w:r>
        <w:rPr>
          <w:rFonts w:hint="eastAsia" w:ascii="宋体" w:hAnsi="宋体" w:eastAsia="宋体"/>
        </w:rPr>
        <w:t>（7）对主数据的明细数据与业务系统的基础数据的映射关系管理，包含建立映射关系、修改映射关系，发布映射关系信息。可以查看业务系统基础数据和主数据的映射关系，以及映射结果导出。根据部分字段内容的一致性，支持业务系统基础数据和主数据自动映射。</w:t>
      </w:r>
    </w:p>
    <w:p w14:paraId="61DFCEEC">
      <w:pPr>
        <w:rPr>
          <w:rFonts w:ascii="宋体" w:hAnsi="宋体" w:eastAsia="宋体"/>
        </w:rPr>
      </w:pPr>
      <w:r>
        <w:rPr>
          <w:rFonts w:hint="eastAsia" w:ascii="宋体" w:hAnsi="宋体" w:eastAsia="宋体"/>
        </w:rPr>
        <w:t>（8）支持主数据基准库，集中存储主数据。</w:t>
      </w:r>
    </w:p>
    <w:p w14:paraId="4FFDCC43">
      <w:pPr>
        <w:rPr>
          <w:rFonts w:ascii="宋体" w:hAnsi="宋体" w:eastAsia="宋体"/>
        </w:rPr>
      </w:pPr>
      <w:r>
        <w:rPr>
          <w:rFonts w:hint="eastAsia" w:ascii="宋体" w:hAnsi="宋体" w:eastAsia="宋体"/>
        </w:rPr>
        <w:t>（9）权限管理、包括用户、用户组、角色管理。日志管理，对主数据目录的生命周期操作事件进行日志记录。</w:t>
      </w:r>
    </w:p>
    <w:p w14:paraId="3DA0DD67">
      <w:pPr>
        <w:rPr>
          <w:rFonts w:ascii="宋体" w:hAnsi="宋体" w:eastAsia="宋体"/>
        </w:rPr>
      </w:pPr>
      <w:r>
        <w:rPr>
          <w:rFonts w:hint="eastAsia" w:ascii="宋体" w:hAnsi="宋体" w:eastAsia="宋体"/>
        </w:rPr>
        <w:t>（10）通过服务总线模式或者微服务模式支持主数据注册、更新、查询、订阅、推送服务，供其他机构调用。</w:t>
      </w:r>
    </w:p>
    <w:p w14:paraId="60B68460">
      <w:pPr>
        <w:rPr>
          <w:rFonts w:ascii="宋体" w:hAnsi="宋体" w:eastAsia="宋体"/>
        </w:rPr>
      </w:pPr>
    </w:p>
    <w:p w14:paraId="05F2E479">
      <w:pPr>
        <w:pStyle w:val="4"/>
        <w:rPr>
          <w:rFonts w:ascii="宋体" w:hAnsi="宋体"/>
        </w:rPr>
      </w:pPr>
      <w:r>
        <w:rPr>
          <w:rFonts w:hint="eastAsia" w:ascii="宋体" w:hAnsi="宋体"/>
        </w:rPr>
        <w:t>服务统一订阅发布</w:t>
      </w:r>
    </w:p>
    <w:p w14:paraId="7851AC13">
      <w:pPr>
        <w:rPr>
          <w:rFonts w:ascii="宋体" w:hAnsi="宋体" w:eastAsia="宋体"/>
        </w:rPr>
      </w:pPr>
      <w:r>
        <w:rPr>
          <w:rFonts w:hint="eastAsia" w:ascii="宋体" w:hAnsi="宋体" w:eastAsia="宋体"/>
        </w:rPr>
        <w:t>（1）服务配置管理：可以根据用户、系统、版本、功能、有效时间、启动、停用等状态进行有效管理。</w:t>
      </w:r>
    </w:p>
    <w:p w14:paraId="33FB61EB">
      <w:pPr>
        <w:rPr>
          <w:rFonts w:ascii="宋体" w:hAnsi="宋体" w:eastAsia="宋体"/>
        </w:rPr>
      </w:pPr>
      <w:r>
        <w:rPr>
          <w:rFonts w:hint="eastAsia" w:ascii="宋体" w:hAnsi="宋体" w:eastAsia="宋体"/>
        </w:rPr>
        <w:t>（2）同步调用管理：同步调用订阅者实为服务发布者，订阅者可以选择消息接收方式，WebService、http、esb等方式，根据不同的接收类型，配置相应的参数，从而实现消息服务的同步调用管理，包括服务的有效性、版本、有效性、生效时间、服务描述等信息。</w:t>
      </w:r>
    </w:p>
    <w:p w14:paraId="1C56F9FD">
      <w:pPr>
        <w:rPr>
          <w:rFonts w:ascii="宋体" w:hAnsi="宋体" w:eastAsia="宋体"/>
        </w:rPr>
      </w:pPr>
      <w:r>
        <w:rPr>
          <w:rFonts w:hint="eastAsia" w:ascii="宋体" w:hAnsi="宋体" w:eastAsia="宋体"/>
        </w:rPr>
        <w:t>（3）服务订阅管理：通过消息引擎实现对消息的订阅消费,订阅者可以选择多种消息接收方式，WebService、http、esb，mq等方式,实现对不同系统消息的订阅消费,可配置相应的订阅参数。消息引擎支持消息保护机制，实现消息的可配置重推。</w:t>
      </w:r>
    </w:p>
    <w:p w14:paraId="341653EF">
      <w:pPr>
        <w:rPr>
          <w:rFonts w:ascii="宋体" w:hAnsi="宋体" w:eastAsia="宋体"/>
        </w:rPr>
      </w:pPr>
      <w:r>
        <w:rPr>
          <w:rFonts w:hint="eastAsia" w:ascii="宋体" w:hAnsi="宋体" w:eastAsia="宋体"/>
        </w:rPr>
        <w:t>（4）服务接口测试：对发布到平台的接口进行在线实时测试，简化消息测试工作。</w:t>
      </w:r>
    </w:p>
    <w:p w14:paraId="6D7F0B64">
      <w:pPr>
        <w:rPr>
          <w:rFonts w:ascii="宋体" w:hAnsi="宋体" w:eastAsia="宋体"/>
        </w:rPr>
      </w:pPr>
      <w:r>
        <w:rPr>
          <w:rFonts w:hint="eastAsia" w:ascii="宋体" w:hAnsi="宋体" w:eastAsia="宋体"/>
        </w:rPr>
        <w:t>（5）系统服务列表：展示不同业务系统发布到平台的服务列表以及订阅消费的服务列表。</w:t>
      </w:r>
    </w:p>
    <w:p w14:paraId="115245EE">
      <w:pPr>
        <w:rPr>
          <w:rFonts w:ascii="宋体" w:hAnsi="宋体" w:eastAsia="宋体"/>
        </w:rPr>
      </w:pPr>
      <w:r>
        <w:rPr>
          <w:rFonts w:hint="eastAsia" w:ascii="宋体" w:hAnsi="宋体" w:eastAsia="宋体"/>
        </w:rPr>
        <w:t>（6）消息接收日志：记录服务调用相关的消息日志。包括服务名称、服务编码、消息调用者、消息接收者、服务交互发生的日期时间，性能、请求消息类容、返回消息类容、服务交互状态等。并可根据消息日志实现消息的重推。</w:t>
      </w:r>
    </w:p>
    <w:p w14:paraId="44FB5F49">
      <w:pPr>
        <w:rPr>
          <w:rFonts w:ascii="宋体" w:hAnsi="宋体" w:eastAsia="宋体"/>
        </w:rPr>
      </w:pPr>
      <w:r>
        <w:rPr>
          <w:rFonts w:hint="eastAsia" w:ascii="宋体" w:hAnsi="宋体" w:eastAsia="宋体"/>
        </w:rPr>
        <w:t>（7）消息分发日志：记录服务订阅相关的消息日志。包括服务名称、服务编码、消息订阅者，消息分发时间、分发状态，分发消息类容、分发返回消息，可实现消息定时多次推送，直至消息推送成功。</w:t>
      </w:r>
    </w:p>
    <w:p w14:paraId="70567852">
      <w:pPr>
        <w:pStyle w:val="4"/>
        <w:rPr>
          <w:rFonts w:ascii="宋体" w:hAnsi="宋体"/>
        </w:rPr>
      </w:pPr>
      <w:r>
        <w:rPr>
          <w:rFonts w:hint="eastAsia" w:ascii="宋体" w:hAnsi="宋体"/>
        </w:rPr>
        <w:t>统一身份认证系统</w:t>
      </w:r>
    </w:p>
    <w:p w14:paraId="04A0337D">
      <w:pPr>
        <w:rPr>
          <w:rFonts w:ascii="宋体" w:hAnsi="宋体" w:eastAsia="宋体"/>
        </w:rPr>
      </w:pPr>
      <w:r>
        <w:rPr>
          <w:rFonts w:hint="eastAsia" w:ascii="宋体" w:hAnsi="宋体" w:eastAsia="宋体"/>
        </w:rPr>
        <w:t>（1）统一用户管理，可以将医院内机构、人员、用户对应信息按逻辑关联，与医院的人事字典相统一。根据医院信息平台使用性质的不同进行用户分类管理。</w:t>
      </w:r>
    </w:p>
    <w:p w14:paraId="3316D8D0">
      <w:pPr>
        <w:rPr>
          <w:rFonts w:ascii="宋体" w:hAnsi="宋体" w:eastAsia="宋体"/>
        </w:rPr>
      </w:pPr>
      <w:r>
        <w:rPr>
          <w:rFonts w:hint="eastAsia" w:ascii="宋体" w:hAnsi="宋体" w:eastAsia="宋体"/>
        </w:rPr>
        <w:t>（2）统一应用服务，系统将接入统一用户认证系统的业务系统和应用进行管理。将系统进行注册、集成的接口进行注册以及管理用户的信息同步。</w:t>
      </w:r>
    </w:p>
    <w:p w14:paraId="3FC962EB">
      <w:pPr>
        <w:rPr>
          <w:rFonts w:ascii="宋体" w:hAnsi="宋体" w:eastAsia="宋体"/>
        </w:rPr>
      </w:pPr>
      <w:r>
        <w:rPr>
          <w:rFonts w:hint="eastAsia" w:ascii="宋体" w:hAnsi="宋体" w:eastAsia="宋体"/>
        </w:rPr>
        <w:t>（3）统一集成服务，从不同层面支持集成管理，包括用户集成、认证集成及单点登录SSO集成。</w:t>
      </w:r>
    </w:p>
    <w:p w14:paraId="373E4798">
      <w:pPr>
        <w:rPr>
          <w:rFonts w:ascii="宋体" w:hAnsi="宋体" w:eastAsia="宋体"/>
        </w:rPr>
      </w:pPr>
      <w:r>
        <w:rPr>
          <w:rFonts w:hint="eastAsia" w:ascii="宋体" w:hAnsi="宋体" w:eastAsia="宋体"/>
        </w:rPr>
        <w:t>（4）统一身份认证，系统支持统一身份认证服务。访问医院信息平台的所有实体（用户和系统）采用唯一身份标识，并对实体身份进行统一管理。支持专用的认证模块对访问平台系统的用户和系统进行身份鉴别，并对鉴别数据进行保密性和完整性保护，不得采用代填或链接传递用户名、密码等不安全的方式进行业务系统的登录。</w:t>
      </w:r>
    </w:p>
    <w:p w14:paraId="025177B9">
      <w:pPr>
        <w:rPr>
          <w:rFonts w:ascii="宋体" w:hAnsi="宋体" w:eastAsia="宋体"/>
        </w:rPr>
      </w:pPr>
      <w:r>
        <w:rPr>
          <w:rFonts w:hint="eastAsia" w:ascii="宋体" w:hAnsi="宋体" w:eastAsia="宋体"/>
        </w:rPr>
        <w:t>（5）统一门户管理，应用统一用户认证系统后，医护人员面对的业务系统都由统一门户展现，不需反复输入用户名密码重复登录不同系统，支持对用户的标准化管理</w:t>
      </w:r>
    </w:p>
    <w:p w14:paraId="06A543D4">
      <w:pPr>
        <w:rPr>
          <w:rFonts w:ascii="宋体" w:hAnsi="宋体" w:eastAsia="宋体"/>
        </w:rPr>
      </w:pPr>
      <w:r>
        <w:rPr>
          <w:rFonts w:hint="eastAsia" w:ascii="宋体" w:hAnsi="宋体" w:eastAsia="宋体"/>
        </w:rPr>
        <w:t>（6）基于角色的访问控制管理，菜单访问权限与角色相关联，用户通过成为适当角色的成员而得到这些角色的权限。</w:t>
      </w:r>
    </w:p>
    <w:p w14:paraId="04EB27A0">
      <w:pPr>
        <w:rPr>
          <w:rFonts w:ascii="宋体" w:hAnsi="宋体" w:eastAsia="宋体"/>
        </w:rPr>
      </w:pPr>
      <w:r>
        <w:rPr>
          <w:rFonts w:hint="eastAsia" w:ascii="宋体" w:hAnsi="宋体" w:eastAsia="宋体"/>
        </w:rPr>
        <w:t>（7）基于用户的登录权限管理，系统访问和用户相关联，不同的用户不同的系统访问权限。</w:t>
      </w:r>
    </w:p>
    <w:p w14:paraId="0789FDBF">
      <w:pPr>
        <w:pStyle w:val="4"/>
        <w:rPr>
          <w:rFonts w:ascii="宋体" w:hAnsi="宋体"/>
        </w:rPr>
      </w:pPr>
      <w:r>
        <w:rPr>
          <w:rFonts w:hint="eastAsia" w:ascii="宋体" w:hAnsi="宋体"/>
        </w:rPr>
        <w:t>结构化共享文档（CDA）</w:t>
      </w:r>
    </w:p>
    <w:p w14:paraId="470A8637">
      <w:pPr>
        <w:ind w:firstLine="420" w:firstLineChars="200"/>
      </w:pPr>
      <w:r>
        <w:rPr>
          <w:rFonts w:hint="eastAsia"/>
        </w:rPr>
        <w:t>CDA文档库是基于关系数据模型CDR的XML表示的临床文档的存储库，便于实现医院内外进行交换病历以及院内系统间按照CDA规范进行病历调阅的基础。</w:t>
      </w:r>
      <w:r>
        <w:t>根据《WS/T 482-2016 卫生信息共享文档编制规范》、《WS/T 500-2016 电子病历共享文档规范》中各个共享文档的标准。在医院信息集成平台中实现对共享文档模板结构定义。在文档模板结构定义中，结合对应的电子病历基本数据标准中的数据源定义，确定文档结构中各标签的数据来源。在生成共享文档时，通过获取标准化转换的数据集内容，定时生成标准文档信息</w:t>
      </w:r>
      <w:r>
        <w:rPr>
          <w:rFonts w:hint="eastAsia"/>
        </w:rPr>
        <w:t>。</w:t>
      </w:r>
    </w:p>
    <w:p w14:paraId="781EB43C">
      <w:pPr>
        <w:rPr>
          <w:rStyle w:val="23"/>
          <w:rFonts w:ascii="宋体" w:hAnsi="宋体" w:eastAsia="宋体"/>
        </w:rPr>
      </w:pPr>
      <w:r>
        <w:rPr>
          <w:rStyle w:val="23"/>
          <w:rFonts w:hint="eastAsia" w:ascii="宋体" w:hAnsi="宋体" w:eastAsia="宋体"/>
        </w:rPr>
        <w:t>（1）CDA文档构建：利用CDA转换器从基于临床信息库中的标准数据集获取需要的数据，并根据CDA规范生成XML格式的CDA文档，存放到独立的数据库进行持久存储，其元数据和索引数据仍然存放在关系模型的CDR数据库中，便于统计分析、查询检索。</w:t>
      </w:r>
    </w:p>
    <w:p w14:paraId="551731D1">
      <w:pPr>
        <w:rPr>
          <w:rStyle w:val="23"/>
          <w:rFonts w:ascii="宋体" w:hAnsi="宋体" w:eastAsia="宋体"/>
        </w:rPr>
      </w:pPr>
      <w:r>
        <w:rPr>
          <w:rStyle w:val="23"/>
          <w:rFonts w:hint="eastAsia" w:ascii="宋体" w:hAnsi="宋体" w:eastAsia="宋体"/>
        </w:rPr>
        <w:t>（2）CDA文档生成：通过模板引擎技术将文档模板和数据分开配置管理。共享文档模板按章节、条目进行管理，共享文档模板配置，CDA转换器通过关联CDA文档模板与CDR数据源，通过此项关联，用定时或事件机制就生成了患者各类CDA文档。</w:t>
      </w:r>
    </w:p>
    <w:p w14:paraId="2B6F1187">
      <w:pPr>
        <w:rPr>
          <w:rStyle w:val="23"/>
          <w:rFonts w:ascii="宋体" w:hAnsi="宋体" w:eastAsia="宋体"/>
        </w:rPr>
      </w:pPr>
      <w:r>
        <w:rPr>
          <w:rStyle w:val="23"/>
          <w:rFonts w:hint="eastAsia" w:ascii="宋体" w:hAnsi="宋体" w:eastAsia="宋体"/>
        </w:rPr>
        <w:t>（3）标准文档生成及注册：至少支持两种文档生成方式，一种是自动定时生成方式，另一种是手动生成方式；自动定时生成需要在配置文件中进行定时任务的时间配置。文档生成后自动进行XSD验证，验证通过后调用标准共享文档注册服务注册到平台；生成的各类共享文档，可在平台上查阅。</w:t>
      </w:r>
    </w:p>
    <w:p w14:paraId="296C2376">
      <w:pPr>
        <w:rPr>
          <w:rStyle w:val="23"/>
          <w:rFonts w:ascii="宋体" w:hAnsi="宋体" w:eastAsia="宋体"/>
        </w:rPr>
      </w:pPr>
      <w:r>
        <w:rPr>
          <w:rStyle w:val="23"/>
          <w:rFonts w:hint="eastAsia" w:ascii="宋体" w:hAnsi="宋体" w:eastAsia="宋体"/>
        </w:rPr>
        <w:t>（4）共享文档调阅：各业务子系统可订阅及授权情况通过标准的WebService服务在患者主索引（MPI）的指引下对某一患者在医院内的EMR进行调阅浏览。</w:t>
      </w:r>
    </w:p>
    <w:p w14:paraId="1E941A1E">
      <w:pPr>
        <w:rPr>
          <w:rStyle w:val="23"/>
          <w:rFonts w:ascii="宋体" w:hAnsi="宋体" w:eastAsia="宋体"/>
        </w:rPr>
      </w:pPr>
      <w:r>
        <w:rPr>
          <w:rStyle w:val="23"/>
          <w:rFonts w:hint="eastAsia" w:ascii="宋体" w:hAnsi="宋体" w:eastAsia="宋体"/>
        </w:rPr>
        <w:t>（5）共享文档可视化展示：由于CDA文档规范中仅仅定义了文档模式XSD，未定义可视化的XSL，医院信息集成平台支持了一个默认的XSL，用于对CDA文档进行格式化处理和可视化展现。</w:t>
      </w:r>
    </w:p>
    <w:p w14:paraId="53169DB3">
      <w:pPr>
        <w:pStyle w:val="4"/>
        <w:rPr>
          <w:rFonts w:ascii="宋体" w:hAnsi="宋体"/>
        </w:rPr>
      </w:pPr>
      <w:r>
        <w:rPr>
          <w:rFonts w:hint="eastAsia" w:ascii="宋体" w:hAnsi="宋体"/>
        </w:rPr>
        <w:t>医学术语标准化服务管理</w:t>
      </w:r>
    </w:p>
    <w:p w14:paraId="09C2EBB2">
      <w:pPr>
        <w:rPr>
          <w:rStyle w:val="23"/>
          <w:rFonts w:ascii="宋体" w:hAnsi="宋体" w:eastAsia="宋体"/>
        </w:rPr>
      </w:pPr>
      <w:r>
        <w:rPr>
          <w:rStyle w:val="23"/>
          <w:rFonts w:hint="eastAsia" w:ascii="宋体" w:hAnsi="宋体" w:eastAsia="宋体"/>
        </w:rPr>
        <w:t>（1）字典目录管理：统一管理和维护临床诊断，术语等相关目录、版本、启用状态，以及对字典的审核管理。</w:t>
      </w:r>
    </w:p>
    <w:p w14:paraId="193D77EE">
      <w:pPr>
        <w:rPr>
          <w:rStyle w:val="23"/>
          <w:rFonts w:ascii="宋体" w:hAnsi="宋体" w:eastAsia="宋体"/>
        </w:rPr>
      </w:pPr>
      <w:r>
        <w:rPr>
          <w:rStyle w:val="23"/>
          <w:rFonts w:hint="eastAsia" w:ascii="宋体" w:hAnsi="宋体" w:eastAsia="宋体"/>
        </w:rPr>
        <w:t>（2）字典内容管理：维护相关字典的内容信息：值域代码、值域名称、版本等信息。</w:t>
      </w:r>
    </w:p>
    <w:p w14:paraId="42E539BC">
      <w:pPr>
        <w:rPr>
          <w:rStyle w:val="23"/>
          <w:rFonts w:ascii="宋体" w:hAnsi="宋体" w:eastAsia="宋体"/>
        </w:rPr>
      </w:pPr>
      <w:r>
        <w:rPr>
          <w:rStyle w:val="23"/>
          <w:rFonts w:hint="eastAsia" w:ascii="宋体" w:hAnsi="宋体" w:eastAsia="宋体"/>
        </w:rPr>
        <w:t>（3）字典映射管理：根据不同系统的字典建立映射关系，实现不同系统字典之间的相互转换。</w:t>
      </w:r>
    </w:p>
    <w:p w14:paraId="6A44612A">
      <w:pPr>
        <w:rPr>
          <w:rStyle w:val="23"/>
          <w:rFonts w:ascii="宋体" w:hAnsi="宋体" w:eastAsia="宋体"/>
        </w:rPr>
      </w:pPr>
      <w:r>
        <w:rPr>
          <w:rStyle w:val="23"/>
          <w:rFonts w:hint="eastAsia" w:ascii="宋体" w:hAnsi="宋体" w:eastAsia="宋体"/>
        </w:rPr>
        <w:t>（4）字典审核订阅：根据字典系统订阅关系，实现子系统之间字典同步，实现术语字典的及时同步。</w:t>
      </w:r>
    </w:p>
    <w:p w14:paraId="2E31BC08">
      <w:pPr>
        <w:rPr>
          <w:rStyle w:val="23"/>
          <w:rFonts w:ascii="宋体" w:hAnsi="宋体" w:eastAsia="宋体"/>
        </w:rPr>
      </w:pPr>
      <w:r>
        <w:rPr>
          <w:rStyle w:val="23"/>
          <w:rFonts w:hint="eastAsia" w:ascii="宋体" w:hAnsi="宋体" w:eastAsia="宋体"/>
        </w:rPr>
        <w:t>（5）字典操作日志：记录数据字典相关操作日志，记录相关操作信息，操作可追溯。</w:t>
      </w:r>
    </w:p>
    <w:p w14:paraId="3E89F5A4">
      <w:pPr>
        <w:pStyle w:val="4"/>
        <w:rPr>
          <w:rFonts w:ascii="宋体" w:hAnsi="宋体"/>
        </w:rPr>
      </w:pPr>
      <w:r>
        <w:rPr>
          <w:rFonts w:hint="eastAsia" w:ascii="宋体" w:hAnsi="宋体"/>
        </w:rPr>
        <w:t>患者主索引管理</w:t>
      </w:r>
    </w:p>
    <w:p w14:paraId="1051E48E">
      <w:pPr>
        <w:rPr>
          <w:rStyle w:val="23"/>
          <w:rFonts w:ascii="宋体" w:hAnsi="宋体" w:eastAsia="宋体"/>
        </w:rPr>
      </w:pPr>
      <w:r>
        <w:rPr>
          <w:rStyle w:val="23"/>
          <w:rFonts w:hint="eastAsia" w:ascii="宋体" w:hAnsi="宋体" w:eastAsia="宋体"/>
        </w:rPr>
        <w:t>（1）患者主索引权重分配管理：可以根据患者姓名、证件号、性别等不同的患者信息组合设置患者匹配程度。</w:t>
      </w:r>
    </w:p>
    <w:p w14:paraId="6BF87B21">
      <w:pPr>
        <w:rPr>
          <w:rStyle w:val="23"/>
          <w:rFonts w:ascii="宋体" w:hAnsi="宋体" w:eastAsia="宋体"/>
        </w:rPr>
      </w:pPr>
      <w:r>
        <w:rPr>
          <w:rStyle w:val="23"/>
          <w:rFonts w:hint="eastAsia" w:ascii="宋体" w:hAnsi="宋体" w:eastAsia="宋体"/>
        </w:rPr>
        <w:t>（2）主索引服务：包括主索引信息验证、主索引信息调用等服务。标准化处理：对主索引信息进行数据标准化处理。</w:t>
      </w:r>
    </w:p>
    <w:p w14:paraId="736A9A8E">
      <w:pPr>
        <w:rPr>
          <w:rStyle w:val="23"/>
          <w:rFonts w:ascii="宋体" w:hAnsi="宋体" w:eastAsia="宋体"/>
        </w:rPr>
      </w:pPr>
      <w:r>
        <w:rPr>
          <w:rStyle w:val="23"/>
          <w:rFonts w:hint="eastAsia" w:ascii="宋体" w:hAnsi="宋体" w:eastAsia="宋体"/>
        </w:rPr>
        <w:t>（3）统一服务接口：支持统一对外服务接口，方便业务系统的调用。</w:t>
      </w:r>
    </w:p>
    <w:p w14:paraId="118C525F">
      <w:pPr>
        <w:rPr>
          <w:rStyle w:val="23"/>
          <w:rFonts w:ascii="宋体" w:hAnsi="宋体" w:eastAsia="宋体"/>
        </w:rPr>
      </w:pPr>
      <w:r>
        <w:rPr>
          <w:rStyle w:val="23"/>
          <w:rFonts w:hint="eastAsia" w:ascii="宋体" w:hAnsi="宋体" w:eastAsia="宋体"/>
        </w:rPr>
        <w:t>（4）数据匹配算法：根据规则权重设置对主索引信息进行数据匹配，生成匹配结果。</w:t>
      </w:r>
    </w:p>
    <w:p w14:paraId="75BFE57E">
      <w:pPr>
        <w:rPr>
          <w:rStyle w:val="23"/>
          <w:rFonts w:ascii="宋体" w:hAnsi="宋体" w:eastAsia="宋体"/>
        </w:rPr>
      </w:pPr>
      <w:r>
        <w:rPr>
          <w:rStyle w:val="23"/>
          <w:rFonts w:hint="eastAsia" w:ascii="宋体" w:hAnsi="宋体" w:eastAsia="宋体"/>
        </w:rPr>
        <w:t>（5）主索引消息传输：对主索引信息的变化进行消息传输，保证数据一致性。</w:t>
      </w:r>
    </w:p>
    <w:p w14:paraId="20ED8656">
      <w:pPr>
        <w:rPr>
          <w:rStyle w:val="23"/>
          <w:rFonts w:ascii="宋体" w:hAnsi="宋体" w:eastAsia="宋体"/>
        </w:rPr>
      </w:pPr>
      <w:r>
        <w:rPr>
          <w:rStyle w:val="23"/>
          <w:rFonts w:hint="eastAsia" w:ascii="宋体" w:hAnsi="宋体" w:eastAsia="宋体"/>
        </w:rPr>
        <w:t>（6）患者标识交叉索引服务：通过对不同系统支持的患者信息进行综合分析，为来自不同系统确定为同一患者的记录建立交叉索引，为跨系统的患者身份识别提供服务。</w:t>
      </w:r>
    </w:p>
    <w:p w14:paraId="3DA36912">
      <w:pPr>
        <w:rPr>
          <w:rStyle w:val="23"/>
          <w:rFonts w:ascii="宋体" w:hAnsi="宋体" w:eastAsia="宋体"/>
        </w:rPr>
      </w:pPr>
      <w:r>
        <w:rPr>
          <w:rStyle w:val="23"/>
          <w:rFonts w:hint="eastAsia" w:ascii="宋体" w:hAnsi="宋体" w:eastAsia="宋体"/>
        </w:rPr>
        <w:t>（7）患者基本信息查询管理：按照患者</w:t>
      </w:r>
      <w:r>
        <w:rPr>
          <w:rStyle w:val="23"/>
          <w:rFonts w:ascii="宋体" w:hAnsi="宋体" w:eastAsia="宋体"/>
        </w:rPr>
        <w:t>ID</w:t>
      </w:r>
      <w:r>
        <w:rPr>
          <w:rStyle w:val="23"/>
          <w:rFonts w:hint="eastAsia" w:ascii="宋体" w:hAnsi="宋体" w:eastAsia="宋体"/>
        </w:rPr>
        <w:t>列表、姓名、出生年月、性别、地址等条件进行查询，从而获得患者详细的注册信息。</w:t>
      </w:r>
    </w:p>
    <w:p w14:paraId="75529C30">
      <w:pPr>
        <w:rPr>
          <w:rStyle w:val="23"/>
          <w:rFonts w:ascii="宋体" w:hAnsi="宋体" w:eastAsia="宋体"/>
        </w:rPr>
      </w:pPr>
      <w:r>
        <w:rPr>
          <w:rStyle w:val="23"/>
          <w:rFonts w:hint="eastAsia" w:ascii="宋体" w:hAnsi="宋体" w:eastAsia="宋体"/>
        </w:rPr>
        <w:t>（8）患者信息模型维护，对系统患者模型进行配置调整，以满足医院患者数据现状。支持高效的匹配算法引擎，可根据医院数据质量对于匹配模型</w:t>
      </w:r>
      <w:r>
        <w:rPr>
          <w:rStyle w:val="23"/>
          <w:rFonts w:ascii="宋体" w:hAnsi="宋体" w:eastAsia="宋体"/>
        </w:rPr>
        <w:t>/</w:t>
      </w:r>
      <w:r>
        <w:rPr>
          <w:rStyle w:val="23"/>
          <w:rFonts w:hint="eastAsia" w:ascii="宋体" w:hAnsi="宋体" w:eastAsia="宋体"/>
        </w:rPr>
        <w:t>匹配权重进行调整。</w:t>
      </w:r>
    </w:p>
    <w:p w14:paraId="733072E7">
      <w:pPr>
        <w:rPr>
          <w:rStyle w:val="23"/>
          <w:rFonts w:ascii="宋体" w:hAnsi="宋体" w:eastAsia="宋体"/>
        </w:rPr>
      </w:pPr>
      <w:r>
        <w:rPr>
          <w:rStyle w:val="23"/>
          <w:rFonts w:hint="eastAsia" w:ascii="宋体" w:hAnsi="宋体" w:eastAsia="宋体"/>
        </w:rPr>
        <w:t>（9）支持疑似数据的管理，对疑似数据进行查询、合并疑似数据、拆分疑似数据、比较疑似数据等维护。</w:t>
      </w:r>
    </w:p>
    <w:p w14:paraId="571B7A1E">
      <w:pPr>
        <w:rPr>
          <w:rStyle w:val="23"/>
          <w:rFonts w:ascii="宋体" w:hAnsi="宋体" w:eastAsia="宋体"/>
        </w:rPr>
      </w:pPr>
      <w:r>
        <w:rPr>
          <w:rStyle w:val="23"/>
          <w:rFonts w:hint="eastAsia" w:ascii="宋体" w:hAnsi="宋体" w:eastAsia="宋体"/>
        </w:rPr>
        <w:t>（10）支持批量数据导入，用于预防突发事故，导致域系统无法访问</w:t>
      </w:r>
      <w:r>
        <w:rPr>
          <w:rStyle w:val="23"/>
          <w:rFonts w:ascii="宋体" w:hAnsi="宋体" w:eastAsia="宋体"/>
        </w:rPr>
        <w:t>EMPI</w:t>
      </w:r>
      <w:r>
        <w:rPr>
          <w:rStyle w:val="23"/>
          <w:rFonts w:hint="eastAsia" w:ascii="宋体" w:hAnsi="宋体" w:eastAsia="宋体"/>
        </w:rPr>
        <w:t>系统，这段时间操作的患者信息，将患者信息同步到</w:t>
      </w:r>
      <w:r>
        <w:rPr>
          <w:rStyle w:val="23"/>
          <w:rFonts w:ascii="宋体" w:hAnsi="宋体" w:eastAsia="宋体"/>
        </w:rPr>
        <w:t>EMPI</w:t>
      </w:r>
      <w:r>
        <w:rPr>
          <w:rStyle w:val="23"/>
          <w:rFonts w:hint="eastAsia" w:ascii="宋体" w:hAnsi="宋体" w:eastAsia="宋体"/>
        </w:rPr>
        <w:t>系统中。</w:t>
      </w:r>
    </w:p>
    <w:p w14:paraId="7C481B80">
      <w:pPr>
        <w:rPr>
          <w:rStyle w:val="23"/>
          <w:rFonts w:ascii="宋体" w:hAnsi="宋体" w:eastAsia="宋体"/>
        </w:rPr>
      </w:pPr>
      <w:r>
        <w:rPr>
          <w:rStyle w:val="23"/>
          <w:rFonts w:hint="eastAsia" w:ascii="宋体" w:hAnsi="宋体" w:eastAsia="宋体"/>
        </w:rPr>
        <w:t>（11）记录操作日志：主索引系统业务记录发生的变化都需要记录操作日志，并能实现回退。</w:t>
      </w:r>
    </w:p>
    <w:p w14:paraId="6F4F30CA">
      <w:pPr>
        <w:pStyle w:val="3"/>
      </w:pPr>
      <w:r>
        <w:rPr>
          <w:rFonts w:hint="eastAsia"/>
        </w:rPr>
        <w:t>数据中心建设及应用</w:t>
      </w:r>
    </w:p>
    <w:p w14:paraId="614DB6BD">
      <w:pPr>
        <w:pStyle w:val="4"/>
        <w:rPr>
          <w:rFonts w:ascii="宋体" w:hAnsi="宋体"/>
        </w:rPr>
      </w:pPr>
      <w:r>
        <w:rPr>
          <w:rFonts w:hint="eastAsia" w:ascii="宋体" w:hAnsi="宋体"/>
        </w:rPr>
        <w:t>临床数据中心（CDR）</w:t>
      </w:r>
    </w:p>
    <w:p w14:paraId="0D97AA63">
      <w:pPr>
        <w:rPr>
          <w:rFonts w:ascii="宋体" w:hAnsi="宋体" w:eastAsia="宋体"/>
        </w:rPr>
      </w:pPr>
      <w:r>
        <w:rPr>
          <w:rFonts w:hint="eastAsia" w:ascii="宋体" w:hAnsi="宋体" w:eastAsia="宋体"/>
        </w:rPr>
        <w:t>（1）数据抽取：利用</w:t>
      </w:r>
      <w:r>
        <w:rPr>
          <w:rFonts w:hint="eastAsia" w:ascii="宋体" w:hAnsi="宋体"/>
        </w:rPr>
        <w:t>ETL</w:t>
      </w:r>
      <w:r>
        <w:rPr>
          <w:rFonts w:hint="eastAsia" w:ascii="宋体" w:hAnsi="宋体" w:eastAsia="宋体"/>
        </w:rPr>
        <w:t>工具定时或事件触发集成平台服务交互机制，将患者在医院内发生的各类医疗临床业务数据从各个业务子系统定时/事件驱动机制抽取到平台数据库中，至少包含五年以上的历史数据抽取利用。</w:t>
      </w:r>
    </w:p>
    <w:p w14:paraId="6C12FC0E">
      <w:pPr>
        <w:rPr>
          <w:rFonts w:ascii="宋体" w:hAnsi="宋体" w:eastAsia="宋体"/>
        </w:rPr>
      </w:pPr>
      <w:r>
        <w:rPr>
          <w:rFonts w:hint="eastAsia" w:ascii="宋体" w:hAnsi="宋体" w:eastAsia="宋体"/>
        </w:rPr>
        <w:t>（2）数据集成：数据中心至少集成患者标识、患者服务、门诊处方、临床诊断、住院病历、住院医嘱、输血记录、配发血信息、血型鉴定、手麻记录、检验申请单、检查申请单、门诊病历、体征记录、检验报告、检查报告、病理报告等。</w:t>
      </w:r>
    </w:p>
    <w:p w14:paraId="359F79D4">
      <w:pPr>
        <w:rPr>
          <w:rFonts w:ascii="宋体" w:hAnsi="宋体" w:eastAsia="宋体"/>
        </w:rPr>
      </w:pPr>
      <w:r>
        <w:rPr>
          <w:rFonts w:hint="eastAsia" w:ascii="宋体" w:hAnsi="宋体" w:eastAsia="宋体"/>
        </w:rPr>
        <w:t>（3）数据浏览：数据集浏览用于查看数据集的数据采集情况和数据验证；临床数据中心总览；临床数据库标准数据集浏览。浏览内容须包含门诊处方、临床诊断、住院病历、住院医嘱、输血记录、配发血信息、血型鉴定、手麻记录、检验申请单、检查申请单、门诊病历、体征记录、检验报告、检查报告、病理报告等。</w:t>
      </w:r>
    </w:p>
    <w:p w14:paraId="615EE58B">
      <w:pPr>
        <w:pStyle w:val="4"/>
        <w:rPr>
          <w:rFonts w:ascii="宋体" w:hAnsi="宋体"/>
        </w:rPr>
      </w:pPr>
      <w:r>
        <w:rPr>
          <w:rFonts w:hint="eastAsia" w:ascii="宋体" w:hAnsi="宋体"/>
        </w:rPr>
        <w:t>医疗大数据分析平台（BI）</w:t>
      </w:r>
    </w:p>
    <w:p w14:paraId="296151F9">
      <w:pPr>
        <w:rPr>
          <w:rFonts w:ascii="宋体" w:hAnsi="宋体" w:eastAsia="宋体"/>
        </w:rPr>
      </w:pPr>
      <w:bookmarkStart w:id="211" w:name="_Hlk119917756"/>
      <w:r>
        <w:rPr>
          <w:rFonts w:hint="eastAsia" w:ascii="宋体" w:hAnsi="宋体" w:eastAsia="宋体"/>
        </w:rPr>
        <w:t>（1）首页监控</w:t>
      </w:r>
    </w:p>
    <w:p w14:paraId="0943278F">
      <w:pPr>
        <w:ind w:firstLine="480"/>
        <w:rPr>
          <w:rFonts w:ascii="宋体" w:hAnsi="宋体" w:eastAsia="宋体"/>
        </w:rPr>
      </w:pPr>
      <w:r>
        <w:rPr>
          <w:rFonts w:hint="eastAsia" w:ascii="宋体" w:hAnsi="宋体" w:eastAsia="宋体"/>
        </w:rPr>
        <w:t>1）实时监控：实时采集医院当日的运营数据变化，包含预约、挂号、急诊、候诊、已就诊、当前在院、入院、出院、手术人次信息。监控预约患者候诊时长和门诊/住院费用分类分布情况。</w:t>
      </w:r>
    </w:p>
    <w:p w14:paraId="022A1E0F">
      <w:pPr>
        <w:ind w:firstLine="480"/>
        <w:rPr>
          <w:rFonts w:ascii="宋体" w:hAnsi="宋体" w:eastAsia="宋体"/>
        </w:rPr>
      </w:pPr>
      <w:r>
        <w:rPr>
          <w:rFonts w:hint="eastAsia" w:ascii="宋体" w:hAnsi="宋体" w:eastAsia="宋体"/>
        </w:rPr>
        <w:t>2）生命周期：大数据数据处理流程展示，通过采集各系统原始数据，在大数据中心形成镜像数据库ODS，通过对比建立的数据质量规则，验证数据的可用性，通过主数据的转换和清洗规则，对数据进行甄选后归集于数仓（DW）中，形成大数据资产。使用各类工具对数仓中的数据进行分析和利用，根据使用情况优化和完善数仓模型构建。</w:t>
      </w:r>
    </w:p>
    <w:p w14:paraId="22781DB4">
      <w:pPr>
        <w:ind w:firstLine="480"/>
        <w:rPr>
          <w:rFonts w:ascii="宋体" w:hAnsi="宋体" w:eastAsia="宋体"/>
        </w:rPr>
      </w:pPr>
      <w:r>
        <w:rPr>
          <w:rFonts w:hint="eastAsia" w:ascii="宋体" w:hAnsi="宋体" w:eastAsia="宋体"/>
        </w:rPr>
        <w:t>3）数据采集：监控ODS库中数据采集情况，包含各表的采集成功与采集失败的数据量情况。</w:t>
      </w:r>
    </w:p>
    <w:p w14:paraId="7BF31487">
      <w:pPr>
        <w:ind w:firstLine="480"/>
        <w:rPr>
          <w:rFonts w:ascii="宋体" w:hAnsi="宋体" w:eastAsia="宋体"/>
        </w:rPr>
      </w:pPr>
      <w:r>
        <w:rPr>
          <w:rFonts w:hint="eastAsia" w:ascii="宋体" w:hAnsi="宋体" w:eastAsia="宋体"/>
        </w:rPr>
        <w:t>4）数据质量：通过数据质量模块中预设的质量规则，进行任务调度后监控ODS原始数据和被清洗转换过后的DW数仓数据的数据质量情况，列举出在质量检测过程中不符合标准的数据量。</w:t>
      </w:r>
    </w:p>
    <w:p w14:paraId="43B3F733">
      <w:pPr>
        <w:ind w:firstLine="480"/>
        <w:rPr>
          <w:rFonts w:ascii="宋体" w:hAnsi="宋体" w:eastAsia="宋体"/>
        </w:rPr>
      </w:pPr>
      <w:r>
        <w:rPr>
          <w:rFonts w:hint="eastAsia" w:ascii="宋体" w:hAnsi="宋体" w:eastAsia="宋体"/>
        </w:rPr>
        <w:t>5）数据处理：监控从ODS到DW过程中产生的数据条目数，查看通过主数据转换的数据量及ETL规则舍弃的数据量。</w:t>
      </w:r>
    </w:p>
    <w:p w14:paraId="5527B8BE">
      <w:pPr>
        <w:ind w:firstLine="480"/>
        <w:rPr>
          <w:rFonts w:ascii="宋体" w:hAnsi="宋体" w:eastAsia="宋体"/>
        </w:rPr>
      </w:pPr>
      <w:r>
        <w:rPr>
          <w:rFonts w:hint="eastAsia" w:ascii="宋体" w:hAnsi="宋体" w:eastAsia="宋体"/>
        </w:rPr>
        <w:t>6）数据资产：监控大数据资源服务器情况，包含服务器数量、CPU负载、内存总量、存储总量；监控服务器使用情况和健康状况，包含每台服务器的内存、存储、CPU使用情况；监控数仓中总体的数据量、模型（表）数量、每个模型（表）的行数和数据量大小情况。</w:t>
      </w:r>
    </w:p>
    <w:p w14:paraId="6BAC8FD2">
      <w:pPr>
        <w:rPr>
          <w:rFonts w:ascii="宋体" w:hAnsi="宋体" w:eastAsia="宋体"/>
        </w:rPr>
      </w:pPr>
      <w:r>
        <w:rPr>
          <w:rFonts w:hint="eastAsia" w:ascii="宋体" w:hAnsi="宋体" w:eastAsia="宋体"/>
        </w:rPr>
        <w:t>（2）数据源管理</w:t>
      </w:r>
    </w:p>
    <w:p w14:paraId="54441128">
      <w:pPr>
        <w:ind w:firstLine="480"/>
        <w:rPr>
          <w:rFonts w:ascii="宋体" w:hAnsi="宋体" w:eastAsia="宋体"/>
        </w:rPr>
      </w:pPr>
      <w:r>
        <w:rPr>
          <w:rFonts w:hint="eastAsia" w:ascii="宋体" w:hAnsi="宋体" w:eastAsia="宋体"/>
        </w:rPr>
        <w:t>1）对数据源的新增、修改、删除、配置等管理。</w:t>
      </w:r>
    </w:p>
    <w:p w14:paraId="3F00384D">
      <w:pPr>
        <w:ind w:firstLine="480"/>
        <w:rPr>
          <w:rFonts w:ascii="宋体" w:hAnsi="宋体" w:eastAsia="宋体"/>
        </w:rPr>
      </w:pPr>
      <w:r>
        <w:rPr>
          <w:rFonts w:hint="eastAsia" w:ascii="宋体" w:hAnsi="宋体" w:eastAsia="宋体"/>
        </w:rPr>
        <w:t>2）数据库密码加密管理，配置的密码加密不可查。</w:t>
      </w:r>
    </w:p>
    <w:p w14:paraId="7BCD6710">
      <w:pPr>
        <w:ind w:firstLine="480"/>
        <w:rPr>
          <w:rFonts w:ascii="宋体" w:hAnsi="宋体" w:eastAsia="宋体"/>
        </w:rPr>
      </w:pPr>
      <w:r>
        <w:rPr>
          <w:rFonts w:hint="eastAsia" w:ascii="宋体" w:hAnsi="宋体" w:eastAsia="宋体"/>
        </w:rPr>
        <w:t>3）数据的同步与更新处理。</w:t>
      </w:r>
    </w:p>
    <w:p w14:paraId="50486F8B">
      <w:pPr>
        <w:rPr>
          <w:rFonts w:ascii="宋体" w:hAnsi="宋体" w:eastAsia="宋体"/>
        </w:rPr>
      </w:pPr>
      <w:r>
        <w:rPr>
          <w:rFonts w:hint="eastAsia" w:ascii="宋体" w:hAnsi="宋体" w:eastAsia="宋体"/>
        </w:rPr>
        <w:t>（3）部门管理</w:t>
      </w:r>
    </w:p>
    <w:p w14:paraId="27F23951">
      <w:pPr>
        <w:ind w:firstLine="480"/>
        <w:rPr>
          <w:rFonts w:ascii="宋体" w:hAnsi="宋体" w:eastAsia="宋体"/>
        </w:rPr>
      </w:pPr>
      <w:r>
        <w:rPr>
          <w:rFonts w:hint="eastAsia" w:ascii="宋体" w:hAnsi="宋体" w:eastAsia="宋体"/>
        </w:rPr>
        <w:t>1）使用大数据平台的部门维护，支持从主数据平台同步部门数据。</w:t>
      </w:r>
    </w:p>
    <w:p w14:paraId="4016F551">
      <w:pPr>
        <w:ind w:firstLine="480"/>
        <w:rPr>
          <w:rFonts w:ascii="宋体" w:hAnsi="宋体" w:eastAsia="宋体"/>
        </w:rPr>
      </w:pPr>
      <w:r>
        <w:rPr>
          <w:rFonts w:hint="eastAsia" w:ascii="宋体" w:hAnsi="宋体" w:eastAsia="宋体"/>
        </w:rPr>
        <w:t>2）部门数据的增删改查，支持部门数据的上下级关联关系处理。</w:t>
      </w:r>
    </w:p>
    <w:p w14:paraId="42964B4F">
      <w:pPr>
        <w:rPr>
          <w:rFonts w:ascii="宋体" w:hAnsi="宋体" w:eastAsia="宋体"/>
        </w:rPr>
      </w:pPr>
      <w:r>
        <w:rPr>
          <w:rFonts w:hint="eastAsia" w:ascii="宋体" w:hAnsi="宋体" w:eastAsia="宋体"/>
        </w:rPr>
        <w:t>（4）用户管理</w:t>
      </w:r>
    </w:p>
    <w:p w14:paraId="5F62103F">
      <w:pPr>
        <w:ind w:firstLine="480"/>
        <w:rPr>
          <w:rFonts w:ascii="宋体" w:hAnsi="宋体" w:eastAsia="宋体"/>
        </w:rPr>
      </w:pPr>
      <w:r>
        <w:rPr>
          <w:rFonts w:hint="eastAsia" w:ascii="宋体" w:hAnsi="宋体" w:eastAsia="宋体"/>
        </w:rPr>
        <w:t>1）使用大数据平台的用户维护，支持从主数据平台同步用户数据，支持用户数据的增删改查。</w:t>
      </w:r>
    </w:p>
    <w:p w14:paraId="6814B268">
      <w:pPr>
        <w:ind w:firstLine="480"/>
        <w:rPr>
          <w:rFonts w:ascii="宋体" w:hAnsi="宋体" w:eastAsia="宋体"/>
        </w:rPr>
      </w:pPr>
      <w:r>
        <w:rPr>
          <w:rFonts w:hint="eastAsia" w:ascii="宋体" w:hAnsi="宋体" w:eastAsia="宋体"/>
        </w:rPr>
        <w:t>2）支持用户密码重置，支持用户单独授权管理，包括菜单和数据的权限授权管理。数据授权可到医院和科室级。</w:t>
      </w:r>
    </w:p>
    <w:p w14:paraId="639E50D7">
      <w:pPr>
        <w:rPr>
          <w:rFonts w:ascii="宋体" w:hAnsi="宋体" w:eastAsia="宋体"/>
        </w:rPr>
      </w:pPr>
      <w:r>
        <w:rPr>
          <w:rFonts w:hint="eastAsia" w:ascii="宋体" w:hAnsi="宋体" w:eastAsia="宋体"/>
        </w:rPr>
        <w:t>（5）角色管理</w:t>
      </w:r>
    </w:p>
    <w:p w14:paraId="709BB57B">
      <w:pPr>
        <w:ind w:firstLine="480"/>
        <w:rPr>
          <w:rFonts w:ascii="宋体" w:hAnsi="宋体" w:eastAsia="宋体"/>
        </w:rPr>
      </w:pPr>
      <w:r>
        <w:rPr>
          <w:rFonts w:hint="eastAsia" w:ascii="宋体" w:hAnsi="宋体" w:eastAsia="宋体"/>
        </w:rPr>
        <w:t>1）用户角色管理，用于用户快速关联角色授权，支持定义系统内各角色的权限维护，支持使用角色管理关联人员，也可以从人员管理处关联角色。</w:t>
      </w:r>
    </w:p>
    <w:p w14:paraId="1F772ABF">
      <w:pPr>
        <w:rPr>
          <w:rFonts w:ascii="宋体" w:hAnsi="宋体" w:eastAsia="宋体"/>
        </w:rPr>
      </w:pPr>
      <w:r>
        <w:rPr>
          <w:rFonts w:hint="eastAsia" w:ascii="宋体" w:hAnsi="宋体" w:eastAsia="宋体"/>
        </w:rPr>
        <w:t>（6）流程管理</w:t>
      </w:r>
    </w:p>
    <w:p w14:paraId="2B8D83CC">
      <w:pPr>
        <w:ind w:firstLine="480"/>
        <w:rPr>
          <w:rFonts w:ascii="宋体" w:hAnsi="宋体" w:eastAsia="宋体"/>
        </w:rPr>
      </w:pPr>
      <w:r>
        <w:rPr>
          <w:rFonts w:hint="eastAsia" w:ascii="宋体" w:hAnsi="宋体" w:eastAsia="宋体"/>
        </w:rPr>
        <w:t>1）支持对填报审批系统中的审批流程进行配置，配置每个审批节点对应的审批人或者审批角色。</w:t>
      </w:r>
    </w:p>
    <w:p w14:paraId="7283EC42">
      <w:pPr>
        <w:ind w:firstLine="480"/>
        <w:rPr>
          <w:rFonts w:ascii="宋体" w:hAnsi="宋体" w:eastAsia="宋体"/>
        </w:rPr>
      </w:pPr>
      <w:r>
        <w:rPr>
          <w:rFonts w:hint="eastAsia" w:ascii="宋体" w:hAnsi="宋体" w:eastAsia="宋体"/>
        </w:rPr>
        <w:t>2）支持拖动式的流程配置方法，可管理同流程不同的版本发布。</w:t>
      </w:r>
    </w:p>
    <w:p w14:paraId="1900E16D">
      <w:pPr>
        <w:ind w:firstLine="480"/>
        <w:rPr>
          <w:rFonts w:ascii="宋体" w:hAnsi="宋体" w:eastAsia="宋体"/>
        </w:rPr>
      </w:pPr>
      <w:r>
        <w:rPr>
          <w:rFonts w:hint="eastAsia" w:ascii="宋体" w:hAnsi="宋体" w:eastAsia="宋体"/>
        </w:rPr>
        <w:t>3）支持通过数据填报的科室配置不同的审批流程。</w:t>
      </w:r>
    </w:p>
    <w:p w14:paraId="01EA9470">
      <w:pPr>
        <w:rPr>
          <w:rFonts w:ascii="宋体" w:hAnsi="宋体" w:eastAsia="宋体"/>
        </w:rPr>
      </w:pPr>
      <w:r>
        <w:rPr>
          <w:rFonts w:hint="eastAsia" w:ascii="宋体" w:hAnsi="宋体" w:eastAsia="宋体"/>
        </w:rPr>
        <w:t>（7）字典管理</w:t>
      </w:r>
    </w:p>
    <w:p w14:paraId="2A6EFA73">
      <w:pPr>
        <w:ind w:firstLine="480"/>
        <w:rPr>
          <w:rFonts w:ascii="宋体" w:hAnsi="宋体" w:eastAsia="宋体"/>
        </w:rPr>
      </w:pPr>
      <w:r>
        <w:rPr>
          <w:rFonts w:hint="eastAsia" w:ascii="宋体" w:hAnsi="宋体" w:eastAsia="宋体"/>
        </w:rPr>
        <w:t>大数据业务系统使用字典维护，可维护字典的目录和目录下的对应数据值。</w:t>
      </w:r>
    </w:p>
    <w:bookmarkEnd w:id="211"/>
    <w:p w14:paraId="0D83E97A">
      <w:pPr>
        <w:pStyle w:val="4"/>
        <w:rPr>
          <w:rFonts w:ascii="宋体" w:hAnsi="宋体"/>
        </w:rPr>
      </w:pPr>
      <w:r>
        <w:rPr>
          <w:rFonts w:hint="eastAsia" w:ascii="宋体" w:hAnsi="宋体"/>
        </w:rPr>
        <w:t>运营数据中心（O</w:t>
      </w:r>
      <w:r>
        <w:rPr>
          <w:rFonts w:ascii="宋体" w:hAnsi="宋体"/>
        </w:rPr>
        <w:t>DR</w:t>
      </w:r>
      <w:r>
        <w:rPr>
          <w:rFonts w:hint="eastAsia" w:ascii="宋体" w:hAnsi="宋体"/>
        </w:rPr>
        <w:t>）</w:t>
      </w:r>
    </w:p>
    <w:p w14:paraId="48D948FD">
      <w:pPr>
        <w:rPr>
          <w:rFonts w:ascii="宋体" w:hAnsi="宋体" w:eastAsia="宋体"/>
        </w:rPr>
      </w:pPr>
      <w:r>
        <w:rPr>
          <w:rFonts w:hint="eastAsia" w:ascii="宋体" w:hAnsi="宋体" w:eastAsia="宋体"/>
        </w:rPr>
        <w:t>（1）数据抽取：利用</w:t>
      </w:r>
      <w:r>
        <w:rPr>
          <w:rFonts w:hint="eastAsia" w:ascii="宋体" w:hAnsi="宋体"/>
        </w:rPr>
        <w:t>ETL工具</w:t>
      </w:r>
      <w:r>
        <w:rPr>
          <w:rFonts w:hint="eastAsia" w:ascii="宋体" w:hAnsi="宋体" w:eastAsia="宋体"/>
        </w:rPr>
        <w:t>抽取医院各类运营数据到运营数据中心，至少包含五年以上的历史数据抽取并利用。</w:t>
      </w:r>
    </w:p>
    <w:p w14:paraId="5B096F6B">
      <w:pPr>
        <w:rPr>
          <w:rFonts w:ascii="宋体" w:hAnsi="宋体" w:eastAsia="宋体"/>
        </w:rPr>
      </w:pPr>
      <w:r>
        <w:rPr>
          <w:rFonts w:hint="eastAsia" w:ascii="宋体" w:hAnsi="宋体" w:eastAsia="宋体"/>
        </w:rPr>
        <w:t>（2）数据存储：根据医院的数据规模及资源情况，将运营数据抽取到数据仓库中。</w:t>
      </w:r>
    </w:p>
    <w:p w14:paraId="37BFA3B8">
      <w:pPr>
        <w:rPr>
          <w:rFonts w:ascii="宋体" w:hAnsi="宋体" w:eastAsia="宋体"/>
        </w:rPr>
      </w:pPr>
      <w:r>
        <w:rPr>
          <w:rFonts w:hint="eastAsia" w:ascii="宋体" w:hAnsi="宋体" w:eastAsia="宋体"/>
        </w:rPr>
        <w:t>（3）数据清洗：根据指标和分析数据的要求对数据仓库中的数据进行清洗和转换（对比主数据映射规则），对于不符合规则的数据进行舍弃，对于不在主数据标准内的数据进行转换。使用调度任务进行清洗和转换的定时处理。</w:t>
      </w:r>
    </w:p>
    <w:p w14:paraId="53508F47">
      <w:pPr>
        <w:rPr>
          <w:rFonts w:ascii="宋体" w:hAnsi="宋体" w:eastAsia="宋体"/>
        </w:rPr>
      </w:pPr>
      <w:r>
        <w:rPr>
          <w:rFonts w:hint="eastAsia" w:ascii="宋体" w:hAnsi="宋体" w:eastAsia="宋体"/>
        </w:rPr>
        <w:t>（4）数据模型：根据业务形态和分析指标要求建立大数据标准的仓库模型，并将数据存储于数据中。此类的数据是经过清洗和转换过后的数据</w:t>
      </w:r>
    </w:p>
    <w:p w14:paraId="57F2CE45">
      <w:pPr>
        <w:rPr>
          <w:rFonts w:ascii="宋体" w:hAnsi="宋体" w:eastAsia="宋体"/>
        </w:rPr>
      </w:pPr>
      <w:r>
        <w:rPr>
          <w:rFonts w:hint="eastAsia" w:ascii="宋体" w:hAnsi="宋体" w:eastAsia="宋体"/>
        </w:rPr>
        <w:t>（5）运营数据类型包含接收和存储医院运营过程中业务系统产生的各种数据，包含但不限于以下内容：</w:t>
      </w:r>
    </w:p>
    <w:p w14:paraId="53DB50EE">
      <w:pPr>
        <w:ind w:firstLine="420" w:firstLineChars="200"/>
        <w:rPr>
          <w:rFonts w:ascii="宋体" w:hAnsi="宋体" w:eastAsia="宋体"/>
        </w:rPr>
      </w:pPr>
      <w:r>
        <w:rPr>
          <w:rFonts w:hint="eastAsia" w:ascii="宋体" w:hAnsi="宋体" w:eastAsia="宋体"/>
        </w:rPr>
        <w:t>门（急）诊挂号信息、处方详细信息、个人账户、支付明细信息；药品消耗明细信息；物资消耗明细信息；</w:t>
      </w:r>
    </w:p>
    <w:p w14:paraId="4EF2C4B0">
      <w:pPr>
        <w:ind w:firstLine="420" w:firstLineChars="200"/>
        <w:rPr>
          <w:rFonts w:ascii="宋体" w:hAnsi="宋体" w:eastAsia="宋体"/>
        </w:rPr>
      </w:pPr>
      <w:r>
        <w:rPr>
          <w:rFonts w:hint="eastAsia" w:ascii="宋体" w:hAnsi="宋体" w:eastAsia="宋体"/>
        </w:rPr>
        <w:t>住院登记信息、住院医嘱详细信息、住院个人账户、住院支付明细、住院药品消耗明细、住院物资消耗明细信息；</w:t>
      </w:r>
    </w:p>
    <w:p w14:paraId="6019B752">
      <w:pPr>
        <w:ind w:firstLine="420" w:firstLineChars="200"/>
        <w:rPr>
          <w:rFonts w:ascii="宋体" w:hAnsi="宋体" w:eastAsia="宋体"/>
        </w:rPr>
      </w:pPr>
      <w:r>
        <w:rPr>
          <w:rFonts w:hint="eastAsia" w:ascii="宋体" w:hAnsi="宋体" w:eastAsia="宋体"/>
        </w:rPr>
        <w:t>医院设备资产信息、设备发放明细；</w:t>
      </w:r>
    </w:p>
    <w:p w14:paraId="3B557073">
      <w:pPr>
        <w:ind w:firstLine="420" w:firstLineChars="200"/>
        <w:rPr>
          <w:rFonts w:ascii="宋体" w:hAnsi="宋体" w:eastAsia="宋体"/>
        </w:rPr>
      </w:pPr>
      <w:r>
        <w:rPr>
          <w:rFonts w:hint="eastAsia" w:ascii="宋体" w:hAnsi="宋体" w:eastAsia="宋体"/>
        </w:rPr>
        <w:t>医院绩效信息、医院员工等信息。</w:t>
      </w:r>
    </w:p>
    <w:p w14:paraId="727D99BC">
      <w:pPr>
        <w:pStyle w:val="4"/>
        <w:rPr>
          <w:rFonts w:ascii="宋体" w:hAnsi="宋体"/>
        </w:rPr>
      </w:pPr>
      <w:r>
        <w:rPr>
          <w:rFonts w:hint="eastAsia" w:ascii="宋体" w:hAnsi="宋体"/>
        </w:rPr>
        <w:t>医院运营决策分析系统</w:t>
      </w:r>
    </w:p>
    <w:p w14:paraId="6085C9C7">
      <w:pPr>
        <w:rPr>
          <w:rFonts w:ascii="宋体" w:hAnsi="宋体" w:eastAsia="宋体"/>
        </w:rPr>
      </w:pPr>
      <w:r>
        <w:rPr>
          <w:rFonts w:hint="eastAsia" w:ascii="宋体" w:hAnsi="宋体" w:eastAsia="宋体"/>
        </w:rPr>
        <w:t>（1）门诊运营指标</w:t>
      </w:r>
    </w:p>
    <w:p w14:paraId="0695025B">
      <w:pPr>
        <w:ind w:firstLine="480"/>
        <w:rPr>
          <w:rFonts w:ascii="宋体" w:hAnsi="宋体" w:eastAsia="宋体"/>
        </w:rPr>
      </w:pPr>
      <w:r>
        <w:rPr>
          <w:rFonts w:hint="eastAsia" w:ascii="宋体" w:hAnsi="宋体" w:eastAsia="宋体"/>
        </w:rPr>
        <w:t>1）实现门诊相关运营指标的展示和数据呈现。</w:t>
      </w:r>
    </w:p>
    <w:p w14:paraId="6C2747D8">
      <w:pPr>
        <w:ind w:firstLine="480"/>
        <w:rPr>
          <w:rFonts w:ascii="宋体" w:hAnsi="宋体" w:eastAsia="宋体"/>
        </w:rPr>
      </w:pPr>
      <w:r>
        <w:rPr>
          <w:rFonts w:hint="eastAsia" w:ascii="宋体" w:hAnsi="宋体" w:eastAsia="宋体"/>
        </w:rPr>
        <w:t>2）挂号人次（按照挂号途径分类）、退号人次、预约人次、急诊人次、就诊人次；</w:t>
      </w:r>
    </w:p>
    <w:p w14:paraId="130C4486">
      <w:pPr>
        <w:ind w:firstLine="480"/>
        <w:rPr>
          <w:rFonts w:ascii="宋体" w:hAnsi="宋体" w:eastAsia="宋体"/>
        </w:rPr>
      </w:pPr>
      <w:r>
        <w:rPr>
          <w:rFonts w:hint="eastAsia" w:ascii="宋体" w:hAnsi="宋体" w:eastAsia="宋体"/>
        </w:rPr>
        <w:t>3）门诊总费用（按照费用分类展示）、退费金额、支付方式分类、门诊均费、门诊药费、门诊药占比、医保报销金额、报销金额占比；</w:t>
      </w:r>
    </w:p>
    <w:p w14:paraId="513C54FE">
      <w:pPr>
        <w:ind w:firstLine="480"/>
        <w:rPr>
          <w:rFonts w:ascii="宋体" w:hAnsi="宋体" w:eastAsia="宋体"/>
        </w:rPr>
      </w:pPr>
      <w:r>
        <w:rPr>
          <w:rFonts w:hint="eastAsia" w:ascii="宋体" w:hAnsi="宋体" w:eastAsia="宋体"/>
        </w:rPr>
        <w:t>4）挂号人次科室分布TOP10、就诊人次科室分布TOP10、就诊医生分布TOP10、挂号医生分布TOP10、急诊病人诊断TOP10。</w:t>
      </w:r>
    </w:p>
    <w:p w14:paraId="00AFE11E">
      <w:pPr>
        <w:rPr>
          <w:rFonts w:ascii="宋体" w:hAnsi="宋体" w:eastAsia="宋体"/>
        </w:rPr>
      </w:pPr>
      <w:r>
        <w:rPr>
          <w:rFonts w:hint="eastAsia" w:ascii="宋体" w:hAnsi="宋体" w:eastAsia="宋体"/>
        </w:rPr>
        <w:t>（2）住院运营指标</w:t>
      </w:r>
    </w:p>
    <w:p w14:paraId="4A57E90F">
      <w:pPr>
        <w:ind w:firstLine="480"/>
        <w:rPr>
          <w:rFonts w:ascii="宋体" w:hAnsi="宋体" w:eastAsia="宋体"/>
        </w:rPr>
      </w:pPr>
      <w:r>
        <w:rPr>
          <w:rFonts w:hint="eastAsia" w:ascii="宋体" w:hAnsi="宋体" w:eastAsia="宋体"/>
        </w:rPr>
        <w:t>1）支持住院相关运营指标的展示和数据呈现。</w:t>
      </w:r>
    </w:p>
    <w:p w14:paraId="7DD8741F">
      <w:pPr>
        <w:ind w:firstLine="480"/>
        <w:rPr>
          <w:rFonts w:ascii="宋体" w:hAnsi="宋体" w:eastAsia="宋体"/>
        </w:rPr>
      </w:pPr>
      <w:r>
        <w:rPr>
          <w:rFonts w:hint="eastAsia" w:ascii="宋体" w:hAnsi="宋体" w:eastAsia="宋体"/>
        </w:rPr>
        <w:t>2）入院人次、预约入院人次、出院人次、在院人次；</w:t>
      </w:r>
    </w:p>
    <w:p w14:paraId="371FDE2F">
      <w:pPr>
        <w:ind w:firstLine="480"/>
        <w:rPr>
          <w:rFonts w:ascii="宋体" w:hAnsi="宋体" w:eastAsia="宋体"/>
        </w:rPr>
      </w:pPr>
      <w:r>
        <w:rPr>
          <w:rFonts w:hint="eastAsia" w:ascii="宋体" w:hAnsi="宋体" w:eastAsia="宋体"/>
        </w:rPr>
        <w:t>3）住院总费用（按照费用分类展示）、住院均费、住院药品费、住院药占比、床位使用率、结算报销金额、报销金额占比；</w:t>
      </w:r>
    </w:p>
    <w:p w14:paraId="7ADCB833">
      <w:pPr>
        <w:ind w:firstLine="480"/>
        <w:rPr>
          <w:rFonts w:ascii="宋体" w:hAnsi="宋体" w:eastAsia="宋体"/>
        </w:rPr>
      </w:pPr>
      <w:r>
        <w:rPr>
          <w:rFonts w:hint="eastAsia" w:ascii="宋体" w:hAnsi="宋体" w:eastAsia="宋体"/>
        </w:rPr>
        <w:t>4）入院人次科室分布、出院人次科室分布、在院病人性别分布、在院病人年龄分布、在院病人护理等级分布。</w:t>
      </w:r>
    </w:p>
    <w:p w14:paraId="6BAEA28A">
      <w:pPr>
        <w:rPr>
          <w:rFonts w:ascii="宋体" w:hAnsi="宋体" w:eastAsia="宋体"/>
        </w:rPr>
      </w:pPr>
      <w:r>
        <w:rPr>
          <w:rFonts w:hint="eastAsia" w:ascii="宋体" w:hAnsi="宋体" w:eastAsia="宋体"/>
        </w:rPr>
        <w:t>（3）其他运营指标</w:t>
      </w:r>
    </w:p>
    <w:p w14:paraId="6DF97E1F">
      <w:pPr>
        <w:ind w:firstLine="480"/>
        <w:rPr>
          <w:rFonts w:ascii="宋体" w:hAnsi="宋体" w:eastAsia="宋体"/>
        </w:rPr>
      </w:pPr>
      <w:r>
        <w:rPr>
          <w:rFonts w:hint="eastAsia" w:ascii="宋体" w:hAnsi="宋体" w:eastAsia="宋体"/>
        </w:rPr>
        <w:t>1）支持其他运营指标的展示和数据呈现。</w:t>
      </w:r>
    </w:p>
    <w:p w14:paraId="735BB5C2">
      <w:pPr>
        <w:ind w:firstLine="480"/>
        <w:rPr>
          <w:rFonts w:ascii="宋体" w:hAnsi="宋体" w:eastAsia="宋体"/>
        </w:rPr>
      </w:pPr>
      <w:r>
        <w:rPr>
          <w:rFonts w:hint="eastAsia" w:ascii="宋体" w:hAnsi="宋体" w:eastAsia="宋体"/>
        </w:rPr>
        <w:t>2）包含：手术人次（按住院科室分布）、等待人次（待诊疗人次、待检查人次、待检验人次、待取药人次、待入院人次）；</w:t>
      </w:r>
    </w:p>
    <w:p w14:paraId="2FAA7241">
      <w:pPr>
        <w:ind w:firstLine="480"/>
        <w:rPr>
          <w:rFonts w:ascii="宋体" w:hAnsi="宋体" w:eastAsia="宋体"/>
        </w:rPr>
      </w:pPr>
      <w:r>
        <w:rPr>
          <w:rFonts w:hint="eastAsia" w:ascii="宋体" w:hAnsi="宋体" w:eastAsia="宋体"/>
        </w:rPr>
        <w:t>3）平均候诊时间、门诊诊断词云、药品使用TOP10。</w:t>
      </w:r>
    </w:p>
    <w:p w14:paraId="32FC9D40">
      <w:pPr>
        <w:pStyle w:val="4"/>
        <w:rPr>
          <w:rFonts w:ascii="宋体" w:hAnsi="宋体"/>
        </w:rPr>
      </w:pPr>
      <w:r>
        <w:rPr>
          <w:rFonts w:hint="eastAsia" w:ascii="宋体" w:hAnsi="宋体"/>
        </w:rPr>
        <w:t>三级公立医院绩效考核指标系统</w:t>
      </w:r>
    </w:p>
    <w:p w14:paraId="687047BC">
      <w:pPr>
        <w:rPr>
          <w:rFonts w:ascii="宋体" w:hAnsi="宋体" w:eastAsia="宋体"/>
        </w:rPr>
      </w:pPr>
      <w:r>
        <w:rPr>
          <w:rFonts w:hint="eastAsia" w:ascii="宋体" w:hAnsi="宋体" w:eastAsia="宋体"/>
        </w:rPr>
        <w:t>（1）指标标准</w:t>
      </w:r>
    </w:p>
    <w:p w14:paraId="66F36702">
      <w:pPr>
        <w:ind w:firstLine="480"/>
        <w:rPr>
          <w:rFonts w:ascii="宋体" w:hAnsi="宋体" w:eastAsia="宋体"/>
        </w:rPr>
      </w:pPr>
      <w:r>
        <w:rPr>
          <w:rFonts w:hint="eastAsia" w:ascii="宋体" w:hAnsi="宋体" w:eastAsia="宋体"/>
        </w:rPr>
        <w:t>参考国家卫生健康委办公厅发布的《国家三级公立医院绩效考核操作手册》，自动生成相关指标分析的信息系统，帮助医院管理者调整市场策略、提高医疗效率，辅助决策。</w:t>
      </w:r>
    </w:p>
    <w:p w14:paraId="776BC916">
      <w:pPr>
        <w:rPr>
          <w:rFonts w:ascii="宋体" w:hAnsi="宋体" w:eastAsia="宋体"/>
        </w:rPr>
      </w:pPr>
      <w:r>
        <w:rPr>
          <w:rFonts w:hint="eastAsia" w:ascii="宋体" w:hAnsi="宋体" w:eastAsia="宋体"/>
        </w:rPr>
        <w:t>（2）指标主题</w:t>
      </w:r>
    </w:p>
    <w:p w14:paraId="57F03F7A">
      <w:pPr>
        <w:ind w:firstLine="480"/>
        <w:rPr>
          <w:rFonts w:ascii="宋体" w:hAnsi="宋体" w:eastAsia="宋体"/>
        </w:rPr>
      </w:pPr>
      <w:r>
        <w:rPr>
          <w:rFonts w:hint="eastAsia" w:ascii="宋体" w:hAnsi="宋体" w:eastAsia="宋体"/>
        </w:rPr>
        <w:t>1）支持医疗质量、运行效率、持续发展、满意度评价四个分类下的指标分析和呈现。</w:t>
      </w:r>
    </w:p>
    <w:p w14:paraId="61CC3DD2">
      <w:pPr>
        <w:ind w:firstLine="480"/>
        <w:rPr>
          <w:rFonts w:ascii="宋体" w:hAnsi="宋体" w:eastAsia="宋体"/>
        </w:rPr>
      </w:pPr>
      <w:r>
        <w:rPr>
          <w:rFonts w:hint="eastAsia" w:ascii="宋体" w:hAnsi="宋体" w:eastAsia="宋体"/>
        </w:rPr>
        <w:tab/>
      </w:r>
      <w:r>
        <w:rPr>
          <w:rFonts w:hint="eastAsia" w:ascii="宋体" w:hAnsi="宋体" w:eastAsia="宋体"/>
        </w:rPr>
        <w:t>医疗质量相关指标，包括门诊人次数与出院人次数比、下转患者人次数、手术占比、大型医用设备检查阳性率、抗菌药物使用强度、基本药物占比等；</w:t>
      </w:r>
    </w:p>
    <w:p w14:paraId="47A8213D">
      <w:pPr>
        <w:ind w:firstLine="630" w:firstLineChars="300"/>
        <w:rPr>
          <w:rFonts w:ascii="宋体" w:hAnsi="宋体" w:eastAsia="宋体"/>
        </w:rPr>
      </w:pPr>
      <w:r>
        <w:rPr>
          <w:rFonts w:hint="eastAsia" w:ascii="宋体" w:hAnsi="宋体" w:eastAsia="宋体"/>
        </w:rPr>
        <w:t>运营效率相关指标，包括每名执业医师日均工作负担、门诊收入占医疗收入比例、住院收入占医疗收入比例、门诊次均费用、住院次均费用等；</w:t>
      </w:r>
    </w:p>
    <w:p w14:paraId="2B8EBB1C">
      <w:pPr>
        <w:ind w:firstLine="630" w:firstLineChars="300"/>
        <w:rPr>
          <w:rFonts w:ascii="宋体" w:hAnsi="宋体" w:eastAsia="宋体"/>
        </w:rPr>
      </w:pPr>
      <w:r>
        <w:rPr>
          <w:rFonts w:hint="eastAsia" w:ascii="宋体" w:hAnsi="宋体" w:eastAsia="宋体"/>
        </w:rPr>
        <w:t>持续发展相关指标，包括卫生技术人员职称结构、医护比等；</w:t>
      </w:r>
    </w:p>
    <w:p w14:paraId="03F9FB93">
      <w:pPr>
        <w:ind w:firstLine="480"/>
        <w:rPr>
          <w:rFonts w:ascii="宋体" w:hAnsi="宋体" w:eastAsia="宋体"/>
        </w:rPr>
      </w:pPr>
      <w:r>
        <w:rPr>
          <w:rFonts w:hint="eastAsia" w:ascii="宋体" w:hAnsi="宋体" w:eastAsia="宋体"/>
        </w:rPr>
        <w:t>要求每种绩效指标自定义时间段进行计算显示；每种指标的同比增长分析；每种指标的计算来源值分析（分子分母）；每种指标的月度趋势分析；每种指标的科室排名分析；每种指标的医生排名分析；每种指标相关的病例清单表分析；</w:t>
      </w:r>
    </w:p>
    <w:p w14:paraId="471E927F">
      <w:pPr>
        <w:rPr>
          <w:rFonts w:ascii="宋体" w:hAnsi="宋体" w:eastAsia="宋体"/>
        </w:rPr>
      </w:pPr>
      <w:r>
        <w:rPr>
          <w:rFonts w:hint="eastAsia" w:ascii="宋体" w:hAnsi="宋体" w:eastAsia="宋体"/>
        </w:rPr>
        <w:t>按时间（月度）的下钻分析；按科室到医生的下钻分析；按医生到病例清单的下钻分析。</w:t>
      </w:r>
    </w:p>
    <w:p w14:paraId="4045D91B">
      <w:pPr>
        <w:ind w:firstLine="480"/>
        <w:rPr>
          <w:rFonts w:ascii="宋体" w:hAnsi="宋体" w:eastAsia="宋体"/>
        </w:rPr>
      </w:pPr>
      <w:r>
        <w:rPr>
          <w:rFonts w:hint="eastAsia" w:ascii="宋体" w:hAnsi="宋体" w:eastAsia="宋体"/>
        </w:rPr>
        <w:t>2）根据指标的不同类型，部分指标无法通过系统自动计算获取，支持通过手工填报的方式获取数据。</w:t>
      </w:r>
    </w:p>
    <w:p w14:paraId="62E24BDB">
      <w:pPr>
        <w:rPr>
          <w:rFonts w:ascii="宋体" w:hAnsi="宋体" w:eastAsia="宋体"/>
        </w:rPr>
      </w:pPr>
      <w:r>
        <w:rPr>
          <w:rFonts w:hint="eastAsia" w:ascii="宋体" w:hAnsi="宋体" w:eastAsia="宋体"/>
        </w:rPr>
        <w:t>（3）指标呈现</w:t>
      </w:r>
    </w:p>
    <w:p w14:paraId="5B4C144A">
      <w:pPr>
        <w:ind w:firstLine="480"/>
        <w:rPr>
          <w:rFonts w:ascii="宋体" w:hAnsi="宋体" w:eastAsia="宋体"/>
        </w:rPr>
      </w:pPr>
      <w:r>
        <w:rPr>
          <w:rFonts w:hint="eastAsia" w:ascii="宋体" w:hAnsi="宋体" w:eastAsia="宋体"/>
        </w:rPr>
        <w:t>1）首页指标以卡片形式展现，支持通过时间过滤选择查看指标。</w:t>
      </w:r>
    </w:p>
    <w:p w14:paraId="4A07A71D">
      <w:pPr>
        <w:ind w:firstLine="480"/>
        <w:rPr>
          <w:rFonts w:ascii="宋体" w:hAnsi="宋体" w:eastAsia="宋体"/>
        </w:rPr>
      </w:pPr>
      <w:r>
        <w:rPr>
          <w:rFonts w:hint="eastAsia" w:ascii="宋体" w:hAnsi="宋体" w:eastAsia="宋体"/>
        </w:rPr>
        <w:t>2）通过指标可进行下钻到下一级指标。</w:t>
      </w:r>
    </w:p>
    <w:p w14:paraId="360DCDCE">
      <w:pPr>
        <w:ind w:firstLine="480"/>
        <w:rPr>
          <w:rFonts w:ascii="宋体" w:hAnsi="宋体" w:eastAsia="宋体"/>
        </w:rPr>
      </w:pPr>
      <w:r>
        <w:rPr>
          <w:rFonts w:hint="eastAsia" w:ascii="宋体" w:hAnsi="宋体" w:eastAsia="宋体"/>
        </w:rPr>
        <w:t>3）支持显示医疗质量、运行效率、持续发展、满意度评价等分类下的指标数据呈现。</w:t>
      </w:r>
    </w:p>
    <w:p w14:paraId="222693D6">
      <w:pPr>
        <w:pStyle w:val="4"/>
        <w:rPr>
          <w:rFonts w:ascii="宋体" w:hAnsi="宋体"/>
        </w:rPr>
      </w:pPr>
      <w:r>
        <w:rPr>
          <w:rFonts w:hint="eastAsia" w:ascii="宋体" w:hAnsi="宋体"/>
        </w:rPr>
        <w:t>数据质量管理</w:t>
      </w:r>
    </w:p>
    <w:p w14:paraId="3F472BC5">
      <w:pPr>
        <w:widowControl/>
        <w:spacing w:before="150" w:after="240" w:line="240" w:lineRule="auto"/>
        <w:rPr>
          <w:rFonts w:ascii="宋体" w:hAnsi="宋体" w:eastAsia="宋体"/>
        </w:rPr>
      </w:pPr>
      <w:r>
        <w:rPr>
          <w:rFonts w:hint="eastAsia" w:ascii="宋体" w:hAnsi="宋体" w:eastAsia="宋体" w:cs="宋体"/>
        </w:rPr>
        <w:t>（</w:t>
      </w:r>
      <w:r>
        <w:rPr>
          <w:rFonts w:ascii="宋体" w:hAnsi="宋体" w:eastAsia="宋体" w:cs="Microsoft Himalaya"/>
        </w:rPr>
        <w:t>1</w:t>
      </w:r>
      <w:r>
        <w:rPr>
          <w:rFonts w:hint="eastAsia" w:ascii="宋体" w:hAnsi="宋体" w:eastAsia="宋体" w:cs="宋体"/>
        </w:rPr>
        <w:t>）质量规则管理</w:t>
      </w:r>
    </w:p>
    <w:p w14:paraId="21662746">
      <w:pPr>
        <w:ind w:firstLine="480"/>
        <w:rPr>
          <w:rFonts w:ascii="宋体" w:hAnsi="宋体" w:eastAsia="宋体"/>
        </w:rPr>
      </w:pPr>
      <w:r>
        <w:rPr>
          <w:rFonts w:hint="eastAsia" w:ascii="宋体" w:hAnsi="宋体" w:eastAsia="宋体"/>
        </w:rPr>
        <w:t>1）质量规则的创建，可选择不同的数据源、表和字段创建空值检查、值域检查、重复数据检查、及时性检查、一致性检查，也可以自定义</w:t>
      </w:r>
      <w:r>
        <w:rPr>
          <w:rFonts w:ascii="宋体" w:hAnsi="宋体" w:eastAsia="宋体"/>
        </w:rPr>
        <w:t>SQL</w:t>
      </w:r>
      <w:r>
        <w:rPr>
          <w:rFonts w:hint="eastAsia" w:ascii="宋体" w:hAnsi="宋体" w:eastAsia="宋体"/>
        </w:rPr>
        <w:t>脚本进行检查。</w:t>
      </w:r>
    </w:p>
    <w:p w14:paraId="0F5304FF">
      <w:pPr>
        <w:ind w:firstLine="480"/>
        <w:rPr>
          <w:rFonts w:ascii="宋体" w:hAnsi="宋体" w:eastAsia="宋体"/>
        </w:rPr>
      </w:pPr>
      <w:r>
        <w:rPr>
          <w:rFonts w:hint="eastAsia" w:ascii="宋体" w:hAnsi="宋体" w:eastAsia="宋体"/>
        </w:rPr>
        <w:t>2）系统可判断已创建同类需求规则进行提醒，可将创建的需求关联业务分类，并生成质量规则对应的</w:t>
      </w:r>
      <w:r>
        <w:rPr>
          <w:rFonts w:ascii="宋体" w:hAnsi="宋体" w:eastAsia="宋体"/>
        </w:rPr>
        <w:t>SQL</w:t>
      </w:r>
      <w:r>
        <w:rPr>
          <w:rFonts w:hint="eastAsia" w:ascii="宋体" w:hAnsi="宋体" w:eastAsia="宋体"/>
        </w:rPr>
        <w:t>。</w:t>
      </w:r>
    </w:p>
    <w:p w14:paraId="09879CFB">
      <w:pPr>
        <w:widowControl/>
        <w:spacing w:before="150" w:after="240" w:line="240" w:lineRule="auto"/>
        <w:rPr>
          <w:rFonts w:ascii="宋体" w:hAnsi="宋体" w:eastAsia="宋体"/>
        </w:rPr>
      </w:pPr>
      <w:r>
        <w:rPr>
          <w:rFonts w:hint="eastAsia" w:ascii="宋体" w:hAnsi="宋体" w:eastAsia="宋体" w:cs="宋体"/>
        </w:rPr>
        <w:t>（</w:t>
      </w:r>
      <w:r>
        <w:rPr>
          <w:rFonts w:ascii="宋体" w:hAnsi="宋体" w:eastAsia="宋体" w:cs="Microsoft Himalaya"/>
        </w:rPr>
        <w:t>2</w:t>
      </w:r>
      <w:r>
        <w:rPr>
          <w:rFonts w:hint="eastAsia" w:ascii="宋体" w:hAnsi="宋体" w:eastAsia="宋体" w:cs="宋体"/>
        </w:rPr>
        <w:t>）业务分类管理</w:t>
      </w:r>
    </w:p>
    <w:p w14:paraId="6313A21B">
      <w:pPr>
        <w:ind w:firstLine="480"/>
        <w:rPr>
          <w:rFonts w:ascii="宋体" w:hAnsi="宋体" w:eastAsia="宋体"/>
        </w:rPr>
      </w:pPr>
      <w:r>
        <w:rPr>
          <w:rFonts w:hint="eastAsia" w:ascii="宋体" w:hAnsi="宋体" w:eastAsia="宋体"/>
        </w:rPr>
        <w:t>1）用户创建不同的业务规则，用质量规则关联业务分类，最终可形成不同业务场景下的质量报告。</w:t>
      </w:r>
    </w:p>
    <w:p w14:paraId="74D1797F">
      <w:pPr>
        <w:ind w:firstLine="480"/>
        <w:rPr>
          <w:rFonts w:ascii="宋体" w:hAnsi="宋体" w:eastAsia="宋体"/>
        </w:rPr>
      </w:pPr>
      <w:r>
        <w:rPr>
          <w:rFonts w:hint="eastAsia" w:ascii="宋体" w:hAnsi="宋体" w:eastAsia="宋体"/>
        </w:rPr>
        <w:t>2）业务规则须满足国家、省州要求，至少涵盖病案首页规则、电子病历质量规则、医嘱内容规则、辅助检查规则等</w:t>
      </w:r>
    </w:p>
    <w:p w14:paraId="11BB9FDA">
      <w:pPr>
        <w:widowControl/>
        <w:spacing w:before="150" w:after="240" w:line="240" w:lineRule="auto"/>
        <w:rPr>
          <w:rFonts w:ascii="宋体" w:hAnsi="宋体" w:eastAsia="宋体"/>
        </w:rPr>
      </w:pPr>
      <w:r>
        <w:rPr>
          <w:rFonts w:hint="eastAsia" w:ascii="宋体" w:hAnsi="宋体" w:eastAsia="宋体" w:cs="宋体"/>
        </w:rPr>
        <w:t>（</w:t>
      </w:r>
      <w:r>
        <w:rPr>
          <w:rFonts w:ascii="宋体" w:hAnsi="宋体" w:eastAsia="宋体" w:cs="Microsoft Himalaya"/>
        </w:rPr>
        <w:t>3</w:t>
      </w:r>
      <w:r>
        <w:rPr>
          <w:rFonts w:hint="eastAsia" w:ascii="宋体" w:hAnsi="宋体" w:eastAsia="宋体" w:cs="宋体"/>
        </w:rPr>
        <w:t>）调度任务管理</w:t>
      </w:r>
    </w:p>
    <w:p w14:paraId="68FD539B">
      <w:pPr>
        <w:ind w:firstLine="480"/>
        <w:rPr>
          <w:rFonts w:ascii="宋体" w:hAnsi="宋体" w:eastAsia="宋体"/>
        </w:rPr>
      </w:pPr>
      <w:r>
        <w:rPr>
          <w:rFonts w:hint="eastAsia" w:ascii="宋体" w:hAnsi="宋体" w:eastAsia="宋体"/>
        </w:rPr>
        <w:t>1）选择已经创建好的质量规则，配置业务任务的运行时间和频率，任务将按照配置定时执行，可以手动执行任务，可查询任务的执行情况。</w:t>
      </w:r>
    </w:p>
    <w:p w14:paraId="3403DF46">
      <w:pPr>
        <w:widowControl/>
        <w:spacing w:before="150" w:after="240" w:line="240" w:lineRule="auto"/>
        <w:rPr>
          <w:rFonts w:ascii="宋体" w:hAnsi="宋体" w:eastAsia="宋体"/>
        </w:rPr>
      </w:pPr>
      <w:r>
        <w:rPr>
          <w:rFonts w:hint="eastAsia" w:ascii="宋体" w:hAnsi="宋体" w:eastAsia="宋体" w:cs="宋体"/>
        </w:rPr>
        <w:t>（</w:t>
      </w:r>
      <w:r>
        <w:rPr>
          <w:rFonts w:ascii="宋体" w:hAnsi="宋体" w:eastAsia="宋体" w:cs="Microsoft Himalaya"/>
        </w:rPr>
        <w:t>4</w:t>
      </w:r>
      <w:r>
        <w:rPr>
          <w:rFonts w:hint="eastAsia" w:ascii="宋体" w:hAnsi="宋体" w:eastAsia="宋体" w:cs="宋体"/>
        </w:rPr>
        <w:t>）数据质量监控</w:t>
      </w:r>
    </w:p>
    <w:p w14:paraId="68441383">
      <w:pPr>
        <w:ind w:firstLine="480"/>
        <w:rPr>
          <w:rFonts w:ascii="宋体" w:hAnsi="宋体" w:eastAsia="宋体"/>
        </w:rPr>
      </w:pPr>
      <w:r>
        <w:rPr>
          <w:rFonts w:hint="eastAsia" w:ascii="宋体" w:hAnsi="宋体" w:eastAsia="宋体"/>
        </w:rPr>
        <w:t>1）可监控数据的整体情况，包含业务规则数、质量规则数、规则调用次数、调用成功次数、调用失败次数，以及各业务分类、各表质量错误情况排名。</w:t>
      </w:r>
    </w:p>
    <w:p w14:paraId="0CFCC417">
      <w:pPr>
        <w:ind w:firstLine="480"/>
        <w:rPr>
          <w:rFonts w:ascii="宋体" w:hAnsi="宋体" w:eastAsia="宋体"/>
        </w:rPr>
      </w:pPr>
      <w:r>
        <w:rPr>
          <w:rFonts w:hint="eastAsia" w:ascii="宋体" w:hAnsi="宋体" w:eastAsia="宋体"/>
        </w:rPr>
        <w:t>2）可按照业务分类、数据源、数据周期查询质检方案的报告情况，可查看报告明细情况，可下载报告和报告明细的内容。</w:t>
      </w:r>
    </w:p>
    <w:p w14:paraId="3DF0642B">
      <w:pPr>
        <w:pStyle w:val="4"/>
        <w:rPr>
          <w:rFonts w:ascii="宋体" w:hAnsi="宋体"/>
        </w:rPr>
      </w:pPr>
      <w:bookmarkStart w:id="212" w:name="_Hlk127799734"/>
      <w:r>
        <w:rPr>
          <w:rFonts w:hint="eastAsia" w:ascii="宋体" w:hAnsi="宋体"/>
        </w:rPr>
        <w:t>指标标准管理</w:t>
      </w:r>
    </w:p>
    <w:p w14:paraId="33DD4455">
      <w:pP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）基础指标管理：管理业务指标中使用到的基础指标项（分子</w:t>
      </w:r>
      <w:r>
        <w:rPr>
          <w:rFonts w:ascii="宋体" w:hAnsi="宋体" w:eastAsia="宋体"/>
        </w:rPr>
        <w:t>/</w:t>
      </w:r>
      <w:r>
        <w:rPr>
          <w:rFonts w:hint="eastAsia" w:ascii="宋体" w:hAnsi="宋体" w:eastAsia="宋体"/>
        </w:rPr>
        <w:t>分母），描述指标的说明和来源。如系统获取类指标可关联业务场景。</w:t>
      </w:r>
    </w:p>
    <w:p w14:paraId="65BB7DDE">
      <w:pP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业务指标管理：管理业务指标的分类，如三级公立医院考核指标、三级公立医院评审指标等，在分类下建立业务指标，描述业务指标的属性、定义、说明、导向、计算方法、归属科室等内容，形成医院标准的指标管理体系。可根据实际需求修改、停用相关指标。</w:t>
      </w:r>
    </w:p>
    <w:p w14:paraId="57581E45">
      <w:pP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）指标统计：查看当前建立的指标数量情况、按照不同的分类和归属科室进行分类统计</w:t>
      </w:r>
      <w:bookmarkEnd w:id="212"/>
    </w:p>
    <w:p w14:paraId="0DC7D654">
      <w:pPr>
        <w:pStyle w:val="4"/>
        <w:rPr>
          <w:rFonts w:ascii="宋体" w:hAnsi="宋体"/>
        </w:rPr>
      </w:pPr>
      <w:r>
        <w:rPr>
          <w:rFonts w:hint="eastAsia" w:ascii="宋体" w:hAnsi="宋体"/>
        </w:rPr>
        <w:t>三级公立医院评审指标管理</w:t>
      </w:r>
    </w:p>
    <w:p w14:paraId="1FA42D14">
      <w:pP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）指标标准</w:t>
      </w:r>
    </w:p>
    <w:p w14:paraId="5BD06BBE">
      <w:pPr>
        <w:ind w:firstLine="480"/>
        <w:rPr>
          <w:rFonts w:ascii="宋体" w:hAnsi="宋体" w:eastAsia="宋体"/>
        </w:rPr>
      </w:pPr>
      <w:r>
        <w:rPr>
          <w:rFonts w:hint="eastAsia" w:ascii="宋体" w:hAnsi="宋体" w:eastAsia="宋体"/>
        </w:rPr>
        <w:t>依据《国家卫生健康委办公厅关于印发三级医院评审标准》的相关指标要求进行数据展示分析，并能根据达标评价要求对医院相应时段的数据进行展示分析。</w:t>
      </w:r>
    </w:p>
    <w:p w14:paraId="1848F966">
      <w:pP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）指标主题</w:t>
      </w:r>
    </w:p>
    <w:p w14:paraId="5E089CAE">
      <w:pPr>
        <w:ind w:firstLine="480"/>
        <w:rPr>
          <w:rFonts w:ascii="宋体" w:hAnsi="宋体" w:eastAsia="宋体"/>
        </w:rPr>
      </w:pPr>
      <w:r>
        <w:rPr>
          <w:rFonts w:hint="eastAsia" w:ascii="宋体" w:hAnsi="宋体" w:eastAsia="宋体"/>
        </w:rPr>
        <w:t>1）支持资源配置与运行、医疗服务能力与医院质量安全、重点专业质量控制、单病种质量控制、重点医疗技术临床应用质量控制等主题指标分析。</w:t>
      </w:r>
    </w:p>
    <w:p w14:paraId="5E2E7E4A">
      <w:pPr>
        <w:ind w:firstLine="480"/>
        <w:rPr>
          <w:rFonts w:ascii="宋体" w:hAnsi="宋体" w:eastAsia="宋体"/>
        </w:rPr>
      </w:pPr>
      <w:r>
        <w:rPr>
          <w:rFonts w:hint="eastAsia" w:ascii="宋体" w:hAnsi="宋体" w:eastAsia="宋体"/>
        </w:rPr>
        <w:t>2）根据指标的不同类型，部分指标无法通过系统自动计算获取，支持通过手工填报的方式获取数据。</w:t>
      </w:r>
    </w:p>
    <w:p w14:paraId="1D0E9EAC">
      <w:pP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）指标呈现</w:t>
      </w:r>
    </w:p>
    <w:p w14:paraId="5517E206">
      <w:pPr>
        <w:ind w:firstLine="480"/>
        <w:rPr>
          <w:rFonts w:ascii="宋体" w:hAnsi="宋体" w:eastAsia="宋体"/>
        </w:rPr>
      </w:pPr>
      <w:r>
        <w:rPr>
          <w:rFonts w:hint="eastAsia" w:ascii="宋体" w:hAnsi="宋体" w:eastAsia="宋体"/>
        </w:rPr>
        <w:t>1）首页指标以卡片形式展现，支持通过时间过滤选择查看指标。</w:t>
      </w:r>
    </w:p>
    <w:p w14:paraId="024C769B">
      <w:pPr>
        <w:ind w:firstLine="480"/>
        <w:rPr>
          <w:rFonts w:ascii="宋体" w:hAnsi="宋体" w:eastAsia="宋体"/>
        </w:rPr>
      </w:pPr>
      <w:r>
        <w:rPr>
          <w:rFonts w:hint="eastAsia" w:ascii="宋体" w:hAnsi="宋体" w:eastAsia="宋体"/>
        </w:rPr>
        <w:t>2）指标可进行下钻到下一级，查看详细情况。</w:t>
      </w:r>
    </w:p>
    <w:p w14:paraId="59513B1F">
      <w:pPr>
        <w:ind w:firstLine="480"/>
        <w:rPr>
          <w:rFonts w:ascii="宋体" w:hAnsi="宋体" w:eastAsia="宋体"/>
        </w:rPr>
      </w:pPr>
      <w:r>
        <w:rPr>
          <w:rFonts w:hint="eastAsia" w:ascii="宋体" w:hAnsi="宋体" w:eastAsia="宋体"/>
        </w:rPr>
        <w:t>3）至少展示床位配置、卫生技术人员配置、相关资源配置、运行指标、科研指标和其他指标各分类下的指标数据呈现。</w:t>
      </w:r>
    </w:p>
    <w:p w14:paraId="73CF0A9C">
      <w:pPr>
        <w:ind w:firstLine="480"/>
        <w:rPr>
          <w:rFonts w:ascii="宋体" w:hAnsi="宋体" w:eastAsia="宋体"/>
        </w:rPr>
      </w:pPr>
      <w:r>
        <w:rPr>
          <w:rFonts w:hint="eastAsia" w:ascii="宋体" w:hAnsi="宋体" w:eastAsia="宋体"/>
        </w:rPr>
        <w:t>4）包含医疗服务能力、医院质量指标、医疗安全指标各分类下的指标数据呈现。</w:t>
      </w:r>
    </w:p>
    <w:p w14:paraId="23196449">
      <w:pPr>
        <w:ind w:firstLine="480"/>
        <w:rPr>
          <w:rFonts w:ascii="宋体" w:hAnsi="宋体" w:eastAsia="宋体"/>
        </w:rPr>
      </w:pPr>
      <w:r>
        <w:rPr>
          <w:rFonts w:hint="eastAsia" w:ascii="宋体" w:hAnsi="宋体" w:eastAsia="宋体"/>
        </w:rPr>
        <w:t>5）包含国家单病种的病例上报率、平均住院日、次均费用、病死率、手术患者并发症发生率等</w:t>
      </w:r>
      <w:r>
        <w:rPr>
          <w:rFonts w:ascii="宋体" w:hAnsi="宋体" w:eastAsia="宋体"/>
        </w:rPr>
        <w:t>5</w:t>
      </w:r>
      <w:r>
        <w:rPr>
          <w:rFonts w:hint="eastAsia" w:ascii="宋体" w:hAnsi="宋体" w:eastAsia="宋体"/>
        </w:rPr>
        <w:t>个指标的数据呈现。</w:t>
      </w:r>
    </w:p>
    <w:p w14:paraId="11C84D37">
      <w:pPr>
        <w:pStyle w:val="4"/>
        <w:rPr>
          <w:rFonts w:ascii="宋体" w:hAnsi="宋体"/>
        </w:rPr>
      </w:pPr>
      <w:r>
        <w:rPr>
          <w:rFonts w:hint="eastAsia" w:ascii="宋体" w:hAnsi="宋体"/>
        </w:rPr>
        <w:t>医疗大数据移动端</w:t>
      </w:r>
    </w:p>
    <w:p w14:paraId="06398BEF">
      <w:pP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）指标主题管理</w:t>
      </w:r>
    </w:p>
    <w:p w14:paraId="238DBF86">
      <w:pPr>
        <w:ind w:firstLine="480"/>
        <w:rPr>
          <w:rFonts w:ascii="宋体" w:hAnsi="宋体" w:eastAsia="宋体"/>
        </w:rPr>
      </w:pPr>
      <w:r>
        <w:rPr>
          <w:rFonts w:hint="eastAsia" w:ascii="宋体" w:hAnsi="宋体" w:eastAsia="宋体"/>
        </w:rPr>
        <w:t>1）医院实时指标监控：通过移动端图形化的展示各类指标的数据，指标的展示范围和图表类型与电脑端一致。</w:t>
      </w:r>
    </w:p>
    <w:p w14:paraId="4BEF87E1">
      <w:pPr>
        <w:ind w:firstLine="480"/>
        <w:rPr>
          <w:rFonts w:ascii="宋体" w:hAnsi="宋体" w:eastAsia="宋体"/>
        </w:rPr>
      </w:pPr>
      <w:r>
        <w:rPr>
          <w:rFonts w:hint="eastAsia" w:ascii="宋体" w:hAnsi="宋体" w:eastAsia="宋体"/>
        </w:rPr>
        <w:t>2）三级公立医院评审指标：通过移动端图形化的展示各类指标的数据，指标的展示范围和图表类型与电脑端一致。</w:t>
      </w:r>
    </w:p>
    <w:p w14:paraId="2A52FE75">
      <w:pPr>
        <w:ind w:firstLine="480"/>
        <w:rPr>
          <w:rFonts w:ascii="宋体" w:hAnsi="宋体" w:eastAsia="宋体"/>
        </w:rPr>
      </w:pPr>
      <w:r>
        <w:rPr>
          <w:rFonts w:hint="eastAsia" w:ascii="宋体" w:hAnsi="宋体" w:eastAsia="宋体"/>
        </w:rPr>
        <w:t>3）三级公立医院考核指标：通过移动端图形化的展示各类指标的数据，指标的展示范围和图表类型与电脑端一致。</w:t>
      </w:r>
    </w:p>
    <w:p w14:paraId="13D07152">
      <w:pP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）呈现方式管理</w:t>
      </w:r>
    </w:p>
    <w:p w14:paraId="47C92571">
      <w:pPr>
        <w:ind w:firstLine="480"/>
        <w:rPr>
          <w:rFonts w:ascii="宋体" w:hAnsi="宋体" w:eastAsia="宋体"/>
        </w:rPr>
      </w:pPr>
      <w:r>
        <w:rPr>
          <w:rFonts w:hint="eastAsia" w:ascii="宋体" w:hAnsi="宋体" w:eastAsia="宋体"/>
        </w:rPr>
        <w:t>1）每个主题首页指标以指标卡形式展现，支持通过时间过滤选择查看指标。</w:t>
      </w:r>
    </w:p>
    <w:p w14:paraId="4700D447">
      <w:pPr>
        <w:ind w:firstLine="480"/>
        <w:rPr>
          <w:rFonts w:ascii="宋体" w:hAnsi="宋体" w:eastAsia="宋体"/>
        </w:rPr>
      </w:pPr>
      <w:r>
        <w:rPr>
          <w:rFonts w:hint="eastAsia" w:ascii="宋体" w:hAnsi="宋体" w:eastAsia="宋体"/>
        </w:rPr>
        <w:t>2）指标可进行下钻到下一级，查看详细情况。</w:t>
      </w:r>
    </w:p>
    <w:p w14:paraId="631549A7">
      <w:pPr>
        <w:pStyle w:val="4"/>
        <w:rPr>
          <w:rFonts w:ascii="宋体" w:hAnsi="宋体"/>
        </w:rPr>
      </w:pPr>
      <w:r>
        <w:rPr>
          <w:rFonts w:hint="eastAsia" w:ascii="宋体" w:hAnsi="宋体"/>
        </w:rPr>
        <w:t>患者360可视化系统</w:t>
      </w:r>
    </w:p>
    <w:p w14:paraId="2A3162DA">
      <w:pPr>
        <w:rPr>
          <w:rFonts w:ascii="宋体" w:hAnsi="宋体" w:eastAsia="宋体"/>
        </w:rPr>
      </w:pPr>
      <w:r>
        <w:rPr>
          <w:rFonts w:hint="eastAsia" w:ascii="宋体" w:hAnsi="宋体" w:eastAsia="宋体"/>
        </w:rPr>
        <w:t>（1）患者基本信息：查看患者基本信息和个人健康信息。</w:t>
      </w:r>
    </w:p>
    <w:p w14:paraId="416B4537">
      <w:pPr>
        <w:rPr>
          <w:rFonts w:ascii="宋体" w:hAnsi="宋体" w:eastAsia="宋体"/>
        </w:rPr>
      </w:pPr>
      <w:r>
        <w:rPr>
          <w:rFonts w:hint="eastAsia" w:ascii="宋体" w:hAnsi="宋体" w:eastAsia="宋体"/>
        </w:rPr>
        <w:t>（2）综合（全部）视图：通过患者列表，选择综合视图，查看患者在医院的所有门诊、住院、检查、检验等信息，包含患者在本院的历史就诊信息。</w:t>
      </w:r>
    </w:p>
    <w:p w14:paraId="62D229AD">
      <w:pPr>
        <w:rPr>
          <w:rFonts w:ascii="宋体" w:hAnsi="宋体" w:eastAsia="宋体"/>
        </w:rPr>
      </w:pPr>
      <w:r>
        <w:rPr>
          <w:rFonts w:hint="eastAsia" w:ascii="宋体" w:hAnsi="宋体" w:eastAsia="宋体"/>
        </w:rPr>
        <w:t>（3）门诊视图：通过患者列表，选择门诊视图，以时间轴查看患者在医院的所有门诊信息、检查、检验、处方信息等，包含患者在本院的历史就诊信息。</w:t>
      </w:r>
    </w:p>
    <w:p w14:paraId="02E9A628">
      <w:pPr>
        <w:rPr>
          <w:rFonts w:ascii="宋体" w:hAnsi="宋体" w:eastAsia="宋体"/>
        </w:rPr>
      </w:pPr>
      <w:r>
        <w:rPr>
          <w:rFonts w:hint="eastAsia" w:ascii="宋体" w:hAnsi="宋体" w:eastAsia="宋体"/>
        </w:rPr>
        <w:t>（4）住院视图：通过患者列表，选择住院视图，以时间轴查看患者在医院的所有住院信息、医嘱新、检查记录、检验记录、病历文书、手术信息、护理文书、输血记录等，包含患者在本院的历史就诊信息。</w:t>
      </w:r>
    </w:p>
    <w:p w14:paraId="38B6A06A">
      <w:pPr>
        <w:rPr>
          <w:rFonts w:ascii="宋体" w:hAnsi="宋体" w:eastAsia="宋体"/>
        </w:rPr>
      </w:pPr>
      <w:r>
        <w:rPr>
          <w:rFonts w:hint="eastAsia" w:ascii="宋体" w:hAnsi="宋体" w:eastAsia="宋体"/>
        </w:rPr>
        <w:t>（5）病史导航：患者病史导航主要有患者查看，患者病史导航，患者卫生事件查看以及360视图。</w:t>
      </w:r>
    </w:p>
    <w:p w14:paraId="1D7B781C">
      <w:pPr>
        <w:rPr>
          <w:rFonts w:ascii="宋体" w:hAnsi="宋体" w:eastAsia="宋体"/>
        </w:rPr>
      </w:pPr>
      <w:r>
        <w:rPr>
          <w:rFonts w:hint="eastAsia" w:ascii="宋体" w:hAnsi="宋体" w:eastAsia="宋体"/>
        </w:rPr>
        <w:t>（6）历史就诊信息：查询患者所有历史就诊相关的各种信息，如：患者信息、患者基本健康状况、用药记录、手术记录、检验记录、检查记录、门诊与住院的诊断记录等。</w:t>
      </w:r>
    </w:p>
    <w:p w14:paraId="4C13EA49">
      <w:pPr>
        <w:pStyle w:val="3"/>
      </w:pPr>
      <w:r>
        <w:rPr>
          <w:rFonts w:hint="eastAsia"/>
        </w:rPr>
        <w:t>HIS系统升级新增</w:t>
      </w:r>
    </w:p>
    <w:p w14:paraId="01268EB9">
      <w:pPr>
        <w:pStyle w:val="4"/>
        <w:tabs>
          <w:tab w:val="left" w:pos="7371"/>
        </w:tabs>
        <w:jc w:val="center"/>
      </w:pPr>
      <w:r>
        <w:rPr>
          <w:rFonts w:hint="eastAsia" w:ascii="宋体" w:hAnsi="宋体"/>
        </w:rPr>
        <w:t>HIS系统标准化改造</w:t>
      </w:r>
    </w:p>
    <w:p w14:paraId="36F9CFD0">
      <w:pPr>
        <w:pStyle w:val="5"/>
      </w:pPr>
      <w:r>
        <w:rPr>
          <w:rFonts w:hint="eastAsia"/>
        </w:rPr>
        <w:t>HIS系统升级改造清单</w:t>
      </w:r>
    </w:p>
    <w:tbl>
      <w:tblPr>
        <w:tblStyle w:val="20"/>
        <w:tblW w:w="8217" w:type="dxa"/>
        <w:tblInd w:w="0" w:type="dxa"/>
        <w:tblLayout w:type="autofit"/>
        <w:tblCellMar>
          <w:top w:w="0" w:type="dxa"/>
          <w:left w:w="108" w:type="dxa"/>
          <w:bottom w:w="0" w:type="dxa"/>
          <w:right w:w="108" w:type="dxa"/>
        </w:tblCellMar>
      </w:tblPr>
      <w:tblGrid>
        <w:gridCol w:w="1060"/>
        <w:gridCol w:w="7157"/>
      </w:tblGrid>
      <w:tr w14:paraId="6E059F10">
        <w:tblPrEx>
          <w:tblCellMar>
            <w:top w:w="0" w:type="dxa"/>
            <w:left w:w="108" w:type="dxa"/>
            <w:bottom w:w="0" w:type="dxa"/>
            <w:right w:w="108" w:type="dxa"/>
          </w:tblCellMar>
        </w:tblPrEx>
        <w:trPr>
          <w:trHeight w:val="270"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EDB97">
            <w:pPr>
              <w:widowControl/>
              <w:spacing w:line="240" w:lineRule="auto"/>
              <w:jc w:val="center"/>
              <w:rPr>
                <w:rFonts w:ascii="宋体" w:hAnsi="宋体" w:eastAsia="宋体" w:cs="Tahoma"/>
                <w:b/>
                <w:bCs/>
                <w:color w:val="000000"/>
                <w:kern w:val="0"/>
                <w:sz w:val="22"/>
                <w:szCs w:val="22"/>
              </w:rPr>
            </w:pPr>
            <w:r>
              <w:rPr>
                <w:rFonts w:hint="eastAsia" w:ascii="宋体" w:hAnsi="宋体" w:eastAsia="宋体" w:cs="Tahoma"/>
                <w:b/>
                <w:bCs/>
                <w:color w:val="000000"/>
                <w:kern w:val="0"/>
                <w:sz w:val="22"/>
                <w:szCs w:val="22"/>
              </w:rPr>
              <w:t>序号</w:t>
            </w:r>
          </w:p>
        </w:tc>
        <w:tc>
          <w:tcPr>
            <w:tcW w:w="7157" w:type="dxa"/>
            <w:tcBorders>
              <w:top w:val="single" w:color="auto" w:sz="4" w:space="0"/>
              <w:left w:val="nil"/>
              <w:bottom w:val="single" w:color="auto" w:sz="4" w:space="0"/>
              <w:right w:val="single" w:color="auto" w:sz="4" w:space="0"/>
            </w:tcBorders>
            <w:shd w:val="clear" w:color="auto" w:fill="auto"/>
            <w:vAlign w:val="center"/>
          </w:tcPr>
          <w:p w14:paraId="3E1472C3">
            <w:pPr>
              <w:widowControl/>
              <w:spacing w:line="240" w:lineRule="auto"/>
              <w:jc w:val="center"/>
              <w:rPr>
                <w:rFonts w:ascii="宋体" w:hAnsi="宋体" w:eastAsia="宋体" w:cs="Tahoma"/>
                <w:b/>
                <w:bCs/>
                <w:color w:val="000000"/>
                <w:kern w:val="0"/>
                <w:sz w:val="22"/>
                <w:szCs w:val="22"/>
              </w:rPr>
            </w:pPr>
            <w:r>
              <w:rPr>
                <w:rFonts w:hint="eastAsia" w:ascii="宋体" w:hAnsi="宋体" w:eastAsia="宋体" w:cs="Tahoma"/>
                <w:b/>
                <w:bCs/>
                <w:color w:val="000000"/>
                <w:kern w:val="0"/>
                <w:sz w:val="22"/>
                <w:szCs w:val="22"/>
              </w:rPr>
              <w:t>升级改造内容</w:t>
            </w:r>
          </w:p>
        </w:tc>
      </w:tr>
      <w:tr w14:paraId="72E1A1E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2828B5A">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w:t>
            </w:r>
          </w:p>
        </w:tc>
        <w:tc>
          <w:tcPr>
            <w:tcW w:w="7157" w:type="dxa"/>
            <w:tcBorders>
              <w:top w:val="nil"/>
              <w:left w:val="nil"/>
              <w:bottom w:val="single" w:color="auto" w:sz="4" w:space="0"/>
              <w:right w:val="single" w:color="auto" w:sz="4" w:space="0"/>
            </w:tcBorders>
            <w:shd w:val="clear" w:color="auto" w:fill="auto"/>
            <w:vAlign w:val="center"/>
          </w:tcPr>
          <w:p w14:paraId="1E31A63B">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门诊收费、挂号系统</w:t>
            </w:r>
          </w:p>
        </w:tc>
      </w:tr>
      <w:tr w14:paraId="68199FE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B44867A">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w:t>
            </w:r>
          </w:p>
        </w:tc>
        <w:tc>
          <w:tcPr>
            <w:tcW w:w="7157" w:type="dxa"/>
            <w:tcBorders>
              <w:top w:val="nil"/>
              <w:left w:val="nil"/>
              <w:bottom w:val="single" w:color="auto" w:sz="4" w:space="0"/>
              <w:right w:val="single" w:color="auto" w:sz="4" w:space="0"/>
            </w:tcBorders>
            <w:shd w:val="clear" w:color="auto" w:fill="auto"/>
            <w:vAlign w:val="center"/>
          </w:tcPr>
          <w:p w14:paraId="478D1526">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住院结算系统</w:t>
            </w:r>
          </w:p>
        </w:tc>
      </w:tr>
      <w:tr w14:paraId="60A54AD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52ACA03">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3</w:t>
            </w:r>
          </w:p>
        </w:tc>
        <w:tc>
          <w:tcPr>
            <w:tcW w:w="7157" w:type="dxa"/>
            <w:tcBorders>
              <w:top w:val="nil"/>
              <w:left w:val="nil"/>
              <w:bottom w:val="single" w:color="auto" w:sz="4" w:space="0"/>
              <w:right w:val="single" w:color="auto" w:sz="4" w:space="0"/>
            </w:tcBorders>
            <w:shd w:val="clear" w:color="auto" w:fill="auto"/>
            <w:vAlign w:val="center"/>
          </w:tcPr>
          <w:p w14:paraId="54BFFBF7">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住院入出转管理系统</w:t>
            </w:r>
          </w:p>
        </w:tc>
      </w:tr>
      <w:tr w14:paraId="12490A6B">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F97997F">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4</w:t>
            </w:r>
          </w:p>
        </w:tc>
        <w:tc>
          <w:tcPr>
            <w:tcW w:w="7157" w:type="dxa"/>
            <w:tcBorders>
              <w:top w:val="nil"/>
              <w:left w:val="nil"/>
              <w:bottom w:val="single" w:color="auto" w:sz="4" w:space="0"/>
              <w:right w:val="single" w:color="auto" w:sz="4" w:space="0"/>
            </w:tcBorders>
            <w:shd w:val="clear" w:color="auto" w:fill="auto"/>
            <w:vAlign w:val="center"/>
          </w:tcPr>
          <w:p w14:paraId="0D1B99EA">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低值医用材料管理系统</w:t>
            </w:r>
          </w:p>
        </w:tc>
      </w:tr>
      <w:tr w14:paraId="4E6D883E">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044942B">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5</w:t>
            </w:r>
          </w:p>
        </w:tc>
        <w:tc>
          <w:tcPr>
            <w:tcW w:w="7157" w:type="dxa"/>
            <w:tcBorders>
              <w:top w:val="nil"/>
              <w:left w:val="nil"/>
              <w:bottom w:val="single" w:color="auto" w:sz="4" w:space="0"/>
              <w:right w:val="single" w:color="auto" w:sz="4" w:space="0"/>
            </w:tcBorders>
            <w:shd w:val="clear" w:color="auto" w:fill="auto"/>
            <w:vAlign w:val="center"/>
          </w:tcPr>
          <w:p w14:paraId="6ED7930D">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高值耗材管理系统</w:t>
            </w:r>
          </w:p>
        </w:tc>
      </w:tr>
      <w:tr w14:paraId="57BCEB2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2B9082D">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6</w:t>
            </w:r>
          </w:p>
        </w:tc>
        <w:tc>
          <w:tcPr>
            <w:tcW w:w="7157" w:type="dxa"/>
            <w:tcBorders>
              <w:top w:val="nil"/>
              <w:left w:val="nil"/>
              <w:bottom w:val="single" w:color="auto" w:sz="4" w:space="0"/>
              <w:right w:val="single" w:color="auto" w:sz="4" w:space="0"/>
            </w:tcBorders>
            <w:shd w:val="clear" w:color="auto" w:fill="auto"/>
            <w:vAlign w:val="center"/>
          </w:tcPr>
          <w:p w14:paraId="2F969C1B">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临床科室耗材管理系统</w:t>
            </w:r>
          </w:p>
        </w:tc>
      </w:tr>
      <w:tr w14:paraId="2DA5584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7CC5196">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7</w:t>
            </w:r>
          </w:p>
        </w:tc>
        <w:tc>
          <w:tcPr>
            <w:tcW w:w="7157" w:type="dxa"/>
            <w:tcBorders>
              <w:top w:val="nil"/>
              <w:left w:val="nil"/>
              <w:bottom w:val="single" w:color="auto" w:sz="4" w:space="0"/>
              <w:right w:val="single" w:color="auto" w:sz="4" w:space="0"/>
            </w:tcBorders>
            <w:shd w:val="clear" w:color="auto" w:fill="auto"/>
            <w:vAlign w:val="center"/>
          </w:tcPr>
          <w:p w14:paraId="3297DC30">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固定资产管理</w:t>
            </w:r>
          </w:p>
        </w:tc>
      </w:tr>
      <w:tr w14:paraId="11FA9DC5">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B45F9C5">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8</w:t>
            </w:r>
          </w:p>
        </w:tc>
        <w:tc>
          <w:tcPr>
            <w:tcW w:w="7157" w:type="dxa"/>
            <w:tcBorders>
              <w:top w:val="nil"/>
              <w:left w:val="nil"/>
              <w:bottom w:val="single" w:color="auto" w:sz="4" w:space="0"/>
              <w:right w:val="single" w:color="auto" w:sz="4" w:space="0"/>
            </w:tcBorders>
            <w:shd w:val="clear" w:color="auto" w:fill="auto"/>
            <w:vAlign w:val="center"/>
          </w:tcPr>
          <w:p w14:paraId="4A1380A4">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供应室追溯管理系统</w:t>
            </w:r>
          </w:p>
        </w:tc>
      </w:tr>
      <w:tr w14:paraId="3CD9F48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5F21CCE">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9</w:t>
            </w:r>
          </w:p>
        </w:tc>
        <w:tc>
          <w:tcPr>
            <w:tcW w:w="7157" w:type="dxa"/>
            <w:tcBorders>
              <w:top w:val="nil"/>
              <w:left w:val="nil"/>
              <w:bottom w:val="single" w:color="auto" w:sz="4" w:space="0"/>
              <w:right w:val="single" w:color="auto" w:sz="4" w:space="0"/>
            </w:tcBorders>
            <w:shd w:val="clear" w:color="auto" w:fill="auto"/>
            <w:vAlign w:val="center"/>
          </w:tcPr>
          <w:p w14:paraId="3BA66ABE">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医院绩效管理系统</w:t>
            </w:r>
          </w:p>
        </w:tc>
      </w:tr>
      <w:tr w14:paraId="3F147A3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D7DEA0A">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10</w:t>
            </w:r>
          </w:p>
        </w:tc>
        <w:tc>
          <w:tcPr>
            <w:tcW w:w="7157" w:type="dxa"/>
            <w:tcBorders>
              <w:top w:val="nil"/>
              <w:left w:val="nil"/>
              <w:bottom w:val="single" w:color="auto" w:sz="4" w:space="0"/>
              <w:right w:val="single" w:color="auto" w:sz="4" w:space="0"/>
            </w:tcBorders>
            <w:shd w:val="clear" w:color="auto" w:fill="auto"/>
            <w:vAlign w:val="center"/>
          </w:tcPr>
          <w:p w14:paraId="48B5F450">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药库管理系统</w:t>
            </w:r>
          </w:p>
        </w:tc>
      </w:tr>
      <w:tr w14:paraId="31268BD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05333F5">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11</w:t>
            </w:r>
          </w:p>
        </w:tc>
        <w:tc>
          <w:tcPr>
            <w:tcW w:w="7157" w:type="dxa"/>
            <w:tcBorders>
              <w:top w:val="nil"/>
              <w:left w:val="nil"/>
              <w:bottom w:val="single" w:color="auto" w:sz="4" w:space="0"/>
              <w:right w:val="single" w:color="auto" w:sz="4" w:space="0"/>
            </w:tcBorders>
            <w:shd w:val="clear" w:color="auto" w:fill="auto"/>
            <w:vAlign w:val="center"/>
          </w:tcPr>
          <w:p w14:paraId="14CC4EA7">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病案管理系统</w:t>
            </w:r>
          </w:p>
        </w:tc>
      </w:tr>
      <w:tr w14:paraId="3C493D0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ECB8125">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12</w:t>
            </w:r>
          </w:p>
        </w:tc>
        <w:tc>
          <w:tcPr>
            <w:tcW w:w="7157" w:type="dxa"/>
            <w:tcBorders>
              <w:top w:val="nil"/>
              <w:left w:val="nil"/>
              <w:bottom w:val="single" w:color="auto" w:sz="4" w:space="0"/>
              <w:right w:val="single" w:color="auto" w:sz="4" w:space="0"/>
            </w:tcBorders>
            <w:shd w:val="clear" w:color="auto" w:fill="auto"/>
            <w:vAlign w:val="center"/>
          </w:tcPr>
          <w:p w14:paraId="49768369">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电子病历质量监控管理系统</w:t>
            </w:r>
          </w:p>
        </w:tc>
      </w:tr>
      <w:tr w14:paraId="2F01F64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EB9149C">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13</w:t>
            </w:r>
          </w:p>
        </w:tc>
        <w:tc>
          <w:tcPr>
            <w:tcW w:w="7157" w:type="dxa"/>
            <w:tcBorders>
              <w:top w:val="nil"/>
              <w:left w:val="nil"/>
              <w:bottom w:val="single" w:color="auto" w:sz="4" w:space="0"/>
              <w:right w:val="single" w:color="auto" w:sz="4" w:space="0"/>
            </w:tcBorders>
            <w:shd w:val="clear" w:color="auto" w:fill="auto"/>
            <w:vAlign w:val="center"/>
          </w:tcPr>
          <w:p w14:paraId="5695DFCF">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门诊医生工作站</w:t>
            </w:r>
          </w:p>
        </w:tc>
      </w:tr>
      <w:tr w14:paraId="1652021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4C91AFD">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14</w:t>
            </w:r>
          </w:p>
        </w:tc>
        <w:tc>
          <w:tcPr>
            <w:tcW w:w="7157" w:type="dxa"/>
            <w:tcBorders>
              <w:top w:val="nil"/>
              <w:left w:val="nil"/>
              <w:bottom w:val="single" w:color="auto" w:sz="4" w:space="0"/>
              <w:right w:val="single" w:color="auto" w:sz="4" w:space="0"/>
            </w:tcBorders>
            <w:shd w:val="clear" w:color="auto" w:fill="auto"/>
            <w:vAlign w:val="center"/>
          </w:tcPr>
          <w:p w14:paraId="0F846044">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门急诊护士工作站</w:t>
            </w:r>
          </w:p>
        </w:tc>
      </w:tr>
      <w:tr w14:paraId="32CC8D4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390DA86">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15</w:t>
            </w:r>
          </w:p>
        </w:tc>
        <w:tc>
          <w:tcPr>
            <w:tcW w:w="7157" w:type="dxa"/>
            <w:tcBorders>
              <w:top w:val="nil"/>
              <w:left w:val="nil"/>
              <w:bottom w:val="single" w:color="auto" w:sz="4" w:space="0"/>
              <w:right w:val="single" w:color="auto" w:sz="4" w:space="0"/>
            </w:tcBorders>
            <w:shd w:val="clear" w:color="auto" w:fill="auto"/>
            <w:vAlign w:val="center"/>
          </w:tcPr>
          <w:p w14:paraId="147C8DA2">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门急诊电子病历系统</w:t>
            </w:r>
          </w:p>
        </w:tc>
      </w:tr>
      <w:tr w14:paraId="2518AD1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38296C8">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16</w:t>
            </w:r>
          </w:p>
        </w:tc>
        <w:tc>
          <w:tcPr>
            <w:tcW w:w="7157" w:type="dxa"/>
            <w:tcBorders>
              <w:top w:val="nil"/>
              <w:left w:val="nil"/>
              <w:bottom w:val="single" w:color="auto" w:sz="4" w:space="0"/>
              <w:right w:val="single" w:color="auto" w:sz="4" w:space="0"/>
            </w:tcBorders>
            <w:shd w:val="clear" w:color="auto" w:fill="auto"/>
            <w:vAlign w:val="center"/>
          </w:tcPr>
          <w:p w14:paraId="417D00A3">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门诊药房管理系统</w:t>
            </w:r>
          </w:p>
        </w:tc>
      </w:tr>
      <w:tr w14:paraId="44C8AE8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B56CB0A">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17</w:t>
            </w:r>
          </w:p>
        </w:tc>
        <w:tc>
          <w:tcPr>
            <w:tcW w:w="7157" w:type="dxa"/>
            <w:tcBorders>
              <w:top w:val="nil"/>
              <w:left w:val="nil"/>
              <w:bottom w:val="single" w:color="auto" w:sz="4" w:space="0"/>
              <w:right w:val="single" w:color="auto" w:sz="4" w:space="0"/>
            </w:tcBorders>
            <w:shd w:val="clear" w:color="auto" w:fill="auto"/>
            <w:vAlign w:val="center"/>
          </w:tcPr>
          <w:p w14:paraId="6348FD6B">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住院医生工作站</w:t>
            </w:r>
          </w:p>
        </w:tc>
      </w:tr>
      <w:tr w14:paraId="5BEFEAE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5E2A167">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18</w:t>
            </w:r>
          </w:p>
        </w:tc>
        <w:tc>
          <w:tcPr>
            <w:tcW w:w="7157" w:type="dxa"/>
            <w:tcBorders>
              <w:top w:val="nil"/>
              <w:left w:val="nil"/>
              <w:bottom w:val="single" w:color="auto" w:sz="4" w:space="0"/>
              <w:right w:val="single" w:color="auto" w:sz="4" w:space="0"/>
            </w:tcBorders>
            <w:shd w:val="clear" w:color="auto" w:fill="auto"/>
            <w:vAlign w:val="center"/>
          </w:tcPr>
          <w:p w14:paraId="24D9BA72">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住院护士工作站</w:t>
            </w:r>
          </w:p>
        </w:tc>
      </w:tr>
      <w:tr w14:paraId="2339919B">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AFE81A4">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19</w:t>
            </w:r>
          </w:p>
        </w:tc>
        <w:tc>
          <w:tcPr>
            <w:tcW w:w="7157" w:type="dxa"/>
            <w:tcBorders>
              <w:top w:val="nil"/>
              <w:left w:val="nil"/>
              <w:bottom w:val="single" w:color="auto" w:sz="4" w:space="0"/>
              <w:right w:val="single" w:color="auto" w:sz="4" w:space="0"/>
            </w:tcBorders>
            <w:shd w:val="clear" w:color="auto" w:fill="auto"/>
            <w:vAlign w:val="center"/>
          </w:tcPr>
          <w:p w14:paraId="5F1C9EA3">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住院药房管理系统</w:t>
            </w:r>
          </w:p>
        </w:tc>
      </w:tr>
      <w:tr w14:paraId="6C43DF6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BE8CA2F">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20</w:t>
            </w:r>
          </w:p>
        </w:tc>
        <w:tc>
          <w:tcPr>
            <w:tcW w:w="7157" w:type="dxa"/>
            <w:tcBorders>
              <w:top w:val="nil"/>
              <w:left w:val="nil"/>
              <w:bottom w:val="single" w:color="auto" w:sz="4" w:space="0"/>
              <w:right w:val="single" w:color="auto" w:sz="4" w:space="0"/>
            </w:tcBorders>
            <w:shd w:val="clear" w:color="auto" w:fill="auto"/>
            <w:vAlign w:val="center"/>
          </w:tcPr>
          <w:p w14:paraId="72737800">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住院电子病历系统</w:t>
            </w:r>
          </w:p>
        </w:tc>
      </w:tr>
      <w:tr w14:paraId="3EEE0265">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7905955">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21</w:t>
            </w:r>
          </w:p>
        </w:tc>
        <w:tc>
          <w:tcPr>
            <w:tcW w:w="7157" w:type="dxa"/>
            <w:tcBorders>
              <w:top w:val="nil"/>
              <w:left w:val="nil"/>
              <w:bottom w:val="single" w:color="auto" w:sz="4" w:space="0"/>
              <w:right w:val="single" w:color="auto" w:sz="4" w:space="0"/>
            </w:tcBorders>
            <w:shd w:val="clear" w:color="auto" w:fill="auto"/>
            <w:vAlign w:val="center"/>
          </w:tcPr>
          <w:p w14:paraId="35328247">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护理病历管理系统</w:t>
            </w:r>
          </w:p>
        </w:tc>
      </w:tr>
      <w:tr w14:paraId="605FFA1B">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0039F19">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22</w:t>
            </w:r>
          </w:p>
        </w:tc>
        <w:tc>
          <w:tcPr>
            <w:tcW w:w="7157" w:type="dxa"/>
            <w:tcBorders>
              <w:top w:val="nil"/>
              <w:left w:val="nil"/>
              <w:bottom w:val="single" w:color="auto" w:sz="4" w:space="0"/>
              <w:right w:val="single" w:color="auto" w:sz="4" w:space="0"/>
            </w:tcBorders>
            <w:shd w:val="clear" w:color="auto" w:fill="auto"/>
            <w:vAlign w:val="center"/>
          </w:tcPr>
          <w:p w14:paraId="012A786E">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临床路径管理系统</w:t>
            </w:r>
          </w:p>
        </w:tc>
      </w:tr>
      <w:tr w14:paraId="3D9954B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44EB1AC">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23</w:t>
            </w:r>
          </w:p>
        </w:tc>
        <w:tc>
          <w:tcPr>
            <w:tcW w:w="7157" w:type="dxa"/>
            <w:tcBorders>
              <w:top w:val="nil"/>
              <w:left w:val="nil"/>
              <w:bottom w:val="single" w:color="auto" w:sz="4" w:space="0"/>
              <w:right w:val="single" w:color="auto" w:sz="4" w:space="0"/>
            </w:tcBorders>
            <w:shd w:val="clear" w:color="auto" w:fill="auto"/>
            <w:vAlign w:val="center"/>
          </w:tcPr>
          <w:p w14:paraId="583DB500">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合理用血管理系统</w:t>
            </w:r>
          </w:p>
        </w:tc>
      </w:tr>
      <w:tr w14:paraId="3A99FBA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4733D31">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24</w:t>
            </w:r>
          </w:p>
        </w:tc>
        <w:tc>
          <w:tcPr>
            <w:tcW w:w="7157" w:type="dxa"/>
            <w:tcBorders>
              <w:top w:val="nil"/>
              <w:left w:val="nil"/>
              <w:bottom w:val="single" w:color="auto" w:sz="4" w:space="0"/>
              <w:right w:val="single" w:color="auto" w:sz="4" w:space="0"/>
            </w:tcBorders>
            <w:shd w:val="clear" w:color="auto" w:fill="auto"/>
            <w:vAlign w:val="center"/>
          </w:tcPr>
          <w:p w14:paraId="29139FD1">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手术麻醉系统</w:t>
            </w:r>
          </w:p>
        </w:tc>
      </w:tr>
      <w:tr w14:paraId="2337445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ECE422B">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25</w:t>
            </w:r>
          </w:p>
        </w:tc>
        <w:tc>
          <w:tcPr>
            <w:tcW w:w="7157" w:type="dxa"/>
            <w:tcBorders>
              <w:top w:val="nil"/>
              <w:left w:val="nil"/>
              <w:bottom w:val="single" w:color="auto" w:sz="4" w:space="0"/>
              <w:right w:val="single" w:color="auto" w:sz="4" w:space="0"/>
            </w:tcBorders>
            <w:shd w:val="clear" w:color="auto" w:fill="auto"/>
            <w:vAlign w:val="center"/>
          </w:tcPr>
          <w:p w14:paraId="3C67CE90">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抗菌药物分级管理</w:t>
            </w:r>
          </w:p>
        </w:tc>
      </w:tr>
      <w:tr w14:paraId="044A656B">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B59BD54">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26</w:t>
            </w:r>
          </w:p>
        </w:tc>
        <w:tc>
          <w:tcPr>
            <w:tcW w:w="7157" w:type="dxa"/>
            <w:tcBorders>
              <w:top w:val="nil"/>
              <w:left w:val="nil"/>
              <w:bottom w:val="single" w:color="auto" w:sz="4" w:space="0"/>
              <w:right w:val="single" w:color="auto" w:sz="4" w:space="0"/>
            </w:tcBorders>
            <w:shd w:val="clear" w:color="auto" w:fill="auto"/>
            <w:vAlign w:val="center"/>
          </w:tcPr>
          <w:p w14:paraId="2518C1ED">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不良事件管理系统</w:t>
            </w:r>
          </w:p>
        </w:tc>
      </w:tr>
      <w:tr w14:paraId="3C47B88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01049EA">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27</w:t>
            </w:r>
          </w:p>
        </w:tc>
        <w:tc>
          <w:tcPr>
            <w:tcW w:w="7157" w:type="dxa"/>
            <w:tcBorders>
              <w:top w:val="nil"/>
              <w:left w:val="nil"/>
              <w:bottom w:val="single" w:color="auto" w:sz="4" w:space="0"/>
              <w:right w:val="single" w:color="auto" w:sz="4" w:space="0"/>
            </w:tcBorders>
            <w:shd w:val="clear" w:color="auto" w:fill="auto"/>
            <w:vAlign w:val="center"/>
          </w:tcPr>
          <w:p w14:paraId="43C33CD4">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青海省全民健康信息平台接口</w:t>
            </w:r>
          </w:p>
        </w:tc>
      </w:tr>
      <w:tr w14:paraId="4FADF5B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A2B602C">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28</w:t>
            </w:r>
          </w:p>
        </w:tc>
        <w:tc>
          <w:tcPr>
            <w:tcW w:w="7157" w:type="dxa"/>
            <w:tcBorders>
              <w:top w:val="nil"/>
              <w:left w:val="nil"/>
              <w:bottom w:val="single" w:color="auto" w:sz="4" w:space="0"/>
              <w:right w:val="single" w:color="auto" w:sz="4" w:space="0"/>
            </w:tcBorders>
            <w:shd w:val="clear" w:color="auto" w:fill="auto"/>
            <w:vAlign w:val="center"/>
          </w:tcPr>
          <w:p w14:paraId="4588C171">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海南州全民健康信息平台接口（预留）</w:t>
            </w:r>
          </w:p>
        </w:tc>
      </w:tr>
      <w:tr w14:paraId="053F7AA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2409F12">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29</w:t>
            </w:r>
          </w:p>
        </w:tc>
        <w:tc>
          <w:tcPr>
            <w:tcW w:w="7157" w:type="dxa"/>
            <w:tcBorders>
              <w:top w:val="nil"/>
              <w:left w:val="nil"/>
              <w:bottom w:val="single" w:color="auto" w:sz="4" w:space="0"/>
              <w:right w:val="single" w:color="auto" w:sz="4" w:space="0"/>
            </w:tcBorders>
            <w:shd w:val="clear" w:color="auto" w:fill="auto"/>
            <w:vAlign w:val="center"/>
          </w:tcPr>
          <w:p w14:paraId="2C3754CB">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海南州远程医疗接口</w:t>
            </w:r>
          </w:p>
        </w:tc>
      </w:tr>
      <w:tr w14:paraId="7976C2F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72CFAB2">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30</w:t>
            </w:r>
          </w:p>
        </w:tc>
        <w:tc>
          <w:tcPr>
            <w:tcW w:w="7157" w:type="dxa"/>
            <w:tcBorders>
              <w:top w:val="nil"/>
              <w:left w:val="nil"/>
              <w:bottom w:val="single" w:color="auto" w:sz="4" w:space="0"/>
              <w:right w:val="single" w:color="auto" w:sz="4" w:space="0"/>
            </w:tcBorders>
            <w:shd w:val="clear" w:color="auto" w:fill="auto"/>
            <w:vAlign w:val="center"/>
          </w:tcPr>
          <w:p w14:paraId="48756805">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银行对账平台接口</w:t>
            </w:r>
          </w:p>
        </w:tc>
      </w:tr>
      <w:tr w14:paraId="616543E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1C2503E">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31</w:t>
            </w:r>
          </w:p>
        </w:tc>
        <w:tc>
          <w:tcPr>
            <w:tcW w:w="7157" w:type="dxa"/>
            <w:tcBorders>
              <w:top w:val="nil"/>
              <w:left w:val="nil"/>
              <w:bottom w:val="single" w:color="auto" w:sz="4" w:space="0"/>
              <w:right w:val="single" w:color="auto" w:sz="4" w:space="0"/>
            </w:tcBorders>
            <w:shd w:val="clear" w:color="auto" w:fill="auto"/>
            <w:vAlign w:val="center"/>
          </w:tcPr>
          <w:p w14:paraId="791169B3">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医保平台所有接口（包含自助机）</w:t>
            </w:r>
          </w:p>
        </w:tc>
      </w:tr>
      <w:tr w14:paraId="0D8D6125">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BCFBA9F">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32</w:t>
            </w:r>
          </w:p>
        </w:tc>
        <w:tc>
          <w:tcPr>
            <w:tcW w:w="7157" w:type="dxa"/>
            <w:tcBorders>
              <w:top w:val="nil"/>
              <w:left w:val="nil"/>
              <w:bottom w:val="single" w:color="auto" w:sz="4" w:space="0"/>
              <w:right w:val="single" w:color="auto" w:sz="4" w:space="0"/>
            </w:tcBorders>
            <w:shd w:val="clear" w:color="auto" w:fill="auto"/>
            <w:vAlign w:val="center"/>
          </w:tcPr>
          <w:p w14:paraId="399B73A0">
            <w:pPr>
              <w:widowControl/>
              <w:spacing w:line="240" w:lineRule="auto"/>
              <w:jc w:val="center"/>
              <w:rPr>
                <w:rFonts w:ascii="宋体" w:hAnsi="宋体" w:eastAsia="宋体" w:cs="Tahoma"/>
                <w:color w:val="000000"/>
                <w:kern w:val="0"/>
                <w:sz w:val="22"/>
                <w:szCs w:val="22"/>
              </w:rPr>
            </w:pPr>
            <w:r>
              <w:rPr>
                <w:rFonts w:hint="eastAsia" w:ascii="宋体" w:hAnsi="宋体" w:eastAsia="宋体" w:cs="Tahoma"/>
                <w:color w:val="000000"/>
                <w:kern w:val="0"/>
                <w:sz w:val="22"/>
                <w:szCs w:val="22"/>
              </w:rPr>
              <w:t>传染病智能监测接口</w:t>
            </w:r>
          </w:p>
        </w:tc>
      </w:tr>
    </w:tbl>
    <w:p w14:paraId="3948A639">
      <w:pPr>
        <w:pStyle w:val="5"/>
        <w:rPr>
          <w:b/>
          <w:bCs/>
        </w:rPr>
      </w:pPr>
      <w:r>
        <w:rPr>
          <w:rFonts w:hint="eastAsia"/>
          <w:b/>
          <w:bCs/>
        </w:rPr>
        <w:t>HIS系统升级改造</w:t>
      </w:r>
      <w:r>
        <w:rPr>
          <w:rFonts w:hint="eastAsia"/>
        </w:rPr>
        <w:t>内容要求</w:t>
      </w:r>
    </w:p>
    <w:p w14:paraId="56EC6EB1">
      <w:pPr>
        <w:ind w:firstLine="420" w:firstLineChars="200"/>
        <w:rPr>
          <w:rFonts w:ascii="宋体" w:hAnsi="宋体" w:eastAsia="宋体"/>
        </w:rPr>
      </w:pPr>
      <w:r>
        <w:rPr>
          <w:rFonts w:hint="eastAsia" w:ascii="宋体" w:hAnsi="宋体" w:eastAsia="宋体"/>
        </w:rPr>
        <w:t>1、依据《电子病历五级分级应用评价标准》进行HIS系统功能性升级改造，满足医院现有功能及业务流程的基础上还应满足医院的管理流程和相关政策要求，并能根据政策调整及医院合理需求定制开发服务。</w:t>
      </w:r>
    </w:p>
    <w:tbl>
      <w:tblPr>
        <w:tblStyle w:val="20"/>
        <w:tblW w:w="8359" w:type="dxa"/>
        <w:tblInd w:w="0" w:type="dxa"/>
        <w:tblLayout w:type="autofit"/>
        <w:tblCellMar>
          <w:top w:w="0" w:type="dxa"/>
          <w:left w:w="108" w:type="dxa"/>
          <w:bottom w:w="0" w:type="dxa"/>
          <w:right w:w="108" w:type="dxa"/>
        </w:tblCellMar>
      </w:tblPr>
      <w:tblGrid>
        <w:gridCol w:w="820"/>
        <w:gridCol w:w="860"/>
        <w:gridCol w:w="6679"/>
      </w:tblGrid>
      <w:tr w14:paraId="245C4858">
        <w:tblPrEx>
          <w:tblCellMar>
            <w:top w:w="0" w:type="dxa"/>
            <w:left w:w="108" w:type="dxa"/>
            <w:bottom w:w="0" w:type="dxa"/>
            <w:right w:w="108" w:type="dxa"/>
          </w:tblCellMar>
        </w:tblPrEx>
        <w:trPr>
          <w:trHeight w:val="54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C1B0">
            <w:pPr>
              <w:widowControl/>
              <w:spacing w:line="276" w:lineRule="auto"/>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工作</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角色</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7BE4BF5B">
            <w:pPr>
              <w:widowControl/>
              <w:spacing w:line="276" w:lineRule="auto"/>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业务</w:t>
            </w:r>
            <w:r>
              <w:rPr>
                <w:rFonts w:hint="eastAsia" w:ascii="宋体" w:hAnsi="宋体" w:eastAsia="宋体" w:cs="宋体"/>
                <w:b/>
                <w:bCs/>
                <w:color w:val="000000"/>
                <w:kern w:val="0"/>
                <w:sz w:val="21"/>
                <w:szCs w:val="21"/>
              </w:rPr>
              <w:br w:type="textWrapping"/>
            </w:r>
            <w:r>
              <w:rPr>
                <w:rFonts w:hint="eastAsia" w:ascii="宋体" w:hAnsi="宋体" w:eastAsia="宋体" w:cs="宋体"/>
                <w:b/>
                <w:bCs/>
                <w:color w:val="000000"/>
                <w:kern w:val="0"/>
                <w:sz w:val="21"/>
                <w:szCs w:val="21"/>
              </w:rPr>
              <w:t>项目</w:t>
            </w:r>
          </w:p>
        </w:tc>
        <w:tc>
          <w:tcPr>
            <w:tcW w:w="6679" w:type="dxa"/>
            <w:tcBorders>
              <w:top w:val="single" w:color="000000" w:sz="4" w:space="0"/>
              <w:left w:val="nil"/>
              <w:bottom w:val="single" w:color="000000" w:sz="4" w:space="0"/>
              <w:right w:val="single" w:color="000000" w:sz="4" w:space="0"/>
            </w:tcBorders>
            <w:shd w:val="clear" w:color="auto" w:fill="auto"/>
            <w:vAlign w:val="center"/>
          </w:tcPr>
          <w:p w14:paraId="31DB7A70">
            <w:pPr>
              <w:widowControl/>
              <w:spacing w:line="276" w:lineRule="auto"/>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基于现有HIS系统功能对标改造内容</w:t>
            </w:r>
          </w:p>
        </w:tc>
      </w:tr>
      <w:tr w14:paraId="3705922C">
        <w:tblPrEx>
          <w:tblCellMar>
            <w:top w:w="0" w:type="dxa"/>
            <w:left w:w="108" w:type="dxa"/>
            <w:bottom w:w="0" w:type="dxa"/>
            <w:right w:w="108" w:type="dxa"/>
          </w:tblCellMar>
        </w:tblPrEx>
        <w:trPr>
          <w:trHeight w:val="1785"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41386CE1">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病房医师</w:t>
            </w: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2BDEFADA">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病房医嘱处理</w:t>
            </w:r>
          </w:p>
        </w:tc>
        <w:tc>
          <w:tcPr>
            <w:tcW w:w="6679" w:type="dxa"/>
            <w:tcBorders>
              <w:top w:val="nil"/>
              <w:left w:val="nil"/>
              <w:bottom w:val="single" w:color="000000" w:sz="4" w:space="0"/>
              <w:right w:val="single" w:color="000000" w:sz="4" w:space="0"/>
            </w:tcBorders>
            <w:shd w:val="clear" w:color="auto" w:fill="auto"/>
            <w:vAlign w:val="center"/>
          </w:tcPr>
          <w:p w14:paraId="5FAB71DC">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（1）医嘱字典全院统一管理。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（2）医生开立医嘱、护士处理医嘱、领药审核、药房审核发药、护士执行医嘱、住院收费医嘱费用查询界面都能够查询到医生开立的医嘱进行操作，且医嘱的信息一致。</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（3）其他科室（医务科）在病历浏览界面查看患者的医嘱记录</w:t>
            </w:r>
          </w:p>
        </w:tc>
      </w:tr>
      <w:tr w14:paraId="5F5E649D">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234B3E34">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75CAAAA7">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39AA246">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（1）可以根据安全组设置开医嘱权限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（2）对于毒麻药品可以设置医生开立权限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（3）对于抗菌药物有三级使用权限管理功能</w:t>
            </w:r>
          </w:p>
        </w:tc>
      </w:tr>
      <w:tr w14:paraId="51DF29D2">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64B6A2AC">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5825EBF6">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2CCA4100">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（1）病房医生在下达传染病诊断时，系统自动提醒并强制要求上报传染病报卡。医务管理部门能在系统中查看、审核医生上报的传染病报卡。</w:t>
            </w:r>
          </w:p>
        </w:tc>
      </w:tr>
      <w:tr w14:paraId="50F4E2FB">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674DBB0B">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515C13A7">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病房检验申请</w:t>
            </w:r>
          </w:p>
        </w:tc>
        <w:tc>
          <w:tcPr>
            <w:tcW w:w="6679" w:type="dxa"/>
            <w:tcBorders>
              <w:top w:val="nil"/>
              <w:left w:val="nil"/>
              <w:bottom w:val="single" w:color="000000" w:sz="4" w:space="0"/>
              <w:right w:val="single" w:color="000000" w:sz="4" w:space="0"/>
            </w:tcBorders>
            <w:shd w:val="clear" w:color="auto" w:fill="auto"/>
            <w:vAlign w:val="center"/>
          </w:tcPr>
          <w:p w14:paraId="3BDA19C2">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（1）全院使用统一的检验申请医嘱字典，病房医生开立检验申请医嘱后检验科接收标本，审核发布报告，病房医生和护士可以在系统中查看到各类检验报告内容，检验报告能和检验申请相互对应。</w:t>
            </w:r>
          </w:p>
        </w:tc>
      </w:tr>
      <w:tr w14:paraId="55E3E8FF">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213D095C">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56680683">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6C026D39">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（1）全院的检验标本字典，由检验科室统一维护，病房医生在开立检验申请时，会自动显示检验项目绑定的标本名称，多个标本的检验项目，医生可以根据实际情况选择标本类型。</w:t>
            </w:r>
          </w:p>
        </w:tc>
      </w:tr>
      <w:tr w14:paraId="7C4D6DA9">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0EA5C036">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47030091">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39F8831D">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（1）病房医生开检验申请时，可以浏览患者的重要病历信息（本次及历次就诊的病历、检验报告、检查报告、护理记录、生命体征等）</w:t>
            </w:r>
          </w:p>
        </w:tc>
      </w:tr>
      <w:tr w14:paraId="7CFACEDD">
        <w:tblPrEx>
          <w:tblCellMar>
            <w:top w:w="0" w:type="dxa"/>
            <w:left w:w="108" w:type="dxa"/>
            <w:bottom w:w="0" w:type="dxa"/>
            <w:right w:w="108" w:type="dxa"/>
          </w:tblCellMar>
        </w:tblPrEx>
        <w:trPr>
          <w:trHeight w:val="841" w:hRule="atLeast"/>
        </w:trPr>
        <w:tc>
          <w:tcPr>
            <w:tcW w:w="820" w:type="dxa"/>
            <w:vMerge w:val="continue"/>
            <w:tcBorders>
              <w:top w:val="nil"/>
              <w:left w:val="single" w:color="000000" w:sz="4" w:space="0"/>
              <w:bottom w:val="single" w:color="000000" w:sz="4" w:space="0"/>
              <w:right w:val="single" w:color="000000" w:sz="4" w:space="0"/>
            </w:tcBorders>
            <w:vAlign w:val="center"/>
          </w:tcPr>
          <w:p w14:paraId="4ECC4814">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606141DC">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病房检验报告</w:t>
            </w:r>
          </w:p>
        </w:tc>
        <w:tc>
          <w:tcPr>
            <w:tcW w:w="6679" w:type="dxa"/>
            <w:tcBorders>
              <w:top w:val="nil"/>
              <w:left w:val="nil"/>
              <w:bottom w:val="single" w:color="000000" w:sz="4" w:space="0"/>
              <w:right w:val="single" w:color="000000" w:sz="4" w:space="0"/>
            </w:tcBorders>
            <w:shd w:val="clear" w:color="auto" w:fill="auto"/>
            <w:vAlign w:val="center"/>
          </w:tcPr>
          <w:p w14:paraId="38D5011D">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（1）病房医生在检验结果界面能查看各类检验的报告（如临检、生化、免疫、微生物）、能看门诊就诊的检验报告。</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（2）不同角色都能查看检验报告，且看到的内容相同。检验报告能和检验申请相互对应。</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（3）病历能引用检验结果。</w:t>
            </w:r>
          </w:p>
        </w:tc>
      </w:tr>
      <w:tr w14:paraId="2BD2C7B8">
        <w:tblPrEx>
          <w:tblCellMar>
            <w:top w:w="0" w:type="dxa"/>
            <w:left w:w="108" w:type="dxa"/>
            <w:bottom w:w="0" w:type="dxa"/>
            <w:right w:w="108" w:type="dxa"/>
          </w:tblCellMar>
        </w:tblPrEx>
        <w:trPr>
          <w:trHeight w:val="3825" w:hRule="atLeast"/>
        </w:trPr>
        <w:tc>
          <w:tcPr>
            <w:tcW w:w="820" w:type="dxa"/>
            <w:vMerge w:val="continue"/>
            <w:tcBorders>
              <w:top w:val="nil"/>
              <w:left w:val="single" w:color="000000" w:sz="4" w:space="0"/>
              <w:bottom w:val="single" w:color="000000" w:sz="4" w:space="0"/>
              <w:right w:val="single" w:color="000000" w:sz="4" w:space="0"/>
            </w:tcBorders>
            <w:vAlign w:val="center"/>
          </w:tcPr>
          <w:p w14:paraId="4989F629">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70E43A13">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0A090195">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（1）诊断：检验系统按照“诊断ICD编码”维护化验项目的正常参考值范围，检验报告发布时、病房医生查阅报告时按照患者临床诊断自动显示符合的正常参考值范围及异常值提示。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（2）性别\年龄：检验系统按照“性别字典”、“年龄段”维护化验项目的正常参考值范围，检验报告发布时、病房医生查阅报告时按照患者性别自动显示符合的正常参考值值范围。</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生理周期：检验系统按照“生理周期”维护化验项目的正常参考值范围，病房医师开检验申请前选择患者采集标本时的生理周期，检验报告发布时、病房医生查阅报告时按照病房医师选择的“生理周期”自动显示符合的正常参考值范围。</w:t>
            </w:r>
          </w:p>
        </w:tc>
      </w:tr>
      <w:tr w14:paraId="01946959">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2B625DB1">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63EDEFCD">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596C22CE">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（1）病房医生查看患者检验结果时，可以看到按历史检验结果的时间节点绘制出的结果趋势图，查看患者检验指标的变化。</w:t>
            </w:r>
          </w:p>
        </w:tc>
      </w:tr>
      <w:tr w14:paraId="1D566FBB">
        <w:tblPrEx>
          <w:tblCellMar>
            <w:top w:w="0" w:type="dxa"/>
            <w:left w:w="108" w:type="dxa"/>
            <w:bottom w:w="0" w:type="dxa"/>
            <w:right w:w="108" w:type="dxa"/>
          </w:tblCellMar>
        </w:tblPrEx>
        <w:trPr>
          <w:trHeight w:val="2805" w:hRule="atLeast"/>
        </w:trPr>
        <w:tc>
          <w:tcPr>
            <w:tcW w:w="820" w:type="dxa"/>
            <w:vMerge w:val="continue"/>
            <w:tcBorders>
              <w:top w:val="nil"/>
              <w:left w:val="single" w:color="000000" w:sz="4" w:space="0"/>
              <w:bottom w:val="single" w:color="000000" w:sz="4" w:space="0"/>
              <w:right w:val="single" w:color="000000" w:sz="4" w:space="0"/>
            </w:tcBorders>
            <w:vAlign w:val="center"/>
          </w:tcPr>
          <w:p w14:paraId="57336204">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20CECFA3">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5905FA90">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（1）检验科发布危急值报告时通过系统发送消息给相应病区的医生与护士，病房医生站和护士站会立即自动弹出危急值紧急消息提醒框。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（2）护士接到危急值消息后及时通知医生，在系统中记录通知情况。医生通过危急值消息处理界面查看检验危急值报告的详细内容，处理后在系统中填写处理情况。</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（3）检验科可以在检验系统中接收到临床处理危急值的信息。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（4）检验科，医务部，病房医生、护士可以在系统中查询历史的危急值记录及处理情况。</w:t>
            </w:r>
          </w:p>
        </w:tc>
      </w:tr>
      <w:tr w14:paraId="7E9974D2">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377AE8BB">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56B9DDF7">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7E800B9F">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（1）病房医生浏览检验报告时可以通过病历浏览或全息视图查看患者的重要病历信息（包括：医嘱、本次及历次就诊的病历、过敏记录、检查报告、护理记录、生命体征等）</w:t>
            </w:r>
          </w:p>
        </w:tc>
      </w:tr>
      <w:tr w14:paraId="7E1D50A6">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377AC11D">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09488763">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病房检查申请</w:t>
            </w:r>
          </w:p>
        </w:tc>
        <w:tc>
          <w:tcPr>
            <w:tcW w:w="6679" w:type="dxa"/>
            <w:tcBorders>
              <w:top w:val="nil"/>
              <w:left w:val="nil"/>
              <w:bottom w:val="single" w:color="000000" w:sz="4" w:space="0"/>
              <w:right w:val="single" w:color="000000" w:sz="4" w:space="0"/>
            </w:tcBorders>
            <w:shd w:val="clear" w:color="auto" w:fill="auto"/>
            <w:vAlign w:val="center"/>
          </w:tcPr>
          <w:p w14:paraId="4A969F2F">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检查申请项目字典全院统一维护，病房医生开立检查申请单后，病房护士处理，检查科室可调阅电子检查申请单，检查登记，审核发布检查报告，病房医生、护士查看到检查报告。检查报告和检查申请相互对应。</w:t>
            </w:r>
          </w:p>
        </w:tc>
      </w:tr>
      <w:tr w14:paraId="36BAFFEB">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6FAD312B">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726F95F8">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8184D5C">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（1）病房医生开检查申请时，可以浏览患者的重要病历信息（本次及历次就诊的病历、检验报告、检查报告、护理记录、生命体征等）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（2）开立检查申请时能自动引用电子病历中的主诉、现病史等信息。</w:t>
            </w:r>
          </w:p>
        </w:tc>
      </w:tr>
      <w:tr w14:paraId="4F55D218">
        <w:tblPrEx>
          <w:tblCellMar>
            <w:top w:w="0" w:type="dxa"/>
            <w:left w:w="108" w:type="dxa"/>
            <w:bottom w:w="0" w:type="dxa"/>
            <w:right w:w="108" w:type="dxa"/>
          </w:tblCellMar>
        </w:tblPrEx>
        <w:trPr>
          <w:trHeight w:val="1530" w:hRule="atLeast"/>
        </w:trPr>
        <w:tc>
          <w:tcPr>
            <w:tcW w:w="820" w:type="dxa"/>
            <w:vMerge w:val="continue"/>
            <w:tcBorders>
              <w:top w:val="nil"/>
              <w:left w:val="single" w:color="000000" w:sz="4" w:space="0"/>
              <w:bottom w:val="single" w:color="000000" w:sz="4" w:space="0"/>
              <w:right w:val="single" w:color="000000" w:sz="4" w:space="0"/>
            </w:tcBorders>
            <w:vAlign w:val="center"/>
          </w:tcPr>
          <w:p w14:paraId="7EF2C786">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46CD50CE">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病房检查报告</w:t>
            </w:r>
          </w:p>
        </w:tc>
        <w:tc>
          <w:tcPr>
            <w:tcW w:w="6679" w:type="dxa"/>
            <w:tcBorders>
              <w:top w:val="nil"/>
              <w:left w:val="nil"/>
              <w:bottom w:val="single" w:color="000000" w:sz="4" w:space="0"/>
              <w:right w:val="single" w:color="000000" w:sz="4" w:space="0"/>
            </w:tcBorders>
            <w:shd w:val="clear" w:color="auto" w:fill="auto"/>
            <w:vAlign w:val="center"/>
          </w:tcPr>
          <w:p w14:paraId="566C2621">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（1）病房医师在检查列表界面能看各类检查的报告和图像，可查看患者历史就诊的所有检查报告和图像，包括门诊检查报告和图像。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（2）同一患者的检查报告在不同角色下看到的内容一致。</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（3）病历能够引用检查报告的内容。</w:t>
            </w:r>
          </w:p>
        </w:tc>
      </w:tr>
      <w:tr w14:paraId="1737BF95">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650D7C0E">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79D16D88">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4197BB99">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（1）病房医生在工作站查看心电图、心脏彩超、超声、核医学、CT等检查报告时，报告上有检查测量值、测量值正常值参考范围、测量值异常标识信息</w:t>
            </w:r>
          </w:p>
        </w:tc>
      </w:tr>
      <w:tr w14:paraId="6744F5F3">
        <w:tblPrEx>
          <w:tblCellMar>
            <w:top w:w="0" w:type="dxa"/>
            <w:left w:w="108" w:type="dxa"/>
            <w:bottom w:w="0" w:type="dxa"/>
            <w:right w:w="108" w:type="dxa"/>
          </w:tblCellMar>
        </w:tblPrEx>
        <w:trPr>
          <w:trHeight w:val="2805" w:hRule="atLeast"/>
        </w:trPr>
        <w:tc>
          <w:tcPr>
            <w:tcW w:w="820" w:type="dxa"/>
            <w:vMerge w:val="continue"/>
            <w:tcBorders>
              <w:top w:val="nil"/>
              <w:left w:val="single" w:color="000000" w:sz="4" w:space="0"/>
              <w:bottom w:val="single" w:color="000000" w:sz="4" w:space="0"/>
              <w:right w:val="single" w:color="000000" w:sz="4" w:space="0"/>
            </w:tcBorders>
            <w:vAlign w:val="center"/>
          </w:tcPr>
          <w:p w14:paraId="29014239">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130FFBED">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8700BB2">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（1）检查科室发布危急值报告，同时发送消息给相应病区的医生与护士，病房医生站和护士站会立即自动弹出危急值紧急消息提醒框。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（2）护士接到危急值消息后及时通知医生，在系统中记录通知情况。医生通过危急值消息处理界面查看检查危急值报告的详细内容，处理后在系统中填写处理情况。</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（3）检查科室可以在检查系统中接收到临床处理危急值的信息。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（4）检验科、医务部，病房医生、护士可以在系统中查询历史的危急值记录及处理情况。</w:t>
            </w:r>
          </w:p>
        </w:tc>
      </w:tr>
      <w:tr w14:paraId="6AE129A5">
        <w:tblPrEx>
          <w:tblCellMar>
            <w:top w:w="0" w:type="dxa"/>
            <w:left w:w="108" w:type="dxa"/>
            <w:bottom w:w="0" w:type="dxa"/>
            <w:right w:w="108" w:type="dxa"/>
          </w:tblCellMar>
        </w:tblPrEx>
        <w:trPr>
          <w:trHeight w:val="983" w:hRule="atLeast"/>
        </w:trPr>
        <w:tc>
          <w:tcPr>
            <w:tcW w:w="820" w:type="dxa"/>
            <w:vMerge w:val="continue"/>
            <w:tcBorders>
              <w:top w:val="nil"/>
              <w:left w:val="single" w:color="000000" w:sz="4" w:space="0"/>
              <w:bottom w:val="single" w:color="000000" w:sz="4" w:space="0"/>
              <w:right w:val="single" w:color="000000" w:sz="4" w:space="0"/>
            </w:tcBorders>
            <w:vAlign w:val="center"/>
          </w:tcPr>
          <w:p w14:paraId="15E14FF1">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72DD1951">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病房病历记录</w:t>
            </w:r>
          </w:p>
        </w:tc>
        <w:tc>
          <w:tcPr>
            <w:tcW w:w="6679" w:type="dxa"/>
            <w:tcBorders>
              <w:top w:val="nil"/>
              <w:left w:val="nil"/>
              <w:bottom w:val="single" w:color="000000" w:sz="4" w:space="0"/>
              <w:right w:val="single" w:color="000000" w:sz="4" w:space="0"/>
            </w:tcBorders>
            <w:shd w:val="clear" w:color="auto" w:fill="auto"/>
            <w:vAlign w:val="center"/>
          </w:tcPr>
          <w:p w14:paraId="72193ED9">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（1）可以根据科室、诊断、性别、年龄定义不同的病历书写模板。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科室模板：眼科入院记录，产科入院记录的体格检查、专科情况与通用入院记录不同。</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诊断（病种）模板：脑卒中、肺癌、气胸入院记录模板，使用时按病种特色加载模板内容。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性别：入院记录男性没有月经史。</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年龄：入院记录儿童没有婚育史。</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（2）电子病历书写时支持结构化，有结构化知识库。</w:t>
            </w:r>
          </w:p>
        </w:tc>
      </w:tr>
      <w:tr w14:paraId="73C047D3">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2F6A7494">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2E854A50">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462A26B8">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（1）病房医生写病历时，通过病历资源区，可以选择引用检验结果，DR、CT、MR、超声、内镜、心电、病理等检查结果</w:t>
            </w:r>
          </w:p>
        </w:tc>
      </w:tr>
      <w:tr w14:paraId="55CD69F3">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7A212604">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7AE86B34">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7B4A8068">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（1）病历查询时，病房医生通过任意结构化单元（主诉、现病史、家族史等）条件联合检索相应的病历。</w:t>
            </w:r>
          </w:p>
        </w:tc>
      </w:tr>
      <w:tr w14:paraId="392B67F5">
        <w:tblPrEx>
          <w:tblCellMar>
            <w:top w:w="0" w:type="dxa"/>
            <w:left w:w="108" w:type="dxa"/>
            <w:bottom w:w="0" w:type="dxa"/>
            <w:right w:w="108" w:type="dxa"/>
          </w:tblCellMar>
        </w:tblPrEx>
        <w:trPr>
          <w:trHeight w:val="1785" w:hRule="atLeast"/>
        </w:trPr>
        <w:tc>
          <w:tcPr>
            <w:tcW w:w="820" w:type="dxa"/>
            <w:vMerge w:val="continue"/>
            <w:tcBorders>
              <w:top w:val="nil"/>
              <w:left w:val="single" w:color="000000" w:sz="4" w:space="0"/>
              <w:bottom w:val="single" w:color="000000" w:sz="4" w:space="0"/>
              <w:right w:val="single" w:color="000000" w:sz="4" w:space="0"/>
            </w:tcBorders>
            <w:vAlign w:val="center"/>
          </w:tcPr>
          <w:p w14:paraId="2597BC87">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017313B2">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C4EDF8B">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（1）病房医生可查看患者的诊断、医嘱、病历、检查报告、检验报告、诊断、过敏记录、生命体征、护理病历、麻醉记录单、会诊记录单、重症监护记录单、治疗记录单、血液透析记录单等数据。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（2）电子病历可引用医嘱、检验结果、检查结果、生命体征、会诊记录等内容。</w:t>
            </w:r>
          </w:p>
        </w:tc>
      </w:tr>
      <w:tr w14:paraId="66B1C4CC">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2D00E783">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059F12B9">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23F54163">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（1）病历有修改留痕功能，记录用户、修改时间等内容。</w:t>
            </w:r>
          </w:p>
        </w:tc>
      </w:tr>
      <w:tr w14:paraId="60267C70">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0B96B9C8">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FFE4E00">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26B6383E">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（1）病历时效性质控，设置时限控制规则，在病历质控提醒界面实时显示病历完成剩余时间和超时时间。</w:t>
            </w:r>
          </w:p>
        </w:tc>
      </w:tr>
      <w:tr w14:paraId="677A46AC">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2731B8DC">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A16DC42">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1A5D9BB">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（1）电子病历医疗文书存储为标准的XML格式（临床数据中心）。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（2）其他系统可以调用病历浏览，或者通过接口引用病历里面的数据（类似检查申请单能引用病历中的主诉）</w:t>
            </w:r>
          </w:p>
        </w:tc>
      </w:tr>
      <w:tr w14:paraId="4C41F8DA">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3DE8A305">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4480E0C6">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68D20C17">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（1）病历归档功能，医院需要上病历归档系统或病历扫描系统，并完成及时归档。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（2）临床生可以查看患者在院病历，出院及纸质纯手写的归档病历。</w:t>
            </w:r>
          </w:p>
        </w:tc>
      </w:tr>
      <w:tr w14:paraId="62C9C60B">
        <w:tblPrEx>
          <w:tblCellMar>
            <w:top w:w="0" w:type="dxa"/>
            <w:left w:w="108" w:type="dxa"/>
            <w:bottom w:w="0" w:type="dxa"/>
            <w:right w:w="108" w:type="dxa"/>
          </w:tblCellMar>
        </w:tblPrEx>
        <w:trPr>
          <w:trHeight w:val="1275"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1341F80B">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病房护士</w:t>
            </w: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478CC6BC">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病人管理与</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评估</w:t>
            </w:r>
          </w:p>
        </w:tc>
        <w:tc>
          <w:tcPr>
            <w:tcW w:w="6679" w:type="dxa"/>
            <w:tcBorders>
              <w:top w:val="nil"/>
              <w:left w:val="nil"/>
              <w:bottom w:val="single" w:color="000000" w:sz="4" w:space="0"/>
              <w:right w:val="single" w:color="000000" w:sz="4" w:space="0"/>
            </w:tcBorders>
            <w:shd w:val="clear" w:color="auto" w:fill="auto"/>
            <w:vAlign w:val="center"/>
          </w:tcPr>
          <w:p w14:paraId="13AACEC1">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（1）护士填写完入院评估记录后医生、护理部、医务部等可以调阅查看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（2）护理病历之间相互引用（如：首次入院评估单引用压疮、跌倒、疼痛等评估单的结果，护理记录单引用护理首次入院评估里的内容）</w:t>
            </w:r>
          </w:p>
        </w:tc>
      </w:tr>
      <w:tr w14:paraId="627157CF">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287359DA">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6BE0935D">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4E4C23C6">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（1）护士在填写护理文书时能够通过历史记录查看病人既往电子病历、检查检验结果等，也可直接引用检查检验结果等。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（2）查看既往护理文书</w:t>
            </w:r>
          </w:p>
        </w:tc>
      </w:tr>
      <w:tr w14:paraId="769B42D7">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4117B10A">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6BAEAAAF">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医嘱执行</w:t>
            </w:r>
          </w:p>
        </w:tc>
        <w:tc>
          <w:tcPr>
            <w:tcW w:w="6679" w:type="dxa"/>
            <w:tcBorders>
              <w:top w:val="nil"/>
              <w:left w:val="nil"/>
              <w:bottom w:val="single" w:color="000000" w:sz="4" w:space="0"/>
              <w:right w:val="single" w:color="000000" w:sz="4" w:space="0"/>
            </w:tcBorders>
            <w:shd w:val="clear" w:color="auto" w:fill="auto"/>
            <w:vAlign w:val="center"/>
          </w:tcPr>
          <w:p w14:paraId="3B329684">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（1）通过PDA等移动设备执行后能够自动将执行信息同步至PC端。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（2）选择PDA已执行的记录打印治疗单，应支持机打执行人、执行时间。</w:t>
            </w:r>
          </w:p>
        </w:tc>
      </w:tr>
      <w:tr w14:paraId="72DFE4CE">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1D18829C">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1330366F">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54258AD5">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（1）医生开立医嘱后护士能够处理执行此医嘱，医生能够查看执行情况、患者360浏览中也能查看护士执行情况。</w:t>
            </w:r>
          </w:p>
        </w:tc>
      </w:tr>
      <w:tr w14:paraId="60AFB9C2">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660C8A5C">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567A33C0">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523C56A7">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（1）医生新开或新停医嘱时能够提醒通知护士。PC端床位图需处理提醒，新开、新停医嘱图标提醒。PDA端新开新停医嘱提醒。</w:t>
            </w:r>
          </w:p>
        </w:tc>
      </w:tr>
      <w:tr w14:paraId="787607A2">
        <w:tblPrEx>
          <w:tblCellMar>
            <w:top w:w="0" w:type="dxa"/>
            <w:left w:w="108" w:type="dxa"/>
            <w:bottom w:w="0" w:type="dxa"/>
            <w:right w:w="108" w:type="dxa"/>
          </w:tblCellMar>
        </w:tblPrEx>
        <w:trPr>
          <w:trHeight w:val="1530" w:hRule="atLeast"/>
        </w:trPr>
        <w:tc>
          <w:tcPr>
            <w:tcW w:w="820" w:type="dxa"/>
            <w:vMerge w:val="continue"/>
            <w:tcBorders>
              <w:top w:val="nil"/>
              <w:left w:val="single" w:color="000000" w:sz="4" w:space="0"/>
              <w:bottom w:val="single" w:color="000000" w:sz="4" w:space="0"/>
              <w:right w:val="single" w:color="000000" w:sz="4" w:space="0"/>
            </w:tcBorders>
            <w:vAlign w:val="center"/>
          </w:tcPr>
          <w:p w14:paraId="78EFF0E4">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0AAB21FE">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护理记录</w:t>
            </w:r>
          </w:p>
        </w:tc>
        <w:tc>
          <w:tcPr>
            <w:tcW w:w="6679" w:type="dxa"/>
            <w:tcBorders>
              <w:top w:val="nil"/>
              <w:left w:val="nil"/>
              <w:bottom w:val="single" w:color="000000" w:sz="4" w:space="0"/>
              <w:right w:val="single" w:color="000000" w:sz="4" w:space="0"/>
            </w:tcBorders>
            <w:shd w:val="clear" w:color="auto" w:fill="auto"/>
            <w:vAlign w:val="center"/>
          </w:tcPr>
          <w:p w14:paraId="12C8047A">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（1）护理病历和生命体征数据医生、护理部可以通过病历浏览查看。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（2）生命体征数据医生电子病历可以引用。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（3）护理病历数据医生电子病历可以引用（如：病案首页入院、出院的日常生活能力评分）。</w:t>
            </w:r>
          </w:p>
        </w:tc>
      </w:tr>
      <w:tr w14:paraId="12B7E3C1">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4C87F53E">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6E53A9F2">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1174FF0">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（1）护士通过PDA等移动设备记录生命体征、护理病历，及操作护士执行后数据能够自动同步至PC端。</w:t>
            </w:r>
          </w:p>
        </w:tc>
      </w:tr>
      <w:tr w14:paraId="4951C93D">
        <w:tblPrEx>
          <w:tblCellMar>
            <w:top w:w="0" w:type="dxa"/>
            <w:left w:w="108" w:type="dxa"/>
            <w:bottom w:w="0" w:type="dxa"/>
            <w:right w:w="108" w:type="dxa"/>
          </w:tblCellMar>
        </w:tblPrEx>
        <w:trPr>
          <w:trHeight w:val="1785" w:hRule="atLeast"/>
        </w:trPr>
        <w:tc>
          <w:tcPr>
            <w:tcW w:w="820" w:type="dxa"/>
            <w:vMerge w:val="continue"/>
            <w:tcBorders>
              <w:top w:val="nil"/>
              <w:left w:val="single" w:color="000000" w:sz="4" w:space="0"/>
              <w:bottom w:val="single" w:color="000000" w:sz="4" w:space="0"/>
              <w:right w:val="single" w:color="000000" w:sz="4" w:space="0"/>
            </w:tcBorders>
            <w:vAlign w:val="center"/>
          </w:tcPr>
          <w:p w14:paraId="10263F8D">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BC032FE">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17FFF0F">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（1）能够通过异常生命体征、异常评估结果自动创建护理问题。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（2）具有护理计划知识库，可根据护理问题选择相应护理措施、护理计划，定义护理计划执行周期频率。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（3）执行护理计划能够自动生成相应的护理记录单内容。</w:t>
            </w:r>
          </w:p>
        </w:tc>
      </w:tr>
      <w:tr w14:paraId="2C974C02">
        <w:tblPrEx>
          <w:tblCellMar>
            <w:top w:w="0" w:type="dxa"/>
            <w:left w:w="108" w:type="dxa"/>
            <w:bottom w:w="0" w:type="dxa"/>
            <w:right w:w="108" w:type="dxa"/>
          </w:tblCellMar>
        </w:tblPrEx>
        <w:trPr>
          <w:trHeight w:val="1530"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1B9AFF13">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门诊医师</w:t>
            </w: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6BFFBC0E">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处方书写</w:t>
            </w:r>
          </w:p>
        </w:tc>
        <w:tc>
          <w:tcPr>
            <w:tcW w:w="6679" w:type="dxa"/>
            <w:tcBorders>
              <w:top w:val="nil"/>
              <w:left w:val="nil"/>
              <w:bottom w:val="single" w:color="000000" w:sz="4" w:space="0"/>
              <w:right w:val="single" w:color="000000" w:sz="4" w:space="0"/>
            </w:tcBorders>
            <w:shd w:val="clear" w:color="auto" w:fill="auto"/>
            <w:vAlign w:val="center"/>
          </w:tcPr>
          <w:p w14:paraId="70754336">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生开医嘱时，根据患者诊断、性别、历史处方、过敏史等信息，通过合理用药或知识库系统自动检测出“适应症不适宜”、“性别禁忌用药”、“历史处方重复用药”、“历史处方相互作用”、“过敏提醒”、“配伍禁忌”、“给药途径不适宜”等不合理用药情况。</w:t>
            </w:r>
          </w:p>
        </w:tc>
      </w:tr>
      <w:tr w14:paraId="71466026">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6B03FE53">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2410AF54">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27A0F5E9">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（1）药品在合理用药软件或HIS系统中维护了“危重药标志”后，医生开此药品医嘱时会自动弹出高危药品的警示。</w:t>
            </w:r>
          </w:p>
        </w:tc>
      </w:tr>
      <w:tr w14:paraId="13AB16B5">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595166E9">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56F48861">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4DCAC3EB">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（1）可以根据安全组设置开医嘱权限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（2）对于毒麻药品可以设置医生开立权限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（3）对于抗菌药物有三级使用权限管理功能</w:t>
            </w:r>
          </w:p>
        </w:tc>
      </w:tr>
      <w:tr w14:paraId="0250CC63">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1C02768E">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5AFCF092">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24F20D22">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（1）门诊医生在下达传染病诊断时，系统自动提醒并强制要求上报传染病报卡。医政管理部门能在系统中查看、审核医生上报的传染病报卡。</w:t>
            </w:r>
          </w:p>
        </w:tc>
      </w:tr>
      <w:tr w14:paraId="7779B1C4">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2E1023E1">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4FA4C4A7">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门诊检验申请</w:t>
            </w:r>
          </w:p>
        </w:tc>
        <w:tc>
          <w:tcPr>
            <w:tcW w:w="6679" w:type="dxa"/>
            <w:tcBorders>
              <w:top w:val="nil"/>
              <w:left w:val="nil"/>
              <w:bottom w:val="single" w:color="000000" w:sz="4" w:space="0"/>
              <w:right w:val="single" w:color="000000" w:sz="4" w:space="0"/>
            </w:tcBorders>
            <w:shd w:val="clear" w:color="auto" w:fill="auto"/>
            <w:vAlign w:val="center"/>
          </w:tcPr>
          <w:p w14:paraId="2A791B47">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（1）全院使用统一的检验申请项目字典，门诊医生开立检验申请项目后检验科接收标本，审核发布报告，门诊医生可以在系统中查看到各类检验报告内容，检验报告能和检验申请相互对应。</w:t>
            </w:r>
          </w:p>
        </w:tc>
      </w:tr>
      <w:tr w14:paraId="4A9CBB6E">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05F4AF8E">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2D5E511">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53117EB2">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（1）全院的检验标本字典，由检验科室统一维护，门诊医生在开立检验申请时，会自动显示检验项目绑定的标本名称，多个标本的检验项目，医生可以根据实际情况选择标本类型。</w:t>
            </w:r>
          </w:p>
        </w:tc>
      </w:tr>
      <w:tr w14:paraId="59707270">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12FB917B">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2736E4F9">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384B01F8">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（1）门诊医生开检验申请时，可以浏览患者的重要病历信息（本次及历次就诊的电子病历、检验报告、检查报告等）</w:t>
            </w:r>
          </w:p>
        </w:tc>
      </w:tr>
      <w:tr w14:paraId="67A170D1">
        <w:tblPrEx>
          <w:tblCellMar>
            <w:top w:w="0" w:type="dxa"/>
            <w:left w:w="108" w:type="dxa"/>
            <w:bottom w:w="0" w:type="dxa"/>
            <w:right w:w="108" w:type="dxa"/>
          </w:tblCellMar>
        </w:tblPrEx>
        <w:trPr>
          <w:trHeight w:val="3825" w:hRule="atLeast"/>
        </w:trPr>
        <w:tc>
          <w:tcPr>
            <w:tcW w:w="820" w:type="dxa"/>
            <w:vMerge w:val="continue"/>
            <w:tcBorders>
              <w:top w:val="nil"/>
              <w:left w:val="single" w:color="000000" w:sz="4" w:space="0"/>
              <w:bottom w:val="single" w:color="000000" w:sz="4" w:space="0"/>
              <w:right w:val="single" w:color="000000" w:sz="4" w:space="0"/>
            </w:tcBorders>
            <w:vAlign w:val="center"/>
          </w:tcPr>
          <w:p w14:paraId="42896D87">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2A17178B">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门诊检验报告</w:t>
            </w:r>
          </w:p>
        </w:tc>
        <w:tc>
          <w:tcPr>
            <w:tcW w:w="6679" w:type="dxa"/>
            <w:tcBorders>
              <w:top w:val="nil"/>
              <w:left w:val="nil"/>
              <w:bottom w:val="single" w:color="000000" w:sz="4" w:space="0"/>
              <w:right w:val="single" w:color="000000" w:sz="4" w:space="0"/>
            </w:tcBorders>
            <w:shd w:val="clear" w:color="auto" w:fill="auto"/>
            <w:vAlign w:val="center"/>
          </w:tcPr>
          <w:p w14:paraId="3C39A019">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（1）诊断：检验系统按照“诊断ICD编码”维护化验项目的正常参考值范围，检验报告发布时、病房医生查阅报告时按照患者临床诊断自动显示符合的正常参考值范围及异常值提示。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（2）性别\年龄：检验系统按照“性别字典”、“年龄段”维护化验项目的正常参考值范围，检验报告发布时、病房医生查阅报告时按照患者性别自动显示符合的正常参考值值范围。</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生理周期：检验系统按照“生理周期”维护化验项目的正常参考值范围，病房医师开检验申请前选择患者采集标本时的生理周期，检验报告发布时、病房医生查阅报告时按照病房医师选择的“生理周期”自动显示符合的正常参考值范围。</w:t>
            </w:r>
          </w:p>
        </w:tc>
      </w:tr>
      <w:tr w14:paraId="0C9AF4FD">
        <w:tblPrEx>
          <w:tblCellMar>
            <w:top w:w="0" w:type="dxa"/>
            <w:left w:w="108" w:type="dxa"/>
            <w:bottom w:w="0" w:type="dxa"/>
            <w:right w:w="108" w:type="dxa"/>
          </w:tblCellMar>
        </w:tblPrEx>
        <w:trPr>
          <w:trHeight w:val="510" w:hRule="atLeast"/>
        </w:trPr>
        <w:tc>
          <w:tcPr>
            <w:tcW w:w="820" w:type="dxa"/>
            <w:vMerge w:val="continue"/>
            <w:tcBorders>
              <w:top w:val="nil"/>
              <w:left w:val="single" w:color="000000" w:sz="4" w:space="0"/>
              <w:bottom w:val="single" w:color="000000" w:sz="4" w:space="0"/>
              <w:right w:val="single" w:color="000000" w:sz="4" w:space="0"/>
            </w:tcBorders>
            <w:vAlign w:val="center"/>
          </w:tcPr>
          <w:p w14:paraId="047930C3">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17B5524">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47C74CBF">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（1）医生在查看病人检验结果时，可以看到系统根据时间节点绘制出历史检验结果趋势图</w:t>
            </w:r>
          </w:p>
        </w:tc>
      </w:tr>
      <w:tr w14:paraId="637F16D6">
        <w:tblPrEx>
          <w:tblCellMar>
            <w:top w:w="0" w:type="dxa"/>
            <w:left w:w="108" w:type="dxa"/>
            <w:bottom w:w="0" w:type="dxa"/>
            <w:right w:w="108" w:type="dxa"/>
          </w:tblCellMar>
        </w:tblPrEx>
        <w:trPr>
          <w:trHeight w:val="2550" w:hRule="atLeast"/>
        </w:trPr>
        <w:tc>
          <w:tcPr>
            <w:tcW w:w="820" w:type="dxa"/>
            <w:vMerge w:val="continue"/>
            <w:tcBorders>
              <w:top w:val="nil"/>
              <w:left w:val="single" w:color="000000" w:sz="4" w:space="0"/>
              <w:bottom w:val="single" w:color="000000" w:sz="4" w:space="0"/>
              <w:right w:val="single" w:color="000000" w:sz="4" w:space="0"/>
            </w:tcBorders>
            <w:vAlign w:val="center"/>
          </w:tcPr>
          <w:p w14:paraId="78715A7F">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8A70360">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56348E2D">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（1）检验科发布危急值报告时通过系统发送消息给门诊的医生，门诊医生站会立即自动弹出危急值紧急消息提醒框。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（2）门诊医生通过危急值消息处理界面查看检验危急值报告的详细内容，完成处理后在系统中填写处理情况。</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（3）检验科可以在检验系统中接收到门诊医生处理危急值的信息。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（4）检验科、医务部、门诊部、门诊医生可通过危急值查询界面查询危急值的处理情况。</w:t>
            </w:r>
          </w:p>
        </w:tc>
      </w:tr>
      <w:tr w14:paraId="53120415">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64996244">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739338E4">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门诊检查申请</w:t>
            </w:r>
          </w:p>
        </w:tc>
        <w:tc>
          <w:tcPr>
            <w:tcW w:w="6679" w:type="dxa"/>
            <w:tcBorders>
              <w:top w:val="nil"/>
              <w:left w:val="nil"/>
              <w:bottom w:val="single" w:color="000000" w:sz="4" w:space="0"/>
              <w:right w:val="single" w:color="000000" w:sz="4" w:space="0"/>
            </w:tcBorders>
            <w:shd w:val="clear" w:color="auto" w:fill="auto"/>
            <w:vAlign w:val="center"/>
          </w:tcPr>
          <w:p w14:paraId="05F744EE">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（1）检查申请医嘱字典全院统一维护，门诊医生开立检查申请单后，检查科室可调阅电子检查申请单，检查登记，审核发布检查报告，门诊医生可查看到各类检查报告。检查报告和检查申请相互对应。</w:t>
            </w:r>
          </w:p>
        </w:tc>
      </w:tr>
      <w:tr w14:paraId="4EF9F38C">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3A0DA717">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11EC9714">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45389E57">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（1）门诊医生开检查申请时，可以浏览患者的重要病历信息（本次及历次就诊的病历、检验报告、检查报告、护理记录、生命体征等）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（2）开立检查申请时能自动引用病历中的主诉、现病史等信息。</w:t>
            </w:r>
          </w:p>
        </w:tc>
      </w:tr>
      <w:tr w14:paraId="7A39139F">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2C356B5E">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67E266F8">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门诊检查报告</w:t>
            </w:r>
          </w:p>
        </w:tc>
        <w:tc>
          <w:tcPr>
            <w:tcW w:w="6679" w:type="dxa"/>
            <w:tcBorders>
              <w:top w:val="nil"/>
              <w:left w:val="nil"/>
              <w:bottom w:val="single" w:color="000000" w:sz="4" w:space="0"/>
              <w:right w:val="single" w:color="000000" w:sz="4" w:space="0"/>
            </w:tcBorders>
            <w:shd w:val="clear" w:color="auto" w:fill="auto"/>
            <w:vAlign w:val="center"/>
          </w:tcPr>
          <w:p w14:paraId="06C22663">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（1）门诊医师在检查列表界面能看各类检查的报告和图像。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（2）同一患者的检查报告在不同角色下看到的内容一致。</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（3）病历能够引用检查报告的内容。</w:t>
            </w:r>
          </w:p>
        </w:tc>
      </w:tr>
      <w:tr w14:paraId="1956DA0C">
        <w:tblPrEx>
          <w:tblCellMar>
            <w:top w:w="0" w:type="dxa"/>
            <w:left w:w="108" w:type="dxa"/>
            <w:bottom w:w="0" w:type="dxa"/>
            <w:right w:w="108" w:type="dxa"/>
          </w:tblCellMar>
        </w:tblPrEx>
        <w:trPr>
          <w:trHeight w:val="40" w:hRule="atLeast"/>
        </w:trPr>
        <w:tc>
          <w:tcPr>
            <w:tcW w:w="820" w:type="dxa"/>
            <w:vMerge w:val="continue"/>
            <w:tcBorders>
              <w:top w:val="nil"/>
              <w:left w:val="single" w:color="000000" w:sz="4" w:space="0"/>
              <w:bottom w:val="single" w:color="000000" w:sz="4" w:space="0"/>
              <w:right w:val="single" w:color="000000" w:sz="4" w:space="0"/>
            </w:tcBorders>
            <w:vAlign w:val="center"/>
          </w:tcPr>
          <w:p w14:paraId="3AB94E41">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1AA125B2">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4A53A5F2">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（1）门诊医生在工作站查看心电图、彩超、超声、CT等检查报告时，报告上有检查测量值、测量值正常值参考范围、测量值异常标识信息。</w:t>
            </w:r>
          </w:p>
        </w:tc>
      </w:tr>
      <w:tr w14:paraId="144B66D6">
        <w:tblPrEx>
          <w:tblCellMar>
            <w:top w:w="0" w:type="dxa"/>
            <w:left w:w="108" w:type="dxa"/>
            <w:bottom w:w="0" w:type="dxa"/>
            <w:right w:w="108" w:type="dxa"/>
          </w:tblCellMar>
        </w:tblPrEx>
        <w:trPr>
          <w:trHeight w:val="2550" w:hRule="atLeast"/>
        </w:trPr>
        <w:tc>
          <w:tcPr>
            <w:tcW w:w="820" w:type="dxa"/>
            <w:vMerge w:val="continue"/>
            <w:tcBorders>
              <w:top w:val="nil"/>
              <w:left w:val="single" w:color="000000" w:sz="4" w:space="0"/>
              <w:bottom w:val="single" w:color="000000" w:sz="4" w:space="0"/>
              <w:right w:val="single" w:color="000000" w:sz="4" w:space="0"/>
            </w:tcBorders>
            <w:vAlign w:val="center"/>
          </w:tcPr>
          <w:p w14:paraId="788BFBCD">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2D037528">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096E0E46">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（1）检查科室发布危急值报告，同时发送消息给门诊医生，门诊医生站会立即自动弹出危急值紧急消息提醒框。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（2）门诊医生通过危急值消息处理界面查看检查危急值报告的详细内容，完成处理后在系统中填写处理情况。</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（3）检查科室可以在检查系统中接收到门诊医生处理危急值的信息。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（4）检验科、医务部、门诊部、门诊医生可通过危急值查询界面查询危急值的处理情况。</w:t>
            </w:r>
          </w:p>
        </w:tc>
      </w:tr>
      <w:tr w14:paraId="1D3FB79B">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4DC811B5">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433C5CB4">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门诊病历记录</w:t>
            </w:r>
          </w:p>
        </w:tc>
        <w:tc>
          <w:tcPr>
            <w:tcW w:w="6679" w:type="dxa"/>
            <w:tcBorders>
              <w:top w:val="nil"/>
              <w:left w:val="nil"/>
              <w:bottom w:val="single" w:color="000000" w:sz="4" w:space="0"/>
              <w:right w:val="single" w:color="000000" w:sz="4" w:space="0"/>
            </w:tcBorders>
            <w:shd w:val="clear" w:color="auto" w:fill="auto"/>
            <w:vAlign w:val="center"/>
          </w:tcPr>
          <w:p w14:paraId="11BBF8C6">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（1）门诊医生写病历时，通过病历资源区，可以选择引用检验结果，DR、CT、MR、超声、内镜、心电、病理等检查结果。</w:t>
            </w:r>
          </w:p>
        </w:tc>
      </w:tr>
      <w:tr w14:paraId="78EFF13D">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52888245">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50D91F81">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6E2156A8">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（1）病历查询界面，门诊医生通过任意结构化单元（主诉、现病史、家族史等）条件联合检索相应的门诊病历</w:t>
            </w:r>
          </w:p>
        </w:tc>
      </w:tr>
      <w:tr w14:paraId="65CCE666">
        <w:tblPrEx>
          <w:tblCellMar>
            <w:top w:w="0" w:type="dxa"/>
            <w:left w:w="108" w:type="dxa"/>
            <w:bottom w:w="0" w:type="dxa"/>
            <w:right w:w="108" w:type="dxa"/>
          </w:tblCellMar>
        </w:tblPrEx>
        <w:trPr>
          <w:trHeight w:val="983" w:hRule="atLeast"/>
        </w:trPr>
        <w:tc>
          <w:tcPr>
            <w:tcW w:w="820" w:type="dxa"/>
            <w:vMerge w:val="continue"/>
            <w:tcBorders>
              <w:top w:val="nil"/>
              <w:left w:val="single" w:color="000000" w:sz="4" w:space="0"/>
              <w:bottom w:val="single" w:color="000000" w:sz="4" w:space="0"/>
              <w:right w:val="single" w:color="000000" w:sz="4" w:space="0"/>
            </w:tcBorders>
            <w:vAlign w:val="center"/>
          </w:tcPr>
          <w:p w14:paraId="3CE12AE0">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66722109">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76219073">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（1）门诊一体化病历，医嘱、诊断可自动引用至门诊病历，门诊病历也可以引用检查、检验结果。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（2）门诊医生可查看患者的诊断、处方、病历、检查报告、检验报告、过敏记录等数据。</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（3）检查申请单的主诉、现病史、体格检查等信息自动从门诊病历引用。</w:t>
            </w:r>
          </w:p>
        </w:tc>
      </w:tr>
      <w:tr w14:paraId="113EB0D2">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2603A690">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460F716A">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7B4CDB30">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（1）病历有修改留痕功能，记录用户、修改时间等内容。</w:t>
            </w:r>
          </w:p>
        </w:tc>
      </w:tr>
      <w:tr w14:paraId="5C02A623">
        <w:tblPrEx>
          <w:tblCellMar>
            <w:top w:w="0" w:type="dxa"/>
            <w:left w:w="108" w:type="dxa"/>
            <w:bottom w:w="0" w:type="dxa"/>
            <w:right w:w="108" w:type="dxa"/>
          </w:tblCellMar>
        </w:tblPrEx>
        <w:trPr>
          <w:trHeight w:val="1785"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522D7E26">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治疗信息处理</w:t>
            </w: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4A3A3B65">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手术预约与登记</w:t>
            </w:r>
          </w:p>
        </w:tc>
        <w:tc>
          <w:tcPr>
            <w:tcW w:w="6679" w:type="dxa"/>
            <w:tcBorders>
              <w:top w:val="nil"/>
              <w:left w:val="nil"/>
              <w:bottom w:val="single" w:color="000000" w:sz="4" w:space="0"/>
              <w:right w:val="single" w:color="000000" w:sz="4" w:space="0"/>
            </w:tcBorders>
            <w:shd w:val="clear" w:color="auto" w:fill="auto"/>
            <w:vAlign w:val="center"/>
          </w:tcPr>
          <w:p w14:paraId="5B2279D0">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（1）手术申请时，如未填写手术知情同意书、术前讨论应给出提示或控制。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（2）手术麻醉记录单中手术名称、术前诊断、手术日期、手术医师助手、麻醉方式等信息自动带到手术记录中。</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（3）病案首页的手术信息，可自动从手术记录或手术麻醉记录单引用。</w:t>
            </w:r>
          </w:p>
        </w:tc>
      </w:tr>
      <w:tr w14:paraId="1BEB5CF4">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05154F10">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1BAB7AC4">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FF157CD">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（1）手术入室核查界面可以通过扫描枪\PDA\PAD扫描患者腕带（登记号），可以查看部位、术式、麻醉方式的信息</w:t>
            </w:r>
          </w:p>
        </w:tc>
      </w:tr>
      <w:tr w14:paraId="6C863284">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0E7FAF00">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FAA2012">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57818AE7">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（1）手术资质授权，可以按手术分级、手术专科定义手术医师权限</w:t>
            </w:r>
          </w:p>
        </w:tc>
      </w:tr>
      <w:tr w14:paraId="29E5A40A">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368C688B">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3C876728">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麻醉信息</w:t>
            </w:r>
          </w:p>
        </w:tc>
        <w:tc>
          <w:tcPr>
            <w:tcW w:w="6679" w:type="dxa"/>
            <w:tcBorders>
              <w:top w:val="nil"/>
              <w:left w:val="nil"/>
              <w:bottom w:val="single" w:color="000000" w:sz="4" w:space="0"/>
              <w:right w:val="single" w:color="000000" w:sz="4" w:space="0"/>
            </w:tcBorders>
            <w:shd w:val="clear" w:color="auto" w:fill="auto"/>
            <w:vAlign w:val="center"/>
          </w:tcPr>
          <w:p w14:paraId="517058C2">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（1）临床医生、麻醉医生等角色可以在病历浏览中查看麻醉记录单。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（2）手术记录能引用麻醉记录里的内容，如手术名称、术前诊断、手术医师及助手、麻醉方式、麻醉医生等。</w:t>
            </w:r>
          </w:p>
        </w:tc>
      </w:tr>
      <w:tr w14:paraId="0BB61150">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5B990F60">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280A5C09">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584B29C5">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（1）麻醉监护时对异常值、危急值等进行提示，异常值、危急值麻醉记录单上要有明显的标识，危急值需要自动弹出窗口提示。</w:t>
            </w:r>
          </w:p>
        </w:tc>
      </w:tr>
      <w:tr w14:paraId="03E17397">
        <w:tblPrEx>
          <w:tblCellMar>
            <w:top w:w="0" w:type="dxa"/>
            <w:left w:w="108" w:type="dxa"/>
            <w:bottom w:w="0" w:type="dxa"/>
            <w:right w:w="108" w:type="dxa"/>
          </w:tblCellMar>
        </w:tblPrEx>
        <w:trPr>
          <w:trHeight w:val="1530"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6C5A61D9">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医疗保障</w:t>
            </w: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11F720D3">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血液准备</w:t>
            </w:r>
          </w:p>
        </w:tc>
        <w:tc>
          <w:tcPr>
            <w:tcW w:w="6679" w:type="dxa"/>
            <w:tcBorders>
              <w:top w:val="nil"/>
              <w:left w:val="nil"/>
              <w:bottom w:val="single" w:color="000000" w:sz="4" w:space="0"/>
              <w:right w:val="single" w:color="000000" w:sz="4" w:space="0"/>
            </w:tcBorders>
            <w:shd w:val="clear" w:color="auto" w:fill="auto"/>
            <w:vAlign w:val="center"/>
          </w:tcPr>
          <w:p w14:paraId="65521AFD">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（1）在院患者的血型分布统计功能。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（2）申请“手术备血”的患者血型分布、申请量统计功能。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（3）库存警戒线配置，库存预警提示功能。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（4）可以按血制品、血型种类、血袋消耗情况、当前库存等计算库存需补充量。</w:t>
            </w:r>
          </w:p>
        </w:tc>
      </w:tr>
      <w:tr w14:paraId="5F24B25F">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0FC42A80">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63263F55">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AEFDC9D">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（1）输血申请前未填写输血同意书系统会进行提示。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（2）用血审批功能，超量用血需要上级或医务科审批。</w:t>
            </w:r>
          </w:p>
        </w:tc>
      </w:tr>
      <w:tr w14:paraId="4C90F64D">
        <w:tblPrEx>
          <w:tblCellMar>
            <w:top w:w="0" w:type="dxa"/>
            <w:left w:w="108" w:type="dxa"/>
            <w:bottom w:w="0" w:type="dxa"/>
            <w:right w:w="108" w:type="dxa"/>
          </w:tblCellMar>
        </w:tblPrEx>
        <w:trPr>
          <w:trHeight w:val="2040" w:hRule="atLeast"/>
        </w:trPr>
        <w:tc>
          <w:tcPr>
            <w:tcW w:w="820" w:type="dxa"/>
            <w:vMerge w:val="continue"/>
            <w:tcBorders>
              <w:top w:val="nil"/>
              <w:left w:val="single" w:color="000000" w:sz="4" w:space="0"/>
              <w:bottom w:val="single" w:color="000000" w:sz="4" w:space="0"/>
              <w:right w:val="single" w:color="000000" w:sz="4" w:space="0"/>
            </w:tcBorders>
            <w:vAlign w:val="center"/>
          </w:tcPr>
          <w:p w14:paraId="3A7797A4">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213F926A">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配血与用血</w:t>
            </w:r>
          </w:p>
        </w:tc>
        <w:tc>
          <w:tcPr>
            <w:tcW w:w="6679" w:type="dxa"/>
            <w:tcBorders>
              <w:top w:val="nil"/>
              <w:left w:val="nil"/>
              <w:bottom w:val="single" w:color="000000" w:sz="4" w:space="0"/>
              <w:right w:val="single" w:color="000000" w:sz="4" w:space="0"/>
            </w:tcBorders>
            <w:shd w:val="clear" w:color="auto" w:fill="auto"/>
            <w:vAlign w:val="center"/>
          </w:tcPr>
          <w:p w14:paraId="4EFCFCC2">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（1）临床医生发送输血申请，输血科人员配血、发血，护士通过PDA操作输注，异常时进行输血反应上报，整个流程实现闭环管理。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（2）知情同意书、取\发血单、输血不良单反应集成到历史记录或360视图中供临床医生、护士等查看。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（3）护士通过PDA操作血液输注管理，输注记录可以自动同步到护理记录中。</w:t>
            </w:r>
          </w:p>
        </w:tc>
      </w:tr>
      <w:tr w14:paraId="3EC3CB3D">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42AC88BE">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2984E7E8">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715CBC75">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（1）输血科在配血时能够查看病历的临床医疗数据（用药记录、护理记录、生命体征、处置记录、治疗记录、检查与检验等）、检查与检验数据</w:t>
            </w:r>
          </w:p>
        </w:tc>
      </w:tr>
      <w:tr w14:paraId="0A215E67">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3A88EA9F">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7059E6A4">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门诊药品调剂</w:t>
            </w:r>
          </w:p>
        </w:tc>
        <w:tc>
          <w:tcPr>
            <w:tcW w:w="6679" w:type="dxa"/>
            <w:tcBorders>
              <w:top w:val="nil"/>
              <w:left w:val="nil"/>
              <w:bottom w:val="single" w:color="000000" w:sz="4" w:space="0"/>
              <w:right w:val="single" w:color="000000" w:sz="4" w:space="0"/>
            </w:tcBorders>
            <w:shd w:val="clear" w:color="auto" w:fill="auto"/>
            <w:vAlign w:val="center"/>
          </w:tcPr>
          <w:p w14:paraId="6B8C615A">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（1）门诊医生开立药品处方后药房能够查询到处方信息并发药、病历浏览中能查看患者的门诊处方记录</w:t>
            </w:r>
          </w:p>
        </w:tc>
      </w:tr>
      <w:tr w14:paraId="7F282A57">
        <w:tblPrEx>
          <w:tblCellMar>
            <w:top w:w="0" w:type="dxa"/>
            <w:left w:w="108" w:type="dxa"/>
            <w:bottom w:w="0" w:type="dxa"/>
            <w:right w:w="108" w:type="dxa"/>
          </w:tblCellMar>
        </w:tblPrEx>
        <w:trPr>
          <w:trHeight w:val="2805" w:hRule="atLeast"/>
        </w:trPr>
        <w:tc>
          <w:tcPr>
            <w:tcW w:w="820" w:type="dxa"/>
            <w:vMerge w:val="continue"/>
            <w:tcBorders>
              <w:top w:val="nil"/>
              <w:left w:val="single" w:color="000000" w:sz="4" w:space="0"/>
              <w:bottom w:val="single" w:color="000000" w:sz="4" w:space="0"/>
              <w:right w:val="single" w:color="000000" w:sz="4" w:space="0"/>
            </w:tcBorders>
            <w:vAlign w:val="center"/>
          </w:tcPr>
          <w:p w14:paraId="1C27A02F">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21C876B1">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54EF2D9C">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（1）门诊医生开立药品，门诊药房处方审核时有完善的核查机制。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1）门诊医生站开立处方时，通过前置审方系统，可以进行适应症、特殊人群用药、性别禁忌、相互作用、配伍禁忌、不合理用法、不合理频次等不合理用药提醒及控制。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2）门诊医生开立处方时前置审方系统机审不通过，但医生仍需要要强制提交，不合格处方信息发给药师进行人工审方，人工干预结果可以及时反馈给门诊医师，并控制是否允许提交。</w:t>
            </w:r>
          </w:p>
        </w:tc>
      </w:tr>
      <w:tr w14:paraId="679E7C03">
        <w:tblPrEx>
          <w:tblCellMar>
            <w:top w:w="0" w:type="dxa"/>
            <w:left w:w="108" w:type="dxa"/>
            <w:bottom w:w="0" w:type="dxa"/>
            <w:right w:w="108" w:type="dxa"/>
          </w:tblCellMar>
        </w:tblPrEx>
        <w:trPr>
          <w:trHeight w:val="983" w:hRule="atLeast"/>
        </w:trPr>
        <w:tc>
          <w:tcPr>
            <w:tcW w:w="820" w:type="dxa"/>
            <w:vMerge w:val="continue"/>
            <w:tcBorders>
              <w:top w:val="nil"/>
              <w:left w:val="single" w:color="000000" w:sz="4" w:space="0"/>
              <w:bottom w:val="single" w:color="000000" w:sz="4" w:space="0"/>
              <w:right w:val="single" w:color="000000" w:sz="4" w:space="0"/>
            </w:tcBorders>
            <w:vAlign w:val="center"/>
          </w:tcPr>
          <w:p w14:paraId="6269846D">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61BD9A0D">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2EE765F1">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（1）毒麻处方权按医师授权，未授权不允许开立毒麻药品。能查询毒麻药品的使用记录。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（2）抗菌药物三级管理严格按照《抗菌药物临床应用管理办法》要求,按照级别设置医师开立权限，系统严格管控。能查询抗菌药物的使用情况。</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（3）精一、精二等处方按医师授权、未授权不允许开立。能查询精一、精二的使用记录。</w:t>
            </w:r>
          </w:p>
        </w:tc>
      </w:tr>
      <w:tr w14:paraId="65A9D34E">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1F79D302">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49A3603F">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3E2BDD83">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（1）门诊药房处方审核可以进行药物之间（重复用药、相互作用、配伍禁忌）、药物与诊断（超适应症）的不合理用药检查与提示控制。</w:t>
            </w:r>
          </w:p>
        </w:tc>
      </w:tr>
      <w:tr w14:paraId="605CD01E">
        <w:tblPrEx>
          <w:tblCellMar>
            <w:top w:w="0" w:type="dxa"/>
            <w:left w:w="108" w:type="dxa"/>
            <w:bottom w:w="0" w:type="dxa"/>
            <w:right w:w="108" w:type="dxa"/>
          </w:tblCellMar>
        </w:tblPrEx>
        <w:trPr>
          <w:trHeight w:val="2040" w:hRule="atLeast"/>
        </w:trPr>
        <w:tc>
          <w:tcPr>
            <w:tcW w:w="820" w:type="dxa"/>
            <w:vMerge w:val="continue"/>
            <w:tcBorders>
              <w:top w:val="nil"/>
              <w:left w:val="single" w:color="000000" w:sz="4" w:space="0"/>
              <w:bottom w:val="single" w:color="000000" w:sz="4" w:space="0"/>
              <w:right w:val="single" w:color="000000" w:sz="4" w:space="0"/>
            </w:tcBorders>
            <w:vAlign w:val="center"/>
          </w:tcPr>
          <w:p w14:paraId="204CA651">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14453D5B">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1AB894B">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（1）门诊处方有事后点评功能，可对处方进行抽查、点评、记录。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（2）不合格处方点评结果会以消息的形式提醒医师，医生可在系统中查看点评不合理处方内容及原因。</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（3）医生可以对点评结果进行接受或申诉操作。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（4）药师可以查看医师对点评结果的反馈。</w:t>
            </w:r>
          </w:p>
        </w:tc>
      </w:tr>
      <w:tr w14:paraId="7810871B">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15265139">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2B518773">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病房药品配置</w:t>
            </w:r>
          </w:p>
        </w:tc>
        <w:tc>
          <w:tcPr>
            <w:tcW w:w="6679" w:type="dxa"/>
            <w:tcBorders>
              <w:top w:val="nil"/>
              <w:left w:val="nil"/>
              <w:bottom w:val="single" w:color="000000" w:sz="4" w:space="0"/>
              <w:right w:val="single" w:color="000000" w:sz="4" w:space="0"/>
            </w:tcBorders>
            <w:shd w:val="clear" w:color="auto" w:fill="auto"/>
            <w:vAlign w:val="center"/>
          </w:tcPr>
          <w:p w14:paraId="3DAA12BF">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（1）住院药房能够查询到患者用药信息并发药，临床医护可以查看到已发药信息。</w:t>
            </w:r>
          </w:p>
        </w:tc>
      </w:tr>
      <w:tr w14:paraId="57EBC693">
        <w:tblPrEx>
          <w:tblCellMar>
            <w:top w:w="0" w:type="dxa"/>
            <w:left w:w="108" w:type="dxa"/>
            <w:bottom w:w="0" w:type="dxa"/>
            <w:right w:w="108" w:type="dxa"/>
          </w:tblCellMar>
        </w:tblPrEx>
        <w:trPr>
          <w:trHeight w:val="2550" w:hRule="atLeast"/>
        </w:trPr>
        <w:tc>
          <w:tcPr>
            <w:tcW w:w="820" w:type="dxa"/>
            <w:vMerge w:val="continue"/>
            <w:tcBorders>
              <w:top w:val="nil"/>
              <w:left w:val="single" w:color="000000" w:sz="4" w:space="0"/>
              <w:bottom w:val="single" w:color="000000" w:sz="4" w:space="0"/>
              <w:right w:val="single" w:color="000000" w:sz="4" w:space="0"/>
            </w:tcBorders>
            <w:vAlign w:val="center"/>
          </w:tcPr>
          <w:p w14:paraId="0923B58E">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098977CC">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20FFAF1B">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（1）病房药房有包药机，口服药袋上有条码，护士通过PDA扫描患者腕带、口服药袋条码进行核对执行。</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（2）静配中心瓶贴上有条码，在配液仓内可以实现扫码核对、配置、复核等操作，病房护士通过PDA扫描患者腕带、配液标签条码进行核对执行。</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（3）病房自行配液的药品有条码，病房护士通过PDA扫描患者腕带、输液标签条码进行核对执行。</w:t>
            </w:r>
          </w:p>
        </w:tc>
      </w:tr>
      <w:tr w14:paraId="3A6DB411">
        <w:tblPrEx>
          <w:tblCellMar>
            <w:top w:w="0" w:type="dxa"/>
            <w:left w:w="108" w:type="dxa"/>
            <w:bottom w:w="0" w:type="dxa"/>
            <w:right w:w="108" w:type="dxa"/>
          </w:tblCellMar>
        </w:tblPrEx>
        <w:trPr>
          <w:trHeight w:val="2040" w:hRule="atLeast"/>
        </w:trPr>
        <w:tc>
          <w:tcPr>
            <w:tcW w:w="820" w:type="dxa"/>
            <w:vMerge w:val="continue"/>
            <w:tcBorders>
              <w:top w:val="nil"/>
              <w:left w:val="single" w:color="000000" w:sz="4" w:space="0"/>
              <w:bottom w:val="single" w:color="000000" w:sz="4" w:space="0"/>
              <w:right w:val="single" w:color="000000" w:sz="4" w:space="0"/>
            </w:tcBorders>
            <w:vAlign w:val="center"/>
          </w:tcPr>
          <w:p w14:paraId="21297471">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0C2B149F">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3CA99ED7">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（1）住院医嘱有事后点评功能，可对处方进行抽查、点评、记录。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（2）不合格处方点评结果会以消息的形式提醒医师，医生可在系统中查看点评不合理处方内容及原因。</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（3）医生可以对点评结果进行接受或申诉操作。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（4）药师可以查看医师对点评结果的反馈。</w:t>
            </w:r>
          </w:p>
        </w:tc>
      </w:tr>
      <w:tr w14:paraId="1B91F397">
        <w:tblPrEx>
          <w:tblCellMar>
            <w:top w:w="0" w:type="dxa"/>
            <w:left w:w="108" w:type="dxa"/>
            <w:bottom w:w="0" w:type="dxa"/>
            <w:right w:w="108" w:type="dxa"/>
          </w:tblCellMar>
        </w:tblPrEx>
        <w:trPr>
          <w:trHeight w:val="4590"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70C3DC01">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病历管理</w:t>
            </w: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0BC747FE">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病历质量控制</w:t>
            </w:r>
          </w:p>
        </w:tc>
        <w:tc>
          <w:tcPr>
            <w:tcW w:w="6679" w:type="dxa"/>
            <w:tcBorders>
              <w:top w:val="nil"/>
              <w:left w:val="nil"/>
              <w:bottom w:val="single" w:color="000000" w:sz="4" w:space="0"/>
              <w:right w:val="single" w:color="000000" w:sz="4" w:space="0"/>
            </w:tcBorders>
            <w:shd w:val="clear" w:color="auto" w:fill="auto"/>
            <w:vAlign w:val="center"/>
          </w:tcPr>
          <w:p w14:paraId="640F85CA">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（1）可以根据专科特色，维护专科、诊断（病种）病历模板，根据不同专科、诊断病历模板配置了差别化的质控条目，案例如下：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1）专科：眼科入院记录和通用入院记录不同，专科情况有双眼视力、结膜、巩膜、瞳孔、晶状体、玻璃提等结构化内容。有眼科入院记录专科情况某些项目必填的质控条目，环节质控中手工评定使用。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2）专科：产科入院记录和通用入院记录不同，专科情况有宫高、腹围、胎儿情况等结构化内容。产科入院记录模板设置了这些数值项目的上下限，超过最大值，低于最小值会有质控提醒。</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3）诊断：如脑卒中入院记录、肺癌入院记录等。可以分别定义这些模板的质控项目（如必填项目、时效性的提示等）。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（2）差别化的质控项目的病历缺陷情况，质控管理部门可以在系统中进行统计查询。</w:t>
            </w:r>
          </w:p>
        </w:tc>
      </w:tr>
      <w:tr w14:paraId="59FA682A">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11496EDF">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DE81C5A">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1F2FC151">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（1）对时限、规定必须书写的病案内容进行自动提示（如24小时内必须完成入院记录、病案首页或者其他病历必填项的控制）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（2）质控部门能够查询质控缺陷记录。</w:t>
            </w:r>
          </w:p>
        </w:tc>
      </w:tr>
      <w:tr w14:paraId="2F2EB23B">
        <w:tblPrEx>
          <w:tblCellMar>
            <w:top w:w="0" w:type="dxa"/>
            <w:left w:w="108" w:type="dxa"/>
            <w:bottom w:w="0" w:type="dxa"/>
            <w:right w:w="108" w:type="dxa"/>
          </w:tblCellMar>
        </w:tblPrEx>
        <w:trPr>
          <w:trHeight w:val="2040" w:hRule="atLeast"/>
        </w:trPr>
        <w:tc>
          <w:tcPr>
            <w:tcW w:w="820" w:type="dxa"/>
            <w:vMerge w:val="continue"/>
            <w:tcBorders>
              <w:top w:val="nil"/>
              <w:left w:val="single" w:color="000000" w:sz="4" w:space="0"/>
              <w:bottom w:val="single" w:color="000000" w:sz="4" w:space="0"/>
              <w:right w:val="single" w:color="000000" w:sz="4" w:space="0"/>
            </w:tcBorders>
            <w:vAlign w:val="center"/>
          </w:tcPr>
          <w:p w14:paraId="55AE45C6">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2406731">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4F051BCB">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（1）运行质控：病历质控管理部门对在院患者的病历进行抽查，如果病历有缺陷，会发消息给患者的病历书写者，医生接收到消息后完成修改，质控管理部门会收到反馈的消息。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（2）终末质控：病历质控管理部门对出院患者的病历进行抽查，如果病历有缺陷，会发消息给患者的病历书写者，医生接收到消息后完成修改，质控管理部门会收到反馈的消息。</w:t>
            </w:r>
          </w:p>
        </w:tc>
      </w:tr>
      <w:tr w14:paraId="31CD7A4C">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5582E0C5">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27F36EBB">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69EC6781">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（1）对病案首页内容进行质量核查功能。</w:t>
            </w:r>
          </w:p>
        </w:tc>
      </w:tr>
      <w:tr w14:paraId="362025FB">
        <w:tblPrEx>
          <w:tblCellMar>
            <w:top w:w="0" w:type="dxa"/>
            <w:left w:w="108" w:type="dxa"/>
            <w:bottom w:w="0" w:type="dxa"/>
            <w:right w:w="108" w:type="dxa"/>
          </w:tblCellMar>
        </w:tblPrEx>
        <w:trPr>
          <w:trHeight w:val="510" w:hRule="atLeast"/>
        </w:trPr>
        <w:tc>
          <w:tcPr>
            <w:tcW w:w="820" w:type="dxa"/>
            <w:vMerge w:val="continue"/>
            <w:tcBorders>
              <w:top w:val="nil"/>
              <w:left w:val="single" w:color="000000" w:sz="4" w:space="0"/>
              <w:bottom w:val="single" w:color="000000" w:sz="4" w:space="0"/>
              <w:right w:val="single" w:color="000000" w:sz="4" w:space="0"/>
            </w:tcBorders>
            <w:vAlign w:val="center"/>
          </w:tcPr>
          <w:p w14:paraId="0F34B698">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231CDD52">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440DECE6">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（1）病历三级医师签名并且记录。</w:t>
            </w:r>
          </w:p>
        </w:tc>
      </w:tr>
      <w:tr w14:paraId="033B0D4B">
        <w:tblPrEx>
          <w:tblCellMar>
            <w:top w:w="0" w:type="dxa"/>
            <w:left w:w="108" w:type="dxa"/>
            <w:bottom w:w="0" w:type="dxa"/>
            <w:right w:w="108" w:type="dxa"/>
          </w:tblCellMar>
        </w:tblPrEx>
        <w:trPr>
          <w:trHeight w:val="2805" w:hRule="atLeast"/>
        </w:trPr>
        <w:tc>
          <w:tcPr>
            <w:tcW w:w="820" w:type="dxa"/>
            <w:vMerge w:val="continue"/>
            <w:tcBorders>
              <w:top w:val="nil"/>
              <w:left w:val="single" w:color="000000" w:sz="4" w:space="0"/>
              <w:bottom w:val="single" w:color="000000" w:sz="4" w:space="0"/>
              <w:right w:val="single" w:color="000000" w:sz="4" w:space="0"/>
            </w:tcBorders>
            <w:vAlign w:val="center"/>
          </w:tcPr>
          <w:p w14:paraId="3822D39E">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3D01E059">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电子病历文档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应用</w:t>
            </w:r>
          </w:p>
        </w:tc>
        <w:tc>
          <w:tcPr>
            <w:tcW w:w="6679" w:type="dxa"/>
            <w:tcBorders>
              <w:top w:val="nil"/>
              <w:left w:val="nil"/>
              <w:bottom w:val="single" w:color="000000" w:sz="4" w:space="0"/>
              <w:right w:val="single" w:color="000000" w:sz="4" w:space="0"/>
            </w:tcBorders>
            <w:shd w:val="clear" w:color="auto" w:fill="auto"/>
            <w:vAlign w:val="center"/>
          </w:tcPr>
          <w:p w14:paraId="6E7E9501">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（1）有完善的电子病历权限分级访问控制，可通过授权机制临时授权并限制访问使用时间。</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（2）非患者本科室的临床医师不可浏览、修改病历，检查、检验等医技医辅科室可以通过患者的申请单等浏览病历。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（3）转科患者的病历，转出科室需要访问修改应申请授权。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（4）会诊科室查看会诊申请患者的病历，查看范围及时限应授权。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（5）出院患者归档的病历如需查阅或修改需申请授权。</w:t>
            </w:r>
          </w:p>
        </w:tc>
      </w:tr>
      <w:tr w14:paraId="3175ABCF">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6FAFB850">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60CC929A">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3183D54A">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（1）病历导出功能，导出病历是通用格式或提供工具查看。</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（2）病案室可以导出病历，并且可以拷贝U盘、刻盘等，复制的文件带水印。</w:t>
            </w:r>
          </w:p>
        </w:tc>
      </w:tr>
      <w:tr w14:paraId="2215C17A">
        <w:tblPrEx>
          <w:tblCellMar>
            <w:top w:w="0" w:type="dxa"/>
            <w:left w:w="108" w:type="dxa"/>
            <w:bottom w:w="0" w:type="dxa"/>
            <w:right w:w="108" w:type="dxa"/>
          </w:tblCellMar>
        </w:tblPrEx>
        <w:trPr>
          <w:trHeight w:val="2550"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540F0DE3">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电子病历基础</w:t>
            </w: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46EF6F5B">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病历数据存储</w:t>
            </w:r>
          </w:p>
        </w:tc>
        <w:tc>
          <w:tcPr>
            <w:tcW w:w="6679" w:type="dxa"/>
            <w:tcBorders>
              <w:top w:val="nil"/>
              <w:left w:val="nil"/>
              <w:bottom w:val="single" w:color="000000" w:sz="4" w:space="0"/>
              <w:right w:val="single" w:color="000000" w:sz="4" w:space="0"/>
            </w:tcBorders>
            <w:shd w:val="clear" w:color="auto" w:fill="auto"/>
            <w:vAlign w:val="center"/>
          </w:tcPr>
          <w:p w14:paraId="74299080">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全部医疗记录和图像根据患者信息为索引统一长期存储，集成所有医疗系统数据和图像，形成统一管理体系。可查看患者本次及历次就诊的诊断、医嘱、病历、检验报告、检查报告和图像、过敏记录、护理病历、生命体征、麻醉记录单、重症监护记录单、治疗记录单、透析记录单、会诊记录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（2）临床医生书写电子病历时能引用患者的诊断、医嘱、检查结果、检验结果、生命体征等信息。</w:t>
            </w:r>
          </w:p>
        </w:tc>
      </w:tr>
      <w:tr w14:paraId="69577774">
        <w:tblPrEx>
          <w:tblCellMar>
            <w:top w:w="0" w:type="dxa"/>
            <w:left w:w="108" w:type="dxa"/>
            <w:bottom w:w="0" w:type="dxa"/>
            <w:right w:w="108" w:type="dxa"/>
          </w:tblCellMar>
        </w:tblPrEx>
        <w:trPr>
          <w:trHeight w:val="765" w:hRule="atLeast"/>
        </w:trPr>
        <w:tc>
          <w:tcPr>
            <w:tcW w:w="820" w:type="dxa"/>
            <w:vMerge w:val="continue"/>
            <w:tcBorders>
              <w:top w:val="nil"/>
              <w:left w:val="single" w:color="000000" w:sz="4" w:space="0"/>
              <w:bottom w:val="single" w:color="000000" w:sz="4" w:space="0"/>
              <w:right w:val="single" w:color="000000" w:sz="4" w:space="0"/>
            </w:tcBorders>
            <w:vAlign w:val="center"/>
          </w:tcPr>
          <w:p w14:paraId="765ABC89">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17FE37C5">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5C94EDFF">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（1）患者出院后病历归档存储30年，应对历史病历进行扫描、电子归档存档，使临床医生可快速查询离线的病历。</w:t>
            </w:r>
          </w:p>
        </w:tc>
      </w:tr>
      <w:tr w14:paraId="3EEC1AEE">
        <w:tblPrEx>
          <w:tblCellMar>
            <w:top w:w="0" w:type="dxa"/>
            <w:left w:w="108" w:type="dxa"/>
            <w:bottom w:w="0" w:type="dxa"/>
            <w:right w:w="108" w:type="dxa"/>
          </w:tblCellMar>
        </w:tblPrEx>
        <w:trPr>
          <w:trHeight w:val="1020" w:hRule="atLeast"/>
        </w:trPr>
        <w:tc>
          <w:tcPr>
            <w:tcW w:w="820" w:type="dxa"/>
            <w:vMerge w:val="continue"/>
            <w:tcBorders>
              <w:top w:val="nil"/>
              <w:left w:val="single" w:color="000000" w:sz="4" w:space="0"/>
              <w:bottom w:val="single" w:color="000000" w:sz="4" w:space="0"/>
              <w:right w:val="single" w:color="000000" w:sz="4" w:space="0"/>
            </w:tcBorders>
            <w:vAlign w:val="center"/>
          </w:tcPr>
          <w:p w14:paraId="21075C28">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65178113">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0A788C25">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（1）患者预约住院或入院后，病房医生可以快速查询患者的全部离线医疗记录。</w:t>
            </w:r>
          </w:p>
        </w:tc>
      </w:tr>
      <w:tr w14:paraId="6F29E14A">
        <w:tblPrEx>
          <w:tblCellMar>
            <w:top w:w="0" w:type="dxa"/>
            <w:left w:w="108" w:type="dxa"/>
            <w:bottom w:w="0" w:type="dxa"/>
            <w:right w:w="108" w:type="dxa"/>
          </w:tblCellMar>
        </w:tblPrEx>
        <w:trPr>
          <w:trHeight w:val="1275" w:hRule="atLeast"/>
        </w:trPr>
        <w:tc>
          <w:tcPr>
            <w:tcW w:w="820" w:type="dxa"/>
            <w:vMerge w:val="continue"/>
            <w:tcBorders>
              <w:top w:val="nil"/>
              <w:left w:val="single" w:color="000000" w:sz="4" w:space="0"/>
              <w:bottom w:val="single" w:color="000000" w:sz="4" w:space="0"/>
              <w:right w:val="single" w:color="000000" w:sz="4" w:space="0"/>
            </w:tcBorders>
            <w:vAlign w:val="center"/>
          </w:tcPr>
          <w:p w14:paraId="21DF113A">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4AFEE500">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电子认证与签名</w:t>
            </w:r>
          </w:p>
        </w:tc>
        <w:tc>
          <w:tcPr>
            <w:tcW w:w="6679" w:type="dxa"/>
            <w:tcBorders>
              <w:top w:val="nil"/>
              <w:left w:val="nil"/>
              <w:bottom w:val="single" w:color="000000" w:sz="4" w:space="0"/>
              <w:right w:val="single" w:color="000000" w:sz="4" w:space="0"/>
            </w:tcBorders>
            <w:shd w:val="clear" w:color="auto" w:fill="auto"/>
            <w:vAlign w:val="center"/>
          </w:tcPr>
          <w:p w14:paraId="709443EA">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（1）使用统一身份认证服务系统，实现电子病历评级相关应用系统间的统一身份认证、单点登录。</w:t>
            </w:r>
          </w:p>
        </w:tc>
      </w:tr>
      <w:tr w14:paraId="2B7A91D6">
        <w:tblPrEx>
          <w:tblCellMar>
            <w:top w:w="0" w:type="dxa"/>
            <w:left w:w="108" w:type="dxa"/>
            <w:bottom w:w="0" w:type="dxa"/>
            <w:right w:w="108" w:type="dxa"/>
          </w:tblCellMar>
        </w:tblPrEx>
        <w:trPr>
          <w:trHeight w:val="2295" w:hRule="atLeast"/>
        </w:trPr>
        <w:tc>
          <w:tcPr>
            <w:tcW w:w="820" w:type="dxa"/>
            <w:vMerge w:val="continue"/>
            <w:tcBorders>
              <w:top w:val="nil"/>
              <w:left w:val="single" w:color="000000" w:sz="4" w:space="0"/>
              <w:bottom w:val="single" w:color="000000" w:sz="4" w:space="0"/>
              <w:right w:val="single" w:color="000000" w:sz="4" w:space="0"/>
            </w:tcBorders>
            <w:vAlign w:val="center"/>
          </w:tcPr>
          <w:p w14:paraId="3F9FC8DC">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4ABED246">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7E5C7040">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门诊、病房、检查、检验系统的医疗记录，至少有一类使用电子签名。门诊包括写病历和下医嘱，病房包括医生写病历、下医嘱、护理病历、护士执行医嘱，检查包括所有检查系统（放射、超声、内镜、心电、病理、核医学、CT等），检验包括所有实验室（临检、生化、免疫、微生物等）。</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（2）签名数据记录：签名原文、时间戳值、签名值、签名证书等。</w:t>
            </w:r>
          </w:p>
        </w:tc>
      </w:tr>
      <w:tr w14:paraId="2304C28B">
        <w:tblPrEx>
          <w:tblCellMar>
            <w:top w:w="0" w:type="dxa"/>
            <w:left w:w="108" w:type="dxa"/>
            <w:bottom w:w="0" w:type="dxa"/>
            <w:right w:w="108" w:type="dxa"/>
          </w:tblCellMar>
        </w:tblPrEx>
        <w:trPr>
          <w:trHeight w:val="982" w:hRule="atLeast"/>
        </w:trPr>
        <w:tc>
          <w:tcPr>
            <w:tcW w:w="820" w:type="dxa"/>
            <w:vMerge w:val="restart"/>
            <w:tcBorders>
              <w:top w:val="nil"/>
              <w:left w:val="single" w:color="000000" w:sz="4" w:space="0"/>
              <w:bottom w:val="single" w:color="000000" w:sz="4" w:space="0"/>
              <w:right w:val="single" w:color="000000" w:sz="4" w:space="0"/>
            </w:tcBorders>
            <w:shd w:val="clear" w:color="auto" w:fill="auto"/>
            <w:vAlign w:val="center"/>
          </w:tcPr>
          <w:p w14:paraId="72B1B8DA">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信息利用</w:t>
            </w:r>
          </w:p>
        </w:tc>
        <w:tc>
          <w:tcPr>
            <w:tcW w:w="860" w:type="dxa"/>
            <w:tcBorders>
              <w:top w:val="nil"/>
              <w:left w:val="nil"/>
              <w:bottom w:val="single" w:color="000000" w:sz="4" w:space="0"/>
              <w:right w:val="single" w:color="000000" w:sz="4" w:space="0"/>
            </w:tcBorders>
            <w:shd w:val="clear" w:color="auto" w:fill="auto"/>
            <w:vAlign w:val="center"/>
          </w:tcPr>
          <w:p w14:paraId="778AF174">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临床数据整合</w:t>
            </w:r>
          </w:p>
        </w:tc>
        <w:tc>
          <w:tcPr>
            <w:tcW w:w="6679" w:type="dxa"/>
            <w:tcBorders>
              <w:top w:val="nil"/>
              <w:left w:val="nil"/>
              <w:bottom w:val="single" w:color="000000" w:sz="4" w:space="0"/>
              <w:right w:val="single" w:color="000000" w:sz="4" w:space="0"/>
            </w:tcBorders>
            <w:shd w:val="clear" w:color="auto" w:fill="auto"/>
            <w:vAlign w:val="center"/>
          </w:tcPr>
          <w:p w14:paraId="5DF9F38B">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（1）通过临床数据中心CDR全息视图，能查看住院病案首页、门诊就诊记录、医嘱记录、检查报告、检验报告、手术记录、治疗记录、体征记录等</w:t>
            </w:r>
          </w:p>
        </w:tc>
      </w:tr>
      <w:tr w14:paraId="157AF9F6">
        <w:tblPrEx>
          <w:tblCellMar>
            <w:top w:w="0" w:type="dxa"/>
            <w:left w:w="108" w:type="dxa"/>
            <w:bottom w:w="0" w:type="dxa"/>
            <w:right w:w="108" w:type="dxa"/>
          </w:tblCellMar>
        </w:tblPrEx>
        <w:trPr>
          <w:trHeight w:val="601" w:hRule="atLeast"/>
        </w:trPr>
        <w:tc>
          <w:tcPr>
            <w:tcW w:w="820" w:type="dxa"/>
            <w:vMerge w:val="continue"/>
            <w:tcBorders>
              <w:top w:val="nil"/>
              <w:left w:val="single" w:color="000000" w:sz="4" w:space="0"/>
              <w:bottom w:val="single" w:color="000000" w:sz="4" w:space="0"/>
              <w:right w:val="single" w:color="000000" w:sz="4" w:space="0"/>
            </w:tcBorders>
            <w:vAlign w:val="center"/>
          </w:tcPr>
          <w:p w14:paraId="052E4A6C">
            <w:pPr>
              <w:widowControl/>
              <w:spacing w:line="276" w:lineRule="auto"/>
              <w:jc w:val="left"/>
              <w:rPr>
                <w:rFonts w:ascii="宋体" w:hAnsi="宋体" w:eastAsia="宋体" w:cs="宋体"/>
                <w:color w:val="000000"/>
                <w:kern w:val="0"/>
                <w:sz w:val="21"/>
                <w:szCs w:val="21"/>
              </w:rPr>
            </w:pPr>
          </w:p>
        </w:tc>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14:paraId="7B1B0622">
            <w:pPr>
              <w:widowControl/>
              <w:spacing w:line="276"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医疗质量控制</w:t>
            </w:r>
          </w:p>
        </w:tc>
        <w:tc>
          <w:tcPr>
            <w:tcW w:w="6679" w:type="dxa"/>
            <w:tcBorders>
              <w:top w:val="nil"/>
              <w:left w:val="nil"/>
              <w:bottom w:val="single" w:color="000000" w:sz="4" w:space="0"/>
              <w:right w:val="single" w:color="000000" w:sz="4" w:space="0"/>
            </w:tcBorders>
            <w:shd w:val="clear" w:color="auto" w:fill="auto"/>
            <w:vAlign w:val="center"/>
          </w:tcPr>
          <w:p w14:paraId="04E8865E">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（1）三级医院评审细则具体要求见&lt;三级医院评审细则第七章&gt;</w:t>
            </w:r>
          </w:p>
        </w:tc>
      </w:tr>
      <w:tr w14:paraId="4E781AC8">
        <w:tblPrEx>
          <w:tblCellMar>
            <w:top w:w="0" w:type="dxa"/>
            <w:left w:w="108" w:type="dxa"/>
            <w:bottom w:w="0" w:type="dxa"/>
            <w:right w:w="108" w:type="dxa"/>
          </w:tblCellMar>
        </w:tblPrEx>
        <w:trPr>
          <w:trHeight w:val="978" w:hRule="atLeast"/>
        </w:trPr>
        <w:tc>
          <w:tcPr>
            <w:tcW w:w="820" w:type="dxa"/>
            <w:vMerge w:val="continue"/>
            <w:tcBorders>
              <w:top w:val="nil"/>
              <w:left w:val="single" w:color="000000" w:sz="4" w:space="0"/>
              <w:bottom w:val="single" w:color="000000" w:sz="4" w:space="0"/>
              <w:right w:val="single" w:color="000000" w:sz="4" w:space="0"/>
            </w:tcBorders>
            <w:vAlign w:val="center"/>
          </w:tcPr>
          <w:p w14:paraId="6171A9DB">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74A09F1">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6D693C23">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（1）急诊非择期麻醉比例，各类麻醉方式比例，麻醉开始后手术取消率，麻醉后监测治疗室（PACU）转出延迟率</w:t>
            </w:r>
          </w:p>
        </w:tc>
      </w:tr>
      <w:tr w14:paraId="3F041086">
        <w:tblPrEx>
          <w:tblCellMar>
            <w:top w:w="0" w:type="dxa"/>
            <w:left w:w="108" w:type="dxa"/>
            <w:bottom w:w="0" w:type="dxa"/>
            <w:right w:w="108" w:type="dxa"/>
          </w:tblCellMar>
        </w:tblPrEx>
        <w:trPr>
          <w:trHeight w:val="132" w:hRule="atLeast"/>
        </w:trPr>
        <w:tc>
          <w:tcPr>
            <w:tcW w:w="820" w:type="dxa"/>
            <w:vMerge w:val="continue"/>
            <w:tcBorders>
              <w:top w:val="nil"/>
              <w:left w:val="single" w:color="000000" w:sz="4" w:space="0"/>
              <w:bottom w:val="single" w:color="000000" w:sz="4" w:space="0"/>
              <w:right w:val="single" w:color="000000" w:sz="4" w:space="0"/>
            </w:tcBorders>
            <w:vAlign w:val="center"/>
          </w:tcPr>
          <w:p w14:paraId="76D312D2">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0BF58317">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27C33ED1">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（1）三级医院评审细则单病种质量指标，具体要求见&lt;三级医院评审细则，能统计至少5项指标。</w:t>
            </w:r>
          </w:p>
        </w:tc>
      </w:tr>
      <w:tr w14:paraId="3DF90296">
        <w:tblPrEx>
          <w:tblCellMar>
            <w:top w:w="0" w:type="dxa"/>
            <w:left w:w="108" w:type="dxa"/>
            <w:bottom w:w="0" w:type="dxa"/>
            <w:right w:w="108" w:type="dxa"/>
          </w:tblCellMar>
        </w:tblPrEx>
        <w:trPr>
          <w:trHeight w:val="1140" w:hRule="atLeast"/>
        </w:trPr>
        <w:tc>
          <w:tcPr>
            <w:tcW w:w="820" w:type="dxa"/>
            <w:vMerge w:val="continue"/>
            <w:tcBorders>
              <w:top w:val="nil"/>
              <w:left w:val="single" w:color="000000" w:sz="4" w:space="0"/>
              <w:bottom w:val="single" w:color="000000" w:sz="4" w:space="0"/>
              <w:right w:val="single" w:color="000000" w:sz="4" w:space="0"/>
            </w:tcBorders>
            <w:vAlign w:val="center"/>
          </w:tcPr>
          <w:p w14:paraId="1AE0556E">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3355D024">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23508345">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（1）卫生统计上报指标（工作负荷：门诊、住院、手术负荷指标等，工作效率：科室工作量，平均住院日等），卫统4数据。70%以上由系统统计生成。</w:t>
            </w:r>
          </w:p>
        </w:tc>
      </w:tr>
      <w:tr w14:paraId="79C2ECBD">
        <w:tblPrEx>
          <w:tblCellMar>
            <w:top w:w="0" w:type="dxa"/>
            <w:left w:w="108" w:type="dxa"/>
            <w:bottom w:w="0" w:type="dxa"/>
            <w:right w:w="108" w:type="dxa"/>
          </w:tblCellMar>
        </w:tblPrEx>
        <w:trPr>
          <w:trHeight w:val="983" w:hRule="atLeast"/>
        </w:trPr>
        <w:tc>
          <w:tcPr>
            <w:tcW w:w="820" w:type="dxa"/>
            <w:vMerge w:val="continue"/>
            <w:tcBorders>
              <w:top w:val="nil"/>
              <w:left w:val="single" w:color="000000" w:sz="4" w:space="0"/>
              <w:bottom w:val="single" w:color="000000" w:sz="4" w:space="0"/>
              <w:right w:val="single" w:color="000000" w:sz="4" w:space="0"/>
            </w:tcBorders>
            <w:vAlign w:val="center"/>
          </w:tcPr>
          <w:p w14:paraId="60E0398D">
            <w:pPr>
              <w:widowControl/>
              <w:spacing w:line="276" w:lineRule="auto"/>
              <w:jc w:val="left"/>
              <w:rPr>
                <w:rFonts w:ascii="宋体" w:hAnsi="宋体" w:eastAsia="宋体" w:cs="宋体"/>
                <w:color w:val="000000"/>
                <w:kern w:val="0"/>
                <w:sz w:val="21"/>
                <w:szCs w:val="21"/>
              </w:rPr>
            </w:pPr>
          </w:p>
        </w:tc>
        <w:tc>
          <w:tcPr>
            <w:tcW w:w="860" w:type="dxa"/>
            <w:vMerge w:val="continue"/>
            <w:tcBorders>
              <w:top w:val="nil"/>
              <w:left w:val="single" w:color="000000" w:sz="4" w:space="0"/>
              <w:bottom w:val="single" w:color="000000" w:sz="4" w:space="0"/>
              <w:right w:val="single" w:color="000000" w:sz="4" w:space="0"/>
            </w:tcBorders>
            <w:vAlign w:val="center"/>
          </w:tcPr>
          <w:p w14:paraId="08E45530">
            <w:pPr>
              <w:widowControl/>
              <w:spacing w:line="276" w:lineRule="auto"/>
              <w:jc w:val="left"/>
              <w:rPr>
                <w:rFonts w:ascii="宋体" w:hAnsi="宋体" w:eastAsia="宋体" w:cs="宋体"/>
                <w:color w:val="000000"/>
                <w:kern w:val="0"/>
                <w:sz w:val="21"/>
                <w:szCs w:val="21"/>
              </w:rPr>
            </w:pPr>
          </w:p>
        </w:tc>
        <w:tc>
          <w:tcPr>
            <w:tcW w:w="6679" w:type="dxa"/>
            <w:tcBorders>
              <w:top w:val="nil"/>
              <w:left w:val="nil"/>
              <w:bottom w:val="single" w:color="000000" w:sz="4" w:space="0"/>
              <w:right w:val="single" w:color="000000" w:sz="4" w:space="0"/>
            </w:tcBorders>
            <w:shd w:val="clear" w:color="auto" w:fill="auto"/>
            <w:vAlign w:val="center"/>
          </w:tcPr>
          <w:p w14:paraId="645F630D">
            <w:pPr>
              <w:widowControl/>
              <w:spacing w:line="276"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（1）急性生理与慢性健康评分（APACHEII评分）大于等于15分患者收治率（入ICU24小时内），意义：反映收治ICU患者的病情危重程度。</w:t>
            </w:r>
          </w:p>
        </w:tc>
      </w:tr>
    </w:tbl>
    <w:p w14:paraId="2D39075F">
      <w:pPr>
        <w:ind w:firstLine="420" w:firstLineChars="200"/>
        <w:rPr>
          <w:rFonts w:ascii="宋体" w:hAnsi="宋体" w:eastAsia="宋体"/>
        </w:rPr>
      </w:pPr>
      <w:r>
        <w:rPr>
          <w:rFonts w:hint="eastAsia" w:ascii="宋体" w:hAnsi="宋体" w:eastAsia="宋体"/>
        </w:rPr>
        <w:t>2、依据青海省医保平台药品追溯码接入要求进行改造，改造要求如下：</w:t>
      </w:r>
    </w:p>
    <w:p w14:paraId="10FFEB1A">
      <w:pPr>
        <w:ind w:firstLine="420" w:firstLineChars="200"/>
        <w:rPr>
          <w:rFonts w:ascii="宋体" w:hAnsi="宋体" w:eastAsia="宋体"/>
        </w:rPr>
      </w:pPr>
      <w:r>
        <w:rPr>
          <w:rFonts w:hint="eastAsia" w:ascii="宋体" w:hAnsi="宋体" w:eastAsia="宋体"/>
        </w:rPr>
        <w:t>在发药环节采集药品追溯信息。定点医疗机构在发药时调用两定接口中进销存管理的商品销售、商品销售退货等接口，实现在发药环节实时采集药品追溯信息至本地医保信息平台。建议定点医疗机构在门（急）诊、住院时在发药环节完成药品追溯信息实时采集。改造内容包含但不限于以下内容：</w:t>
      </w:r>
    </w:p>
    <w:tbl>
      <w:tblPr>
        <w:tblStyle w:val="20"/>
        <w:tblW w:w="7792" w:type="dxa"/>
        <w:jc w:val="center"/>
        <w:tblLayout w:type="autofit"/>
        <w:tblCellMar>
          <w:top w:w="0" w:type="dxa"/>
          <w:left w:w="108" w:type="dxa"/>
          <w:bottom w:w="0" w:type="dxa"/>
          <w:right w:w="108" w:type="dxa"/>
        </w:tblCellMar>
      </w:tblPr>
      <w:tblGrid>
        <w:gridCol w:w="7792"/>
      </w:tblGrid>
      <w:tr w14:paraId="6B45F5C8">
        <w:tblPrEx>
          <w:tblCellMar>
            <w:top w:w="0" w:type="dxa"/>
            <w:left w:w="108" w:type="dxa"/>
            <w:bottom w:w="0" w:type="dxa"/>
            <w:right w:w="108" w:type="dxa"/>
          </w:tblCellMar>
        </w:tblPrEx>
        <w:trPr>
          <w:trHeight w:val="360" w:hRule="atLeast"/>
          <w:jc w:val="center"/>
        </w:trPr>
        <w:tc>
          <w:tcPr>
            <w:tcW w:w="7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01A81">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 药品字典</w:t>
            </w:r>
          </w:p>
        </w:tc>
      </w:tr>
      <w:tr w14:paraId="183CF30E">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24DB21D8">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1.1 药品字典改造</w:t>
            </w:r>
          </w:p>
        </w:tc>
      </w:tr>
      <w:tr w14:paraId="6E1B8E02">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410DCCDF">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 药库业务</w:t>
            </w:r>
          </w:p>
        </w:tc>
      </w:tr>
      <w:tr w14:paraId="574D3CA1">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0377EE3C">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2.1 药品采购入库</w:t>
            </w:r>
          </w:p>
        </w:tc>
      </w:tr>
      <w:tr w14:paraId="54C16FB0">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2BCC37C2">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2.2 药品采购退库</w:t>
            </w:r>
          </w:p>
        </w:tc>
      </w:tr>
      <w:tr w14:paraId="3431BA80">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2BFFC6ED">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2.3 药库盘点</w:t>
            </w:r>
          </w:p>
        </w:tc>
      </w:tr>
      <w:tr w14:paraId="42A04942">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3875FAA4">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2.4 药库报损</w:t>
            </w:r>
          </w:p>
        </w:tc>
      </w:tr>
      <w:tr w14:paraId="1AB81BA6">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1BE8C0BA">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2.5 药库入库（其他）</w:t>
            </w:r>
          </w:p>
        </w:tc>
      </w:tr>
      <w:tr w14:paraId="2FB6FA3B">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1D8FCA3E">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2.6 药库出库（其他）</w:t>
            </w:r>
          </w:p>
        </w:tc>
      </w:tr>
      <w:tr w14:paraId="529D1415">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18CB0804">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 药房业务</w:t>
            </w:r>
          </w:p>
        </w:tc>
      </w:tr>
      <w:tr w14:paraId="09362BD3">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5F702315">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3.1 门诊发药</w:t>
            </w:r>
          </w:p>
        </w:tc>
      </w:tr>
      <w:tr w14:paraId="353D2946">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1A91AB44">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3.2 门诊退药</w:t>
            </w:r>
          </w:p>
        </w:tc>
      </w:tr>
      <w:tr w14:paraId="5A650FD5">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61D2E119">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3.3 住房发药</w:t>
            </w:r>
          </w:p>
        </w:tc>
      </w:tr>
      <w:tr w14:paraId="1144735B">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32900872">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3.4 住院退药</w:t>
            </w:r>
          </w:p>
        </w:tc>
      </w:tr>
      <w:tr w14:paraId="22280A83">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527BCB01">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3.5 药房盘点</w:t>
            </w:r>
          </w:p>
        </w:tc>
      </w:tr>
      <w:tr w14:paraId="3DDDAD99">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0AF39689">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3.6 药房报损</w:t>
            </w:r>
          </w:p>
        </w:tc>
      </w:tr>
      <w:tr w14:paraId="741FAE58">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4810628F">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3.7 药房入库（其他）</w:t>
            </w:r>
          </w:p>
        </w:tc>
      </w:tr>
      <w:tr w14:paraId="3B3EC717">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35FE7F7D">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3.8 药房出库（其他）</w:t>
            </w:r>
          </w:p>
        </w:tc>
      </w:tr>
      <w:tr w14:paraId="2A7C8811">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0A218011">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4 存量药品管理（新增）</w:t>
            </w:r>
          </w:p>
        </w:tc>
      </w:tr>
      <w:tr w14:paraId="7A97AF6C">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6E61902E">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4.1 全院存量药品管理</w:t>
            </w:r>
          </w:p>
        </w:tc>
      </w:tr>
      <w:tr w14:paraId="74242000">
        <w:tblPrEx>
          <w:tblCellMar>
            <w:top w:w="0" w:type="dxa"/>
            <w:left w:w="108" w:type="dxa"/>
            <w:bottom w:w="0" w:type="dxa"/>
            <w:right w:w="108" w:type="dxa"/>
          </w:tblCellMar>
        </w:tblPrEx>
        <w:trPr>
          <w:trHeight w:val="360" w:hRule="atLeast"/>
          <w:jc w:val="center"/>
        </w:trPr>
        <w:tc>
          <w:tcPr>
            <w:tcW w:w="7792" w:type="dxa"/>
            <w:tcBorders>
              <w:top w:val="nil"/>
              <w:left w:val="single" w:color="auto" w:sz="4" w:space="0"/>
              <w:bottom w:val="single" w:color="auto" w:sz="4" w:space="0"/>
              <w:right w:val="single" w:color="auto" w:sz="4" w:space="0"/>
            </w:tcBorders>
            <w:shd w:val="clear" w:color="auto" w:fill="auto"/>
            <w:noWrap/>
            <w:vAlign w:val="center"/>
          </w:tcPr>
          <w:p w14:paraId="700EB134">
            <w:pPr>
              <w:widowControl/>
              <w:spacing w:line="240" w:lineRule="auto"/>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4.2 三方设备药品管理（如有）</w:t>
            </w:r>
          </w:p>
        </w:tc>
      </w:tr>
    </w:tbl>
    <w:p w14:paraId="2020A53C">
      <w:pPr>
        <w:ind w:firstLine="420" w:firstLineChars="200"/>
        <w:rPr>
          <w:rFonts w:ascii="宋体" w:hAnsi="宋体" w:eastAsia="宋体"/>
        </w:rPr>
      </w:pPr>
      <w:r>
        <w:rPr>
          <w:rFonts w:hint="eastAsia" w:ascii="宋体" w:hAnsi="宋体" w:eastAsia="宋体"/>
        </w:rPr>
        <w:t>3、HIS系统标准化改造应满足医院目前再用的以及建设期间所有接口开发，包含政策性接口和第三方系统接口，系统升级后应保证所有接口系统正常运行，在建期间如遇接口文档改变或更换应免费定制开发接入，预留海南州全民健康信息平台对接。</w:t>
      </w:r>
    </w:p>
    <w:p w14:paraId="37C55E57">
      <w:pPr>
        <w:ind w:firstLine="420" w:firstLineChars="200"/>
        <w:rPr>
          <w:rFonts w:ascii="宋体" w:hAnsi="宋体" w:eastAsia="宋体"/>
        </w:rPr>
      </w:pPr>
      <w:r>
        <w:rPr>
          <w:rFonts w:hint="eastAsia" w:ascii="宋体" w:hAnsi="宋体" w:eastAsia="宋体"/>
        </w:rPr>
        <w:t>4、HIS系统标准化改造应不得影响医院业务的正常开展，充分保障数据安全性、连续性和一致性，制定科学、可行的升级方案及应急预案，如因不慎造成系统及数据故障等风险均由投标人承担责任（提供承诺函）。</w:t>
      </w:r>
    </w:p>
    <w:p w14:paraId="30890114">
      <w:pPr>
        <w:pStyle w:val="5"/>
        <w:rPr>
          <w:rFonts w:ascii="宋体" w:hAnsi="宋体" w:eastAsia="宋体"/>
          <w:b/>
          <w:bCs/>
        </w:rPr>
      </w:pPr>
      <w:r>
        <w:rPr>
          <w:rFonts w:hint="eastAsia" w:ascii="宋体" w:hAnsi="宋体" w:eastAsia="宋体"/>
          <w:b/>
          <w:bCs/>
        </w:rPr>
        <w:t>HIS系统升级后详细功能要求</w:t>
      </w:r>
    </w:p>
    <w:p w14:paraId="2FFE456C">
      <w:pPr>
        <w:pStyle w:val="6"/>
      </w:pPr>
      <w:r>
        <w:rPr>
          <w:rFonts w:hint="eastAsia"/>
        </w:rPr>
        <w:t>门诊收费、挂号系统</w:t>
      </w:r>
    </w:p>
    <w:p w14:paraId="2C287E3D">
      <w:pPr>
        <w:rPr>
          <w:rFonts w:ascii="宋体" w:hAnsi="宋体" w:eastAsia="宋体"/>
        </w:rPr>
      </w:pPr>
      <w:r>
        <w:rPr>
          <w:rFonts w:hint="eastAsia" w:ascii="宋体" w:hAnsi="宋体" w:eastAsia="宋体"/>
        </w:rPr>
        <w:t>1、门诊收费系统：</w:t>
      </w:r>
    </w:p>
    <w:p w14:paraId="196975D3">
      <w:pPr>
        <w:rPr>
          <w:rFonts w:ascii="宋体" w:hAnsi="宋体" w:eastAsia="宋体"/>
        </w:rPr>
      </w:pPr>
      <w:r>
        <w:rPr>
          <w:rFonts w:hint="eastAsia" w:ascii="宋体" w:hAnsi="宋体" w:eastAsia="宋体"/>
        </w:rPr>
        <w:t>（1）注册建卡：支持多种方式，如医保、公费、自费、绿色通道等各种身份患者的注册建卡，将患者的初始档案资料与患者的就诊卡形成对应关系。</w:t>
      </w:r>
    </w:p>
    <w:p w14:paraId="4DCEA283">
      <w:pPr>
        <w:rPr>
          <w:rFonts w:ascii="宋体" w:hAnsi="宋体" w:eastAsia="宋体"/>
        </w:rPr>
      </w:pPr>
      <w:r>
        <w:rPr>
          <w:rFonts w:hint="eastAsia" w:ascii="宋体" w:hAnsi="宋体" w:eastAsia="宋体"/>
        </w:rPr>
        <w:t>（2）门诊收费</w:t>
      </w:r>
    </w:p>
    <w:p w14:paraId="365D84FC">
      <w:pPr>
        <w:ind w:firstLine="480"/>
        <w:rPr>
          <w:rFonts w:ascii="宋体" w:hAnsi="宋体" w:eastAsia="宋体"/>
        </w:rPr>
      </w:pPr>
      <w:r>
        <w:rPr>
          <w:rFonts w:hint="eastAsia" w:ascii="宋体" w:hAnsi="宋体" w:eastAsia="宋体"/>
        </w:rPr>
        <w:t>1）通过身份证、医保卡、就诊卡、居民健康卡等获取病人信息及待收费信息。</w:t>
      </w:r>
    </w:p>
    <w:p w14:paraId="44E9DC12">
      <w:pPr>
        <w:ind w:firstLine="480"/>
        <w:rPr>
          <w:rFonts w:ascii="宋体" w:hAnsi="宋体" w:eastAsia="宋体"/>
        </w:rPr>
      </w:pPr>
      <w:r>
        <w:rPr>
          <w:rFonts w:hint="eastAsia" w:ascii="宋体" w:hAnsi="宋体" w:eastAsia="宋体"/>
        </w:rPr>
        <w:t>2）支持现金、POS机、支票、转账等多种收费方式，支持一卡通充值收退，支持门诊“一卡通”就诊流程。</w:t>
      </w:r>
    </w:p>
    <w:p w14:paraId="34DF7A21">
      <w:pPr>
        <w:ind w:firstLine="480"/>
        <w:rPr>
          <w:rFonts w:ascii="宋体" w:hAnsi="宋体" w:eastAsia="宋体"/>
        </w:rPr>
      </w:pPr>
      <w:r>
        <w:rPr>
          <w:rFonts w:hint="eastAsia" w:ascii="宋体" w:hAnsi="宋体" w:eastAsia="宋体"/>
        </w:rPr>
        <w:t>3）支持医保、公费、自费、绿色通道等各种身份患者的自动划价并收费，并能处理打折、减免各种情况。</w:t>
      </w:r>
    </w:p>
    <w:p w14:paraId="567EB621">
      <w:pPr>
        <w:ind w:firstLine="480"/>
        <w:rPr>
          <w:rFonts w:ascii="宋体" w:hAnsi="宋体" w:eastAsia="宋体"/>
        </w:rPr>
      </w:pPr>
      <w:r>
        <w:rPr>
          <w:rFonts w:hint="eastAsia" w:ascii="宋体" w:hAnsi="宋体" w:eastAsia="宋体"/>
        </w:rPr>
        <w:t>4）须支持70岁以上、本院职工等特殊身份患者的挂号费自动减免设置。</w:t>
      </w:r>
    </w:p>
    <w:p w14:paraId="61C564C1">
      <w:pPr>
        <w:ind w:firstLine="480"/>
        <w:rPr>
          <w:rFonts w:ascii="宋体" w:hAnsi="宋体" w:eastAsia="宋体"/>
        </w:rPr>
      </w:pPr>
      <w:r>
        <w:rPr>
          <w:rFonts w:hint="eastAsia" w:ascii="宋体" w:hAnsi="宋体" w:eastAsia="宋体"/>
        </w:rPr>
        <w:t>5）须支持妇科、口腔科、中医科等临床科室的附加费自动加收。</w:t>
      </w:r>
    </w:p>
    <w:p w14:paraId="038C8BEE">
      <w:pPr>
        <w:ind w:firstLine="480"/>
        <w:rPr>
          <w:rFonts w:ascii="宋体" w:hAnsi="宋体" w:eastAsia="宋体"/>
        </w:rPr>
      </w:pPr>
      <w:r>
        <w:rPr>
          <w:rFonts w:hint="eastAsia" w:ascii="宋体" w:hAnsi="宋体" w:eastAsia="宋体"/>
        </w:rPr>
        <w:t>6）能提供各种身份患者转换，如医保转自费，自费转公费等。</w:t>
      </w:r>
    </w:p>
    <w:p w14:paraId="0833B9DF">
      <w:pPr>
        <w:ind w:firstLine="480"/>
        <w:rPr>
          <w:rFonts w:ascii="宋体" w:hAnsi="宋体" w:eastAsia="宋体"/>
        </w:rPr>
      </w:pPr>
      <w:r>
        <w:rPr>
          <w:rFonts w:hint="eastAsia" w:ascii="宋体" w:hAnsi="宋体" w:eastAsia="宋体"/>
        </w:rPr>
        <w:t>7）实现医保特殊病种的处理。</w:t>
      </w:r>
    </w:p>
    <w:p w14:paraId="717D7394">
      <w:pPr>
        <w:ind w:firstLine="480"/>
        <w:rPr>
          <w:rFonts w:ascii="宋体" w:hAnsi="宋体" w:eastAsia="宋体"/>
        </w:rPr>
      </w:pPr>
      <w:r>
        <w:rPr>
          <w:rFonts w:hint="eastAsia" w:ascii="宋体" w:hAnsi="宋体" w:eastAsia="宋体"/>
        </w:rPr>
        <w:t>8）能根据患者请求快速选科室、医生，生成挂号信息，打印收据，打印内容根据医院具体要求设置。</w:t>
      </w:r>
    </w:p>
    <w:p w14:paraId="5B1A8981">
      <w:pPr>
        <w:rPr>
          <w:rFonts w:ascii="宋体" w:hAnsi="宋体" w:eastAsia="宋体"/>
        </w:rPr>
      </w:pPr>
      <w:r>
        <w:rPr>
          <w:rFonts w:hint="eastAsia" w:ascii="宋体" w:hAnsi="宋体" w:eastAsia="宋体"/>
        </w:rPr>
        <w:t>（3）门诊退费</w:t>
      </w:r>
    </w:p>
    <w:p w14:paraId="5EDFEE40">
      <w:pPr>
        <w:ind w:firstLine="480"/>
        <w:rPr>
          <w:rFonts w:ascii="宋体" w:hAnsi="宋体" w:eastAsia="宋体"/>
        </w:rPr>
      </w:pPr>
      <w:r>
        <w:rPr>
          <w:rFonts w:hint="eastAsia" w:ascii="宋体" w:hAnsi="宋体" w:eastAsia="宋体"/>
        </w:rPr>
        <w:t>1）按现行会计制度和有关规定严格管理退款过程，程序使用冲帐方式退款，保留操作全过程的记录，同时按医院要求设置退费退款流程。对已确认执行项目不允许退款。</w:t>
      </w:r>
    </w:p>
    <w:p w14:paraId="4E5B378E">
      <w:pPr>
        <w:ind w:firstLine="480"/>
        <w:rPr>
          <w:rFonts w:ascii="宋体" w:hAnsi="宋体" w:eastAsia="宋体"/>
        </w:rPr>
      </w:pPr>
      <w:r>
        <w:rPr>
          <w:rFonts w:hint="eastAsia" w:ascii="宋体" w:hAnsi="宋体" w:eastAsia="宋体"/>
        </w:rPr>
        <w:t>2）支持多支付方式部分退费、多支付方式按发票进行退费、单一支付方式按处方主档退费、单一支付方式按发票进行退费等。</w:t>
      </w:r>
    </w:p>
    <w:p w14:paraId="569C82C5">
      <w:pPr>
        <w:rPr>
          <w:rFonts w:ascii="宋体" w:hAnsi="宋体" w:eastAsia="宋体"/>
        </w:rPr>
      </w:pPr>
      <w:r>
        <w:rPr>
          <w:rFonts w:hint="eastAsia" w:ascii="宋体" w:hAnsi="宋体" w:eastAsia="宋体"/>
        </w:rPr>
        <w:t>（4）门诊划价</w:t>
      </w:r>
    </w:p>
    <w:p w14:paraId="7EA1AA40">
      <w:pPr>
        <w:ind w:firstLine="480"/>
        <w:rPr>
          <w:rFonts w:ascii="宋体" w:hAnsi="宋体" w:eastAsia="宋体"/>
        </w:rPr>
      </w:pPr>
      <w:r>
        <w:rPr>
          <w:rFonts w:hint="eastAsia" w:ascii="宋体" w:hAnsi="宋体" w:eastAsia="宋体"/>
        </w:rPr>
        <w:t>具备门诊手工增加项目或药品进行划价、对手工单进行删除等。</w:t>
      </w:r>
    </w:p>
    <w:p w14:paraId="5CCE31B6">
      <w:pPr>
        <w:rPr>
          <w:rFonts w:ascii="宋体" w:hAnsi="宋体" w:eastAsia="宋体"/>
        </w:rPr>
      </w:pPr>
      <w:r>
        <w:rPr>
          <w:rFonts w:hint="eastAsia" w:ascii="宋体" w:hAnsi="宋体" w:eastAsia="宋体"/>
        </w:rPr>
        <w:t>（5）</w:t>
      </w:r>
      <w:r>
        <w:rPr>
          <w:rFonts w:ascii="宋体" w:hAnsi="宋体" w:eastAsia="宋体"/>
        </w:rPr>
        <w:t>结账交款管理</w:t>
      </w:r>
    </w:p>
    <w:p w14:paraId="228D7EB6">
      <w:pPr>
        <w:ind w:firstLine="480"/>
        <w:rPr>
          <w:rFonts w:ascii="宋体" w:hAnsi="宋体" w:eastAsia="宋体"/>
        </w:rPr>
      </w:pPr>
      <w:r>
        <w:rPr>
          <w:rFonts w:hint="eastAsia" w:ascii="宋体" w:hAnsi="宋体" w:eastAsia="宋体"/>
        </w:rPr>
        <w:t>1）根据医院需求提供</w:t>
      </w:r>
      <w:r>
        <w:rPr>
          <w:rFonts w:ascii="宋体" w:hAnsi="宋体" w:eastAsia="宋体"/>
        </w:rPr>
        <w:t>结账、核对、审核、作废等</w:t>
      </w:r>
      <w:r>
        <w:rPr>
          <w:rFonts w:hint="eastAsia" w:ascii="宋体" w:hAnsi="宋体" w:eastAsia="宋体"/>
        </w:rPr>
        <w:t>，</w:t>
      </w:r>
      <w:r>
        <w:rPr>
          <w:rFonts w:ascii="宋体" w:hAnsi="宋体" w:eastAsia="宋体"/>
        </w:rPr>
        <w:t>收费日报表的格式和内容可根据医院要求调整。</w:t>
      </w:r>
    </w:p>
    <w:p w14:paraId="339CE19A">
      <w:pPr>
        <w:ind w:firstLine="480"/>
        <w:rPr>
          <w:rFonts w:ascii="宋体" w:hAnsi="宋体" w:eastAsia="宋体"/>
        </w:rPr>
      </w:pPr>
      <w:r>
        <w:rPr>
          <w:rFonts w:hint="eastAsia" w:ascii="宋体" w:hAnsi="宋体" w:eastAsia="宋体"/>
        </w:rPr>
        <w:t>2）</w:t>
      </w:r>
      <w:r>
        <w:rPr>
          <w:rFonts w:ascii="宋体" w:hAnsi="宋体" w:eastAsia="宋体"/>
        </w:rPr>
        <w:t>结账起始时间要求自动默认取上次结账截止时间，不可更改。</w:t>
      </w:r>
    </w:p>
    <w:p w14:paraId="540F14E0">
      <w:pPr>
        <w:ind w:firstLine="480"/>
        <w:rPr>
          <w:rFonts w:ascii="宋体" w:hAnsi="宋体" w:eastAsia="宋体"/>
        </w:rPr>
      </w:pPr>
      <w:r>
        <w:rPr>
          <w:rFonts w:hint="eastAsia" w:ascii="宋体" w:hAnsi="宋体" w:eastAsia="宋体"/>
        </w:rPr>
        <w:t>3）</w:t>
      </w:r>
      <w:r>
        <w:rPr>
          <w:rFonts w:ascii="宋体" w:hAnsi="宋体" w:eastAsia="宋体"/>
        </w:rPr>
        <w:t>结账截止时间默认取当前时间，可调整。</w:t>
      </w:r>
    </w:p>
    <w:p w14:paraId="037EAFE1">
      <w:pPr>
        <w:ind w:firstLine="480"/>
        <w:rPr>
          <w:rFonts w:ascii="宋体" w:hAnsi="宋体" w:eastAsia="宋体"/>
        </w:rPr>
      </w:pPr>
      <w:r>
        <w:rPr>
          <w:rFonts w:hint="eastAsia" w:ascii="宋体" w:hAnsi="宋体" w:eastAsia="宋体"/>
        </w:rPr>
        <w:t>4）</w:t>
      </w:r>
      <w:r>
        <w:rPr>
          <w:rFonts w:ascii="宋体" w:hAnsi="宋体" w:eastAsia="宋体"/>
        </w:rPr>
        <w:t>操作员在正常收费工作时可随时统计输出收费日报表，做到收费日清日结。</w:t>
      </w:r>
    </w:p>
    <w:p w14:paraId="208C6234">
      <w:pPr>
        <w:ind w:firstLine="480"/>
        <w:rPr>
          <w:rFonts w:ascii="宋体" w:hAnsi="宋体" w:eastAsia="宋体"/>
        </w:rPr>
      </w:pPr>
      <w:r>
        <w:rPr>
          <w:rFonts w:hint="eastAsia" w:ascii="宋体" w:hAnsi="宋体" w:eastAsia="宋体"/>
        </w:rPr>
        <w:t>5）</w:t>
      </w:r>
      <w:r>
        <w:rPr>
          <w:rFonts w:ascii="宋体" w:hAnsi="宋体" w:eastAsia="宋体"/>
        </w:rPr>
        <w:t>支持记帐按单位分别结算出明细表。</w:t>
      </w:r>
    </w:p>
    <w:p w14:paraId="293D7AED">
      <w:pPr>
        <w:ind w:firstLine="480"/>
        <w:rPr>
          <w:rFonts w:ascii="宋体" w:hAnsi="宋体" w:eastAsia="宋体"/>
        </w:rPr>
      </w:pPr>
      <w:r>
        <w:rPr>
          <w:rFonts w:hint="eastAsia" w:ascii="宋体" w:hAnsi="宋体" w:eastAsia="宋体"/>
        </w:rPr>
        <w:t>6）</w:t>
      </w:r>
      <w:r>
        <w:rPr>
          <w:rFonts w:ascii="宋体" w:hAnsi="宋体" w:eastAsia="宋体"/>
        </w:rPr>
        <w:t>支持按收费方式如：现金、POS、转帐、记帐等分别结出金额。</w:t>
      </w:r>
    </w:p>
    <w:p w14:paraId="7C5A5FA4">
      <w:pPr>
        <w:ind w:firstLine="480"/>
        <w:rPr>
          <w:rFonts w:ascii="宋体" w:hAnsi="宋体" w:eastAsia="宋体"/>
        </w:rPr>
      </w:pPr>
      <w:r>
        <w:rPr>
          <w:rFonts w:hint="eastAsia" w:ascii="宋体" w:hAnsi="宋体" w:eastAsia="宋体"/>
        </w:rPr>
        <w:t>7）与</w:t>
      </w:r>
      <w:r>
        <w:rPr>
          <w:rFonts w:ascii="宋体" w:hAnsi="宋体" w:eastAsia="宋体"/>
        </w:rPr>
        <w:t>财务及核算系统接口，报表可按指定格式导出。</w:t>
      </w:r>
    </w:p>
    <w:p w14:paraId="15FAFFF4">
      <w:pPr>
        <w:rPr>
          <w:rFonts w:ascii="宋体" w:hAnsi="宋体" w:eastAsia="宋体"/>
        </w:rPr>
      </w:pPr>
      <w:r>
        <w:rPr>
          <w:rFonts w:hint="eastAsia" w:ascii="宋体" w:hAnsi="宋体" w:eastAsia="宋体"/>
        </w:rPr>
        <w:t>（6）</w:t>
      </w:r>
      <w:r>
        <w:rPr>
          <w:rFonts w:ascii="宋体" w:hAnsi="宋体" w:eastAsia="宋体"/>
        </w:rPr>
        <w:t>票据管理</w:t>
      </w:r>
    </w:p>
    <w:p w14:paraId="23E40B85">
      <w:pPr>
        <w:ind w:firstLine="480"/>
        <w:rPr>
          <w:rFonts w:ascii="宋体" w:hAnsi="宋体" w:eastAsia="宋体"/>
        </w:rPr>
      </w:pPr>
      <w:r>
        <w:rPr>
          <w:rFonts w:hint="eastAsia" w:ascii="宋体" w:hAnsi="宋体" w:eastAsia="宋体"/>
        </w:rPr>
        <w:t>1）</w:t>
      </w:r>
      <w:r>
        <w:rPr>
          <w:rFonts w:ascii="宋体" w:hAnsi="宋体" w:eastAsia="宋体"/>
        </w:rPr>
        <w:t>支持</w:t>
      </w:r>
      <w:r>
        <w:rPr>
          <w:rFonts w:hint="eastAsia" w:ascii="宋体" w:hAnsi="宋体" w:eastAsia="宋体"/>
        </w:rPr>
        <w:t>处理</w:t>
      </w:r>
      <w:r>
        <w:rPr>
          <w:rFonts w:ascii="宋体" w:hAnsi="宋体" w:eastAsia="宋体"/>
        </w:rPr>
        <w:t>发票跳号、漏号。</w:t>
      </w:r>
    </w:p>
    <w:p w14:paraId="50A8561F">
      <w:pPr>
        <w:ind w:firstLine="480"/>
        <w:rPr>
          <w:rFonts w:ascii="宋体" w:hAnsi="宋体" w:eastAsia="宋体"/>
        </w:rPr>
      </w:pPr>
      <w:r>
        <w:rPr>
          <w:rFonts w:hint="eastAsia" w:ascii="宋体" w:hAnsi="宋体" w:eastAsia="宋体"/>
        </w:rPr>
        <w:t>2）</w:t>
      </w:r>
      <w:r>
        <w:rPr>
          <w:rFonts w:ascii="宋体" w:hAnsi="宋体" w:eastAsia="宋体"/>
        </w:rPr>
        <w:t>支持按挂号、科别、项目、时间点等多种方式打印发票。</w:t>
      </w:r>
    </w:p>
    <w:p w14:paraId="19C0D06C">
      <w:pPr>
        <w:ind w:firstLine="480"/>
        <w:rPr>
          <w:rFonts w:ascii="宋体" w:hAnsi="宋体" w:eastAsia="宋体"/>
        </w:rPr>
      </w:pPr>
      <w:r>
        <w:rPr>
          <w:rFonts w:hint="eastAsia" w:ascii="宋体" w:hAnsi="宋体" w:eastAsia="宋体"/>
        </w:rPr>
        <w:t>3）</w:t>
      </w:r>
      <w:r>
        <w:rPr>
          <w:rFonts w:ascii="宋体" w:hAnsi="宋体" w:eastAsia="宋体"/>
        </w:rPr>
        <w:t>支持门诊发票重打。</w:t>
      </w:r>
    </w:p>
    <w:p w14:paraId="509A5573">
      <w:pPr>
        <w:ind w:firstLine="480"/>
        <w:rPr>
          <w:rFonts w:ascii="宋体" w:hAnsi="宋体" w:eastAsia="宋体"/>
        </w:rPr>
      </w:pPr>
      <w:r>
        <w:rPr>
          <w:rFonts w:hint="eastAsia" w:ascii="宋体" w:hAnsi="宋体" w:eastAsia="宋体"/>
        </w:rPr>
        <w:t>4）</w:t>
      </w:r>
      <w:r>
        <w:rPr>
          <w:rFonts w:ascii="宋体" w:hAnsi="宋体" w:eastAsia="宋体"/>
        </w:rPr>
        <w:t>具有发票冲销、作废。</w:t>
      </w:r>
    </w:p>
    <w:p w14:paraId="70B03FC5">
      <w:pPr>
        <w:ind w:firstLine="480"/>
        <w:rPr>
          <w:rFonts w:ascii="宋体" w:hAnsi="宋体" w:eastAsia="宋体"/>
        </w:rPr>
      </w:pPr>
      <w:r>
        <w:rPr>
          <w:rFonts w:hint="eastAsia" w:ascii="宋体" w:hAnsi="宋体" w:eastAsia="宋体"/>
        </w:rPr>
        <w:t>5）</w:t>
      </w:r>
      <w:r>
        <w:rPr>
          <w:rFonts w:ascii="宋体" w:hAnsi="宋体" w:eastAsia="宋体"/>
        </w:rPr>
        <w:t>支持票据的完善管理，包括票据的领用、退还、使用、作废、冲销、移交等。</w:t>
      </w:r>
    </w:p>
    <w:p w14:paraId="0BF2CB51">
      <w:pPr>
        <w:rPr>
          <w:rFonts w:ascii="宋体" w:hAnsi="宋体" w:eastAsia="宋体"/>
        </w:rPr>
      </w:pPr>
      <w:r>
        <w:rPr>
          <w:rFonts w:hint="eastAsia" w:ascii="宋体" w:hAnsi="宋体" w:eastAsia="宋体"/>
        </w:rPr>
        <w:t>（7）</w:t>
      </w:r>
      <w:r>
        <w:rPr>
          <w:rFonts w:ascii="宋体" w:hAnsi="宋体" w:eastAsia="宋体"/>
        </w:rPr>
        <w:t>统计查询</w:t>
      </w:r>
    </w:p>
    <w:p w14:paraId="5EBC6320">
      <w:pPr>
        <w:ind w:firstLine="480"/>
        <w:rPr>
          <w:rFonts w:ascii="宋体" w:hAnsi="宋体" w:eastAsia="宋体"/>
        </w:rPr>
      </w:pPr>
      <w:r>
        <w:rPr>
          <w:rFonts w:hint="eastAsia" w:ascii="宋体" w:hAnsi="宋体" w:eastAsia="宋体"/>
        </w:rPr>
        <w:t>1）</w:t>
      </w:r>
      <w:r>
        <w:rPr>
          <w:rFonts w:ascii="宋体" w:hAnsi="宋体" w:eastAsia="宋体"/>
        </w:rPr>
        <w:t>对患者退号、转诊，以及日期、类别、号别以及应退费用等进行相关统计。</w:t>
      </w:r>
    </w:p>
    <w:p w14:paraId="3E313AD5">
      <w:pPr>
        <w:ind w:firstLine="480"/>
        <w:rPr>
          <w:rFonts w:ascii="宋体" w:hAnsi="宋体" w:eastAsia="宋体"/>
        </w:rPr>
      </w:pPr>
      <w:r>
        <w:rPr>
          <w:rFonts w:hint="eastAsia" w:ascii="宋体" w:hAnsi="宋体" w:eastAsia="宋体"/>
        </w:rPr>
        <w:t>2）</w:t>
      </w:r>
      <w:r>
        <w:rPr>
          <w:rFonts w:ascii="宋体" w:hAnsi="宋体" w:eastAsia="宋体"/>
        </w:rPr>
        <w:t>注册工作量统计</w:t>
      </w:r>
      <w:r>
        <w:rPr>
          <w:rFonts w:hint="eastAsia" w:ascii="宋体" w:hAnsi="宋体" w:eastAsia="宋体"/>
        </w:rPr>
        <w:t>：</w:t>
      </w:r>
      <w:r>
        <w:rPr>
          <w:rFonts w:ascii="宋体" w:hAnsi="宋体" w:eastAsia="宋体"/>
        </w:rPr>
        <w:t>诊患者次按时间段、地域、身份的统计</w:t>
      </w:r>
      <w:r>
        <w:rPr>
          <w:rFonts w:hint="eastAsia" w:ascii="宋体" w:hAnsi="宋体" w:eastAsia="宋体"/>
        </w:rPr>
        <w:t>。</w:t>
      </w:r>
    </w:p>
    <w:p w14:paraId="4948D225">
      <w:pPr>
        <w:ind w:firstLine="480"/>
        <w:rPr>
          <w:rFonts w:ascii="宋体" w:hAnsi="宋体" w:eastAsia="宋体"/>
        </w:rPr>
      </w:pPr>
      <w:r>
        <w:rPr>
          <w:rFonts w:hint="eastAsia" w:ascii="宋体" w:hAnsi="宋体" w:eastAsia="宋体"/>
        </w:rPr>
        <w:t>3）</w:t>
      </w:r>
      <w:r>
        <w:rPr>
          <w:rFonts w:ascii="宋体" w:hAnsi="宋体" w:eastAsia="宋体"/>
        </w:rPr>
        <w:t>挂号工作量统计</w:t>
      </w:r>
      <w:r>
        <w:rPr>
          <w:rFonts w:hint="eastAsia" w:ascii="宋体" w:hAnsi="宋体" w:eastAsia="宋体"/>
        </w:rPr>
        <w:t>：</w:t>
      </w:r>
      <w:r>
        <w:rPr>
          <w:rFonts w:ascii="宋体" w:hAnsi="宋体" w:eastAsia="宋体"/>
        </w:rPr>
        <w:t>按操作员、科室、医生、挂号类别的统计等。</w:t>
      </w:r>
    </w:p>
    <w:p w14:paraId="5C587BAF">
      <w:pPr>
        <w:ind w:firstLine="480"/>
        <w:rPr>
          <w:rFonts w:ascii="宋体" w:hAnsi="宋体" w:eastAsia="宋体"/>
        </w:rPr>
      </w:pPr>
      <w:r>
        <w:rPr>
          <w:rFonts w:hint="eastAsia" w:ascii="宋体" w:hAnsi="宋体" w:eastAsia="宋体"/>
        </w:rPr>
        <w:t>4）</w:t>
      </w:r>
      <w:r>
        <w:rPr>
          <w:rFonts w:ascii="宋体" w:hAnsi="宋体" w:eastAsia="宋体"/>
        </w:rPr>
        <w:t>患者费用明细清单</w:t>
      </w:r>
      <w:r>
        <w:rPr>
          <w:rFonts w:hint="eastAsia" w:ascii="宋体" w:hAnsi="宋体" w:eastAsia="宋体"/>
        </w:rPr>
        <w:t>统计。</w:t>
      </w:r>
    </w:p>
    <w:p w14:paraId="47805936">
      <w:pPr>
        <w:ind w:firstLine="480"/>
        <w:rPr>
          <w:rFonts w:ascii="宋体" w:hAnsi="宋体" w:eastAsia="宋体"/>
        </w:rPr>
      </w:pPr>
      <w:r>
        <w:rPr>
          <w:rFonts w:hint="eastAsia" w:ascii="宋体" w:hAnsi="宋体" w:eastAsia="宋体"/>
        </w:rPr>
        <w:t>5）</w:t>
      </w:r>
      <w:r>
        <w:rPr>
          <w:rFonts w:ascii="宋体" w:hAnsi="宋体" w:eastAsia="宋体"/>
        </w:rPr>
        <w:t>收费员工作量统计</w:t>
      </w:r>
      <w:r>
        <w:rPr>
          <w:rFonts w:hint="eastAsia" w:ascii="宋体" w:hAnsi="宋体" w:eastAsia="宋体"/>
        </w:rPr>
        <w:t>。</w:t>
      </w:r>
    </w:p>
    <w:p w14:paraId="30EB22D4">
      <w:pPr>
        <w:ind w:firstLine="480"/>
        <w:rPr>
          <w:rFonts w:ascii="宋体" w:hAnsi="宋体" w:eastAsia="宋体"/>
        </w:rPr>
      </w:pPr>
      <w:r>
        <w:rPr>
          <w:rFonts w:hint="eastAsia" w:ascii="宋体" w:hAnsi="宋体" w:eastAsia="宋体"/>
        </w:rPr>
        <w:t>6）</w:t>
      </w:r>
      <w:r>
        <w:rPr>
          <w:rFonts w:ascii="宋体" w:hAnsi="宋体" w:eastAsia="宋体"/>
        </w:rPr>
        <w:t>退费情况</w:t>
      </w:r>
      <w:r>
        <w:rPr>
          <w:rFonts w:hint="eastAsia" w:ascii="宋体" w:hAnsi="宋体" w:eastAsia="宋体"/>
        </w:rPr>
        <w:t>统计：</w:t>
      </w:r>
      <w:r>
        <w:rPr>
          <w:rFonts w:ascii="宋体" w:hAnsi="宋体" w:eastAsia="宋体"/>
        </w:rPr>
        <w:t>按科室、操作员统计，医生、科室工作量统计，门诊逃费情况统计，一卡通、现金结帐及查询等。</w:t>
      </w:r>
    </w:p>
    <w:p w14:paraId="4A1700DC">
      <w:pPr>
        <w:rPr>
          <w:rFonts w:ascii="宋体" w:hAnsi="宋体" w:eastAsia="宋体"/>
          <w:b/>
          <w:bCs/>
        </w:rPr>
      </w:pPr>
      <w:r>
        <w:rPr>
          <w:rFonts w:hint="eastAsia" w:ascii="宋体" w:hAnsi="宋体" w:eastAsia="宋体"/>
          <w:b/>
          <w:bCs/>
        </w:rPr>
        <w:t>2、门诊挂号系统:</w:t>
      </w:r>
    </w:p>
    <w:p w14:paraId="17B8F239">
      <w:pPr>
        <w:rPr>
          <w:rFonts w:ascii="宋体" w:hAnsi="宋体" w:eastAsia="宋体"/>
        </w:rPr>
      </w:pPr>
      <w:r>
        <w:rPr>
          <w:rFonts w:hint="eastAsia" w:ascii="宋体" w:hAnsi="宋体" w:eastAsia="宋体"/>
        </w:rPr>
        <w:t>（1）号源池管理</w:t>
      </w:r>
    </w:p>
    <w:p w14:paraId="1D96C6DC">
      <w:pPr>
        <w:ind w:firstLine="480"/>
        <w:rPr>
          <w:rFonts w:ascii="宋体" w:hAnsi="宋体" w:eastAsia="宋体"/>
        </w:rPr>
      </w:pPr>
      <w:r>
        <w:rPr>
          <w:rFonts w:hint="eastAsia" w:ascii="宋体" w:hAnsi="宋体" w:eastAsia="宋体"/>
        </w:rPr>
        <w:t>1）排班模版：可维护好一周的各专业及医生的排班模版信息。按专业和医生进行快速的排班，可从模版快速导入，可从上周导入，形成排班表。</w:t>
      </w:r>
    </w:p>
    <w:p w14:paraId="59306615">
      <w:pPr>
        <w:ind w:firstLine="480"/>
        <w:rPr>
          <w:rFonts w:ascii="宋体" w:hAnsi="宋体" w:eastAsia="宋体"/>
        </w:rPr>
      </w:pPr>
      <w:r>
        <w:rPr>
          <w:rFonts w:hint="eastAsia" w:ascii="宋体" w:hAnsi="宋体" w:eastAsia="宋体"/>
        </w:rPr>
        <w:t>2）班次管理，可自定义上午班、下午班等班次信息。</w:t>
      </w:r>
    </w:p>
    <w:p w14:paraId="3B2DFBDD">
      <w:pPr>
        <w:ind w:firstLine="480"/>
        <w:rPr>
          <w:rFonts w:ascii="宋体" w:hAnsi="宋体" w:eastAsia="宋体"/>
        </w:rPr>
      </w:pPr>
      <w:r>
        <w:rPr>
          <w:rFonts w:hint="eastAsia" w:ascii="宋体" w:hAnsi="宋体" w:eastAsia="宋体"/>
        </w:rPr>
        <w:t>3）挂号号别管理，可维护不同的号别信息。</w:t>
      </w:r>
    </w:p>
    <w:p w14:paraId="1E242787">
      <w:pPr>
        <w:ind w:firstLine="480"/>
        <w:rPr>
          <w:rFonts w:ascii="宋体" w:hAnsi="宋体" w:eastAsia="宋体"/>
        </w:rPr>
      </w:pPr>
      <w:r>
        <w:rPr>
          <w:rFonts w:hint="eastAsia" w:ascii="宋体" w:hAnsi="宋体" w:eastAsia="宋体"/>
        </w:rPr>
        <w:t>4）号源管理：可设置挂号或加号上限，保证号源的容量控制；支持预约号段设置，保证不同挂号途径号源的统一管理。</w:t>
      </w:r>
    </w:p>
    <w:p w14:paraId="3399F981">
      <w:pPr>
        <w:ind w:firstLine="480"/>
        <w:rPr>
          <w:rFonts w:ascii="宋体" w:hAnsi="宋体" w:eastAsia="宋体"/>
        </w:rPr>
      </w:pPr>
      <w:r>
        <w:rPr>
          <w:rFonts w:hint="eastAsia" w:ascii="宋体" w:hAnsi="宋体" w:eastAsia="宋体"/>
        </w:rPr>
        <w:t>5）支持医生停诊、替诊管理。</w:t>
      </w:r>
      <w:r>
        <w:rPr>
          <w:rFonts w:ascii="宋体" w:hAnsi="宋体" w:eastAsia="宋体"/>
        </w:rPr>
        <w:t xml:space="preserve"> </w:t>
      </w:r>
    </w:p>
    <w:p w14:paraId="1E7C7D1E">
      <w:pPr>
        <w:rPr>
          <w:rFonts w:ascii="宋体" w:hAnsi="宋体" w:eastAsia="宋体"/>
        </w:rPr>
      </w:pPr>
      <w:r>
        <w:rPr>
          <w:rFonts w:hint="eastAsia" w:ascii="宋体" w:hAnsi="宋体" w:eastAsia="宋体"/>
        </w:rPr>
        <w:t>（2）患者信息识别</w:t>
      </w:r>
    </w:p>
    <w:p w14:paraId="4CA413AC">
      <w:pPr>
        <w:ind w:firstLine="480"/>
        <w:rPr>
          <w:rFonts w:ascii="宋体" w:hAnsi="宋体" w:eastAsia="宋体"/>
        </w:rPr>
      </w:pPr>
      <w:r>
        <w:rPr>
          <w:rFonts w:hint="eastAsia" w:ascii="宋体" w:hAnsi="宋体" w:eastAsia="宋体"/>
        </w:rPr>
        <w:t>支持通过居民身份证、电子健康卡、社保卡等进行信息识别完成挂号。同时支持建卡和补卡，为患者进行基本信息的登记及卡信息的绑定。</w:t>
      </w:r>
    </w:p>
    <w:p w14:paraId="2F1C5993">
      <w:pPr>
        <w:rPr>
          <w:rFonts w:ascii="宋体" w:hAnsi="宋体" w:eastAsia="宋体"/>
        </w:rPr>
      </w:pPr>
      <w:r>
        <w:rPr>
          <w:rFonts w:hint="eastAsia" w:ascii="宋体" w:hAnsi="宋体" w:eastAsia="宋体"/>
        </w:rPr>
        <w:t>（3）挂号管理</w:t>
      </w:r>
    </w:p>
    <w:p w14:paraId="06D347BD">
      <w:pPr>
        <w:ind w:firstLine="480"/>
        <w:rPr>
          <w:rFonts w:ascii="宋体" w:hAnsi="宋体" w:eastAsia="宋体"/>
        </w:rPr>
      </w:pPr>
      <w:r>
        <w:rPr>
          <w:rFonts w:hint="eastAsia" w:ascii="宋体" w:hAnsi="宋体" w:eastAsia="宋体"/>
        </w:rPr>
        <w:t>1）当日挂号支持窗口挂号和开启了当日线上挂号的号源进行线上当日挂号。</w:t>
      </w:r>
    </w:p>
    <w:p w14:paraId="0F4C4BE0">
      <w:pPr>
        <w:ind w:firstLine="480"/>
        <w:rPr>
          <w:rFonts w:ascii="宋体" w:hAnsi="宋体" w:eastAsia="宋体"/>
        </w:rPr>
      </w:pPr>
      <w:r>
        <w:rPr>
          <w:rFonts w:hint="eastAsia" w:ascii="宋体" w:hAnsi="宋体" w:eastAsia="宋体"/>
        </w:rPr>
        <w:t>2）预约挂号：支持窗口预约、医生站预约、手机APP、医院官方网站、自助机、微信、电话预约挂号等方式。支持就诊时间段选择，患者可根据实际情况选择合适的时间段，减少排队等候时间。</w:t>
      </w:r>
    </w:p>
    <w:p w14:paraId="08E58E27">
      <w:pPr>
        <w:ind w:firstLine="480"/>
        <w:rPr>
          <w:rFonts w:ascii="宋体" w:hAnsi="宋体" w:eastAsia="宋体"/>
        </w:rPr>
      </w:pPr>
      <w:r>
        <w:rPr>
          <w:rFonts w:hint="eastAsia" w:ascii="宋体" w:hAnsi="宋体" w:eastAsia="宋体"/>
        </w:rPr>
        <w:t>3）满足医保、公费、保健对象、70岁以上老人、自费、特困、优抚等多种身份的患者挂号，并支持增加身份种类。</w:t>
      </w:r>
    </w:p>
    <w:p w14:paraId="30502D4F">
      <w:pPr>
        <w:ind w:firstLine="480"/>
        <w:rPr>
          <w:rFonts w:ascii="宋体" w:hAnsi="宋体" w:eastAsia="宋体"/>
        </w:rPr>
      </w:pPr>
      <w:r>
        <w:rPr>
          <w:rFonts w:hint="eastAsia" w:ascii="宋体" w:hAnsi="宋体" w:eastAsia="宋体"/>
        </w:rPr>
        <w:t>4）能根据不同的身份类别设置不同减免优惠方式，直接在挂号时进行减免优惠。</w:t>
      </w:r>
    </w:p>
    <w:p w14:paraId="2C7E0B8E">
      <w:pPr>
        <w:ind w:firstLine="480"/>
        <w:rPr>
          <w:rFonts w:ascii="宋体" w:hAnsi="宋体" w:eastAsia="宋体"/>
        </w:rPr>
      </w:pPr>
      <w:r>
        <w:rPr>
          <w:rFonts w:hint="eastAsia" w:ascii="宋体" w:hAnsi="宋体" w:eastAsia="宋体"/>
        </w:rPr>
        <w:t>5）支持挂号发票（小票）打印，根据医院要求定制样式，能为患者就诊提供时间和地点等的指引。</w:t>
      </w:r>
    </w:p>
    <w:p w14:paraId="5B11B2AB">
      <w:pPr>
        <w:rPr>
          <w:rFonts w:ascii="宋体" w:hAnsi="宋体" w:eastAsia="宋体"/>
        </w:rPr>
      </w:pPr>
      <w:r>
        <w:rPr>
          <w:rFonts w:hint="eastAsia" w:ascii="宋体" w:hAnsi="宋体" w:eastAsia="宋体"/>
        </w:rPr>
        <w:t>（4）退号管理</w:t>
      </w:r>
    </w:p>
    <w:p w14:paraId="65ADD68A">
      <w:pPr>
        <w:ind w:firstLine="480"/>
        <w:rPr>
          <w:rFonts w:ascii="宋体" w:hAnsi="宋体" w:eastAsia="宋体"/>
        </w:rPr>
      </w:pPr>
      <w:r>
        <w:rPr>
          <w:rFonts w:hint="eastAsia" w:ascii="宋体" w:hAnsi="宋体" w:eastAsia="宋体"/>
        </w:rPr>
        <w:t>1）可对已挂号患者进行退号。对已挂号未就诊患者需要取消的进行退号作废处理；</w:t>
      </w:r>
    </w:p>
    <w:p w14:paraId="7C67665C">
      <w:pPr>
        <w:ind w:firstLine="480"/>
        <w:rPr>
          <w:rFonts w:ascii="宋体" w:hAnsi="宋体" w:eastAsia="宋体"/>
        </w:rPr>
      </w:pPr>
      <w:r>
        <w:rPr>
          <w:rFonts w:hint="eastAsia" w:ascii="宋体" w:hAnsi="宋体" w:eastAsia="宋体"/>
        </w:rPr>
        <w:t>2）对已挂号的患者需要换科等进行换号处理。</w:t>
      </w:r>
    </w:p>
    <w:p w14:paraId="47445F71">
      <w:pPr>
        <w:rPr>
          <w:rFonts w:ascii="宋体" w:hAnsi="宋体" w:eastAsia="宋体"/>
        </w:rPr>
      </w:pPr>
      <w:r>
        <w:rPr>
          <w:rFonts w:hint="eastAsia" w:ascii="宋体" w:hAnsi="宋体" w:eastAsia="宋体"/>
        </w:rPr>
        <w:t>（5）消息推送</w:t>
      </w:r>
    </w:p>
    <w:p w14:paraId="07A6EE69">
      <w:pPr>
        <w:ind w:firstLine="480"/>
        <w:rPr>
          <w:rFonts w:ascii="宋体" w:hAnsi="宋体" w:eastAsia="宋体"/>
        </w:rPr>
      </w:pPr>
      <w:r>
        <w:rPr>
          <w:rFonts w:hint="eastAsia" w:ascii="宋体" w:hAnsi="宋体" w:eastAsia="宋体"/>
        </w:rPr>
        <w:t>要求与医院集成平台消息平台无缝系统对接，完成相关消息推送。将挂号信息、退换号信息、医生停诊、替诊相关信息推送给患者。</w:t>
      </w:r>
    </w:p>
    <w:p w14:paraId="5E6FFE4D">
      <w:pPr>
        <w:rPr>
          <w:rFonts w:ascii="宋体" w:hAnsi="宋体" w:eastAsia="宋体"/>
        </w:rPr>
      </w:pPr>
      <w:r>
        <w:rPr>
          <w:rFonts w:hint="eastAsia" w:ascii="宋体" w:hAnsi="宋体" w:eastAsia="宋体"/>
        </w:rPr>
        <w:t>（6）支付管理</w:t>
      </w:r>
    </w:p>
    <w:p w14:paraId="4F42188B">
      <w:pPr>
        <w:ind w:firstLine="480"/>
        <w:rPr>
          <w:rFonts w:ascii="宋体" w:hAnsi="宋体" w:eastAsia="宋体"/>
        </w:rPr>
      </w:pPr>
      <w:r>
        <w:rPr>
          <w:rFonts w:hint="eastAsia" w:ascii="宋体" w:hAnsi="宋体" w:eastAsia="宋体"/>
        </w:rPr>
        <w:t>1）支持现金、刷卡、微信、支付宝、自助机等多种收费方式。能及时完成会计科目、收费项目和科室核算等。</w:t>
      </w:r>
    </w:p>
    <w:p w14:paraId="1BA84D7C">
      <w:pPr>
        <w:ind w:firstLine="480"/>
        <w:rPr>
          <w:rFonts w:ascii="宋体" w:hAnsi="宋体" w:eastAsia="宋体"/>
        </w:rPr>
      </w:pPr>
      <w:r>
        <w:rPr>
          <w:rFonts w:hint="eastAsia" w:ascii="宋体" w:hAnsi="宋体" w:eastAsia="宋体"/>
        </w:rPr>
        <w:t>2）支持挂号处方成本核算与票据凭证领用、注销、作废等核对。</w:t>
      </w:r>
    </w:p>
    <w:p w14:paraId="5AE53531">
      <w:pPr>
        <w:rPr>
          <w:rFonts w:ascii="宋体" w:hAnsi="宋体" w:eastAsia="宋体"/>
        </w:rPr>
      </w:pPr>
      <w:r>
        <w:rPr>
          <w:rFonts w:hint="eastAsia" w:ascii="宋体" w:hAnsi="宋体" w:eastAsia="宋体"/>
        </w:rPr>
        <w:t>（7）黑名单管理</w:t>
      </w:r>
    </w:p>
    <w:p w14:paraId="68CF25AF">
      <w:pPr>
        <w:ind w:firstLine="480"/>
        <w:rPr>
          <w:rFonts w:ascii="宋体" w:hAnsi="宋体" w:eastAsia="宋体"/>
        </w:rPr>
      </w:pPr>
      <w:r>
        <w:rPr>
          <w:rFonts w:hint="eastAsia" w:ascii="宋体" w:hAnsi="宋体" w:eastAsia="宋体"/>
        </w:rPr>
        <w:t>1）须支持黑名单管理与控制，实现对患者信用规范管理。对挂号后未就诊进行爽约管理，同时可设置爽约规则。</w:t>
      </w:r>
    </w:p>
    <w:p w14:paraId="5B553736">
      <w:pPr>
        <w:ind w:firstLine="480"/>
        <w:rPr>
          <w:rFonts w:ascii="宋体" w:hAnsi="宋体" w:eastAsia="宋体"/>
        </w:rPr>
      </w:pPr>
      <w:r>
        <w:rPr>
          <w:rFonts w:hint="eastAsia" w:ascii="宋体" w:hAnsi="宋体" w:eastAsia="宋体"/>
        </w:rPr>
        <w:t>2）对恶意挂号进行预约次数的限制管理。</w:t>
      </w:r>
    </w:p>
    <w:p w14:paraId="5A221305">
      <w:pPr>
        <w:ind w:firstLine="480"/>
        <w:rPr>
          <w:rFonts w:ascii="宋体" w:hAnsi="宋体" w:eastAsia="宋体"/>
        </w:rPr>
      </w:pPr>
      <w:r>
        <w:rPr>
          <w:rFonts w:hint="eastAsia" w:ascii="宋体" w:hAnsi="宋体" w:eastAsia="宋体"/>
        </w:rPr>
        <w:t>3）对就诊后未缴费患者进行挂号限制管理。</w:t>
      </w:r>
    </w:p>
    <w:p w14:paraId="204571C5">
      <w:pPr>
        <w:rPr>
          <w:rFonts w:ascii="宋体" w:hAnsi="宋体" w:eastAsia="宋体"/>
        </w:rPr>
      </w:pPr>
      <w:r>
        <w:rPr>
          <w:rFonts w:hint="eastAsia" w:ascii="宋体" w:hAnsi="宋体" w:eastAsia="宋体"/>
        </w:rPr>
        <w:t>（8）查询统计</w:t>
      </w:r>
    </w:p>
    <w:p w14:paraId="3E529308">
      <w:pPr>
        <w:ind w:firstLine="480"/>
        <w:rPr>
          <w:rFonts w:ascii="宋体" w:hAnsi="宋体" w:eastAsia="宋体"/>
        </w:rPr>
      </w:pPr>
      <w:r>
        <w:rPr>
          <w:rFonts w:hint="eastAsia" w:ascii="宋体" w:hAnsi="宋体" w:eastAsia="宋体"/>
        </w:rPr>
        <w:t>1）实现预约号、退号、患者、科室、医生挂号状况、医生出诊时间、科室挂号现状等查询。</w:t>
      </w:r>
    </w:p>
    <w:p w14:paraId="27E2ABB6">
      <w:pPr>
        <w:ind w:firstLine="480"/>
        <w:rPr>
          <w:rFonts w:ascii="宋体" w:hAnsi="宋体" w:eastAsia="宋体"/>
        </w:rPr>
      </w:pPr>
      <w:r>
        <w:rPr>
          <w:rFonts w:hint="eastAsia" w:ascii="宋体" w:hAnsi="宋体" w:eastAsia="宋体"/>
        </w:rPr>
        <w:t>2）对挂号患者统计、对科室工作量的统计。</w:t>
      </w:r>
    </w:p>
    <w:p w14:paraId="20FE4105">
      <w:pPr>
        <w:ind w:firstLine="480"/>
        <w:rPr>
          <w:rFonts w:ascii="宋体" w:hAnsi="宋体" w:eastAsia="宋体"/>
        </w:rPr>
      </w:pPr>
      <w:r>
        <w:rPr>
          <w:rFonts w:hint="eastAsia" w:ascii="宋体" w:hAnsi="宋体" w:eastAsia="宋体"/>
        </w:rPr>
        <w:t>3）医生每日/周排班一览表信息生成，可与医院LED大屏对接便于患者查看，根据医院需求设置信息类型，如科室名称、医生姓名、特长、限号数、已挂号数、未挂号数、挂号状态等信息。</w:t>
      </w:r>
    </w:p>
    <w:p w14:paraId="06C31AEC">
      <w:pPr>
        <w:rPr>
          <w:rFonts w:ascii="宋体" w:hAnsi="宋体" w:eastAsia="宋体"/>
        </w:rPr>
      </w:pPr>
      <w:r>
        <w:rPr>
          <w:rFonts w:hint="eastAsia" w:ascii="宋体" w:hAnsi="宋体" w:eastAsia="宋体"/>
        </w:rPr>
        <w:t>（9）本系统属于医院运营管理核心业务系统，要求投标人具有本系统自主知识产权，具备根据医院合理需求定制开发的能力，以便更好的满足运营管理需求，投标人须提供自有的计算机软件著作权登记证书。</w:t>
      </w:r>
    </w:p>
    <w:p w14:paraId="046D389A">
      <w:pPr>
        <w:pStyle w:val="6"/>
      </w:pPr>
      <w:r>
        <w:rPr>
          <w:rFonts w:hint="eastAsia"/>
        </w:rPr>
        <w:t>住院结算系统</w:t>
      </w:r>
    </w:p>
    <w:p w14:paraId="5DB26162">
      <w:pPr>
        <w:rPr>
          <w:rFonts w:ascii="宋体" w:hAnsi="宋体" w:eastAsia="宋体"/>
          <w:b/>
          <w:bCs/>
        </w:rPr>
      </w:pPr>
      <w:r>
        <w:rPr>
          <w:rFonts w:hint="eastAsia" w:ascii="宋体" w:hAnsi="宋体" w:eastAsia="宋体"/>
        </w:rPr>
        <w:t>（1）基础信息管理：床位类型费用维护，维护不同床位类型对应的费用类型。</w:t>
      </w:r>
    </w:p>
    <w:p w14:paraId="6A568947">
      <w:pPr>
        <w:rPr>
          <w:rFonts w:ascii="宋体" w:hAnsi="宋体" w:eastAsia="宋体"/>
        </w:rPr>
      </w:pPr>
      <w:r>
        <w:rPr>
          <w:rFonts w:hint="eastAsia" w:ascii="宋体" w:hAnsi="宋体" w:eastAsia="宋体"/>
        </w:rPr>
        <w:t>（2）</w:t>
      </w:r>
      <w:r>
        <w:rPr>
          <w:rFonts w:ascii="宋体" w:hAnsi="宋体" w:eastAsia="宋体"/>
        </w:rPr>
        <w:t>预交金管理</w:t>
      </w:r>
    </w:p>
    <w:p w14:paraId="31C48032">
      <w:pPr>
        <w:ind w:firstLine="480"/>
        <w:rPr>
          <w:rFonts w:ascii="宋体" w:hAnsi="宋体" w:eastAsia="宋体"/>
        </w:rPr>
      </w:pPr>
      <w:r>
        <w:rPr>
          <w:rFonts w:hint="eastAsia" w:ascii="宋体" w:hAnsi="宋体" w:eastAsia="宋体"/>
        </w:rPr>
        <w:t>1）</w:t>
      </w:r>
      <w:r>
        <w:rPr>
          <w:rFonts w:ascii="宋体" w:hAnsi="宋体" w:eastAsia="宋体"/>
        </w:rPr>
        <w:t>预交金录入</w:t>
      </w:r>
      <w:r>
        <w:rPr>
          <w:rFonts w:hint="eastAsia" w:ascii="宋体" w:hAnsi="宋体" w:eastAsia="宋体"/>
        </w:rPr>
        <w:t>可</w:t>
      </w:r>
      <w:r>
        <w:rPr>
          <w:rFonts w:ascii="宋体" w:hAnsi="宋体" w:eastAsia="宋体"/>
        </w:rPr>
        <w:t>根据住院号提取住院病人信息并进行预交金交款登记。预交金收据凭证的打印及补打</w:t>
      </w:r>
      <w:r>
        <w:rPr>
          <w:rFonts w:hint="eastAsia" w:ascii="宋体" w:hAnsi="宋体" w:eastAsia="宋体"/>
        </w:rPr>
        <w:t>、冲红等</w:t>
      </w:r>
    </w:p>
    <w:p w14:paraId="3BBB3646">
      <w:pPr>
        <w:ind w:firstLine="480"/>
        <w:rPr>
          <w:rFonts w:ascii="宋体" w:hAnsi="宋体" w:eastAsia="宋体"/>
        </w:rPr>
      </w:pPr>
      <w:r>
        <w:rPr>
          <w:rFonts w:hint="eastAsia" w:ascii="宋体" w:hAnsi="宋体" w:eastAsia="宋体"/>
        </w:rPr>
        <w:t>2）</w:t>
      </w:r>
      <w:r>
        <w:rPr>
          <w:rFonts w:ascii="宋体" w:hAnsi="宋体" w:eastAsia="宋体"/>
        </w:rPr>
        <w:t>预交金上交</w:t>
      </w:r>
      <w:r>
        <w:rPr>
          <w:rFonts w:hint="eastAsia" w:ascii="宋体" w:hAnsi="宋体" w:eastAsia="宋体"/>
        </w:rPr>
        <w:t>须</w:t>
      </w:r>
      <w:r>
        <w:rPr>
          <w:rFonts w:ascii="宋体" w:hAnsi="宋体" w:eastAsia="宋体"/>
        </w:rPr>
        <w:t>显示交款明细及汇总信息</w:t>
      </w:r>
      <w:r>
        <w:rPr>
          <w:rFonts w:hint="eastAsia" w:ascii="宋体" w:hAnsi="宋体" w:eastAsia="宋体"/>
        </w:rPr>
        <w:t>，并能打印</w:t>
      </w:r>
      <w:r>
        <w:rPr>
          <w:rFonts w:ascii="宋体" w:hAnsi="宋体" w:eastAsia="宋体"/>
        </w:rPr>
        <w:t>上交明细内容</w:t>
      </w:r>
      <w:r>
        <w:rPr>
          <w:rFonts w:hint="eastAsia" w:ascii="宋体" w:hAnsi="宋体" w:eastAsia="宋体"/>
        </w:rPr>
        <w:t>。</w:t>
      </w:r>
    </w:p>
    <w:p w14:paraId="0B58B319">
      <w:pPr>
        <w:ind w:firstLine="480"/>
        <w:rPr>
          <w:rFonts w:ascii="宋体" w:hAnsi="宋体" w:eastAsia="宋体"/>
        </w:rPr>
      </w:pPr>
      <w:r>
        <w:rPr>
          <w:rFonts w:hint="eastAsia" w:ascii="宋体" w:hAnsi="宋体" w:eastAsia="宋体"/>
        </w:rPr>
        <w:t>3）</w:t>
      </w:r>
      <w:r>
        <w:rPr>
          <w:rFonts w:ascii="宋体" w:hAnsi="宋体" w:eastAsia="宋体"/>
        </w:rPr>
        <w:t>预交金查询可根据收费员及时间进行查询</w:t>
      </w:r>
      <w:r>
        <w:rPr>
          <w:rFonts w:hint="eastAsia" w:ascii="宋体" w:hAnsi="宋体" w:eastAsia="宋体"/>
        </w:rPr>
        <w:t>，实现</w:t>
      </w:r>
      <w:r>
        <w:rPr>
          <w:rFonts w:ascii="宋体" w:hAnsi="宋体" w:eastAsia="宋体"/>
        </w:rPr>
        <w:t>交款报表的补打。</w:t>
      </w:r>
    </w:p>
    <w:p w14:paraId="7FCBE190">
      <w:pPr>
        <w:rPr>
          <w:rFonts w:ascii="宋体" w:hAnsi="宋体" w:eastAsia="宋体"/>
        </w:rPr>
      </w:pPr>
      <w:r>
        <w:rPr>
          <w:rFonts w:hint="eastAsia" w:ascii="宋体" w:hAnsi="宋体" w:eastAsia="宋体"/>
        </w:rPr>
        <w:t>（3）</w:t>
      </w:r>
      <w:r>
        <w:rPr>
          <w:rFonts w:ascii="宋体" w:hAnsi="宋体" w:eastAsia="宋体"/>
        </w:rPr>
        <w:t>住院结账管理</w:t>
      </w:r>
    </w:p>
    <w:p w14:paraId="54297B6C">
      <w:pPr>
        <w:ind w:firstLine="480"/>
        <w:rPr>
          <w:rFonts w:ascii="宋体" w:hAnsi="宋体" w:eastAsia="宋体"/>
        </w:rPr>
      </w:pPr>
      <w:r>
        <w:rPr>
          <w:rFonts w:hint="eastAsia" w:ascii="宋体" w:hAnsi="宋体" w:eastAsia="宋体"/>
        </w:rPr>
        <w:t>1）</w:t>
      </w:r>
      <w:r>
        <w:rPr>
          <w:rFonts w:ascii="宋体" w:hAnsi="宋体" w:eastAsia="宋体"/>
        </w:rPr>
        <w:t>出院结账</w:t>
      </w:r>
      <w:r>
        <w:rPr>
          <w:rFonts w:hint="eastAsia" w:ascii="宋体" w:hAnsi="宋体" w:eastAsia="宋体"/>
        </w:rPr>
        <w:t>：能</w:t>
      </w:r>
      <w:r>
        <w:rPr>
          <w:rFonts w:ascii="宋体" w:hAnsi="宋体" w:eastAsia="宋体"/>
        </w:rPr>
        <w:t>根据住院</w:t>
      </w:r>
      <w:r>
        <w:rPr>
          <w:rFonts w:hint="eastAsia" w:ascii="宋体" w:hAnsi="宋体" w:eastAsia="宋体"/>
        </w:rPr>
        <w:t>号获取</w:t>
      </w:r>
      <w:r>
        <w:rPr>
          <w:rFonts w:ascii="宋体" w:hAnsi="宋体" w:eastAsia="宋体"/>
        </w:rPr>
        <w:t>病人费用信息进行出院结账</w:t>
      </w:r>
      <w:r>
        <w:rPr>
          <w:rFonts w:hint="eastAsia" w:ascii="宋体" w:hAnsi="宋体" w:eastAsia="宋体"/>
        </w:rPr>
        <w:t>，具备</w:t>
      </w:r>
      <w:r>
        <w:rPr>
          <w:rFonts w:ascii="宋体" w:hAnsi="宋体" w:eastAsia="宋体"/>
        </w:rPr>
        <w:t>出院结账发票的打印及补打</w:t>
      </w:r>
      <w:r>
        <w:rPr>
          <w:rFonts w:hint="eastAsia" w:ascii="宋体" w:hAnsi="宋体" w:eastAsia="宋体"/>
        </w:rPr>
        <w:t>；</w:t>
      </w:r>
      <w:r>
        <w:rPr>
          <w:rFonts w:ascii="宋体" w:hAnsi="宋体" w:eastAsia="宋体"/>
        </w:rPr>
        <w:t>结账明细清单及汇总清单的打印。</w:t>
      </w:r>
      <w:r>
        <w:rPr>
          <w:rFonts w:hint="eastAsia" w:ascii="宋体" w:hAnsi="宋体" w:eastAsia="宋体"/>
        </w:rPr>
        <w:t>支持</w:t>
      </w:r>
      <w:r>
        <w:rPr>
          <w:rFonts w:ascii="宋体" w:hAnsi="宋体" w:eastAsia="宋体"/>
        </w:rPr>
        <w:t>病人出院结账后再召回。支持新生儿随母亲结算方式。</w:t>
      </w:r>
    </w:p>
    <w:p w14:paraId="0DD7EDC2">
      <w:pPr>
        <w:ind w:firstLine="480"/>
        <w:rPr>
          <w:rFonts w:ascii="宋体" w:hAnsi="宋体" w:eastAsia="宋体"/>
        </w:rPr>
      </w:pPr>
      <w:r>
        <w:rPr>
          <w:rFonts w:hint="eastAsia" w:ascii="宋体" w:hAnsi="宋体" w:eastAsia="宋体"/>
        </w:rPr>
        <w:t>2）</w:t>
      </w:r>
      <w:r>
        <w:rPr>
          <w:rFonts w:ascii="宋体" w:hAnsi="宋体" w:eastAsia="宋体"/>
        </w:rPr>
        <w:t>结账查询</w:t>
      </w:r>
      <w:r>
        <w:rPr>
          <w:rFonts w:hint="eastAsia" w:ascii="宋体" w:hAnsi="宋体" w:eastAsia="宋体"/>
        </w:rPr>
        <w:t>：</w:t>
      </w:r>
      <w:r>
        <w:rPr>
          <w:rFonts w:ascii="宋体" w:hAnsi="宋体" w:eastAsia="宋体"/>
        </w:rPr>
        <w:t>支持按多种筛选条件进行结账记录的查询</w:t>
      </w:r>
      <w:r>
        <w:rPr>
          <w:rFonts w:hint="eastAsia" w:ascii="宋体" w:hAnsi="宋体" w:eastAsia="宋体"/>
        </w:rPr>
        <w:t>；</w:t>
      </w:r>
      <w:r>
        <w:rPr>
          <w:rFonts w:ascii="宋体" w:hAnsi="宋体" w:eastAsia="宋体"/>
        </w:rPr>
        <w:t>已结账病人的发票补打、结算召回等。</w:t>
      </w:r>
    </w:p>
    <w:p w14:paraId="79EB41A1">
      <w:pPr>
        <w:ind w:firstLine="480"/>
        <w:rPr>
          <w:rFonts w:ascii="宋体" w:hAnsi="宋体" w:eastAsia="宋体"/>
        </w:rPr>
      </w:pPr>
      <w:r>
        <w:rPr>
          <w:rFonts w:hint="eastAsia" w:ascii="宋体" w:hAnsi="宋体" w:eastAsia="宋体"/>
        </w:rPr>
        <w:t>3）</w:t>
      </w:r>
      <w:r>
        <w:rPr>
          <w:rFonts w:ascii="宋体" w:hAnsi="宋体" w:eastAsia="宋体"/>
        </w:rPr>
        <w:t>结账上交</w:t>
      </w:r>
      <w:r>
        <w:rPr>
          <w:rFonts w:hint="eastAsia" w:ascii="宋体" w:hAnsi="宋体" w:eastAsia="宋体"/>
        </w:rPr>
        <w:t>：</w:t>
      </w:r>
      <w:r>
        <w:rPr>
          <w:rFonts w:ascii="宋体" w:hAnsi="宋体" w:eastAsia="宋体"/>
        </w:rPr>
        <w:t>收费员上交结账款项</w:t>
      </w:r>
      <w:r>
        <w:rPr>
          <w:rFonts w:hint="eastAsia" w:ascii="宋体" w:hAnsi="宋体" w:eastAsia="宋体"/>
        </w:rPr>
        <w:t>，</w:t>
      </w:r>
      <w:r>
        <w:rPr>
          <w:rFonts w:ascii="宋体" w:hAnsi="宋体" w:eastAsia="宋体"/>
        </w:rPr>
        <w:t>打印上交明细信息。</w:t>
      </w:r>
    </w:p>
    <w:p w14:paraId="0EA62A37">
      <w:pPr>
        <w:ind w:firstLine="480"/>
        <w:rPr>
          <w:rFonts w:ascii="宋体" w:hAnsi="宋体" w:eastAsia="宋体"/>
        </w:rPr>
      </w:pPr>
      <w:r>
        <w:rPr>
          <w:rFonts w:hint="eastAsia" w:ascii="宋体" w:hAnsi="宋体" w:eastAsia="宋体"/>
        </w:rPr>
        <w:t>4）</w:t>
      </w:r>
      <w:r>
        <w:rPr>
          <w:rFonts w:ascii="宋体" w:hAnsi="宋体" w:eastAsia="宋体"/>
        </w:rPr>
        <w:t>上交查询</w:t>
      </w:r>
      <w:r>
        <w:rPr>
          <w:rFonts w:hint="eastAsia" w:ascii="宋体" w:hAnsi="宋体" w:eastAsia="宋体"/>
        </w:rPr>
        <w:t>：</w:t>
      </w:r>
      <w:r>
        <w:rPr>
          <w:rFonts w:ascii="宋体" w:hAnsi="宋体" w:eastAsia="宋体"/>
        </w:rPr>
        <w:t>支持按收费员、时间等查询结账上交记录</w:t>
      </w:r>
      <w:r>
        <w:rPr>
          <w:rFonts w:hint="eastAsia" w:ascii="宋体" w:hAnsi="宋体" w:eastAsia="宋体"/>
        </w:rPr>
        <w:t>；</w:t>
      </w:r>
      <w:r>
        <w:rPr>
          <w:rFonts w:ascii="宋体" w:hAnsi="宋体" w:eastAsia="宋体"/>
        </w:rPr>
        <w:t>导出、打印结账上交记录的。</w:t>
      </w:r>
    </w:p>
    <w:p w14:paraId="41B4041D">
      <w:pPr>
        <w:ind w:firstLine="480"/>
        <w:rPr>
          <w:rFonts w:ascii="宋体" w:hAnsi="宋体" w:eastAsia="宋体"/>
        </w:rPr>
      </w:pPr>
      <w:r>
        <w:rPr>
          <w:rFonts w:hint="eastAsia" w:ascii="宋体" w:hAnsi="宋体" w:eastAsia="宋体"/>
        </w:rPr>
        <w:t>5）</w:t>
      </w:r>
      <w:r>
        <w:rPr>
          <w:rFonts w:ascii="宋体" w:hAnsi="宋体" w:eastAsia="宋体"/>
        </w:rPr>
        <w:t>结账统计</w:t>
      </w:r>
      <w:r>
        <w:rPr>
          <w:rFonts w:hint="eastAsia" w:ascii="宋体" w:hAnsi="宋体" w:eastAsia="宋体"/>
        </w:rPr>
        <w:t>：</w:t>
      </w:r>
      <w:r>
        <w:rPr>
          <w:rFonts w:ascii="宋体" w:hAnsi="宋体" w:eastAsia="宋体"/>
        </w:rPr>
        <w:t>支持查询统计收费员住院结账明细记录，包括未上交和已上交。</w:t>
      </w:r>
    </w:p>
    <w:p w14:paraId="455E544D">
      <w:pPr>
        <w:ind w:firstLine="480"/>
        <w:rPr>
          <w:rFonts w:ascii="宋体" w:hAnsi="宋体" w:eastAsia="宋体"/>
        </w:rPr>
      </w:pPr>
      <w:r>
        <w:rPr>
          <w:rFonts w:hint="eastAsia" w:ascii="宋体" w:hAnsi="宋体" w:eastAsia="宋体"/>
        </w:rPr>
        <w:t>6）</w:t>
      </w:r>
      <w:r>
        <w:rPr>
          <w:rFonts w:ascii="宋体" w:hAnsi="宋体" w:eastAsia="宋体"/>
        </w:rPr>
        <w:t>中途结账</w:t>
      </w:r>
      <w:r>
        <w:rPr>
          <w:rFonts w:hint="eastAsia" w:ascii="宋体" w:hAnsi="宋体" w:eastAsia="宋体"/>
        </w:rPr>
        <w:t>：支持</w:t>
      </w:r>
      <w:r>
        <w:rPr>
          <w:rFonts w:ascii="宋体" w:hAnsi="宋体" w:eastAsia="宋体"/>
        </w:rPr>
        <w:t>住院病人中途结账</w:t>
      </w:r>
      <w:r>
        <w:rPr>
          <w:rFonts w:hint="eastAsia" w:ascii="宋体" w:hAnsi="宋体" w:eastAsia="宋体"/>
        </w:rPr>
        <w:t>，提供</w:t>
      </w:r>
      <w:r>
        <w:rPr>
          <w:rFonts w:ascii="宋体" w:hAnsi="宋体" w:eastAsia="宋体"/>
        </w:rPr>
        <w:t>相关发票、清单的打印</w:t>
      </w:r>
      <w:r>
        <w:rPr>
          <w:rFonts w:hint="eastAsia" w:ascii="宋体" w:hAnsi="宋体" w:eastAsia="宋体"/>
        </w:rPr>
        <w:t>；</w:t>
      </w:r>
      <w:r>
        <w:rPr>
          <w:rFonts w:ascii="宋体" w:hAnsi="宋体" w:eastAsia="宋体"/>
        </w:rPr>
        <w:t>已结账病人的召回。</w:t>
      </w:r>
    </w:p>
    <w:p w14:paraId="09F067B8">
      <w:pPr>
        <w:rPr>
          <w:rFonts w:ascii="宋体" w:hAnsi="宋体" w:eastAsia="宋体"/>
        </w:rPr>
      </w:pPr>
      <w:r>
        <w:rPr>
          <w:rFonts w:hint="eastAsia" w:ascii="宋体" w:hAnsi="宋体" w:eastAsia="宋体"/>
        </w:rPr>
        <w:t>（4）</w:t>
      </w:r>
      <w:r>
        <w:rPr>
          <w:rFonts w:ascii="宋体" w:hAnsi="宋体" w:eastAsia="宋体"/>
        </w:rPr>
        <w:t>住院费用管理</w:t>
      </w:r>
    </w:p>
    <w:p w14:paraId="3481704B">
      <w:pPr>
        <w:ind w:firstLine="480"/>
        <w:rPr>
          <w:rFonts w:ascii="宋体" w:hAnsi="宋体" w:eastAsia="宋体"/>
        </w:rPr>
      </w:pPr>
      <w:r>
        <w:rPr>
          <w:rFonts w:hint="eastAsia" w:ascii="宋体" w:hAnsi="宋体" w:eastAsia="宋体"/>
        </w:rPr>
        <w:t>1）</w:t>
      </w:r>
      <w:r>
        <w:rPr>
          <w:rFonts w:ascii="宋体" w:hAnsi="宋体" w:eastAsia="宋体"/>
        </w:rPr>
        <w:t>住院计费</w:t>
      </w:r>
      <w:r>
        <w:rPr>
          <w:rFonts w:hint="eastAsia" w:ascii="宋体" w:hAnsi="宋体" w:eastAsia="宋体"/>
        </w:rPr>
        <w:t>：</w:t>
      </w:r>
      <w:r>
        <w:rPr>
          <w:rFonts w:ascii="宋体" w:hAnsi="宋体" w:eastAsia="宋体"/>
        </w:rPr>
        <w:t>住院收费员手工计费</w:t>
      </w:r>
      <w:r>
        <w:rPr>
          <w:rFonts w:hint="eastAsia" w:ascii="宋体" w:hAnsi="宋体" w:eastAsia="宋体"/>
        </w:rPr>
        <w:t>、</w:t>
      </w:r>
      <w:r>
        <w:rPr>
          <w:rFonts w:ascii="宋体" w:hAnsi="宋体" w:eastAsia="宋体"/>
        </w:rPr>
        <w:t>诊疗项目和药品的录入计费。</w:t>
      </w:r>
    </w:p>
    <w:p w14:paraId="1E2D3938">
      <w:pPr>
        <w:ind w:firstLine="480"/>
        <w:rPr>
          <w:rFonts w:ascii="宋体" w:hAnsi="宋体" w:eastAsia="宋体"/>
        </w:rPr>
      </w:pPr>
      <w:r>
        <w:rPr>
          <w:rFonts w:hint="eastAsia" w:ascii="宋体" w:hAnsi="宋体" w:eastAsia="宋体"/>
        </w:rPr>
        <w:t>2）</w:t>
      </w:r>
      <w:r>
        <w:rPr>
          <w:rFonts w:ascii="宋体" w:hAnsi="宋体" w:eastAsia="宋体"/>
        </w:rPr>
        <w:t>住院退费</w:t>
      </w:r>
      <w:r>
        <w:rPr>
          <w:rFonts w:hint="eastAsia" w:ascii="宋体" w:hAnsi="宋体" w:eastAsia="宋体"/>
        </w:rPr>
        <w:t>：</w:t>
      </w:r>
      <w:r>
        <w:rPr>
          <w:rFonts w:ascii="宋体" w:hAnsi="宋体" w:eastAsia="宋体"/>
        </w:rPr>
        <w:t>支持住院收费员进行手工退费</w:t>
      </w:r>
      <w:r>
        <w:rPr>
          <w:rFonts w:hint="eastAsia" w:ascii="宋体" w:hAnsi="宋体" w:eastAsia="宋体"/>
        </w:rPr>
        <w:t>，</w:t>
      </w:r>
      <w:r>
        <w:rPr>
          <w:rFonts w:ascii="宋体" w:hAnsi="宋体" w:eastAsia="宋体"/>
        </w:rPr>
        <w:t>手工录入退费数量。</w:t>
      </w:r>
    </w:p>
    <w:p w14:paraId="7D178DD2">
      <w:pPr>
        <w:ind w:firstLine="480"/>
        <w:rPr>
          <w:rFonts w:ascii="宋体" w:hAnsi="宋体" w:eastAsia="宋体"/>
        </w:rPr>
      </w:pPr>
      <w:r>
        <w:rPr>
          <w:rFonts w:hint="eastAsia" w:ascii="宋体" w:hAnsi="宋体" w:eastAsia="宋体"/>
        </w:rPr>
        <w:t>3）</w:t>
      </w:r>
      <w:r>
        <w:rPr>
          <w:rFonts w:ascii="宋体" w:hAnsi="宋体" w:eastAsia="宋体"/>
        </w:rPr>
        <w:t>每日费用清单</w:t>
      </w:r>
      <w:r>
        <w:rPr>
          <w:rFonts w:hint="eastAsia" w:ascii="宋体" w:hAnsi="宋体" w:eastAsia="宋体"/>
        </w:rPr>
        <w:t>：</w:t>
      </w:r>
      <w:r>
        <w:rPr>
          <w:rFonts w:ascii="宋体" w:hAnsi="宋体" w:eastAsia="宋体"/>
        </w:rPr>
        <w:t>收费员</w:t>
      </w:r>
      <w:r>
        <w:rPr>
          <w:rFonts w:hint="eastAsia" w:ascii="宋体" w:hAnsi="宋体" w:eastAsia="宋体"/>
        </w:rPr>
        <w:t>能</w:t>
      </w:r>
      <w:r>
        <w:rPr>
          <w:rFonts w:ascii="宋体" w:hAnsi="宋体" w:eastAsia="宋体"/>
        </w:rPr>
        <w:t>查询、打印在院病人的每日费用清单。</w:t>
      </w:r>
    </w:p>
    <w:p w14:paraId="0E5963AF">
      <w:pPr>
        <w:ind w:firstLine="480"/>
        <w:rPr>
          <w:rFonts w:ascii="宋体" w:hAnsi="宋体" w:eastAsia="宋体"/>
        </w:rPr>
      </w:pPr>
      <w:r>
        <w:rPr>
          <w:rFonts w:hint="eastAsia" w:ascii="宋体" w:hAnsi="宋体" w:eastAsia="宋体"/>
        </w:rPr>
        <w:t>4）</w:t>
      </w:r>
      <w:r>
        <w:rPr>
          <w:rFonts w:ascii="宋体" w:hAnsi="宋体" w:eastAsia="宋体"/>
        </w:rPr>
        <w:t>欠费病人查询</w:t>
      </w:r>
      <w:r>
        <w:rPr>
          <w:rFonts w:hint="eastAsia" w:ascii="宋体" w:hAnsi="宋体" w:eastAsia="宋体"/>
        </w:rPr>
        <w:t>：</w:t>
      </w:r>
      <w:r>
        <w:rPr>
          <w:rFonts w:ascii="宋体" w:hAnsi="宋体" w:eastAsia="宋体"/>
        </w:rPr>
        <w:t>查询科室欠费病人名单</w:t>
      </w:r>
      <w:r>
        <w:rPr>
          <w:rFonts w:hint="eastAsia" w:ascii="宋体" w:hAnsi="宋体" w:eastAsia="宋体"/>
        </w:rPr>
        <w:t>，并</w:t>
      </w:r>
      <w:r>
        <w:rPr>
          <w:rFonts w:ascii="宋体" w:hAnsi="宋体" w:eastAsia="宋体"/>
        </w:rPr>
        <w:t>打印欠费人员信息。</w:t>
      </w:r>
    </w:p>
    <w:p w14:paraId="59F1CB00">
      <w:pPr>
        <w:ind w:firstLine="480"/>
        <w:rPr>
          <w:rFonts w:ascii="宋体" w:hAnsi="宋体" w:eastAsia="宋体"/>
        </w:rPr>
      </w:pPr>
      <w:r>
        <w:rPr>
          <w:rFonts w:hint="eastAsia" w:ascii="宋体" w:hAnsi="宋体" w:eastAsia="宋体"/>
        </w:rPr>
        <w:t>5）</w:t>
      </w:r>
      <w:r>
        <w:rPr>
          <w:rFonts w:ascii="宋体" w:hAnsi="宋体" w:eastAsia="宋体"/>
        </w:rPr>
        <w:t>计费员汇总查询。</w:t>
      </w:r>
    </w:p>
    <w:p w14:paraId="4BF7CC18">
      <w:pPr>
        <w:rPr>
          <w:rFonts w:ascii="宋体" w:hAnsi="宋体" w:eastAsia="宋体"/>
        </w:rPr>
      </w:pPr>
      <w:r>
        <w:rPr>
          <w:rFonts w:hint="eastAsia" w:ascii="宋体" w:hAnsi="宋体" w:eastAsia="宋体"/>
        </w:rPr>
        <w:t>（5）</w:t>
      </w:r>
      <w:r>
        <w:rPr>
          <w:rFonts w:ascii="宋体" w:hAnsi="宋体" w:eastAsia="宋体"/>
        </w:rPr>
        <w:t>医保管理</w:t>
      </w:r>
    </w:p>
    <w:p w14:paraId="386469EB">
      <w:pPr>
        <w:ind w:firstLine="480"/>
        <w:rPr>
          <w:rFonts w:ascii="宋体" w:hAnsi="宋体" w:eastAsia="宋体"/>
        </w:rPr>
      </w:pPr>
      <w:r>
        <w:rPr>
          <w:rFonts w:hint="eastAsia" w:ascii="宋体" w:hAnsi="宋体" w:eastAsia="宋体"/>
        </w:rPr>
        <w:t>1）</w:t>
      </w:r>
      <w:r>
        <w:rPr>
          <w:rFonts w:ascii="宋体" w:hAnsi="宋体" w:eastAsia="宋体"/>
        </w:rPr>
        <w:t>医保病人住院登记，出院登记，出院结算，打印结算单。</w:t>
      </w:r>
    </w:p>
    <w:p w14:paraId="371280D8">
      <w:pPr>
        <w:ind w:firstLine="480"/>
        <w:rPr>
          <w:rFonts w:ascii="宋体" w:hAnsi="宋体" w:eastAsia="宋体"/>
        </w:rPr>
      </w:pPr>
      <w:r>
        <w:rPr>
          <w:rFonts w:hint="eastAsia" w:ascii="宋体" w:hAnsi="宋体" w:eastAsia="宋体"/>
        </w:rPr>
        <w:t>2）</w:t>
      </w:r>
      <w:r>
        <w:rPr>
          <w:rFonts w:ascii="宋体" w:hAnsi="宋体" w:eastAsia="宋体"/>
        </w:rPr>
        <w:t>医保病人费用统计</w:t>
      </w:r>
      <w:r>
        <w:rPr>
          <w:rFonts w:hint="eastAsia" w:ascii="宋体" w:hAnsi="宋体" w:eastAsia="宋体"/>
        </w:rPr>
        <w:t>查询</w:t>
      </w:r>
      <w:r>
        <w:rPr>
          <w:rFonts w:ascii="宋体" w:hAnsi="宋体" w:eastAsia="宋体"/>
        </w:rPr>
        <w:t>。</w:t>
      </w:r>
    </w:p>
    <w:p w14:paraId="4104CD0D">
      <w:pPr>
        <w:ind w:firstLine="480"/>
        <w:rPr>
          <w:rFonts w:ascii="宋体" w:hAnsi="宋体" w:eastAsia="宋体"/>
        </w:rPr>
      </w:pPr>
      <w:r>
        <w:rPr>
          <w:rFonts w:hint="eastAsia" w:ascii="宋体" w:hAnsi="宋体" w:eastAsia="宋体"/>
        </w:rPr>
        <w:t>3）能实现</w:t>
      </w:r>
      <w:r>
        <w:rPr>
          <w:rFonts w:ascii="宋体" w:hAnsi="宋体" w:eastAsia="宋体"/>
        </w:rPr>
        <w:t>医保药品厂家对码</w:t>
      </w:r>
      <w:r>
        <w:rPr>
          <w:rFonts w:hint="eastAsia" w:ascii="宋体" w:hAnsi="宋体" w:eastAsia="宋体"/>
        </w:rPr>
        <w:t>、</w:t>
      </w:r>
      <w:r>
        <w:rPr>
          <w:rFonts w:ascii="宋体" w:hAnsi="宋体" w:eastAsia="宋体"/>
        </w:rPr>
        <w:t>诊疗项目对码</w:t>
      </w:r>
      <w:r>
        <w:rPr>
          <w:rFonts w:hint="eastAsia" w:ascii="宋体" w:hAnsi="宋体" w:eastAsia="宋体"/>
        </w:rPr>
        <w:t>。</w:t>
      </w:r>
    </w:p>
    <w:p w14:paraId="4AE8A181">
      <w:pPr>
        <w:ind w:firstLine="480"/>
        <w:rPr>
          <w:rFonts w:ascii="宋体" w:hAnsi="宋体" w:eastAsia="宋体"/>
        </w:rPr>
      </w:pPr>
      <w:r>
        <w:rPr>
          <w:rFonts w:hint="eastAsia" w:ascii="宋体" w:hAnsi="宋体" w:eastAsia="宋体"/>
        </w:rPr>
        <w:t>4）与医保平台对接，实现</w:t>
      </w:r>
      <w:r>
        <w:rPr>
          <w:rFonts w:ascii="宋体" w:hAnsi="宋体" w:eastAsia="宋体"/>
        </w:rPr>
        <w:t>住院病人费用自动上传。</w:t>
      </w:r>
    </w:p>
    <w:p w14:paraId="1D903CAC">
      <w:pPr>
        <w:rPr>
          <w:rFonts w:ascii="宋体" w:hAnsi="宋体" w:eastAsia="宋体"/>
        </w:rPr>
      </w:pPr>
      <w:r>
        <w:rPr>
          <w:rFonts w:hint="eastAsia" w:ascii="宋体" w:hAnsi="宋体" w:eastAsia="宋体"/>
        </w:rPr>
        <w:t>（6）</w:t>
      </w:r>
      <w:r>
        <w:rPr>
          <w:rFonts w:ascii="宋体" w:hAnsi="宋体" w:eastAsia="宋体"/>
        </w:rPr>
        <w:t>统计报表</w:t>
      </w:r>
    </w:p>
    <w:p w14:paraId="0EC4A03B">
      <w:pPr>
        <w:ind w:firstLine="480"/>
        <w:rPr>
          <w:rFonts w:ascii="宋体" w:hAnsi="宋体" w:eastAsia="宋体"/>
        </w:rPr>
      </w:pPr>
      <w:r>
        <w:rPr>
          <w:rFonts w:hint="eastAsia" w:ascii="宋体" w:hAnsi="宋体" w:eastAsia="宋体"/>
        </w:rPr>
        <w:t>1）</w:t>
      </w:r>
      <w:r>
        <w:rPr>
          <w:rFonts w:ascii="宋体" w:hAnsi="宋体" w:eastAsia="宋体"/>
        </w:rPr>
        <w:t>住院费用统计、押金统计、结算统计等。</w:t>
      </w:r>
    </w:p>
    <w:p w14:paraId="5E667A04">
      <w:pPr>
        <w:ind w:firstLine="480"/>
        <w:rPr>
          <w:rFonts w:ascii="宋体" w:hAnsi="宋体" w:eastAsia="宋体"/>
        </w:rPr>
      </w:pPr>
      <w:r>
        <w:rPr>
          <w:rFonts w:hint="eastAsia" w:ascii="宋体" w:hAnsi="宋体" w:eastAsia="宋体"/>
        </w:rPr>
        <w:t>2）</w:t>
      </w:r>
      <w:r>
        <w:rPr>
          <w:rFonts w:ascii="宋体" w:hAnsi="宋体" w:eastAsia="宋体"/>
        </w:rPr>
        <w:t>在院病人每日费用清单，在院、出院病人结账费用清单。</w:t>
      </w:r>
    </w:p>
    <w:p w14:paraId="4E983301">
      <w:pPr>
        <w:ind w:firstLine="480"/>
        <w:rPr>
          <w:rFonts w:ascii="宋体" w:hAnsi="宋体" w:eastAsia="宋体"/>
        </w:rPr>
      </w:pPr>
      <w:r>
        <w:rPr>
          <w:rFonts w:hint="eastAsia" w:ascii="宋体" w:hAnsi="宋体" w:eastAsia="宋体"/>
        </w:rPr>
        <w:t>3）</w:t>
      </w:r>
      <w:r>
        <w:rPr>
          <w:rFonts w:ascii="宋体" w:hAnsi="宋体" w:eastAsia="宋体"/>
        </w:rPr>
        <w:t>月科室工作量统计，年科室工作量统计。</w:t>
      </w:r>
    </w:p>
    <w:p w14:paraId="21FD1E13">
      <w:pPr>
        <w:ind w:firstLine="480"/>
        <w:rPr>
          <w:rFonts w:ascii="宋体" w:hAnsi="宋体" w:eastAsia="宋体"/>
        </w:rPr>
      </w:pPr>
      <w:r>
        <w:rPr>
          <w:rFonts w:hint="eastAsia" w:ascii="宋体" w:hAnsi="宋体" w:eastAsia="宋体"/>
        </w:rPr>
        <w:t>4）</w:t>
      </w:r>
      <w:r>
        <w:rPr>
          <w:rFonts w:ascii="宋体" w:hAnsi="宋体" w:eastAsia="宋体"/>
        </w:rPr>
        <w:t>当日病人预交金、入院病人预交费、在院病人各项费用、出院病人结帐和退款等统计汇总。</w:t>
      </w:r>
    </w:p>
    <w:p w14:paraId="21A9CB88">
      <w:pPr>
        <w:ind w:firstLine="480"/>
        <w:rPr>
          <w:rFonts w:ascii="宋体" w:hAnsi="宋体" w:eastAsia="宋体"/>
        </w:rPr>
      </w:pPr>
      <w:r>
        <w:rPr>
          <w:rFonts w:hint="eastAsia" w:ascii="宋体" w:hAnsi="宋体" w:eastAsia="宋体"/>
        </w:rPr>
        <w:t>5）</w:t>
      </w:r>
      <w:r>
        <w:rPr>
          <w:rFonts w:ascii="宋体" w:hAnsi="宋体" w:eastAsia="宋体"/>
        </w:rPr>
        <w:t>病人费用明细查询、在院病人费用、预交查询，支持计费员计费汇总查询，支持查询欠费患者信息，并打印欠费患者清单。</w:t>
      </w:r>
    </w:p>
    <w:p w14:paraId="1B4536B1">
      <w:pPr>
        <w:rPr>
          <w:rFonts w:ascii="宋体" w:hAnsi="宋体" w:eastAsia="宋体"/>
        </w:rPr>
      </w:pPr>
      <w:r>
        <w:rPr>
          <w:rFonts w:hint="eastAsia" w:ascii="宋体" w:hAnsi="宋体" w:eastAsia="宋体"/>
        </w:rPr>
        <w:t>（7）本系统属于医院运营管理核心业务系统，要求投标人具有本系统自主知识产权，具备根据医院合理需求定制开发的能力，以便更好的满足运营管理需求，投标人须提供自有的计算机软件著作权登记证书。</w:t>
      </w:r>
    </w:p>
    <w:p w14:paraId="258D55B0">
      <w:pPr>
        <w:pStyle w:val="6"/>
      </w:pPr>
      <w:r>
        <w:rPr>
          <w:rFonts w:hint="eastAsia"/>
        </w:rPr>
        <w:t>住院入出转管理系统</w:t>
      </w:r>
    </w:p>
    <w:p w14:paraId="6C1F3436">
      <w:pPr>
        <w:pStyle w:val="41"/>
        <w:numPr>
          <w:ilvl w:val="0"/>
          <w:numId w:val="5"/>
        </w:numPr>
      </w:pPr>
      <w:r>
        <w:rPr>
          <w:rFonts w:hint="eastAsia"/>
        </w:rPr>
        <w:t>入院管理</w:t>
      </w:r>
    </w:p>
    <w:p w14:paraId="21F96F0E">
      <w:pPr>
        <w:ind w:firstLine="480"/>
        <w:rPr>
          <w:rFonts w:ascii="宋体" w:hAnsi="宋体" w:eastAsia="宋体"/>
        </w:rPr>
      </w:pPr>
      <w:r>
        <w:rPr>
          <w:rFonts w:hint="eastAsia" w:ascii="宋体" w:hAnsi="宋体" w:eastAsia="宋体"/>
        </w:rPr>
        <w:t>1）在系统中通过就诊卡、电子健康卡查询出患者信息为病人办理入院登记；</w:t>
      </w:r>
    </w:p>
    <w:p w14:paraId="1CE74747">
      <w:pPr>
        <w:ind w:firstLine="480"/>
        <w:rPr>
          <w:rFonts w:ascii="宋体" w:hAnsi="宋体" w:eastAsia="宋体"/>
        </w:rPr>
      </w:pPr>
      <w:r>
        <w:rPr>
          <w:rFonts w:hint="eastAsia" w:ascii="宋体" w:hAnsi="宋体" w:eastAsia="宋体"/>
        </w:rPr>
        <w:t>2）支持门诊入院证信息自动导入并能修改住院病人的基本信息。</w:t>
      </w:r>
    </w:p>
    <w:p w14:paraId="6FA060E8">
      <w:pPr>
        <w:rPr>
          <w:rFonts w:ascii="宋体" w:hAnsi="宋体" w:eastAsia="宋体"/>
        </w:rPr>
      </w:pPr>
      <w:r>
        <w:rPr>
          <w:rFonts w:hint="eastAsia" w:ascii="宋体" w:hAnsi="宋体" w:eastAsia="宋体"/>
        </w:rPr>
        <w:t>（2）</w:t>
      </w:r>
      <w:r>
        <w:rPr>
          <w:rFonts w:ascii="宋体" w:hAnsi="宋体" w:eastAsia="宋体"/>
        </w:rPr>
        <w:t>日常管理</w:t>
      </w:r>
      <w:r>
        <w:rPr>
          <w:rFonts w:hint="eastAsia" w:ascii="宋体" w:hAnsi="宋体" w:eastAsia="宋体"/>
        </w:rPr>
        <w:t>：</w:t>
      </w:r>
    </w:p>
    <w:p w14:paraId="2BE5E806">
      <w:pPr>
        <w:ind w:firstLine="480"/>
        <w:rPr>
          <w:rFonts w:ascii="宋体" w:hAnsi="宋体" w:eastAsia="宋体"/>
        </w:rPr>
      </w:pPr>
      <w:r>
        <w:rPr>
          <w:rFonts w:hint="eastAsia" w:ascii="宋体" w:hAnsi="宋体" w:eastAsia="宋体"/>
        </w:rPr>
        <w:t>1）</w:t>
      </w:r>
      <w:r>
        <w:rPr>
          <w:rFonts w:ascii="宋体" w:hAnsi="宋体" w:eastAsia="宋体"/>
        </w:rPr>
        <w:t>护士完成登记安床</w:t>
      </w:r>
      <w:r>
        <w:rPr>
          <w:rFonts w:hint="eastAsia" w:ascii="宋体" w:hAnsi="宋体" w:eastAsia="宋体"/>
        </w:rPr>
        <w:t>，</w:t>
      </w:r>
      <w:r>
        <w:rPr>
          <w:rFonts w:ascii="宋体" w:hAnsi="宋体" w:eastAsia="宋体"/>
        </w:rPr>
        <w:t>支持直接选择待入科、待转入病人进行安床</w:t>
      </w:r>
      <w:r>
        <w:rPr>
          <w:rFonts w:hint="eastAsia" w:ascii="宋体" w:hAnsi="宋体" w:eastAsia="宋体"/>
        </w:rPr>
        <w:t>及</w:t>
      </w:r>
      <w:r>
        <w:rPr>
          <w:rFonts w:ascii="宋体" w:hAnsi="宋体" w:eastAsia="宋体"/>
        </w:rPr>
        <w:t>拉回</w:t>
      </w:r>
    </w:p>
    <w:p w14:paraId="2E1134F4">
      <w:pPr>
        <w:ind w:firstLine="480"/>
        <w:rPr>
          <w:rFonts w:ascii="宋体" w:hAnsi="宋体" w:eastAsia="宋体"/>
        </w:rPr>
      </w:pPr>
      <w:r>
        <w:rPr>
          <w:rFonts w:hint="eastAsia" w:ascii="宋体" w:hAnsi="宋体" w:eastAsia="宋体"/>
        </w:rPr>
        <w:t>2）</w:t>
      </w:r>
      <w:r>
        <w:rPr>
          <w:rFonts w:ascii="宋体" w:hAnsi="宋体" w:eastAsia="宋体"/>
        </w:rPr>
        <w:t>待出院病人入科。</w:t>
      </w:r>
    </w:p>
    <w:p w14:paraId="5D42AD4F">
      <w:pPr>
        <w:ind w:firstLine="480"/>
        <w:rPr>
          <w:rFonts w:ascii="宋体" w:hAnsi="宋体" w:eastAsia="宋体"/>
        </w:rPr>
      </w:pPr>
      <w:r>
        <w:rPr>
          <w:rFonts w:hint="eastAsia" w:ascii="宋体" w:hAnsi="宋体" w:eastAsia="宋体"/>
        </w:rPr>
        <w:t>3）</w:t>
      </w:r>
      <w:r>
        <w:rPr>
          <w:rFonts w:ascii="宋体" w:hAnsi="宋体" w:eastAsia="宋体"/>
        </w:rPr>
        <w:t>护士进行转科登记</w:t>
      </w:r>
      <w:r>
        <w:rPr>
          <w:rFonts w:hint="eastAsia" w:ascii="宋体" w:hAnsi="宋体" w:eastAsia="宋体"/>
        </w:rPr>
        <w:t>，对</w:t>
      </w:r>
      <w:r>
        <w:rPr>
          <w:rFonts w:ascii="宋体" w:hAnsi="宋体" w:eastAsia="宋体"/>
        </w:rPr>
        <w:t>转科原因及备注信息录入。</w:t>
      </w:r>
    </w:p>
    <w:p w14:paraId="3C4BC07E">
      <w:pPr>
        <w:ind w:firstLine="480"/>
        <w:rPr>
          <w:rFonts w:ascii="宋体" w:hAnsi="宋体" w:eastAsia="宋体"/>
        </w:rPr>
      </w:pPr>
      <w:r>
        <w:rPr>
          <w:rFonts w:hint="eastAsia" w:ascii="宋体" w:hAnsi="宋体" w:eastAsia="宋体"/>
        </w:rPr>
        <w:t>4）</w:t>
      </w:r>
      <w:r>
        <w:rPr>
          <w:rFonts w:ascii="宋体" w:hAnsi="宋体" w:eastAsia="宋体"/>
        </w:rPr>
        <w:t>护士进行出院</w:t>
      </w:r>
      <w:r>
        <w:rPr>
          <w:rFonts w:hint="eastAsia" w:ascii="宋体" w:hAnsi="宋体" w:eastAsia="宋体"/>
        </w:rPr>
        <w:t>，</w:t>
      </w:r>
      <w:r>
        <w:rPr>
          <w:rFonts w:ascii="宋体" w:hAnsi="宋体" w:eastAsia="宋体"/>
        </w:rPr>
        <w:t>录入病人出院状态信息。</w:t>
      </w:r>
    </w:p>
    <w:p w14:paraId="7277AA7E">
      <w:pPr>
        <w:ind w:firstLine="480"/>
        <w:rPr>
          <w:rFonts w:ascii="宋体" w:hAnsi="宋体" w:eastAsia="宋体"/>
        </w:rPr>
      </w:pPr>
      <w:r>
        <w:rPr>
          <w:rFonts w:hint="eastAsia" w:ascii="宋体" w:hAnsi="宋体" w:eastAsia="宋体"/>
        </w:rPr>
        <w:t>5）</w:t>
      </w:r>
      <w:r>
        <w:rPr>
          <w:rFonts w:ascii="宋体" w:hAnsi="宋体" w:eastAsia="宋体"/>
        </w:rPr>
        <w:t>护士进行换床</w:t>
      </w:r>
      <w:r>
        <w:rPr>
          <w:rFonts w:hint="eastAsia" w:ascii="宋体" w:hAnsi="宋体" w:eastAsia="宋体"/>
        </w:rPr>
        <w:t>，</w:t>
      </w:r>
      <w:r>
        <w:rPr>
          <w:rFonts w:ascii="宋体" w:hAnsi="宋体" w:eastAsia="宋体"/>
        </w:rPr>
        <w:t>支持将两个病人床位进行互换。</w:t>
      </w:r>
    </w:p>
    <w:p w14:paraId="1A1F6F6A">
      <w:pPr>
        <w:ind w:firstLine="480"/>
        <w:rPr>
          <w:rFonts w:ascii="宋体" w:hAnsi="宋体" w:eastAsia="宋体"/>
        </w:rPr>
      </w:pPr>
      <w:r>
        <w:rPr>
          <w:rFonts w:hint="eastAsia" w:ascii="宋体" w:hAnsi="宋体" w:eastAsia="宋体"/>
        </w:rPr>
        <w:t>6）对</w:t>
      </w:r>
      <w:r>
        <w:rPr>
          <w:rFonts w:ascii="宋体" w:hAnsi="宋体" w:eastAsia="宋体"/>
        </w:rPr>
        <w:t>病人诊疗信息的修改，包括主管医生、主管护士、护理类型、护理级别等。</w:t>
      </w:r>
    </w:p>
    <w:p w14:paraId="6E90C39D">
      <w:pPr>
        <w:ind w:firstLine="480"/>
        <w:rPr>
          <w:rFonts w:ascii="宋体" w:hAnsi="宋体" w:eastAsia="宋体"/>
        </w:rPr>
      </w:pPr>
      <w:r>
        <w:rPr>
          <w:rFonts w:hint="eastAsia" w:ascii="宋体" w:hAnsi="宋体" w:eastAsia="宋体"/>
        </w:rPr>
        <w:t>7）</w:t>
      </w:r>
      <w:r>
        <w:rPr>
          <w:rFonts w:ascii="宋体" w:hAnsi="宋体" w:eastAsia="宋体"/>
        </w:rPr>
        <w:t>护士</w:t>
      </w:r>
      <w:r>
        <w:rPr>
          <w:rFonts w:hint="eastAsia" w:ascii="宋体" w:hAnsi="宋体" w:eastAsia="宋体"/>
        </w:rPr>
        <w:t>能</w:t>
      </w:r>
      <w:r>
        <w:rPr>
          <w:rFonts w:ascii="宋体" w:hAnsi="宋体" w:eastAsia="宋体"/>
        </w:rPr>
        <w:t>对入错科病人进行取消入科。</w:t>
      </w:r>
    </w:p>
    <w:p w14:paraId="581AD1A5">
      <w:pPr>
        <w:ind w:firstLine="480"/>
        <w:rPr>
          <w:rFonts w:ascii="宋体" w:hAnsi="宋体" w:eastAsia="宋体"/>
        </w:rPr>
      </w:pPr>
      <w:r>
        <w:rPr>
          <w:rFonts w:hint="eastAsia" w:ascii="宋体" w:hAnsi="宋体" w:eastAsia="宋体"/>
        </w:rPr>
        <w:t>8）</w:t>
      </w:r>
      <w:r>
        <w:rPr>
          <w:rFonts w:ascii="宋体" w:hAnsi="宋体" w:eastAsia="宋体"/>
        </w:rPr>
        <w:t>护士</w:t>
      </w:r>
      <w:r>
        <w:rPr>
          <w:rFonts w:hint="eastAsia" w:ascii="宋体" w:hAnsi="宋体" w:eastAsia="宋体"/>
        </w:rPr>
        <w:t>能</w:t>
      </w:r>
      <w:r>
        <w:rPr>
          <w:rFonts w:ascii="宋体" w:hAnsi="宋体" w:eastAsia="宋体"/>
        </w:rPr>
        <w:t>对不再住院病人进行取消入院。</w:t>
      </w:r>
    </w:p>
    <w:p w14:paraId="650D991D">
      <w:pPr>
        <w:ind w:firstLine="480"/>
        <w:rPr>
          <w:rFonts w:ascii="宋体" w:hAnsi="宋体" w:eastAsia="宋体"/>
        </w:rPr>
      </w:pPr>
      <w:r>
        <w:rPr>
          <w:rFonts w:hint="eastAsia" w:ascii="宋体" w:hAnsi="宋体" w:eastAsia="宋体"/>
        </w:rPr>
        <w:t>9）</w:t>
      </w:r>
      <w:r>
        <w:rPr>
          <w:rFonts w:ascii="宋体" w:hAnsi="宋体" w:eastAsia="宋体"/>
        </w:rPr>
        <w:t>护士</w:t>
      </w:r>
      <w:r>
        <w:rPr>
          <w:rFonts w:hint="eastAsia" w:ascii="宋体" w:hAnsi="宋体" w:eastAsia="宋体"/>
        </w:rPr>
        <w:t>能</w:t>
      </w:r>
      <w:r>
        <w:rPr>
          <w:rFonts w:ascii="宋体" w:hAnsi="宋体" w:eastAsia="宋体"/>
        </w:rPr>
        <w:t>对转科登记进行取消的。</w:t>
      </w:r>
    </w:p>
    <w:p w14:paraId="57EFDFD4">
      <w:pPr>
        <w:ind w:firstLine="480"/>
        <w:rPr>
          <w:rFonts w:ascii="宋体" w:hAnsi="宋体" w:eastAsia="宋体"/>
        </w:rPr>
      </w:pPr>
      <w:r>
        <w:rPr>
          <w:rFonts w:hint="eastAsia" w:ascii="宋体" w:hAnsi="宋体" w:eastAsia="宋体"/>
        </w:rPr>
        <w:t>10）患者未登记入院，</w:t>
      </w:r>
      <w:r>
        <w:rPr>
          <w:rFonts w:ascii="宋体" w:hAnsi="宋体" w:eastAsia="宋体"/>
        </w:rPr>
        <w:t>护士</w:t>
      </w:r>
      <w:r>
        <w:rPr>
          <w:rFonts w:hint="eastAsia" w:ascii="宋体" w:hAnsi="宋体" w:eastAsia="宋体"/>
        </w:rPr>
        <w:t>可</w:t>
      </w:r>
      <w:r>
        <w:rPr>
          <w:rFonts w:ascii="宋体" w:hAnsi="宋体" w:eastAsia="宋体"/>
        </w:rPr>
        <w:t>进行直接登记入院。</w:t>
      </w:r>
    </w:p>
    <w:p w14:paraId="51B6D4CA">
      <w:pPr>
        <w:ind w:firstLine="480"/>
        <w:rPr>
          <w:rFonts w:ascii="宋体" w:hAnsi="宋体" w:eastAsia="宋体"/>
        </w:rPr>
      </w:pPr>
      <w:r>
        <w:rPr>
          <w:rFonts w:hint="eastAsia" w:ascii="宋体" w:hAnsi="宋体" w:eastAsia="宋体"/>
        </w:rPr>
        <w:t>11）</w:t>
      </w:r>
      <w:r>
        <w:rPr>
          <w:rFonts w:ascii="宋体" w:hAnsi="宋体" w:eastAsia="宋体"/>
        </w:rPr>
        <w:t>护士完成婴儿登记入院。</w:t>
      </w:r>
    </w:p>
    <w:p w14:paraId="6185D686">
      <w:pPr>
        <w:rPr>
          <w:rFonts w:ascii="宋体" w:hAnsi="宋体" w:eastAsia="宋体"/>
        </w:rPr>
      </w:pPr>
      <w:r>
        <w:rPr>
          <w:rFonts w:hint="eastAsia" w:ascii="宋体" w:hAnsi="宋体" w:eastAsia="宋体"/>
        </w:rPr>
        <w:t>（3）</w:t>
      </w:r>
      <w:r>
        <w:rPr>
          <w:rFonts w:ascii="宋体" w:hAnsi="宋体" w:eastAsia="宋体"/>
        </w:rPr>
        <w:t>床位管理</w:t>
      </w:r>
    </w:p>
    <w:p w14:paraId="233BA1FD">
      <w:pPr>
        <w:ind w:firstLine="480"/>
        <w:rPr>
          <w:rFonts w:ascii="宋体" w:hAnsi="宋体" w:eastAsia="宋体"/>
        </w:rPr>
      </w:pPr>
      <w:r>
        <w:rPr>
          <w:rFonts w:hint="eastAsia" w:ascii="宋体" w:hAnsi="宋体" w:eastAsia="宋体"/>
        </w:rPr>
        <w:t>1）</w:t>
      </w:r>
      <w:r>
        <w:rPr>
          <w:rFonts w:ascii="宋体" w:hAnsi="宋体" w:eastAsia="宋体"/>
        </w:rPr>
        <w:t>可维护各科室或护理单元的床位信息。对床位位置，床位编制类型，床位状况等属性进行修改。</w:t>
      </w:r>
    </w:p>
    <w:p w14:paraId="5ECB64AC">
      <w:pPr>
        <w:ind w:firstLine="480"/>
        <w:rPr>
          <w:rFonts w:ascii="宋体" w:hAnsi="宋体" w:eastAsia="宋体"/>
        </w:rPr>
      </w:pPr>
      <w:r>
        <w:rPr>
          <w:rFonts w:hint="eastAsia" w:ascii="宋体" w:hAnsi="宋体" w:eastAsia="宋体"/>
        </w:rPr>
        <w:t>2）</w:t>
      </w:r>
      <w:r>
        <w:rPr>
          <w:rFonts w:ascii="宋体" w:hAnsi="宋体" w:eastAsia="宋体"/>
        </w:rPr>
        <w:t>支持对床位类型进行维护，以及对应的需要收费的床位费用信息。</w:t>
      </w:r>
    </w:p>
    <w:p w14:paraId="44A8D9E1">
      <w:pPr>
        <w:ind w:firstLine="480"/>
        <w:rPr>
          <w:rFonts w:ascii="宋体" w:hAnsi="宋体" w:eastAsia="宋体"/>
        </w:rPr>
      </w:pPr>
      <w:r>
        <w:rPr>
          <w:rFonts w:hint="eastAsia" w:ascii="宋体" w:hAnsi="宋体" w:eastAsia="宋体"/>
        </w:rPr>
        <w:t>3）支持</w:t>
      </w:r>
      <w:r>
        <w:rPr>
          <w:rFonts w:ascii="宋体" w:hAnsi="宋体" w:eastAsia="宋体"/>
        </w:rPr>
        <w:t>床位类型维护以及对医疗机构进行床位类型授权。</w:t>
      </w:r>
    </w:p>
    <w:p w14:paraId="05BF47F5">
      <w:pPr>
        <w:rPr>
          <w:rFonts w:ascii="宋体" w:hAnsi="宋体" w:eastAsia="宋体"/>
        </w:rPr>
      </w:pPr>
      <w:r>
        <w:rPr>
          <w:rFonts w:hint="eastAsia" w:ascii="宋体" w:hAnsi="宋体" w:eastAsia="宋体"/>
        </w:rPr>
        <w:t>（4）</w:t>
      </w:r>
      <w:r>
        <w:rPr>
          <w:rFonts w:ascii="宋体" w:hAnsi="宋体" w:eastAsia="宋体"/>
        </w:rPr>
        <w:t>预交金管理</w:t>
      </w:r>
    </w:p>
    <w:p w14:paraId="47CAB8CB">
      <w:pPr>
        <w:ind w:firstLine="480"/>
        <w:rPr>
          <w:rFonts w:ascii="宋体" w:hAnsi="宋体" w:eastAsia="宋体"/>
        </w:rPr>
      </w:pPr>
      <w:r>
        <w:rPr>
          <w:rFonts w:hint="eastAsia" w:ascii="宋体" w:hAnsi="宋体" w:eastAsia="宋体"/>
        </w:rPr>
        <w:t>实现</w:t>
      </w:r>
      <w:r>
        <w:rPr>
          <w:rFonts w:ascii="宋体" w:hAnsi="宋体" w:eastAsia="宋体"/>
        </w:rPr>
        <w:t>对住院病人预交金进行管理</w:t>
      </w:r>
      <w:r>
        <w:rPr>
          <w:rFonts w:hint="eastAsia" w:ascii="宋体" w:hAnsi="宋体" w:eastAsia="宋体"/>
        </w:rPr>
        <w:t>：</w:t>
      </w:r>
      <w:r>
        <w:rPr>
          <w:rFonts w:ascii="宋体" w:hAnsi="宋体" w:eastAsia="宋体"/>
        </w:rPr>
        <w:t>打印预交金收据凭证</w:t>
      </w:r>
      <w:r>
        <w:rPr>
          <w:rFonts w:hint="eastAsia" w:ascii="宋体" w:hAnsi="宋体" w:eastAsia="宋体"/>
        </w:rPr>
        <w:t>、</w:t>
      </w:r>
      <w:r>
        <w:rPr>
          <w:rFonts w:ascii="宋体" w:hAnsi="宋体" w:eastAsia="宋体"/>
        </w:rPr>
        <w:t>预交金日结清单。支持按照不同方式统计预交金并打印清单。</w:t>
      </w:r>
    </w:p>
    <w:p w14:paraId="6FCFAF9C">
      <w:pPr>
        <w:rPr>
          <w:rFonts w:ascii="宋体" w:hAnsi="宋体" w:eastAsia="宋体"/>
        </w:rPr>
      </w:pPr>
      <w:r>
        <w:rPr>
          <w:rFonts w:hint="eastAsia" w:ascii="宋体" w:hAnsi="宋体" w:eastAsia="宋体"/>
        </w:rPr>
        <w:t>（5）</w:t>
      </w:r>
      <w:r>
        <w:rPr>
          <w:rFonts w:ascii="宋体" w:hAnsi="宋体" w:eastAsia="宋体"/>
        </w:rPr>
        <w:t>预约管理</w:t>
      </w:r>
    </w:p>
    <w:p w14:paraId="086B1EA0">
      <w:pPr>
        <w:ind w:firstLine="480"/>
        <w:rPr>
          <w:rFonts w:ascii="宋体" w:hAnsi="宋体" w:eastAsia="宋体"/>
        </w:rPr>
      </w:pPr>
      <w:r>
        <w:rPr>
          <w:rFonts w:hint="eastAsia" w:ascii="宋体" w:hAnsi="宋体" w:eastAsia="宋体"/>
        </w:rPr>
        <w:t>可实现</w:t>
      </w:r>
      <w:r>
        <w:rPr>
          <w:rFonts w:ascii="宋体" w:hAnsi="宋体" w:eastAsia="宋体"/>
        </w:rPr>
        <w:t>预约住院，录入病人基本信息、预约信息，完成住院预约。</w:t>
      </w:r>
      <w:r>
        <w:rPr>
          <w:rFonts w:hint="eastAsia" w:ascii="宋体" w:hAnsi="宋体" w:eastAsia="宋体"/>
        </w:rPr>
        <w:t>能</w:t>
      </w:r>
      <w:r>
        <w:rPr>
          <w:rFonts w:ascii="宋体" w:hAnsi="宋体" w:eastAsia="宋体"/>
        </w:rPr>
        <w:t>根据入院证相关信息,合理安排预入院时间。对已经进行住院预约的病人进行床位的预约、取消。</w:t>
      </w:r>
    </w:p>
    <w:p w14:paraId="60BAC642">
      <w:pPr>
        <w:rPr>
          <w:rFonts w:ascii="宋体" w:hAnsi="宋体" w:eastAsia="宋体"/>
        </w:rPr>
      </w:pPr>
      <w:r>
        <w:rPr>
          <w:rFonts w:hint="eastAsia" w:ascii="宋体" w:hAnsi="宋体" w:eastAsia="宋体"/>
        </w:rPr>
        <w:t>（6）</w:t>
      </w:r>
      <w:r>
        <w:rPr>
          <w:rFonts w:ascii="宋体" w:hAnsi="宋体" w:eastAsia="宋体"/>
        </w:rPr>
        <w:t>查询统计</w:t>
      </w:r>
    </w:p>
    <w:p w14:paraId="6D7DCD22">
      <w:pPr>
        <w:ind w:firstLine="480"/>
        <w:rPr>
          <w:rFonts w:ascii="宋体" w:hAnsi="宋体" w:eastAsia="宋体"/>
        </w:rPr>
      </w:pPr>
      <w:r>
        <w:rPr>
          <w:rFonts w:hint="eastAsia" w:ascii="宋体" w:hAnsi="宋体" w:eastAsia="宋体"/>
        </w:rPr>
        <w:t>至少包含</w:t>
      </w:r>
      <w:r>
        <w:rPr>
          <w:rFonts w:ascii="宋体" w:hAnsi="宋体" w:eastAsia="宋体"/>
        </w:rPr>
        <w:t>住院情况统计日报表</w:t>
      </w:r>
      <w:r>
        <w:rPr>
          <w:rFonts w:hint="eastAsia" w:ascii="宋体" w:hAnsi="宋体" w:eastAsia="宋体"/>
        </w:rPr>
        <w:t>、</w:t>
      </w:r>
      <w:r>
        <w:rPr>
          <w:rFonts w:ascii="宋体" w:hAnsi="宋体" w:eastAsia="宋体"/>
        </w:rPr>
        <w:t>住院登记病人查询统计</w:t>
      </w:r>
      <w:r>
        <w:rPr>
          <w:rFonts w:hint="eastAsia" w:ascii="宋体" w:hAnsi="宋体" w:eastAsia="宋体"/>
        </w:rPr>
        <w:t>、</w:t>
      </w:r>
      <w:r>
        <w:rPr>
          <w:rFonts w:ascii="宋体" w:hAnsi="宋体" w:eastAsia="宋体"/>
        </w:rPr>
        <w:t>住院登记病人基本信息查询</w:t>
      </w:r>
      <w:r>
        <w:rPr>
          <w:rFonts w:hint="eastAsia" w:ascii="宋体" w:hAnsi="宋体" w:eastAsia="宋体"/>
        </w:rPr>
        <w:t>、</w:t>
      </w:r>
      <w:r>
        <w:rPr>
          <w:rFonts w:ascii="宋体" w:hAnsi="宋体" w:eastAsia="宋体"/>
        </w:rPr>
        <w:t>病区日报录入查看</w:t>
      </w:r>
      <w:r>
        <w:rPr>
          <w:rFonts w:hint="eastAsia" w:ascii="宋体" w:hAnsi="宋体" w:eastAsia="宋体"/>
        </w:rPr>
        <w:t>、</w:t>
      </w:r>
      <w:r>
        <w:rPr>
          <w:rFonts w:ascii="宋体" w:hAnsi="宋体" w:eastAsia="宋体"/>
        </w:rPr>
        <w:t>各类住院参保人员基本信息查询、参保人员入出院查询。</w:t>
      </w:r>
    </w:p>
    <w:p w14:paraId="5429513C">
      <w:pPr>
        <w:rPr>
          <w:rFonts w:ascii="宋体" w:hAnsi="宋体" w:eastAsia="宋体"/>
        </w:rPr>
      </w:pPr>
      <w:r>
        <w:rPr>
          <w:rFonts w:hint="eastAsia" w:ascii="宋体" w:hAnsi="宋体" w:eastAsia="宋体"/>
        </w:rPr>
        <w:t>（7）本系统属于医院运营管理核心业务系统，要求投标人具有本系统自主知识产权，具备根据医院合理需求定制开发的能力，以便更好的满足运营管理需求，投标人须提供自有的计算机软件著作权登记证书。</w:t>
      </w:r>
    </w:p>
    <w:p w14:paraId="2B6785CD">
      <w:pPr>
        <w:pStyle w:val="6"/>
      </w:pPr>
      <w:r>
        <w:rPr>
          <w:rFonts w:hint="eastAsia"/>
        </w:rPr>
        <w:t>低值医用材料管理系统</w:t>
      </w:r>
    </w:p>
    <w:p w14:paraId="03920B3E">
      <w:pPr>
        <w:ind w:firstLine="525" w:firstLineChars="250"/>
        <w:rPr>
          <w:highlight w:val="yellow"/>
        </w:rPr>
      </w:pPr>
      <w:r>
        <w:rPr>
          <w:rFonts w:hint="eastAsia"/>
        </w:rPr>
        <w:t>低值耗材实现对医院一次性卫生材料包括但不限于医用卫生材料及敷料类、注射穿刺类、医用高分子材料类、医用消毒类、麻醉耗材类、手术室耗材类、医技耗材类等（如手术薄膜、一次性吸痰管、一次性雾化器、血糖试纸、胰岛素笔式注射器、胰岛素笔用针头）的管理。</w:t>
      </w:r>
    </w:p>
    <w:p w14:paraId="734B6665">
      <w:pPr>
        <w:ind w:firstLine="482"/>
        <w:rPr>
          <w:rFonts w:ascii="宋体" w:hAnsi="宋体" w:eastAsia="宋体"/>
        </w:rPr>
      </w:pPr>
      <w:r>
        <w:rPr>
          <w:rFonts w:hint="eastAsia" w:ascii="宋体" w:hAnsi="宋体" w:eastAsia="宋体"/>
        </w:rPr>
        <w:t>（1）库房计划要求能根据存量生成，低于最低库存的，自动申领基数的耗材计划，打印材料库房计划单。能根据所管理科室的申领自动生成采购计划，可修改汇总的数量。</w:t>
      </w:r>
    </w:p>
    <w:p w14:paraId="7F414408">
      <w:pPr>
        <w:ind w:firstLine="482"/>
        <w:rPr>
          <w:rFonts w:ascii="宋体" w:hAnsi="宋体" w:eastAsia="宋体"/>
        </w:rPr>
      </w:pPr>
      <w:r>
        <w:rPr>
          <w:rFonts w:hint="eastAsia" w:ascii="宋体" w:hAnsi="宋体" w:eastAsia="宋体"/>
        </w:rPr>
        <w:t>（2）</w:t>
      </w:r>
      <w:r>
        <w:rPr>
          <w:rFonts w:ascii="宋体" w:hAnsi="宋体" w:eastAsia="宋体"/>
        </w:rPr>
        <w:t>计划汇总</w:t>
      </w:r>
      <w:r>
        <w:rPr>
          <w:rFonts w:hint="eastAsia" w:ascii="宋体" w:hAnsi="宋体" w:eastAsia="宋体"/>
        </w:rPr>
        <w:t>要求能</w:t>
      </w:r>
      <w:r>
        <w:rPr>
          <w:rFonts w:ascii="宋体" w:hAnsi="宋体" w:eastAsia="宋体"/>
        </w:rPr>
        <w:t>根据多个材料采购计划汇总生成材料计划汇总单。</w:t>
      </w:r>
      <w:r>
        <w:rPr>
          <w:rFonts w:hint="eastAsia" w:ascii="宋体" w:hAnsi="宋体" w:eastAsia="宋体"/>
        </w:rPr>
        <w:t>可</w:t>
      </w:r>
      <w:r>
        <w:rPr>
          <w:rFonts w:ascii="宋体" w:hAnsi="宋体" w:eastAsia="宋体"/>
        </w:rPr>
        <w:t>修改材料计划汇总的汇总数量</w:t>
      </w:r>
      <w:r>
        <w:rPr>
          <w:rFonts w:hint="eastAsia" w:ascii="宋体" w:hAnsi="宋体" w:eastAsia="宋体"/>
        </w:rPr>
        <w:t>，</w:t>
      </w:r>
      <w:r>
        <w:rPr>
          <w:rFonts w:ascii="宋体" w:hAnsi="宋体" w:eastAsia="宋体"/>
        </w:rPr>
        <w:t>打印材料计划汇总单。</w:t>
      </w:r>
    </w:p>
    <w:p w14:paraId="6F3B44AA">
      <w:pPr>
        <w:ind w:firstLine="482"/>
        <w:rPr>
          <w:rFonts w:ascii="宋体" w:hAnsi="宋体" w:eastAsia="宋体"/>
        </w:rPr>
      </w:pPr>
      <w:r>
        <w:rPr>
          <w:rFonts w:hint="eastAsia" w:ascii="宋体" w:hAnsi="宋体" w:eastAsia="宋体"/>
        </w:rPr>
        <w:t>（3）</w:t>
      </w:r>
      <w:r>
        <w:rPr>
          <w:rFonts w:ascii="宋体" w:hAnsi="宋体" w:eastAsia="宋体"/>
        </w:rPr>
        <w:t>订单管理</w:t>
      </w:r>
      <w:r>
        <w:rPr>
          <w:rFonts w:hint="eastAsia" w:ascii="宋体" w:hAnsi="宋体" w:eastAsia="宋体"/>
        </w:rPr>
        <w:t>要求系统</w:t>
      </w:r>
      <w:r>
        <w:rPr>
          <w:rFonts w:ascii="宋体" w:hAnsi="宋体" w:eastAsia="宋体"/>
        </w:rPr>
        <w:t>通过材料计划汇总可以直接按供应商生成材料订单。支持区分当次订单是临时采购订单还是非临时采购订单。</w:t>
      </w:r>
      <w:r>
        <w:rPr>
          <w:rFonts w:hint="eastAsia" w:ascii="宋体" w:hAnsi="宋体" w:eastAsia="宋体"/>
        </w:rPr>
        <w:t>管理人员可</w:t>
      </w:r>
      <w:r>
        <w:rPr>
          <w:rFonts w:ascii="宋体" w:hAnsi="宋体" w:eastAsia="宋体"/>
        </w:rPr>
        <w:t>查看订单的备货情况以及入库情况。</w:t>
      </w:r>
    </w:p>
    <w:p w14:paraId="475AF3C2">
      <w:pPr>
        <w:ind w:firstLine="482"/>
        <w:rPr>
          <w:rFonts w:ascii="宋体" w:hAnsi="宋体" w:eastAsia="宋体"/>
        </w:rPr>
      </w:pPr>
      <w:r>
        <w:rPr>
          <w:rFonts w:hint="eastAsia" w:ascii="宋体" w:hAnsi="宋体" w:eastAsia="宋体"/>
        </w:rPr>
        <w:t>（4）</w:t>
      </w:r>
      <w:r>
        <w:rPr>
          <w:rFonts w:ascii="宋体" w:hAnsi="宋体" w:eastAsia="宋体"/>
        </w:rPr>
        <w:t>采购业务</w:t>
      </w:r>
      <w:r>
        <w:rPr>
          <w:rFonts w:hint="eastAsia" w:ascii="宋体" w:hAnsi="宋体" w:eastAsia="宋体"/>
        </w:rPr>
        <w:t>实现</w:t>
      </w:r>
      <w:r>
        <w:rPr>
          <w:rFonts w:ascii="宋体" w:hAnsi="宋体" w:eastAsia="宋体"/>
        </w:rPr>
        <w:t>物资入库单支持通过物资备货单生成，不用再手工录入</w:t>
      </w:r>
      <w:r>
        <w:rPr>
          <w:rFonts w:hint="eastAsia" w:ascii="宋体" w:hAnsi="宋体" w:eastAsia="宋体"/>
        </w:rPr>
        <w:t>支持</w:t>
      </w:r>
      <w:r>
        <w:rPr>
          <w:rFonts w:ascii="宋体" w:hAnsi="宋体" w:eastAsia="宋体"/>
        </w:rPr>
        <w:t>物资源头追溯。</w:t>
      </w:r>
    </w:p>
    <w:p w14:paraId="5AEA86F3">
      <w:pPr>
        <w:ind w:firstLine="482"/>
        <w:rPr>
          <w:rFonts w:ascii="宋体" w:hAnsi="宋体" w:eastAsia="宋体"/>
        </w:rPr>
      </w:pPr>
      <w:r>
        <w:rPr>
          <w:rFonts w:hint="eastAsia" w:ascii="宋体" w:hAnsi="宋体" w:eastAsia="宋体"/>
        </w:rPr>
        <w:t>（5）</w:t>
      </w:r>
      <w:r>
        <w:rPr>
          <w:rFonts w:ascii="宋体" w:hAnsi="宋体" w:eastAsia="宋体"/>
        </w:rPr>
        <w:t>材料调拨</w:t>
      </w:r>
      <w:r>
        <w:rPr>
          <w:rFonts w:hint="eastAsia" w:ascii="宋体" w:hAnsi="宋体" w:eastAsia="宋体"/>
        </w:rPr>
        <w:t>要求</w:t>
      </w:r>
      <w:r>
        <w:rPr>
          <w:rFonts w:ascii="宋体" w:hAnsi="宋体" w:eastAsia="宋体"/>
        </w:rPr>
        <w:t>通过所管理的下级仓库的申领单自动生成出库单。</w:t>
      </w:r>
      <w:r>
        <w:rPr>
          <w:rFonts w:hint="eastAsia" w:ascii="宋体" w:hAnsi="宋体" w:eastAsia="宋体"/>
        </w:rPr>
        <w:t>可</w:t>
      </w:r>
      <w:r>
        <w:rPr>
          <w:rFonts w:ascii="宋体" w:hAnsi="宋体" w:eastAsia="宋体"/>
        </w:rPr>
        <w:t>将入库单直接生成出库单</w:t>
      </w:r>
      <w:r>
        <w:rPr>
          <w:rFonts w:hint="eastAsia" w:ascii="宋体" w:hAnsi="宋体" w:eastAsia="宋体"/>
        </w:rPr>
        <w:t>，</w:t>
      </w:r>
      <w:r>
        <w:rPr>
          <w:rFonts w:ascii="宋体" w:hAnsi="宋体" w:eastAsia="宋体"/>
        </w:rPr>
        <w:t>且能根据医院的需求个性化打印模板</w:t>
      </w:r>
      <w:r>
        <w:rPr>
          <w:rFonts w:hint="eastAsia" w:ascii="宋体" w:hAnsi="宋体" w:eastAsia="宋体"/>
        </w:rPr>
        <w:t>，同时</w:t>
      </w:r>
      <w:r>
        <w:rPr>
          <w:rFonts w:ascii="宋体" w:hAnsi="宋体" w:eastAsia="宋体"/>
        </w:rPr>
        <w:t>支持暂扣和接收。</w:t>
      </w:r>
    </w:p>
    <w:p w14:paraId="2005F517">
      <w:pPr>
        <w:ind w:firstLine="482"/>
        <w:rPr>
          <w:rFonts w:ascii="宋体" w:hAnsi="宋体" w:eastAsia="宋体"/>
        </w:rPr>
      </w:pPr>
      <w:r>
        <w:rPr>
          <w:rFonts w:hint="eastAsia" w:ascii="宋体" w:hAnsi="宋体" w:eastAsia="宋体"/>
        </w:rPr>
        <w:t>（6）</w:t>
      </w:r>
      <w:r>
        <w:rPr>
          <w:rFonts w:ascii="宋体" w:hAnsi="宋体" w:eastAsia="宋体"/>
        </w:rPr>
        <w:t>库房盘点</w:t>
      </w:r>
      <w:r>
        <w:rPr>
          <w:rFonts w:hint="eastAsia" w:ascii="宋体" w:hAnsi="宋体" w:eastAsia="宋体"/>
        </w:rPr>
        <w:t>要求</w:t>
      </w:r>
      <w:r>
        <w:rPr>
          <w:rFonts w:ascii="宋体" w:hAnsi="宋体" w:eastAsia="宋体"/>
        </w:rPr>
        <w:t>按照物资类别生成盘点单，也支持全部当前库存不为0的物资生成盘点单</w:t>
      </w:r>
      <w:r>
        <w:rPr>
          <w:rFonts w:hint="eastAsia" w:ascii="宋体" w:hAnsi="宋体" w:eastAsia="宋体"/>
        </w:rPr>
        <w:t>；</w:t>
      </w:r>
      <w:r>
        <w:rPr>
          <w:rFonts w:ascii="宋体" w:hAnsi="宋体" w:eastAsia="宋体"/>
        </w:rPr>
        <w:t>支持自定义排序盘点物资的生成顺序</w:t>
      </w:r>
      <w:r>
        <w:rPr>
          <w:rFonts w:hint="eastAsia" w:ascii="宋体" w:hAnsi="宋体" w:eastAsia="宋体"/>
        </w:rPr>
        <w:t>，灵活</w:t>
      </w:r>
      <w:r>
        <w:rPr>
          <w:rFonts w:ascii="宋体" w:hAnsi="宋体" w:eastAsia="宋体"/>
        </w:rPr>
        <w:t>控制各仓库是否允许盘点。</w:t>
      </w:r>
    </w:p>
    <w:p w14:paraId="36FBD3AA">
      <w:pPr>
        <w:ind w:firstLine="482"/>
        <w:rPr>
          <w:rFonts w:ascii="宋体" w:hAnsi="宋体" w:eastAsia="宋体"/>
        </w:rPr>
      </w:pPr>
      <w:r>
        <w:rPr>
          <w:rFonts w:hint="eastAsia" w:ascii="宋体" w:hAnsi="宋体" w:eastAsia="宋体"/>
        </w:rPr>
        <w:t>（7）</w:t>
      </w:r>
      <w:r>
        <w:rPr>
          <w:rFonts w:ascii="宋体" w:hAnsi="宋体" w:eastAsia="宋体"/>
        </w:rPr>
        <w:t>备货验收</w:t>
      </w:r>
      <w:r>
        <w:rPr>
          <w:rFonts w:hint="eastAsia" w:ascii="宋体" w:hAnsi="宋体" w:eastAsia="宋体"/>
        </w:rPr>
        <w:t>实现</w:t>
      </w:r>
      <w:r>
        <w:rPr>
          <w:rFonts w:ascii="宋体" w:hAnsi="宋体" w:eastAsia="宋体"/>
        </w:rPr>
        <w:t>验收不通过和通过的判断</w:t>
      </w:r>
      <w:r>
        <w:rPr>
          <w:rFonts w:hint="eastAsia" w:ascii="宋体" w:hAnsi="宋体" w:eastAsia="宋体"/>
        </w:rPr>
        <w:t>，可</w:t>
      </w:r>
      <w:r>
        <w:rPr>
          <w:rFonts w:ascii="宋体" w:hAnsi="宋体" w:eastAsia="宋体"/>
        </w:rPr>
        <w:t>按供应商来验收备货单。</w:t>
      </w:r>
    </w:p>
    <w:p w14:paraId="4D952494">
      <w:pPr>
        <w:pStyle w:val="6"/>
      </w:pPr>
      <w:r>
        <w:rPr>
          <w:rFonts w:hint="eastAsia"/>
        </w:rPr>
        <w:t>高值耗材管理系统</w:t>
      </w:r>
    </w:p>
    <w:p w14:paraId="1917B9FA">
      <w:pPr>
        <w:ind w:firstLine="420" w:firstLineChars="200"/>
      </w:pPr>
      <w:r>
        <w:rPr>
          <w:rFonts w:hint="eastAsia"/>
        </w:rPr>
        <w:t>高值耗材主要对医院</w:t>
      </w:r>
      <w:r>
        <w:rPr>
          <w:rFonts w:ascii="Times New Roman" w:hAnsi="Times New Roman" w:cs="Times New Roman"/>
        </w:rPr>
        <w:t>‌</w:t>
      </w:r>
      <w:r>
        <w:rPr>
          <w:rFonts w:hint="eastAsia" w:ascii="宋体" w:hAnsi="宋体" w:eastAsia="宋体" w:cs="宋体"/>
        </w:rPr>
        <w:t>手术器械、</w:t>
      </w:r>
      <w:r>
        <w:rPr>
          <w:rFonts w:ascii="Times New Roman" w:hAnsi="Times New Roman" w:cs="Times New Roman"/>
        </w:rPr>
        <w:t>‌</w:t>
      </w:r>
      <w:r>
        <w:rPr>
          <w:rFonts w:hint="eastAsia" w:ascii="宋体" w:hAnsi="宋体" w:eastAsia="宋体" w:cs="宋体"/>
        </w:rPr>
        <w:t>医用耗材、</w:t>
      </w:r>
      <w:r>
        <w:rPr>
          <w:rFonts w:hint="eastAsia"/>
        </w:rPr>
        <w:t>血管介入类（如外周血管和心血管介入）、非血管介入类（如气管和消化道介入）、骨科植入类（如脊柱、关节和创伤植入物）、神经外科材料、眼科材料、口腔类材料、麻醉类材料、心脏起搏器、体外循环等进行</w:t>
      </w:r>
      <w:r>
        <w:t>全程跟踪、可视化管理、可追溯等全流程闭环、精细化管理</w:t>
      </w:r>
      <w:r>
        <w:rPr>
          <w:rFonts w:hint="eastAsia"/>
        </w:rPr>
        <w:t>。</w:t>
      </w:r>
      <w:r>
        <w:t>实现“高值耗材零库存、100%可追溯”，从生产到最终的使用，信息链完整追溯，实现了高值耗材信息与患者信息一一对应</w:t>
      </w:r>
      <w:r>
        <w:rPr>
          <w:rFonts w:hint="eastAsia"/>
        </w:rPr>
        <w:t>。</w:t>
      </w:r>
    </w:p>
    <w:p w14:paraId="76FECA00">
      <w:pPr>
        <w:ind w:firstLine="482"/>
        <w:rPr>
          <w:rFonts w:ascii="宋体" w:hAnsi="宋体" w:eastAsia="宋体"/>
        </w:rPr>
      </w:pPr>
      <w:r>
        <w:rPr>
          <w:rFonts w:hint="eastAsia" w:ascii="宋体" w:hAnsi="宋体" w:eastAsia="宋体"/>
        </w:rPr>
        <w:t>（1）备货管理可查询历史备货单信息，可通过扫码来实现高值耗材的备货登记，智能识别主码追溯码。支持打印高值耗材备货单；支持核价及对备货单进行审核。</w:t>
      </w:r>
    </w:p>
    <w:p w14:paraId="72193292">
      <w:pPr>
        <w:ind w:firstLine="482"/>
        <w:rPr>
          <w:rFonts w:ascii="宋体" w:hAnsi="宋体" w:eastAsia="宋体"/>
        </w:rPr>
      </w:pPr>
      <w:r>
        <w:rPr>
          <w:rFonts w:hint="eastAsia" w:ascii="宋体" w:hAnsi="宋体" w:eastAsia="宋体"/>
        </w:rPr>
        <w:t>（2）</w:t>
      </w:r>
      <w:r>
        <w:rPr>
          <w:rFonts w:ascii="宋体" w:hAnsi="宋体" w:eastAsia="宋体"/>
        </w:rPr>
        <w:t>备货验收</w:t>
      </w:r>
      <w:r>
        <w:rPr>
          <w:rFonts w:hint="eastAsia" w:ascii="宋体" w:hAnsi="宋体" w:eastAsia="宋体"/>
        </w:rPr>
        <w:t>支持</w:t>
      </w:r>
      <w:r>
        <w:rPr>
          <w:rFonts w:ascii="宋体" w:hAnsi="宋体" w:eastAsia="宋体"/>
        </w:rPr>
        <w:t>对高值耗材备货审核通过的单据</w:t>
      </w:r>
      <w:r>
        <w:rPr>
          <w:rFonts w:hint="eastAsia" w:ascii="宋体" w:hAnsi="宋体" w:eastAsia="宋体"/>
        </w:rPr>
        <w:t>支持</w:t>
      </w:r>
      <w:r>
        <w:rPr>
          <w:rFonts w:ascii="宋体" w:hAnsi="宋体" w:eastAsia="宋体"/>
        </w:rPr>
        <w:t>验收</w:t>
      </w:r>
      <w:r>
        <w:rPr>
          <w:rFonts w:hint="eastAsia" w:ascii="宋体" w:hAnsi="宋体" w:eastAsia="宋体"/>
        </w:rPr>
        <w:t>，能</w:t>
      </w:r>
      <w:r>
        <w:rPr>
          <w:rFonts w:ascii="宋体" w:hAnsi="宋体" w:eastAsia="宋体"/>
        </w:rPr>
        <w:t>按单号、时间、状态进行验收记录的查询。</w:t>
      </w:r>
    </w:p>
    <w:p w14:paraId="69E84B9D">
      <w:pPr>
        <w:ind w:firstLine="482"/>
        <w:rPr>
          <w:rFonts w:ascii="宋体" w:hAnsi="宋体" w:eastAsia="宋体"/>
        </w:rPr>
      </w:pPr>
      <w:r>
        <w:rPr>
          <w:rFonts w:hint="eastAsia" w:ascii="宋体" w:hAnsi="宋体" w:eastAsia="宋体"/>
        </w:rPr>
        <w:t>（3）</w:t>
      </w:r>
      <w:r>
        <w:rPr>
          <w:rFonts w:ascii="宋体" w:hAnsi="宋体" w:eastAsia="宋体"/>
        </w:rPr>
        <w:t>退货管理</w:t>
      </w:r>
      <w:r>
        <w:rPr>
          <w:rFonts w:hint="eastAsia" w:ascii="宋体" w:hAnsi="宋体" w:eastAsia="宋体"/>
        </w:rPr>
        <w:t>支持</w:t>
      </w:r>
      <w:r>
        <w:rPr>
          <w:rFonts w:ascii="宋体" w:hAnsi="宋体" w:eastAsia="宋体"/>
        </w:rPr>
        <w:t>高值耗材退货登记管理</w:t>
      </w:r>
      <w:r>
        <w:rPr>
          <w:rFonts w:hint="eastAsia" w:ascii="宋体" w:hAnsi="宋体" w:eastAsia="宋体"/>
        </w:rPr>
        <w:t>，</w:t>
      </w:r>
      <w:r>
        <w:rPr>
          <w:rFonts w:ascii="宋体" w:hAnsi="宋体" w:eastAsia="宋体"/>
        </w:rPr>
        <w:t>扫码或者手动输入条码来将货物退出支持回收导入</w:t>
      </w:r>
      <w:r>
        <w:rPr>
          <w:rFonts w:hint="eastAsia" w:ascii="宋体" w:hAnsi="宋体" w:eastAsia="宋体"/>
        </w:rPr>
        <w:t>，对</w:t>
      </w:r>
      <w:r>
        <w:rPr>
          <w:rFonts w:ascii="宋体" w:hAnsi="宋体" w:eastAsia="宋体"/>
        </w:rPr>
        <w:t>退货单</w:t>
      </w:r>
      <w:r>
        <w:rPr>
          <w:rFonts w:hint="eastAsia" w:ascii="宋体" w:hAnsi="宋体" w:eastAsia="宋体"/>
        </w:rPr>
        <w:t>进行</w:t>
      </w:r>
      <w:r>
        <w:rPr>
          <w:rFonts w:ascii="宋体" w:hAnsi="宋体" w:eastAsia="宋体"/>
        </w:rPr>
        <w:t>审核。</w:t>
      </w:r>
    </w:p>
    <w:p w14:paraId="7C0AD19D">
      <w:pPr>
        <w:ind w:firstLine="482"/>
        <w:rPr>
          <w:rFonts w:ascii="宋体" w:hAnsi="宋体" w:eastAsia="宋体"/>
        </w:rPr>
      </w:pPr>
      <w:r>
        <w:rPr>
          <w:rFonts w:hint="eastAsia" w:ascii="宋体" w:hAnsi="宋体" w:eastAsia="宋体"/>
        </w:rPr>
        <w:t>（4）</w:t>
      </w:r>
      <w:r>
        <w:rPr>
          <w:rFonts w:ascii="宋体" w:hAnsi="宋体" w:eastAsia="宋体"/>
        </w:rPr>
        <w:t>追溯管理支持通过病人住院号和高值耗材主码追溯高值耗材的使用记录</w:t>
      </w:r>
      <w:r>
        <w:rPr>
          <w:rFonts w:hint="eastAsia" w:ascii="宋体" w:hAnsi="宋体" w:eastAsia="宋体"/>
        </w:rPr>
        <w:t>，</w:t>
      </w:r>
      <w:r>
        <w:rPr>
          <w:rFonts w:ascii="宋体" w:hAnsi="宋体" w:eastAsia="宋体"/>
        </w:rPr>
        <w:t>显示物资基础信息、供应商资质和生产商资质等信息</w:t>
      </w:r>
      <w:r>
        <w:rPr>
          <w:rFonts w:hint="eastAsia" w:ascii="宋体" w:hAnsi="宋体" w:eastAsia="宋体"/>
        </w:rPr>
        <w:t>；</w:t>
      </w:r>
      <w:r>
        <w:rPr>
          <w:rFonts w:ascii="宋体" w:hAnsi="宋体" w:eastAsia="宋体"/>
        </w:rPr>
        <w:t>显示耗材使用全流程信息。</w:t>
      </w:r>
    </w:p>
    <w:p w14:paraId="2B28F43A">
      <w:pPr>
        <w:ind w:firstLine="482"/>
        <w:rPr>
          <w:rFonts w:ascii="宋体" w:hAnsi="宋体" w:eastAsia="宋体"/>
        </w:rPr>
      </w:pPr>
      <w:r>
        <w:rPr>
          <w:rFonts w:hint="eastAsia" w:ascii="宋体" w:hAnsi="宋体" w:eastAsia="宋体"/>
        </w:rPr>
        <w:t>（5）</w:t>
      </w:r>
      <w:r>
        <w:rPr>
          <w:rFonts w:ascii="宋体" w:hAnsi="宋体" w:eastAsia="宋体"/>
        </w:rPr>
        <w:t>结算管理通过高值耗材消耗生成的入库单，可以在这里显示并且打印</w:t>
      </w:r>
      <w:r>
        <w:rPr>
          <w:rFonts w:hint="eastAsia" w:ascii="宋体" w:hAnsi="宋体" w:eastAsia="宋体"/>
        </w:rPr>
        <w:t>；</w:t>
      </w:r>
      <w:r>
        <w:rPr>
          <w:rFonts w:ascii="宋体" w:hAnsi="宋体" w:eastAsia="宋体"/>
        </w:rPr>
        <w:t>支持汇总打印，即多个高值耗材合并到一张单子上打印</w:t>
      </w:r>
      <w:r>
        <w:rPr>
          <w:rFonts w:hint="eastAsia" w:ascii="宋体" w:hAnsi="宋体" w:eastAsia="宋体"/>
        </w:rPr>
        <w:t>；</w:t>
      </w:r>
      <w:r>
        <w:rPr>
          <w:rFonts w:ascii="宋体" w:hAnsi="宋体" w:eastAsia="宋体"/>
        </w:rPr>
        <w:t>验收能够区分已结算和未结算。</w:t>
      </w:r>
    </w:p>
    <w:p w14:paraId="35FADBB7">
      <w:pPr>
        <w:ind w:firstLine="482"/>
        <w:rPr>
          <w:rFonts w:ascii="宋体" w:hAnsi="宋体" w:eastAsia="宋体"/>
        </w:rPr>
      </w:pPr>
      <w:r>
        <w:rPr>
          <w:rFonts w:hint="eastAsia" w:ascii="宋体" w:hAnsi="宋体" w:eastAsia="宋体"/>
        </w:rPr>
        <w:t>（6）</w:t>
      </w:r>
      <w:r>
        <w:rPr>
          <w:rFonts w:ascii="宋体" w:hAnsi="宋体" w:eastAsia="宋体"/>
        </w:rPr>
        <w:t>扫描计费</w:t>
      </w:r>
      <w:r>
        <w:rPr>
          <w:rFonts w:hint="eastAsia" w:ascii="宋体" w:hAnsi="宋体" w:eastAsia="宋体"/>
        </w:rPr>
        <w:t>要求与HIS</w:t>
      </w:r>
      <w:r>
        <w:rPr>
          <w:rFonts w:ascii="宋体" w:hAnsi="宋体" w:eastAsia="宋体"/>
        </w:rPr>
        <w:t>系统</w:t>
      </w:r>
      <w:r>
        <w:rPr>
          <w:rFonts w:hint="eastAsia" w:ascii="宋体" w:hAnsi="宋体" w:eastAsia="宋体"/>
        </w:rPr>
        <w:t>无缝对接</w:t>
      </w:r>
      <w:r>
        <w:rPr>
          <w:rFonts w:ascii="宋体" w:hAnsi="宋体" w:eastAsia="宋体"/>
        </w:rPr>
        <w:t>，</w:t>
      </w:r>
      <w:r>
        <w:rPr>
          <w:rFonts w:hint="eastAsia" w:ascii="宋体" w:hAnsi="宋体" w:eastAsia="宋体"/>
        </w:rPr>
        <w:t>实现HIS</w:t>
      </w:r>
      <w:r>
        <w:rPr>
          <w:rFonts w:ascii="宋体" w:hAnsi="宋体" w:eastAsia="宋体"/>
        </w:rPr>
        <w:t>扫码计费，系统自动生成计费记录以及减库存</w:t>
      </w:r>
      <w:r>
        <w:rPr>
          <w:rFonts w:hint="eastAsia" w:ascii="宋体" w:hAnsi="宋体" w:eastAsia="宋体"/>
        </w:rPr>
        <w:t>，</w:t>
      </w:r>
      <w:r>
        <w:rPr>
          <w:rFonts w:ascii="宋体" w:hAnsi="宋体" w:eastAsia="宋体"/>
        </w:rPr>
        <w:t>在HRP系统消耗，产生消耗记录。</w:t>
      </w:r>
    </w:p>
    <w:p w14:paraId="5CF4F821">
      <w:pPr>
        <w:ind w:firstLine="482"/>
        <w:rPr>
          <w:rFonts w:ascii="宋体" w:hAnsi="宋体" w:eastAsia="宋体"/>
        </w:rPr>
      </w:pPr>
      <w:r>
        <w:rPr>
          <w:rFonts w:hint="eastAsia" w:ascii="宋体" w:hAnsi="宋体" w:eastAsia="宋体"/>
        </w:rPr>
        <w:t>（7）</w:t>
      </w:r>
      <w:r>
        <w:rPr>
          <w:rFonts w:ascii="宋体" w:hAnsi="宋体" w:eastAsia="宋体"/>
        </w:rPr>
        <w:t>报表统计</w:t>
      </w:r>
      <w:r>
        <w:rPr>
          <w:rFonts w:hint="eastAsia" w:ascii="宋体" w:hAnsi="宋体" w:eastAsia="宋体"/>
        </w:rPr>
        <w:t>包含</w:t>
      </w:r>
      <w:r>
        <w:rPr>
          <w:rFonts w:ascii="宋体" w:hAnsi="宋体" w:eastAsia="宋体"/>
        </w:rPr>
        <w:t>查询高值耗材各仓库的存放信息，能够展示并追溯耗材全流程数据</w:t>
      </w:r>
      <w:r>
        <w:rPr>
          <w:rFonts w:hint="eastAsia" w:ascii="宋体" w:hAnsi="宋体" w:eastAsia="宋体"/>
        </w:rPr>
        <w:t>；</w:t>
      </w:r>
      <w:r>
        <w:rPr>
          <w:rFonts w:ascii="宋体" w:hAnsi="宋体" w:eastAsia="宋体"/>
        </w:rPr>
        <w:t>查询高值耗材的消耗汇总支持查询高值耗材按供应商备货查询</w:t>
      </w:r>
      <w:r>
        <w:rPr>
          <w:rFonts w:hint="eastAsia" w:ascii="宋体" w:hAnsi="宋体" w:eastAsia="宋体"/>
        </w:rPr>
        <w:t>；</w:t>
      </w:r>
      <w:r>
        <w:rPr>
          <w:rFonts w:ascii="宋体" w:hAnsi="宋体" w:eastAsia="宋体"/>
        </w:rPr>
        <w:t>查询高值耗材的出入库记录。</w:t>
      </w:r>
    </w:p>
    <w:p w14:paraId="43A40324">
      <w:pPr>
        <w:pStyle w:val="6"/>
      </w:pPr>
      <w:r>
        <w:rPr>
          <w:rFonts w:hint="eastAsia"/>
        </w:rPr>
        <w:t>临床科室耗材管理系统</w:t>
      </w:r>
    </w:p>
    <w:p w14:paraId="454DCA62">
      <w:pPr>
        <w:rPr>
          <w:rFonts w:ascii="宋体" w:hAnsi="宋体" w:eastAsia="宋体"/>
        </w:rPr>
      </w:pPr>
      <w:r>
        <w:rPr>
          <w:rFonts w:hint="eastAsia" w:ascii="宋体" w:hAnsi="宋体" w:eastAsia="宋体"/>
        </w:rPr>
        <w:t>（1）科室申领要求</w:t>
      </w:r>
    </w:p>
    <w:p w14:paraId="71661C80">
      <w:pPr>
        <w:ind w:firstLine="480"/>
        <w:rPr>
          <w:rFonts w:ascii="宋体" w:hAnsi="宋体" w:eastAsia="宋体"/>
        </w:rPr>
      </w:pPr>
      <w:r>
        <w:rPr>
          <w:rFonts w:hint="eastAsia" w:ascii="宋体" w:hAnsi="宋体" w:eastAsia="宋体"/>
        </w:rPr>
        <w:t>1）科室选择需要的物资向一级库申领，可以向不同的一级库申领，同时对申领进度查看；</w:t>
      </w:r>
    </w:p>
    <w:p w14:paraId="15097AE3">
      <w:pPr>
        <w:ind w:firstLine="480"/>
        <w:rPr>
          <w:rFonts w:ascii="宋体" w:hAnsi="宋体" w:eastAsia="宋体"/>
        </w:rPr>
      </w:pPr>
      <w:r>
        <w:rPr>
          <w:rFonts w:hint="eastAsia" w:ascii="宋体" w:hAnsi="宋体" w:eastAsia="宋体"/>
        </w:rPr>
        <w:t>2）支持临床科室进行申领，总务库房汇总各个科室的申领的申领单。</w:t>
      </w:r>
    </w:p>
    <w:p w14:paraId="137E86B8">
      <w:pPr>
        <w:ind w:firstLine="480"/>
        <w:rPr>
          <w:rFonts w:ascii="宋体" w:hAnsi="宋体" w:eastAsia="宋体"/>
        </w:rPr>
      </w:pPr>
      <w:r>
        <w:rPr>
          <w:rFonts w:hint="eastAsia" w:ascii="宋体" w:hAnsi="宋体" w:eastAsia="宋体"/>
        </w:rPr>
        <w:t>3）支持存量生成，根据预定义的最低库存量以及申领基数，自动生成申领单</w:t>
      </w:r>
    </w:p>
    <w:p w14:paraId="67C81F7E">
      <w:pPr>
        <w:ind w:firstLine="482"/>
        <w:rPr>
          <w:rFonts w:ascii="宋体" w:hAnsi="宋体" w:eastAsia="宋体"/>
        </w:rPr>
      </w:pPr>
      <w:r>
        <w:rPr>
          <w:rFonts w:hint="eastAsia" w:ascii="宋体" w:hAnsi="宋体" w:eastAsia="宋体"/>
        </w:rPr>
        <w:t>（2）科室购置计划要求科室选择需要的物资向一级库申购，可以根据存量生成，能查看到申领进度，区分临采与非临采。</w:t>
      </w:r>
    </w:p>
    <w:p w14:paraId="53792B66">
      <w:pPr>
        <w:ind w:firstLine="482"/>
        <w:rPr>
          <w:rFonts w:ascii="宋体" w:hAnsi="宋体" w:eastAsia="宋体"/>
        </w:rPr>
      </w:pPr>
      <w:r>
        <w:rPr>
          <w:rFonts w:hint="eastAsia" w:ascii="宋体" w:hAnsi="宋体" w:eastAsia="宋体"/>
        </w:rPr>
        <w:t>（3）科室报损要去能够报损本科室因为各种原因不能正常使用的物资或者耗材，可以分别对每个物资写明原因，因何报损；支持打印报损单，签字留底；支持按照报损类型区分单据；支持报损分析；报损支持创建人和审核人不同的操作，即一人报损，另一人审核，能够查到报损人，审核人。</w:t>
      </w:r>
    </w:p>
    <w:p w14:paraId="07FCB68B">
      <w:pPr>
        <w:ind w:firstLine="482"/>
        <w:rPr>
          <w:rFonts w:ascii="宋体" w:hAnsi="宋体" w:eastAsia="宋体"/>
        </w:rPr>
      </w:pPr>
      <w:r>
        <w:rPr>
          <w:rFonts w:hint="eastAsia" w:ascii="宋体" w:hAnsi="宋体" w:eastAsia="宋体"/>
        </w:rPr>
        <w:t>（4）科室盘点要求生成盘点单时，科室不能有业务操作，让盘点能正确，无误差的执行下去；支持一个月多次盘点或者一个月只能一次盘点的限制操作；手工开通是否允许每个科室盘点；支持定时每个月让哪个科室可以盘点的操作；实现查询各个科室的盘点汇总，盘盈盘亏的分类分析，填写各个物资或者耗材的盘盈盘亏原因</w:t>
      </w:r>
    </w:p>
    <w:p w14:paraId="4BD6FFFA">
      <w:pPr>
        <w:ind w:firstLine="482"/>
        <w:rPr>
          <w:rFonts w:ascii="宋体" w:hAnsi="宋体" w:eastAsia="宋体"/>
        </w:rPr>
      </w:pPr>
      <w:r>
        <w:rPr>
          <w:rFonts w:hint="eastAsia" w:ascii="宋体" w:hAnsi="宋体" w:eastAsia="宋体"/>
        </w:rPr>
        <w:t>（5）科室消耗可以手动消耗仓库里面的物资，并且能自动下库存，支持其他系统通过接口下库存，并且可以展示这些消耗单；支持扫码消耗、暂扣及自动清理暂扣。</w:t>
      </w:r>
    </w:p>
    <w:p w14:paraId="25F56C4C">
      <w:pPr>
        <w:ind w:firstLine="482"/>
        <w:rPr>
          <w:rFonts w:ascii="宋体" w:hAnsi="宋体" w:eastAsia="宋体"/>
        </w:rPr>
      </w:pPr>
      <w:r>
        <w:rPr>
          <w:rFonts w:hint="eastAsia" w:ascii="宋体" w:hAnsi="宋体" w:eastAsia="宋体"/>
        </w:rPr>
        <w:t>（6）科室入库查询可实现所有途径的入库到本仓库的单据。支持拒绝接收，拒收之后可以自动发送一条申请退的单据给来源仓库。能够直观显示单据是否接收，是否打印。</w:t>
      </w:r>
    </w:p>
    <w:p w14:paraId="05AE9C84">
      <w:pPr>
        <w:pStyle w:val="6"/>
      </w:pPr>
      <w:r>
        <w:rPr>
          <w:rFonts w:hint="eastAsia"/>
        </w:rPr>
        <w:t>固定资产管理</w:t>
      </w:r>
    </w:p>
    <w:p w14:paraId="54EF45AE">
      <w:pPr>
        <w:rPr>
          <w:rFonts w:ascii="宋体" w:hAnsi="宋体" w:eastAsia="宋体"/>
        </w:rPr>
      </w:pPr>
      <w:r>
        <w:rPr>
          <w:rFonts w:hint="eastAsia" w:ascii="宋体" w:hAnsi="宋体" w:eastAsia="宋体"/>
        </w:rPr>
        <w:t>（1）固定资产管理</w:t>
      </w:r>
    </w:p>
    <w:p w14:paraId="43AAB28D">
      <w:pPr>
        <w:ind w:firstLine="480"/>
        <w:rPr>
          <w:rFonts w:ascii="宋体" w:hAnsi="宋体" w:eastAsia="宋体"/>
        </w:rPr>
      </w:pPr>
      <w:r>
        <w:rPr>
          <w:rFonts w:hint="eastAsia" w:ascii="宋体" w:hAnsi="宋体" w:eastAsia="宋体"/>
        </w:rPr>
        <w:t>1）资产全生命周期：支持以固定资产为基础的购置申请、购置论证、购置计划、采购合同、验收、安装、入库、出库、调拨、移交、盘点、报废等全部相关单据的集成展示；</w:t>
      </w:r>
    </w:p>
    <w:p w14:paraId="063C4DCB">
      <w:pPr>
        <w:ind w:firstLine="480"/>
        <w:rPr>
          <w:rFonts w:ascii="宋体" w:hAnsi="宋体" w:eastAsia="宋体"/>
        </w:rPr>
      </w:pPr>
      <w:r>
        <w:rPr>
          <w:rFonts w:hint="eastAsia" w:ascii="宋体" w:hAnsi="宋体" w:eastAsia="宋体"/>
        </w:rPr>
        <w:t>2）资产盘点支持医院根据管理规划生成不同的盘点计划；盘点人员根据盘点计划对计划中的固定资产进行盘点；支持移动端扫码盘点；盘点过程中根据实际情况进行一键报修、一键生成调拨申请；管理人员对盘点结果进行审核及对院内历史盘点记录进行查询。</w:t>
      </w:r>
    </w:p>
    <w:p w14:paraId="12C5A3CB">
      <w:pPr>
        <w:ind w:firstLine="480"/>
        <w:rPr>
          <w:rFonts w:ascii="宋体" w:hAnsi="宋体" w:eastAsia="宋体"/>
        </w:rPr>
      </w:pPr>
      <w:r>
        <w:rPr>
          <w:rFonts w:hint="eastAsia" w:ascii="宋体" w:hAnsi="宋体" w:eastAsia="宋体"/>
        </w:rPr>
        <w:t>3）资产调拨支持医院根据科室实际使用情况对设备的使用科室进行调拨；对单个科室的多个固定资产进行批量调拨；管理人员能对调拨单进行审核及对院内历史调拨记录进行查询。</w:t>
      </w:r>
    </w:p>
    <w:p w14:paraId="53D860B9">
      <w:pPr>
        <w:ind w:firstLine="480"/>
        <w:rPr>
          <w:rFonts w:ascii="宋体" w:hAnsi="宋体" w:eastAsia="宋体"/>
        </w:rPr>
      </w:pPr>
      <w:r>
        <w:rPr>
          <w:rFonts w:hint="eastAsia" w:ascii="宋体" w:hAnsi="宋体" w:eastAsia="宋体"/>
        </w:rPr>
        <w:t>4）资产借用支持对科室临时借用的固定资产进行借用登记；对归还的固定资产进行归还登记；管理人员能对其他科室发起的借用申请进行审核及历史借用记录的查询；</w:t>
      </w:r>
    </w:p>
    <w:p w14:paraId="46936466">
      <w:pPr>
        <w:ind w:firstLine="480"/>
        <w:rPr>
          <w:rFonts w:ascii="宋体" w:hAnsi="宋体" w:eastAsia="宋体"/>
        </w:rPr>
      </w:pPr>
      <w:r>
        <w:rPr>
          <w:rFonts w:hint="eastAsia" w:ascii="宋体" w:hAnsi="宋体" w:eastAsia="宋体"/>
        </w:rPr>
        <w:t>5）资产移交支持对移交给合作机构或下级机构的固定资产进行移交登记；管理人员能对移交申请进行审核及对院内历史移交记录查询；</w:t>
      </w:r>
    </w:p>
    <w:p w14:paraId="678B3F9B">
      <w:pPr>
        <w:rPr>
          <w:rFonts w:ascii="宋体" w:hAnsi="宋体" w:eastAsia="宋体"/>
        </w:rPr>
      </w:pPr>
      <w:r>
        <w:rPr>
          <w:rFonts w:hint="eastAsia" w:ascii="宋体" w:hAnsi="宋体" w:eastAsia="宋体"/>
        </w:rPr>
        <w:t>（2）</w:t>
      </w:r>
      <w:r>
        <w:rPr>
          <w:rFonts w:ascii="宋体" w:hAnsi="宋体" w:eastAsia="宋体"/>
        </w:rPr>
        <w:t>库存管理</w:t>
      </w:r>
    </w:p>
    <w:p w14:paraId="78AF1448">
      <w:pPr>
        <w:ind w:firstLine="480"/>
        <w:rPr>
          <w:rFonts w:ascii="宋体" w:hAnsi="宋体" w:eastAsia="宋体"/>
        </w:rPr>
      </w:pPr>
      <w:r>
        <w:rPr>
          <w:rFonts w:ascii="宋体" w:hAnsi="宋体" w:eastAsia="宋体"/>
        </w:rPr>
        <w:t>1）入库管理支持采购入库、捐赠入库、置换入库、合同入库、移交入库等多种入库形式的入库单创建；在入库单中关联相关合同信息；在入库时通过文档上传形式将入库票据上传至系统存储；</w:t>
      </w:r>
    </w:p>
    <w:p w14:paraId="56391509">
      <w:pPr>
        <w:ind w:firstLine="480"/>
        <w:rPr>
          <w:rFonts w:ascii="宋体" w:hAnsi="宋体" w:eastAsia="宋体"/>
        </w:rPr>
      </w:pPr>
      <w:r>
        <w:rPr>
          <w:rFonts w:ascii="宋体" w:hAnsi="宋体" w:eastAsia="宋体"/>
        </w:rPr>
        <w:t>2）出库管理支持领用出库、捐赠出库等多种形式的出库单创建；支持单个、批量固定资产出库业务；支持在出库时通过文档上传的形式将出库票据上传至系统存储；</w:t>
      </w:r>
    </w:p>
    <w:p w14:paraId="39E4A63F">
      <w:pPr>
        <w:ind w:firstLine="480"/>
        <w:rPr>
          <w:rFonts w:ascii="宋体" w:hAnsi="宋体" w:eastAsia="宋体"/>
        </w:rPr>
      </w:pPr>
      <w:r>
        <w:rPr>
          <w:rFonts w:ascii="宋体" w:hAnsi="宋体" w:eastAsia="宋体"/>
        </w:rPr>
        <w:t>3）实时库存支持展示不同库房的实时库存情况；根据不同的筛选条件对库房中存储的不同固定资产进行查询；</w:t>
      </w:r>
    </w:p>
    <w:p w14:paraId="2FC0A9B5">
      <w:pPr>
        <w:rPr>
          <w:rFonts w:ascii="宋体" w:hAnsi="宋体" w:eastAsia="宋体"/>
        </w:rPr>
      </w:pPr>
      <w:r>
        <w:rPr>
          <w:rFonts w:hint="eastAsia" w:ascii="宋体" w:hAnsi="宋体" w:eastAsia="宋体"/>
        </w:rPr>
        <w:t>（3）</w:t>
      </w:r>
      <w:r>
        <w:rPr>
          <w:rFonts w:ascii="宋体" w:hAnsi="宋体" w:eastAsia="宋体"/>
        </w:rPr>
        <w:t>采购管理</w:t>
      </w:r>
    </w:p>
    <w:p w14:paraId="4261E1DA">
      <w:pPr>
        <w:ind w:firstLine="480"/>
        <w:rPr>
          <w:rFonts w:ascii="宋体" w:hAnsi="宋体" w:eastAsia="宋体"/>
        </w:rPr>
      </w:pPr>
      <w:r>
        <w:rPr>
          <w:rFonts w:ascii="宋体" w:hAnsi="宋体" w:eastAsia="宋体"/>
        </w:rPr>
        <w:t>1）采购申请支持科室自主创建提交科室采购申请；</w:t>
      </w:r>
      <w:r>
        <w:rPr>
          <w:rFonts w:hint="eastAsia" w:ascii="宋体" w:hAnsi="宋体" w:eastAsia="宋体"/>
        </w:rPr>
        <w:t>句别</w:t>
      </w:r>
      <w:r>
        <w:rPr>
          <w:rFonts w:ascii="宋体" w:hAnsi="宋体" w:eastAsia="宋体"/>
        </w:rPr>
        <w:t>采购申请单的编辑、作废；管理人员审核采购申请单；支持与医院OA系统审批流对接；</w:t>
      </w:r>
    </w:p>
    <w:p w14:paraId="1338F08F">
      <w:pPr>
        <w:ind w:firstLine="480"/>
        <w:rPr>
          <w:rFonts w:ascii="宋体" w:hAnsi="宋体" w:eastAsia="宋体"/>
        </w:rPr>
      </w:pPr>
      <w:r>
        <w:rPr>
          <w:rFonts w:ascii="宋体" w:hAnsi="宋体" w:eastAsia="宋体"/>
        </w:rPr>
        <w:t>2）购置论证支持医院根据自身管理要求自主设置购置论证的起始金额值；购置论证的编辑</w:t>
      </w:r>
      <w:r>
        <w:rPr>
          <w:rFonts w:hint="eastAsia" w:ascii="宋体" w:hAnsi="宋体" w:eastAsia="宋体"/>
        </w:rPr>
        <w:t>、文档打印</w:t>
      </w:r>
      <w:r>
        <w:rPr>
          <w:rFonts w:ascii="宋体" w:hAnsi="宋体" w:eastAsia="宋体"/>
        </w:rPr>
        <w:t>；录入资产管理委员会委员讨论意见；</w:t>
      </w:r>
      <w:r>
        <w:rPr>
          <w:rFonts w:hint="eastAsia" w:ascii="宋体" w:hAnsi="宋体" w:eastAsia="宋体"/>
        </w:rPr>
        <w:t>支持</w:t>
      </w:r>
      <w:r>
        <w:rPr>
          <w:rFonts w:ascii="宋体" w:hAnsi="宋体" w:eastAsia="宋体"/>
        </w:rPr>
        <w:t>与医院OA系统审批流对接；</w:t>
      </w:r>
    </w:p>
    <w:p w14:paraId="192B651C">
      <w:pPr>
        <w:ind w:firstLine="480"/>
        <w:rPr>
          <w:rFonts w:ascii="宋体" w:hAnsi="宋体" w:eastAsia="宋体"/>
        </w:rPr>
      </w:pPr>
      <w:r>
        <w:rPr>
          <w:rFonts w:ascii="宋体" w:hAnsi="宋体" w:eastAsia="宋体"/>
        </w:rPr>
        <w:t>3）采购合同创建、编辑、作废；支持在采购合同中设置不同的付款方式、付款比例；支持记录多次付款中每次的付款时间；通过文档上传形式将合同单据上传至系统存储；</w:t>
      </w:r>
    </w:p>
    <w:p w14:paraId="50CE7DAE">
      <w:pPr>
        <w:rPr>
          <w:rFonts w:ascii="宋体" w:hAnsi="宋体" w:eastAsia="宋体"/>
        </w:rPr>
      </w:pPr>
      <w:r>
        <w:rPr>
          <w:rFonts w:hint="eastAsia" w:ascii="宋体" w:hAnsi="宋体" w:eastAsia="宋体"/>
        </w:rPr>
        <w:t>（4）</w:t>
      </w:r>
      <w:r>
        <w:rPr>
          <w:rFonts w:ascii="宋体" w:hAnsi="宋体" w:eastAsia="宋体"/>
        </w:rPr>
        <w:t>财务管理</w:t>
      </w:r>
    </w:p>
    <w:p w14:paraId="513359F4">
      <w:pPr>
        <w:ind w:firstLine="480"/>
        <w:rPr>
          <w:rFonts w:ascii="宋体" w:hAnsi="宋体" w:eastAsia="宋体"/>
        </w:rPr>
      </w:pPr>
      <w:r>
        <w:rPr>
          <w:rFonts w:ascii="宋体" w:hAnsi="宋体" w:eastAsia="宋体"/>
        </w:rPr>
        <w:t>1）资产折旧支持根据资产入库时间和资产使用年限系统自动计算每个月的资产折旧情况；支持多个科室根据不同比例分摊每个月的资产折旧；</w:t>
      </w:r>
      <w:r>
        <w:rPr>
          <w:rFonts w:hint="eastAsia" w:ascii="宋体" w:hAnsi="宋体" w:eastAsia="宋体"/>
        </w:rPr>
        <w:t>能</w:t>
      </w:r>
      <w:r>
        <w:rPr>
          <w:rFonts w:ascii="宋体" w:hAnsi="宋体" w:eastAsia="宋体"/>
        </w:rPr>
        <w:t>手动补录资产历史折旧值；支持对某一固定资产的历史折旧明细进行查看；</w:t>
      </w:r>
    </w:p>
    <w:p w14:paraId="38805585">
      <w:pPr>
        <w:ind w:firstLine="480"/>
        <w:rPr>
          <w:rFonts w:ascii="宋体" w:hAnsi="宋体" w:eastAsia="宋体"/>
        </w:rPr>
      </w:pPr>
      <w:r>
        <w:rPr>
          <w:rFonts w:ascii="宋体" w:hAnsi="宋体" w:eastAsia="宋体"/>
        </w:rPr>
        <w:t>2）资产增值支持对价值产生变化的资产进行增值；支持增值后的资产按增值后的价值进行折旧；查看资产的历史增值记录和增值原因；</w:t>
      </w:r>
    </w:p>
    <w:p w14:paraId="6C68795E">
      <w:pPr>
        <w:ind w:firstLine="480"/>
        <w:rPr>
          <w:rFonts w:ascii="宋体" w:hAnsi="宋体" w:eastAsia="宋体"/>
        </w:rPr>
      </w:pPr>
      <w:r>
        <w:rPr>
          <w:rFonts w:hint="eastAsia" w:ascii="宋体" w:hAnsi="宋体" w:eastAsia="宋体"/>
        </w:rPr>
        <w:t>3）</w:t>
      </w:r>
      <w:r>
        <w:rPr>
          <w:rFonts w:ascii="宋体" w:hAnsi="宋体" w:eastAsia="宋体"/>
        </w:rPr>
        <w:t>资产报废对已达到使用年限的资产进行报废申请；支持对即将达到使用年限的额设备进行报废预警；对报废申请单的编辑、作废；</w:t>
      </w:r>
      <w:r>
        <w:rPr>
          <w:rFonts w:hint="eastAsia" w:ascii="宋体" w:hAnsi="宋体" w:eastAsia="宋体"/>
        </w:rPr>
        <w:t>能</w:t>
      </w:r>
      <w:r>
        <w:rPr>
          <w:rFonts w:ascii="宋体" w:hAnsi="宋体" w:eastAsia="宋体"/>
        </w:rPr>
        <w:t>管理科室审核报废申请；支持通过文档上传的形式将报废单据上传至系统存储；</w:t>
      </w:r>
      <w:r>
        <w:rPr>
          <w:rFonts w:hint="eastAsia" w:ascii="宋体" w:hAnsi="宋体" w:eastAsia="宋体"/>
        </w:rPr>
        <w:t>并</w:t>
      </w:r>
      <w:r>
        <w:rPr>
          <w:rFonts w:ascii="宋体" w:hAnsi="宋体" w:eastAsia="宋体"/>
        </w:rPr>
        <w:t>打印系统生成的报废单据；</w:t>
      </w:r>
    </w:p>
    <w:p w14:paraId="181C75B0">
      <w:pPr>
        <w:ind w:firstLine="480"/>
        <w:rPr>
          <w:rFonts w:ascii="宋体" w:hAnsi="宋体" w:eastAsia="宋体"/>
        </w:rPr>
      </w:pPr>
      <w:r>
        <w:rPr>
          <w:rFonts w:ascii="宋体" w:hAnsi="宋体" w:eastAsia="宋体"/>
        </w:rPr>
        <w:t>4）国资报废管理对已完成院内报废国资固定资产进行国资报废申请；支持管理人员审核国资报废申请；支持国资报废申请的编辑、作废；</w:t>
      </w:r>
    </w:p>
    <w:p w14:paraId="2ECBEC29">
      <w:pPr>
        <w:rPr>
          <w:rFonts w:ascii="宋体" w:hAnsi="宋体" w:eastAsia="宋体"/>
        </w:rPr>
      </w:pPr>
      <w:r>
        <w:rPr>
          <w:rFonts w:hint="eastAsia" w:ascii="宋体" w:hAnsi="宋体" w:eastAsia="宋体"/>
        </w:rPr>
        <w:t>（5）</w:t>
      </w:r>
      <w:r>
        <w:rPr>
          <w:rFonts w:ascii="宋体" w:hAnsi="宋体" w:eastAsia="宋体"/>
        </w:rPr>
        <w:t>档案管理</w:t>
      </w:r>
    </w:p>
    <w:p w14:paraId="54C4277E">
      <w:pPr>
        <w:ind w:firstLine="480"/>
        <w:rPr>
          <w:rFonts w:ascii="宋体" w:hAnsi="宋体" w:eastAsia="宋体"/>
        </w:rPr>
      </w:pPr>
      <w:r>
        <w:rPr>
          <w:rFonts w:ascii="宋体" w:hAnsi="宋体" w:eastAsia="宋体"/>
        </w:rPr>
        <w:t>根据不同文档类型进行固定资产档案管理；支持根据业务数据生成对应类型的资产档案；</w:t>
      </w:r>
      <w:r>
        <w:rPr>
          <w:rFonts w:hint="eastAsia" w:ascii="宋体" w:hAnsi="宋体" w:eastAsia="宋体"/>
        </w:rPr>
        <w:t>能</w:t>
      </w:r>
      <w:r>
        <w:rPr>
          <w:rFonts w:ascii="宋体" w:hAnsi="宋体" w:eastAsia="宋体"/>
        </w:rPr>
        <w:t>手动上传资产相关的档案信息至系统；</w:t>
      </w:r>
      <w:r>
        <w:rPr>
          <w:rFonts w:hint="eastAsia" w:ascii="宋体" w:hAnsi="宋体" w:eastAsia="宋体"/>
        </w:rPr>
        <w:t>提供</w:t>
      </w:r>
      <w:r>
        <w:rPr>
          <w:rFonts w:ascii="宋体" w:hAnsi="宋体" w:eastAsia="宋体"/>
        </w:rPr>
        <w:t>资产档案的下载；</w:t>
      </w:r>
    </w:p>
    <w:p w14:paraId="389FBBBE">
      <w:pPr>
        <w:rPr>
          <w:rFonts w:ascii="宋体" w:hAnsi="宋体" w:eastAsia="宋体"/>
        </w:rPr>
      </w:pPr>
      <w:r>
        <w:rPr>
          <w:rFonts w:hint="eastAsia" w:ascii="宋体" w:hAnsi="宋体" w:eastAsia="宋体"/>
        </w:rPr>
        <w:t>（6）</w:t>
      </w:r>
      <w:r>
        <w:rPr>
          <w:rFonts w:ascii="宋体" w:hAnsi="宋体" w:eastAsia="宋体"/>
        </w:rPr>
        <w:t>统计分析</w:t>
      </w:r>
      <w:r>
        <w:rPr>
          <w:rFonts w:hint="eastAsia" w:ascii="宋体" w:hAnsi="宋体" w:eastAsia="宋体"/>
        </w:rPr>
        <w:t>：</w:t>
      </w:r>
    </w:p>
    <w:p w14:paraId="02FD4098">
      <w:pPr>
        <w:ind w:firstLine="482"/>
        <w:rPr>
          <w:rFonts w:ascii="宋体" w:hAnsi="宋体" w:eastAsia="宋体"/>
          <w:b/>
          <w:bCs/>
        </w:rPr>
      </w:pPr>
      <w:r>
        <w:rPr>
          <w:rFonts w:ascii="宋体" w:hAnsi="宋体" w:eastAsia="宋体"/>
        </w:rPr>
        <w:t>依据国家标准要求生成基础报表；支持根据医院实际要求生成报表；支持通过驾驶舱、图表的形式展示部分重点、专项统计分析数据；</w:t>
      </w:r>
    </w:p>
    <w:p w14:paraId="1789F639">
      <w:pPr>
        <w:rPr>
          <w:rFonts w:ascii="宋体" w:hAnsi="宋体" w:eastAsia="宋体"/>
        </w:rPr>
      </w:pPr>
      <w:r>
        <w:rPr>
          <w:rFonts w:hint="eastAsia" w:ascii="宋体" w:hAnsi="宋体" w:eastAsia="宋体"/>
        </w:rPr>
        <w:t>（7）</w:t>
      </w:r>
      <w:r>
        <w:rPr>
          <w:rFonts w:ascii="宋体" w:hAnsi="宋体" w:eastAsia="宋体"/>
        </w:rPr>
        <w:t>基础</w:t>
      </w:r>
      <w:r>
        <w:rPr>
          <w:rFonts w:hint="eastAsia" w:ascii="宋体" w:hAnsi="宋体" w:eastAsia="宋体"/>
        </w:rPr>
        <w:t>信息管理</w:t>
      </w:r>
    </w:p>
    <w:p w14:paraId="5DCE7683">
      <w:pPr>
        <w:ind w:firstLine="480"/>
        <w:rPr>
          <w:rFonts w:ascii="宋体" w:hAnsi="宋体" w:eastAsia="宋体"/>
        </w:rPr>
      </w:pPr>
      <w:r>
        <w:rPr>
          <w:rFonts w:ascii="宋体" w:hAnsi="宋体" w:eastAsia="宋体"/>
        </w:rPr>
        <w:t>1）固定资产基础信息</w:t>
      </w:r>
      <w:r>
        <w:rPr>
          <w:rFonts w:hint="eastAsia" w:ascii="宋体" w:hAnsi="宋体" w:eastAsia="宋体"/>
        </w:rPr>
        <w:t>：</w:t>
      </w:r>
      <w:r>
        <w:rPr>
          <w:rFonts w:ascii="宋体" w:hAnsi="宋体" w:eastAsia="宋体"/>
        </w:rPr>
        <w:t>支持建立以资产名称、规格、型号、品牌、生产企业等资产目录，</w:t>
      </w:r>
      <w:r>
        <w:rPr>
          <w:rFonts w:hint="eastAsia" w:ascii="宋体" w:hAnsi="宋体" w:eastAsia="宋体"/>
        </w:rPr>
        <w:t>支持</w:t>
      </w:r>
      <w:r>
        <w:rPr>
          <w:rFonts w:ascii="宋体" w:hAnsi="宋体" w:eastAsia="宋体"/>
        </w:rPr>
        <w:t>录入方便操作</w:t>
      </w:r>
    </w:p>
    <w:p w14:paraId="16862E75">
      <w:pPr>
        <w:ind w:firstLine="480"/>
        <w:rPr>
          <w:rFonts w:ascii="宋体" w:hAnsi="宋体" w:eastAsia="宋体"/>
        </w:rPr>
      </w:pPr>
      <w:r>
        <w:rPr>
          <w:rFonts w:ascii="宋体" w:hAnsi="宋体" w:eastAsia="宋体"/>
        </w:rPr>
        <w:t>2）供应商信息管理支持对固定资产相关供应商进行基础信息管理；对固定资产供应商进行准入资质管理；</w:t>
      </w:r>
    </w:p>
    <w:p w14:paraId="1C175820">
      <w:pPr>
        <w:ind w:firstLine="480"/>
        <w:rPr>
          <w:rFonts w:ascii="宋体" w:hAnsi="宋体" w:eastAsia="宋体"/>
        </w:rPr>
      </w:pPr>
      <w:r>
        <w:rPr>
          <w:rFonts w:ascii="宋体" w:hAnsi="宋体" w:eastAsia="宋体"/>
        </w:rPr>
        <w:t>3）生产商信息管理对固定资产相关生产商进行基础信息管理；支持对固定资产生产商进行资质信息管理；</w:t>
      </w:r>
    </w:p>
    <w:p w14:paraId="7820DDB0">
      <w:pPr>
        <w:ind w:firstLine="480"/>
        <w:rPr>
          <w:rFonts w:ascii="宋体" w:hAnsi="宋体" w:eastAsia="宋体"/>
        </w:rPr>
      </w:pPr>
      <w:r>
        <w:rPr>
          <w:rFonts w:ascii="宋体" w:hAnsi="宋体" w:eastAsia="宋体"/>
        </w:rPr>
        <w:t>4）房屋建筑管理支持对院内房屋建筑进行基础信息进行新增、编辑、删除；支持对房屋建筑的相关单位进行管理；支持对系统中的房屋建筑文件进行上传、下载、预览；</w:t>
      </w:r>
    </w:p>
    <w:p w14:paraId="6A644897">
      <w:pPr>
        <w:pStyle w:val="6"/>
      </w:pPr>
      <w:r>
        <w:rPr>
          <w:rFonts w:hint="eastAsia"/>
        </w:rPr>
        <w:t>供应室追溯管理系统</w:t>
      </w:r>
    </w:p>
    <w:p w14:paraId="0884ED3F">
      <w:pPr>
        <w:rPr>
          <w:rFonts w:ascii="宋体" w:hAnsi="宋体" w:eastAsia="宋体"/>
        </w:rPr>
      </w:pPr>
      <w:r>
        <w:rPr>
          <w:rFonts w:hint="eastAsia" w:ascii="宋体" w:hAnsi="宋体" w:eastAsia="宋体"/>
        </w:rPr>
        <w:t>（1）消毒供应中心管理</w:t>
      </w:r>
    </w:p>
    <w:p w14:paraId="3E5491D9">
      <w:pPr>
        <w:ind w:firstLine="480"/>
        <w:rPr>
          <w:rFonts w:ascii="宋体" w:hAnsi="宋体" w:eastAsia="宋体"/>
        </w:rPr>
      </w:pPr>
      <w:r>
        <w:rPr>
          <w:rFonts w:hint="eastAsia" w:ascii="宋体" w:hAnsi="宋体" w:eastAsia="宋体"/>
        </w:rPr>
        <w:t>1）回收管理支持回收列表查询，可查看回收记录及回收流程包、流程包的流程信息等；通过扫描或输入流程包条码进行回收登记；显示器械列表，并可记录丢失的器械信息；回收时扫描或输入工人条码；支持外来器械接收管理，可做接收和拒收处理。</w:t>
      </w:r>
    </w:p>
    <w:p w14:paraId="5E8655F9">
      <w:pPr>
        <w:ind w:firstLine="480"/>
        <w:rPr>
          <w:rFonts w:ascii="宋体" w:hAnsi="宋体" w:eastAsia="宋体"/>
        </w:rPr>
      </w:pPr>
      <w:r>
        <w:rPr>
          <w:rFonts w:hint="eastAsia" w:ascii="宋体" w:hAnsi="宋体" w:eastAsia="宋体"/>
        </w:rPr>
        <w:t>2）清洗管理支持待清洗列表和已清洗列表查询；通过扫描或输入包条码进行清洗登记；可选择清洗设备与包进行关联；支持外来器械清洗登记。</w:t>
      </w:r>
    </w:p>
    <w:p w14:paraId="65231D2B">
      <w:pPr>
        <w:ind w:firstLine="480"/>
        <w:rPr>
          <w:rFonts w:ascii="宋体" w:hAnsi="宋体" w:eastAsia="宋体"/>
        </w:rPr>
      </w:pPr>
      <w:r>
        <w:rPr>
          <w:rFonts w:hint="eastAsia" w:ascii="宋体" w:hAnsi="宋体" w:eastAsia="宋体"/>
        </w:rPr>
        <w:t>3）配包管理支持对已清洗的器械进行配包；批量配包及配包审核。</w:t>
      </w:r>
    </w:p>
    <w:p w14:paraId="2ADC7F65">
      <w:pPr>
        <w:ind w:firstLine="480"/>
        <w:rPr>
          <w:rFonts w:ascii="宋体" w:hAnsi="宋体" w:eastAsia="宋体"/>
        </w:rPr>
      </w:pPr>
      <w:r>
        <w:rPr>
          <w:rFonts w:hint="eastAsia" w:ascii="宋体" w:hAnsi="宋体" w:eastAsia="宋体"/>
        </w:rPr>
        <w:t>4）灭菌管理支持对器械包进行灭菌记录；扫描条码进行登记。可选择灭菌设备和包进行绑定。可实现历史灭菌记录的查询。</w:t>
      </w:r>
    </w:p>
    <w:p w14:paraId="652B4EAE">
      <w:pPr>
        <w:ind w:firstLine="480"/>
        <w:rPr>
          <w:rFonts w:ascii="宋体" w:hAnsi="宋体" w:eastAsia="宋体"/>
        </w:rPr>
      </w:pPr>
      <w:r>
        <w:rPr>
          <w:rFonts w:hint="eastAsia" w:ascii="宋体" w:hAnsi="宋体" w:eastAsia="宋体"/>
        </w:rPr>
        <w:t>5）灭菌审核：支持高温灭菌审核。</w:t>
      </w:r>
    </w:p>
    <w:p w14:paraId="346DE03C">
      <w:pPr>
        <w:ind w:firstLine="480"/>
        <w:rPr>
          <w:rFonts w:ascii="宋体" w:hAnsi="宋体" w:eastAsia="宋体"/>
        </w:rPr>
      </w:pPr>
      <w:r>
        <w:rPr>
          <w:rFonts w:hint="eastAsia" w:ascii="宋体" w:hAnsi="宋体" w:eastAsia="宋体"/>
        </w:rPr>
        <w:t>6）发放管理支持对消毒包进行发放登记；支持输入或扫描包条码并记录发放科室、交接人员等信息；对历史发放记录进行查询，并显示消毒包状态。</w:t>
      </w:r>
    </w:p>
    <w:p w14:paraId="1FB62E81">
      <w:pPr>
        <w:ind w:firstLine="480"/>
        <w:rPr>
          <w:rFonts w:ascii="宋体" w:hAnsi="宋体" w:eastAsia="宋体"/>
        </w:rPr>
      </w:pPr>
      <w:r>
        <w:rPr>
          <w:rFonts w:hint="eastAsia" w:ascii="宋体" w:hAnsi="宋体" w:eastAsia="宋体"/>
        </w:rPr>
        <w:t>7）外来器械管理支持对外来器械进行登记管理，包括器械的新增、删除等；支持记录具体的使用病人及器械包的明细内容。</w:t>
      </w:r>
    </w:p>
    <w:p w14:paraId="32C28C42">
      <w:pPr>
        <w:rPr>
          <w:rFonts w:ascii="宋体" w:hAnsi="宋体" w:eastAsia="宋体"/>
        </w:rPr>
      </w:pPr>
      <w:r>
        <w:rPr>
          <w:rFonts w:hint="eastAsia" w:ascii="宋体" w:hAnsi="宋体" w:eastAsia="宋体"/>
        </w:rPr>
        <w:t>（2）</w:t>
      </w:r>
      <w:r>
        <w:rPr>
          <w:rFonts w:ascii="宋体" w:hAnsi="宋体" w:eastAsia="宋体"/>
        </w:rPr>
        <w:t>临床科室</w:t>
      </w:r>
      <w:r>
        <w:rPr>
          <w:rFonts w:hint="eastAsia" w:ascii="宋体" w:hAnsi="宋体" w:eastAsia="宋体"/>
        </w:rPr>
        <w:t>管理</w:t>
      </w:r>
    </w:p>
    <w:p w14:paraId="3C45DDD3">
      <w:pPr>
        <w:ind w:firstLine="480"/>
        <w:rPr>
          <w:rFonts w:ascii="宋体" w:hAnsi="宋体" w:eastAsia="宋体"/>
        </w:rPr>
      </w:pPr>
      <w:r>
        <w:rPr>
          <w:rFonts w:ascii="宋体" w:hAnsi="宋体" w:eastAsia="宋体"/>
        </w:rPr>
        <w:t>1）科室申领管理</w:t>
      </w:r>
      <w:r>
        <w:rPr>
          <w:rFonts w:hint="eastAsia" w:ascii="宋体" w:hAnsi="宋体" w:eastAsia="宋体"/>
        </w:rPr>
        <w:t>：</w:t>
      </w:r>
      <w:r>
        <w:rPr>
          <w:rFonts w:ascii="宋体" w:hAnsi="宋体" w:eastAsia="宋体"/>
        </w:rPr>
        <w:t>科室进行需要使用的消毒包进行申请</w:t>
      </w:r>
      <w:r>
        <w:rPr>
          <w:rFonts w:hint="eastAsia" w:ascii="宋体" w:hAnsi="宋体" w:eastAsia="宋体"/>
        </w:rPr>
        <w:t>，</w:t>
      </w:r>
      <w:r>
        <w:rPr>
          <w:rFonts w:ascii="宋体" w:hAnsi="宋体" w:eastAsia="宋体"/>
        </w:rPr>
        <w:t>申请科室进行消毒包及数量的填写</w:t>
      </w:r>
      <w:r>
        <w:rPr>
          <w:rFonts w:hint="eastAsia" w:ascii="宋体" w:hAnsi="宋体" w:eastAsia="宋体"/>
        </w:rPr>
        <w:t>，对</w:t>
      </w:r>
      <w:r>
        <w:rPr>
          <w:rFonts w:ascii="宋体" w:hAnsi="宋体" w:eastAsia="宋体"/>
        </w:rPr>
        <w:t>进行申请数量、回收数量、发放数量、状态等的查询。</w:t>
      </w:r>
    </w:p>
    <w:p w14:paraId="56ED80A4">
      <w:pPr>
        <w:ind w:firstLine="480"/>
        <w:rPr>
          <w:rFonts w:ascii="宋体" w:hAnsi="宋体" w:eastAsia="宋体"/>
        </w:rPr>
      </w:pPr>
      <w:r>
        <w:rPr>
          <w:rFonts w:ascii="宋体" w:hAnsi="宋体" w:eastAsia="宋体"/>
        </w:rPr>
        <w:t>2）科室接收确认</w:t>
      </w:r>
      <w:r>
        <w:rPr>
          <w:rFonts w:hint="eastAsia" w:ascii="宋体" w:hAnsi="宋体" w:eastAsia="宋体"/>
        </w:rPr>
        <w:t>，</w:t>
      </w:r>
      <w:r>
        <w:rPr>
          <w:rFonts w:ascii="宋体" w:hAnsi="宋体" w:eastAsia="宋体"/>
        </w:rPr>
        <w:t>接收确认记录具体的包信息、包数量以及交接人信息。</w:t>
      </w:r>
    </w:p>
    <w:p w14:paraId="165382C6">
      <w:pPr>
        <w:ind w:firstLine="480"/>
        <w:rPr>
          <w:rFonts w:ascii="宋体" w:hAnsi="宋体" w:eastAsia="宋体"/>
        </w:rPr>
      </w:pPr>
      <w:r>
        <w:rPr>
          <w:rFonts w:ascii="宋体" w:hAnsi="宋体" w:eastAsia="宋体"/>
        </w:rPr>
        <w:t>3）无菌包使用</w:t>
      </w:r>
      <w:r>
        <w:rPr>
          <w:rFonts w:hint="eastAsia" w:ascii="宋体" w:hAnsi="宋体" w:eastAsia="宋体"/>
        </w:rPr>
        <w:t>支持</w:t>
      </w:r>
      <w:r>
        <w:rPr>
          <w:rFonts w:ascii="宋体" w:hAnsi="宋体" w:eastAsia="宋体"/>
        </w:rPr>
        <w:t>科室进行消毒包使用的记录</w:t>
      </w:r>
      <w:r>
        <w:rPr>
          <w:rFonts w:hint="eastAsia" w:ascii="宋体" w:hAnsi="宋体" w:eastAsia="宋体"/>
        </w:rPr>
        <w:t>；</w:t>
      </w:r>
      <w:r>
        <w:rPr>
          <w:rFonts w:ascii="宋体" w:hAnsi="宋体" w:eastAsia="宋体"/>
        </w:rPr>
        <w:t>支持扫描包条码和住院号进行消毒包和使用病人的绑定</w:t>
      </w:r>
      <w:r>
        <w:rPr>
          <w:rFonts w:hint="eastAsia" w:ascii="宋体" w:hAnsi="宋体" w:eastAsia="宋体"/>
        </w:rPr>
        <w:t>；</w:t>
      </w:r>
      <w:r>
        <w:rPr>
          <w:rFonts w:ascii="宋体" w:hAnsi="宋体" w:eastAsia="宋体"/>
        </w:rPr>
        <w:t>支持显示包信息及包配置明细内容。</w:t>
      </w:r>
    </w:p>
    <w:p w14:paraId="0862B170">
      <w:pPr>
        <w:rPr>
          <w:rFonts w:ascii="宋体" w:hAnsi="宋体" w:eastAsia="宋体"/>
        </w:rPr>
      </w:pPr>
      <w:r>
        <w:rPr>
          <w:rFonts w:hint="eastAsia" w:ascii="宋体" w:hAnsi="宋体" w:eastAsia="宋体"/>
        </w:rPr>
        <w:t>（3）</w:t>
      </w:r>
      <w:r>
        <w:rPr>
          <w:rFonts w:ascii="宋体" w:hAnsi="宋体" w:eastAsia="宋体"/>
        </w:rPr>
        <w:t>追溯管理</w:t>
      </w:r>
    </w:p>
    <w:p w14:paraId="40D7032C">
      <w:pPr>
        <w:ind w:firstLine="480"/>
        <w:rPr>
          <w:rFonts w:ascii="宋体" w:hAnsi="宋体" w:eastAsia="宋体"/>
        </w:rPr>
      </w:pPr>
      <w:r>
        <w:rPr>
          <w:rFonts w:ascii="宋体" w:hAnsi="宋体" w:eastAsia="宋体"/>
        </w:rPr>
        <w:t>1）包追溯</w:t>
      </w:r>
      <w:r>
        <w:rPr>
          <w:rFonts w:hint="eastAsia" w:ascii="宋体" w:hAnsi="宋体" w:eastAsia="宋体"/>
        </w:rPr>
        <w:t>支持</w:t>
      </w:r>
      <w:r>
        <w:rPr>
          <w:rFonts w:ascii="宋体" w:hAnsi="宋体" w:eastAsia="宋体"/>
        </w:rPr>
        <w:t>对器械包进行追溯查询</w:t>
      </w:r>
      <w:r>
        <w:rPr>
          <w:rFonts w:hint="eastAsia" w:ascii="宋体" w:hAnsi="宋体" w:eastAsia="宋体"/>
        </w:rPr>
        <w:t>，</w:t>
      </w:r>
      <w:r>
        <w:rPr>
          <w:rFonts w:ascii="宋体" w:hAnsi="宋体" w:eastAsia="宋体"/>
        </w:rPr>
        <w:t>持输入包条码进行查询</w:t>
      </w:r>
      <w:r>
        <w:rPr>
          <w:rFonts w:hint="eastAsia" w:ascii="宋体" w:hAnsi="宋体" w:eastAsia="宋体"/>
        </w:rPr>
        <w:t>，可</w:t>
      </w:r>
      <w:r>
        <w:rPr>
          <w:rFonts w:ascii="宋体" w:hAnsi="宋体" w:eastAsia="宋体"/>
        </w:rPr>
        <w:t>查看包详情、物资信息、设备信息以及包使用流程。</w:t>
      </w:r>
    </w:p>
    <w:p w14:paraId="3967D1B5">
      <w:pPr>
        <w:ind w:firstLine="480"/>
        <w:rPr>
          <w:rFonts w:ascii="宋体" w:hAnsi="宋体" w:eastAsia="宋体"/>
        </w:rPr>
      </w:pPr>
      <w:r>
        <w:rPr>
          <w:rFonts w:ascii="宋体" w:hAnsi="宋体" w:eastAsia="宋体"/>
        </w:rPr>
        <w:t>2）患者信息追溯</w:t>
      </w:r>
      <w:r>
        <w:rPr>
          <w:rFonts w:hint="eastAsia" w:ascii="宋体" w:hAnsi="宋体" w:eastAsia="宋体"/>
        </w:rPr>
        <w:t>支持</w:t>
      </w:r>
      <w:r>
        <w:rPr>
          <w:rFonts w:ascii="宋体" w:hAnsi="宋体" w:eastAsia="宋体"/>
        </w:rPr>
        <w:t>对患者使用的器械包信息进行查询</w:t>
      </w:r>
      <w:r>
        <w:rPr>
          <w:rFonts w:hint="eastAsia" w:ascii="宋体" w:hAnsi="宋体" w:eastAsia="宋体"/>
        </w:rPr>
        <w:t>，</w:t>
      </w:r>
      <w:r>
        <w:rPr>
          <w:rFonts w:ascii="宋体" w:hAnsi="宋体" w:eastAsia="宋体"/>
        </w:rPr>
        <w:t>支持按时间段、门诊号、住院号、患者姓名进行查询</w:t>
      </w:r>
      <w:r>
        <w:rPr>
          <w:rFonts w:hint="eastAsia" w:ascii="宋体" w:hAnsi="宋体" w:eastAsia="宋体"/>
        </w:rPr>
        <w:t>；</w:t>
      </w:r>
      <w:r>
        <w:rPr>
          <w:rFonts w:ascii="宋体" w:hAnsi="宋体" w:eastAsia="宋体"/>
        </w:rPr>
        <w:t>支持查看每一个包的使用全流程信息。</w:t>
      </w:r>
    </w:p>
    <w:p w14:paraId="4DEF7B35">
      <w:pPr>
        <w:ind w:firstLine="480"/>
        <w:rPr>
          <w:rFonts w:ascii="宋体" w:hAnsi="宋体" w:eastAsia="宋体"/>
        </w:rPr>
      </w:pPr>
      <w:r>
        <w:rPr>
          <w:rFonts w:ascii="宋体" w:hAnsi="宋体" w:eastAsia="宋体"/>
        </w:rPr>
        <w:t>3）设备追溯对消毒供应设备进行追溯查询</w:t>
      </w:r>
      <w:r>
        <w:rPr>
          <w:rFonts w:hint="eastAsia" w:ascii="宋体" w:hAnsi="宋体" w:eastAsia="宋体"/>
        </w:rPr>
        <w:t>，</w:t>
      </w:r>
      <w:r>
        <w:rPr>
          <w:rFonts w:ascii="宋体" w:hAnsi="宋体" w:eastAsia="宋体"/>
        </w:rPr>
        <w:t>可查看设备的使用情况</w:t>
      </w:r>
      <w:r>
        <w:rPr>
          <w:rFonts w:hint="eastAsia" w:ascii="宋体" w:hAnsi="宋体" w:eastAsia="宋体"/>
        </w:rPr>
        <w:t>；</w:t>
      </w:r>
      <w:r>
        <w:rPr>
          <w:rFonts w:ascii="宋体" w:hAnsi="宋体" w:eastAsia="宋体"/>
        </w:rPr>
        <w:t>可查看设备对应的锅次包信息</w:t>
      </w:r>
      <w:r>
        <w:rPr>
          <w:rFonts w:hint="eastAsia" w:ascii="宋体" w:hAnsi="宋体" w:eastAsia="宋体"/>
        </w:rPr>
        <w:t>；</w:t>
      </w:r>
      <w:r>
        <w:rPr>
          <w:rFonts w:ascii="宋体" w:hAnsi="宋体" w:eastAsia="宋体"/>
        </w:rPr>
        <w:t>可查看设备的温度气压曲线图。</w:t>
      </w:r>
    </w:p>
    <w:p w14:paraId="41B0C314">
      <w:pPr>
        <w:ind w:firstLine="480"/>
        <w:rPr>
          <w:rFonts w:ascii="宋体" w:hAnsi="宋体" w:eastAsia="宋体"/>
        </w:rPr>
      </w:pPr>
      <w:r>
        <w:rPr>
          <w:rFonts w:ascii="宋体" w:hAnsi="宋体" w:eastAsia="宋体"/>
        </w:rPr>
        <w:t>4）器械追溯</w:t>
      </w:r>
      <w:r>
        <w:rPr>
          <w:rFonts w:hint="eastAsia" w:ascii="宋体" w:hAnsi="宋体" w:eastAsia="宋体"/>
        </w:rPr>
        <w:t>支持</w:t>
      </w:r>
      <w:r>
        <w:rPr>
          <w:rFonts w:ascii="宋体" w:hAnsi="宋体" w:eastAsia="宋体"/>
        </w:rPr>
        <w:t>对器械进行追溯查询</w:t>
      </w:r>
      <w:r>
        <w:rPr>
          <w:rFonts w:hint="eastAsia" w:ascii="宋体" w:hAnsi="宋体" w:eastAsia="宋体"/>
        </w:rPr>
        <w:t>，</w:t>
      </w:r>
      <w:r>
        <w:rPr>
          <w:rFonts w:ascii="宋体" w:hAnsi="宋体" w:eastAsia="宋体"/>
        </w:rPr>
        <w:t>可查看当前的器械包及所属科室、状态等信息</w:t>
      </w:r>
      <w:r>
        <w:rPr>
          <w:rFonts w:hint="eastAsia" w:ascii="宋体" w:hAnsi="宋体" w:eastAsia="宋体"/>
        </w:rPr>
        <w:t>；</w:t>
      </w:r>
      <w:r>
        <w:rPr>
          <w:rFonts w:ascii="宋体" w:hAnsi="宋体" w:eastAsia="宋体"/>
        </w:rPr>
        <w:t>支持按时间段查询，输入器械名称进行查询</w:t>
      </w:r>
      <w:r>
        <w:rPr>
          <w:rFonts w:hint="eastAsia" w:ascii="宋体" w:hAnsi="宋体" w:eastAsia="宋体"/>
        </w:rPr>
        <w:t>；</w:t>
      </w:r>
      <w:r>
        <w:rPr>
          <w:rFonts w:ascii="宋体" w:hAnsi="宋体" w:eastAsia="宋体"/>
        </w:rPr>
        <w:t>支持查看器械包的详情信息。</w:t>
      </w:r>
    </w:p>
    <w:p w14:paraId="28E4DFCA">
      <w:pPr>
        <w:ind w:firstLine="480"/>
        <w:rPr>
          <w:rFonts w:ascii="宋体" w:hAnsi="宋体" w:eastAsia="宋体"/>
        </w:rPr>
      </w:pPr>
      <w:r>
        <w:rPr>
          <w:rFonts w:ascii="宋体" w:hAnsi="宋体" w:eastAsia="宋体"/>
        </w:rPr>
        <w:t>5）质量管理</w:t>
      </w:r>
      <w:r>
        <w:rPr>
          <w:rFonts w:hint="eastAsia" w:ascii="宋体" w:hAnsi="宋体" w:eastAsia="宋体"/>
        </w:rPr>
        <w:t>支持</w:t>
      </w:r>
      <w:r>
        <w:rPr>
          <w:rFonts w:ascii="宋体" w:hAnsi="宋体" w:eastAsia="宋体"/>
        </w:rPr>
        <w:t>器械清洗质量检查记录表</w:t>
      </w:r>
      <w:r>
        <w:rPr>
          <w:rFonts w:hint="eastAsia" w:ascii="宋体" w:hAnsi="宋体" w:eastAsia="宋体"/>
        </w:rPr>
        <w:t>；支持</w:t>
      </w:r>
      <w:r>
        <w:rPr>
          <w:rFonts w:ascii="宋体" w:hAnsi="宋体" w:eastAsia="宋体"/>
        </w:rPr>
        <w:t>外来器械清洗及包装质量监测记录</w:t>
      </w:r>
      <w:r>
        <w:rPr>
          <w:rFonts w:hint="eastAsia" w:ascii="宋体" w:hAnsi="宋体" w:eastAsia="宋体"/>
        </w:rPr>
        <w:t>；支持</w:t>
      </w:r>
      <w:r>
        <w:rPr>
          <w:rFonts w:ascii="宋体" w:hAnsi="宋体" w:eastAsia="宋体"/>
        </w:rPr>
        <w:t>高压灭菌设备安全检查及清洁记录</w:t>
      </w:r>
      <w:r>
        <w:rPr>
          <w:rFonts w:hint="eastAsia" w:ascii="宋体" w:hAnsi="宋体" w:eastAsia="宋体"/>
        </w:rPr>
        <w:t>，并提供</w:t>
      </w:r>
      <w:r>
        <w:rPr>
          <w:rFonts w:ascii="宋体" w:hAnsi="宋体" w:eastAsia="宋体"/>
        </w:rPr>
        <w:t>包装质量记录表。</w:t>
      </w:r>
    </w:p>
    <w:p w14:paraId="68B6CA7F">
      <w:pPr>
        <w:rPr>
          <w:rFonts w:ascii="宋体" w:hAnsi="宋体" w:eastAsia="宋体"/>
        </w:rPr>
      </w:pPr>
      <w:r>
        <w:rPr>
          <w:rFonts w:hint="eastAsia" w:ascii="宋体" w:hAnsi="宋体" w:eastAsia="宋体"/>
        </w:rPr>
        <w:t>（4）</w:t>
      </w:r>
      <w:r>
        <w:rPr>
          <w:rFonts w:ascii="宋体" w:hAnsi="宋体" w:eastAsia="宋体"/>
        </w:rPr>
        <w:t>基础信息</w:t>
      </w:r>
      <w:r>
        <w:rPr>
          <w:rFonts w:hint="eastAsia" w:ascii="宋体" w:hAnsi="宋体" w:eastAsia="宋体"/>
        </w:rPr>
        <w:t>管理</w:t>
      </w:r>
    </w:p>
    <w:p w14:paraId="5900B784">
      <w:pPr>
        <w:ind w:firstLine="480"/>
        <w:rPr>
          <w:rFonts w:ascii="宋体" w:hAnsi="宋体" w:eastAsia="宋体"/>
        </w:rPr>
      </w:pPr>
      <w:r>
        <w:rPr>
          <w:rFonts w:hint="eastAsia" w:ascii="宋体" w:hAnsi="宋体" w:eastAsia="宋体"/>
        </w:rPr>
        <w:t>提供</w:t>
      </w:r>
      <w:r>
        <w:rPr>
          <w:rFonts w:ascii="宋体" w:hAnsi="宋体" w:eastAsia="宋体"/>
        </w:rPr>
        <w:t>包基础信息维护</w:t>
      </w:r>
      <w:r>
        <w:rPr>
          <w:rFonts w:hint="eastAsia" w:ascii="宋体" w:hAnsi="宋体" w:eastAsia="宋体"/>
        </w:rPr>
        <w:t>、</w:t>
      </w:r>
      <w:r>
        <w:rPr>
          <w:rFonts w:ascii="宋体" w:hAnsi="宋体" w:eastAsia="宋体"/>
        </w:rPr>
        <w:t>包有效期设置</w:t>
      </w:r>
      <w:r>
        <w:rPr>
          <w:rFonts w:hint="eastAsia" w:ascii="宋体" w:hAnsi="宋体" w:eastAsia="宋体"/>
        </w:rPr>
        <w:t>、</w:t>
      </w:r>
      <w:r>
        <w:rPr>
          <w:rFonts w:ascii="宋体" w:hAnsi="宋体" w:eastAsia="宋体"/>
        </w:rPr>
        <w:t>设备信息维护</w:t>
      </w:r>
      <w:r>
        <w:rPr>
          <w:rFonts w:hint="eastAsia" w:ascii="宋体" w:hAnsi="宋体" w:eastAsia="宋体"/>
        </w:rPr>
        <w:t>、</w:t>
      </w:r>
      <w:r>
        <w:rPr>
          <w:rFonts w:ascii="宋体" w:hAnsi="宋体" w:eastAsia="宋体"/>
        </w:rPr>
        <w:t>器械信息维护</w:t>
      </w:r>
    </w:p>
    <w:p w14:paraId="7E182FAA">
      <w:pPr>
        <w:pStyle w:val="6"/>
      </w:pPr>
      <w:r>
        <w:rPr>
          <w:rFonts w:hint="eastAsia"/>
        </w:rPr>
        <w:t>医院绩效管理系统</w:t>
      </w:r>
    </w:p>
    <w:p w14:paraId="3849A200">
      <w:pPr>
        <w:ind w:firstLine="480"/>
        <w:rPr>
          <w:rFonts w:ascii="宋体" w:hAnsi="宋体" w:eastAsia="宋体"/>
        </w:rPr>
      </w:pPr>
      <w:r>
        <w:rPr>
          <w:rFonts w:hint="eastAsia" w:ascii="宋体" w:hAnsi="宋体" w:eastAsia="宋体"/>
        </w:rPr>
        <w:t>（1）绩效考核科室管理须与医院的HIS系统业务科室与人事管理中的组织结构无缝衔接，使多个HIS科室的业务数据汇集到一个组织结构里，并且能够根据组织结构划分考核类型，不同的科室类型可以执行不同的考核规则。</w:t>
      </w:r>
    </w:p>
    <w:p w14:paraId="7A65E486">
      <w:pPr>
        <w:ind w:firstLine="480"/>
        <w:rPr>
          <w:rFonts w:ascii="宋体" w:hAnsi="宋体" w:eastAsia="宋体"/>
        </w:rPr>
      </w:pPr>
      <w:r>
        <w:rPr>
          <w:rFonts w:hint="eastAsia" w:ascii="宋体" w:hAnsi="宋体" w:eastAsia="宋体"/>
        </w:rPr>
        <w:t>（2）绩效人员考核管理须与HIS系统同步人员信息完成绩效计算。</w:t>
      </w:r>
    </w:p>
    <w:p w14:paraId="08D57FB9">
      <w:pPr>
        <w:ind w:firstLine="480"/>
        <w:rPr>
          <w:rFonts w:ascii="宋体" w:hAnsi="宋体" w:eastAsia="宋体"/>
        </w:rPr>
      </w:pPr>
      <w:r>
        <w:rPr>
          <w:rFonts w:hint="eastAsia" w:ascii="宋体" w:hAnsi="宋体" w:eastAsia="宋体"/>
        </w:rPr>
        <w:t>（3）绩效岗位管理：完善各个组织结构的岗位信息包括岗位系数和强度系数等，可支持复制。</w:t>
      </w:r>
    </w:p>
    <w:p w14:paraId="5CA3EFC6">
      <w:pPr>
        <w:ind w:firstLine="480"/>
        <w:rPr>
          <w:rFonts w:ascii="宋体" w:hAnsi="宋体" w:eastAsia="宋体"/>
        </w:rPr>
      </w:pPr>
      <w:r>
        <w:rPr>
          <w:rFonts w:hint="eastAsia" w:ascii="宋体" w:hAnsi="宋体" w:eastAsia="宋体"/>
        </w:rPr>
        <w:t>（4）绩效指标管理：建立医院所需要的所有指标库，可按照人或者科室来区分指标，自动提取指标值，提供绩效计算和分析。</w:t>
      </w:r>
    </w:p>
    <w:p w14:paraId="1786D92D">
      <w:pPr>
        <w:ind w:firstLine="480"/>
        <w:rPr>
          <w:rFonts w:ascii="宋体" w:hAnsi="宋体" w:eastAsia="宋体"/>
        </w:rPr>
      </w:pPr>
      <w:r>
        <w:rPr>
          <w:rFonts w:hint="eastAsia" w:ascii="宋体" w:hAnsi="宋体" w:eastAsia="宋体"/>
        </w:rPr>
        <w:t>（6）考核任务管理：可自行配置根据指标配置奖金分配的方案，支持不同的考核类型配置不同的奖金分配方案，支持按科室，按人员类型配置不同的奖金分配方案。</w:t>
      </w:r>
    </w:p>
    <w:p w14:paraId="709BDF77">
      <w:pPr>
        <w:ind w:firstLine="480"/>
        <w:rPr>
          <w:rFonts w:ascii="宋体" w:hAnsi="宋体" w:eastAsia="宋体"/>
        </w:rPr>
      </w:pPr>
      <w:r>
        <w:rPr>
          <w:rFonts w:hint="eastAsia" w:ascii="宋体" w:hAnsi="宋体" w:eastAsia="宋体"/>
        </w:rPr>
        <w:t>（7）绩效排班管理：可以灵活配置各种排班信息，给每一个班次分配不同的分值或者金额。能根据考勤排班来自动计算各个科室或者个人的奖金。同时支持批量排班和排班复制上一周。</w:t>
      </w:r>
    </w:p>
    <w:p w14:paraId="347C75D8">
      <w:pPr>
        <w:ind w:firstLine="480"/>
        <w:rPr>
          <w:rFonts w:ascii="宋体" w:hAnsi="宋体" w:eastAsia="宋体"/>
        </w:rPr>
      </w:pPr>
      <w:r>
        <w:rPr>
          <w:rFonts w:hint="eastAsia" w:ascii="宋体" w:hAnsi="宋体" w:eastAsia="宋体"/>
        </w:rPr>
        <w:t>（8）绩效扣分管理：可自定义维护打分规则，记录各科室或者各人员的打分规则，分值，金额，打分描述等内容，同时支持意见反馈，下级科室可以针对打分提出申诉。能结合绩效系统任务，融入考核方案，实现绩效一体化。</w:t>
      </w:r>
    </w:p>
    <w:p w14:paraId="6F42FBE3">
      <w:pPr>
        <w:ind w:firstLine="480"/>
        <w:rPr>
          <w:rFonts w:ascii="宋体" w:hAnsi="宋体" w:eastAsia="宋体"/>
        </w:rPr>
      </w:pPr>
      <w:r>
        <w:rPr>
          <w:rFonts w:hint="eastAsia" w:ascii="宋体" w:hAnsi="宋体" w:eastAsia="宋体"/>
        </w:rPr>
        <w:t>（9）绩效报表查询：支持查询打分值，加扣金额等扣分模块汇总明细查询。支持查询各科室或者各人员的绩效结果。</w:t>
      </w:r>
    </w:p>
    <w:p w14:paraId="01EB6804">
      <w:pPr>
        <w:ind w:firstLine="480"/>
        <w:rPr>
          <w:rFonts w:ascii="宋体" w:hAnsi="宋体" w:eastAsia="宋体"/>
        </w:rPr>
      </w:pPr>
      <w:r>
        <w:rPr>
          <w:rFonts w:hint="eastAsia" w:ascii="宋体" w:hAnsi="宋体" w:eastAsia="宋体"/>
        </w:rPr>
        <w:t>（10）投标人须配合医院绩效方案改革提供咨询服务，并能根据医院合理要求进行必要的定制开发及绩效方案定制服务，要求投标人具有自主知识产权，提供软件著作权证书。</w:t>
      </w:r>
    </w:p>
    <w:p w14:paraId="43C8355D">
      <w:pPr>
        <w:pStyle w:val="6"/>
      </w:pPr>
      <w:r>
        <w:rPr>
          <w:rFonts w:hint="eastAsia"/>
        </w:rPr>
        <w:t>药库管理系统</w:t>
      </w:r>
    </w:p>
    <w:p w14:paraId="2CF19E44">
      <w:pPr>
        <w:ind w:firstLine="420" w:firstLineChars="200"/>
      </w:pPr>
      <w:r>
        <w:rPr>
          <w:rFonts w:hint="eastAsia"/>
        </w:rPr>
        <w:t>整体功能要求如下，并根据医保平台药品追溯码接入要求进行相应改造。</w:t>
      </w:r>
    </w:p>
    <w:p w14:paraId="1ABC66CF">
      <w:pPr>
        <w:rPr>
          <w:rFonts w:ascii="宋体" w:hAnsi="宋体" w:eastAsia="宋体"/>
        </w:rPr>
      </w:pPr>
      <w:r>
        <w:rPr>
          <w:rFonts w:hint="eastAsia" w:ascii="宋体" w:hAnsi="宋体" w:eastAsia="宋体"/>
        </w:rPr>
        <w:t>（1）基础信息管理</w:t>
      </w:r>
    </w:p>
    <w:p w14:paraId="6D64EF0E">
      <w:pPr>
        <w:ind w:firstLine="480"/>
        <w:rPr>
          <w:rFonts w:ascii="宋体" w:hAnsi="宋体" w:eastAsia="宋体"/>
        </w:rPr>
      </w:pPr>
      <w:r>
        <w:rPr>
          <w:rFonts w:hint="eastAsia" w:ascii="宋体" w:hAnsi="宋体" w:eastAsia="宋体"/>
        </w:rPr>
        <w:t>1）药品字典管理支持对药品信息进行维护，包括药品名称、药品规格、药品编码等。对药品注册信息进行新增、删除。能查看药品价格，批准注册，用药途径，参保信息，库存信息等。</w:t>
      </w:r>
    </w:p>
    <w:p w14:paraId="36493F8D">
      <w:pPr>
        <w:ind w:firstLine="480"/>
        <w:rPr>
          <w:rFonts w:ascii="宋体" w:hAnsi="宋体" w:eastAsia="宋体"/>
        </w:rPr>
      </w:pPr>
      <w:r>
        <w:rPr>
          <w:rFonts w:hint="eastAsia" w:ascii="宋体" w:hAnsi="宋体" w:eastAsia="宋体"/>
        </w:rPr>
        <w:t>2）药品批准注册支持维护药品与生产厂家的关系，包含生产企业、批准文号、本位码等信息。</w:t>
      </w:r>
    </w:p>
    <w:p w14:paraId="475427BC">
      <w:pPr>
        <w:ind w:firstLine="480"/>
        <w:rPr>
          <w:rFonts w:ascii="宋体" w:hAnsi="宋体" w:eastAsia="宋体"/>
        </w:rPr>
      </w:pPr>
      <w:r>
        <w:rPr>
          <w:rFonts w:hint="eastAsia" w:ascii="宋体" w:hAnsi="宋体" w:eastAsia="宋体"/>
        </w:rPr>
        <w:t>3）药品价格支持维护药品的价格信息，包括进价、售价、招标方式等信息。</w:t>
      </w:r>
    </w:p>
    <w:p w14:paraId="1468CA17">
      <w:pPr>
        <w:ind w:firstLine="480"/>
        <w:rPr>
          <w:rFonts w:ascii="宋体" w:hAnsi="宋体" w:eastAsia="宋体"/>
        </w:rPr>
      </w:pPr>
      <w:r>
        <w:rPr>
          <w:rFonts w:hint="eastAsia" w:ascii="宋体" w:hAnsi="宋体" w:eastAsia="宋体"/>
        </w:rPr>
        <w:t>4）药品存量管理持设置药品的存量上下限及是否开展使用；设置是否允许该药品在门诊住院出现负库存；不同状态用不同颜色显示。</w:t>
      </w:r>
    </w:p>
    <w:p w14:paraId="42EF0EF6">
      <w:pPr>
        <w:ind w:firstLine="480"/>
        <w:rPr>
          <w:rFonts w:ascii="宋体" w:hAnsi="宋体" w:eastAsia="宋体"/>
        </w:rPr>
      </w:pPr>
      <w:r>
        <w:rPr>
          <w:rFonts w:hint="eastAsia" w:ascii="宋体" w:hAnsi="宋体" w:eastAsia="宋体"/>
        </w:rPr>
        <w:t>5）生产企业管理支持维护药品的生产企业信息，包括生产企业的详细信息及法定代表人等。</w:t>
      </w:r>
    </w:p>
    <w:p w14:paraId="4DB37995">
      <w:pPr>
        <w:ind w:firstLine="480"/>
        <w:rPr>
          <w:rFonts w:ascii="宋体" w:hAnsi="宋体" w:eastAsia="宋体"/>
        </w:rPr>
      </w:pPr>
      <w:r>
        <w:rPr>
          <w:rFonts w:hint="eastAsia" w:ascii="宋体" w:hAnsi="宋体" w:eastAsia="宋体"/>
        </w:rPr>
        <w:t>6）供应商管理支持维护药品的供应商信息，包含名称代码和各种认证信息等，启用和停用对应供应商。</w:t>
      </w:r>
    </w:p>
    <w:p w14:paraId="2A49E1D7">
      <w:pPr>
        <w:ind w:firstLine="480"/>
        <w:rPr>
          <w:rFonts w:ascii="宋体" w:hAnsi="宋体" w:eastAsia="宋体"/>
        </w:rPr>
      </w:pPr>
      <w:r>
        <w:rPr>
          <w:rFonts w:hint="eastAsia" w:ascii="宋体" w:hAnsi="宋体" w:eastAsia="宋体"/>
        </w:rPr>
        <w:t>7）药库采购和药房、科室申领权限支持维护控制药库采购限制；药品对应的仓库设置是否自动生成采购计划；药品对应科室小药房或者药房设置是否可申领药品。</w:t>
      </w:r>
    </w:p>
    <w:p w14:paraId="2AC3BC56">
      <w:pPr>
        <w:rPr>
          <w:rFonts w:ascii="宋体" w:hAnsi="宋体" w:eastAsia="宋体"/>
        </w:rPr>
      </w:pPr>
      <w:r>
        <w:rPr>
          <w:rFonts w:hint="eastAsia" w:ascii="宋体" w:hAnsi="宋体" w:eastAsia="宋体"/>
        </w:rPr>
        <w:t>（2）</w:t>
      </w:r>
      <w:r>
        <w:rPr>
          <w:rFonts w:ascii="宋体" w:hAnsi="宋体" w:eastAsia="宋体"/>
        </w:rPr>
        <w:t>报损管理</w:t>
      </w:r>
    </w:p>
    <w:p w14:paraId="5521B6EA">
      <w:pPr>
        <w:ind w:firstLine="480"/>
        <w:rPr>
          <w:rFonts w:ascii="宋体" w:hAnsi="宋体" w:eastAsia="宋体"/>
        </w:rPr>
      </w:pPr>
      <w:r>
        <w:rPr>
          <w:rFonts w:hint="eastAsia" w:ascii="宋体" w:hAnsi="宋体" w:eastAsia="宋体"/>
        </w:rPr>
        <w:t>通过</w:t>
      </w:r>
      <w:r>
        <w:rPr>
          <w:rFonts w:ascii="宋体" w:hAnsi="宋体" w:eastAsia="宋体"/>
        </w:rPr>
        <w:t>记录报损的药品生产报损单</w:t>
      </w:r>
      <w:r>
        <w:rPr>
          <w:rFonts w:hint="eastAsia" w:ascii="宋体" w:hAnsi="宋体" w:eastAsia="宋体"/>
        </w:rPr>
        <w:t>，</w:t>
      </w:r>
      <w:r>
        <w:rPr>
          <w:rFonts w:ascii="宋体" w:hAnsi="宋体" w:eastAsia="宋体"/>
        </w:rPr>
        <w:t>记录报损人和药品报损原因。</w:t>
      </w:r>
      <w:r>
        <w:rPr>
          <w:rFonts w:hint="eastAsia" w:ascii="宋体" w:hAnsi="宋体" w:eastAsia="宋体"/>
        </w:rPr>
        <w:t>支持</w:t>
      </w:r>
      <w:r>
        <w:rPr>
          <w:rFonts w:ascii="宋体" w:hAnsi="宋体" w:eastAsia="宋体"/>
        </w:rPr>
        <w:t>报损出库导出</w:t>
      </w:r>
      <w:r>
        <w:rPr>
          <w:rFonts w:hint="eastAsia" w:ascii="宋体" w:hAnsi="宋体" w:eastAsia="宋体"/>
        </w:rPr>
        <w:t>及</w:t>
      </w:r>
      <w:r>
        <w:rPr>
          <w:rFonts w:ascii="宋体" w:hAnsi="宋体" w:eastAsia="宋体"/>
        </w:rPr>
        <w:t>报损单的查询。</w:t>
      </w:r>
    </w:p>
    <w:p w14:paraId="73D04687">
      <w:pPr>
        <w:rPr>
          <w:rFonts w:ascii="宋体" w:hAnsi="宋体" w:eastAsia="宋体"/>
        </w:rPr>
      </w:pPr>
      <w:r>
        <w:rPr>
          <w:rFonts w:hint="eastAsia" w:ascii="宋体" w:hAnsi="宋体" w:eastAsia="宋体"/>
        </w:rPr>
        <w:t>（3）</w:t>
      </w:r>
      <w:r>
        <w:rPr>
          <w:rFonts w:ascii="宋体" w:hAnsi="宋体" w:eastAsia="宋体"/>
        </w:rPr>
        <w:t>采购</w:t>
      </w:r>
      <w:r>
        <w:rPr>
          <w:rFonts w:hint="eastAsia" w:ascii="宋体" w:hAnsi="宋体" w:eastAsia="宋体"/>
        </w:rPr>
        <w:t>管理</w:t>
      </w:r>
    </w:p>
    <w:p w14:paraId="51392EB5">
      <w:pPr>
        <w:ind w:firstLine="480"/>
        <w:rPr>
          <w:rFonts w:ascii="宋体" w:hAnsi="宋体" w:eastAsia="宋体"/>
        </w:rPr>
      </w:pPr>
      <w:r>
        <w:rPr>
          <w:rFonts w:hint="eastAsia" w:ascii="宋体" w:hAnsi="宋体" w:eastAsia="宋体"/>
        </w:rPr>
        <w:t>1）</w:t>
      </w:r>
      <w:r>
        <w:rPr>
          <w:rFonts w:ascii="宋体" w:hAnsi="宋体" w:eastAsia="宋体"/>
        </w:rPr>
        <w:t>采购计划支持根据一段时间内的门诊住院发药量、药品存量的上下限或者药库出库量来计算生成采购计划</w:t>
      </w:r>
      <w:r>
        <w:rPr>
          <w:rFonts w:hint="eastAsia" w:ascii="宋体" w:hAnsi="宋体" w:eastAsia="宋体"/>
        </w:rPr>
        <w:t>；能</w:t>
      </w:r>
      <w:r>
        <w:rPr>
          <w:rFonts w:ascii="宋体" w:hAnsi="宋体" w:eastAsia="宋体"/>
        </w:rPr>
        <w:t>设置采购计划是否需要审核模式</w:t>
      </w:r>
      <w:r>
        <w:rPr>
          <w:rFonts w:hint="eastAsia" w:ascii="宋体" w:hAnsi="宋体" w:eastAsia="宋体"/>
        </w:rPr>
        <w:t>；</w:t>
      </w:r>
      <w:r>
        <w:rPr>
          <w:rFonts w:ascii="宋体" w:hAnsi="宋体" w:eastAsia="宋体"/>
        </w:rPr>
        <w:t>在采购计划上</w:t>
      </w:r>
      <w:r>
        <w:rPr>
          <w:rFonts w:hint="eastAsia" w:ascii="宋体" w:hAnsi="宋体" w:eastAsia="宋体"/>
        </w:rPr>
        <w:t>能</w:t>
      </w:r>
      <w:r>
        <w:rPr>
          <w:rFonts w:ascii="宋体" w:hAnsi="宋体" w:eastAsia="宋体"/>
        </w:rPr>
        <w:t>添加大输液计划。</w:t>
      </w:r>
    </w:p>
    <w:p w14:paraId="3EF8E0D4">
      <w:pPr>
        <w:ind w:firstLine="480"/>
        <w:rPr>
          <w:rFonts w:ascii="宋体" w:hAnsi="宋体" w:eastAsia="宋体"/>
        </w:rPr>
      </w:pPr>
      <w:r>
        <w:rPr>
          <w:rFonts w:hint="eastAsia" w:ascii="宋体" w:hAnsi="宋体" w:eastAsia="宋体"/>
        </w:rPr>
        <w:t>2）</w:t>
      </w:r>
      <w:r>
        <w:rPr>
          <w:rFonts w:ascii="宋体" w:hAnsi="宋体" w:eastAsia="宋体"/>
        </w:rPr>
        <w:t>采购退货</w:t>
      </w:r>
      <w:r>
        <w:rPr>
          <w:rFonts w:hint="eastAsia" w:ascii="宋体" w:hAnsi="宋体" w:eastAsia="宋体"/>
        </w:rPr>
        <w:t>实现</w:t>
      </w:r>
      <w:r>
        <w:rPr>
          <w:rFonts w:ascii="宋体" w:hAnsi="宋体" w:eastAsia="宋体"/>
        </w:rPr>
        <w:t>将药品退回供货商登记</w:t>
      </w:r>
      <w:r>
        <w:rPr>
          <w:rFonts w:hint="eastAsia" w:ascii="宋体" w:hAnsi="宋体" w:eastAsia="宋体"/>
        </w:rPr>
        <w:t>，</w:t>
      </w:r>
      <w:r>
        <w:rPr>
          <w:rFonts w:ascii="宋体" w:hAnsi="宋体" w:eastAsia="宋体"/>
        </w:rPr>
        <w:t>按照采购入库单直接生成退库单。</w:t>
      </w:r>
    </w:p>
    <w:p w14:paraId="49D1F98A">
      <w:pPr>
        <w:ind w:firstLine="480"/>
        <w:rPr>
          <w:rFonts w:ascii="宋体" w:hAnsi="宋体" w:eastAsia="宋体"/>
        </w:rPr>
      </w:pPr>
      <w:r>
        <w:rPr>
          <w:rFonts w:hint="eastAsia" w:ascii="宋体" w:hAnsi="宋体" w:eastAsia="宋体"/>
        </w:rPr>
        <w:t>3）</w:t>
      </w:r>
      <w:r>
        <w:rPr>
          <w:rFonts w:ascii="宋体" w:hAnsi="宋体" w:eastAsia="宋体"/>
        </w:rPr>
        <w:t>采购入库</w:t>
      </w:r>
      <w:r>
        <w:rPr>
          <w:rFonts w:hint="eastAsia" w:ascii="宋体" w:hAnsi="宋体" w:eastAsia="宋体"/>
        </w:rPr>
        <w:t>管理实现</w:t>
      </w:r>
      <w:r>
        <w:rPr>
          <w:rFonts w:ascii="宋体" w:hAnsi="宋体" w:eastAsia="宋体"/>
        </w:rPr>
        <w:t>库房药品的采购入库</w:t>
      </w:r>
      <w:r>
        <w:rPr>
          <w:rFonts w:hint="eastAsia" w:ascii="宋体" w:hAnsi="宋体" w:eastAsia="宋体"/>
        </w:rPr>
        <w:t>，</w:t>
      </w:r>
      <w:r>
        <w:rPr>
          <w:rFonts w:ascii="宋体" w:hAnsi="宋体" w:eastAsia="宋体"/>
        </w:rPr>
        <w:t>按照采购计划生成入库单。</w:t>
      </w:r>
    </w:p>
    <w:p w14:paraId="66C3B63C">
      <w:pPr>
        <w:rPr>
          <w:rFonts w:ascii="宋体" w:hAnsi="宋体" w:eastAsia="宋体"/>
        </w:rPr>
      </w:pPr>
      <w:r>
        <w:rPr>
          <w:rFonts w:hint="eastAsia" w:ascii="宋体" w:hAnsi="宋体" w:eastAsia="宋体"/>
        </w:rPr>
        <w:t>（4）</w:t>
      </w:r>
      <w:r>
        <w:rPr>
          <w:rFonts w:ascii="宋体" w:hAnsi="宋体" w:eastAsia="宋体"/>
        </w:rPr>
        <w:t>入库</w:t>
      </w:r>
      <w:r>
        <w:rPr>
          <w:rFonts w:hint="eastAsia" w:ascii="宋体" w:hAnsi="宋体" w:eastAsia="宋体"/>
        </w:rPr>
        <w:t>管理</w:t>
      </w:r>
    </w:p>
    <w:p w14:paraId="1EAE7408">
      <w:pPr>
        <w:ind w:firstLine="480"/>
        <w:rPr>
          <w:rFonts w:ascii="宋体" w:hAnsi="宋体" w:eastAsia="宋体"/>
        </w:rPr>
      </w:pPr>
      <w:r>
        <w:rPr>
          <w:rFonts w:ascii="宋体" w:hAnsi="宋体" w:eastAsia="宋体"/>
        </w:rPr>
        <w:t>按供应商查询药品入库信息</w:t>
      </w:r>
      <w:r>
        <w:rPr>
          <w:rFonts w:hint="eastAsia" w:ascii="宋体" w:hAnsi="宋体" w:eastAsia="宋体"/>
        </w:rPr>
        <w:t>；能查询</w:t>
      </w:r>
      <w:r>
        <w:rPr>
          <w:rFonts w:ascii="宋体" w:hAnsi="宋体" w:eastAsia="宋体"/>
        </w:rPr>
        <w:t>某个供应商的入库明细和入库汇总</w:t>
      </w:r>
      <w:r>
        <w:rPr>
          <w:rFonts w:hint="eastAsia" w:ascii="宋体" w:hAnsi="宋体" w:eastAsia="宋体"/>
        </w:rPr>
        <w:t>；查询</w:t>
      </w:r>
      <w:r>
        <w:rPr>
          <w:rFonts w:ascii="宋体" w:hAnsi="宋体" w:eastAsia="宋体"/>
        </w:rPr>
        <w:t>某类药品或某个药品的入库信息</w:t>
      </w:r>
      <w:r>
        <w:rPr>
          <w:rFonts w:hint="eastAsia" w:ascii="宋体" w:hAnsi="宋体" w:eastAsia="宋体"/>
        </w:rPr>
        <w:t>；</w:t>
      </w:r>
      <w:r>
        <w:rPr>
          <w:rFonts w:ascii="宋体" w:hAnsi="宋体" w:eastAsia="宋体"/>
        </w:rPr>
        <w:t>查询某库房某时间段的药品购入汇总。</w:t>
      </w:r>
    </w:p>
    <w:p w14:paraId="1C9D6109">
      <w:pPr>
        <w:rPr>
          <w:rFonts w:ascii="宋体" w:hAnsi="宋体" w:eastAsia="宋体"/>
        </w:rPr>
      </w:pPr>
      <w:r>
        <w:rPr>
          <w:rFonts w:hint="eastAsia" w:ascii="宋体" w:hAnsi="宋体" w:eastAsia="宋体"/>
        </w:rPr>
        <w:t>（5）</w:t>
      </w:r>
      <w:r>
        <w:rPr>
          <w:rFonts w:ascii="宋体" w:hAnsi="宋体" w:eastAsia="宋体"/>
        </w:rPr>
        <w:t>出库</w:t>
      </w:r>
      <w:r>
        <w:rPr>
          <w:rFonts w:hint="eastAsia" w:ascii="宋体" w:hAnsi="宋体" w:eastAsia="宋体"/>
        </w:rPr>
        <w:t>管理</w:t>
      </w:r>
    </w:p>
    <w:p w14:paraId="21E8B5EE">
      <w:pPr>
        <w:ind w:firstLine="480"/>
        <w:rPr>
          <w:rFonts w:ascii="宋体" w:hAnsi="宋体" w:eastAsia="宋体"/>
        </w:rPr>
      </w:pPr>
      <w:r>
        <w:rPr>
          <w:rFonts w:hint="eastAsia" w:ascii="宋体" w:hAnsi="宋体" w:eastAsia="宋体"/>
        </w:rPr>
        <w:t>可</w:t>
      </w:r>
      <w:r>
        <w:rPr>
          <w:rFonts w:ascii="宋体" w:hAnsi="宋体" w:eastAsia="宋体"/>
        </w:rPr>
        <w:t>按药房</w:t>
      </w:r>
      <w:r>
        <w:rPr>
          <w:rFonts w:hint="eastAsia" w:ascii="宋体" w:hAnsi="宋体" w:eastAsia="宋体"/>
        </w:rPr>
        <w:t>或按科室或按申领单</w:t>
      </w:r>
      <w:r>
        <w:rPr>
          <w:rFonts w:ascii="宋体" w:hAnsi="宋体" w:eastAsia="宋体"/>
        </w:rPr>
        <w:t>进行出库管理</w:t>
      </w:r>
      <w:r>
        <w:rPr>
          <w:rFonts w:hint="eastAsia" w:ascii="宋体" w:hAnsi="宋体" w:eastAsia="宋体"/>
        </w:rPr>
        <w:t>，也可</w:t>
      </w:r>
      <w:r>
        <w:rPr>
          <w:rFonts w:ascii="宋体" w:hAnsi="宋体" w:eastAsia="宋体"/>
        </w:rPr>
        <w:t>直接出库</w:t>
      </w:r>
      <w:r>
        <w:rPr>
          <w:rFonts w:hint="eastAsia" w:ascii="宋体" w:hAnsi="宋体" w:eastAsia="宋体"/>
        </w:rPr>
        <w:t>；</w:t>
      </w:r>
      <w:r>
        <w:rPr>
          <w:rFonts w:ascii="宋体" w:hAnsi="宋体" w:eastAsia="宋体"/>
        </w:rPr>
        <w:t>支持药房或科室的退回入库。支持按科室</w:t>
      </w:r>
      <w:r>
        <w:rPr>
          <w:rFonts w:hint="eastAsia" w:ascii="宋体" w:hAnsi="宋体" w:eastAsia="宋体"/>
        </w:rPr>
        <w:t>、药房、药品进行出库统计。</w:t>
      </w:r>
    </w:p>
    <w:p w14:paraId="19D2D779">
      <w:pPr>
        <w:rPr>
          <w:rFonts w:ascii="宋体" w:hAnsi="宋体" w:eastAsia="宋体"/>
        </w:rPr>
      </w:pPr>
      <w:r>
        <w:rPr>
          <w:rFonts w:hint="eastAsia" w:ascii="宋体" w:hAnsi="宋体" w:eastAsia="宋体"/>
        </w:rPr>
        <w:t>（6）</w:t>
      </w:r>
      <w:r>
        <w:rPr>
          <w:rFonts w:ascii="宋体" w:hAnsi="宋体" w:eastAsia="宋体"/>
        </w:rPr>
        <w:t>盘点管理</w:t>
      </w:r>
    </w:p>
    <w:p w14:paraId="5BBAB0DC">
      <w:pPr>
        <w:ind w:firstLine="420" w:firstLineChars="200"/>
        <w:rPr>
          <w:rFonts w:ascii="宋体" w:hAnsi="宋体" w:eastAsia="宋体"/>
        </w:rPr>
      </w:pPr>
      <w:r>
        <w:rPr>
          <w:rFonts w:hint="eastAsia" w:ascii="宋体" w:hAnsi="宋体" w:eastAsia="宋体"/>
        </w:rPr>
        <w:t>支持</w:t>
      </w:r>
      <w:r>
        <w:rPr>
          <w:rFonts w:ascii="宋体" w:hAnsi="宋体" w:eastAsia="宋体"/>
        </w:rPr>
        <w:t>库房人员对实物药品和系统药品数量进行盘点</w:t>
      </w:r>
      <w:r>
        <w:rPr>
          <w:rFonts w:hint="eastAsia" w:ascii="宋体" w:hAnsi="宋体" w:eastAsia="宋体"/>
        </w:rPr>
        <w:t>，</w:t>
      </w:r>
      <w:r>
        <w:rPr>
          <w:rFonts w:ascii="宋体" w:hAnsi="宋体" w:eastAsia="宋体"/>
        </w:rPr>
        <w:t>盘点时所有出入库业务都对盘点进行互斥验证</w:t>
      </w:r>
      <w:r>
        <w:rPr>
          <w:rFonts w:hint="eastAsia" w:ascii="宋体" w:hAnsi="宋体" w:eastAsia="宋体"/>
        </w:rPr>
        <w:t>；</w:t>
      </w:r>
      <w:r>
        <w:rPr>
          <w:rFonts w:ascii="宋体" w:hAnsi="宋体" w:eastAsia="宋体"/>
        </w:rPr>
        <w:t>支持按供应商查看某品种盘点情况</w:t>
      </w:r>
      <w:r>
        <w:rPr>
          <w:rFonts w:hint="eastAsia" w:ascii="宋体" w:hAnsi="宋体" w:eastAsia="宋体"/>
        </w:rPr>
        <w:t>；</w:t>
      </w:r>
      <w:r>
        <w:rPr>
          <w:rFonts w:ascii="宋体" w:hAnsi="宋体" w:eastAsia="宋体"/>
        </w:rPr>
        <w:t>药品盘点汇总统计及明细。</w:t>
      </w:r>
    </w:p>
    <w:p w14:paraId="3C2296A2">
      <w:pPr>
        <w:rPr>
          <w:rFonts w:ascii="宋体" w:hAnsi="宋体" w:eastAsia="宋体"/>
        </w:rPr>
      </w:pPr>
      <w:r>
        <w:rPr>
          <w:rFonts w:hint="eastAsia" w:ascii="宋体" w:hAnsi="宋体" w:eastAsia="宋体"/>
        </w:rPr>
        <w:t>（7）</w:t>
      </w:r>
      <w:r>
        <w:rPr>
          <w:rFonts w:ascii="宋体" w:hAnsi="宋体" w:eastAsia="宋体"/>
        </w:rPr>
        <w:t>库房查询</w:t>
      </w:r>
    </w:p>
    <w:p w14:paraId="0A17DF38">
      <w:pPr>
        <w:ind w:firstLine="480"/>
        <w:rPr>
          <w:rFonts w:ascii="宋体" w:hAnsi="宋体" w:eastAsia="宋体"/>
        </w:rPr>
      </w:pPr>
      <w:r>
        <w:rPr>
          <w:rFonts w:ascii="宋体" w:hAnsi="宋体" w:eastAsia="宋体"/>
        </w:rPr>
        <w:t>支持药品库存查询</w:t>
      </w:r>
      <w:r>
        <w:rPr>
          <w:rFonts w:hint="eastAsia" w:ascii="宋体" w:hAnsi="宋体" w:eastAsia="宋体"/>
        </w:rPr>
        <w:t>；</w:t>
      </w:r>
      <w:r>
        <w:rPr>
          <w:rFonts w:ascii="宋体" w:hAnsi="宋体" w:eastAsia="宋体"/>
        </w:rPr>
        <w:t>导入库房库存数据</w:t>
      </w:r>
      <w:r>
        <w:rPr>
          <w:rFonts w:hint="eastAsia" w:ascii="宋体" w:hAnsi="宋体" w:eastAsia="宋体"/>
        </w:rPr>
        <w:t>；</w:t>
      </w:r>
      <w:r>
        <w:rPr>
          <w:rFonts w:ascii="宋体" w:hAnsi="宋体" w:eastAsia="宋体"/>
        </w:rPr>
        <w:t>按药品品种查询药品汇总信息</w:t>
      </w:r>
      <w:r>
        <w:rPr>
          <w:rFonts w:hint="eastAsia" w:ascii="宋体" w:hAnsi="宋体" w:eastAsia="宋体"/>
        </w:rPr>
        <w:t>；</w:t>
      </w:r>
      <w:r>
        <w:rPr>
          <w:rFonts w:ascii="宋体" w:hAnsi="宋体" w:eastAsia="宋体"/>
        </w:rPr>
        <w:t>药品的有效期查询</w:t>
      </w:r>
      <w:r>
        <w:rPr>
          <w:rFonts w:hint="eastAsia" w:ascii="宋体" w:hAnsi="宋体" w:eastAsia="宋体"/>
        </w:rPr>
        <w:t>；</w:t>
      </w:r>
      <w:r>
        <w:rPr>
          <w:rFonts w:ascii="宋体" w:hAnsi="宋体" w:eastAsia="宋体"/>
        </w:rPr>
        <w:t>按供应商进行库存查询</w:t>
      </w:r>
      <w:r>
        <w:rPr>
          <w:rFonts w:hint="eastAsia" w:ascii="宋体" w:hAnsi="宋体" w:eastAsia="宋体"/>
        </w:rPr>
        <w:t>；</w:t>
      </w:r>
      <w:r>
        <w:rPr>
          <w:rFonts w:ascii="宋体" w:hAnsi="宋体" w:eastAsia="宋体"/>
        </w:rPr>
        <w:t>查询药品库存变化跟踪情况。</w:t>
      </w:r>
    </w:p>
    <w:p w14:paraId="322E10DF">
      <w:pPr>
        <w:rPr>
          <w:rFonts w:ascii="宋体" w:hAnsi="宋体" w:eastAsia="宋体"/>
        </w:rPr>
      </w:pPr>
      <w:r>
        <w:rPr>
          <w:rFonts w:hint="eastAsia" w:ascii="宋体" w:hAnsi="宋体" w:eastAsia="宋体"/>
        </w:rPr>
        <w:t>（8）</w:t>
      </w:r>
      <w:r>
        <w:rPr>
          <w:rFonts w:ascii="宋体" w:hAnsi="宋体" w:eastAsia="宋体"/>
        </w:rPr>
        <w:t>库房采购流程</w:t>
      </w:r>
      <w:r>
        <w:rPr>
          <w:rFonts w:hint="eastAsia" w:ascii="宋体" w:hAnsi="宋体" w:eastAsia="宋体"/>
        </w:rPr>
        <w:t>管理</w:t>
      </w:r>
    </w:p>
    <w:p w14:paraId="5E1A70C8">
      <w:pPr>
        <w:ind w:firstLine="480"/>
        <w:rPr>
          <w:rFonts w:ascii="宋体" w:hAnsi="宋体" w:eastAsia="宋体"/>
        </w:rPr>
      </w:pPr>
      <w:r>
        <w:rPr>
          <w:rFonts w:ascii="宋体" w:hAnsi="宋体" w:eastAsia="宋体"/>
        </w:rPr>
        <w:t>仓库字典维护</w:t>
      </w:r>
      <w:r>
        <w:rPr>
          <w:rFonts w:hint="eastAsia" w:ascii="宋体" w:hAnsi="宋体" w:eastAsia="宋体"/>
        </w:rPr>
        <w:t>、</w:t>
      </w:r>
      <w:r>
        <w:rPr>
          <w:rFonts w:ascii="宋体" w:hAnsi="宋体" w:eastAsia="宋体"/>
        </w:rPr>
        <w:t>仓库药品类型映射维护</w:t>
      </w:r>
      <w:r>
        <w:rPr>
          <w:rFonts w:hint="eastAsia" w:ascii="宋体" w:hAnsi="宋体" w:eastAsia="宋体"/>
        </w:rPr>
        <w:t>、</w:t>
      </w:r>
      <w:r>
        <w:rPr>
          <w:rFonts w:ascii="宋体" w:hAnsi="宋体" w:eastAsia="宋体"/>
        </w:rPr>
        <w:t>持仓库出入库映射</w:t>
      </w:r>
      <w:r>
        <w:rPr>
          <w:rFonts w:hint="eastAsia" w:ascii="宋体" w:hAnsi="宋体" w:eastAsia="宋体"/>
        </w:rPr>
        <w:t>、</w:t>
      </w:r>
      <w:r>
        <w:rPr>
          <w:rFonts w:ascii="宋体" w:hAnsi="宋体" w:eastAsia="宋体"/>
        </w:rPr>
        <w:t>给药房和库房的工作人员分配对应的仓库</w:t>
      </w:r>
      <w:r>
        <w:rPr>
          <w:rFonts w:hint="eastAsia" w:ascii="宋体" w:hAnsi="宋体" w:eastAsia="宋体"/>
        </w:rPr>
        <w:t>；</w:t>
      </w:r>
      <w:r>
        <w:rPr>
          <w:rFonts w:ascii="宋体" w:hAnsi="宋体" w:eastAsia="宋体"/>
        </w:rPr>
        <w:t>采购入库后，对药品记录检验报告记录、质量状况、验收结论</w:t>
      </w:r>
      <w:r>
        <w:rPr>
          <w:rFonts w:hint="eastAsia" w:ascii="宋体" w:hAnsi="宋体" w:eastAsia="宋体"/>
        </w:rPr>
        <w:t>；</w:t>
      </w:r>
      <w:r>
        <w:rPr>
          <w:rFonts w:ascii="宋体" w:hAnsi="宋体" w:eastAsia="宋体"/>
        </w:rPr>
        <w:t>支持采购类别与计算公式维护。</w:t>
      </w:r>
    </w:p>
    <w:p w14:paraId="59D20894">
      <w:pPr>
        <w:pStyle w:val="6"/>
      </w:pPr>
      <w:r>
        <w:rPr>
          <w:rFonts w:hint="eastAsia"/>
        </w:rPr>
        <w:t>病案管理系统</w:t>
      </w:r>
    </w:p>
    <w:p w14:paraId="686BAB8D">
      <w:pPr>
        <w:rPr>
          <w:rFonts w:ascii="宋体" w:hAnsi="宋体" w:eastAsia="宋体"/>
        </w:rPr>
      </w:pPr>
      <w:r>
        <w:rPr>
          <w:rFonts w:hint="eastAsia" w:ascii="宋体" w:hAnsi="宋体" w:eastAsia="宋体"/>
        </w:rPr>
        <w:t>（1）病案首页</w:t>
      </w:r>
    </w:p>
    <w:p w14:paraId="36CE2DD4">
      <w:pPr>
        <w:ind w:firstLine="480"/>
        <w:rPr>
          <w:rFonts w:ascii="宋体" w:hAnsi="宋体" w:eastAsia="宋体"/>
        </w:rPr>
      </w:pPr>
      <w:r>
        <w:rPr>
          <w:rFonts w:hint="eastAsia" w:ascii="宋体" w:hAnsi="宋体" w:eastAsia="宋体"/>
        </w:rPr>
        <w:t>1）首页管理可根据病案号、住院号、姓名、出院时间等对首页进行查询。支持对首页数据进行手工录入，包含个人基本信息、诊断信息、手术信息、费用信息；首页数据根据住院号自动获取。首页录入保存时对数据进行校验，对必填数据及错误数据进行提示。同时支持对首页数据进行审核、对附页数据进行编辑，并可查看首页修改痕迹。</w:t>
      </w:r>
    </w:p>
    <w:p w14:paraId="0EEE79A4">
      <w:pPr>
        <w:ind w:firstLine="480"/>
        <w:rPr>
          <w:rFonts w:ascii="宋体" w:hAnsi="宋体" w:eastAsia="宋体"/>
        </w:rPr>
      </w:pPr>
      <w:r>
        <w:rPr>
          <w:rFonts w:hint="eastAsia" w:ascii="宋体" w:hAnsi="宋体" w:eastAsia="宋体"/>
        </w:rPr>
        <w:t>2）首页查询可根据录入病案号、姓名、住院号等信息进行简单查询，自定义筛选条件进行高级查询。支持按模板条件进行查询，并可对模板进行维护。支持对查询结果显示进行编辑。</w:t>
      </w:r>
    </w:p>
    <w:p w14:paraId="61557A39">
      <w:pPr>
        <w:ind w:firstLine="480"/>
        <w:rPr>
          <w:rFonts w:ascii="宋体" w:hAnsi="宋体" w:eastAsia="宋体"/>
        </w:rPr>
      </w:pPr>
      <w:r>
        <w:rPr>
          <w:rFonts w:hint="eastAsia" w:ascii="宋体" w:hAnsi="宋体" w:eastAsia="宋体"/>
        </w:rPr>
        <w:t>3)首页审核支持对首页信息进行多种类型的审核校验，并显示校验结果。</w:t>
      </w:r>
    </w:p>
    <w:p w14:paraId="355EFB70">
      <w:pPr>
        <w:rPr>
          <w:rFonts w:ascii="宋体" w:hAnsi="宋体" w:eastAsia="宋体"/>
        </w:rPr>
      </w:pPr>
      <w:r>
        <w:rPr>
          <w:rFonts w:hint="eastAsia" w:ascii="宋体" w:hAnsi="宋体" w:eastAsia="宋体"/>
        </w:rPr>
        <w:t>支持逻辑性、合理性以及国家直报等标准等多种校验类型。</w:t>
      </w:r>
    </w:p>
    <w:p w14:paraId="30D85DC8">
      <w:pPr>
        <w:rPr>
          <w:rFonts w:ascii="宋体" w:hAnsi="宋体" w:eastAsia="宋体"/>
        </w:rPr>
      </w:pPr>
      <w:r>
        <w:rPr>
          <w:rFonts w:hint="eastAsia" w:ascii="宋体" w:hAnsi="宋体" w:eastAsia="宋体"/>
        </w:rPr>
        <w:t>（2）</w:t>
      </w:r>
      <w:r>
        <w:rPr>
          <w:rFonts w:ascii="宋体" w:hAnsi="宋体" w:eastAsia="宋体"/>
        </w:rPr>
        <w:t>病案管理</w:t>
      </w:r>
    </w:p>
    <w:p w14:paraId="5859B74D">
      <w:pPr>
        <w:ind w:firstLine="480"/>
        <w:rPr>
          <w:rFonts w:ascii="宋体" w:hAnsi="宋体" w:eastAsia="宋体"/>
        </w:rPr>
      </w:pPr>
      <w:r>
        <w:rPr>
          <w:rFonts w:hint="eastAsia" w:ascii="宋体" w:hAnsi="宋体" w:eastAsia="宋体"/>
        </w:rPr>
        <w:t>1）</w:t>
      </w:r>
      <w:r>
        <w:rPr>
          <w:rFonts w:ascii="宋体" w:hAnsi="宋体" w:eastAsia="宋体"/>
        </w:rPr>
        <w:t>病案回收支持显示待回收病案列表，对病案进行回收登记，可按住院号进行查找</w:t>
      </w:r>
      <w:r>
        <w:rPr>
          <w:rFonts w:hint="eastAsia" w:ascii="宋体" w:hAnsi="宋体" w:eastAsia="宋体"/>
        </w:rPr>
        <w:t>；</w:t>
      </w:r>
      <w:r>
        <w:rPr>
          <w:rFonts w:ascii="宋体" w:hAnsi="宋体" w:eastAsia="宋体"/>
        </w:rPr>
        <w:t>对超时未回收病案进行催收查询</w:t>
      </w:r>
      <w:r>
        <w:rPr>
          <w:rFonts w:hint="eastAsia" w:ascii="宋体" w:hAnsi="宋体" w:eastAsia="宋体"/>
        </w:rPr>
        <w:t>；</w:t>
      </w:r>
      <w:r>
        <w:rPr>
          <w:rFonts w:ascii="宋体" w:hAnsi="宋体" w:eastAsia="宋体"/>
        </w:rPr>
        <w:t>支持按科室进行病案回收情况的统计。</w:t>
      </w:r>
    </w:p>
    <w:p w14:paraId="097D27E8">
      <w:pPr>
        <w:ind w:firstLine="480"/>
        <w:rPr>
          <w:rFonts w:ascii="宋体" w:hAnsi="宋体" w:eastAsia="宋体"/>
        </w:rPr>
      </w:pPr>
      <w:r>
        <w:rPr>
          <w:rFonts w:hint="eastAsia" w:ascii="宋体" w:hAnsi="宋体" w:eastAsia="宋体"/>
        </w:rPr>
        <w:t>2）</w:t>
      </w:r>
      <w:r>
        <w:rPr>
          <w:rFonts w:ascii="宋体" w:hAnsi="宋体" w:eastAsia="宋体"/>
        </w:rPr>
        <w:t>病案整理</w:t>
      </w:r>
      <w:r>
        <w:rPr>
          <w:rFonts w:hint="eastAsia" w:ascii="宋体" w:hAnsi="宋体" w:eastAsia="宋体"/>
        </w:rPr>
        <w:t>支持</w:t>
      </w:r>
      <w:r>
        <w:rPr>
          <w:rFonts w:ascii="宋体" w:hAnsi="宋体" w:eastAsia="宋体"/>
        </w:rPr>
        <w:t>缺陷记录</w:t>
      </w:r>
      <w:r>
        <w:rPr>
          <w:rFonts w:hint="eastAsia" w:ascii="宋体" w:hAnsi="宋体" w:eastAsia="宋体"/>
        </w:rPr>
        <w:t>；</w:t>
      </w:r>
      <w:r>
        <w:rPr>
          <w:rFonts w:ascii="宋体" w:hAnsi="宋体" w:eastAsia="宋体"/>
        </w:rPr>
        <w:t>病案缺陷统计，可按科室进行缺陷类型及数量的统计</w:t>
      </w:r>
      <w:r>
        <w:rPr>
          <w:rFonts w:hint="eastAsia" w:ascii="宋体" w:hAnsi="宋体" w:eastAsia="宋体"/>
        </w:rPr>
        <w:t>；</w:t>
      </w:r>
      <w:r>
        <w:rPr>
          <w:rFonts w:ascii="宋体" w:hAnsi="宋体" w:eastAsia="宋体"/>
        </w:rPr>
        <w:t>病案整理查询，可查询病案整理情况。</w:t>
      </w:r>
    </w:p>
    <w:p w14:paraId="5F126FAA">
      <w:pPr>
        <w:ind w:firstLine="480"/>
        <w:rPr>
          <w:rFonts w:ascii="宋体" w:hAnsi="宋体" w:eastAsia="宋体"/>
        </w:rPr>
      </w:pPr>
      <w:r>
        <w:rPr>
          <w:rFonts w:hint="eastAsia" w:ascii="宋体" w:hAnsi="宋体" w:eastAsia="宋体"/>
        </w:rPr>
        <w:t>3）</w:t>
      </w:r>
      <w:r>
        <w:rPr>
          <w:rFonts w:ascii="宋体" w:hAnsi="宋体" w:eastAsia="宋体"/>
        </w:rPr>
        <w:t>病案入库支持对库位进行设置</w:t>
      </w:r>
      <w:r>
        <w:rPr>
          <w:rFonts w:hint="eastAsia" w:ascii="宋体" w:hAnsi="宋体" w:eastAsia="宋体"/>
        </w:rPr>
        <w:t>；</w:t>
      </w:r>
      <w:r>
        <w:rPr>
          <w:rFonts w:ascii="宋体" w:hAnsi="宋体" w:eastAsia="宋体"/>
        </w:rPr>
        <w:t>对未入库的病案进行入库</w:t>
      </w:r>
      <w:r>
        <w:rPr>
          <w:rFonts w:hint="eastAsia" w:ascii="宋体" w:hAnsi="宋体" w:eastAsia="宋体"/>
        </w:rPr>
        <w:t>；</w:t>
      </w:r>
      <w:r>
        <w:rPr>
          <w:rFonts w:ascii="宋体" w:hAnsi="宋体" w:eastAsia="宋体"/>
        </w:rPr>
        <w:t>对已入库的病案进行查询。</w:t>
      </w:r>
    </w:p>
    <w:p w14:paraId="48C9666C">
      <w:pPr>
        <w:ind w:firstLine="480"/>
        <w:rPr>
          <w:rFonts w:ascii="宋体" w:hAnsi="宋体" w:eastAsia="宋体"/>
        </w:rPr>
      </w:pPr>
      <w:r>
        <w:rPr>
          <w:rFonts w:hint="eastAsia" w:ascii="宋体" w:hAnsi="宋体" w:eastAsia="宋体"/>
        </w:rPr>
        <w:t>4）</w:t>
      </w:r>
      <w:r>
        <w:rPr>
          <w:rFonts w:ascii="宋体" w:hAnsi="宋体" w:eastAsia="宋体"/>
        </w:rPr>
        <w:t>病案借阅</w:t>
      </w:r>
      <w:r>
        <w:rPr>
          <w:rFonts w:hint="eastAsia" w:ascii="宋体" w:hAnsi="宋体" w:eastAsia="宋体"/>
        </w:rPr>
        <w:t>支持</w:t>
      </w:r>
      <w:r>
        <w:rPr>
          <w:rFonts w:ascii="宋体" w:hAnsi="宋体" w:eastAsia="宋体"/>
        </w:rPr>
        <w:t>借阅登记，并记录借阅人、借阅时间、借阅用途等信息</w:t>
      </w:r>
      <w:r>
        <w:rPr>
          <w:rFonts w:hint="eastAsia" w:ascii="宋体" w:hAnsi="宋体" w:eastAsia="宋体"/>
        </w:rPr>
        <w:t>；</w:t>
      </w:r>
      <w:r>
        <w:rPr>
          <w:rFonts w:ascii="宋体" w:hAnsi="宋体" w:eastAsia="宋体"/>
        </w:rPr>
        <w:t>对超时的病案借阅进行催收，并记录催还方式、催还时间等</w:t>
      </w:r>
      <w:r>
        <w:rPr>
          <w:rFonts w:hint="eastAsia" w:ascii="宋体" w:hAnsi="宋体" w:eastAsia="宋体"/>
        </w:rPr>
        <w:t>；</w:t>
      </w:r>
      <w:r>
        <w:rPr>
          <w:rFonts w:ascii="宋体" w:hAnsi="宋体" w:eastAsia="宋体"/>
        </w:rPr>
        <w:t>对病案借阅情况进行统计</w:t>
      </w:r>
      <w:r>
        <w:rPr>
          <w:rFonts w:hint="eastAsia" w:ascii="宋体" w:hAnsi="宋体" w:eastAsia="宋体"/>
        </w:rPr>
        <w:t>；</w:t>
      </w:r>
      <w:r>
        <w:rPr>
          <w:rFonts w:ascii="宋体" w:hAnsi="宋体" w:eastAsia="宋体"/>
        </w:rPr>
        <w:t>支持借阅人在系统中录入相关信息后提出借阅申请</w:t>
      </w:r>
      <w:r>
        <w:rPr>
          <w:rFonts w:hint="eastAsia" w:ascii="宋体" w:hAnsi="宋体" w:eastAsia="宋体"/>
        </w:rPr>
        <w:t>；</w:t>
      </w:r>
      <w:r>
        <w:rPr>
          <w:rFonts w:ascii="宋体" w:hAnsi="宋体" w:eastAsia="宋体"/>
        </w:rPr>
        <w:t>对借阅申请进行审核或取消，审核通过后借阅人方可浏览病历文件。</w:t>
      </w:r>
    </w:p>
    <w:p w14:paraId="0EFEFC91">
      <w:pPr>
        <w:ind w:firstLine="480"/>
        <w:rPr>
          <w:rFonts w:ascii="宋体" w:hAnsi="宋体" w:eastAsia="宋体"/>
        </w:rPr>
      </w:pPr>
      <w:r>
        <w:rPr>
          <w:rFonts w:hint="eastAsia" w:ascii="宋体" w:hAnsi="宋体" w:eastAsia="宋体"/>
        </w:rPr>
        <w:t>5）</w:t>
      </w:r>
      <w:r>
        <w:rPr>
          <w:rFonts w:ascii="宋体" w:hAnsi="宋体" w:eastAsia="宋体"/>
        </w:rPr>
        <w:t>病案封存支持对病案进行启封，并记录封存时间、封存目的等</w:t>
      </w:r>
      <w:r>
        <w:rPr>
          <w:rFonts w:hint="eastAsia" w:ascii="宋体" w:hAnsi="宋体" w:eastAsia="宋体"/>
        </w:rPr>
        <w:t>，</w:t>
      </w:r>
      <w:r>
        <w:rPr>
          <w:rFonts w:ascii="宋体" w:hAnsi="宋体" w:eastAsia="宋体"/>
        </w:rPr>
        <w:t>对已封存的病案进行解封。</w:t>
      </w:r>
    </w:p>
    <w:p w14:paraId="5BA606C5">
      <w:pPr>
        <w:ind w:firstLine="480"/>
        <w:rPr>
          <w:rFonts w:ascii="宋体" w:hAnsi="宋体" w:eastAsia="宋体"/>
        </w:rPr>
      </w:pPr>
      <w:r>
        <w:rPr>
          <w:rFonts w:hint="eastAsia" w:ascii="宋体" w:hAnsi="宋体" w:eastAsia="宋体"/>
        </w:rPr>
        <w:t>6）</w:t>
      </w:r>
      <w:r>
        <w:rPr>
          <w:rFonts w:ascii="宋体" w:hAnsi="宋体" w:eastAsia="宋体"/>
        </w:rPr>
        <w:t>病案复印支持对病历复印进行登记，包含复印人、与患者关系、复印份数等信息</w:t>
      </w:r>
      <w:r>
        <w:rPr>
          <w:rFonts w:hint="eastAsia" w:ascii="宋体" w:hAnsi="宋体" w:eastAsia="宋体"/>
        </w:rPr>
        <w:t>；</w:t>
      </w:r>
      <w:r>
        <w:rPr>
          <w:rFonts w:ascii="宋体" w:hAnsi="宋体" w:eastAsia="宋体"/>
        </w:rPr>
        <w:t>病历复印信息的查询</w:t>
      </w:r>
      <w:r>
        <w:rPr>
          <w:rFonts w:hint="eastAsia" w:ascii="宋体" w:hAnsi="宋体" w:eastAsia="宋体"/>
        </w:rPr>
        <w:t>；</w:t>
      </w:r>
      <w:r>
        <w:rPr>
          <w:rFonts w:ascii="宋体" w:hAnsi="宋体" w:eastAsia="宋体"/>
        </w:rPr>
        <w:t>病历文件的直接打印。</w:t>
      </w:r>
    </w:p>
    <w:p w14:paraId="7DF98E6F">
      <w:pPr>
        <w:rPr>
          <w:rFonts w:ascii="宋体" w:hAnsi="宋体" w:eastAsia="宋体"/>
        </w:rPr>
      </w:pPr>
      <w:r>
        <w:rPr>
          <w:rFonts w:hint="eastAsia" w:ascii="宋体" w:hAnsi="宋体" w:eastAsia="宋体"/>
        </w:rPr>
        <w:t>（3）</w:t>
      </w:r>
      <w:r>
        <w:rPr>
          <w:rFonts w:ascii="宋体" w:hAnsi="宋体" w:eastAsia="宋体"/>
        </w:rPr>
        <w:t>工作日报</w:t>
      </w:r>
    </w:p>
    <w:p w14:paraId="120AB0D3">
      <w:pPr>
        <w:ind w:firstLine="480"/>
        <w:rPr>
          <w:rFonts w:ascii="宋体" w:hAnsi="宋体" w:eastAsia="宋体"/>
        </w:rPr>
      </w:pPr>
      <w:r>
        <w:rPr>
          <w:rFonts w:hint="eastAsia" w:ascii="宋体" w:hAnsi="宋体" w:eastAsia="宋体"/>
        </w:rPr>
        <w:t>至少包含</w:t>
      </w:r>
      <w:r>
        <w:rPr>
          <w:rFonts w:ascii="宋体" w:hAnsi="宋体" w:eastAsia="宋体"/>
        </w:rPr>
        <w:t>住院工作日报</w:t>
      </w:r>
      <w:r>
        <w:rPr>
          <w:rFonts w:hint="eastAsia" w:ascii="宋体" w:hAnsi="宋体" w:eastAsia="宋体"/>
        </w:rPr>
        <w:t>、</w:t>
      </w:r>
      <w:r>
        <w:rPr>
          <w:rFonts w:ascii="宋体" w:hAnsi="宋体" w:eastAsia="宋体"/>
        </w:rPr>
        <w:t>门诊工作日报</w:t>
      </w:r>
      <w:r>
        <w:rPr>
          <w:rFonts w:hint="eastAsia" w:ascii="宋体" w:hAnsi="宋体" w:eastAsia="宋体"/>
        </w:rPr>
        <w:t>、</w:t>
      </w:r>
      <w:r>
        <w:rPr>
          <w:rFonts w:ascii="宋体" w:hAnsi="宋体" w:eastAsia="宋体"/>
        </w:rPr>
        <w:t>观察工作日报</w:t>
      </w:r>
      <w:r>
        <w:rPr>
          <w:rFonts w:hint="eastAsia" w:ascii="宋体" w:hAnsi="宋体" w:eastAsia="宋体"/>
        </w:rPr>
        <w:t>、</w:t>
      </w:r>
      <w:r>
        <w:rPr>
          <w:rFonts w:ascii="宋体" w:hAnsi="宋体" w:eastAsia="宋体"/>
        </w:rPr>
        <w:t>处方工作日报</w:t>
      </w:r>
      <w:r>
        <w:rPr>
          <w:rFonts w:hint="eastAsia" w:ascii="宋体" w:hAnsi="宋体" w:eastAsia="宋体"/>
        </w:rPr>
        <w:t>、</w:t>
      </w:r>
      <w:r>
        <w:rPr>
          <w:rFonts w:ascii="宋体" w:hAnsi="宋体" w:eastAsia="宋体"/>
        </w:rPr>
        <w:t>床位登记日报</w:t>
      </w:r>
      <w:r>
        <w:rPr>
          <w:rFonts w:hint="eastAsia" w:ascii="宋体" w:hAnsi="宋体" w:eastAsia="宋体"/>
        </w:rPr>
        <w:t>、</w:t>
      </w:r>
      <w:r>
        <w:rPr>
          <w:rFonts w:ascii="宋体" w:hAnsi="宋体" w:eastAsia="宋体"/>
        </w:rPr>
        <w:t>病房工作日报</w:t>
      </w:r>
      <w:r>
        <w:rPr>
          <w:rFonts w:hint="eastAsia" w:ascii="宋体" w:hAnsi="宋体" w:eastAsia="宋体"/>
        </w:rPr>
        <w:t>等</w:t>
      </w:r>
    </w:p>
    <w:p w14:paraId="770EEEA3">
      <w:pPr>
        <w:rPr>
          <w:rFonts w:ascii="宋体" w:hAnsi="宋体" w:eastAsia="宋体"/>
        </w:rPr>
      </w:pPr>
      <w:r>
        <w:rPr>
          <w:rFonts w:hint="eastAsia" w:ascii="宋体" w:hAnsi="宋体" w:eastAsia="宋体"/>
        </w:rPr>
        <w:t>（4）</w:t>
      </w:r>
      <w:r>
        <w:rPr>
          <w:rFonts w:ascii="宋体" w:hAnsi="宋体" w:eastAsia="宋体"/>
        </w:rPr>
        <w:t>统计分析</w:t>
      </w:r>
    </w:p>
    <w:p w14:paraId="72526C41">
      <w:pPr>
        <w:ind w:firstLine="480"/>
        <w:rPr>
          <w:rFonts w:ascii="宋体" w:hAnsi="宋体" w:eastAsia="宋体"/>
        </w:rPr>
      </w:pPr>
      <w:r>
        <w:rPr>
          <w:rFonts w:hint="eastAsia" w:ascii="宋体" w:hAnsi="宋体" w:eastAsia="宋体"/>
        </w:rPr>
        <w:t>1）</w:t>
      </w:r>
      <w:r>
        <w:rPr>
          <w:rFonts w:ascii="宋体" w:hAnsi="宋体" w:eastAsia="宋体"/>
        </w:rPr>
        <w:t>院内管理</w:t>
      </w:r>
      <w:r>
        <w:rPr>
          <w:rFonts w:hint="eastAsia" w:ascii="宋体" w:hAnsi="宋体" w:eastAsia="宋体"/>
        </w:rPr>
        <w:t>统计分析</w:t>
      </w:r>
      <w:r>
        <w:rPr>
          <w:rFonts w:ascii="宋体" w:hAnsi="宋体" w:eastAsia="宋体"/>
        </w:rPr>
        <w:t>支持住院工作日报及月统</w:t>
      </w:r>
      <w:r>
        <w:rPr>
          <w:rFonts w:hint="eastAsia" w:ascii="宋体" w:hAnsi="宋体" w:eastAsia="宋体"/>
        </w:rPr>
        <w:t>、</w:t>
      </w:r>
      <w:r>
        <w:rPr>
          <w:rFonts w:ascii="宋体" w:hAnsi="宋体" w:eastAsia="宋体"/>
        </w:rPr>
        <w:t>门诊诊疗日报及月统</w:t>
      </w:r>
      <w:r>
        <w:rPr>
          <w:rFonts w:hint="eastAsia" w:ascii="宋体" w:hAnsi="宋体" w:eastAsia="宋体"/>
        </w:rPr>
        <w:t>、</w:t>
      </w:r>
      <w:r>
        <w:rPr>
          <w:rFonts w:ascii="宋体" w:hAnsi="宋体" w:eastAsia="宋体"/>
        </w:rPr>
        <w:t>留院观察日报及月统</w:t>
      </w:r>
      <w:r>
        <w:rPr>
          <w:rFonts w:hint="eastAsia" w:ascii="宋体" w:hAnsi="宋体" w:eastAsia="宋体"/>
        </w:rPr>
        <w:t>、</w:t>
      </w:r>
      <w:r>
        <w:rPr>
          <w:rFonts w:ascii="宋体" w:hAnsi="宋体" w:eastAsia="宋体"/>
        </w:rPr>
        <w:t>处方工作日报及月统</w:t>
      </w:r>
      <w:r>
        <w:rPr>
          <w:rFonts w:hint="eastAsia" w:ascii="宋体" w:hAnsi="宋体" w:eastAsia="宋体"/>
        </w:rPr>
        <w:t>、</w:t>
      </w:r>
      <w:r>
        <w:rPr>
          <w:rFonts w:ascii="宋体" w:hAnsi="宋体" w:eastAsia="宋体"/>
        </w:rPr>
        <w:t>床位工作日报及月统。</w:t>
      </w:r>
    </w:p>
    <w:p w14:paraId="542CB6B3">
      <w:pPr>
        <w:ind w:firstLine="480"/>
        <w:rPr>
          <w:rFonts w:ascii="宋体" w:hAnsi="宋体" w:eastAsia="宋体"/>
        </w:rPr>
      </w:pPr>
      <w:r>
        <w:rPr>
          <w:rFonts w:hint="eastAsia" w:ascii="宋体" w:hAnsi="宋体" w:eastAsia="宋体"/>
        </w:rPr>
        <w:t>2）</w:t>
      </w:r>
      <w:r>
        <w:rPr>
          <w:rFonts w:ascii="宋体" w:hAnsi="宋体" w:eastAsia="宋体"/>
        </w:rPr>
        <w:t>卫生直报报表</w:t>
      </w:r>
      <w:r>
        <w:rPr>
          <w:rFonts w:hint="eastAsia" w:ascii="宋体" w:hAnsi="宋体" w:eastAsia="宋体"/>
        </w:rPr>
        <w:t>可</w:t>
      </w:r>
      <w:r>
        <w:rPr>
          <w:rFonts w:ascii="宋体" w:hAnsi="宋体" w:eastAsia="宋体"/>
        </w:rPr>
        <w:t>导出数据为规定的数据格式如dbf、excel，也可以直接通过网络接口上报数据，具体数据格式</w:t>
      </w:r>
      <w:r>
        <w:rPr>
          <w:rFonts w:hint="eastAsia" w:ascii="宋体" w:hAnsi="宋体" w:eastAsia="宋体"/>
        </w:rPr>
        <w:t>根据相关规定定制</w:t>
      </w:r>
      <w:r>
        <w:rPr>
          <w:rFonts w:ascii="宋体" w:hAnsi="宋体" w:eastAsia="宋体"/>
        </w:rPr>
        <w:t>。支持外部接口</w:t>
      </w:r>
      <w:r>
        <w:rPr>
          <w:rFonts w:hint="eastAsia" w:ascii="宋体" w:hAnsi="宋体" w:eastAsia="宋体"/>
        </w:rPr>
        <w:t>如</w:t>
      </w:r>
      <w:r>
        <w:rPr>
          <w:rFonts w:ascii="宋体" w:hAnsi="宋体" w:eastAsia="宋体"/>
        </w:rPr>
        <w:t>三级医院HQMS上报、国家网络直报系统(卫统4表)等。</w:t>
      </w:r>
    </w:p>
    <w:p w14:paraId="59FAD634">
      <w:pPr>
        <w:pStyle w:val="6"/>
      </w:pPr>
      <w:r>
        <w:rPr>
          <w:rFonts w:hint="eastAsia"/>
        </w:rPr>
        <w:t>电子病历质量监控管理系统</w:t>
      </w:r>
    </w:p>
    <w:p w14:paraId="44E8939C">
      <w:pPr>
        <w:rPr>
          <w:rFonts w:ascii="宋体" w:hAnsi="宋体" w:eastAsia="宋体"/>
        </w:rPr>
      </w:pPr>
      <w:r>
        <w:rPr>
          <w:rFonts w:hint="eastAsia" w:ascii="宋体" w:hAnsi="宋体" w:eastAsia="宋体"/>
        </w:rPr>
        <w:t>（1）质控规则管理</w:t>
      </w:r>
    </w:p>
    <w:p w14:paraId="75B943AC">
      <w:pPr>
        <w:ind w:firstLine="480"/>
        <w:rPr>
          <w:rFonts w:ascii="宋体" w:hAnsi="宋体" w:eastAsia="宋体"/>
        </w:rPr>
      </w:pPr>
      <w:r>
        <w:rPr>
          <w:rFonts w:hint="eastAsia" w:ascii="宋体" w:hAnsi="宋体" w:eastAsia="宋体"/>
        </w:rPr>
        <w:t>1）分级控制支持将医疗数据划分成运行和终末进行分级质控；对数据访问权限划分成院级、科室、医生三级访问权限；按分级控制规则对病历资料进行动态质控监测，实时给予提示，并可发出质控结果，以实现医疗和病历质量监控管理。</w:t>
      </w:r>
    </w:p>
    <w:p w14:paraId="6050425D">
      <w:pPr>
        <w:ind w:firstLine="480"/>
        <w:rPr>
          <w:rFonts w:ascii="宋体" w:hAnsi="宋体" w:eastAsia="宋体"/>
        </w:rPr>
      </w:pPr>
      <w:r>
        <w:rPr>
          <w:rFonts w:hint="eastAsia" w:ascii="宋体" w:hAnsi="宋体" w:eastAsia="宋体"/>
        </w:rPr>
        <w:t>2）时限控制支持自定义时限相关的规则，对在规定时间内未提交或未书写病历的医生进行时限提醒；时限项目、时限内容等的设置；定义病历时限的提醒时间，超时时间，开始时间等相关配置；对规定时限时间外未提交或在未书写的病历进行标记，可在自动评分时关联相关的评分项进行质控。</w:t>
      </w:r>
    </w:p>
    <w:p w14:paraId="1C3B81BE">
      <w:pPr>
        <w:ind w:firstLine="480"/>
        <w:rPr>
          <w:rFonts w:ascii="宋体" w:hAnsi="宋体" w:eastAsia="宋体"/>
        </w:rPr>
      </w:pPr>
      <w:r>
        <w:rPr>
          <w:rFonts w:hint="eastAsia" w:ascii="宋体" w:hAnsi="宋体" w:eastAsia="宋体"/>
        </w:rPr>
        <w:t>3）评分规则支持自定义评分规则，将评分划分为手动或自动；评分分数设置，可设置每项评分的总分数；运行病历评分标准设置；终末病历评分标准设置；自动评分规则设置。支持自动评分知识库对码设置。</w:t>
      </w:r>
    </w:p>
    <w:p w14:paraId="2DFF1BE9">
      <w:pPr>
        <w:rPr>
          <w:rFonts w:ascii="宋体" w:hAnsi="宋体" w:eastAsia="宋体"/>
        </w:rPr>
      </w:pPr>
      <w:r>
        <w:rPr>
          <w:rFonts w:hint="eastAsia" w:ascii="宋体" w:hAnsi="宋体" w:eastAsia="宋体"/>
        </w:rPr>
        <w:t>（2）</w:t>
      </w:r>
      <w:r>
        <w:rPr>
          <w:rFonts w:ascii="宋体" w:hAnsi="宋体" w:eastAsia="宋体"/>
        </w:rPr>
        <w:t>病历评分</w:t>
      </w:r>
    </w:p>
    <w:p w14:paraId="4725C709">
      <w:pPr>
        <w:ind w:firstLine="480"/>
        <w:rPr>
          <w:rFonts w:ascii="宋体" w:hAnsi="宋体" w:eastAsia="宋体"/>
        </w:rPr>
      </w:pPr>
      <w:r>
        <w:rPr>
          <w:rFonts w:hint="eastAsia" w:ascii="宋体" w:hAnsi="宋体" w:eastAsia="宋体"/>
        </w:rPr>
        <w:t>1）</w:t>
      </w:r>
      <w:r>
        <w:rPr>
          <w:rFonts w:ascii="宋体" w:hAnsi="宋体" w:eastAsia="宋体"/>
        </w:rPr>
        <w:t>运行病历评分支持按科室，评分状态、入院时间、患者状态，住院号等进行查询</w:t>
      </w:r>
      <w:r>
        <w:rPr>
          <w:rFonts w:hint="eastAsia" w:ascii="宋体" w:hAnsi="宋体" w:eastAsia="宋体"/>
        </w:rPr>
        <w:t>；</w:t>
      </w:r>
      <w:r>
        <w:rPr>
          <w:rFonts w:ascii="宋体" w:hAnsi="宋体" w:eastAsia="宋体"/>
        </w:rPr>
        <w:t>支持系统先根据运行病历评分标准自动进行评分</w:t>
      </w:r>
      <w:r>
        <w:rPr>
          <w:rFonts w:hint="eastAsia" w:ascii="宋体" w:hAnsi="宋体" w:eastAsia="宋体"/>
        </w:rPr>
        <w:t>；</w:t>
      </w:r>
      <w:r>
        <w:rPr>
          <w:rFonts w:ascii="宋体" w:hAnsi="宋体" w:eastAsia="宋体"/>
        </w:rPr>
        <w:t>手动评分，可手动修改分值</w:t>
      </w:r>
      <w:r>
        <w:rPr>
          <w:rFonts w:hint="eastAsia" w:ascii="宋体" w:hAnsi="宋体" w:eastAsia="宋体"/>
        </w:rPr>
        <w:t>；</w:t>
      </w:r>
      <w:r>
        <w:rPr>
          <w:rFonts w:ascii="宋体" w:hAnsi="宋体" w:eastAsia="宋体"/>
        </w:rPr>
        <w:t>根据评分分值汇总，直接进行病历等级标记</w:t>
      </w:r>
      <w:r>
        <w:rPr>
          <w:rFonts w:hint="eastAsia" w:ascii="宋体" w:hAnsi="宋体" w:eastAsia="宋体"/>
        </w:rPr>
        <w:t>；</w:t>
      </w:r>
      <w:r>
        <w:rPr>
          <w:rFonts w:ascii="宋体" w:hAnsi="宋体" w:eastAsia="宋体"/>
        </w:rPr>
        <w:t>查看历次评分及评分详情。</w:t>
      </w:r>
    </w:p>
    <w:p w14:paraId="3C734346">
      <w:pPr>
        <w:ind w:firstLine="480"/>
        <w:rPr>
          <w:rFonts w:ascii="宋体" w:hAnsi="宋体" w:eastAsia="宋体"/>
        </w:rPr>
      </w:pPr>
      <w:r>
        <w:rPr>
          <w:rFonts w:hint="eastAsia" w:ascii="宋体" w:hAnsi="宋体" w:eastAsia="宋体"/>
        </w:rPr>
        <w:t>2）</w:t>
      </w:r>
      <w:r>
        <w:rPr>
          <w:rFonts w:ascii="宋体" w:hAnsi="宋体" w:eastAsia="宋体"/>
        </w:rPr>
        <w:t>终末病历评分</w:t>
      </w:r>
      <w:r>
        <w:rPr>
          <w:rFonts w:hint="eastAsia" w:ascii="宋体" w:hAnsi="宋体" w:eastAsia="宋体"/>
        </w:rPr>
        <w:t>支持</w:t>
      </w:r>
      <w:r>
        <w:rPr>
          <w:rFonts w:ascii="宋体" w:hAnsi="宋体" w:eastAsia="宋体"/>
        </w:rPr>
        <w:t>对出院、归档病历、病案首页进行评分。按科室，评分状态、时间、住院号等进行查询。系统先根据终末病历评分标准自动进行评分支持手动评分，可手动修改分值。</w:t>
      </w:r>
      <w:r>
        <w:rPr>
          <w:rFonts w:hint="eastAsia" w:ascii="宋体" w:hAnsi="宋体" w:eastAsia="宋体"/>
        </w:rPr>
        <w:t>可</w:t>
      </w:r>
      <w:r>
        <w:rPr>
          <w:rFonts w:ascii="宋体" w:hAnsi="宋体" w:eastAsia="宋体"/>
        </w:rPr>
        <w:t>根据评分分值汇总，直接进行病历等级标记。</w:t>
      </w:r>
    </w:p>
    <w:p w14:paraId="760C3913">
      <w:pPr>
        <w:ind w:firstLine="480"/>
        <w:rPr>
          <w:rFonts w:ascii="宋体" w:hAnsi="宋体" w:eastAsia="宋体"/>
        </w:rPr>
      </w:pPr>
      <w:r>
        <w:rPr>
          <w:rFonts w:hint="eastAsia" w:ascii="宋体" w:hAnsi="宋体" w:eastAsia="宋体"/>
        </w:rPr>
        <w:t>3）</w:t>
      </w:r>
      <w:r>
        <w:rPr>
          <w:rFonts w:ascii="宋体" w:hAnsi="宋体" w:eastAsia="宋体"/>
        </w:rPr>
        <w:t>抽样病历评分支持对随机病人进行抽查，建立抽样样本，由质控员对样本中的病历进行评分</w:t>
      </w:r>
      <w:r>
        <w:rPr>
          <w:rFonts w:hint="eastAsia" w:ascii="宋体" w:hAnsi="宋体" w:eastAsia="宋体"/>
        </w:rPr>
        <w:t>；</w:t>
      </w:r>
      <w:r>
        <w:rPr>
          <w:rFonts w:ascii="宋体" w:hAnsi="宋体" w:eastAsia="宋体"/>
        </w:rPr>
        <w:t>支持抽样样本条件的设置，并对抽取的样本进行保存</w:t>
      </w:r>
      <w:r>
        <w:rPr>
          <w:rFonts w:hint="eastAsia" w:ascii="宋体" w:hAnsi="宋体" w:eastAsia="宋体"/>
        </w:rPr>
        <w:t>；</w:t>
      </w:r>
      <w:r>
        <w:rPr>
          <w:rFonts w:ascii="宋体" w:hAnsi="宋体" w:eastAsia="宋体"/>
        </w:rPr>
        <w:t>新增患者到样本及从样本中删除患者</w:t>
      </w:r>
      <w:r>
        <w:rPr>
          <w:rFonts w:hint="eastAsia" w:ascii="宋体" w:hAnsi="宋体" w:eastAsia="宋体"/>
        </w:rPr>
        <w:t>；</w:t>
      </w:r>
      <w:r>
        <w:rPr>
          <w:rFonts w:ascii="宋体" w:hAnsi="宋体" w:eastAsia="宋体"/>
        </w:rPr>
        <w:t>支持质控员仅对分配给自己的样本进行病历评分。</w:t>
      </w:r>
    </w:p>
    <w:p w14:paraId="203603C5">
      <w:pPr>
        <w:ind w:firstLine="480"/>
        <w:rPr>
          <w:rFonts w:ascii="宋体" w:hAnsi="宋体" w:eastAsia="宋体"/>
        </w:rPr>
      </w:pPr>
      <w:r>
        <w:rPr>
          <w:rFonts w:hint="eastAsia" w:ascii="宋体" w:hAnsi="宋体" w:eastAsia="宋体"/>
        </w:rPr>
        <w:t>4）</w:t>
      </w:r>
      <w:r>
        <w:rPr>
          <w:rFonts w:ascii="宋体" w:hAnsi="宋体" w:eastAsia="宋体"/>
        </w:rPr>
        <w:t>门诊病历评分支持按科室、门诊号等进行查询。</w:t>
      </w:r>
    </w:p>
    <w:p w14:paraId="29F93835">
      <w:pPr>
        <w:rPr>
          <w:rFonts w:ascii="宋体" w:hAnsi="宋体" w:eastAsia="宋体"/>
        </w:rPr>
      </w:pPr>
      <w:r>
        <w:rPr>
          <w:rFonts w:hint="eastAsia" w:ascii="宋体" w:hAnsi="宋体" w:eastAsia="宋体"/>
        </w:rPr>
        <w:t>（3）</w:t>
      </w:r>
      <w:r>
        <w:rPr>
          <w:rFonts w:ascii="宋体" w:hAnsi="宋体" w:eastAsia="宋体"/>
        </w:rPr>
        <w:t>病历质控</w:t>
      </w:r>
    </w:p>
    <w:p w14:paraId="4485EBA2">
      <w:pPr>
        <w:ind w:firstLine="480"/>
        <w:rPr>
          <w:rFonts w:ascii="宋体" w:hAnsi="宋体" w:eastAsia="宋体"/>
        </w:rPr>
      </w:pPr>
      <w:r>
        <w:rPr>
          <w:rFonts w:hint="eastAsia" w:ascii="宋体" w:hAnsi="宋体" w:eastAsia="宋体"/>
        </w:rPr>
        <w:t>1）</w:t>
      </w:r>
      <w:r>
        <w:rPr>
          <w:rFonts w:ascii="宋体" w:hAnsi="宋体" w:eastAsia="宋体"/>
        </w:rPr>
        <w:t>支持针对不同的科室，不同诊断的患者提供专项质控规则的设定。</w:t>
      </w:r>
    </w:p>
    <w:p w14:paraId="1FBDFE71">
      <w:pPr>
        <w:ind w:firstLine="480"/>
        <w:rPr>
          <w:rFonts w:ascii="宋体" w:hAnsi="宋体" w:eastAsia="宋体"/>
        </w:rPr>
      </w:pPr>
      <w:r>
        <w:rPr>
          <w:rFonts w:hint="eastAsia" w:ascii="宋体" w:hAnsi="宋体" w:eastAsia="宋体"/>
        </w:rPr>
        <w:t>2）</w:t>
      </w:r>
      <w:r>
        <w:rPr>
          <w:rFonts w:ascii="宋体" w:hAnsi="宋体" w:eastAsia="宋体"/>
        </w:rPr>
        <w:t>支持对病历书写过程中出现的一些逻辑错误，结合数据分析，提供了一些相关的验证与提示，比如男性患者病历出现女性器官，婚姻状况等。</w:t>
      </w:r>
    </w:p>
    <w:p w14:paraId="5BA8ABA7">
      <w:pPr>
        <w:ind w:firstLine="480"/>
        <w:rPr>
          <w:rFonts w:ascii="宋体" w:hAnsi="宋体" w:eastAsia="宋体"/>
        </w:rPr>
      </w:pPr>
      <w:r>
        <w:rPr>
          <w:rFonts w:hint="eastAsia" w:ascii="宋体" w:hAnsi="宋体" w:eastAsia="宋体"/>
        </w:rPr>
        <w:t>3）</w:t>
      </w:r>
      <w:r>
        <w:rPr>
          <w:rFonts w:ascii="宋体" w:hAnsi="宋体" w:eastAsia="宋体"/>
        </w:rPr>
        <w:t>对病历的书写唯一性的控制，比如入院记录首次病程记录只能写一个。</w:t>
      </w:r>
    </w:p>
    <w:p w14:paraId="4C5DABA3">
      <w:pPr>
        <w:ind w:firstLine="480"/>
        <w:rPr>
          <w:rFonts w:ascii="宋体" w:hAnsi="宋体" w:eastAsia="宋体"/>
        </w:rPr>
      </w:pPr>
      <w:r>
        <w:rPr>
          <w:rFonts w:hint="eastAsia" w:ascii="宋体" w:hAnsi="宋体" w:eastAsia="宋体"/>
        </w:rPr>
        <w:t>4）</w:t>
      </w:r>
      <w:r>
        <w:rPr>
          <w:rFonts w:ascii="宋体" w:hAnsi="宋体" w:eastAsia="宋体"/>
        </w:rPr>
        <w:t>支持对病历前置性的判断，比如某个病历创建之前必须依赖某个病历。</w:t>
      </w:r>
    </w:p>
    <w:p w14:paraId="73C1D916">
      <w:pPr>
        <w:ind w:firstLine="480"/>
        <w:rPr>
          <w:rFonts w:ascii="宋体" w:hAnsi="宋体" w:eastAsia="宋体"/>
        </w:rPr>
      </w:pPr>
      <w:r>
        <w:rPr>
          <w:rFonts w:hint="eastAsia" w:ascii="宋体" w:hAnsi="宋体" w:eastAsia="宋体"/>
        </w:rPr>
        <w:t>5）</w:t>
      </w:r>
      <w:r>
        <w:rPr>
          <w:rFonts w:ascii="宋体" w:hAnsi="宋体" w:eastAsia="宋体"/>
        </w:rPr>
        <w:t>支持对病历时间的相关验证，比如死亡记录的记录时间不能在死亡时间之前。</w:t>
      </w:r>
    </w:p>
    <w:p w14:paraId="1F9CDA7A">
      <w:pPr>
        <w:ind w:firstLine="480"/>
        <w:rPr>
          <w:rFonts w:ascii="宋体" w:hAnsi="宋体" w:eastAsia="宋体"/>
        </w:rPr>
      </w:pPr>
      <w:r>
        <w:rPr>
          <w:rFonts w:hint="eastAsia" w:ascii="宋体" w:hAnsi="宋体" w:eastAsia="宋体"/>
        </w:rPr>
        <w:t>6）</w:t>
      </w:r>
      <w:r>
        <w:rPr>
          <w:rFonts w:ascii="宋体" w:hAnsi="宋体" w:eastAsia="宋体"/>
        </w:rPr>
        <w:t>支持对病历提交的控制，比如，出院前不能提交出院记录。</w:t>
      </w:r>
    </w:p>
    <w:p w14:paraId="27E4A429">
      <w:pPr>
        <w:ind w:firstLine="480"/>
        <w:rPr>
          <w:rFonts w:ascii="宋体" w:hAnsi="宋体" w:eastAsia="宋体"/>
        </w:rPr>
      </w:pPr>
      <w:r>
        <w:rPr>
          <w:rFonts w:hint="eastAsia" w:ascii="宋体" w:hAnsi="宋体" w:eastAsia="宋体"/>
        </w:rPr>
        <w:t>7）</w:t>
      </w:r>
      <w:r>
        <w:rPr>
          <w:rFonts w:ascii="宋体" w:hAnsi="宋体" w:eastAsia="宋体"/>
        </w:rPr>
        <w:t>已经提交后的病历，质控发现的问题，医生经过修改后保留修改痕迹，同时质控系统可以查看到病历再次修改的痕迹。</w:t>
      </w:r>
    </w:p>
    <w:p w14:paraId="7F90A4FD">
      <w:pPr>
        <w:ind w:firstLine="480"/>
        <w:rPr>
          <w:rFonts w:ascii="宋体" w:hAnsi="宋体" w:eastAsia="宋体"/>
        </w:rPr>
      </w:pPr>
      <w:r>
        <w:rPr>
          <w:rFonts w:hint="eastAsia" w:ascii="宋体" w:hAnsi="宋体" w:eastAsia="宋体"/>
        </w:rPr>
        <w:t>8）支持</w:t>
      </w:r>
      <w:r>
        <w:rPr>
          <w:rFonts w:ascii="宋体" w:hAnsi="宋体" w:eastAsia="宋体"/>
        </w:rPr>
        <w:t>质控数据反馈相关医生，反馈</w:t>
      </w:r>
      <w:r>
        <w:rPr>
          <w:rFonts w:hint="eastAsia" w:ascii="宋体" w:hAnsi="宋体" w:eastAsia="宋体"/>
        </w:rPr>
        <w:t>到</w:t>
      </w:r>
      <w:r>
        <w:rPr>
          <w:rFonts w:ascii="宋体" w:hAnsi="宋体" w:eastAsia="宋体"/>
        </w:rPr>
        <w:t>电子病历系统</w:t>
      </w:r>
      <w:r>
        <w:rPr>
          <w:rFonts w:hint="eastAsia" w:ascii="宋体" w:hAnsi="宋体" w:eastAsia="宋体"/>
        </w:rPr>
        <w:t>中</w:t>
      </w:r>
      <w:r>
        <w:rPr>
          <w:rFonts w:ascii="宋体" w:hAnsi="宋体" w:eastAsia="宋体"/>
        </w:rPr>
        <w:t>，</w:t>
      </w:r>
      <w:r>
        <w:rPr>
          <w:rFonts w:hint="eastAsia" w:ascii="宋体" w:hAnsi="宋体" w:eastAsia="宋体"/>
        </w:rPr>
        <w:t>同时具备实现</w:t>
      </w:r>
      <w:r>
        <w:rPr>
          <w:rFonts w:ascii="宋体" w:hAnsi="宋体" w:eastAsia="宋体"/>
        </w:rPr>
        <w:t>集成平台</w:t>
      </w:r>
      <w:r>
        <w:rPr>
          <w:rFonts w:hint="eastAsia" w:ascii="宋体" w:hAnsi="宋体" w:eastAsia="宋体"/>
        </w:rPr>
        <w:t>的</w:t>
      </w:r>
      <w:r>
        <w:rPr>
          <w:rFonts w:ascii="宋体" w:hAnsi="宋体" w:eastAsia="宋体"/>
        </w:rPr>
        <w:t>单点登录。</w:t>
      </w:r>
    </w:p>
    <w:p w14:paraId="48D039AB">
      <w:pPr>
        <w:rPr>
          <w:rFonts w:ascii="宋体" w:hAnsi="宋体" w:eastAsia="宋体"/>
        </w:rPr>
      </w:pPr>
      <w:r>
        <w:rPr>
          <w:rFonts w:hint="eastAsia" w:ascii="宋体" w:hAnsi="宋体" w:eastAsia="宋体"/>
        </w:rPr>
        <w:t>（4）</w:t>
      </w:r>
      <w:r>
        <w:rPr>
          <w:rFonts w:ascii="宋体" w:hAnsi="宋体" w:eastAsia="宋体"/>
        </w:rPr>
        <w:t>质控统计分析</w:t>
      </w:r>
    </w:p>
    <w:p w14:paraId="5FC307DB">
      <w:pPr>
        <w:ind w:firstLine="480"/>
        <w:rPr>
          <w:rFonts w:ascii="宋体" w:hAnsi="宋体" w:eastAsia="宋体"/>
        </w:rPr>
      </w:pPr>
      <w:r>
        <w:rPr>
          <w:rFonts w:ascii="宋体" w:hAnsi="宋体" w:eastAsia="宋体"/>
        </w:rPr>
        <w:t>根据运行和终末的评分类型，对评分数据进行分科分类进行统计</w:t>
      </w:r>
      <w:r>
        <w:rPr>
          <w:rFonts w:hint="eastAsia" w:ascii="宋体" w:hAnsi="宋体" w:eastAsia="宋体"/>
        </w:rPr>
        <w:t>；</w:t>
      </w:r>
      <w:r>
        <w:rPr>
          <w:rFonts w:ascii="宋体" w:hAnsi="宋体" w:eastAsia="宋体"/>
        </w:rPr>
        <w:t>对时限数据的明细详情进行相关统计。</w:t>
      </w:r>
    </w:p>
    <w:p w14:paraId="6A623DC4">
      <w:pPr>
        <w:rPr>
          <w:rFonts w:ascii="宋体" w:hAnsi="宋体" w:eastAsia="宋体"/>
        </w:rPr>
      </w:pPr>
      <w:r>
        <w:rPr>
          <w:rFonts w:hint="eastAsia" w:ascii="宋体" w:hAnsi="宋体" w:eastAsia="宋体"/>
        </w:rPr>
        <w:t>（5）</w:t>
      </w:r>
      <w:r>
        <w:rPr>
          <w:rFonts w:ascii="宋体" w:hAnsi="宋体" w:eastAsia="宋体"/>
        </w:rPr>
        <w:t>病历归档</w:t>
      </w:r>
    </w:p>
    <w:p w14:paraId="6D0B44B4">
      <w:pPr>
        <w:ind w:firstLine="480"/>
        <w:rPr>
          <w:rFonts w:ascii="宋体" w:hAnsi="宋体" w:eastAsia="宋体"/>
        </w:rPr>
      </w:pPr>
      <w:r>
        <w:rPr>
          <w:rFonts w:hint="eastAsia" w:ascii="宋体" w:hAnsi="宋体" w:eastAsia="宋体"/>
        </w:rPr>
        <w:t>1）支持</w:t>
      </w:r>
      <w:r>
        <w:rPr>
          <w:rFonts w:ascii="宋体" w:hAnsi="宋体" w:eastAsia="宋体"/>
        </w:rPr>
        <w:t>电子病历随着病案首页一起归档，病历7日自动归档，病历手动归档等归档方式，归档后的病历无法编辑删除和新建</w:t>
      </w:r>
      <w:r>
        <w:rPr>
          <w:rFonts w:hint="eastAsia" w:ascii="宋体" w:hAnsi="宋体" w:eastAsia="宋体"/>
        </w:rPr>
        <w:t>；</w:t>
      </w:r>
    </w:p>
    <w:p w14:paraId="70C13095">
      <w:pPr>
        <w:ind w:firstLine="480"/>
        <w:rPr>
          <w:rFonts w:ascii="宋体" w:hAnsi="宋体" w:eastAsia="宋体"/>
        </w:rPr>
      </w:pPr>
      <w:r>
        <w:rPr>
          <w:rFonts w:hint="eastAsia" w:ascii="宋体" w:hAnsi="宋体" w:eastAsia="宋体"/>
        </w:rPr>
        <w:t>2）</w:t>
      </w:r>
      <w:r>
        <w:rPr>
          <w:rFonts w:ascii="宋体" w:hAnsi="宋体" w:eastAsia="宋体"/>
        </w:rPr>
        <w:t>对病历反归档并对病历归档后又反归档修改的病历预警处理机制。</w:t>
      </w:r>
    </w:p>
    <w:p w14:paraId="16121F06">
      <w:pPr>
        <w:rPr>
          <w:rFonts w:ascii="宋体" w:hAnsi="宋体" w:eastAsia="宋体"/>
        </w:rPr>
      </w:pPr>
      <w:r>
        <w:rPr>
          <w:rFonts w:hint="eastAsia" w:ascii="宋体" w:hAnsi="宋体" w:eastAsia="宋体"/>
        </w:rPr>
        <w:t>（6）</w:t>
      </w:r>
      <w:r>
        <w:rPr>
          <w:rFonts w:ascii="宋体" w:hAnsi="宋体" w:eastAsia="宋体"/>
        </w:rPr>
        <w:t>病历锁定</w:t>
      </w:r>
    </w:p>
    <w:p w14:paraId="4CD815CF">
      <w:pPr>
        <w:ind w:firstLine="480"/>
        <w:rPr>
          <w:rFonts w:ascii="宋体" w:hAnsi="宋体" w:eastAsia="宋体"/>
        </w:rPr>
      </w:pPr>
      <w:r>
        <w:rPr>
          <w:rFonts w:hint="eastAsia" w:ascii="宋体" w:hAnsi="宋体" w:eastAsia="宋体"/>
        </w:rPr>
        <w:t>1）</w:t>
      </w:r>
      <w:r>
        <w:rPr>
          <w:rFonts w:ascii="宋体" w:hAnsi="宋体" w:eastAsia="宋体"/>
        </w:rPr>
        <w:t>支持病历锁定，对产生医疗纠纷的运行病历</w:t>
      </w:r>
      <w:r>
        <w:rPr>
          <w:rFonts w:hint="eastAsia" w:ascii="宋体" w:hAnsi="宋体" w:eastAsia="宋体"/>
        </w:rPr>
        <w:t>进行</w:t>
      </w:r>
      <w:r>
        <w:rPr>
          <w:rFonts w:ascii="宋体" w:hAnsi="宋体" w:eastAsia="宋体"/>
        </w:rPr>
        <w:t>锁定，锁定后医生不能编辑。</w:t>
      </w:r>
    </w:p>
    <w:p w14:paraId="488D007F">
      <w:pPr>
        <w:ind w:firstLine="480"/>
        <w:rPr>
          <w:rFonts w:ascii="宋体" w:hAnsi="宋体" w:eastAsia="宋体"/>
        </w:rPr>
      </w:pPr>
      <w:r>
        <w:rPr>
          <w:rFonts w:hint="eastAsia" w:ascii="宋体" w:hAnsi="宋体" w:eastAsia="宋体"/>
        </w:rPr>
        <w:t>2）</w:t>
      </w:r>
      <w:r>
        <w:rPr>
          <w:rFonts w:ascii="宋体" w:hAnsi="宋体" w:eastAsia="宋体"/>
        </w:rPr>
        <w:t>针对时限超时的病历也可以进行锁定管理，对超时未写的病历进行分类锁定限制其新建。</w:t>
      </w:r>
    </w:p>
    <w:p w14:paraId="7944FC69">
      <w:pPr>
        <w:ind w:firstLine="480"/>
        <w:rPr>
          <w:rFonts w:ascii="宋体" w:hAnsi="宋体" w:eastAsia="宋体"/>
        </w:rPr>
      </w:pPr>
      <w:r>
        <w:rPr>
          <w:rFonts w:hint="eastAsia" w:ascii="宋体" w:hAnsi="宋体" w:eastAsia="宋体"/>
        </w:rPr>
        <w:t>3）</w:t>
      </w:r>
      <w:r>
        <w:rPr>
          <w:rFonts w:ascii="宋体" w:hAnsi="宋体" w:eastAsia="宋体"/>
        </w:rPr>
        <w:t>对已写未在规定时限内提交的病历进行内容锁定，限制其编辑，与电子病历联动，</w:t>
      </w:r>
      <w:r>
        <w:rPr>
          <w:rFonts w:hint="eastAsia" w:ascii="宋体" w:hAnsi="宋体" w:eastAsia="宋体"/>
        </w:rPr>
        <w:t>支持</w:t>
      </w:r>
      <w:r>
        <w:rPr>
          <w:rFonts w:ascii="宋体" w:hAnsi="宋体" w:eastAsia="宋体"/>
        </w:rPr>
        <w:t>申请解锁与相关的解锁界面。</w:t>
      </w:r>
    </w:p>
    <w:p w14:paraId="226DF439">
      <w:pPr>
        <w:pStyle w:val="6"/>
      </w:pPr>
      <w:r>
        <w:rPr>
          <w:rFonts w:hint="eastAsia"/>
        </w:rPr>
        <w:t>门诊医生工作站</w:t>
      </w:r>
    </w:p>
    <w:p w14:paraId="4F10A92E">
      <w:pPr>
        <w:rPr>
          <w:rFonts w:ascii="宋体" w:hAnsi="宋体" w:eastAsia="宋体"/>
        </w:rPr>
      </w:pPr>
      <w:r>
        <w:rPr>
          <w:rFonts w:hint="eastAsia" w:ascii="宋体" w:hAnsi="宋体" w:eastAsia="宋体"/>
        </w:rPr>
        <w:t>（1）患者管理</w:t>
      </w:r>
    </w:p>
    <w:p w14:paraId="61B2ECBC">
      <w:pPr>
        <w:ind w:firstLine="480"/>
        <w:rPr>
          <w:rFonts w:ascii="宋体" w:hAnsi="宋体" w:eastAsia="宋体"/>
        </w:rPr>
      </w:pPr>
      <w:r>
        <w:rPr>
          <w:rFonts w:hint="eastAsia" w:ascii="宋体" w:hAnsi="宋体" w:eastAsia="宋体"/>
        </w:rPr>
        <w:t>1）医生可对待诊患者列表进行管理，已挂号或分诊的病人自动进入待诊患者列表。</w:t>
      </w:r>
    </w:p>
    <w:p w14:paraId="5898C58F">
      <w:pPr>
        <w:ind w:firstLine="480"/>
        <w:rPr>
          <w:rFonts w:ascii="宋体" w:hAnsi="宋体" w:eastAsia="宋体"/>
        </w:rPr>
      </w:pPr>
      <w:r>
        <w:rPr>
          <w:rFonts w:hint="eastAsia" w:ascii="宋体" w:hAnsi="宋体" w:eastAsia="宋体"/>
        </w:rPr>
        <w:t>2）医生可对已诊患者列表进行管理，可查看个人资料、病历记录等。</w:t>
      </w:r>
    </w:p>
    <w:p w14:paraId="79BBE9B7">
      <w:pPr>
        <w:ind w:firstLine="480"/>
        <w:rPr>
          <w:rFonts w:ascii="宋体" w:hAnsi="宋体" w:eastAsia="宋体"/>
        </w:rPr>
      </w:pPr>
      <w:r>
        <w:rPr>
          <w:rFonts w:hint="eastAsia" w:ascii="宋体" w:hAnsi="宋体" w:eastAsia="宋体"/>
        </w:rPr>
        <w:t>3）可查看就诊患者的历史就诊信息，并可进入查看具体病历资料等，以便更好地了解患者的病情和治疗需求。</w:t>
      </w:r>
    </w:p>
    <w:p w14:paraId="5DFFA165">
      <w:pPr>
        <w:ind w:firstLine="480"/>
        <w:rPr>
          <w:rFonts w:ascii="宋体" w:hAnsi="宋体" w:eastAsia="宋体"/>
        </w:rPr>
      </w:pPr>
      <w:r>
        <w:rPr>
          <w:rFonts w:hint="eastAsia" w:ascii="宋体" w:hAnsi="宋体" w:eastAsia="宋体"/>
        </w:rPr>
        <w:t>4）医生可查看本人的患者列表以及本科的患者列表。</w:t>
      </w:r>
    </w:p>
    <w:p w14:paraId="48BE5F3A">
      <w:pPr>
        <w:rPr>
          <w:rFonts w:ascii="宋体" w:hAnsi="宋体" w:eastAsia="宋体"/>
        </w:rPr>
      </w:pPr>
      <w:r>
        <w:rPr>
          <w:rFonts w:hint="eastAsia" w:ascii="宋体" w:hAnsi="宋体" w:eastAsia="宋体"/>
        </w:rPr>
        <w:t>（2）接诊管理</w:t>
      </w:r>
    </w:p>
    <w:p w14:paraId="008A5F38">
      <w:pPr>
        <w:ind w:firstLine="480"/>
        <w:rPr>
          <w:rFonts w:ascii="宋体" w:hAnsi="宋体" w:eastAsia="宋体"/>
        </w:rPr>
      </w:pPr>
      <w:r>
        <w:rPr>
          <w:rFonts w:hint="eastAsia" w:ascii="宋体" w:hAnsi="宋体" w:eastAsia="宋体"/>
        </w:rPr>
        <w:t>1）支持医生根据患者列表对患者进行呼叫就诊，与分诊叫号系统实现互动，叫号信息同步到语音设备及诊室显示屏上。</w:t>
      </w:r>
    </w:p>
    <w:p w14:paraId="647EBFE1">
      <w:pPr>
        <w:ind w:firstLine="480"/>
        <w:rPr>
          <w:rFonts w:ascii="宋体" w:hAnsi="宋体" w:eastAsia="宋体"/>
        </w:rPr>
      </w:pPr>
      <w:r>
        <w:rPr>
          <w:rFonts w:hint="eastAsia" w:ascii="宋体" w:hAnsi="宋体" w:eastAsia="宋体"/>
        </w:rPr>
        <w:t>2）医生接诊患者后自动获取患者基本信息，为病历书写、门诊医嘱提供数据支持。</w:t>
      </w:r>
    </w:p>
    <w:p w14:paraId="718F3AF4">
      <w:pPr>
        <w:ind w:firstLine="480"/>
        <w:rPr>
          <w:rFonts w:ascii="宋体" w:hAnsi="宋体" w:eastAsia="宋体"/>
        </w:rPr>
      </w:pPr>
      <w:r>
        <w:rPr>
          <w:rFonts w:hint="eastAsia" w:ascii="宋体" w:hAnsi="宋体" w:eastAsia="宋体"/>
        </w:rPr>
        <w:t>3）支持医生无号就诊，为一些特殊情况患者提供便利。</w:t>
      </w:r>
    </w:p>
    <w:p w14:paraId="0519A6A4">
      <w:pPr>
        <w:ind w:firstLine="480"/>
        <w:rPr>
          <w:rFonts w:ascii="宋体" w:hAnsi="宋体" w:eastAsia="宋体"/>
        </w:rPr>
      </w:pPr>
      <w:r>
        <w:rPr>
          <w:rFonts w:hint="eastAsia" w:ascii="宋体" w:hAnsi="宋体" w:eastAsia="宋体"/>
        </w:rPr>
        <w:t>4）支持诊间预约挂号，可预约下次就诊科目及日期。</w:t>
      </w:r>
    </w:p>
    <w:p w14:paraId="21971797">
      <w:pPr>
        <w:ind w:firstLine="480"/>
        <w:rPr>
          <w:rFonts w:ascii="宋体" w:hAnsi="宋体" w:eastAsia="宋体"/>
        </w:rPr>
      </w:pPr>
      <w:r>
        <w:rPr>
          <w:rFonts w:hint="eastAsia" w:ascii="宋体" w:hAnsi="宋体" w:eastAsia="宋体"/>
        </w:rPr>
        <w:t>5）支持诊间加号、退号。</w:t>
      </w:r>
    </w:p>
    <w:p w14:paraId="79B1398F">
      <w:pPr>
        <w:rPr>
          <w:rFonts w:ascii="宋体" w:hAnsi="宋体" w:eastAsia="宋体"/>
        </w:rPr>
      </w:pPr>
      <w:r>
        <w:rPr>
          <w:rFonts w:hint="eastAsia" w:ascii="宋体" w:hAnsi="宋体" w:eastAsia="宋体"/>
        </w:rPr>
        <w:t>（2）诊断管理</w:t>
      </w:r>
    </w:p>
    <w:p w14:paraId="3E9A0752">
      <w:pPr>
        <w:ind w:firstLine="480"/>
        <w:rPr>
          <w:rFonts w:ascii="宋体" w:hAnsi="宋体" w:eastAsia="宋体"/>
        </w:rPr>
      </w:pPr>
      <w:r>
        <w:rPr>
          <w:rFonts w:hint="eastAsia" w:ascii="宋体" w:hAnsi="宋体" w:eastAsia="宋体"/>
        </w:rPr>
        <w:t>1）医生使用国际标准疾病代码ICD-10下达诊断。</w:t>
      </w:r>
    </w:p>
    <w:p w14:paraId="2CC322F1">
      <w:pPr>
        <w:ind w:firstLine="480"/>
        <w:rPr>
          <w:rFonts w:ascii="宋体" w:hAnsi="宋体" w:eastAsia="宋体"/>
        </w:rPr>
      </w:pPr>
      <w:r>
        <w:rPr>
          <w:rFonts w:hint="eastAsia" w:ascii="宋体" w:hAnsi="宋体" w:eastAsia="宋体"/>
        </w:rPr>
        <w:t>2）支持在诊断基础上进行前缀、后缀内容的增加。</w:t>
      </w:r>
    </w:p>
    <w:p w14:paraId="697855E4">
      <w:pPr>
        <w:ind w:firstLine="480"/>
        <w:rPr>
          <w:rFonts w:ascii="宋体" w:hAnsi="宋体" w:eastAsia="宋体"/>
        </w:rPr>
      </w:pPr>
      <w:r>
        <w:rPr>
          <w:rFonts w:hint="eastAsia" w:ascii="宋体" w:hAnsi="宋体" w:eastAsia="宋体"/>
        </w:rPr>
        <w:t>3）支持门诊诊断的确诊和疑诊标记。</w:t>
      </w:r>
    </w:p>
    <w:p w14:paraId="4606B077">
      <w:pPr>
        <w:ind w:firstLine="480"/>
        <w:rPr>
          <w:rFonts w:ascii="宋体" w:hAnsi="宋体" w:eastAsia="宋体"/>
        </w:rPr>
      </w:pPr>
      <w:r>
        <w:rPr>
          <w:rFonts w:hint="eastAsia" w:ascii="宋体" w:hAnsi="宋体" w:eastAsia="宋体"/>
        </w:rPr>
        <w:t>4）支持医保病人特殊病种录入。</w:t>
      </w:r>
    </w:p>
    <w:p w14:paraId="094A03F3">
      <w:pPr>
        <w:ind w:firstLine="480"/>
        <w:rPr>
          <w:rFonts w:ascii="宋体" w:hAnsi="宋体" w:eastAsia="宋体"/>
        </w:rPr>
      </w:pPr>
      <w:r>
        <w:rPr>
          <w:rFonts w:hint="eastAsia" w:ascii="宋体" w:hAnsi="宋体" w:eastAsia="宋体"/>
        </w:rPr>
        <w:t>5）医生可以根据诊断的的情况，设置常用诊断或者个人诊断模板。</w:t>
      </w:r>
    </w:p>
    <w:p w14:paraId="5CF2B77A">
      <w:pPr>
        <w:ind w:firstLine="480"/>
        <w:rPr>
          <w:rFonts w:ascii="宋体" w:hAnsi="宋体" w:eastAsia="宋体"/>
        </w:rPr>
      </w:pPr>
      <w:r>
        <w:rPr>
          <w:rFonts w:hint="eastAsia" w:ascii="宋体" w:hAnsi="宋体" w:eastAsia="宋体"/>
        </w:rPr>
        <w:t>6）可查看复诊患者的至少三年内的历史就诊信息包括（诊断、门诊病历、处置、药品、检查、检验），并可以直接引用该患者历史信息为本次所用。</w:t>
      </w:r>
    </w:p>
    <w:p w14:paraId="1C39BBE2">
      <w:pPr>
        <w:rPr>
          <w:rFonts w:ascii="宋体" w:hAnsi="宋体" w:eastAsia="宋体"/>
        </w:rPr>
      </w:pPr>
      <w:r>
        <w:rPr>
          <w:rFonts w:hint="eastAsia" w:ascii="宋体" w:hAnsi="宋体" w:eastAsia="宋体"/>
        </w:rPr>
        <w:t>（4）病历书写</w:t>
      </w:r>
    </w:p>
    <w:p w14:paraId="3392B7BE">
      <w:pPr>
        <w:ind w:firstLine="480"/>
        <w:rPr>
          <w:rFonts w:ascii="宋体" w:hAnsi="宋体" w:eastAsia="宋体"/>
        </w:rPr>
      </w:pPr>
      <w:r>
        <w:rPr>
          <w:rFonts w:hint="eastAsia" w:ascii="宋体" w:hAnsi="宋体" w:eastAsia="宋体"/>
        </w:rPr>
        <w:t>1）采用结构化电子病历，支持结构化录入及处理、图形图像标注、多媒体调用、医学专用符号及表达式。</w:t>
      </w:r>
    </w:p>
    <w:p w14:paraId="3BD43EE9">
      <w:pPr>
        <w:ind w:firstLine="480"/>
        <w:rPr>
          <w:rFonts w:ascii="宋体" w:hAnsi="宋体" w:eastAsia="宋体"/>
        </w:rPr>
      </w:pPr>
      <w:r>
        <w:rPr>
          <w:rFonts w:hint="eastAsia" w:ascii="宋体" w:hAnsi="宋体" w:eastAsia="宋体"/>
        </w:rPr>
        <w:t>2）支持临床信息引用，可直接引用患者基本信息、检验、检查等数据，也可引用历史病历中的相关内容。</w:t>
      </w:r>
    </w:p>
    <w:p w14:paraId="013BEAD8">
      <w:pPr>
        <w:ind w:firstLine="480"/>
        <w:rPr>
          <w:rFonts w:ascii="宋体" w:hAnsi="宋体" w:eastAsia="宋体"/>
        </w:rPr>
      </w:pPr>
      <w:r>
        <w:rPr>
          <w:rFonts w:hint="eastAsia" w:ascii="宋体" w:hAnsi="宋体" w:eastAsia="宋体"/>
        </w:rPr>
        <w:t>3）支持诊断库、电子病历模板库等知识库的支撑。</w:t>
      </w:r>
    </w:p>
    <w:p w14:paraId="5BA9B065">
      <w:pPr>
        <w:ind w:firstLine="480"/>
        <w:rPr>
          <w:rFonts w:ascii="宋体" w:hAnsi="宋体" w:eastAsia="宋体"/>
        </w:rPr>
      </w:pPr>
      <w:r>
        <w:rPr>
          <w:rFonts w:hint="eastAsia" w:ascii="宋体" w:hAnsi="宋体" w:eastAsia="宋体"/>
        </w:rPr>
        <w:t>4）支持病历留痕，病历内容历次修改痕迹保留。</w:t>
      </w:r>
    </w:p>
    <w:p w14:paraId="78805DB2">
      <w:pPr>
        <w:rPr>
          <w:rFonts w:ascii="宋体" w:hAnsi="宋体" w:eastAsia="宋体"/>
        </w:rPr>
      </w:pPr>
      <w:r>
        <w:rPr>
          <w:rFonts w:hint="eastAsia" w:ascii="宋体" w:hAnsi="宋体" w:eastAsia="宋体"/>
        </w:rPr>
        <w:t>（5）医嘱管理</w:t>
      </w:r>
    </w:p>
    <w:p w14:paraId="25604CA3">
      <w:pPr>
        <w:ind w:firstLine="480"/>
        <w:rPr>
          <w:rFonts w:ascii="宋体" w:hAnsi="宋体" w:eastAsia="宋体"/>
        </w:rPr>
      </w:pPr>
      <w:r>
        <w:rPr>
          <w:rFonts w:hint="eastAsia" w:ascii="宋体" w:hAnsi="宋体" w:eastAsia="宋体"/>
        </w:rPr>
        <w:t>1）医生可开具药品、处置治疗、卫生材料等医嘱，并支持药物字典、检验检查字典、手术治疗字典等字典信息。</w:t>
      </w:r>
    </w:p>
    <w:p w14:paraId="6DD17D1B">
      <w:pPr>
        <w:ind w:firstLine="480"/>
        <w:rPr>
          <w:rFonts w:ascii="宋体" w:hAnsi="宋体" w:eastAsia="宋体"/>
        </w:rPr>
      </w:pPr>
      <w:r>
        <w:rPr>
          <w:rFonts w:hint="eastAsia" w:ascii="宋体" w:hAnsi="宋体" w:eastAsia="宋体"/>
        </w:rPr>
        <w:t>2）医嘱权限管理，支持不同级别医生开立相应级别药物、检验检查、治疗方案以及手术等医嘱信息。</w:t>
      </w:r>
    </w:p>
    <w:p w14:paraId="01749ABD">
      <w:pPr>
        <w:ind w:firstLine="480"/>
        <w:rPr>
          <w:rFonts w:ascii="宋体" w:hAnsi="宋体" w:eastAsia="宋体"/>
        </w:rPr>
      </w:pPr>
      <w:r>
        <w:rPr>
          <w:rFonts w:hint="eastAsia" w:ascii="宋体" w:hAnsi="宋体" w:eastAsia="宋体"/>
        </w:rPr>
        <w:t>3）自动审核录入处方的完整性，以符合《处方管理办法》：诊断、科室、医生、时间的限制等。</w:t>
      </w:r>
    </w:p>
    <w:p w14:paraId="7E4B52BB">
      <w:pPr>
        <w:ind w:firstLine="480"/>
        <w:rPr>
          <w:rFonts w:ascii="宋体" w:hAnsi="宋体" w:eastAsia="宋体"/>
        </w:rPr>
      </w:pPr>
      <w:r>
        <w:rPr>
          <w:rFonts w:hint="eastAsia" w:ascii="宋体" w:hAnsi="宋体" w:eastAsia="宋体"/>
        </w:rPr>
        <w:t>4） 对接合理用药系统、医保控费系统进行合理用药及医保控费审查及提示。</w:t>
      </w:r>
    </w:p>
    <w:p w14:paraId="7B1194B7">
      <w:pPr>
        <w:ind w:firstLine="480"/>
        <w:rPr>
          <w:rFonts w:ascii="宋体" w:hAnsi="宋体" w:eastAsia="宋体"/>
        </w:rPr>
      </w:pPr>
      <w:r>
        <w:rPr>
          <w:rFonts w:hint="eastAsia" w:ascii="宋体" w:hAnsi="宋体" w:eastAsia="宋体"/>
        </w:rPr>
        <w:t>5）支持处方模板，并具有相应模板编辑，方便医生快捷进行医嘱的开立。</w:t>
      </w:r>
    </w:p>
    <w:p w14:paraId="24F4A237">
      <w:pPr>
        <w:ind w:firstLine="480"/>
        <w:rPr>
          <w:rFonts w:ascii="宋体" w:hAnsi="宋体" w:eastAsia="宋体"/>
        </w:rPr>
      </w:pPr>
      <w:r>
        <w:rPr>
          <w:rFonts w:hint="eastAsia" w:ascii="宋体" w:hAnsi="宋体" w:eastAsia="宋体"/>
        </w:rPr>
        <w:t>6）支持协定处方，提高医院配方速度和质量。</w:t>
      </w:r>
    </w:p>
    <w:p w14:paraId="00AA6E21">
      <w:pPr>
        <w:ind w:firstLine="480"/>
        <w:rPr>
          <w:rFonts w:ascii="宋体" w:hAnsi="宋体" w:eastAsia="宋体"/>
        </w:rPr>
      </w:pPr>
      <w:r>
        <w:rPr>
          <w:rFonts w:hint="eastAsia" w:ascii="宋体" w:hAnsi="宋体" w:eastAsia="宋体"/>
        </w:rPr>
        <w:t>7）支持费用信息提示：包括项目名称、规格、价格、医保费用类别、数量等。</w:t>
      </w:r>
    </w:p>
    <w:p w14:paraId="36C82C3A">
      <w:pPr>
        <w:ind w:firstLine="480"/>
        <w:rPr>
          <w:rFonts w:ascii="宋体" w:hAnsi="宋体" w:eastAsia="宋体"/>
        </w:rPr>
      </w:pPr>
      <w:r>
        <w:rPr>
          <w:rFonts w:hint="eastAsia" w:ascii="宋体" w:hAnsi="宋体" w:eastAsia="宋体"/>
        </w:rPr>
        <w:t>8）支持药品信息提示：包括商品名、通用名、规格、价格、库存量、医保费用类别等。</w:t>
      </w:r>
    </w:p>
    <w:p w14:paraId="21D40EA2">
      <w:pPr>
        <w:ind w:firstLine="480"/>
        <w:rPr>
          <w:rFonts w:ascii="宋体" w:hAnsi="宋体" w:eastAsia="宋体"/>
        </w:rPr>
      </w:pPr>
      <w:r>
        <w:rPr>
          <w:rFonts w:hint="eastAsia" w:ascii="宋体" w:hAnsi="宋体" w:eastAsia="宋体"/>
        </w:rPr>
        <w:t>9）支持缺药提醒，缺药时不允许进行后续处方开具流程。</w:t>
      </w:r>
    </w:p>
    <w:p w14:paraId="6C171A6C">
      <w:pPr>
        <w:ind w:firstLine="480"/>
        <w:rPr>
          <w:rFonts w:ascii="宋体" w:hAnsi="宋体" w:eastAsia="宋体"/>
        </w:rPr>
      </w:pPr>
      <w:r>
        <w:rPr>
          <w:rFonts w:hint="eastAsia" w:ascii="宋体" w:hAnsi="宋体" w:eastAsia="宋体"/>
        </w:rPr>
        <w:t>10）支持多种录入方式：五笔首码、拼音首码、汉字、商品名、通用名、药品编码等。</w:t>
      </w:r>
    </w:p>
    <w:p w14:paraId="0605CC28">
      <w:pPr>
        <w:ind w:firstLine="480"/>
        <w:rPr>
          <w:rFonts w:ascii="宋体" w:hAnsi="宋体" w:eastAsia="宋体"/>
        </w:rPr>
      </w:pPr>
      <w:r>
        <w:rPr>
          <w:rFonts w:hint="eastAsia" w:ascii="宋体" w:hAnsi="宋体" w:eastAsia="宋体"/>
        </w:rPr>
        <w:t>11）可预先设置药品的默认剂量、频次、用法等，提高医生开方速度。</w:t>
      </w:r>
    </w:p>
    <w:p w14:paraId="66D855ED">
      <w:pPr>
        <w:ind w:firstLine="480"/>
        <w:rPr>
          <w:rFonts w:ascii="宋体" w:hAnsi="宋体" w:eastAsia="宋体"/>
        </w:rPr>
      </w:pPr>
      <w:r>
        <w:rPr>
          <w:rFonts w:hint="eastAsia" w:ascii="宋体" w:hAnsi="宋体" w:eastAsia="宋体"/>
        </w:rPr>
        <w:t>12）所有医嘱均支持备注，医师可以输入相关注意事项。</w:t>
      </w:r>
    </w:p>
    <w:p w14:paraId="0299BF57">
      <w:pPr>
        <w:ind w:firstLine="480"/>
        <w:rPr>
          <w:rFonts w:ascii="宋体" w:hAnsi="宋体" w:eastAsia="宋体"/>
        </w:rPr>
      </w:pPr>
      <w:r>
        <w:rPr>
          <w:rFonts w:hint="eastAsia" w:ascii="宋体" w:hAnsi="宋体" w:eastAsia="宋体"/>
        </w:rPr>
        <w:t>13）支持处方作废、处方双签字。</w:t>
      </w:r>
    </w:p>
    <w:p w14:paraId="20E56CA2">
      <w:pPr>
        <w:ind w:firstLine="480"/>
        <w:rPr>
          <w:rFonts w:ascii="宋体" w:hAnsi="宋体" w:eastAsia="宋体"/>
        </w:rPr>
      </w:pPr>
      <w:r>
        <w:rPr>
          <w:rFonts w:hint="eastAsia" w:ascii="宋体" w:hAnsi="宋体" w:eastAsia="宋体"/>
        </w:rPr>
        <w:t>14）转诊管理：接诊医师接到患者后，首先进行初步诊断，并根据患者的病情和需要，接诊医师指定转诊科室或者转诊医生进行转诊。</w:t>
      </w:r>
      <w:r>
        <w:rPr>
          <w:rFonts w:ascii="宋体" w:hAnsi="宋体" w:eastAsia="宋体"/>
        </w:rPr>
        <w:t xml:space="preserve"> </w:t>
      </w:r>
    </w:p>
    <w:p w14:paraId="733FB1FF">
      <w:pPr>
        <w:ind w:firstLine="480"/>
        <w:rPr>
          <w:rFonts w:ascii="宋体" w:hAnsi="宋体" w:eastAsia="宋体"/>
        </w:rPr>
      </w:pPr>
      <w:r>
        <w:rPr>
          <w:rFonts w:hint="eastAsia" w:ascii="宋体" w:hAnsi="宋体" w:eastAsia="宋体"/>
        </w:rPr>
        <w:t>15）绿色通道管理：由接诊医生进行初步诊断和紧急处理，根据患者病情和需要，决定是否需要开通绿色通道。</w:t>
      </w:r>
    </w:p>
    <w:p w14:paraId="0AF4EB1E">
      <w:pPr>
        <w:rPr>
          <w:rFonts w:ascii="宋体" w:hAnsi="宋体" w:eastAsia="宋体"/>
        </w:rPr>
      </w:pPr>
      <w:r>
        <w:rPr>
          <w:rFonts w:hint="eastAsia" w:ascii="宋体" w:hAnsi="宋体" w:eastAsia="宋体"/>
        </w:rPr>
        <w:t>（6）申请单管理</w:t>
      </w:r>
    </w:p>
    <w:p w14:paraId="3577ED43">
      <w:pPr>
        <w:ind w:firstLine="480"/>
        <w:rPr>
          <w:rFonts w:ascii="宋体" w:hAnsi="宋体" w:eastAsia="宋体"/>
        </w:rPr>
      </w:pPr>
      <w:r>
        <w:rPr>
          <w:rFonts w:hint="eastAsia" w:ascii="宋体" w:hAnsi="宋体" w:eastAsia="宋体"/>
        </w:rPr>
        <w:t>1）支持检验申请单开具，支持检验项目诊断、频次、数量、加急标志录入，开具申请单时可浏览患者重要病历信息。</w:t>
      </w:r>
    </w:p>
    <w:p w14:paraId="2E932C9C">
      <w:pPr>
        <w:ind w:firstLine="480"/>
        <w:rPr>
          <w:rFonts w:ascii="宋体" w:hAnsi="宋体" w:eastAsia="宋体"/>
        </w:rPr>
      </w:pPr>
      <w:r>
        <w:rPr>
          <w:rFonts w:hint="eastAsia" w:ascii="宋体" w:hAnsi="宋体" w:eastAsia="宋体"/>
        </w:rPr>
        <w:t>2）检查申请单开具，支持检查申请单临床摘要、诊断信息、检查目的、注意事项录入，开具申请单时可浏览患者重要病历信息。</w:t>
      </w:r>
    </w:p>
    <w:p w14:paraId="51E0A8DC">
      <w:pPr>
        <w:ind w:firstLine="480"/>
        <w:rPr>
          <w:rFonts w:ascii="宋体" w:hAnsi="宋体" w:eastAsia="宋体"/>
        </w:rPr>
      </w:pPr>
      <w:r>
        <w:rPr>
          <w:rFonts w:hint="eastAsia" w:ascii="宋体" w:hAnsi="宋体" w:eastAsia="宋体"/>
        </w:rPr>
        <w:t>3）手术申请单开具，支持急诊手术、日间手术等标志录入。</w:t>
      </w:r>
    </w:p>
    <w:p w14:paraId="53724051">
      <w:pPr>
        <w:rPr>
          <w:rFonts w:ascii="宋体" w:hAnsi="宋体" w:eastAsia="宋体"/>
        </w:rPr>
      </w:pPr>
      <w:r>
        <w:rPr>
          <w:rFonts w:hint="eastAsia" w:ascii="宋体" w:hAnsi="宋体" w:eastAsia="宋体"/>
        </w:rPr>
        <w:t>（7）</w:t>
      </w:r>
      <w:r>
        <w:rPr>
          <w:rFonts w:ascii="宋体" w:hAnsi="宋体" w:eastAsia="宋体"/>
        </w:rPr>
        <w:t>报告查阅</w:t>
      </w:r>
    </w:p>
    <w:p w14:paraId="5210BE90">
      <w:pPr>
        <w:ind w:firstLine="480"/>
        <w:rPr>
          <w:rFonts w:ascii="宋体" w:hAnsi="宋体" w:eastAsia="宋体"/>
        </w:rPr>
      </w:pPr>
      <w:r>
        <w:rPr>
          <w:rFonts w:hint="eastAsia" w:ascii="宋体" w:hAnsi="宋体" w:eastAsia="宋体"/>
        </w:rPr>
        <w:t>1）要求</w:t>
      </w:r>
      <w:r>
        <w:rPr>
          <w:rFonts w:ascii="宋体" w:hAnsi="宋体" w:eastAsia="宋体"/>
        </w:rPr>
        <w:t>与医技检查系统对接，实现医技检查报告调阅，可查看检查结果和影像资料。</w:t>
      </w:r>
    </w:p>
    <w:p w14:paraId="6AAE8D3E">
      <w:pPr>
        <w:ind w:firstLine="480"/>
        <w:rPr>
          <w:rFonts w:ascii="宋体" w:hAnsi="宋体" w:eastAsia="宋体"/>
        </w:rPr>
      </w:pPr>
      <w:r>
        <w:rPr>
          <w:rFonts w:hint="eastAsia" w:ascii="宋体" w:hAnsi="宋体" w:eastAsia="宋体"/>
        </w:rPr>
        <w:t>2）要求</w:t>
      </w:r>
      <w:r>
        <w:rPr>
          <w:rFonts w:ascii="宋体" w:hAnsi="宋体" w:eastAsia="宋体"/>
        </w:rPr>
        <w:t>与医技检验系统对接，实现医技检验报告调阅。</w:t>
      </w:r>
    </w:p>
    <w:p w14:paraId="17077972">
      <w:pPr>
        <w:rPr>
          <w:rFonts w:ascii="宋体" w:hAnsi="宋体" w:eastAsia="宋体"/>
        </w:rPr>
      </w:pPr>
      <w:r>
        <w:rPr>
          <w:rFonts w:hint="eastAsia" w:ascii="宋体" w:hAnsi="宋体" w:eastAsia="宋体"/>
        </w:rPr>
        <w:t>（8）会诊管理</w:t>
      </w:r>
    </w:p>
    <w:p w14:paraId="2713DDF4">
      <w:pPr>
        <w:ind w:firstLine="480"/>
        <w:rPr>
          <w:rFonts w:ascii="宋体" w:hAnsi="宋体" w:eastAsia="宋体"/>
        </w:rPr>
      </w:pPr>
      <w:r>
        <w:rPr>
          <w:rFonts w:hint="eastAsia" w:ascii="宋体" w:hAnsi="宋体" w:eastAsia="宋体"/>
        </w:rPr>
        <w:t>1）</w:t>
      </w:r>
      <w:r>
        <w:rPr>
          <w:rFonts w:ascii="宋体" w:hAnsi="宋体" w:eastAsia="宋体"/>
        </w:rPr>
        <w:t>门诊会诊申请，支持门诊各科室间的会诊申请。</w:t>
      </w:r>
    </w:p>
    <w:p w14:paraId="2FC544E8">
      <w:pPr>
        <w:ind w:firstLine="480"/>
        <w:rPr>
          <w:rFonts w:ascii="宋体" w:hAnsi="宋体" w:eastAsia="宋体"/>
        </w:rPr>
      </w:pPr>
      <w:r>
        <w:rPr>
          <w:rFonts w:hint="eastAsia" w:ascii="宋体" w:hAnsi="宋体" w:eastAsia="宋体"/>
        </w:rPr>
        <w:t>2）</w:t>
      </w:r>
      <w:r>
        <w:rPr>
          <w:rFonts w:ascii="宋体" w:hAnsi="宋体" w:eastAsia="宋体"/>
        </w:rPr>
        <w:t>填写会诊结论，同时查看患者的就诊信息。</w:t>
      </w:r>
    </w:p>
    <w:p w14:paraId="6FE1DC41">
      <w:pPr>
        <w:rPr>
          <w:rFonts w:ascii="宋体" w:hAnsi="宋体" w:eastAsia="宋体"/>
        </w:rPr>
      </w:pPr>
      <w:r>
        <w:rPr>
          <w:rFonts w:hint="eastAsia" w:ascii="宋体" w:hAnsi="宋体" w:eastAsia="宋体"/>
        </w:rPr>
        <w:t>（9）</w:t>
      </w:r>
      <w:r>
        <w:rPr>
          <w:rFonts w:ascii="宋体" w:hAnsi="宋体" w:eastAsia="宋体"/>
        </w:rPr>
        <w:t>费用管理</w:t>
      </w:r>
    </w:p>
    <w:p w14:paraId="5C070D53">
      <w:pPr>
        <w:ind w:firstLine="480"/>
        <w:rPr>
          <w:rFonts w:ascii="宋体" w:hAnsi="宋体" w:eastAsia="宋体"/>
        </w:rPr>
      </w:pPr>
      <w:r>
        <w:rPr>
          <w:rFonts w:ascii="宋体" w:hAnsi="宋体" w:eastAsia="宋体"/>
        </w:rPr>
        <w:t>自动核算就诊费用，</w:t>
      </w:r>
      <w:r>
        <w:rPr>
          <w:rFonts w:hint="eastAsia" w:ascii="宋体" w:hAnsi="宋体" w:eastAsia="宋体"/>
        </w:rPr>
        <w:t>支持</w:t>
      </w:r>
      <w:r>
        <w:rPr>
          <w:rFonts w:ascii="宋体" w:hAnsi="宋体" w:eastAsia="宋体"/>
        </w:rPr>
        <w:t>医保类别审批。可根据设置给予医生退费。</w:t>
      </w:r>
    </w:p>
    <w:p w14:paraId="5EEC1512">
      <w:pPr>
        <w:rPr>
          <w:rFonts w:ascii="宋体" w:hAnsi="宋体" w:eastAsia="宋体"/>
        </w:rPr>
      </w:pPr>
      <w:r>
        <w:rPr>
          <w:rFonts w:hint="eastAsia" w:ascii="宋体" w:hAnsi="宋体" w:eastAsia="宋体"/>
        </w:rPr>
        <w:t>（10）</w:t>
      </w:r>
      <w:r>
        <w:rPr>
          <w:rFonts w:ascii="宋体" w:hAnsi="宋体" w:eastAsia="宋体"/>
        </w:rPr>
        <w:t>单据打印</w:t>
      </w:r>
    </w:p>
    <w:p w14:paraId="2BBD4BE2">
      <w:pPr>
        <w:ind w:firstLine="480"/>
        <w:rPr>
          <w:rFonts w:ascii="宋体" w:hAnsi="宋体" w:eastAsia="宋体"/>
        </w:rPr>
      </w:pPr>
      <w:r>
        <w:rPr>
          <w:rFonts w:hint="eastAsia" w:ascii="宋体" w:hAnsi="宋体" w:eastAsia="宋体"/>
        </w:rPr>
        <w:t>支持</w:t>
      </w:r>
      <w:r>
        <w:rPr>
          <w:rFonts w:ascii="宋体" w:hAnsi="宋体" w:eastAsia="宋体"/>
        </w:rPr>
        <w:t>处方、检验单、检查单、治疗单、导诊单打印。</w:t>
      </w:r>
    </w:p>
    <w:p w14:paraId="5ECB0B4A">
      <w:pPr>
        <w:rPr>
          <w:rFonts w:ascii="宋体" w:hAnsi="宋体" w:eastAsia="宋体"/>
        </w:rPr>
      </w:pPr>
      <w:r>
        <w:rPr>
          <w:rFonts w:hint="eastAsia" w:ascii="宋体" w:hAnsi="宋体" w:eastAsia="宋体"/>
        </w:rPr>
        <w:t>（11）</w:t>
      </w:r>
      <w:r>
        <w:rPr>
          <w:rFonts w:ascii="宋体" w:hAnsi="宋体" w:eastAsia="宋体"/>
        </w:rPr>
        <w:t>报卡登记</w:t>
      </w:r>
    </w:p>
    <w:p w14:paraId="395240D6">
      <w:pPr>
        <w:ind w:firstLine="480"/>
        <w:rPr>
          <w:rFonts w:ascii="宋体" w:hAnsi="宋体" w:eastAsia="宋体"/>
        </w:rPr>
      </w:pPr>
      <w:r>
        <w:rPr>
          <w:rFonts w:hint="eastAsia" w:ascii="宋体" w:hAnsi="宋体" w:eastAsia="宋体"/>
        </w:rPr>
        <w:t>1）</w:t>
      </w:r>
      <w:r>
        <w:rPr>
          <w:rFonts w:ascii="宋体" w:hAnsi="宋体" w:eastAsia="宋体"/>
        </w:rPr>
        <w:t>传染病报卡登记，医生下达的门诊诊断能够与传染病上报报卡进行关联，并自动根据诊断填写不同类型的报卡内容提醒医生进行上报。</w:t>
      </w:r>
    </w:p>
    <w:p w14:paraId="32426775">
      <w:pPr>
        <w:ind w:firstLine="480"/>
        <w:rPr>
          <w:rFonts w:ascii="宋体" w:hAnsi="宋体" w:eastAsia="宋体"/>
        </w:rPr>
      </w:pPr>
      <w:r>
        <w:rPr>
          <w:rFonts w:hint="eastAsia" w:ascii="宋体" w:hAnsi="宋体" w:eastAsia="宋体"/>
        </w:rPr>
        <w:t>2）</w:t>
      </w:r>
      <w:r>
        <w:rPr>
          <w:rFonts w:ascii="宋体" w:hAnsi="宋体" w:eastAsia="宋体"/>
        </w:rPr>
        <w:t>死亡登记</w:t>
      </w:r>
      <w:r>
        <w:rPr>
          <w:rFonts w:hint="eastAsia" w:ascii="宋体" w:hAnsi="宋体" w:eastAsia="宋体"/>
        </w:rPr>
        <w:t>报卡</w:t>
      </w:r>
      <w:r>
        <w:rPr>
          <w:rFonts w:ascii="宋体" w:hAnsi="宋体" w:eastAsia="宋体"/>
        </w:rPr>
        <w:t>。</w:t>
      </w:r>
    </w:p>
    <w:p w14:paraId="4D39977E">
      <w:pPr>
        <w:rPr>
          <w:rFonts w:ascii="宋体" w:hAnsi="宋体" w:eastAsia="宋体"/>
        </w:rPr>
      </w:pPr>
      <w:r>
        <w:rPr>
          <w:rFonts w:hint="eastAsia" w:ascii="宋体" w:hAnsi="宋体" w:eastAsia="宋体"/>
        </w:rPr>
        <w:t>（12）</w:t>
      </w:r>
      <w:r>
        <w:rPr>
          <w:rFonts w:ascii="宋体" w:hAnsi="宋体" w:eastAsia="宋体"/>
        </w:rPr>
        <w:t>入院证</w:t>
      </w:r>
    </w:p>
    <w:p w14:paraId="5FAFC402">
      <w:pPr>
        <w:ind w:firstLine="480"/>
        <w:rPr>
          <w:rFonts w:ascii="宋体" w:hAnsi="宋体" w:eastAsia="宋体"/>
        </w:rPr>
      </w:pPr>
      <w:r>
        <w:rPr>
          <w:rFonts w:hint="eastAsia" w:ascii="宋体" w:hAnsi="宋体" w:eastAsia="宋体"/>
        </w:rPr>
        <w:t>1）</w:t>
      </w:r>
      <w:r>
        <w:rPr>
          <w:rFonts w:ascii="宋体" w:hAnsi="宋体" w:eastAsia="宋体"/>
        </w:rPr>
        <w:t>医生为患者诊治时，患者如需住院治疗，医生可在门诊医生站直接开具电子入院证，填写相关入院证信息。</w:t>
      </w:r>
    </w:p>
    <w:p w14:paraId="23197353">
      <w:pPr>
        <w:ind w:firstLine="480"/>
        <w:rPr>
          <w:rFonts w:ascii="宋体" w:hAnsi="宋体" w:eastAsia="宋体"/>
        </w:rPr>
      </w:pPr>
      <w:r>
        <w:rPr>
          <w:rFonts w:hint="eastAsia" w:ascii="宋体" w:hAnsi="宋体" w:eastAsia="宋体"/>
        </w:rPr>
        <w:t>2）</w:t>
      </w:r>
      <w:r>
        <w:rPr>
          <w:rFonts w:ascii="宋体" w:hAnsi="宋体" w:eastAsia="宋体"/>
        </w:rPr>
        <w:t>入院证提交后共享到其他业务系统，患者可根据电子入院证办理入院，也可移动端进行入院预约或缴纳预交金。</w:t>
      </w:r>
    </w:p>
    <w:p w14:paraId="32204061">
      <w:pPr>
        <w:rPr>
          <w:rFonts w:ascii="宋体" w:hAnsi="宋体" w:eastAsia="宋体"/>
        </w:rPr>
      </w:pPr>
      <w:r>
        <w:rPr>
          <w:rFonts w:hint="eastAsia" w:ascii="宋体" w:hAnsi="宋体" w:eastAsia="宋体"/>
        </w:rPr>
        <w:t>（13）</w:t>
      </w:r>
      <w:r>
        <w:rPr>
          <w:rFonts w:ascii="宋体" w:hAnsi="宋体" w:eastAsia="宋体"/>
        </w:rPr>
        <w:t>统计查询</w:t>
      </w:r>
    </w:p>
    <w:p w14:paraId="275B13DB">
      <w:pPr>
        <w:ind w:firstLine="480"/>
        <w:rPr>
          <w:rFonts w:ascii="宋体" w:hAnsi="宋体" w:eastAsia="宋体"/>
        </w:rPr>
      </w:pPr>
      <w:r>
        <w:rPr>
          <w:rFonts w:ascii="宋体" w:hAnsi="宋体" w:eastAsia="宋体"/>
        </w:rPr>
        <w:t>医师工作量统计</w:t>
      </w:r>
      <w:r>
        <w:rPr>
          <w:rFonts w:hint="eastAsia" w:ascii="宋体" w:hAnsi="宋体" w:eastAsia="宋体"/>
        </w:rPr>
        <w:t>、</w:t>
      </w:r>
      <w:r>
        <w:rPr>
          <w:rFonts w:ascii="宋体" w:hAnsi="宋体" w:eastAsia="宋体"/>
        </w:rPr>
        <w:t>诊断工作量统计</w:t>
      </w:r>
      <w:r>
        <w:rPr>
          <w:rFonts w:hint="eastAsia" w:ascii="宋体" w:hAnsi="宋体" w:eastAsia="宋体"/>
        </w:rPr>
        <w:t>、</w:t>
      </w:r>
      <w:r>
        <w:rPr>
          <w:rFonts w:ascii="宋体" w:hAnsi="宋体" w:eastAsia="宋体"/>
        </w:rPr>
        <w:t>费用相关统计</w:t>
      </w:r>
      <w:r>
        <w:rPr>
          <w:rFonts w:hint="eastAsia" w:ascii="宋体" w:hAnsi="宋体" w:eastAsia="宋体"/>
        </w:rPr>
        <w:t>、</w:t>
      </w:r>
      <w:r>
        <w:rPr>
          <w:rFonts w:ascii="宋体" w:hAnsi="宋体" w:eastAsia="宋体"/>
        </w:rPr>
        <w:t>费别分类的金额统计</w:t>
      </w:r>
      <w:r>
        <w:rPr>
          <w:rFonts w:hint="eastAsia" w:ascii="宋体" w:hAnsi="宋体" w:eastAsia="宋体"/>
        </w:rPr>
        <w:t>、</w:t>
      </w:r>
      <w:r>
        <w:rPr>
          <w:rFonts w:ascii="宋体" w:hAnsi="宋体" w:eastAsia="宋体"/>
        </w:rPr>
        <w:t>病人区域来源分布统计。</w:t>
      </w:r>
    </w:p>
    <w:p w14:paraId="181C2E46">
      <w:pPr>
        <w:rPr>
          <w:rFonts w:ascii="宋体" w:hAnsi="宋体" w:eastAsia="宋体"/>
        </w:rPr>
      </w:pPr>
      <w:r>
        <w:rPr>
          <w:rFonts w:hint="eastAsia" w:ascii="宋体" w:hAnsi="宋体" w:eastAsia="宋体"/>
        </w:rPr>
        <w:t>（14）本系统属于医疗业务核心系统，要求投标人具有本系统自主知识产权，能根据医院合理需求定制开发，提供自有的计算机软件著作权登记证书，并承诺可提供真实系统演示。</w:t>
      </w:r>
    </w:p>
    <w:p w14:paraId="78F00643">
      <w:pPr>
        <w:pStyle w:val="6"/>
      </w:pPr>
      <w:r>
        <w:rPr>
          <w:rFonts w:hint="eastAsia"/>
        </w:rPr>
        <w:t>门急诊护士工作站</w:t>
      </w:r>
    </w:p>
    <w:p w14:paraId="34A3893F">
      <w:pPr>
        <w:rPr>
          <w:rFonts w:ascii="宋体" w:hAnsi="宋体" w:eastAsia="宋体"/>
        </w:rPr>
      </w:pPr>
      <w:bookmarkStart w:id="213" w:name="_Hlk127786166"/>
      <w:r>
        <w:rPr>
          <w:rFonts w:hint="eastAsia" w:ascii="宋体" w:hAnsi="宋体" w:eastAsia="宋体"/>
        </w:rPr>
        <w:t>（1）病人管理</w:t>
      </w:r>
    </w:p>
    <w:p w14:paraId="3837F525">
      <w:pPr>
        <w:ind w:firstLine="480"/>
        <w:rPr>
          <w:rFonts w:ascii="宋体" w:hAnsi="宋体" w:eastAsia="宋体"/>
        </w:rPr>
      </w:pPr>
      <w:r>
        <w:rPr>
          <w:rFonts w:hint="eastAsia" w:ascii="宋体" w:hAnsi="宋体" w:eastAsia="宋体"/>
        </w:rPr>
        <w:t>1）支持以床位卡的形式显示，直观显示已安床位和空置床位。</w:t>
      </w:r>
    </w:p>
    <w:p w14:paraId="197C088C">
      <w:pPr>
        <w:ind w:firstLine="480"/>
        <w:rPr>
          <w:rFonts w:ascii="宋体" w:hAnsi="宋体" w:eastAsia="宋体"/>
        </w:rPr>
      </w:pPr>
      <w:r>
        <w:rPr>
          <w:rFonts w:hint="eastAsia" w:ascii="宋体" w:hAnsi="宋体" w:eastAsia="宋体"/>
        </w:rPr>
        <w:t>2）快速输液登记，通过患者卡号自动带出相关信息完成安床。</w:t>
      </w:r>
    </w:p>
    <w:p w14:paraId="6C0CAC88">
      <w:pPr>
        <w:ind w:firstLine="480"/>
        <w:rPr>
          <w:rFonts w:ascii="宋体" w:hAnsi="宋体" w:eastAsia="宋体"/>
        </w:rPr>
      </w:pPr>
      <w:r>
        <w:rPr>
          <w:rFonts w:hint="eastAsia" w:ascii="宋体" w:hAnsi="宋体" w:eastAsia="宋体"/>
        </w:rPr>
        <w:t>3）换床功能可对患者换床进行快速操作及管理。</w:t>
      </w:r>
    </w:p>
    <w:p w14:paraId="6D52406E">
      <w:pPr>
        <w:ind w:firstLine="480"/>
        <w:rPr>
          <w:rFonts w:ascii="宋体" w:hAnsi="宋体" w:eastAsia="宋体"/>
        </w:rPr>
      </w:pPr>
      <w:r>
        <w:rPr>
          <w:rFonts w:hint="eastAsia" w:ascii="宋体" w:hAnsi="宋体" w:eastAsia="宋体"/>
        </w:rPr>
        <w:t>4）支持取消安床，满足因特殊原因取消输液的情况处理。</w:t>
      </w:r>
    </w:p>
    <w:p w14:paraId="675EF737">
      <w:pPr>
        <w:ind w:firstLine="480"/>
        <w:rPr>
          <w:rFonts w:ascii="宋体" w:hAnsi="宋体" w:eastAsia="宋体"/>
        </w:rPr>
      </w:pPr>
      <w:r>
        <w:rPr>
          <w:rFonts w:hint="eastAsia" w:ascii="宋体" w:hAnsi="宋体" w:eastAsia="宋体"/>
        </w:rPr>
        <w:t>5）可查看患者历史输液登记信息，如有未完成的输液信息进行提示，防止重复登记。</w:t>
      </w:r>
    </w:p>
    <w:p w14:paraId="6BC0E7A8">
      <w:pPr>
        <w:ind w:firstLine="480"/>
        <w:rPr>
          <w:rFonts w:ascii="宋体" w:hAnsi="宋体" w:eastAsia="宋体"/>
        </w:rPr>
      </w:pPr>
      <w:r>
        <w:rPr>
          <w:rFonts w:hint="eastAsia" w:ascii="宋体" w:hAnsi="宋体" w:eastAsia="宋体"/>
        </w:rPr>
        <w:t>6）支持按床号号或就诊号进行快速检索病人。</w:t>
      </w:r>
    </w:p>
    <w:p w14:paraId="7C86D3D2">
      <w:pPr>
        <w:ind w:firstLine="480"/>
        <w:rPr>
          <w:rFonts w:ascii="宋体" w:hAnsi="宋体" w:eastAsia="宋体"/>
        </w:rPr>
      </w:pPr>
      <w:r>
        <w:rPr>
          <w:rFonts w:hint="eastAsia" w:ascii="宋体" w:hAnsi="宋体" w:eastAsia="宋体"/>
        </w:rPr>
        <w:t>7）支持简卡和明细卡另种显示方式。</w:t>
      </w:r>
    </w:p>
    <w:p w14:paraId="6AB3378B">
      <w:pPr>
        <w:rPr>
          <w:rFonts w:ascii="宋体" w:hAnsi="宋体" w:eastAsia="宋体"/>
        </w:rPr>
      </w:pPr>
      <w:r>
        <w:rPr>
          <w:rFonts w:hint="eastAsia" w:ascii="宋体" w:hAnsi="宋体" w:eastAsia="宋体"/>
        </w:rPr>
        <w:t>（2）</w:t>
      </w:r>
      <w:r>
        <w:rPr>
          <w:rFonts w:ascii="宋体" w:hAnsi="宋体" w:eastAsia="宋体"/>
        </w:rPr>
        <w:t>皮试管理</w:t>
      </w:r>
    </w:p>
    <w:p w14:paraId="3F2B0EB5">
      <w:pPr>
        <w:ind w:firstLine="480"/>
        <w:rPr>
          <w:rFonts w:ascii="宋体" w:hAnsi="宋体" w:eastAsia="宋体"/>
        </w:rPr>
      </w:pPr>
      <w:r>
        <w:rPr>
          <w:rFonts w:hint="eastAsia" w:ascii="宋体" w:hAnsi="宋体" w:eastAsia="宋体"/>
        </w:rPr>
        <w:t>1）过敏记录：记录患者的过敏史，可对患者的过敏记录进行添加、编辑、查看。</w:t>
      </w:r>
    </w:p>
    <w:p w14:paraId="7127F3B3">
      <w:pPr>
        <w:ind w:firstLine="480"/>
        <w:rPr>
          <w:rFonts w:ascii="宋体" w:hAnsi="宋体" w:eastAsia="宋体"/>
        </w:rPr>
      </w:pPr>
      <w:r>
        <w:rPr>
          <w:rFonts w:hint="eastAsia" w:ascii="宋体" w:hAnsi="宋体" w:eastAsia="宋体"/>
        </w:rPr>
        <w:t>2）</w:t>
      </w:r>
      <w:r>
        <w:rPr>
          <w:rFonts w:ascii="宋体" w:hAnsi="宋体" w:eastAsia="宋体"/>
        </w:rPr>
        <w:t>皮试结果可同步到诊室，便于医生查看。</w:t>
      </w:r>
    </w:p>
    <w:p w14:paraId="3F28507F">
      <w:pPr>
        <w:ind w:firstLine="480"/>
        <w:rPr>
          <w:rFonts w:ascii="宋体" w:hAnsi="宋体" w:eastAsia="宋体"/>
        </w:rPr>
      </w:pPr>
      <w:r>
        <w:rPr>
          <w:rFonts w:hint="eastAsia" w:ascii="宋体" w:hAnsi="宋体" w:eastAsia="宋体"/>
        </w:rPr>
        <w:t>3）</w:t>
      </w:r>
      <w:r>
        <w:rPr>
          <w:rFonts w:ascii="宋体" w:hAnsi="宋体" w:eastAsia="宋体"/>
        </w:rPr>
        <w:t>皮试结果不通过时，可作废原处方不发药。</w:t>
      </w:r>
    </w:p>
    <w:p w14:paraId="78E22938">
      <w:pPr>
        <w:rPr>
          <w:rFonts w:ascii="宋体" w:hAnsi="宋体" w:eastAsia="宋体"/>
        </w:rPr>
      </w:pPr>
      <w:r>
        <w:rPr>
          <w:rFonts w:hint="eastAsia" w:ascii="宋体" w:hAnsi="宋体" w:eastAsia="宋体"/>
        </w:rPr>
        <w:t>（3）</w:t>
      </w:r>
      <w:r>
        <w:rPr>
          <w:rFonts w:ascii="宋体" w:hAnsi="宋体" w:eastAsia="宋体"/>
        </w:rPr>
        <w:t>输液管理</w:t>
      </w:r>
    </w:p>
    <w:p w14:paraId="015125AB">
      <w:pPr>
        <w:ind w:firstLine="480"/>
        <w:rPr>
          <w:rFonts w:ascii="宋体" w:hAnsi="宋体" w:eastAsia="宋体"/>
        </w:rPr>
      </w:pPr>
      <w:r>
        <w:rPr>
          <w:rFonts w:hint="eastAsia" w:ascii="宋体" w:hAnsi="宋体" w:eastAsia="宋体"/>
        </w:rPr>
        <w:t>1）</w:t>
      </w:r>
      <w:r>
        <w:rPr>
          <w:rFonts w:ascii="宋体" w:hAnsi="宋体" w:eastAsia="宋体"/>
        </w:rPr>
        <w:t>病人身份及输液袋条码标签的生成与打印。</w:t>
      </w:r>
    </w:p>
    <w:p w14:paraId="7DE3444E">
      <w:pPr>
        <w:ind w:firstLine="480"/>
        <w:rPr>
          <w:rFonts w:ascii="宋体" w:hAnsi="宋体" w:eastAsia="宋体"/>
        </w:rPr>
      </w:pPr>
      <w:r>
        <w:rPr>
          <w:rFonts w:hint="eastAsia" w:ascii="宋体" w:hAnsi="宋体" w:eastAsia="宋体"/>
        </w:rPr>
        <w:t>2）</w:t>
      </w:r>
      <w:r>
        <w:rPr>
          <w:rFonts w:ascii="宋体" w:hAnsi="宋体" w:eastAsia="宋体"/>
        </w:rPr>
        <w:t>输液执行卡的打印。</w:t>
      </w:r>
    </w:p>
    <w:p w14:paraId="0329AF90">
      <w:pPr>
        <w:ind w:firstLine="480"/>
        <w:rPr>
          <w:rFonts w:ascii="宋体" w:hAnsi="宋体" w:eastAsia="宋体"/>
        </w:rPr>
      </w:pPr>
      <w:r>
        <w:rPr>
          <w:rFonts w:hint="eastAsia" w:ascii="宋体" w:hAnsi="宋体" w:eastAsia="宋体"/>
        </w:rPr>
        <w:t>3）</w:t>
      </w:r>
      <w:r>
        <w:rPr>
          <w:rFonts w:ascii="宋体" w:hAnsi="宋体" w:eastAsia="宋体"/>
        </w:rPr>
        <w:t>记录输液执行时间、执行人等信息。</w:t>
      </w:r>
    </w:p>
    <w:p w14:paraId="13156A35">
      <w:pPr>
        <w:ind w:firstLine="480"/>
        <w:rPr>
          <w:rFonts w:ascii="宋体" w:hAnsi="宋体" w:eastAsia="宋体"/>
        </w:rPr>
      </w:pPr>
      <w:r>
        <w:rPr>
          <w:rFonts w:hint="eastAsia" w:ascii="宋体" w:hAnsi="宋体" w:eastAsia="宋体"/>
        </w:rPr>
        <w:t>4）</w:t>
      </w:r>
      <w:r>
        <w:rPr>
          <w:rFonts w:ascii="宋体" w:hAnsi="宋体" w:eastAsia="宋体"/>
        </w:rPr>
        <w:t>支持输液单签名。</w:t>
      </w:r>
    </w:p>
    <w:p w14:paraId="13810C11">
      <w:pPr>
        <w:rPr>
          <w:rFonts w:ascii="宋体" w:hAnsi="宋体" w:eastAsia="宋体"/>
        </w:rPr>
      </w:pPr>
      <w:r>
        <w:rPr>
          <w:rFonts w:hint="eastAsia" w:ascii="宋体" w:hAnsi="宋体" w:eastAsia="宋体"/>
        </w:rPr>
        <w:t>（4）</w:t>
      </w:r>
      <w:r>
        <w:rPr>
          <w:rFonts w:ascii="宋体" w:hAnsi="宋体" w:eastAsia="宋体"/>
        </w:rPr>
        <w:t>费用管理</w:t>
      </w:r>
    </w:p>
    <w:p w14:paraId="6EC4C675">
      <w:pPr>
        <w:ind w:firstLine="480"/>
        <w:rPr>
          <w:rFonts w:ascii="宋体" w:hAnsi="宋体" w:eastAsia="宋体"/>
        </w:rPr>
      </w:pPr>
      <w:r>
        <w:rPr>
          <w:rFonts w:hint="eastAsia" w:ascii="宋体" w:hAnsi="宋体" w:eastAsia="宋体"/>
        </w:rPr>
        <w:t>1）</w:t>
      </w:r>
      <w:r>
        <w:rPr>
          <w:rFonts w:ascii="宋体" w:hAnsi="宋体" w:eastAsia="宋体"/>
        </w:rPr>
        <w:t>显示所有可计费的输液执行单列表供计费选择。</w:t>
      </w:r>
    </w:p>
    <w:p w14:paraId="168850E9">
      <w:pPr>
        <w:ind w:firstLine="480"/>
        <w:rPr>
          <w:rFonts w:ascii="宋体" w:hAnsi="宋体" w:eastAsia="宋体"/>
        </w:rPr>
      </w:pPr>
      <w:r>
        <w:rPr>
          <w:rFonts w:hint="eastAsia" w:ascii="宋体" w:hAnsi="宋体" w:eastAsia="宋体"/>
        </w:rPr>
        <w:t>2）</w:t>
      </w:r>
      <w:r>
        <w:rPr>
          <w:rFonts w:ascii="宋体" w:hAnsi="宋体" w:eastAsia="宋体"/>
        </w:rPr>
        <w:t>支持手动新增和删除输液治疗过程中产生的相关计费项目完成计费。</w:t>
      </w:r>
    </w:p>
    <w:p w14:paraId="320C63DB">
      <w:pPr>
        <w:rPr>
          <w:rFonts w:ascii="宋体" w:hAnsi="宋体" w:eastAsia="宋体"/>
        </w:rPr>
      </w:pPr>
      <w:r>
        <w:rPr>
          <w:rFonts w:hint="eastAsia" w:ascii="宋体" w:hAnsi="宋体" w:eastAsia="宋体"/>
        </w:rPr>
        <w:t>（5）</w:t>
      </w:r>
      <w:r>
        <w:rPr>
          <w:rFonts w:ascii="宋体" w:hAnsi="宋体" w:eastAsia="宋体"/>
        </w:rPr>
        <w:t>基础维护</w:t>
      </w:r>
    </w:p>
    <w:p w14:paraId="57846756">
      <w:pPr>
        <w:ind w:firstLine="480"/>
        <w:rPr>
          <w:rFonts w:ascii="宋体" w:hAnsi="宋体" w:eastAsia="宋体"/>
        </w:rPr>
      </w:pPr>
      <w:r>
        <w:rPr>
          <w:rFonts w:hint="eastAsia" w:ascii="宋体" w:hAnsi="宋体" w:eastAsia="宋体"/>
        </w:rPr>
        <w:t>1）</w:t>
      </w:r>
      <w:r>
        <w:rPr>
          <w:rFonts w:ascii="宋体" w:hAnsi="宋体" w:eastAsia="宋体"/>
        </w:rPr>
        <w:t>对输液室进行维护，同时管理临床科室与输液室的映射关系。</w:t>
      </w:r>
    </w:p>
    <w:p w14:paraId="7D549967">
      <w:pPr>
        <w:ind w:firstLine="480"/>
        <w:rPr>
          <w:rFonts w:ascii="宋体" w:hAnsi="宋体" w:eastAsia="宋体"/>
        </w:rPr>
      </w:pPr>
      <w:r>
        <w:rPr>
          <w:rFonts w:hint="eastAsia" w:ascii="宋体" w:hAnsi="宋体" w:eastAsia="宋体"/>
        </w:rPr>
        <w:t>2）</w:t>
      </w:r>
      <w:r>
        <w:rPr>
          <w:rFonts w:ascii="宋体" w:hAnsi="宋体" w:eastAsia="宋体"/>
        </w:rPr>
        <w:t>支持对输液相关用药途径进行维护。</w:t>
      </w:r>
    </w:p>
    <w:p w14:paraId="5C0A131B">
      <w:pPr>
        <w:ind w:firstLine="480"/>
        <w:rPr>
          <w:rFonts w:ascii="宋体" w:hAnsi="宋体" w:eastAsia="宋体"/>
        </w:rPr>
      </w:pPr>
      <w:r>
        <w:rPr>
          <w:rFonts w:hint="eastAsia" w:ascii="宋体" w:hAnsi="宋体" w:eastAsia="宋体"/>
        </w:rPr>
        <w:t>3）</w:t>
      </w:r>
      <w:r>
        <w:rPr>
          <w:rFonts w:ascii="宋体" w:hAnsi="宋体" w:eastAsia="宋体"/>
        </w:rPr>
        <w:t>支持对输液室的输液床位进行维护，并设置床位相关属性及排序。</w:t>
      </w:r>
    </w:p>
    <w:bookmarkEnd w:id="213"/>
    <w:p w14:paraId="451F3ACB">
      <w:pPr>
        <w:pStyle w:val="6"/>
      </w:pPr>
      <w:r>
        <w:rPr>
          <w:rFonts w:hint="eastAsia"/>
        </w:rPr>
        <w:t>结构化电子病历系统（门诊和住院）</w:t>
      </w:r>
    </w:p>
    <w:p w14:paraId="35F8B4C3">
      <w:pPr>
        <w:ind w:firstLine="420" w:firstLineChars="200"/>
      </w:pPr>
      <w:r>
        <w:t>遵循卫生主管部门发布的《病历书写基本规范》、《电子病历系统功能规范（试行）》等规范的要求，具有结构化、输入自由化等特点</w:t>
      </w:r>
      <w:r>
        <w:rPr>
          <w:rFonts w:hint="eastAsia"/>
        </w:rPr>
        <w:t>，分别满足门诊电子病历和住院电子病历相应的业务功能和管理流程。</w:t>
      </w:r>
    </w:p>
    <w:p w14:paraId="787A3CB4">
      <w:pPr>
        <w:rPr>
          <w:rFonts w:ascii="宋体" w:hAnsi="宋体" w:eastAsia="宋体"/>
        </w:rPr>
      </w:pPr>
      <w:r>
        <w:rPr>
          <w:rFonts w:hint="eastAsia" w:ascii="宋体" w:hAnsi="宋体" w:eastAsia="宋体"/>
        </w:rPr>
        <w:t>（1）基础信息管理</w:t>
      </w:r>
    </w:p>
    <w:p w14:paraId="211C9503">
      <w:pPr>
        <w:ind w:firstLine="480"/>
        <w:rPr>
          <w:rFonts w:ascii="宋体" w:hAnsi="宋体" w:eastAsia="宋体" w:cs="Microsoft Himalaya"/>
        </w:rPr>
      </w:pPr>
      <w:r>
        <w:rPr>
          <w:rFonts w:hint="eastAsia" w:ascii="宋体" w:hAnsi="宋体" w:eastAsia="宋体" w:cs="Microsoft Himalaya"/>
        </w:rPr>
        <w:t>1）数据元管理须展现全部数据元数据的分类，数据元之间的关系等，能实现对基本数据元数据的详细信息的预览，以及对数据元的基本信息的修改，删除无用的数据元等。</w:t>
      </w:r>
    </w:p>
    <w:p w14:paraId="79A35E3D">
      <w:pPr>
        <w:ind w:firstLine="480"/>
        <w:rPr>
          <w:rFonts w:ascii="宋体" w:hAnsi="宋体" w:eastAsia="宋体" w:cs="Microsoft Himalaya"/>
        </w:rPr>
      </w:pPr>
      <w:r>
        <w:rPr>
          <w:rFonts w:hint="eastAsia" w:ascii="宋体" w:hAnsi="宋体" w:eastAsia="宋体" w:cs="Microsoft Himalaya"/>
        </w:rPr>
        <w:t>2）指标库管理须展示全部的指标库，可以根据条件搜索满足条件的数据，对指标库的基本维护。</w:t>
      </w:r>
    </w:p>
    <w:p w14:paraId="58F58AC7">
      <w:pPr>
        <w:ind w:firstLine="480"/>
        <w:rPr>
          <w:rFonts w:ascii="宋体" w:hAnsi="宋体" w:eastAsia="宋体" w:cs="Microsoft Himalaya"/>
        </w:rPr>
      </w:pPr>
      <w:r>
        <w:rPr>
          <w:rFonts w:hint="eastAsia" w:ascii="宋体" w:hAnsi="宋体" w:eastAsia="宋体" w:cs="Microsoft Himalaya"/>
        </w:rPr>
        <w:t>3）结构化元素库管理须直观展现了全部元素库数据的分类，以及元素库数据之间的关系等。对元素库数据的详细信息的预览，以及对元素库数据的基本信息进行修改、给指定的元素库新增子类元素库。</w:t>
      </w:r>
    </w:p>
    <w:p w14:paraId="7A45F4A6">
      <w:pPr>
        <w:ind w:firstLine="480"/>
        <w:rPr>
          <w:rFonts w:ascii="宋体" w:hAnsi="宋体" w:eastAsia="宋体" w:cs="Microsoft Himalaya"/>
        </w:rPr>
      </w:pPr>
      <w:r>
        <w:rPr>
          <w:rFonts w:hint="eastAsia" w:ascii="宋体" w:hAnsi="宋体" w:eastAsia="宋体" w:cs="Microsoft Himalaya"/>
        </w:rPr>
        <w:t>4）病历分类管理须直观的展现了当前的全部的病历分类数据及其互相之间的关联，对分类的基本信息预览，对病历分类的基本信息修改，以及新增新的分类。</w:t>
      </w:r>
    </w:p>
    <w:p w14:paraId="6B25266A">
      <w:pPr>
        <w:ind w:firstLine="480"/>
        <w:rPr>
          <w:rFonts w:ascii="宋体" w:hAnsi="宋体" w:eastAsia="宋体" w:cs="Microsoft Himalaya"/>
        </w:rPr>
      </w:pPr>
      <w:r>
        <w:rPr>
          <w:rFonts w:hint="eastAsia" w:ascii="宋体" w:hAnsi="宋体" w:eastAsia="宋体" w:cs="Microsoft Himalaya"/>
        </w:rPr>
        <w:t>5）数据源管理须直观展现了全部数据源数据的分类，以及数据源的其他属性等，对数据源数据的详细信息的预览，以及对数据源数据的基本信息进行修改、给指定的数据源新增子类数据源。</w:t>
      </w:r>
    </w:p>
    <w:p w14:paraId="4FF1DA78">
      <w:pPr>
        <w:ind w:firstLine="480"/>
        <w:rPr>
          <w:rFonts w:ascii="宋体" w:hAnsi="宋体" w:eastAsia="宋体" w:cs="Microsoft Himalaya"/>
        </w:rPr>
      </w:pPr>
      <w:r>
        <w:rPr>
          <w:rFonts w:hint="eastAsia" w:ascii="宋体" w:hAnsi="宋体" w:eastAsia="宋体" w:cs="Microsoft Himalaya"/>
        </w:rPr>
        <w:t>6）参数管理须通过分页表格展示系统使用到的参数，可根据参数编码和参数名称查询，可对参数值进行修改。</w:t>
      </w:r>
    </w:p>
    <w:p w14:paraId="18446966">
      <w:pPr>
        <w:ind w:firstLine="480"/>
        <w:rPr>
          <w:rFonts w:ascii="宋体" w:hAnsi="宋体" w:eastAsia="宋体" w:cs="Microsoft Himalaya"/>
        </w:rPr>
      </w:pPr>
      <w:r>
        <w:rPr>
          <w:rFonts w:hint="eastAsia" w:ascii="宋体" w:hAnsi="宋体" w:eastAsia="宋体" w:cs="Microsoft Himalaya"/>
        </w:rPr>
        <w:t>7）数据集管理须直观展现了全部电子病历标准数据集。</w:t>
      </w:r>
    </w:p>
    <w:p w14:paraId="34B4BD45">
      <w:pPr>
        <w:rPr>
          <w:rFonts w:ascii="宋体" w:hAnsi="宋体" w:eastAsia="宋体"/>
        </w:rPr>
      </w:pPr>
      <w:r>
        <w:rPr>
          <w:rFonts w:hint="eastAsia" w:ascii="宋体" w:hAnsi="宋体" w:eastAsia="宋体"/>
        </w:rPr>
        <w:t>（2）</w:t>
      </w:r>
      <w:r>
        <w:rPr>
          <w:rFonts w:ascii="宋体" w:hAnsi="宋体" w:eastAsia="宋体"/>
        </w:rPr>
        <w:t>病历模板</w:t>
      </w:r>
    </w:p>
    <w:p w14:paraId="4135B631">
      <w:pPr>
        <w:ind w:firstLine="480"/>
        <w:rPr>
          <w:rFonts w:ascii="宋体" w:hAnsi="宋体" w:eastAsia="宋体" w:cs="Microsoft Himalaya"/>
        </w:rPr>
      </w:pPr>
      <w:r>
        <w:rPr>
          <w:rFonts w:ascii="宋体" w:hAnsi="宋体" w:eastAsia="宋体" w:cs="Microsoft Himalaya"/>
        </w:rPr>
        <w:t>1）</w:t>
      </w:r>
      <w:r>
        <w:rPr>
          <w:rFonts w:hint="eastAsia" w:ascii="宋体" w:hAnsi="宋体" w:eastAsia="宋体" w:cs="Microsoft Himalaya"/>
        </w:rPr>
        <w:t>病历</w:t>
      </w:r>
      <w:r>
        <w:rPr>
          <w:rFonts w:ascii="宋体" w:hAnsi="宋体" w:eastAsia="宋体" w:cs="Microsoft Himalaya"/>
        </w:rPr>
        <w:t>模板</w:t>
      </w:r>
      <w:r>
        <w:rPr>
          <w:rFonts w:hint="eastAsia" w:ascii="宋体" w:hAnsi="宋体" w:eastAsia="宋体" w:cs="Microsoft Himalaya"/>
        </w:rPr>
        <w:t>管理</w:t>
      </w:r>
    </w:p>
    <w:p w14:paraId="362ACCB4">
      <w:pPr>
        <w:ind w:firstLine="480"/>
        <w:rPr>
          <w:rFonts w:ascii="宋体" w:hAnsi="宋体" w:eastAsia="宋体" w:cs="Microsoft Himalaya"/>
        </w:rPr>
      </w:pPr>
      <w:r>
        <w:rPr>
          <w:rFonts w:ascii="宋体" w:hAnsi="宋体" w:eastAsia="宋体" w:cs="Microsoft Himalaya"/>
        </w:rPr>
        <w:t>可根据权限的不同查询到不同的模板，根据使用范围模板分为全局模板、全院模板、科室模板、个人模板。</w:t>
      </w:r>
    </w:p>
    <w:p w14:paraId="28B29DFE">
      <w:pPr>
        <w:ind w:firstLine="480"/>
        <w:rPr>
          <w:rFonts w:ascii="宋体" w:hAnsi="宋体" w:eastAsia="宋体" w:cs="Microsoft Himalaya"/>
        </w:rPr>
      </w:pPr>
      <w:r>
        <w:rPr>
          <w:rFonts w:ascii="宋体" w:hAnsi="宋体" w:eastAsia="宋体" w:cs="Microsoft Himalaya"/>
        </w:rPr>
        <w:t>可新增病历模板，指定模板分类和使用范围。</w:t>
      </w:r>
    </w:p>
    <w:p w14:paraId="5AA3A6DC">
      <w:pPr>
        <w:ind w:firstLine="480"/>
        <w:rPr>
          <w:rFonts w:ascii="宋体" w:hAnsi="宋体" w:eastAsia="宋体" w:cs="Microsoft Himalaya"/>
        </w:rPr>
      </w:pPr>
      <w:r>
        <w:rPr>
          <w:rFonts w:ascii="宋体" w:hAnsi="宋体" w:eastAsia="宋体" w:cs="Microsoft Himalaya"/>
        </w:rPr>
        <w:t>模板支持具有最小结构化元素，满足文本、数值、复选、单选、多选、日期等结构化录入需求</w:t>
      </w:r>
      <w:r>
        <w:rPr>
          <w:rFonts w:hint="eastAsia" w:ascii="宋体" w:hAnsi="宋体" w:eastAsia="宋体" w:cs="Microsoft Himalaya"/>
        </w:rPr>
        <w:t>，支持</w:t>
      </w:r>
      <w:r>
        <w:rPr>
          <w:rFonts w:ascii="宋体" w:hAnsi="宋体" w:eastAsia="宋体" w:cs="Microsoft Himalaya"/>
        </w:rPr>
        <w:t>常用的结构化元素库，支持结构化录入与自由化录入相结合。</w:t>
      </w:r>
    </w:p>
    <w:p w14:paraId="2E4A540C">
      <w:pPr>
        <w:ind w:firstLine="480"/>
        <w:rPr>
          <w:rFonts w:ascii="宋体" w:hAnsi="宋体" w:eastAsia="宋体" w:cs="Microsoft Himalaya"/>
        </w:rPr>
      </w:pPr>
      <w:r>
        <w:rPr>
          <w:rFonts w:ascii="宋体" w:hAnsi="宋体" w:eastAsia="宋体" w:cs="Microsoft Himalaya"/>
        </w:rPr>
        <w:t>支持文档编辑，字符、段落属性设置，页面版式设置，页眉页脚设置，支持特殊符号，支持图文混合性输入，支持矢量绘图和表格。</w:t>
      </w:r>
    </w:p>
    <w:p w14:paraId="5D690F85">
      <w:pPr>
        <w:ind w:firstLine="480"/>
        <w:rPr>
          <w:rFonts w:ascii="宋体" w:hAnsi="宋体" w:eastAsia="宋体" w:cs="Microsoft Himalaya"/>
        </w:rPr>
      </w:pPr>
      <w:r>
        <w:rPr>
          <w:rFonts w:ascii="宋体" w:hAnsi="宋体" w:eastAsia="宋体" w:cs="Microsoft Himalaya"/>
        </w:rPr>
        <w:t>2）病历安全</w:t>
      </w:r>
      <w:r>
        <w:rPr>
          <w:rFonts w:hint="eastAsia" w:ascii="宋体" w:hAnsi="宋体" w:eastAsia="宋体" w:cs="Microsoft Himalaya"/>
        </w:rPr>
        <w:t>管理</w:t>
      </w:r>
    </w:p>
    <w:p w14:paraId="273BD3D7">
      <w:pPr>
        <w:ind w:firstLine="480"/>
        <w:rPr>
          <w:rFonts w:ascii="宋体" w:hAnsi="宋体" w:eastAsia="宋体" w:cs="Microsoft Himalaya"/>
        </w:rPr>
      </w:pPr>
      <w:r>
        <w:rPr>
          <w:rFonts w:ascii="宋体" w:hAnsi="宋体" w:eastAsia="宋体" w:cs="Microsoft Himalaya"/>
        </w:rPr>
        <w:t>具有病人隐私保护手段，对模板病历中表示患者隐私信息的可设置成“加密显示”。</w:t>
      </w:r>
    </w:p>
    <w:p w14:paraId="760CBB42">
      <w:pPr>
        <w:ind w:firstLine="480"/>
        <w:rPr>
          <w:rFonts w:ascii="宋体" w:hAnsi="宋体" w:eastAsia="宋体" w:cs="Microsoft Himalaya"/>
        </w:rPr>
      </w:pPr>
      <w:r>
        <w:rPr>
          <w:rFonts w:hint="eastAsia" w:ascii="宋体" w:hAnsi="宋体" w:eastAsia="宋体" w:cs="Microsoft Himalaya"/>
        </w:rPr>
        <w:t>支持</w:t>
      </w:r>
      <w:r>
        <w:rPr>
          <w:rFonts w:ascii="宋体" w:hAnsi="宋体" w:eastAsia="宋体" w:cs="Microsoft Himalaya"/>
        </w:rPr>
        <w:t>模板审核，模板编辑完成后，需要审核后才能使用，支持科主任审核和医务科审核。</w:t>
      </w:r>
    </w:p>
    <w:p w14:paraId="26790BC0">
      <w:pPr>
        <w:ind w:firstLine="480"/>
        <w:rPr>
          <w:rFonts w:ascii="宋体" w:hAnsi="宋体" w:eastAsia="宋体" w:cs="Microsoft Himalaya"/>
        </w:rPr>
      </w:pPr>
      <w:r>
        <w:rPr>
          <w:rFonts w:hint="eastAsia" w:ascii="宋体" w:hAnsi="宋体" w:eastAsia="宋体" w:cs="Microsoft Himalaya"/>
        </w:rPr>
        <w:t>支持</w:t>
      </w:r>
      <w:r>
        <w:rPr>
          <w:rFonts w:ascii="宋体" w:hAnsi="宋体" w:eastAsia="宋体" w:cs="Microsoft Himalaya"/>
        </w:rPr>
        <w:t>模板授权，使用范围为科室或个人的模板，需要授权到科室或个人后才能使用，需要授权的模板在新建的时候自动授权给创建科室或创建人，其他科室或个人如想使用该模板，需要将模板授权给对应的科室或个人。</w:t>
      </w:r>
    </w:p>
    <w:p w14:paraId="0AC537A5">
      <w:pPr>
        <w:ind w:firstLine="480"/>
        <w:rPr>
          <w:rFonts w:ascii="宋体" w:hAnsi="宋体" w:eastAsia="宋体" w:cs="Microsoft Himalaya"/>
        </w:rPr>
      </w:pPr>
      <w:r>
        <w:rPr>
          <w:rFonts w:ascii="宋体" w:hAnsi="宋体" w:eastAsia="宋体" w:cs="Microsoft Himalaya"/>
        </w:rPr>
        <w:t>支持疾病组模板，可新建疾病组，在疾病组上添加或新建模板，同时支持将病历另存为疾病组模板，如将阑尾炎住院病人的所有病历文书另存为一套疾病组模板。</w:t>
      </w:r>
    </w:p>
    <w:p w14:paraId="1C99F35F">
      <w:pPr>
        <w:rPr>
          <w:rFonts w:ascii="宋体" w:hAnsi="宋体" w:eastAsia="宋体"/>
        </w:rPr>
      </w:pPr>
      <w:r>
        <w:rPr>
          <w:rFonts w:hint="eastAsia" w:ascii="宋体" w:hAnsi="宋体" w:eastAsia="宋体"/>
        </w:rPr>
        <w:t>（3）</w:t>
      </w:r>
      <w:r>
        <w:rPr>
          <w:rFonts w:ascii="宋体" w:hAnsi="宋体" w:eastAsia="宋体"/>
        </w:rPr>
        <w:t>病历书写</w:t>
      </w:r>
    </w:p>
    <w:p w14:paraId="4E6CE859">
      <w:pPr>
        <w:ind w:firstLine="480"/>
        <w:rPr>
          <w:rFonts w:ascii="宋体" w:hAnsi="宋体" w:eastAsia="宋体" w:cs="Microsoft Himalaya"/>
        </w:rPr>
      </w:pPr>
      <w:r>
        <w:rPr>
          <w:rFonts w:ascii="宋体" w:hAnsi="宋体" w:eastAsia="宋体" w:cs="Microsoft Himalaya"/>
        </w:rPr>
        <w:t>1）病历录入</w:t>
      </w:r>
      <w:r>
        <w:rPr>
          <w:rFonts w:hint="eastAsia" w:ascii="宋体" w:hAnsi="宋体" w:eastAsia="宋体" w:cs="Microsoft Himalaya"/>
        </w:rPr>
        <w:t>要求：</w:t>
      </w:r>
    </w:p>
    <w:p w14:paraId="1CA0ED18">
      <w:pPr>
        <w:ind w:firstLine="480"/>
        <w:rPr>
          <w:rFonts w:ascii="宋体" w:hAnsi="宋体" w:eastAsia="宋体" w:cs="Microsoft Himalaya"/>
        </w:rPr>
      </w:pPr>
      <w:r>
        <w:rPr>
          <w:rFonts w:ascii="宋体" w:hAnsi="宋体" w:eastAsia="宋体" w:cs="Microsoft Himalaya"/>
        </w:rPr>
        <w:t>新增病历：通过选择病历模板新增病历，也可通过既往病历新增病历，支持门诊病历、急诊留观病历等病历文书建立并书写。</w:t>
      </w:r>
    </w:p>
    <w:p w14:paraId="2B8DFA0F">
      <w:pPr>
        <w:ind w:firstLine="480"/>
        <w:rPr>
          <w:rFonts w:ascii="宋体" w:hAnsi="宋体" w:eastAsia="宋体" w:cs="Microsoft Himalaya"/>
        </w:rPr>
      </w:pPr>
      <w:r>
        <w:rPr>
          <w:rFonts w:ascii="宋体" w:hAnsi="宋体" w:eastAsia="宋体" w:cs="Microsoft Himalaya"/>
        </w:rPr>
        <w:t>书写病历：使用专用的电子病历编辑器，结构化录入与自由化录入相结合，支持所见即所得。</w:t>
      </w:r>
    </w:p>
    <w:p w14:paraId="663EC7FF">
      <w:pPr>
        <w:ind w:firstLine="480"/>
        <w:rPr>
          <w:rFonts w:ascii="宋体" w:hAnsi="宋体" w:eastAsia="宋体" w:cs="Microsoft Himalaya"/>
        </w:rPr>
      </w:pPr>
      <w:r>
        <w:rPr>
          <w:rFonts w:ascii="宋体" w:hAnsi="宋体" w:eastAsia="宋体" w:cs="Microsoft Himalaya"/>
        </w:rPr>
        <w:t>暂存与提交：支持暂存和提交两种保存方式，暂存表示病历尚未书写完成，提交表示病历已书写完成，提交后再修改病历会保留修改痕迹。</w:t>
      </w:r>
    </w:p>
    <w:p w14:paraId="58A87772">
      <w:pPr>
        <w:ind w:firstLine="480"/>
        <w:rPr>
          <w:rFonts w:ascii="宋体" w:hAnsi="宋体" w:eastAsia="宋体" w:cs="Microsoft Himalaya"/>
        </w:rPr>
      </w:pPr>
      <w:r>
        <w:rPr>
          <w:rFonts w:ascii="宋体" w:hAnsi="宋体" w:eastAsia="宋体" w:cs="Microsoft Himalaya"/>
        </w:rPr>
        <w:t>复制/粘贴选择性控制：通过参数控制不同病人的病历内容是否可以互相复制粘贴。</w:t>
      </w:r>
    </w:p>
    <w:p w14:paraId="7660AFA3">
      <w:pPr>
        <w:ind w:firstLine="480"/>
        <w:rPr>
          <w:rFonts w:ascii="宋体" w:hAnsi="宋体" w:eastAsia="宋体" w:cs="Microsoft Himalaya"/>
        </w:rPr>
      </w:pPr>
      <w:r>
        <w:rPr>
          <w:rFonts w:ascii="宋体" w:hAnsi="宋体" w:eastAsia="宋体" w:cs="Microsoft Himalaya"/>
        </w:rPr>
        <w:t>导入检查检验：</w:t>
      </w:r>
      <w:r>
        <w:rPr>
          <w:rFonts w:hint="eastAsia" w:ascii="宋体" w:hAnsi="宋体" w:eastAsia="宋体" w:cs="Microsoft Himalaya"/>
        </w:rPr>
        <w:t>支持</w:t>
      </w:r>
      <w:r>
        <w:rPr>
          <w:rFonts w:ascii="宋体" w:hAnsi="宋体" w:eastAsia="宋体" w:cs="Microsoft Himalaya"/>
        </w:rPr>
        <w:t>电子病历系统与检验、检查、心电、医嘱等系统接口，对接后支持检验、检查结果、会诊结论、医嘱、诊断等信息插入到病历当中的任意位置；检验、检查结果导入之前支持预览。</w:t>
      </w:r>
    </w:p>
    <w:p w14:paraId="5D6B7C13">
      <w:pPr>
        <w:ind w:firstLine="480"/>
        <w:rPr>
          <w:rFonts w:ascii="宋体" w:hAnsi="宋体" w:eastAsia="宋体" w:cs="Microsoft Himalaya"/>
        </w:rPr>
      </w:pPr>
      <w:r>
        <w:rPr>
          <w:rFonts w:ascii="宋体" w:hAnsi="宋体" w:eastAsia="宋体" w:cs="Microsoft Himalaya"/>
        </w:rPr>
        <w:t>录入诊断：支持中西医诊断录入，西医采用</w:t>
      </w:r>
      <w:r>
        <w:rPr>
          <w:rFonts w:hint="eastAsia" w:ascii="宋体" w:hAnsi="宋体" w:eastAsia="宋体" w:cs="Microsoft Himalaya"/>
        </w:rPr>
        <w:t>ICD</w:t>
      </w:r>
      <w:r>
        <w:rPr>
          <w:rFonts w:ascii="宋体" w:hAnsi="宋体" w:eastAsia="宋体" w:cs="Microsoft Himalaya"/>
        </w:rPr>
        <w:t>标准诊断，诊断可添加前后缀；支持保存常用诊断，从常用诊断中选择诊断等。</w:t>
      </w:r>
    </w:p>
    <w:p w14:paraId="53C32C1A">
      <w:pPr>
        <w:ind w:firstLine="480"/>
        <w:rPr>
          <w:rFonts w:ascii="宋体" w:hAnsi="宋体" w:eastAsia="宋体" w:cs="Microsoft Himalaya"/>
        </w:rPr>
      </w:pPr>
      <w:r>
        <w:rPr>
          <w:rFonts w:ascii="宋体" w:hAnsi="宋体" w:eastAsia="宋体" w:cs="Microsoft Himalaya"/>
        </w:rPr>
        <w:t>音视频、图片：支持在病历书写过程中在线录制语音、视频，并可进行播放以及插入病历中，同时支持插入图片，图文混合性输入，支持矢量绘图编辑。</w:t>
      </w:r>
    </w:p>
    <w:p w14:paraId="0C969DCA">
      <w:pPr>
        <w:ind w:firstLine="480"/>
        <w:rPr>
          <w:rFonts w:ascii="宋体" w:hAnsi="宋体" w:eastAsia="宋体" w:cs="Microsoft Himalaya"/>
        </w:rPr>
      </w:pPr>
      <w:r>
        <w:rPr>
          <w:rFonts w:ascii="宋体" w:hAnsi="宋体" w:eastAsia="宋体" w:cs="Microsoft Himalaya"/>
        </w:rPr>
        <w:t>病历签名：支持多种医师签名方式，如自定义图片签名，文本签名；可与第三方CA签名接口对接，实现CA签名。</w:t>
      </w:r>
    </w:p>
    <w:p w14:paraId="028794BC">
      <w:pPr>
        <w:ind w:firstLine="480"/>
        <w:rPr>
          <w:rFonts w:ascii="宋体" w:hAnsi="宋体" w:eastAsia="宋体" w:cs="Microsoft Himalaya"/>
        </w:rPr>
      </w:pPr>
      <w:r>
        <w:rPr>
          <w:rFonts w:ascii="宋体" w:hAnsi="宋体" w:eastAsia="宋体" w:cs="Microsoft Himalaya"/>
        </w:rPr>
        <w:t>修改痕迹：支持三级医师的修改痕迹管理，病历提交后所有的修改痕迹都会保留下来，包括修改方式、修改内容、修改人姓名及工号、修改时间等，可通过菜单选择是否显示修改痕迹。</w:t>
      </w:r>
    </w:p>
    <w:p w14:paraId="7A90B37B">
      <w:pPr>
        <w:ind w:firstLine="480"/>
        <w:rPr>
          <w:rFonts w:ascii="宋体" w:hAnsi="宋体" w:eastAsia="宋体" w:cs="Microsoft Himalaya"/>
        </w:rPr>
      </w:pPr>
      <w:r>
        <w:rPr>
          <w:rFonts w:ascii="宋体" w:hAnsi="宋体" w:eastAsia="宋体" w:cs="Microsoft Himalaya"/>
        </w:rPr>
        <w:t>病历打印：支持病历预览、续打、合并打印、选择区域打印。</w:t>
      </w:r>
    </w:p>
    <w:p w14:paraId="18ABEE4A">
      <w:pPr>
        <w:ind w:firstLine="480"/>
        <w:rPr>
          <w:rFonts w:ascii="宋体" w:hAnsi="宋体" w:eastAsia="宋体" w:cs="Microsoft Himalaya"/>
        </w:rPr>
      </w:pPr>
      <w:r>
        <w:rPr>
          <w:rFonts w:ascii="宋体" w:hAnsi="宋体" w:eastAsia="宋体" w:cs="Microsoft Himalaya"/>
        </w:rPr>
        <w:t>查看质控结果：支持查看病历的质控结果，提醒和方便医生书写病历。</w:t>
      </w:r>
    </w:p>
    <w:p w14:paraId="1DF5FC54">
      <w:pPr>
        <w:ind w:firstLine="480"/>
        <w:rPr>
          <w:rFonts w:ascii="宋体" w:hAnsi="宋体" w:eastAsia="宋体" w:cs="Microsoft Himalaya"/>
        </w:rPr>
      </w:pPr>
      <w:r>
        <w:rPr>
          <w:rFonts w:ascii="宋体" w:hAnsi="宋体" w:eastAsia="宋体" w:cs="Microsoft Himalaya"/>
        </w:rPr>
        <w:t>保存多种格式：支持将病历保存为pdf、html、xml等格式，可通过编辑器或相应的工具打开病历。</w:t>
      </w:r>
    </w:p>
    <w:p w14:paraId="354226F6">
      <w:pPr>
        <w:ind w:firstLine="480"/>
        <w:rPr>
          <w:rFonts w:ascii="宋体" w:hAnsi="宋体" w:eastAsia="宋体" w:cs="Microsoft Himalaya"/>
        </w:rPr>
      </w:pPr>
      <w:r>
        <w:rPr>
          <w:rFonts w:ascii="宋体" w:hAnsi="宋体" w:eastAsia="宋体" w:cs="Microsoft Himalaya"/>
        </w:rPr>
        <w:t>在线质控：支持保存病历时实时获取质控结果。</w:t>
      </w:r>
    </w:p>
    <w:p w14:paraId="4DDCEC46">
      <w:pPr>
        <w:ind w:firstLine="480"/>
        <w:rPr>
          <w:rFonts w:ascii="宋体" w:hAnsi="宋体" w:eastAsia="宋体" w:cs="Microsoft Himalaya"/>
        </w:rPr>
      </w:pPr>
      <w:r>
        <w:rPr>
          <w:rFonts w:ascii="宋体" w:hAnsi="宋体" w:eastAsia="宋体" w:cs="Microsoft Himalaya"/>
        </w:rPr>
        <w:t>病历自动校核：病历保存时自动校核逻辑是否正确，如:男不应该有月经史。</w:t>
      </w:r>
    </w:p>
    <w:p w14:paraId="7850DAC1">
      <w:pPr>
        <w:ind w:firstLine="480"/>
        <w:rPr>
          <w:rFonts w:ascii="宋体" w:hAnsi="宋体" w:eastAsia="宋体" w:cs="Microsoft Himalaya"/>
        </w:rPr>
      </w:pPr>
      <w:r>
        <w:rPr>
          <w:rFonts w:ascii="宋体" w:hAnsi="宋体" w:eastAsia="宋体" w:cs="Microsoft Himalaya"/>
        </w:rPr>
        <w:t>2）书写助手</w:t>
      </w:r>
    </w:p>
    <w:p w14:paraId="29DAF4AA">
      <w:pPr>
        <w:ind w:firstLine="480"/>
        <w:rPr>
          <w:rFonts w:ascii="宋体" w:hAnsi="宋体" w:eastAsia="宋体" w:cs="Microsoft Himalaya"/>
        </w:rPr>
      </w:pPr>
      <w:r>
        <w:rPr>
          <w:rFonts w:ascii="宋体" w:hAnsi="宋体" w:eastAsia="宋体" w:cs="Microsoft Himalaya"/>
        </w:rPr>
        <w:t>医学表达式、特殊符号：支持特定医学表达式录入，如：龋齿、月经史、牙科、眼科专用等医学专用公式，同时支持常用的特殊符号，符号支持自定义。</w:t>
      </w:r>
    </w:p>
    <w:p w14:paraId="7AD4A554">
      <w:pPr>
        <w:ind w:firstLine="480"/>
        <w:rPr>
          <w:rFonts w:ascii="宋体" w:hAnsi="宋体" w:eastAsia="宋体" w:cs="Microsoft Himalaya"/>
        </w:rPr>
      </w:pPr>
      <w:r>
        <w:rPr>
          <w:rFonts w:ascii="宋体" w:hAnsi="宋体" w:eastAsia="宋体" w:cs="Microsoft Himalaya"/>
        </w:rPr>
        <w:t>病历内容自动引用：病历新增时通过引用数据源自动带出病人已有的数据，如姓名、门诊号等基础信息，同时也可带出其他病历中已有的数据，如将入院记录中的主诉自动带入到首次病程记录中。</w:t>
      </w:r>
    </w:p>
    <w:p w14:paraId="6E7B35EA">
      <w:pPr>
        <w:ind w:firstLine="480"/>
        <w:rPr>
          <w:rFonts w:ascii="宋体" w:hAnsi="宋体" w:eastAsia="宋体" w:cs="Microsoft Himalaya"/>
        </w:rPr>
      </w:pPr>
      <w:r>
        <w:rPr>
          <w:rFonts w:ascii="宋体" w:hAnsi="宋体" w:eastAsia="宋体" w:cs="Microsoft Himalaya"/>
        </w:rPr>
        <w:t>词条管理：支持医生自行维护管理词条、导入医学词条，实现病历辅助、快速书写。</w:t>
      </w:r>
    </w:p>
    <w:p w14:paraId="1B0398B2">
      <w:pPr>
        <w:ind w:firstLine="480"/>
        <w:rPr>
          <w:rFonts w:ascii="宋体" w:hAnsi="宋体" w:eastAsia="宋体" w:cs="Microsoft Himalaya"/>
        </w:rPr>
      </w:pPr>
      <w:r>
        <w:rPr>
          <w:rFonts w:ascii="宋体" w:hAnsi="宋体" w:eastAsia="宋体" w:cs="Microsoft Himalaya"/>
        </w:rPr>
        <w:t>病程记录合并编辑：支持病程记录合并预览和编辑、打印，按照病程记录的记录时间排序，方便医生书写。</w:t>
      </w:r>
    </w:p>
    <w:p w14:paraId="5EC77CAE">
      <w:pPr>
        <w:ind w:firstLine="480"/>
        <w:rPr>
          <w:rFonts w:ascii="宋体" w:hAnsi="宋体" w:eastAsia="宋体" w:cs="Microsoft Himalaya"/>
        </w:rPr>
      </w:pPr>
      <w:r>
        <w:rPr>
          <w:rFonts w:ascii="宋体" w:hAnsi="宋体" w:eastAsia="宋体" w:cs="Microsoft Himalaya"/>
        </w:rPr>
        <w:t>病历存为模板、疾病组：支持将当前病历存为模板，一般可存为科室模板和个人模板；同时支持将患者病历存为疾病组。</w:t>
      </w:r>
    </w:p>
    <w:p w14:paraId="1F45ABD2">
      <w:pPr>
        <w:ind w:firstLine="480"/>
        <w:rPr>
          <w:rFonts w:ascii="宋体" w:hAnsi="宋体" w:eastAsia="宋体" w:cs="Microsoft Himalaya"/>
        </w:rPr>
      </w:pPr>
      <w:r>
        <w:rPr>
          <w:rFonts w:ascii="宋体" w:hAnsi="宋体" w:eastAsia="宋体" w:cs="Microsoft Himalaya"/>
        </w:rPr>
        <w:t>全文查找：支持病历内容全文查找，通过病历全文检索系统可检索病历。</w:t>
      </w:r>
    </w:p>
    <w:p w14:paraId="6A435A53">
      <w:pPr>
        <w:rPr>
          <w:rFonts w:ascii="宋体" w:hAnsi="宋体" w:eastAsia="宋体"/>
        </w:rPr>
      </w:pPr>
      <w:r>
        <w:rPr>
          <w:rFonts w:hint="eastAsia" w:ascii="宋体" w:hAnsi="宋体" w:eastAsia="宋体"/>
        </w:rPr>
        <w:t>（4）本系统属于医疗业务核心系统，要求投标人具有本系统自主知识产权，能根据医院合理需求定制开发，提供自有的计算机软件著作权登记，并承诺可提供真实系统演示。</w:t>
      </w:r>
    </w:p>
    <w:p w14:paraId="250D6850"/>
    <w:p w14:paraId="62919908">
      <w:pPr>
        <w:pStyle w:val="6"/>
      </w:pPr>
      <w:r>
        <w:rPr>
          <w:rFonts w:hint="eastAsia"/>
        </w:rPr>
        <w:t>门诊药房管理系统</w:t>
      </w:r>
    </w:p>
    <w:p w14:paraId="7E7F90C0">
      <w:pPr>
        <w:rPr>
          <w:rFonts w:ascii="宋体" w:hAnsi="宋体" w:eastAsia="宋体"/>
        </w:rPr>
      </w:pPr>
      <w:r>
        <w:rPr>
          <w:rFonts w:hint="eastAsia" w:ascii="宋体" w:hAnsi="宋体" w:eastAsia="宋体"/>
        </w:rPr>
        <w:t>（1）药品申领</w:t>
      </w:r>
    </w:p>
    <w:p w14:paraId="2FAD48D5">
      <w:pPr>
        <w:ind w:firstLine="480"/>
        <w:rPr>
          <w:rFonts w:ascii="宋体" w:hAnsi="宋体" w:eastAsia="宋体"/>
        </w:rPr>
      </w:pPr>
      <w:r>
        <w:rPr>
          <w:rFonts w:hint="eastAsia" w:ascii="宋体" w:hAnsi="宋体" w:eastAsia="宋体"/>
        </w:rPr>
        <w:t>1）药房制作申领单向库房进行药品申请。</w:t>
      </w:r>
    </w:p>
    <w:p w14:paraId="195BF579">
      <w:pPr>
        <w:ind w:firstLine="480"/>
        <w:rPr>
          <w:rFonts w:ascii="宋体" w:hAnsi="宋体" w:eastAsia="宋体"/>
        </w:rPr>
      </w:pPr>
      <w:r>
        <w:rPr>
          <w:rFonts w:hint="eastAsia" w:ascii="宋体" w:hAnsi="宋体" w:eastAsia="宋体"/>
        </w:rPr>
        <w:t>2）可根据药品自定义时间段内的消耗量或库存量上、下限生成药品请领单，并发送至对应的库房或药房。</w:t>
      </w:r>
    </w:p>
    <w:p w14:paraId="302E2159">
      <w:pPr>
        <w:ind w:firstLine="480"/>
        <w:rPr>
          <w:rFonts w:ascii="宋体" w:hAnsi="宋体" w:eastAsia="宋体"/>
        </w:rPr>
      </w:pPr>
      <w:r>
        <w:rPr>
          <w:rFonts w:hint="eastAsia" w:ascii="宋体" w:hAnsi="宋体" w:eastAsia="宋体"/>
        </w:rPr>
        <w:t>3）支持科室小药房制作申领单向库房进行药品申请。</w:t>
      </w:r>
    </w:p>
    <w:p w14:paraId="26BCC6D4">
      <w:pPr>
        <w:ind w:firstLine="480"/>
        <w:rPr>
          <w:rFonts w:ascii="宋体" w:hAnsi="宋体" w:eastAsia="宋体"/>
        </w:rPr>
      </w:pPr>
      <w:r>
        <w:rPr>
          <w:rFonts w:hint="eastAsia" w:ascii="宋体" w:hAnsi="宋体" w:eastAsia="宋体"/>
        </w:rPr>
        <w:t>4）申领单审核。</w:t>
      </w:r>
    </w:p>
    <w:p w14:paraId="69DA1F6D">
      <w:pPr>
        <w:rPr>
          <w:rFonts w:ascii="宋体" w:hAnsi="宋体" w:eastAsia="宋体"/>
        </w:rPr>
      </w:pPr>
      <w:r>
        <w:rPr>
          <w:rFonts w:hint="eastAsia" w:ascii="宋体" w:hAnsi="宋体" w:eastAsia="宋体"/>
        </w:rPr>
        <w:t>（2）</w:t>
      </w:r>
      <w:r>
        <w:rPr>
          <w:rFonts w:ascii="宋体" w:hAnsi="宋体" w:eastAsia="宋体"/>
        </w:rPr>
        <w:t>药房出入库</w:t>
      </w:r>
    </w:p>
    <w:p w14:paraId="21AED4F0">
      <w:pPr>
        <w:ind w:firstLine="480"/>
        <w:rPr>
          <w:rFonts w:ascii="宋体" w:hAnsi="宋体" w:eastAsia="宋体"/>
        </w:rPr>
      </w:pPr>
      <w:r>
        <w:rPr>
          <w:rFonts w:hint="eastAsia" w:ascii="宋体" w:hAnsi="宋体" w:eastAsia="宋体"/>
        </w:rPr>
        <w:t>1）</w:t>
      </w:r>
      <w:r>
        <w:rPr>
          <w:rFonts w:ascii="宋体" w:hAnsi="宋体" w:eastAsia="宋体"/>
        </w:rPr>
        <w:t>药房根据库房的出库单进行入库。</w:t>
      </w:r>
    </w:p>
    <w:p w14:paraId="51D59266">
      <w:pPr>
        <w:ind w:firstLine="480"/>
        <w:rPr>
          <w:rFonts w:ascii="宋体" w:hAnsi="宋体" w:eastAsia="宋体"/>
        </w:rPr>
      </w:pPr>
      <w:r>
        <w:rPr>
          <w:rFonts w:hint="eastAsia" w:ascii="宋体" w:hAnsi="宋体" w:eastAsia="宋体"/>
        </w:rPr>
        <w:t>2）</w:t>
      </w:r>
      <w:r>
        <w:rPr>
          <w:rFonts w:ascii="宋体" w:hAnsi="宋体" w:eastAsia="宋体"/>
        </w:rPr>
        <w:t>科室小药房根据库房的出库单进行入库。</w:t>
      </w:r>
    </w:p>
    <w:p w14:paraId="7C7CEE89">
      <w:pPr>
        <w:ind w:firstLine="480"/>
        <w:rPr>
          <w:rFonts w:ascii="宋体" w:hAnsi="宋体" w:eastAsia="宋体"/>
        </w:rPr>
      </w:pPr>
      <w:r>
        <w:rPr>
          <w:rFonts w:hint="eastAsia" w:ascii="宋体" w:hAnsi="宋体" w:eastAsia="宋体"/>
        </w:rPr>
        <w:t>3）</w:t>
      </w:r>
      <w:r>
        <w:rPr>
          <w:rFonts w:ascii="宋体" w:hAnsi="宋体" w:eastAsia="宋体"/>
        </w:rPr>
        <w:t>科室小药房根据药房的出库单进行入库。</w:t>
      </w:r>
    </w:p>
    <w:p w14:paraId="501B7F9C">
      <w:pPr>
        <w:ind w:firstLine="480"/>
        <w:rPr>
          <w:rFonts w:ascii="宋体" w:hAnsi="宋体" w:eastAsia="宋体"/>
        </w:rPr>
      </w:pPr>
      <w:r>
        <w:rPr>
          <w:rFonts w:hint="eastAsia" w:ascii="宋体" w:hAnsi="宋体" w:eastAsia="宋体"/>
        </w:rPr>
        <w:t>4）</w:t>
      </w:r>
      <w:r>
        <w:rPr>
          <w:rFonts w:ascii="宋体" w:hAnsi="宋体" w:eastAsia="宋体"/>
        </w:rPr>
        <w:t>药房根据科室小药房退回的药品单据进行入库。</w:t>
      </w:r>
    </w:p>
    <w:p w14:paraId="4176CD1B">
      <w:pPr>
        <w:ind w:firstLine="480"/>
        <w:rPr>
          <w:rFonts w:ascii="宋体" w:hAnsi="宋体" w:eastAsia="宋体"/>
        </w:rPr>
      </w:pPr>
      <w:r>
        <w:rPr>
          <w:rFonts w:hint="eastAsia" w:ascii="宋体" w:hAnsi="宋体" w:eastAsia="宋体"/>
        </w:rPr>
        <w:t>5）</w:t>
      </w:r>
      <w:r>
        <w:rPr>
          <w:rFonts w:ascii="宋体" w:hAnsi="宋体" w:eastAsia="宋体"/>
        </w:rPr>
        <w:t>药房将药品出库给科室小药房。</w:t>
      </w:r>
    </w:p>
    <w:p w14:paraId="46758CFF">
      <w:pPr>
        <w:ind w:firstLine="480"/>
        <w:rPr>
          <w:rFonts w:ascii="宋体" w:hAnsi="宋体" w:eastAsia="宋体"/>
        </w:rPr>
      </w:pPr>
      <w:r>
        <w:rPr>
          <w:rFonts w:hint="eastAsia" w:ascii="宋体" w:hAnsi="宋体" w:eastAsia="宋体"/>
        </w:rPr>
        <w:t>6）</w:t>
      </w:r>
      <w:r>
        <w:rPr>
          <w:rFonts w:ascii="宋体" w:hAnsi="宋体" w:eastAsia="宋体"/>
        </w:rPr>
        <w:t>科室小药房退药回药房。</w:t>
      </w:r>
    </w:p>
    <w:p w14:paraId="45512F40">
      <w:pPr>
        <w:ind w:firstLine="480"/>
        <w:rPr>
          <w:rFonts w:ascii="宋体" w:hAnsi="宋体" w:eastAsia="宋体"/>
        </w:rPr>
      </w:pPr>
      <w:r>
        <w:rPr>
          <w:rFonts w:hint="eastAsia" w:ascii="宋体" w:hAnsi="宋体" w:eastAsia="宋体"/>
        </w:rPr>
        <w:t>7）</w:t>
      </w:r>
      <w:r>
        <w:rPr>
          <w:rFonts w:ascii="宋体" w:hAnsi="宋体" w:eastAsia="宋体"/>
        </w:rPr>
        <w:t>药品批次管理，可根据参数设置药品“先入先出”或“效期先出”原则。</w:t>
      </w:r>
    </w:p>
    <w:p w14:paraId="0A7AE9AA">
      <w:pPr>
        <w:rPr>
          <w:rFonts w:ascii="宋体" w:hAnsi="宋体" w:eastAsia="宋体"/>
        </w:rPr>
      </w:pPr>
      <w:r>
        <w:rPr>
          <w:rFonts w:hint="eastAsia" w:ascii="宋体" w:hAnsi="宋体" w:eastAsia="宋体"/>
        </w:rPr>
        <w:t>（3）</w:t>
      </w:r>
      <w:r>
        <w:rPr>
          <w:rFonts w:ascii="宋体" w:hAnsi="宋体" w:eastAsia="宋体"/>
        </w:rPr>
        <w:t>药房库存管理</w:t>
      </w:r>
    </w:p>
    <w:p w14:paraId="11006E7B">
      <w:pPr>
        <w:ind w:firstLine="480"/>
        <w:rPr>
          <w:rFonts w:ascii="宋体" w:hAnsi="宋体" w:eastAsia="宋体" w:cs="Microsoft Himalaya"/>
        </w:rPr>
      </w:pPr>
      <w:r>
        <w:rPr>
          <w:rFonts w:hint="eastAsia" w:ascii="宋体" w:hAnsi="宋体" w:eastAsia="宋体" w:cs="Microsoft Himalaya"/>
        </w:rPr>
        <w:t>1）</w:t>
      </w:r>
      <w:r>
        <w:rPr>
          <w:rFonts w:ascii="宋体" w:hAnsi="宋体" w:eastAsia="宋体" w:cs="Microsoft Himalaya"/>
        </w:rPr>
        <w:t>药品调拨</w:t>
      </w:r>
      <w:r>
        <w:rPr>
          <w:rFonts w:hint="eastAsia" w:ascii="宋体" w:hAnsi="宋体" w:eastAsia="宋体" w:cs="Microsoft Himalaya"/>
        </w:rPr>
        <w:t>支持</w:t>
      </w:r>
      <w:r>
        <w:rPr>
          <w:rFonts w:ascii="宋体" w:hAnsi="宋体" w:eastAsia="宋体" w:cs="Microsoft Himalaya"/>
        </w:rPr>
        <w:t>药房之间的药品相互调拨</w:t>
      </w:r>
      <w:r>
        <w:rPr>
          <w:rFonts w:hint="eastAsia" w:ascii="宋体" w:hAnsi="宋体" w:eastAsia="宋体" w:cs="Microsoft Himalaya"/>
        </w:rPr>
        <w:t>，</w:t>
      </w:r>
      <w:r>
        <w:rPr>
          <w:rFonts w:ascii="宋体" w:hAnsi="宋体" w:eastAsia="宋体" w:cs="Microsoft Himalaya"/>
        </w:rPr>
        <w:t>可扩展到多个药房库存单元（门诊、住院、中、西、成），实现药房之间的调拨执行确定。</w:t>
      </w:r>
    </w:p>
    <w:p w14:paraId="2C57164E">
      <w:pPr>
        <w:ind w:firstLine="480"/>
        <w:rPr>
          <w:rFonts w:ascii="宋体" w:hAnsi="宋体" w:eastAsia="宋体" w:cs="Microsoft Himalaya"/>
        </w:rPr>
      </w:pPr>
      <w:r>
        <w:rPr>
          <w:rFonts w:hint="eastAsia" w:ascii="宋体" w:hAnsi="宋体" w:eastAsia="宋体" w:cs="Microsoft Himalaya"/>
        </w:rPr>
        <w:t>2）</w:t>
      </w:r>
      <w:r>
        <w:rPr>
          <w:rFonts w:ascii="宋体" w:hAnsi="宋体" w:eastAsia="宋体" w:cs="Microsoft Himalaya"/>
        </w:rPr>
        <w:t>药品报损</w:t>
      </w:r>
      <w:r>
        <w:rPr>
          <w:rFonts w:hint="eastAsia" w:ascii="宋体" w:hAnsi="宋体" w:eastAsia="宋体" w:cs="Microsoft Himalaya"/>
        </w:rPr>
        <w:t>支持</w:t>
      </w:r>
      <w:r>
        <w:rPr>
          <w:rFonts w:ascii="宋体" w:hAnsi="宋体" w:eastAsia="宋体" w:cs="Microsoft Himalaya"/>
        </w:rPr>
        <w:t>药房药品的报损记录登记</w:t>
      </w:r>
      <w:r>
        <w:rPr>
          <w:rFonts w:hint="eastAsia" w:ascii="宋体" w:hAnsi="宋体" w:eastAsia="宋体" w:cs="Microsoft Himalaya"/>
        </w:rPr>
        <w:t>；</w:t>
      </w:r>
      <w:r>
        <w:rPr>
          <w:rFonts w:ascii="宋体" w:hAnsi="宋体" w:eastAsia="宋体" w:cs="Microsoft Himalaya"/>
        </w:rPr>
        <w:t>支持报损明细增加报损原因。</w:t>
      </w:r>
    </w:p>
    <w:p w14:paraId="3FC40A0F">
      <w:pPr>
        <w:ind w:firstLine="480"/>
        <w:rPr>
          <w:rFonts w:ascii="宋体" w:hAnsi="宋体" w:eastAsia="宋体" w:cs="Microsoft Himalaya"/>
        </w:rPr>
      </w:pPr>
      <w:r>
        <w:rPr>
          <w:rFonts w:hint="eastAsia" w:ascii="宋体" w:hAnsi="宋体" w:eastAsia="宋体" w:cs="Microsoft Himalaya"/>
        </w:rPr>
        <w:t>3）</w:t>
      </w:r>
      <w:r>
        <w:rPr>
          <w:rFonts w:ascii="宋体" w:hAnsi="宋体" w:eastAsia="宋体" w:cs="Microsoft Himalaya"/>
        </w:rPr>
        <w:t>药品盘点</w:t>
      </w:r>
      <w:r>
        <w:rPr>
          <w:rFonts w:hint="eastAsia" w:ascii="宋体" w:hAnsi="宋体" w:eastAsia="宋体" w:cs="Microsoft Himalaya"/>
        </w:rPr>
        <w:t>支持</w:t>
      </w:r>
      <w:r>
        <w:rPr>
          <w:rFonts w:ascii="宋体" w:hAnsi="宋体" w:eastAsia="宋体" w:cs="Microsoft Himalaya"/>
        </w:rPr>
        <w:t>药房的季度或者月度盘点</w:t>
      </w:r>
      <w:r>
        <w:rPr>
          <w:rFonts w:hint="eastAsia" w:ascii="宋体" w:hAnsi="宋体" w:eastAsia="宋体" w:cs="Microsoft Himalaya"/>
        </w:rPr>
        <w:t>；</w:t>
      </w:r>
      <w:r>
        <w:rPr>
          <w:rFonts w:ascii="宋体" w:hAnsi="宋体" w:eastAsia="宋体" w:cs="Microsoft Himalaya"/>
        </w:rPr>
        <w:t>支持多种盘点模式，比如按品种、按厂家、按批次等</w:t>
      </w:r>
      <w:r>
        <w:rPr>
          <w:rFonts w:hint="eastAsia" w:ascii="宋体" w:hAnsi="宋体" w:eastAsia="宋体" w:cs="Microsoft Himalaya"/>
        </w:rPr>
        <w:t>；</w:t>
      </w:r>
      <w:r>
        <w:rPr>
          <w:rFonts w:ascii="宋体" w:hAnsi="宋体" w:eastAsia="宋体" w:cs="Microsoft Himalaya"/>
        </w:rPr>
        <w:t>支持对单品种进行盘点。</w:t>
      </w:r>
    </w:p>
    <w:p w14:paraId="2E8229D6">
      <w:pPr>
        <w:ind w:firstLine="480"/>
        <w:rPr>
          <w:rFonts w:ascii="宋体" w:hAnsi="宋体" w:eastAsia="宋体" w:cs="Microsoft Himalaya"/>
        </w:rPr>
      </w:pPr>
      <w:r>
        <w:rPr>
          <w:rFonts w:hint="eastAsia" w:ascii="宋体" w:hAnsi="宋体" w:eastAsia="宋体" w:cs="Microsoft Himalaya"/>
        </w:rPr>
        <w:t>4）</w:t>
      </w:r>
      <w:r>
        <w:rPr>
          <w:rFonts w:ascii="宋体" w:hAnsi="宋体" w:eastAsia="宋体" w:cs="Microsoft Himalaya"/>
        </w:rPr>
        <w:t>药品退库支持药房退药回库房</w:t>
      </w:r>
      <w:r>
        <w:rPr>
          <w:rFonts w:hint="eastAsia" w:ascii="宋体" w:hAnsi="宋体" w:eastAsia="宋体" w:cs="Microsoft Himalaya"/>
        </w:rPr>
        <w:t>、</w:t>
      </w:r>
      <w:r>
        <w:rPr>
          <w:rFonts w:ascii="宋体" w:hAnsi="宋体" w:eastAsia="宋体" w:cs="Microsoft Himalaya"/>
        </w:rPr>
        <w:t>科室小药房退药回库房。</w:t>
      </w:r>
    </w:p>
    <w:p w14:paraId="22E27D6A">
      <w:pPr>
        <w:ind w:firstLine="480"/>
        <w:rPr>
          <w:rFonts w:ascii="宋体" w:hAnsi="宋体" w:eastAsia="宋体" w:cs="Microsoft Himalaya"/>
        </w:rPr>
      </w:pPr>
      <w:r>
        <w:rPr>
          <w:rFonts w:hint="eastAsia" w:ascii="宋体" w:hAnsi="宋体" w:eastAsia="宋体" w:cs="Microsoft Himalaya"/>
        </w:rPr>
        <w:t>5）</w:t>
      </w:r>
      <w:r>
        <w:rPr>
          <w:rFonts w:ascii="宋体" w:hAnsi="宋体" w:eastAsia="宋体" w:cs="Microsoft Himalaya"/>
        </w:rPr>
        <w:t>药品存量管理支持对药房的药品进行库存、开药、存量等进行控制</w:t>
      </w:r>
      <w:r>
        <w:rPr>
          <w:rFonts w:hint="eastAsia" w:ascii="宋体" w:hAnsi="宋体" w:eastAsia="宋体" w:cs="Microsoft Himalaya"/>
        </w:rPr>
        <w:t>；支持</w:t>
      </w:r>
      <w:r>
        <w:rPr>
          <w:rFonts w:ascii="宋体" w:hAnsi="宋体" w:eastAsia="宋体" w:cs="Microsoft Himalaya"/>
        </w:rPr>
        <w:t>药品的有效期管理、库存预警，可自动报警和统计过期、低储药品的品种数和金额。</w:t>
      </w:r>
    </w:p>
    <w:p w14:paraId="2C405423">
      <w:pPr>
        <w:rPr>
          <w:rFonts w:ascii="宋体" w:hAnsi="宋体" w:eastAsia="宋体"/>
        </w:rPr>
      </w:pPr>
      <w:r>
        <w:rPr>
          <w:rFonts w:hint="eastAsia" w:ascii="宋体" w:hAnsi="宋体" w:eastAsia="宋体"/>
        </w:rPr>
        <w:t>（4）</w:t>
      </w:r>
      <w:r>
        <w:rPr>
          <w:rFonts w:ascii="宋体" w:hAnsi="宋体" w:eastAsia="宋体"/>
        </w:rPr>
        <w:t>药房发药</w:t>
      </w:r>
    </w:p>
    <w:p w14:paraId="39356EF4">
      <w:pPr>
        <w:ind w:firstLine="480"/>
        <w:rPr>
          <w:rFonts w:ascii="宋体" w:hAnsi="宋体" w:eastAsia="宋体"/>
        </w:rPr>
      </w:pPr>
      <w:r>
        <w:rPr>
          <w:rFonts w:hint="eastAsia" w:ascii="宋体" w:hAnsi="宋体" w:eastAsia="宋体"/>
        </w:rPr>
        <w:t>1）</w:t>
      </w:r>
      <w:r>
        <w:rPr>
          <w:rFonts w:ascii="宋体" w:hAnsi="宋体" w:eastAsia="宋体"/>
        </w:rPr>
        <w:t>根据已收费的处方进行发药。</w:t>
      </w:r>
    </w:p>
    <w:p w14:paraId="333274FD">
      <w:pPr>
        <w:ind w:firstLine="480"/>
        <w:rPr>
          <w:rFonts w:ascii="宋体" w:hAnsi="宋体" w:eastAsia="宋体"/>
        </w:rPr>
      </w:pPr>
      <w:r>
        <w:rPr>
          <w:rFonts w:hint="eastAsia" w:ascii="宋体" w:hAnsi="宋体" w:eastAsia="宋体"/>
        </w:rPr>
        <w:t>2）</w:t>
      </w:r>
      <w:r>
        <w:rPr>
          <w:rFonts w:ascii="宋体" w:hAnsi="宋体" w:eastAsia="宋体"/>
        </w:rPr>
        <w:t>支持扫码或刷卡进行发药。</w:t>
      </w:r>
    </w:p>
    <w:p w14:paraId="1E5140A6">
      <w:pPr>
        <w:ind w:firstLine="480"/>
        <w:rPr>
          <w:rFonts w:ascii="宋体" w:hAnsi="宋体" w:eastAsia="宋体"/>
        </w:rPr>
      </w:pPr>
      <w:r>
        <w:rPr>
          <w:rFonts w:hint="eastAsia" w:ascii="宋体" w:hAnsi="宋体" w:eastAsia="宋体"/>
        </w:rPr>
        <w:t>3）</w:t>
      </w:r>
      <w:r>
        <w:rPr>
          <w:rFonts w:ascii="宋体" w:hAnsi="宋体" w:eastAsia="宋体"/>
        </w:rPr>
        <w:t>支持对接LED进行发药信息显示。</w:t>
      </w:r>
    </w:p>
    <w:p w14:paraId="5417299F">
      <w:pPr>
        <w:ind w:firstLine="480"/>
        <w:rPr>
          <w:rFonts w:ascii="宋体" w:hAnsi="宋体" w:eastAsia="宋体"/>
        </w:rPr>
      </w:pPr>
      <w:r>
        <w:rPr>
          <w:rFonts w:hint="eastAsia" w:ascii="宋体" w:hAnsi="宋体" w:eastAsia="宋体"/>
        </w:rPr>
        <w:t>4）</w:t>
      </w:r>
      <w:r>
        <w:rPr>
          <w:rFonts w:ascii="宋体" w:hAnsi="宋体" w:eastAsia="宋体"/>
        </w:rPr>
        <w:t>发药界面支持以处方签的样式显示药品信息。</w:t>
      </w:r>
    </w:p>
    <w:p w14:paraId="11E7983F">
      <w:pPr>
        <w:ind w:firstLine="480"/>
        <w:rPr>
          <w:rFonts w:ascii="宋体" w:hAnsi="宋体" w:eastAsia="宋体"/>
        </w:rPr>
      </w:pPr>
      <w:r>
        <w:rPr>
          <w:rFonts w:hint="eastAsia" w:ascii="宋体" w:hAnsi="宋体" w:eastAsia="宋体"/>
        </w:rPr>
        <w:t>5）</w:t>
      </w:r>
      <w:r>
        <w:rPr>
          <w:rFonts w:ascii="宋体" w:hAnsi="宋体" w:eastAsia="宋体"/>
        </w:rPr>
        <w:t>打印药品处方。</w:t>
      </w:r>
    </w:p>
    <w:p w14:paraId="714FC5A4">
      <w:pPr>
        <w:ind w:firstLine="480"/>
        <w:rPr>
          <w:rFonts w:ascii="宋体" w:hAnsi="宋体" w:eastAsia="宋体"/>
        </w:rPr>
      </w:pPr>
      <w:r>
        <w:rPr>
          <w:rFonts w:hint="eastAsia" w:ascii="宋体" w:hAnsi="宋体" w:eastAsia="宋体"/>
        </w:rPr>
        <w:t>6）</w:t>
      </w:r>
      <w:r>
        <w:rPr>
          <w:rFonts w:ascii="宋体" w:hAnsi="宋体" w:eastAsia="宋体"/>
        </w:rPr>
        <w:t>对门诊患者的处方执行划价、发药确认并消减库存的，并统计日处方量和各类别的处方量。</w:t>
      </w:r>
    </w:p>
    <w:p w14:paraId="3338E68D">
      <w:pPr>
        <w:ind w:firstLine="480"/>
        <w:rPr>
          <w:rFonts w:ascii="宋体" w:hAnsi="宋体" w:eastAsia="宋体"/>
        </w:rPr>
      </w:pPr>
      <w:r>
        <w:rPr>
          <w:rFonts w:hint="eastAsia" w:ascii="宋体" w:hAnsi="宋体" w:eastAsia="宋体"/>
        </w:rPr>
        <w:t>7）</w:t>
      </w:r>
      <w:r>
        <w:rPr>
          <w:rFonts w:ascii="宋体" w:hAnsi="宋体" w:eastAsia="宋体"/>
        </w:rPr>
        <w:t>实现为住院患者划价、记帐和按医嘱执行发药。</w:t>
      </w:r>
    </w:p>
    <w:p w14:paraId="5D1A720C">
      <w:pPr>
        <w:ind w:firstLine="480"/>
        <w:rPr>
          <w:rFonts w:ascii="宋体" w:hAnsi="宋体" w:eastAsia="宋体"/>
        </w:rPr>
      </w:pPr>
      <w:r>
        <w:rPr>
          <w:rFonts w:hint="eastAsia" w:ascii="宋体" w:hAnsi="宋体" w:eastAsia="宋体"/>
        </w:rPr>
        <w:t>8）</w:t>
      </w:r>
      <w:r>
        <w:rPr>
          <w:rFonts w:ascii="宋体" w:hAnsi="宋体" w:eastAsia="宋体"/>
        </w:rPr>
        <w:t>自动检索并打印配药标签，生成用药说明（标签）。</w:t>
      </w:r>
    </w:p>
    <w:p w14:paraId="48479B00">
      <w:pPr>
        <w:rPr>
          <w:rFonts w:ascii="宋体" w:hAnsi="宋体" w:eastAsia="宋体"/>
        </w:rPr>
      </w:pPr>
      <w:r>
        <w:rPr>
          <w:rFonts w:hint="eastAsia" w:ascii="宋体" w:hAnsi="宋体" w:eastAsia="宋体"/>
        </w:rPr>
        <w:t>（5）</w:t>
      </w:r>
      <w:r>
        <w:rPr>
          <w:rFonts w:ascii="宋体" w:hAnsi="宋体" w:eastAsia="宋体"/>
        </w:rPr>
        <w:t>门诊退药审核</w:t>
      </w:r>
    </w:p>
    <w:p w14:paraId="5C374247">
      <w:pPr>
        <w:ind w:firstLine="480"/>
        <w:rPr>
          <w:rFonts w:ascii="宋体" w:hAnsi="宋体" w:eastAsia="宋体"/>
        </w:rPr>
      </w:pPr>
      <w:r>
        <w:rPr>
          <w:rFonts w:hint="eastAsia" w:ascii="宋体" w:hAnsi="宋体" w:eastAsia="宋体"/>
        </w:rPr>
        <w:t>1）</w:t>
      </w:r>
      <w:r>
        <w:rPr>
          <w:rFonts w:ascii="宋体" w:hAnsi="宋体" w:eastAsia="宋体"/>
        </w:rPr>
        <w:t>对可退药的处方进行显示，并进行退药处理。</w:t>
      </w:r>
    </w:p>
    <w:p w14:paraId="18F5F562">
      <w:pPr>
        <w:ind w:firstLine="480"/>
        <w:rPr>
          <w:rFonts w:ascii="宋体" w:hAnsi="宋体" w:eastAsia="宋体"/>
        </w:rPr>
      </w:pPr>
      <w:r>
        <w:rPr>
          <w:rFonts w:hint="eastAsia" w:ascii="宋体" w:hAnsi="宋体" w:eastAsia="宋体"/>
        </w:rPr>
        <w:t>2）</w:t>
      </w:r>
      <w:r>
        <w:rPr>
          <w:rFonts w:ascii="宋体" w:hAnsi="宋体" w:eastAsia="宋体"/>
        </w:rPr>
        <w:t>打印退药处方。</w:t>
      </w:r>
    </w:p>
    <w:p w14:paraId="4241C95E">
      <w:pPr>
        <w:rPr>
          <w:rFonts w:ascii="宋体" w:hAnsi="宋体" w:eastAsia="宋体"/>
        </w:rPr>
      </w:pPr>
      <w:r>
        <w:rPr>
          <w:rFonts w:hint="eastAsia" w:ascii="宋体" w:hAnsi="宋体" w:eastAsia="宋体"/>
        </w:rPr>
        <w:t>（6）</w:t>
      </w:r>
      <w:r>
        <w:rPr>
          <w:rFonts w:ascii="宋体" w:hAnsi="宋体" w:eastAsia="宋体"/>
        </w:rPr>
        <w:t>统计报表</w:t>
      </w:r>
    </w:p>
    <w:p w14:paraId="4278E8A3">
      <w:pPr>
        <w:ind w:firstLine="480"/>
        <w:rPr>
          <w:rFonts w:ascii="宋体" w:hAnsi="宋体" w:eastAsia="宋体"/>
        </w:rPr>
      </w:pPr>
      <w:r>
        <w:rPr>
          <w:rFonts w:hint="eastAsia" w:ascii="宋体" w:hAnsi="宋体" w:eastAsia="宋体"/>
        </w:rPr>
        <w:t>1）</w:t>
      </w:r>
      <w:r>
        <w:rPr>
          <w:rFonts w:ascii="宋体" w:hAnsi="宋体" w:eastAsia="宋体"/>
        </w:rPr>
        <w:t>对药房调拨的数据进行查询统计。</w:t>
      </w:r>
    </w:p>
    <w:p w14:paraId="334FFE91">
      <w:pPr>
        <w:ind w:firstLine="480"/>
        <w:rPr>
          <w:rFonts w:ascii="宋体" w:hAnsi="宋体" w:eastAsia="宋体"/>
        </w:rPr>
      </w:pPr>
      <w:r>
        <w:rPr>
          <w:rFonts w:hint="eastAsia" w:ascii="宋体" w:hAnsi="宋体" w:eastAsia="宋体"/>
        </w:rPr>
        <w:t>2）</w:t>
      </w:r>
      <w:r>
        <w:rPr>
          <w:rFonts w:ascii="宋体" w:hAnsi="宋体" w:eastAsia="宋体"/>
        </w:rPr>
        <w:t>对药房药品库存情况进行查询。</w:t>
      </w:r>
    </w:p>
    <w:p w14:paraId="1E796A3C">
      <w:pPr>
        <w:ind w:firstLine="480"/>
        <w:rPr>
          <w:rFonts w:ascii="宋体" w:hAnsi="宋体" w:eastAsia="宋体"/>
        </w:rPr>
      </w:pPr>
      <w:r>
        <w:rPr>
          <w:rFonts w:hint="eastAsia" w:ascii="宋体" w:hAnsi="宋体" w:eastAsia="宋体"/>
        </w:rPr>
        <w:t>3）</w:t>
      </w:r>
      <w:r>
        <w:rPr>
          <w:rFonts w:ascii="宋体" w:hAnsi="宋体" w:eastAsia="宋体"/>
        </w:rPr>
        <w:t>药房人员工作量统计。</w:t>
      </w:r>
    </w:p>
    <w:p w14:paraId="37C99442">
      <w:pPr>
        <w:pStyle w:val="6"/>
      </w:pPr>
      <w:r>
        <w:rPr>
          <w:rFonts w:hint="eastAsia"/>
        </w:rPr>
        <w:t>住院医生工作站</w:t>
      </w:r>
    </w:p>
    <w:p w14:paraId="7DA3CD92">
      <w:pPr>
        <w:rPr>
          <w:rFonts w:ascii="宋体" w:hAnsi="宋体" w:eastAsia="宋体"/>
        </w:rPr>
      </w:pPr>
      <w:r>
        <w:rPr>
          <w:rFonts w:hint="eastAsia" w:ascii="宋体" w:hAnsi="宋体" w:eastAsia="宋体"/>
        </w:rPr>
        <w:t>（1）患者管理</w:t>
      </w:r>
    </w:p>
    <w:p w14:paraId="7394C3A5">
      <w:pPr>
        <w:ind w:firstLine="480"/>
        <w:rPr>
          <w:rFonts w:ascii="宋体" w:hAnsi="宋体" w:eastAsia="宋体"/>
        </w:rPr>
      </w:pPr>
      <w:r>
        <w:rPr>
          <w:rFonts w:hint="eastAsia" w:ascii="宋体" w:hAnsi="宋体" w:eastAsia="宋体"/>
        </w:rPr>
        <w:t>1）对医生主管或全科的住院病人进行管理，支持病人列表及病人基本信息。</w:t>
      </w:r>
    </w:p>
    <w:p w14:paraId="6C34ADDC">
      <w:pPr>
        <w:ind w:firstLine="480"/>
        <w:rPr>
          <w:rFonts w:ascii="宋体" w:hAnsi="宋体" w:eastAsia="宋体"/>
        </w:rPr>
      </w:pPr>
      <w:r>
        <w:rPr>
          <w:rFonts w:hint="eastAsia" w:ascii="宋体" w:hAnsi="宋体" w:eastAsia="宋体"/>
        </w:rPr>
        <w:t>2）患者管理可快捷进入相关，如医嘱、病历、诊断、病案首页等。</w:t>
      </w:r>
    </w:p>
    <w:p w14:paraId="4A658877">
      <w:pPr>
        <w:ind w:firstLine="480"/>
        <w:rPr>
          <w:rFonts w:ascii="宋体" w:hAnsi="宋体" w:eastAsia="宋体"/>
        </w:rPr>
      </w:pPr>
      <w:r>
        <w:rPr>
          <w:rFonts w:hint="eastAsia" w:ascii="宋体" w:hAnsi="宋体" w:eastAsia="宋体"/>
        </w:rPr>
        <w:t>3）通过多种方式对患者进行检索，如床位号、住院号、姓名、主管医生、主要诊断等。</w:t>
      </w:r>
    </w:p>
    <w:p w14:paraId="75CA91FE">
      <w:pPr>
        <w:ind w:firstLine="480"/>
        <w:rPr>
          <w:rFonts w:ascii="宋体" w:hAnsi="宋体" w:eastAsia="宋体"/>
        </w:rPr>
      </w:pPr>
      <w:r>
        <w:rPr>
          <w:rFonts w:hint="eastAsia" w:ascii="宋体" w:hAnsi="宋体" w:eastAsia="宋体"/>
        </w:rPr>
        <w:t>4）可快捷切换到其他科室住院病人进行管理。</w:t>
      </w:r>
    </w:p>
    <w:p w14:paraId="606EC5AC">
      <w:pPr>
        <w:ind w:firstLine="480"/>
        <w:rPr>
          <w:rFonts w:ascii="宋体" w:hAnsi="宋体" w:eastAsia="宋体"/>
        </w:rPr>
      </w:pPr>
      <w:r>
        <w:rPr>
          <w:rFonts w:hint="eastAsia" w:ascii="宋体" w:hAnsi="宋体" w:eastAsia="宋体"/>
        </w:rPr>
        <w:t>5）历史住院病人查询，可通过时间段、出院状态等信息进行检索。</w:t>
      </w:r>
    </w:p>
    <w:p w14:paraId="0537A812">
      <w:pPr>
        <w:ind w:firstLine="480"/>
        <w:rPr>
          <w:rFonts w:ascii="宋体" w:hAnsi="宋体" w:eastAsia="宋体"/>
        </w:rPr>
      </w:pPr>
      <w:r>
        <w:rPr>
          <w:rFonts w:hint="eastAsia" w:ascii="宋体" w:hAnsi="宋体" w:eastAsia="宋体"/>
        </w:rPr>
        <w:t>6）病人特殊状态图标显示，如病危、病种、护理级别等。</w:t>
      </w:r>
    </w:p>
    <w:p w14:paraId="09FDF826">
      <w:pPr>
        <w:ind w:firstLine="480"/>
        <w:rPr>
          <w:rFonts w:ascii="宋体" w:hAnsi="宋体" w:eastAsia="宋体"/>
        </w:rPr>
      </w:pPr>
      <w:r>
        <w:rPr>
          <w:rFonts w:hint="eastAsia" w:ascii="宋体" w:hAnsi="宋体" w:eastAsia="宋体"/>
        </w:rPr>
        <w:t>7）根据诊断编码选择是否进入临床路径管理。</w:t>
      </w:r>
    </w:p>
    <w:p w14:paraId="762EE76B">
      <w:pPr>
        <w:rPr>
          <w:rFonts w:ascii="宋体" w:hAnsi="宋体" w:eastAsia="宋体"/>
        </w:rPr>
      </w:pPr>
      <w:r>
        <w:rPr>
          <w:rFonts w:hint="eastAsia" w:ascii="宋体" w:hAnsi="宋体" w:eastAsia="宋体"/>
        </w:rPr>
        <w:t>（2）</w:t>
      </w:r>
      <w:r>
        <w:rPr>
          <w:rFonts w:ascii="宋体" w:hAnsi="宋体" w:eastAsia="宋体"/>
        </w:rPr>
        <w:t>诊断管理</w:t>
      </w:r>
    </w:p>
    <w:p w14:paraId="5DAEFD15">
      <w:pPr>
        <w:ind w:firstLine="480"/>
        <w:rPr>
          <w:rFonts w:ascii="宋体" w:hAnsi="宋体" w:eastAsia="宋体"/>
        </w:rPr>
      </w:pPr>
      <w:r>
        <w:rPr>
          <w:rFonts w:hint="eastAsia" w:ascii="宋体" w:hAnsi="宋体" w:eastAsia="宋体"/>
        </w:rPr>
        <w:t>1）</w:t>
      </w:r>
      <w:r>
        <w:rPr>
          <w:rFonts w:ascii="宋体" w:hAnsi="宋体" w:eastAsia="宋体"/>
        </w:rPr>
        <w:t>医生可按照国际疾病分类标准下达诊断，包括入院诊断、出院诊断、术前诊断、术后诊断等。</w:t>
      </w:r>
    </w:p>
    <w:p w14:paraId="0A11A129">
      <w:pPr>
        <w:ind w:firstLine="480"/>
        <w:rPr>
          <w:rFonts w:ascii="宋体" w:hAnsi="宋体" w:eastAsia="宋体"/>
        </w:rPr>
      </w:pPr>
      <w:r>
        <w:rPr>
          <w:rFonts w:hint="eastAsia" w:ascii="宋体" w:hAnsi="宋体" w:eastAsia="宋体"/>
        </w:rPr>
        <w:t>2）</w:t>
      </w:r>
      <w:r>
        <w:rPr>
          <w:rFonts w:ascii="宋体" w:hAnsi="宋体" w:eastAsia="宋体"/>
        </w:rPr>
        <w:t>按疾病编码、拼音、汉字等多重检索方式对诊断进行检索。</w:t>
      </w:r>
    </w:p>
    <w:p w14:paraId="5BD96D40">
      <w:pPr>
        <w:ind w:firstLine="480"/>
        <w:rPr>
          <w:rFonts w:ascii="宋体" w:hAnsi="宋体" w:eastAsia="宋体"/>
        </w:rPr>
      </w:pPr>
      <w:r>
        <w:rPr>
          <w:rFonts w:hint="eastAsia" w:ascii="宋体" w:hAnsi="宋体" w:eastAsia="宋体"/>
        </w:rPr>
        <w:t>3）</w:t>
      </w:r>
      <w:r>
        <w:rPr>
          <w:rFonts w:ascii="宋体" w:hAnsi="宋体" w:eastAsia="宋体"/>
        </w:rPr>
        <w:t>对诊断的确诊和疑似标记。</w:t>
      </w:r>
    </w:p>
    <w:p w14:paraId="468E840D">
      <w:pPr>
        <w:ind w:firstLine="480"/>
        <w:rPr>
          <w:rFonts w:ascii="宋体" w:hAnsi="宋体" w:eastAsia="宋体"/>
        </w:rPr>
      </w:pPr>
      <w:r>
        <w:rPr>
          <w:rFonts w:hint="eastAsia" w:ascii="宋体" w:hAnsi="宋体" w:eastAsia="宋体"/>
        </w:rPr>
        <w:t>4）</w:t>
      </w:r>
      <w:r>
        <w:rPr>
          <w:rFonts w:ascii="宋体" w:hAnsi="宋体" w:eastAsia="宋体"/>
        </w:rPr>
        <w:t>对诊断的主要诊断和次要诊断标记。</w:t>
      </w:r>
    </w:p>
    <w:p w14:paraId="579B7F59">
      <w:pPr>
        <w:ind w:firstLine="480"/>
        <w:rPr>
          <w:rFonts w:ascii="宋体" w:hAnsi="宋体" w:eastAsia="宋体"/>
        </w:rPr>
      </w:pPr>
      <w:r>
        <w:rPr>
          <w:rFonts w:hint="eastAsia" w:ascii="宋体" w:hAnsi="宋体" w:eastAsia="宋体"/>
        </w:rPr>
        <w:t>5）</w:t>
      </w:r>
      <w:r>
        <w:rPr>
          <w:rFonts w:ascii="宋体" w:hAnsi="宋体" w:eastAsia="宋体"/>
        </w:rPr>
        <w:t>诊断的前、后备注填写，满足临床诊断要求。</w:t>
      </w:r>
    </w:p>
    <w:p w14:paraId="7D517C25">
      <w:pPr>
        <w:rPr>
          <w:rFonts w:ascii="宋体" w:hAnsi="宋体" w:eastAsia="宋体"/>
        </w:rPr>
      </w:pPr>
      <w:r>
        <w:rPr>
          <w:rFonts w:hint="eastAsia" w:ascii="宋体" w:hAnsi="宋体" w:eastAsia="宋体"/>
        </w:rPr>
        <w:t>（3）</w:t>
      </w:r>
      <w:r>
        <w:rPr>
          <w:rFonts w:ascii="宋体" w:hAnsi="宋体" w:eastAsia="宋体"/>
        </w:rPr>
        <w:t>病历书写</w:t>
      </w:r>
    </w:p>
    <w:p w14:paraId="6A58C3EC">
      <w:pPr>
        <w:ind w:firstLine="480"/>
        <w:rPr>
          <w:rFonts w:ascii="宋体" w:hAnsi="宋体" w:eastAsia="宋体"/>
        </w:rPr>
      </w:pPr>
      <w:r>
        <w:rPr>
          <w:rFonts w:hint="eastAsia" w:ascii="宋体" w:hAnsi="宋体" w:eastAsia="宋体"/>
        </w:rPr>
        <w:t>1）</w:t>
      </w:r>
      <w:r>
        <w:rPr>
          <w:rFonts w:ascii="宋体" w:hAnsi="宋体" w:eastAsia="宋体"/>
        </w:rPr>
        <w:t>病历书写编辑集成电子病历组件进行结构化病历的书写，完成病史资料、主诉、现病史、诊疗史、体格检查等的显示及录入。</w:t>
      </w:r>
    </w:p>
    <w:p w14:paraId="1C0C55FF">
      <w:pPr>
        <w:ind w:firstLine="480"/>
        <w:rPr>
          <w:rFonts w:ascii="宋体" w:hAnsi="宋体" w:eastAsia="宋体"/>
        </w:rPr>
      </w:pPr>
      <w:r>
        <w:rPr>
          <w:rFonts w:hint="eastAsia" w:ascii="宋体" w:hAnsi="宋体" w:eastAsia="宋体"/>
        </w:rPr>
        <w:t>2）</w:t>
      </w:r>
      <w:r>
        <w:rPr>
          <w:rFonts w:ascii="宋体" w:hAnsi="宋体" w:eastAsia="宋体"/>
        </w:rPr>
        <w:t>模版管理可根据不同专业、不同病种等进行不同的病历模版的定制。</w:t>
      </w:r>
    </w:p>
    <w:p w14:paraId="3EEA2EBC">
      <w:pPr>
        <w:ind w:firstLine="480"/>
        <w:rPr>
          <w:rFonts w:ascii="宋体" w:hAnsi="宋体" w:eastAsia="宋体"/>
        </w:rPr>
      </w:pPr>
      <w:r>
        <w:rPr>
          <w:rFonts w:hint="eastAsia" w:ascii="宋体" w:hAnsi="宋体" w:eastAsia="宋体"/>
        </w:rPr>
        <w:t>3）</w:t>
      </w:r>
      <w:r>
        <w:rPr>
          <w:rFonts w:ascii="宋体" w:hAnsi="宋体" w:eastAsia="宋体"/>
        </w:rPr>
        <w:t>医学矢量图支持在病历中进行一些专业图形图像的标注，也可进行一些特殊医学符号及表达式的录入。</w:t>
      </w:r>
    </w:p>
    <w:p w14:paraId="269A7088">
      <w:pPr>
        <w:ind w:firstLine="480"/>
        <w:rPr>
          <w:rFonts w:ascii="宋体" w:hAnsi="宋体" w:eastAsia="宋体"/>
        </w:rPr>
      </w:pPr>
      <w:r>
        <w:rPr>
          <w:rFonts w:hint="eastAsia" w:ascii="宋体" w:hAnsi="宋体" w:eastAsia="宋体"/>
        </w:rPr>
        <w:t>4）</w:t>
      </w:r>
      <w:r>
        <w:rPr>
          <w:rFonts w:ascii="宋体" w:hAnsi="宋体" w:eastAsia="宋体"/>
        </w:rPr>
        <w:t>信息引用可直接引用患者的临床信息，包括基本信息、检验、检查、术语词库等数据。</w:t>
      </w:r>
    </w:p>
    <w:p w14:paraId="5AB6C278">
      <w:pPr>
        <w:ind w:firstLine="480"/>
        <w:rPr>
          <w:rFonts w:ascii="宋体" w:hAnsi="宋体" w:eastAsia="宋体"/>
        </w:rPr>
      </w:pPr>
      <w:r>
        <w:rPr>
          <w:rFonts w:hint="eastAsia" w:ascii="宋体" w:hAnsi="宋体" w:eastAsia="宋体"/>
        </w:rPr>
        <w:t>5）</w:t>
      </w:r>
      <w:r>
        <w:rPr>
          <w:rFonts w:ascii="宋体" w:hAnsi="宋体" w:eastAsia="宋体"/>
        </w:rPr>
        <w:t>病案首页及附页可自动从业务系统提取数据生成病案首页及附页。</w:t>
      </w:r>
    </w:p>
    <w:p w14:paraId="23F24C8D">
      <w:pPr>
        <w:rPr>
          <w:rFonts w:ascii="宋体" w:hAnsi="宋体" w:eastAsia="宋体"/>
        </w:rPr>
      </w:pPr>
      <w:r>
        <w:rPr>
          <w:rFonts w:hint="eastAsia" w:ascii="宋体" w:hAnsi="宋体" w:eastAsia="宋体"/>
        </w:rPr>
        <w:t>（4）</w:t>
      </w:r>
      <w:r>
        <w:rPr>
          <w:rFonts w:ascii="宋体" w:hAnsi="宋体" w:eastAsia="宋体"/>
        </w:rPr>
        <w:t>医嘱管理</w:t>
      </w:r>
    </w:p>
    <w:p w14:paraId="3334DD7D">
      <w:pPr>
        <w:ind w:firstLine="480"/>
        <w:rPr>
          <w:rFonts w:ascii="宋体" w:hAnsi="宋体" w:eastAsia="宋体"/>
        </w:rPr>
      </w:pPr>
      <w:r>
        <w:rPr>
          <w:rFonts w:hint="eastAsia" w:ascii="宋体" w:hAnsi="宋体" w:eastAsia="宋体"/>
        </w:rPr>
        <w:t>1）</w:t>
      </w:r>
      <w:r>
        <w:rPr>
          <w:rFonts w:ascii="宋体" w:hAnsi="宋体" w:eastAsia="宋体"/>
        </w:rPr>
        <w:t>医嘱权限</w:t>
      </w:r>
      <w:r>
        <w:rPr>
          <w:rFonts w:hint="eastAsia" w:ascii="宋体" w:hAnsi="宋体" w:eastAsia="宋体"/>
        </w:rPr>
        <w:t>支持</w:t>
      </w:r>
      <w:r>
        <w:rPr>
          <w:rFonts w:ascii="宋体" w:hAnsi="宋体" w:eastAsia="宋体"/>
        </w:rPr>
        <w:t>医生开单权限、抗菌药物、精麻、限制药品、手术等医嘱权限管控。</w:t>
      </w:r>
    </w:p>
    <w:p w14:paraId="51DB7C3C">
      <w:pPr>
        <w:ind w:firstLine="480"/>
        <w:rPr>
          <w:rFonts w:ascii="宋体" w:hAnsi="宋体" w:eastAsia="宋体"/>
        </w:rPr>
      </w:pPr>
      <w:r>
        <w:rPr>
          <w:rFonts w:hint="eastAsia" w:ascii="宋体" w:hAnsi="宋体" w:eastAsia="宋体"/>
        </w:rPr>
        <w:t>2）</w:t>
      </w:r>
      <w:r>
        <w:rPr>
          <w:rFonts w:ascii="宋体" w:hAnsi="宋体" w:eastAsia="宋体"/>
        </w:rPr>
        <w:t>医嘱开具可进行检查、检验、处方、治疗处置、卫生材料、手术、护理、会诊、转科、出院等医嘱的开具。</w:t>
      </w:r>
    </w:p>
    <w:p w14:paraId="70B8F816">
      <w:pPr>
        <w:ind w:firstLine="480"/>
        <w:rPr>
          <w:rFonts w:ascii="宋体" w:hAnsi="宋体" w:eastAsia="宋体"/>
        </w:rPr>
      </w:pPr>
      <w:r>
        <w:rPr>
          <w:rFonts w:hint="eastAsia" w:ascii="宋体" w:hAnsi="宋体" w:eastAsia="宋体"/>
        </w:rPr>
        <w:t>3）</w:t>
      </w:r>
      <w:r>
        <w:rPr>
          <w:rFonts w:ascii="宋体" w:hAnsi="宋体" w:eastAsia="宋体"/>
        </w:rPr>
        <w:t>费用信息提示包括项目名称、规格、价格、医保费用类别、数量等。</w:t>
      </w:r>
    </w:p>
    <w:p w14:paraId="03AA7FA4">
      <w:pPr>
        <w:ind w:firstLine="480"/>
        <w:rPr>
          <w:rFonts w:ascii="宋体" w:hAnsi="宋体" w:eastAsia="宋体"/>
        </w:rPr>
      </w:pPr>
      <w:r>
        <w:rPr>
          <w:rFonts w:hint="eastAsia" w:ascii="宋体" w:hAnsi="宋体" w:eastAsia="宋体"/>
        </w:rPr>
        <w:t>4）</w:t>
      </w:r>
      <w:r>
        <w:rPr>
          <w:rFonts w:ascii="宋体" w:hAnsi="宋体" w:eastAsia="宋体"/>
        </w:rPr>
        <w:t>药品信息提示包括商品名、通用名、规格、价格、库存量、医保费用类别等。</w:t>
      </w:r>
    </w:p>
    <w:p w14:paraId="79B5036C">
      <w:pPr>
        <w:ind w:firstLine="480"/>
        <w:rPr>
          <w:rFonts w:ascii="宋体" w:hAnsi="宋体" w:eastAsia="宋体"/>
        </w:rPr>
      </w:pPr>
      <w:r>
        <w:rPr>
          <w:rFonts w:hint="eastAsia" w:ascii="宋体" w:hAnsi="宋体" w:eastAsia="宋体"/>
        </w:rPr>
        <w:t>5）支持</w:t>
      </w:r>
      <w:r>
        <w:rPr>
          <w:rFonts w:ascii="宋体" w:hAnsi="宋体" w:eastAsia="宋体"/>
        </w:rPr>
        <w:t>缺药提醒</w:t>
      </w:r>
      <w:r>
        <w:rPr>
          <w:rFonts w:hint="eastAsia" w:ascii="宋体" w:hAnsi="宋体" w:eastAsia="宋体"/>
        </w:rPr>
        <w:t>，</w:t>
      </w:r>
      <w:r>
        <w:rPr>
          <w:rFonts w:ascii="宋体" w:hAnsi="宋体" w:eastAsia="宋体"/>
        </w:rPr>
        <w:t>并可控制不允许选择开方。</w:t>
      </w:r>
    </w:p>
    <w:p w14:paraId="6F479182">
      <w:pPr>
        <w:ind w:firstLine="480"/>
        <w:rPr>
          <w:rFonts w:ascii="宋体" w:hAnsi="宋体" w:eastAsia="宋体"/>
        </w:rPr>
      </w:pPr>
      <w:r>
        <w:rPr>
          <w:rFonts w:hint="eastAsia" w:ascii="宋体" w:hAnsi="宋体" w:eastAsia="宋体"/>
        </w:rPr>
        <w:t>6）</w:t>
      </w:r>
      <w:r>
        <w:rPr>
          <w:rFonts w:ascii="宋体" w:hAnsi="宋体" w:eastAsia="宋体"/>
        </w:rPr>
        <w:t>医嘱均</w:t>
      </w:r>
      <w:r>
        <w:rPr>
          <w:rFonts w:hint="eastAsia" w:ascii="宋体" w:hAnsi="宋体" w:eastAsia="宋体"/>
        </w:rPr>
        <w:t>支持</w:t>
      </w:r>
      <w:r>
        <w:rPr>
          <w:rFonts w:ascii="宋体" w:hAnsi="宋体" w:eastAsia="宋体"/>
        </w:rPr>
        <w:t>备注，医师可以输入相关注意事项。</w:t>
      </w:r>
    </w:p>
    <w:p w14:paraId="687DAA41">
      <w:pPr>
        <w:ind w:firstLine="480"/>
        <w:rPr>
          <w:rFonts w:ascii="宋体" w:hAnsi="宋体" w:eastAsia="宋体"/>
        </w:rPr>
      </w:pPr>
      <w:r>
        <w:rPr>
          <w:rFonts w:hint="eastAsia" w:ascii="宋体" w:hAnsi="宋体" w:eastAsia="宋体"/>
        </w:rPr>
        <w:t>7）支持</w:t>
      </w:r>
      <w:r>
        <w:rPr>
          <w:rFonts w:ascii="宋体" w:hAnsi="宋体" w:eastAsia="宋体"/>
        </w:rPr>
        <w:t>医院、科室、医嘱组套、模板及相应编辑。</w:t>
      </w:r>
    </w:p>
    <w:p w14:paraId="5DFA0CC4">
      <w:pPr>
        <w:ind w:firstLine="480"/>
        <w:rPr>
          <w:rFonts w:ascii="宋体" w:hAnsi="宋体" w:eastAsia="宋体"/>
        </w:rPr>
      </w:pPr>
      <w:r>
        <w:rPr>
          <w:rFonts w:hint="eastAsia" w:ascii="宋体" w:hAnsi="宋体" w:eastAsia="宋体"/>
        </w:rPr>
        <w:t>8）</w:t>
      </w:r>
      <w:r>
        <w:rPr>
          <w:rFonts w:ascii="宋体" w:hAnsi="宋体" w:eastAsia="宋体"/>
        </w:rPr>
        <w:t>支持协定处方开具。</w:t>
      </w:r>
    </w:p>
    <w:p w14:paraId="4CDB3320">
      <w:pPr>
        <w:ind w:firstLine="480"/>
        <w:rPr>
          <w:rFonts w:ascii="宋体" w:hAnsi="宋体" w:eastAsia="宋体"/>
        </w:rPr>
      </w:pPr>
      <w:r>
        <w:rPr>
          <w:rFonts w:hint="eastAsia" w:ascii="宋体" w:hAnsi="宋体" w:eastAsia="宋体"/>
        </w:rPr>
        <w:t>9）</w:t>
      </w:r>
      <w:r>
        <w:rPr>
          <w:rFonts w:ascii="宋体" w:hAnsi="宋体" w:eastAsia="宋体"/>
        </w:rPr>
        <w:t>支持录入药品和诊疗时允许多种录入方式：五笔首码、拼音首码、汉字、商品名、通用名、药品编码等。</w:t>
      </w:r>
    </w:p>
    <w:p w14:paraId="600DE479">
      <w:pPr>
        <w:ind w:firstLine="480"/>
        <w:rPr>
          <w:rFonts w:ascii="宋体" w:hAnsi="宋体" w:eastAsia="宋体"/>
        </w:rPr>
      </w:pPr>
      <w:r>
        <w:rPr>
          <w:rFonts w:hint="eastAsia" w:ascii="宋体" w:hAnsi="宋体" w:eastAsia="宋体"/>
        </w:rPr>
        <w:t>10）</w:t>
      </w:r>
      <w:r>
        <w:rPr>
          <w:rFonts w:ascii="宋体" w:hAnsi="宋体" w:eastAsia="宋体"/>
        </w:rPr>
        <w:t>预先设置药品的默认剂量、频次、用法等，提高医生开方速度。</w:t>
      </w:r>
    </w:p>
    <w:p w14:paraId="56C90874">
      <w:pPr>
        <w:ind w:firstLine="480"/>
        <w:rPr>
          <w:rFonts w:ascii="宋体" w:hAnsi="宋体" w:eastAsia="宋体"/>
        </w:rPr>
      </w:pPr>
      <w:r>
        <w:rPr>
          <w:rFonts w:hint="eastAsia" w:ascii="宋体" w:hAnsi="宋体" w:eastAsia="宋体"/>
        </w:rPr>
        <w:t>11）支持</w:t>
      </w:r>
      <w:r>
        <w:rPr>
          <w:rFonts w:ascii="宋体" w:hAnsi="宋体" w:eastAsia="宋体"/>
        </w:rPr>
        <w:t>长期医嘱和临时医嘱的开立、停止和作废、暂存、提交、审核、执行、已执行、撤销停止。</w:t>
      </w:r>
    </w:p>
    <w:p w14:paraId="40001AB1">
      <w:pPr>
        <w:ind w:firstLine="480"/>
        <w:rPr>
          <w:rFonts w:ascii="宋体" w:hAnsi="宋体" w:eastAsia="宋体"/>
        </w:rPr>
      </w:pPr>
      <w:r>
        <w:rPr>
          <w:rFonts w:hint="eastAsia" w:ascii="宋体" w:hAnsi="宋体" w:eastAsia="宋体"/>
        </w:rPr>
        <w:t>12）</w:t>
      </w:r>
      <w:r>
        <w:rPr>
          <w:rFonts w:ascii="宋体" w:hAnsi="宋体" w:eastAsia="宋体"/>
        </w:rPr>
        <w:t>支持不同状态的医嘱用不同的颜色进行标识。</w:t>
      </w:r>
    </w:p>
    <w:p w14:paraId="0963B986">
      <w:pPr>
        <w:ind w:firstLine="480"/>
        <w:rPr>
          <w:rFonts w:ascii="宋体" w:hAnsi="宋体" w:eastAsia="宋体"/>
        </w:rPr>
      </w:pPr>
      <w:r>
        <w:rPr>
          <w:rFonts w:hint="eastAsia" w:ascii="宋体" w:hAnsi="宋体" w:eastAsia="宋体"/>
        </w:rPr>
        <w:t>13）</w:t>
      </w:r>
      <w:r>
        <w:rPr>
          <w:rFonts w:ascii="宋体" w:hAnsi="宋体" w:eastAsia="宋体"/>
        </w:rPr>
        <w:t>支持医嘱预开预停，方便医生对医嘱作预处理。</w:t>
      </w:r>
    </w:p>
    <w:p w14:paraId="42949DB9">
      <w:pPr>
        <w:ind w:firstLine="480"/>
        <w:rPr>
          <w:rFonts w:ascii="宋体" w:hAnsi="宋体" w:eastAsia="宋体"/>
        </w:rPr>
      </w:pPr>
      <w:r>
        <w:rPr>
          <w:rFonts w:hint="eastAsia" w:ascii="宋体" w:hAnsi="宋体" w:eastAsia="宋体"/>
        </w:rPr>
        <w:t>14）</w:t>
      </w:r>
      <w:r>
        <w:rPr>
          <w:rFonts w:ascii="宋体" w:hAnsi="宋体" w:eastAsia="宋体"/>
        </w:rPr>
        <w:t>医嘱闭环状态查看。</w:t>
      </w:r>
    </w:p>
    <w:p w14:paraId="2F21CAC1">
      <w:pPr>
        <w:ind w:firstLine="480"/>
        <w:rPr>
          <w:rFonts w:ascii="宋体" w:hAnsi="宋体" w:eastAsia="宋体"/>
        </w:rPr>
      </w:pPr>
      <w:r>
        <w:rPr>
          <w:rFonts w:hint="eastAsia" w:ascii="宋体" w:hAnsi="宋体" w:eastAsia="宋体"/>
        </w:rPr>
        <w:t>15）</w:t>
      </w:r>
      <w:r>
        <w:rPr>
          <w:rFonts w:ascii="宋体" w:hAnsi="宋体" w:eastAsia="宋体"/>
        </w:rPr>
        <w:t>支持医嘱的复制，</w:t>
      </w:r>
      <w:r>
        <w:rPr>
          <w:rFonts w:hint="eastAsia" w:ascii="宋体" w:hAnsi="宋体" w:eastAsia="宋体"/>
        </w:rPr>
        <w:t>支持</w:t>
      </w:r>
      <w:r>
        <w:rPr>
          <w:rFonts w:ascii="宋体" w:hAnsi="宋体" w:eastAsia="宋体"/>
        </w:rPr>
        <w:t>长期医嘱复制为临时医嘱，或临时医嘱复制为长期医嘱</w:t>
      </w:r>
      <w:r>
        <w:rPr>
          <w:rFonts w:hint="eastAsia" w:ascii="宋体" w:hAnsi="宋体" w:eastAsia="宋体"/>
        </w:rPr>
        <w:t>。</w:t>
      </w:r>
    </w:p>
    <w:p w14:paraId="28CD1045">
      <w:pPr>
        <w:ind w:firstLine="480"/>
        <w:rPr>
          <w:rFonts w:ascii="宋体" w:hAnsi="宋体" w:eastAsia="宋体"/>
        </w:rPr>
      </w:pPr>
      <w:r>
        <w:rPr>
          <w:rFonts w:hint="eastAsia" w:ascii="宋体" w:hAnsi="宋体" w:eastAsia="宋体"/>
        </w:rPr>
        <w:t>16）</w:t>
      </w:r>
      <w:r>
        <w:rPr>
          <w:rFonts w:ascii="宋体" w:hAnsi="宋体" w:eastAsia="宋体"/>
        </w:rPr>
        <w:t>支持医嘱的引用，</w:t>
      </w:r>
      <w:r>
        <w:rPr>
          <w:rFonts w:hint="eastAsia" w:ascii="宋体" w:hAnsi="宋体" w:eastAsia="宋体"/>
        </w:rPr>
        <w:t>能</w:t>
      </w:r>
      <w:r>
        <w:rPr>
          <w:rFonts w:ascii="宋体" w:hAnsi="宋体" w:eastAsia="宋体"/>
        </w:rPr>
        <w:t>引用本人</w:t>
      </w:r>
      <w:r>
        <w:rPr>
          <w:rFonts w:hint="eastAsia" w:ascii="宋体" w:hAnsi="宋体" w:eastAsia="宋体"/>
        </w:rPr>
        <w:t>在医院就诊时的</w:t>
      </w:r>
      <w:r>
        <w:rPr>
          <w:rFonts w:ascii="宋体" w:hAnsi="宋体" w:eastAsia="宋体"/>
        </w:rPr>
        <w:t>医嘱</w:t>
      </w:r>
      <w:r>
        <w:rPr>
          <w:rFonts w:hint="eastAsia" w:ascii="宋体" w:hAnsi="宋体" w:eastAsia="宋体"/>
        </w:rPr>
        <w:t>，也可引用</w:t>
      </w:r>
      <w:r>
        <w:rPr>
          <w:rFonts w:ascii="宋体" w:hAnsi="宋体" w:eastAsia="宋体"/>
        </w:rPr>
        <w:t>本科室病人使用过的医嘱。</w:t>
      </w:r>
    </w:p>
    <w:p w14:paraId="7C634F77">
      <w:pPr>
        <w:ind w:firstLine="480"/>
        <w:rPr>
          <w:rFonts w:ascii="宋体" w:hAnsi="宋体" w:eastAsia="宋体"/>
        </w:rPr>
      </w:pPr>
      <w:r>
        <w:rPr>
          <w:rFonts w:hint="eastAsia" w:ascii="宋体" w:hAnsi="宋体" w:eastAsia="宋体"/>
        </w:rPr>
        <w:t>17）</w:t>
      </w:r>
      <w:r>
        <w:rPr>
          <w:rFonts w:ascii="宋体" w:hAnsi="宋体" w:eastAsia="宋体"/>
        </w:rPr>
        <w:t>支持医嘱的出院互用，可互用本科室出院病人使用过的医嘱。</w:t>
      </w:r>
    </w:p>
    <w:p w14:paraId="4B242F71">
      <w:pPr>
        <w:ind w:firstLine="480"/>
        <w:rPr>
          <w:rFonts w:ascii="宋体" w:hAnsi="宋体" w:eastAsia="宋体"/>
        </w:rPr>
      </w:pPr>
      <w:r>
        <w:rPr>
          <w:rFonts w:hint="eastAsia" w:ascii="宋体" w:hAnsi="宋体" w:eastAsia="宋体"/>
        </w:rPr>
        <w:t>18）</w:t>
      </w:r>
      <w:r>
        <w:rPr>
          <w:rFonts w:ascii="宋体" w:hAnsi="宋体" w:eastAsia="宋体"/>
        </w:rPr>
        <w:t>支持所有、长期、临时、当日、全部、有效、当前条件下的医嘱查询过滤。</w:t>
      </w:r>
    </w:p>
    <w:p w14:paraId="56D69476">
      <w:pPr>
        <w:ind w:firstLine="480"/>
        <w:rPr>
          <w:rFonts w:ascii="宋体" w:hAnsi="宋体" w:eastAsia="宋体"/>
        </w:rPr>
      </w:pPr>
      <w:r>
        <w:rPr>
          <w:rFonts w:hint="eastAsia" w:ascii="宋体" w:hAnsi="宋体" w:eastAsia="宋体"/>
        </w:rPr>
        <w:t>19）</w:t>
      </w:r>
      <w:r>
        <w:rPr>
          <w:rFonts w:ascii="宋体" w:hAnsi="宋体" w:eastAsia="宋体"/>
        </w:rPr>
        <w:t>开具皮试的医嘱时，可自动生成对应的皮试医嘱。皮试结果为阴性，才可开对应的用药医嘱。</w:t>
      </w:r>
      <w:r>
        <w:rPr>
          <w:rFonts w:hint="eastAsia" w:ascii="宋体" w:hAnsi="宋体" w:eastAsia="宋体"/>
        </w:rPr>
        <w:t>如患者有历史过敏信息，医嘱开具时须提示。</w:t>
      </w:r>
    </w:p>
    <w:p w14:paraId="6C6D5679">
      <w:pPr>
        <w:ind w:firstLine="480"/>
        <w:rPr>
          <w:rFonts w:ascii="宋体" w:hAnsi="宋体" w:eastAsia="宋体"/>
        </w:rPr>
      </w:pPr>
      <w:r>
        <w:rPr>
          <w:rFonts w:hint="eastAsia" w:ascii="宋体" w:hAnsi="宋体" w:eastAsia="宋体"/>
        </w:rPr>
        <w:t>20）</w:t>
      </w:r>
      <w:r>
        <w:rPr>
          <w:rFonts w:ascii="宋体" w:hAnsi="宋体" w:eastAsia="宋体"/>
        </w:rPr>
        <w:t>与合理用药系统的对接，在医嘱下达时能关联项目获得药物知识，如</w:t>
      </w:r>
      <w:r>
        <w:rPr>
          <w:rFonts w:hint="eastAsia" w:ascii="宋体" w:hAnsi="宋体" w:eastAsia="宋体"/>
        </w:rPr>
        <w:t>支持</w:t>
      </w:r>
      <w:r>
        <w:rPr>
          <w:rFonts w:ascii="宋体" w:hAnsi="宋体" w:eastAsia="宋体"/>
        </w:rPr>
        <w:t>药物说明书查询。</w:t>
      </w:r>
    </w:p>
    <w:p w14:paraId="17FC8A6E">
      <w:pPr>
        <w:rPr>
          <w:rFonts w:ascii="宋体" w:hAnsi="宋体" w:eastAsia="宋体"/>
        </w:rPr>
      </w:pPr>
      <w:r>
        <w:rPr>
          <w:rFonts w:hint="eastAsia" w:ascii="宋体" w:hAnsi="宋体" w:eastAsia="宋体"/>
        </w:rPr>
        <w:t>（5）</w:t>
      </w:r>
      <w:r>
        <w:rPr>
          <w:rFonts w:ascii="宋体" w:hAnsi="宋体" w:eastAsia="宋体"/>
        </w:rPr>
        <w:t>申请单管理</w:t>
      </w:r>
    </w:p>
    <w:p w14:paraId="1A73849C">
      <w:pPr>
        <w:ind w:firstLine="480"/>
        <w:rPr>
          <w:rFonts w:ascii="宋体" w:hAnsi="宋体" w:eastAsia="宋体"/>
        </w:rPr>
      </w:pPr>
      <w:r>
        <w:rPr>
          <w:rFonts w:hint="eastAsia" w:ascii="宋体" w:hAnsi="宋体" w:eastAsia="宋体"/>
        </w:rPr>
        <w:t>1）</w:t>
      </w:r>
      <w:r>
        <w:rPr>
          <w:rFonts w:ascii="宋体" w:hAnsi="宋体" w:eastAsia="宋体"/>
        </w:rPr>
        <w:t>支持检验、检查申请单的下达，自动生成检验检查医嘱，并支持查看项目适应症、注意事项和临床意义等。</w:t>
      </w:r>
    </w:p>
    <w:p w14:paraId="210D3A2F">
      <w:pPr>
        <w:ind w:firstLine="480"/>
        <w:rPr>
          <w:rFonts w:ascii="宋体" w:hAnsi="宋体" w:eastAsia="宋体"/>
        </w:rPr>
      </w:pPr>
      <w:r>
        <w:rPr>
          <w:rFonts w:hint="eastAsia" w:ascii="宋体" w:hAnsi="宋体" w:eastAsia="宋体"/>
        </w:rPr>
        <w:t>2）</w:t>
      </w:r>
      <w:r>
        <w:rPr>
          <w:rFonts w:ascii="宋体" w:hAnsi="宋体" w:eastAsia="宋体"/>
        </w:rPr>
        <w:t>检验、检查项目全院统一字典管理。</w:t>
      </w:r>
    </w:p>
    <w:p w14:paraId="7299FDB0">
      <w:pPr>
        <w:ind w:firstLine="480"/>
        <w:rPr>
          <w:rFonts w:ascii="宋体" w:hAnsi="宋体" w:eastAsia="宋体"/>
        </w:rPr>
      </w:pPr>
      <w:r>
        <w:rPr>
          <w:rFonts w:hint="eastAsia" w:ascii="宋体" w:hAnsi="宋体" w:eastAsia="宋体"/>
        </w:rPr>
        <w:t>3）</w:t>
      </w:r>
      <w:r>
        <w:rPr>
          <w:rFonts w:ascii="宋体" w:hAnsi="宋体" w:eastAsia="宋体"/>
        </w:rPr>
        <w:t>支持下达检验、检查申请时，可以浏览患者电子病历信息。</w:t>
      </w:r>
    </w:p>
    <w:p w14:paraId="34FA836E">
      <w:pPr>
        <w:ind w:firstLine="480"/>
        <w:rPr>
          <w:rFonts w:ascii="宋体" w:hAnsi="宋体" w:eastAsia="宋体"/>
        </w:rPr>
      </w:pPr>
      <w:r>
        <w:rPr>
          <w:rFonts w:hint="eastAsia" w:ascii="宋体" w:hAnsi="宋体" w:eastAsia="宋体"/>
        </w:rPr>
        <w:t>4）</w:t>
      </w:r>
      <w:r>
        <w:rPr>
          <w:rFonts w:ascii="宋体" w:hAnsi="宋体" w:eastAsia="宋体"/>
        </w:rPr>
        <w:t>申请单可直接发送到对应系统，做到申请单信息共享。</w:t>
      </w:r>
    </w:p>
    <w:p w14:paraId="71F03B21">
      <w:pPr>
        <w:ind w:firstLine="480"/>
        <w:rPr>
          <w:rFonts w:ascii="宋体" w:hAnsi="宋体" w:eastAsia="宋体"/>
        </w:rPr>
      </w:pPr>
      <w:r>
        <w:rPr>
          <w:rFonts w:hint="eastAsia" w:ascii="宋体" w:hAnsi="宋体" w:eastAsia="宋体"/>
        </w:rPr>
        <w:t>5）</w:t>
      </w:r>
      <w:r>
        <w:rPr>
          <w:rFonts w:ascii="宋体" w:hAnsi="宋体" w:eastAsia="宋体"/>
        </w:rPr>
        <w:t>可根据申请单进行检验、检查报告的查阅</w:t>
      </w:r>
      <w:r>
        <w:rPr>
          <w:rFonts w:hint="eastAsia" w:ascii="宋体" w:hAnsi="宋体" w:eastAsia="宋体"/>
        </w:rPr>
        <w:t>，包含查看患者历史检验、检查报告</w:t>
      </w:r>
      <w:r>
        <w:rPr>
          <w:rFonts w:ascii="宋体" w:hAnsi="宋体" w:eastAsia="宋体"/>
        </w:rPr>
        <w:t>。</w:t>
      </w:r>
    </w:p>
    <w:p w14:paraId="5CEF8703">
      <w:pPr>
        <w:ind w:firstLine="480"/>
        <w:rPr>
          <w:rFonts w:ascii="宋体" w:hAnsi="宋体" w:eastAsia="宋体"/>
        </w:rPr>
      </w:pPr>
      <w:r>
        <w:rPr>
          <w:rFonts w:hint="eastAsia" w:ascii="宋体" w:hAnsi="宋体" w:eastAsia="宋体"/>
        </w:rPr>
        <w:t>6）支持</w:t>
      </w:r>
      <w:r>
        <w:rPr>
          <w:rFonts w:ascii="宋体" w:hAnsi="宋体" w:eastAsia="宋体"/>
        </w:rPr>
        <w:t>检验报告的趋势图展示；</w:t>
      </w:r>
    </w:p>
    <w:p w14:paraId="1AFA2A5F">
      <w:pPr>
        <w:ind w:firstLine="480"/>
        <w:rPr>
          <w:rFonts w:ascii="宋体" w:hAnsi="宋体" w:eastAsia="宋体"/>
        </w:rPr>
      </w:pPr>
      <w:r>
        <w:rPr>
          <w:rFonts w:hint="eastAsia" w:ascii="宋体" w:hAnsi="宋体" w:eastAsia="宋体"/>
        </w:rPr>
        <w:t>7）支持</w:t>
      </w:r>
      <w:r>
        <w:rPr>
          <w:rFonts w:ascii="宋体" w:hAnsi="宋体" w:eastAsia="宋体"/>
        </w:rPr>
        <w:t>检验报告异常值的特殊颜色标识。</w:t>
      </w:r>
    </w:p>
    <w:p w14:paraId="42B07F60">
      <w:pPr>
        <w:ind w:firstLine="480"/>
        <w:rPr>
          <w:rFonts w:ascii="宋体" w:hAnsi="宋体" w:eastAsia="宋体"/>
        </w:rPr>
      </w:pPr>
      <w:r>
        <w:rPr>
          <w:rFonts w:hint="eastAsia" w:ascii="宋体" w:hAnsi="宋体" w:eastAsia="宋体"/>
        </w:rPr>
        <w:t>8）</w:t>
      </w:r>
      <w:r>
        <w:rPr>
          <w:rFonts w:ascii="宋体" w:hAnsi="宋体" w:eastAsia="宋体"/>
        </w:rPr>
        <w:t>支持输血申请单、手术申请单、会诊申请单、病历申请单的下达，自动生成对应医嘱。</w:t>
      </w:r>
    </w:p>
    <w:p w14:paraId="5B215FD3">
      <w:pPr>
        <w:rPr>
          <w:rFonts w:ascii="宋体" w:hAnsi="宋体" w:eastAsia="宋体"/>
        </w:rPr>
      </w:pPr>
      <w:r>
        <w:rPr>
          <w:rFonts w:hint="eastAsia" w:ascii="宋体" w:hAnsi="宋体" w:eastAsia="宋体"/>
        </w:rPr>
        <w:t>（6）</w:t>
      </w:r>
      <w:r>
        <w:rPr>
          <w:rFonts w:ascii="宋体" w:hAnsi="宋体" w:eastAsia="宋体"/>
        </w:rPr>
        <w:t>会诊管理</w:t>
      </w:r>
    </w:p>
    <w:p w14:paraId="3F78A443">
      <w:pPr>
        <w:ind w:firstLine="480"/>
        <w:rPr>
          <w:rFonts w:ascii="宋体" w:hAnsi="宋体" w:eastAsia="宋体"/>
        </w:rPr>
      </w:pPr>
      <w:r>
        <w:rPr>
          <w:rFonts w:hint="eastAsia" w:ascii="宋体" w:hAnsi="宋体" w:eastAsia="宋体"/>
        </w:rPr>
        <w:t>1）</w:t>
      </w:r>
      <w:r>
        <w:rPr>
          <w:rFonts w:ascii="宋体" w:hAnsi="宋体" w:eastAsia="宋体"/>
        </w:rPr>
        <w:t>会诊申请，</w:t>
      </w:r>
      <w:r>
        <w:rPr>
          <w:rFonts w:hint="eastAsia" w:ascii="宋体" w:hAnsi="宋体" w:eastAsia="宋体"/>
        </w:rPr>
        <w:t>能够填写</w:t>
      </w:r>
      <w:r>
        <w:rPr>
          <w:rFonts w:ascii="宋体" w:hAnsi="宋体" w:eastAsia="宋体"/>
        </w:rPr>
        <w:t>会诊科室、医生、会诊目的、病情概要等，并自动形成医嘱。</w:t>
      </w:r>
    </w:p>
    <w:p w14:paraId="45724F8D">
      <w:pPr>
        <w:ind w:firstLine="480"/>
        <w:rPr>
          <w:rFonts w:ascii="宋体" w:hAnsi="宋体" w:eastAsia="宋体"/>
        </w:rPr>
      </w:pPr>
      <w:r>
        <w:rPr>
          <w:rFonts w:hint="eastAsia" w:ascii="宋体" w:hAnsi="宋体" w:eastAsia="宋体"/>
        </w:rPr>
        <w:t>2）</w:t>
      </w:r>
      <w:r>
        <w:rPr>
          <w:rFonts w:ascii="宋体" w:hAnsi="宋体" w:eastAsia="宋体"/>
        </w:rPr>
        <w:t>支持医生查看我的会诊申请信息，并填写会诊时间及会诊结论。</w:t>
      </w:r>
    </w:p>
    <w:p w14:paraId="0206F310">
      <w:pPr>
        <w:rPr>
          <w:rFonts w:ascii="宋体" w:hAnsi="宋体" w:eastAsia="宋体"/>
        </w:rPr>
      </w:pPr>
      <w:r>
        <w:rPr>
          <w:rFonts w:hint="eastAsia" w:ascii="宋体" w:hAnsi="宋体" w:eastAsia="宋体"/>
        </w:rPr>
        <w:t>（7）</w:t>
      </w:r>
      <w:r>
        <w:rPr>
          <w:rFonts w:ascii="宋体" w:hAnsi="宋体" w:eastAsia="宋体"/>
        </w:rPr>
        <w:t>危急值管理</w:t>
      </w:r>
    </w:p>
    <w:p w14:paraId="2B280C66">
      <w:pPr>
        <w:ind w:firstLine="480"/>
        <w:rPr>
          <w:rFonts w:ascii="宋体" w:hAnsi="宋体" w:eastAsia="宋体"/>
        </w:rPr>
      </w:pPr>
      <w:r>
        <w:rPr>
          <w:rFonts w:hint="eastAsia" w:ascii="宋体" w:hAnsi="宋体" w:eastAsia="宋体"/>
        </w:rPr>
        <w:t>1）</w:t>
      </w:r>
      <w:r>
        <w:rPr>
          <w:rFonts w:ascii="宋体" w:hAnsi="宋体" w:eastAsia="宋体"/>
        </w:rPr>
        <w:t>危急值预警提醒</w:t>
      </w:r>
      <w:r>
        <w:rPr>
          <w:rFonts w:hint="eastAsia" w:ascii="宋体" w:hAnsi="宋体" w:eastAsia="宋体"/>
        </w:rPr>
        <w:t>，</w:t>
      </w:r>
      <w:r>
        <w:rPr>
          <w:rFonts w:ascii="宋体" w:hAnsi="宋体" w:eastAsia="宋体"/>
        </w:rPr>
        <w:t>当有危急值系统下发的危急值信息，并及时消息提醒范围内的医生。</w:t>
      </w:r>
    </w:p>
    <w:p w14:paraId="6FBA8186">
      <w:pPr>
        <w:ind w:firstLine="480"/>
        <w:rPr>
          <w:rFonts w:ascii="宋体" w:hAnsi="宋体" w:eastAsia="宋体"/>
        </w:rPr>
      </w:pPr>
      <w:r>
        <w:rPr>
          <w:rFonts w:hint="eastAsia" w:ascii="宋体" w:hAnsi="宋体" w:eastAsia="宋体"/>
        </w:rPr>
        <w:t>2）</w:t>
      </w:r>
      <w:r>
        <w:rPr>
          <w:rFonts w:ascii="宋体" w:hAnsi="宋体" w:eastAsia="宋体"/>
        </w:rPr>
        <w:t>危急值处理流程，可关联危急值处理相关的医嘱。</w:t>
      </w:r>
    </w:p>
    <w:p w14:paraId="4D38BF2A">
      <w:pPr>
        <w:ind w:firstLine="480"/>
        <w:rPr>
          <w:rFonts w:ascii="宋体" w:hAnsi="宋体" w:eastAsia="宋体"/>
        </w:rPr>
      </w:pPr>
      <w:r>
        <w:rPr>
          <w:rFonts w:hint="eastAsia" w:ascii="宋体" w:hAnsi="宋体" w:eastAsia="宋体"/>
        </w:rPr>
        <w:t>3）</w:t>
      </w:r>
      <w:r>
        <w:rPr>
          <w:rFonts w:ascii="宋体" w:hAnsi="宋体" w:eastAsia="宋体"/>
        </w:rPr>
        <w:t>与医技系统对接，将危急值接收、处理信息返回医技科室。</w:t>
      </w:r>
    </w:p>
    <w:p w14:paraId="0E08DA03">
      <w:pPr>
        <w:rPr>
          <w:rFonts w:ascii="宋体" w:hAnsi="宋体" w:eastAsia="宋体"/>
        </w:rPr>
      </w:pPr>
      <w:r>
        <w:rPr>
          <w:rFonts w:hint="eastAsia" w:ascii="宋体" w:hAnsi="宋体" w:eastAsia="宋体"/>
        </w:rPr>
        <w:t>（8）</w:t>
      </w:r>
      <w:r>
        <w:rPr>
          <w:rFonts w:ascii="宋体" w:hAnsi="宋体" w:eastAsia="宋体"/>
        </w:rPr>
        <w:t>疾病监测报卡</w:t>
      </w:r>
    </w:p>
    <w:p w14:paraId="45BE9322">
      <w:pPr>
        <w:ind w:firstLine="480"/>
        <w:rPr>
          <w:rFonts w:ascii="宋体" w:hAnsi="宋体" w:eastAsia="宋体"/>
        </w:rPr>
      </w:pPr>
      <w:r>
        <w:rPr>
          <w:rFonts w:hint="eastAsia" w:ascii="宋体" w:hAnsi="宋体" w:eastAsia="宋体"/>
        </w:rPr>
        <w:t>1）</w:t>
      </w:r>
      <w:r>
        <w:rPr>
          <w:rFonts w:ascii="宋体" w:hAnsi="宋体" w:eastAsia="宋体"/>
        </w:rPr>
        <w:t>医生录入诊断符合传染病上报时，系统提示医生进行传染病上报。</w:t>
      </w:r>
    </w:p>
    <w:p w14:paraId="35DA7674">
      <w:pPr>
        <w:ind w:firstLine="480"/>
        <w:rPr>
          <w:rFonts w:ascii="宋体" w:hAnsi="宋体" w:eastAsia="宋体"/>
        </w:rPr>
      </w:pPr>
      <w:r>
        <w:rPr>
          <w:rFonts w:hint="eastAsia" w:ascii="宋体" w:hAnsi="宋体" w:eastAsia="宋体"/>
        </w:rPr>
        <w:t>2）</w:t>
      </w:r>
      <w:r>
        <w:rPr>
          <w:rFonts w:ascii="宋体" w:hAnsi="宋体" w:eastAsia="宋体"/>
        </w:rPr>
        <w:t>选择诊断进行传染病的上报。</w:t>
      </w:r>
    </w:p>
    <w:p w14:paraId="7F6899AB">
      <w:pPr>
        <w:rPr>
          <w:rFonts w:ascii="宋体" w:hAnsi="宋体" w:eastAsia="宋体"/>
        </w:rPr>
      </w:pPr>
      <w:r>
        <w:rPr>
          <w:rFonts w:hint="eastAsia" w:ascii="宋体" w:hAnsi="宋体" w:eastAsia="宋体"/>
        </w:rPr>
        <w:t>（9）</w:t>
      </w:r>
      <w:r>
        <w:rPr>
          <w:rFonts w:ascii="宋体" w:hAnsi="宋体" w:eastAsia="宋体"/>
        </w:rPr>
        <w:t>费用管理</w:t>
      </w:r>
    </w:p>
    <w:p w14:paraId="615354C0">
      <w:pPr>
        <w:ind w:firstLine="480"/>
        <w:rPr>
          <w:rFonts w:ascii="宋体" w:hAnsi="宋体" w:eastAsia="宋体"/>
        </w:rPr>
      </w:pPr>
      <w:r>
        <w:rPr>
          <w:rFonts w:hint="eastAsia" w:ascii="宋体" w:hAnsi="宋体" w:eastAsia="宋体"/>
        </w:rPr>
        <w:t>1）</w:t>
      </w:r>
      <w:r>
        <w:rPr>
          <w:rFonts w:ascii="宋体" w:hAnsi="宋体" w:eastAsia="宋体"/>
        </w:rPr>
        <w:t>门诊费用转住院，满足日间手术等门诊与住院的衔接处理。</w:t>
      </w:r>
    </w:p>
    <w:p w14:paraId="648A7EC6">
      <w:pPr>
        <w:ind w:firstLine="480"/>
        <w:rPr>
          <w:rFonts w:ascii="宋体" w:hAnsi="宋体" w:eastAsia="宋体"/>
        </w:rPr>
      </w:pPr>
      <w:r>
        <w:rPr>
          <w:rFonts w:hint="eastAsia" w:ascii="宋体" w:hAnsi="宋体" w:eastAsia="宋体"/>
        </w:rPr>
        <w:t>2）</w:t>
      </w:r>
      <w:r>
        <w:rPr>
          <w:rFonts w:ascii="宋体" w:hAnsi="宋体" w:eastAsia="宋体"/>
        </w:rPr>
        <w:t>可根据计费时间及计费类型进行病人费用明细的查询。</w:t>
      </w:r>
    </w:p>
    <w:p w14:paraId="27D09515">
      <w:pPr>
        <w:rPr>
          <w:rFonts w:ascii="宋体" w:hAnsi="宋体" w:eastAsia="宋体"/>
        </w:rPr>
      </w:pPr>
      <w:r>
        <w:rPr>
          <w:rFonts w:hint="eastAsia" w:ascii="宋体" w:hAnsi="宋体" w:eastAsia="宋体"/>
        </w:rPr>
        <w:t>（10）</w:t>
      </w:r>
      <w:r>
        <w:rPr>
          <w:rFonts w:ascii="宋体" w:hAnsi="宋体" w:eastAsia="宋体"/>
        </w:rPr>
        <w:t>交接班</w:t>
      </w:r>
    </w:p>
    <w:p w14:paraId="1155F743">
      <w:pPr>
        <w:ind w:firstLine="480"/>
        <w:rPr>
          <w:rFonts w:ascii="宋体" w:hAnsi="宋体" w:eastAsia="宋体"/>
        </w:rPr>
      </w:pPr>
      <w:r>
        <w:rPr>
          <w:rFonts w:hint="eastAsia" w:ascii="宋体" w:hAnsi="宋体" w:eastAsia="宋体"/>
        </w:rPr>
        <w:t>1）</w:t>
      </w:r>
      <w:r>
        <w:rPr>
          <w:rFonts w:ascii="宋体" w:hAnsi="宋体" w:eastAsia="宋体"/>
        </w:rPr>
        <w:t>新增医生交接班信息。</w:t>
      </w:r>
    </w:p>
    <w:p w14:paraId="01055C27">
      <w:pPr>
        <w:ind w:firstLine="480"/>
        <w:rPr>
          <w:rFonts w:ascii="宋体" w:hAnsi="宋体" w:eastAsia="宋体"/>
        </w:rPr>
      </w:pPr>
      <w:r>
        <w:rPr>
          <w:rFonts w:hint="eastAsia" w:ascii="宋体" w:hAnsi="宋体" w:eastAsia="宋体"/>
        </w:rPr>
        <w:t>2）</w:t>
      </w:r>
      <w:r>
        <w:rPr>
          <w:rFonts w:ascii="宋体" w:hAnsi="宋体" w:eastAsia="宋体"/>
        </w:rPr>
        <w:t>查询历史交接班记录。</w:t>
      </w:r>
    </w:p>
    <w:p w14:paraId="558F5E1B">
      <w:pPr>
        <w:rPr>
          <w:rFonts w:ascii="宋体" w:hAnsi="宋体" w:eastAsia="宋体"/>
        </w:rPr>
      </w:pPr>
      <w:r>
        <w:rPr>
          <w:rFonts w:hint="eastAsia" w:ascii="宋体" w:hAnsi="宋体" w:eastAsia="宋体"/>
        </w:rPr>
        <w:t>（11）</w:t>
      </w:r>
      <w:r>
        <w:rPr>
          <w:rFonts w:ascii="宋体" w:hAnsi="宋体" w:eastAsia="宋体"/>
        </w:rPr>
        <w:t>信息查询</w:t>
      </w:r>
    </w:p>
    <w:p w14:paraId="1F57EE46">
      <w:pPr>
        <w:ind w:firstLine="480"/>
        <w:rPr>
          <w:rFonts w:ascii="宋体" w:hAnsi="宋体" w:eastAsia="宋体"/>
        </w:rPr>
      </w:pPr>
      <w:r>
        <w:rPr>
          <w:rFonts w:hint="eastAsia" w:ascii="宋体" w:hAnsi="宋体" w:eastAsia="宋体"/>
        </w:rPr>
        <w:t>1）</w:t>
      </w:r>
      <w:r>
        <w:rPr>
          <w:rFonts w:ascii="宋体" w:hAnsi="宋体" w:eastAsia="宋体"/>
        </w:rPr>
        <w:t>医生查询相关资料：历次门诊、住院信息(历史就诊)，检验检查结果。</w:t>
      </w:r>
    </w:p>
    <w:p w14:paraId="3EE566D6">
      <w:pPr>
        <w:ind w:firstLine="480"/>
        <w:rPr>
          <w:rFonts w:ascii="宋体" w:hAnsi="宋体" w:eastAsia="宋体"/>
        </w:rPr>
      </w:pPr>
      <w:r>
        <w:rPr>
          <w:rFonts w:hint="eastAsia" w:ascii="宋体" w:hAnsi="宋体" w:eastAsia="宋体"/>
        </w:rPr>
        <w:t>2）</w:t>
      </w:r>
      <w:r>
        <w:rPr>
          <w:rFonts w:ascii="宋体" w:hAnsi="宋体" w:eastAsia="宋体"/>
        </w:rPr>
        <w:t>医嘱执行情况、病床使用情况、患者费用明细等查询。</w:t>
      </w:r>
    </w:p>
    <w:p w14:paraId="2A611D7A">
      <w:pPr>
        <w:rPr>
          <w:rFonts w:ascii="宋体" w:hAnsi="宋体" w:eastAsia="宋体"/>
        </w:rPr>
      </w:pPr>
      <w:r>
        <w:rPr>
          <w:rFonts w:hint="eastAsia" w:ascii="宋体" w:hAnsi="宋体" w:eastAsia="宋体"/>
        </w:rPr>
        <w:t>（12）</w:t>
      </w:r>
      <w:r>
        <w:rPr>
          <w:rFonts w:ascii="宋体" w:hAnsi="宋体" w:eastAsia="宋体"/>
        </w:rPr>
        <w:t>单据打印</w:t>
      </w:r>
    </w:p>
    <w:p w14:paraId="233C6D67">
      <w:pPr>
        <w:ind w:firstLine="480"/>
        <w:rPr>
          <w:rFonts w:ascii="宋体" w:hAnsi="宋体" w:eastAsia="宋体"/>
        </w:rPr>
      </w:pPr>
      <w:r>
        <w:rPr>
          <w:rFonts w:hint="eastAsia" w:ascii="宋体" w:hAnsi="宋体" w:eastAsia="宋体"/>
        </w:rPr>
        <w:t>1）</w:t>
      </w:r>
      <w:r>
        <w:rPr>
          <w:rFonts w:ascii="宋体" w:hAnsi="宋体" w:eastAsia="宋体"/>
        </w:rPr>
        <w:t>医嘱和申请单打印，打印格式符合有关医疗文件的格式要求。</w:t>
      </w:r>
    </w:p>
    <w:p w14:paraId="0B4967C7">
      <w:pPr>
        <w:ind w:firstLine="480"/>
        <w:rPr>
          <w:rFonts w:ascii="宋体" w:hAnsi="宋体" w:eastAsia="宋体"/>
        </w:rPr>
      </w:pPr>
      <w:r>
        <w:rPr>
          <w:rFonts w:hint="eastAsia" w:ascii="宋体" w:hAnsi="宋体" w:eastAsia="宋体"/>
        </w:rPr>
        <w:t>2）</w:t>
      </w:r>
      <w:r>
        <w:rPr>
          <w:rFonts w:ascii="宋体" w:hAnsi="宋体" w:eastAsia="宋体"/>
        </w:rPr>
        <w:t>与三方</w:t>
      </w:r>
      <w:r>
        <w:rPr>
          <w:rFonts w:hint="eastAsia" w:ascii="宋体" w:hAnsi="宋体" w:eastAsia="宋体"/>
        </w:rPr>
        <w:t>电子签名</w:t>
      </w:r>
      <w:r>
        <w:rPr>
          <w:rFonts w:ascii="宋体" w:hAnsi="宋体" w:eastAsia="宋体"/>
        </w:rPr>
        <w:t>认证服务进行接口对接，完成处方医师签名。</w:t>
      </w:r>
    </w:p>
    <w:p w14:paraId="13F80910">
      <w:pPr>
        <w:rPr>
          <w:rFonts w:ascii="宋体" w:hAnsi="宋体" w:eastAsia="宋体"/>
        </w:rPr>
      </w:pPr>
      <w:r>
        <w:rPr>
          <w:rFonts w:hint="eastAsia" w:ascii="宋体" w:hAnsi="宋体" w:eastAsia="宋体"/>
        </w:rPr>
        <w:t>（13） 本系统属于医疗业务核心系统，要求投标人具有本系统自主知识产权，能根据医院合理需求定制开发，提供自有的计算机软件著作权登记证书，并承诺可提供真实系统演示。</w:t>
      </w:r>
    </w:p>
    <w:p w14:paraId="690E56DA">
      <w:pPr>
        <w:pStyle w:val="6"/>
      </w:pPr>
      <w:r>
        <w:rPr>
          <w:rFonts w:hint="eastAsia"/>
        </w:rPr>
        <w:t>住院护士工作站</w:t>
      </w:r>
    </w:p>
    <w:p w14:paraId="5EF9C5CE">
      <w:pPr>
        <w:rPr>
          <w:rFonts w:ascii="宋体" w:hAnsi="宋体" w:eastAsia="宋体"/>
        </w:rPr>
      </w:pPr>
      <w:r>
        <w:rPr>
          <w:rFonts w:hint="eastAsia" w:ascii="宋体" w:hAnsi="宋体" w:eastAsia="宋体"/>
        </w:rPr>
        <w:t>（1）患者管理</w:t>
      </w:r>
    </w:p>
    <w:p w14:paraId="7C488B8A">
      <w:pPr>
        <w:ind w:firstLine="480"/>
        <w:rPr>
          <w:rFonts w:ascii="宋体" w:hAnsi="宋体" w:eastAsia="宋体"/>
        </w:rPr>
      </w:pPr>
      <w:r>
        <w:rPr>
          <w:rFonts w:hint="eastAsia" w:ascii="宋体" w:hAnsi="宋体" w:eastAsia="宋体"/>
        </w:rPr>
        <w:t>1）床位管理，使用病区床位使用情况一览表对患者进行管理，可显示楼层、房间号、床号、床位费用、住院号、姓名、性别、入科年龄、押金、医生、护士、入科时间、主要诊断、病情、护理等级、科室等信息。</w:t>
      </w:r>
    </w:p>
    <w:p w14:paraId="2E003AEC">
      <w:pPr>
        <w:ind w:firstLine="480"/>
        <w:rPr>
          <w:rFonts w:ascii="宋体" w:hAnsi="宋体" w:eastAsia="宋体"/>
        </w:rPr>
      </w:pPr>
      <w:r>
        <w:rPr>
          <w:rFonts w:hint="eastAsia" w:ascii="宋体" w:hAnsi="宋体" w:eastAsia="宋体"/>
        </w:rPr>
        <w:t>2）母婴同床，支持护士在床位一览表上增加婴儿信息，同时在床位一览表展示婴儿、非婴儿信息。</w:t>
      </w:r>
    </w:p>
    <w:p w14:paraId="21314620">
      <w:pPr>
        <w:ind w:firstLine="480"/>
        <w:rPr>
          <w:rFonts w:ascii="宋体" w:hAnsi="宋体" w:eastAsia="宋体"/>
        </w:rPr>
      </w:pPr>
      <w:r>
        <w:rPr>
          <w:rFonts w:hint="eastAsia" w:ascii="宋体" w:hAnsi="宋体" w:eastAsia="宋体"/>
        </w:rPr>
        <w:t>3）支持快速检索病人，能进行住院号和床号的双重定位，能按护理级别等进行病人过滤。</w:t>
      </w:r>
    </w:p>
    <w:p w14:paraId="68C68EF1">
      <w:pPr>
        <w:ind w:firstLine="480"/>
        <w:rPr>
          <w:rFonts w:ascii="宋体" w:hAnsi="宋体" w:eastAsia="宋体"/>
        </w:rPr>
      </w:pPr>
      <w:r>
        <w:rPr>
          <w:rFonts w:hint="eastAsia" w:ascii="宋体" w:hAnsi="宋体" w:eastAsia="宋体"/>
        </w:rPr>
        <w:t>4）对登记到本病区的病人，支持分配床位、指定管床医生护士、记录护理级别等。</w:t>
      </w:r>
    </w:p>
    <w:p w14:paraId="1E88DE18">
      <w:pPr>
        <w:ind w:firstLine="480"/>
        <w:rPr>
          <w:rFonts w:ascii="宋体" w:hAnsi="宋体" w:eastAsia="宋体"/>
        </w:rPr>
      </w:pPr>
      <w:r>
        <w:rPr>
          <w:rFonts w:hint="eastAsia" w:ascii="宋体" w:hAnsi="宋体" w:eastAsia="宋体"/>
        </w:rPr>
        <w:t>5）支持转床或床位互换。</w:t>
      </w:r>
    </w:p>
    <w:p w14:paraId="026A7AB8">
      <w:pPr>
        <w:ind w:firstLine="480"/>
        <w:rPr>
          <w:rFonts w:ascii="宋体" w:hAnsi="宋体" w:eastAsia="宋体"/>
        </w:rPr>
      </w:pPr>
      <w:r>
        <w:rPr>
          <w:rFonts w:hint="eastAsia" w:ascii="宋体" w:hAnsi="宋体" w:eastAsia="宋体"/>
        </w:rPr>
        <w:t>6）支持病人基本信息查询，包括费用、转科、过敏、诊断、手术、预交金、费别等信息。</w:t>
      </w:r>
    </w:p>
    <w:p w14:paraId="62287765">
      <w:pPr>
        <w:ind w:firstLine="480"/>
        <w:rPr>
          <w:rFonts w:ascii="宋体" w:hAnsi="宋体" w:eastAsia="宋体"/>
        </w:rPr>
      </w:pPr>
      <w:r>
        <w:rPr>
          <w:rFonts w:hint="eastAsia" w:ascii="宋体" w:hAnsi="宋体" w:eastAsia="宋体"/>
        </w:rPr>
        <w:t>7）支持通过床号、姓名、住院号查询患者，打印床头卡、入院证、标本袋、腕带等。</w:t>
      </w:r>
    </w:p>
    <w:p w14:paraId="3A0EBFF6">
      <w:pPr>
        <w:rPr>
          <w:rFonts w:ascii="宋体" w:hAnsi="宋体" w:eastAsia="宋体"/>
        </w:rPr>
      </w:pPr>
      <w:r>
        <w:rPr>
          <w:rFonts w:hint="eastAsia" w:ascii="宋体" w:hAnsi="宋体" w:eastAsia="宋体"/>
        </w:rPr>
        <w:t>（2）</w:t>
      </w:r>
      <w:r>
        <w:rPr>
          <w:rFonts w:ascii="宋体" w:hAnsi="宋体" w:eastAsia="宋体"/>
        </w:rPr>
        <w:t>医嘱管理</w:t>
      </w:r>
    </w:p>
    <w:p w14:paraId="7453C1D0">
      <w:pPr>
        <w:ind w:firstLine="480"/>
        <w:rPr>
          <w:rFonts w:ascii="宋体" w:hAnsi="宋体" w:eastAsia="宋体" w:cs="Microsoft Himalaya"/>
          <w:szCs w:val="21"/>
        </w:rPr>
      </w:pPr>
      <w:r>
        <w:rPr>
          <w:rFonts w:ascii="宋体" w:hAnsi="宋体" w:eastAsia="宋体" w:cs="Microsoft Himalaya"/>
          <w:szCs w:val="21"/>
        </w:rPr>
        <w:t>1）医嘱审核</w:t>
      </w:r>
      <w:r>
        <w:rPr>
          <w:rFonts w:ascii="宋体" w:hAnsi="宋体" w:eastAsia="宋体"/>
        </w:rPr>
        <w:t>可对全病区或单个病人的长期医嘱和临时医嘱进行医嘱审核签名</w:t>
      </w:r>
      <w:r>
        <w:rPr>
          <w:rFonts w:hint="eastAsia" w:ascii="宋体" w:hAnsi="宋体" w:eastAsia="宋体"/>
        </w:rPr>
        <w:t>；</w:t>
      </w:r>
      <w:r>
        <w:rPr>
          <w:rFonts w:ascii="宋体" w:hAnsi="宋体" w:eastAsia="宋体"/>
        </w:rPr>
        <w:t>查询病区医嘱审核、签名、医嘱停止核对、医嘱作废核对处理情况，停止核对及作废核对西药医嘱自动退药申请。</w:t>
      </w:r>
    </w:p>
    <w:p w14:paraId="08A52FB5">
      <w:pPr>
        <w:ind w:firstLine="480"/>
        <w:rPr>
          <w:rFonts w:ascii="宋体" w:hAnsi="宋体" w:eastAsia="宋体" w:cs="Microsoft Himalaya"/>
          <w:szCs w:val="21"/>
        </w:rPr>
      </w:pPr>
      <w:r>
        <w:rPr>
          <w:rFonts w:ascii="宋体" w:hAnsi="宋体" w:eastAsia="宋体" w:cs="Microsoft Himalaya"/>
          <w:szCs w:val="21"/>
        </w:rPr>
        <w:t>2）医嘱</w:t>
      </w:r>
      <w:r>
        <w:rPr>
          <w:rFonts w:hint="eastAsia" w:ascii="宋体" w:hAnsi="宋体" w:eastAsia="宋体" w:cs="Microsoft Himalaya"/>
          <w:szCs w:val="21"/>
        </w:rPr>
        <w:t>发药</w:t>
      </w:r>
      <w:r>
        <w:rPr>
          <w:rFonts w:ascii="宋体" w:hAnsi="宋体" w:eastAsia="宋体"/>
        </w:rPr>
        <w:t>支持</w:t>
      </w:r>
      <w:r>
        <w:rPr>
          <w:rFonts w:hint="eastAsia" w:ascii="宋体" w:hAnsi="宋体" w:eastAsia="宋体"/>
        </w:rPr>
        <w:t>选择</w:t>
      </w:r>
      <w:r>
        <w:rPr>
          <w:rFonts w:ascii="宋体" w:hAnsi="宋体" w:eastAsia="宋体"/>
        </w:rPr>
        <w:t>长期</w:t>
      </w:r>
      <w:r>
        <w:rPr>
          <w:rFonts w:hint="eastAsia" w:ascii="宋体" w:hAnsi="宋体" w:eastAsia="宋体"/>
        </w:rPr>
        <w:t>或者</w:t>
      </w:r>
      <w:r>
        <w:rPr>
          <w:rFonts w:ascii="宋体" w:hAnsi="宋体" w:eastAsia="宋体"/>
        </w:rPr>
        <w:t>临</w:t>
      </w:r>
      <w:r>
        <w:rPr>
          <w:rFonts w:hint="eastAsia" w:ascii="宋体" w:hAnsi="宋体" w:eastAsia="宋体"/>
        </w:rPr>
        <w:t>，</w:t>
      </w:r>
      <w:r>
        <w:rPr>
          <w:rFonts w:ascii="宋体" w:hAnsi="宋体" w:eastAsia="宋体"/>
        </w:rPr>
        <w:t>进行</w:t>
      </w:r>
      <w:r>
        <w:rPr>
          <w:rFonts w:hint="eastAsia" w:ascii="宋体" w:hAnsi="宋体" w:eastAsia="宋体"/>
        </w:rPr>
        <w:t>分类</w:t>
      </w:r>
      <w:r>
        <w:rPr>
          <w:rFonts w:ascii="宋体" w:hAnsi="宋体" w:eastAsia="宋体"/>
        </w:rPr>
        <w:t>发送</w:t>
      </w:r>
      <w:r>
        <w:rPr>
          <w:rFonts w:hint="eastAsia" w:ascii="宋体" w:hAnsi="宋体" w:eastAsia="宋体"/>
        </w:rPr>
        <w:t>医嘱药品到</w:t>
      </w:r>
      <w:r>
        <w:rPr>
          <w:rFonts w:ascii="宋体" w:hAnsi="宋体" w:eastAsia="宋体"/>
        </w:rPr>
        <w:t>药房。执行单可生成今日或明日的执行医嘱内容</w:t>
      </w:r>
      <w:r>
        <w:rPr>
          <w:rFonts w:hint="eastAsia" w:ascii="宋体" w:hAnsi="宋体" w:eastAsia="宋体"/>
        </w:rPr>
        <w:t>；</w:t>
      </w:r>
      <w:r>
        <w:rPr>
          <w:rFonts w:ascii="宋体" w:hAnsi="宋体" w:eastAsia="宋体"/>
        </w:rPr>
        <w:t>医嘱执行单能够显示药物皮试结果；医嘱确认执行时执行时间的修改。</w:t>
      </w:r>
    </w:p>
    <w:p w14:paraId="24FD23D0">
      <w:pPr>
        <w:ind w:firstLine="480"/>
        <w:rPr>
          <w:rFonts w:ascii="宋体" w:hAnsi="宋体" w:eastAsia="宋体"/>
        </w:rPr>
      </w:pPr>
      <w:r>
        <w:rPr>
          <w:rFonts w:ascii="宋体" w:hAnsi="宋体" w:eastAsia="宋体" w:cs="Microsoft Himalaya"/>
          <w:szCs w:val="21"/>
        </w:rPr>
        <w:t>3）医嘱打印</w:t>
      </w:r>
      <w:r>
        <w:rPr>
          <w:rFonts w:ascii="宋体" w:hAnsi="宋体" w:eastAsia="宋体"/>
        </w:rPr>
        <w:t>支持各种类型（输液单、注射单、治疗单）执行单的打印。打印长期及临时医嘱单(</w:t>
      </w:r>
      <w:r>
        <w:rPr>
          <w:rFonts w:hint="eastAsia" w:ascii="宋体" w:hAnsi="宋体" w:eastAsia="宋体"/>
        </w:rPr>
        <w:t>支持</w:t>
      </w:r>
      <w:r>
        <w:rPr>
          <w:rFonts w:ascii="宋体" w:hAnsi="宋体" w:eastAsia="宋体"/>
        </w:rPr>
        <w:t>续打），打印、查询病区长期、临时医嘱治疗单(口服、注射、输液、辅助治疗等），打印瓶签。LIS条码打印、生成条码并计采血费和试管费、重打条码、标本采集离科，支持检查、检验、病理申请单打印，支持检查、检验引导单打印。</w:t>
      </w:r>
    </w:p>
    <w:p w14:paraId="46395D76">
      <w:pPr>
        <w:ind w:firstLine="480"/>
        <w:rPr>
          <w:rFonts w:ascii="宋体" w:hAnsi="宋体" w:eastAsia="宋体" w:cs="Microsoft Himalaya"/>
          <w:szCs w:val="21"/>
        </w:rPr>
      </w:pPr>
      <w:r>
        <w:rPr>
          <w:rFonts w:ascii="宋体" w:hAnsi="宋体" w:eastAsia="宋体" w:cs="Microsoft Himalaya"/>
          <w:szCs w:val="21"/>
        </w:rPr>
        <w:t>4）皮试管理</w:t>
      </w:r>
      <w:r>
        <w:rPr>
          <w:rFonts w:ascii="宋体" w:hAnsi="宋体" w:eastAsia="宋体"/>
        </w:rPr>
        <w:t>支持对皮试医嘱进行皮试结果录入及查询</w:t>
      </w:r>
      <w:r>
        <w:rPr>
          <w:rFonts w:hint="eastAsia" w:ascii="宋体" w:hAnsi="宋体" w:eastAsia="宋体"/>
        </w:rPr>
        <w:t>，</w:t>
      </w:r>
      <w:r>
        <w:rPr>
          <w:rFonts w:ascii="宋体" w:hAnsi="宋体" w:eastAsia="宋体"/>
        </w:rPr>
        <w:t>录入皮试结果时，可录入皮试药品的批次内容。护士确认后的皮试结果能够自动反馈到医生工作站；</w:t>
      </w:r>
    </w:p>
    <w:p w14:paraId="1635FBDF">
      <w:pPr>
        <w:rPr>
          <w:rFonts w:ascii="宋体" w:hAnsi="宋体" w:eastAsia="宋体"/>
        </w:rPr>
      </w:pPr>
      <w:r>
        <w:rPr>
          <w:rFonts w:ascii="宋体" w:hAnsi="宋体" w:eastAsia="宋体"/>
        </w:rPr>
        <w:t>修改皮试医嘱的结果。</w:t>
      </w:r>
    </w:p>
    <w:p w14:paraId="6AC92D90">
      <w:pPr>
        <w:ind w:firstLine="480"/>
        <w:rPr>
          <w:rFonts w:ascii="宋体" w:hAnsi="宋体" w:eastAsia="宋体" w:cs="Microsoft Himalaya"/>
          <w:szCs w:val="21"/>
        </w:rPr>
      </w:pPr>
      <w:r>
        <w:rPr>
          <w:rFonts w:ascii="宋体" w:hAnsi="宋体" w:eastAsia="宋体" w:cs="Microsoft Himalaya"/>
          <w:szCs w:val="21"/>
        </w:rPr>
        <w:t>5）医嘱查询</w:t>
      </w:r>
      <w:r>
        <w:rPr>
          <w:rFonts w:ascii="宋体" w:hAnsi="宋体" w:eastAsia="宋体"/>
        </w:rPr>
        <w:t>支持对患者在院期间所有医嘱信息进行查询，包括：住院号、姓名、床号、状态、模式、类别、医嘱内容、备注、首次、末次、提交人、提交科室、签名人、签名科室、停止人、停止时间等。支持多种组合条件进行筛选，包括医嘱状态、医嘱类型、医嘱模式、时间等。</w:t>
      </w:r>
    </w:p>
    <w:p w14:paraId="43CBC96E">
      <w:pPr>
        <w:rPr>
          <w:rFonts w:ascii="宋体" w:hAnsi="宋体" w:eastAsia="宋体"/>
        </w:rPr>
      </w:pPr>
      <w:r>
        <w:rPr>
          <w:rFonts w:hint="eastAsia" w:ascii="宋体" w:hAnsi="宋体" w:eastAsia="宋体"/>
        </w:rPr>
        <w:t>（3）</w:t>
      </w:r>
      <w:r>
        <w:rPr>
          <w:rFonts w:ascii="宋体" w:hAnsi="宋体" w:eastAsia="宋体"/>
        </w:rPr>
        <w:t>护理信息</w:t>
      </w:r>
    </w:p>
    <w:p w14:paraId="0F27DD25">
      <w:pPr>
        <w:ind w:firstLine="480"/>
        <w:rPr>
          <w:rFonts w:ascii="宋体" w:hAnsi="宋体" w:eastAsia="宋体"/>
        </w:rPr>
      </w:pPr>
      <w:r>
        <w:rPr>
          <w:rFonts w:hint="eastAsia" w:ascii="宋体" w:hAnsi="宋体" w:eastAsia="宋体"/>
        </w:rPr>
        <w:t>1）</w:t>
      </w:r>
      <w:r>
        <w:rPr>
          <w:rFonts w:ascii="宋体" w:hAnsi="宋体" w:eastAsia="宋体"/>
        </w:rPr>
        <w:t>对接护理病历系统进行护理文书相关评估单。</w:t>
      </w:r>
    </w:p>
    <w:p w14:paraId="0EA19830">
      <w:pPr>
        <w:ind w:firstLine="480"/>
        <w:rPr>
          <w:rFonts w:ascii="宋体" w:hAnsi="宋体" w:eastAsia="宋体"/>
        </w:rPr>
      </w:pPr>
      <w:r>
        <w:rPr>
          <w:rFonts w:hint="eastAsia" w:ascii="宋体" w:hAnsi="宋体" w:eastAsia="宋体"/>
        </w:rPr>
        <w:t>2）</w:t>
      </w:r>
      <w:r>
        <w:rPr>
          <w:rFonts w:ascii="宋体" w:hAnsi="宋体" w:eastAsia="宋体"/>
        </w:rPr>
        <w:t>护理记录单进行录入、打印，记录病人生命体征及相关项目。</w:t>
      </w:r>
    </w:p>
    <w:p w14:paraId="0BEA7ECF">
      <w:pPr>
        <w:ind w:firstLine="480"/>
        <w:rPr>
          <w:rFonts w:ascii="宋体" w:hAnsi="宋体" w:eastAsia="宋体"/>
        </w:rPr>
      </w:pPr>
      <w:r>
        <w:rPr>
          <w:rFonts w:hint="eastAsia" w:ascii="宋体" w:hAnsi="宋体" w:eastAsia="宋体"/>
        </w:rPr>
        <w:t>3）</w:t>
      </w:r>
      <w:r>
        <w:rPr>
          <w:rFonts w:ascii="宋体" w:hAnsi="宋体" w:eastAsia="宋体"/>
        </w:rPr>
        <w:t>进行体温单录入以及打印。</w:t>
      </w:r>
    </w:p>
    <w:p w14:paraId="23AD73EC">
      <w:pPr>
        <w:rPr>
          <w:rFonts w:ascii="宋体" w:hAnsi="宋体" w:eastAsia="宋体"/>
        </w:rPr>
      </w:pPr>
      <w:r>
        <w:rPr>
          <w:rFonts w:hint="eastAsia" w:ascii="宋体" w:hAnsi="宋体" w:eastAsia="宋体"/>
        </w:rPr>
        <w:t>（4）</w:t>
      </w:r>
      <w:r>
        <w:rPr>
          <w:rFonts w:ascii="宋体" w:hAnsi="宋体" w:eastAsia="宋体"/>
        </w:rPr>
        <w:t>费用管理</w:t>
      </w:r>
    </w:p>
    <w:p w14:paraId="6C371011">
      <w:pPr>
        <w:ind w:firstLine="480"/>
        <w:rPr>
          <w:rFonts w:ascii="宋体" w:hAnsi="宋体" w:eastAsia="宋体"/>
        </w:rPr>
      </w:pPr>
      <w:r>
        <w:rPr>
          <w:rFonts w:hint="eastAsia" w:ascii="宋体" w:hAnsi="宋体" w:eastAsia="宋体"/>
        </w:rPr>
        <w:t>1）</w:t>
      </w:r>
      <w:r>
        <w:rPr>
          <w:rFonts w:ascii="宋体" w:hAnsi="宋体" w:eastAsia="宋体"/>
        </w:rPr>
        <w:t>进行长期、临时、手术医嘱对应费用明细查询，</w:t>
      </w:r>
    </w:p>
    <w:p w14:paraId="3E846D87">
      <w:pPr>
        <w:ind w:firstLine="480"/>
        <w:rPr>
          <w:rFonts w:ascii="宋体" w:hAnsi="宋体" w:eastAsia="宋体"/>
        </w:rPr>
      </w:pPr>
      <w:r>
        <w:rPr>
          <w:rFonts w:hint="eastAsia" w:ascii="宋体" w:hAnsi="宋体" w:eastAsia="宋体"/>
        </w:rPr>
        <w:t>2）</w:t>
      </w:r>
      <w:r>
        <w:rPr>
          <w:rFonts w:ascii="宋体" w:hAnsi="宋体" w:eastAsia="宋体"/>
        </w:rPr>
        <w:t>患者每日费用小计查询。</w:t>
      </w:r>
    </w:p>
    <w:p w14:paraId="01CE9AE3">
      <w:pPr>
        <w:ind w:firstLine="480"/>
        <w:rPr>
          <w:rFonts w:ascii="宋体" w:hAnsi="宋体" w:eastAsia="宋体"/>
        </w:rPr>
      </w:pPr>
      <w:r>
        <w:rPr>
          <w:rFonts w:hint="eastAsia" w:ascii="宋体" w:hAnsi="宋体" w:eastAsia="宋体"/>
        </w:rPr>
        <w:t>3）</w:t>
      </w:r>
      <w:r>
        <w:rPr>
          <w:rFonts w:ascii="宋体" w:hAnsi="宋体" w:eastAsia="宋体"/>
        </w:rPr>
        <w:t>日常费用（床位费，诊查费）查询。</w:t>
      </w:r>
    </w:p>
    <w:p w14:paraId="2DC2694E">
      <w:pPr>
        <w:ind w:firstLine="480"/>
        <w:rPr>
          <w:rFonts w:ascii="宋体" w:hAnsi="宋体" w:eastAsia="宋体"/>
        </w:rPr>
      </w:pPr>
      <w:r>
        <w:rPr>
          <w:rFonts w:hint="eastAsia" w:ascii="宋体" w:hAnsi="宋体" w:eastAsia="宋体"/>
        </w:rPr>
        <w:t>4）</w:t>
      </w:r>
      <w:r>
        <w:rPr>
          <w:rFonts w:ascii="宋体" w:hAnsi="宋体" w:eastAsia="宋体"/>
        </w:rPr>
        <w:t>快速计费，快速退费。</w:t>
      </w:r>
    </w:p>
    <w:p w14:paraId="0AFBD182">
      <w:pPr>
        <w:ind w:firstLine="480"/>
        <w:rPr>
          <w:rFonts w:ascii="宋体" w:hAnsi="宋体" w:eastAsia="宋体"/>
        </w:rPr>
      </w:pPr>
      <w:r>
        <w:rPr>
          <w:rFonts w:hint="eastAsia" w:ascii="宋体" w:hAnsi="宋体" w:eastAsia="宋体"/>
        </w:rPr>
        <w:t>5）</w:t>
      </w:r>
      <w:r>
        <w:rPr>
          <w:rFonts w:ascii="宋体" w:hAnsi="宋体" w:eastAsia="宋体"/>
        </w:rPr>
        <w:t>对病区患者进行手工项目计费（</w:t>
      </w:r>
      <w:r>
        <w:rPr>
          <w:rFonts w:hint="eastAsia" w:ascii="宋体" w:hAnsi="宋体" w:eastAsia="宋体"/>
        </w:rPr>
        <w:t>支持</w:t>
      </w:r>
      <w:r>
        <w:rPr>
          <w:rFonts w:ascii="宋体" w:hAnsi="宋体" w:eastAsia="宋体"/>
        </w:rPr>
        <w:t>模板）、</w:t>
      </w:r>
    </w:p>
    <w:p w14:paraId="780BE9A4">
      <w:pPr>
        <w:ind w:firstLine="480"/>
        <w:rPr>
          <w:rFonts w:ascii="宋体" w:hAnsi="宋体" w:eastAsia="宋体"/>
        </w:rPr>
      </w:pPr>
      <w:r>
        <w:rPr>
          <w:rFonts w:hint="eastAsia" w:ascii="宋体" w:hAnsi="宋体" w:eastAsia="宋体"/>
        </w:rPr>
        <w:t>6）</w:t>
      </w:r>
      <w:r>
        <w:rPr>
          <w:rFonts w:ascii="宋体" w:hAnsi="宋体" w:eastAsia="宋体"/>
        </w:rPr>
        <w:t>批量计费、滚费费用绑费、医嘱附加费手工绑定。</w:t>
      </w:r>
    </w:p>
    <w:p w14:paraId="344AE8E6">
      <w:pPr>
        <w:ind w:firstLine="480"/>
        <w:rPr>
          <w:rFonts w:ascii="宋体" w:hAnsi="宋体" w:eastAsia="宋体"/>
        </w:rPr>
      </w:pPr>
      <w:r>
        <w:rPr>
          <w:rFonts w:hint="eastAsia" w:ascii="宋体" w:hAnsi="宋体" w:eastAsia="宋体"/>
        </w:rPr>
        <w:t>7）</w:t>
      </w:r>
      <w:r>
        <w:rPr>
          <w:rFonts w:ascii="宋体" w:hAnsi="宋体" w:eastAsia="宋体"/>
        </w:rPr>
        <w:t>病区(病人）欠费情况一览表，快速查看病人欠费情况。</w:t>
      </w:r>
    </w:p>
    <w:p w14:paraId="41841842">
      <w:pPr>
        <w:ind w:firstLine="480"/>
        <w:rPr>
          <w:rFonts w:ascii="宋体" w:hAnsi="宋体" w:eastAsia="宋体"/>
        </w:rPr>
      </w:pPr>
      <w:r>
        <w:rPr>
          <w:rFonts w:hint="eastAsia" w:ascii="宋体" w:hAnsi="宋体" w:eastAsia="宋体"/>
        </w:rPr>
        <w:t>8）</w:t>
      </w:r>
      <w:r>
        <w:rPr>
          <w:rFonts w:ascii="宋体" w:hAnsi="宋体" w:eastAsia="宋体"/>
        </w:rPr>
        <w:t>住院费用清单(含每日费用清单）查询打印。</w:t>
      </w:r>
    </w:p>
    <w:p w14:paraId="1866C5FA">
      <w:pPr>
        <w:ind w:firstLine="480"/>
        <w:rPr>
          <w:rFonts w:ascii="宋体" w:hAnsi="宋体" w:eastAsia="宋体"/>
        </w:rPr>
      </w:pPr>
      <w:r>
        <w:rPr>
          <w:rFonts w:hint="eastAsia" w:ascii="宋体" w:hAnsi="宋体" w:eastAsia="宋体"/>
        </w:rPr>
        <w:t>9）</w:t>
      </w:r>
      <w:r>
        <w:rPr>
          <w:rFonts w:ascii="宋体" w:hAnsi="宋体" w:eastAsia="宋体"/>
        </w:rPr>
        <w:t>对病区患者进行摆药查询、申请退药、退药查询、摆药删除、摆药恢复等。</w:t>
      </w:r>
    </w:p>
    <w:p w14:paraId="2E457E21">
      <w:pPr>
        <w:rPr>
          <w:rFonts w:ascii="宋体" w:hAnsi="宋体" w:eastAsia="宋体"/>
        </w:rPr>
      </w:pPr>
      <w:r>
        <w:rPr>
          <w:rFonts w:hint="eastAsia" w:ascii="宋体" w:hAnsi="宋体" w:eastAsia="宋体"/>
        </w:rPr>
        <w:t>（5）</w:t>
      </w:r>
      <w:r>
        <w:rPr>
          <w:rFonts w:ascii="宋体" w:hAnsi="宋体" w:eastAsia="宋体"/>
        </w:rPr>
        <w:t>不良事件管理</w:t>
      </w:r>
    </w:p>
    <w:p w14:paraId="2E265328">
      <w:pPr>
        <w:ind w:firstLine="480"/>
        <w:rPr>
          <w:rFonts w:ascii="宋体" w:hAnsi="宋体" w:eastAsia="宋体"/>
        </w:rPr>
      </w:pPr>
      <w:r>
        <w:rPr>
          <w:rFonts w:hint="eastAsia" w:ascii="宋体" w:hAnsi="宋体" w:eastAsia="宋体"/>
        </w:rPr>
        <w:t>1）</w:t>
      </w:r>
      <w:r>
        <w:rPr>
          <w:rFonts w:ascii="宋体" w:hAnsi="宋体" w:eastAsia="宋体"/>
        </w:rPr>
        <w:t>对接不良事件管理系统进行不良事件的上报。</w:t>
      </w:r>
    </w:p>
    <w:p w14:paraId="74DF7720">
      <w:pPr>
        <w:ind w:firstLine="480"/>
        <w:rPr>
          <w:rFonts w:ascii="宋体" w:hAnsi="宋体" w:eastAsia="宋体"/>
        </w:rPr>
      </w:pPr>
      <w:r>
        <w:rPr>
          <w:rFonts w:hint="eastAsia" w:ascii="宋体" w:hAnsi="宋体" w:eastAsia="宋体"/>
        </w:rPr>
        <w:t>2）</w:t>
      </w:r>
      <w:r>
        <w:rPr>
          <w:rFonts w:ascii="宋体" w:hAnsi="宋体" w:eastAsia="宋体"/>
        </w:rPr>
        <w:t>可根据部分护理评估的结果自动触发不良事件上报。</w:t>
      </w:r>
    </w:p>
    <w:p w14:paraId="2EFC324E">
      <w:pPr>
        <w:rPr>
          <w:rFonts w:ascii="宋体" w:hAnsi="宋体" w:eastAsia="宋体"/>
        </w:rPr>
      </w:pPr>
      <w:r>
        <w:rPr>
          <w:rFonts w:hint="eastAsia" w:ascii="宋体" w:hAnsi="宋体" w:eastAsia="宋体"/>
        </w:rPr>
        <w:t>（6）</w:t>
      </w:r>
      <w:r>
        <w:rPr>
          <w:rFonts w:ascii="宋体" w:hAnsi="宋体" w:eastAsia="宋体"/>
        </w:rPr>
        <w:t>护士交班报告</w:t>
      </w:r>
    </w:p>
    <w:p w14:paraId="509F4AE5">
      <w:pPr>
        <w:ind w:firstLine="480"/>
        <w:rPr>
          <w:rFonts w:ascii="宋体" w:hAnsi="宋体" w:eastAsia="宋体"/>
        </w:rPr>
      </w:pPr>
      <w:r>
        <w:rPr>
          <w:rFonts w:hint="eastAsia" w:ascii="宋体" w:hAnsi="宋体" w:eastAsia="宋体" w:cs="Microsoft Himalaya"/>
        </w:rPr>
        <w:t>1）</w:t>
      </w:r>
      <w:r>
        <w:rPr>
          <w:rFonts w:ascii="宋体" w:hAnsi="宋体" w:eastAsia="宋体"/>
        </w:rPr>
        <w:t>各种交班指标配置，比如入院、今日入院、转入、出院、转出等。</w:t>
      </w:r>
    </w:p>
    <w:p w14:paraId="41E2DE79">
      <w:pPr>
        <w:ind w:firstLine="480"/>
        <w:rPr>
          <w:rFonts w:ascii="宋体" w:hAnsi="宋体" w:eastAsia="宋体"/>
        </w:rPr>
      </w:pPr>
      <w:r>
        <w:rPr>
          <w:rFonts w:hint="eastAsia" w:ascii="宋体" w:hAnsi="宋体" w:eastAsia="宋体"/>
        </w:rPr>
        <w:t>2）</w:t>
      </w:r>
      <w:r>
        <w:rPr>
          <w:rFonts w:ascii="宋体" w:hAnsi="宋体" w:eastAsia="宋体"/>
        </w:rPr>
        <w:t>支持交班班次配置。</w:t>
      </w:r>
    </w:p>
    <w:p w14:paraId="66647CEE">
      <w:pPr>
        <w:ind w:firstLine="480"/>
        <w:rPr>
          <w:rFonts w:ascii="宋体" w:hAnsi="宋体" w:eastAsia="宋体"/>
        </w:rPr>
      </w:pPr>
      <w:r>
        <w:rPr>
          <w:rFonts w:hint="eastAsia" w:ascii="宋体" w:hAnsi="宋体" w:eastAsia="宋体"/>
        </w:rPr>
        <w:t>3）</w:t>
      </w:r>
      <w:r>
        <w:rPr>
          <w:rFonts w:ascii="宋体" w:hAnsi="宋体" w:eastAsia="宋体"/>
        </w:rPr>
        <w:t>交班数据动态自动提取。</w:t>
      </w:r>
    </w:p>
    <w:p w14:paraId="19F72805">
      <w:pPr>
        <w:ind w:firstLine="480"/>
        <w:rPr>
          <w:rFonts w:ascii="宋体" w:hAnsi="宋体" w:eastAsia="宋体"/>
        </w:rPr>
      </w:pPr>
      <w:r>
        <w:rPr>
          <w:rFonts w:hint="eastAsia" w:ascii="宋体" w:hAnsi="宋体" w:eastAsia="宋体"/>
        </w:rPr>
        <w:t>4）</w:t>
      </w:r>
      <w:r>
        <w:rPr>
          <w:rFonts w:ascii="宋体" w:hAnsi="宋体" w:eastAsia="宋体"/>
        </w:rPr>
        <w:t>撤销交班报告及打印。</w:t>
      </w:r>
    </w:p>
    <w:p w14:paraId="3A8A4920">
      <w:pPr>
        <w:ind w:firstLine="480"/>
        <w:rPr>
          <w:rFonts w:ascii="宋体" w:hAnsi="宋体" w:eastAsia="宋体"/>
        </w:rPr>
      </w:pPr>
      <w:r>
        <w:rPr>
          <w:rFonts w:hint="eastAsia" w:ascii="宋体" w:hAnsi="宋体" w:eastAsia="宋体"/>
        </w:rPr>
        <w:t>5）</w:t>
      </w:r>
      <w:r>
        <w:rPr>
          <w:rFonts w:ascii="宋体" w:hAnsi="宋体" w:eastAsia="宋体"/>
        </w:rPr>
        <w:t>实时数据变化对比并提示。</w:t>
      </w:r>
    </w:p>
    <w:p w14:paraId="5503DE1F">
      <w:pPr>
        <w:ind w:firstLine="480"/>
        <w:rPr>
          <w:rFonts w:ascii="宋体" w:hAnsi="宋体" w:eastAsia="宋体"/>
        </w:rPr>
      </w:pPr>
      <w:r>
        <w:rPr>
          <w:rFonts w:hint="eastAsia" w:ascii="宋体" w:hAnsi="宋体" w:eastAsia="宋体"/>
        </w:rPr>
        <w:t>6）</w:t>
      </w:r>
      <w:r>
        <w:rPr>
          <w:rFonts w:ascii="宋体" w:hAnsi="宋体" w:eastAsia="宋体"/>
        </w:rPr>
        <w:t>诊断添加、病历查看等。</w:t>
      </w:r>
    </w:p>
    <w:p w14:paraId="20C8044F">
      <w:pPr>
        <w:pStyle w:val="6"/>
      </w:pPr>
      <w:r>
        <w:rPr>
          <w:rFonts w:hint="eastAsia"/>
        </w:rPr>
        <w:t>住院药房管理系统</w:t>
      </w:r>
    </w:p>
    <w:p w14:paraId="7F1B304C">
      <w:pPr>
        <w:rPr>
          <w:rFonts w:ascii="宋体" w:hAnsi="宋体" w:eastAsia="宋体"/>
        </w:rPr>
      </w:pPr>
      <w:r>
        <w:rPr>
          <w:rFonts w:hint="eastAsia" w:ascii="宋体" w:hAnsi="宋体" w:eastAsia="宋体"/>
        </w:rPr>
        <w:t>（1）药品申领</w:t>
      </w:r>
    </w:p>
    <w:p w14:paraId="388DA064">
      <w:pPr>
        <w:ind w:firstLine="480"/>
        <w:rPr>
          <w:rFonts w:ascii="宋体" w:hAnsi="宋体" w:eastAsia="宋体" w:cs="Microsoft Himalaya"/>
        </w:rPr>
      </w:pPr>
      <w:r>
        <w:rPr>
          <w:rFonts w:hint="eastAsia" w:ascii="宋体" w:hAnsi="宋体" w:eastAsia="宋体" w:cs="Microsoft Himalaya"/>
        </w:rPr>
        <w:t>1）药房制作申领单向库房进行药品申请。</w:t>
      </w:r>
    </w:p>
    <w:p w14:paraId="710098B1">
      <w:pPr>
        <w:ind w:firstLine="480"/>
        <w:rPr>
          <w:rFonts w:ascii="宋体" w:hAnsi="宋体" w:eastAsia="宋体" w:cs="Microsoft Himalaya"/>
        </w:rPr>
      </w:pPr>
      <w:r>
        <w:rPr>
          <w:rFonts w:hint="eastAsia" w:ascii="宋体" w:hAnsi="宋体" w:eastAsia="宋体" w:cs="Microsoft Himalaya"/>
        </w:rPr>
        <w:t>2）可根据药品自定义时间段内的消耗量或库存量上、下限生成药品请领单，并发送至对应的库房或药房。</w:t>
      </w:r>
    </w:p>
    <w:p w14:paraId="484D24F7">
      <w:pPr>
        <w:ind w:firstLine="480"/>
        <w:rPr>
          <w:rFonts w:ascii="宋体" w:hAnsi="宋体" w:eastAsia="宋体" w:cs="Microsoft Himalaya"/>
        </w:rPr>
      </w:pPr>
      <w:r>
        <w:rPr>
          <w:rFonts w:hint="eastAsia" w:ascii="宋体" w:hAnsi="宋体" w:eastAsia="宋体" w:cs="Microsoft Himalaya"/>
        </w:rPr>
        <w:t>3）持科室小药房制作申领单向库房进行药品申请。</w:t>
      </w:r>
    </w:p>
    <w:p w14:paraId="105C4CCC">
      <w:pPr>
        <w:ind w:firstLine="480"/>
        <w:rPr>
          <w:rFonts w:ascii="宋体" w:hAnsi="宋体" w:eastAsia="宋体" w:cs="Microsoft Himalaya"/>
        </w:rPr>
      </w:pPr>
      <w:r>
        <w:rPr>
          <w:rFonts w:hint="eastAsia" w:ascii="宋体" w:hAnsi="宋体" w:eastAsia="宋体" w:cs="Microsoft Himalaya"/>
        </w:rPr>
        <w:t>4）支持申领单审核。</w:t>
      </w:r>
    </w:p>
    <w:p w14:paraId="387C80A5">
      <w:pPr>
        <w:rPr>
          <w:rFonts w:ascii="宋体" w:hAnsi="宋体" w:eastAsia="宋体"/>
        </w:rPr>
      </w:pPr>
      <w:r>
        <w:rPr>
          <w:rFonts w:hint="eastAsia" w:ascii="宋体" w:hAnsi="宋体" w:eastAsia="宋体"/>
        </w:rPr>
        <w:t>（2）</w:t>
      </w:r>
      <w:r>
        <w:rPr>
          <w:rFonts w:ascii="宋体" w:hAnsi="宋体" w:eastAsia="宋体"/>
        </w:rPr>
        <w:t>药房出入库</w:t>
      </w:r>
    </w:p>
    <w:p w14:paraId="14C1DFC0">
      <w:pPr>
        <w:ind w:firstLine="480"/>
        <w:rPr>
          <w:rFonts w:ascii="宋体" w:hAnsi="宋体" w:eastAsia="宋体" w:cs="Microsoft Himalaya"/>
        </w:rPr>
      </w:pPr>
      <w:r>
        <w:rPr>
          <w:rFonts w:hint="eastAsia" w:ascii="宋体" w:hAnsi="宋体" w:eastAsia="宋体" w:cs="Microsoft Himalaya"/>
        </w:rPr>
        <w:t>1）</w:t>
      </w:r>
      <w:r>
        <w:rPr>
          <w:rFonts w:ascii="宋体" w:hAnsi="宋体" w:eastAsia="宋体" w:cs="Microsoft Himalaya"/>
        </w:rPr>
        <w:t>药房根据库房的出库单进行入库。</w:t>
      </w:r>
    </w:p>
    <w:p w14:paraId="7CC1935A">
      <w:pPr>
        <w:ind w:firstLine="480"/>
        <w:rPr>
          <w:rFonts w:ascii="宋体" w:hAnsi="宋体" w:eastAsia="宋体" w:cs="Microsoft Himalaya"/>
        </w:rPr>
      </w:pPr>
      <w:r>
        <w:rPr>
          <w:rFonts w:hint="eastAsia" w:ascii="宋体" w:hAnsi="宋体" w:eastAsia="宋体" w:cs="Microsoft Himalaya"/>
        </w:rPr>
        <w:t>2）</w:t>
      </w:r>
      <w:r>
        <w:rPr>
          <w:rFonts w:ascii="宋体" w:hAnsi="宋体" w:eastAsia="宋体" w:cs="Microsoft Himalaya"/>
        </w:rPr>
        <w:t>科室小药房根据库房的出库单进行入库。</w:t>
      </w:r>
    </w:p>
    <w:p w14:paraId="7F2A3A18">
      <w:pPr>
        <w:ind w:firstLine="480"/>
        <w:rPr>
          <w:rFonts w:ascii="宋体" w:hAnsi="宋体" w:eastAsia="宋体" w:cs="Microsoft Himalaya"/>
        </w:rPr>
      </w:pPr>
      <w:r>
        <w:rPr>
          <w:rFonts w:hint="eastAsia" w:ascii="宋体" w:hAnsi="宋体" w:eastAsia="宋体" w:cs="Microsoft Himalaya"/>
        </w:rPr>
        <w:t>3）</w:t>
      </w:r>
      <w:r>
        <w:rPr>
          <w:rFonts w:ascii="宋体" w:hAnsi="宋体" w:eastAsia="宋体" w:cs="Microsoft Himalaya"/>
        </w:rPr>
        <w:t>科室小药房根据药房的出库单进行入库。</w:t>
      </w:r>
    </w:p>
    <w:p w14:paraId="1F80DE22">
      <w:pPr>
        <w:ind w:firstLine="480"/>
        <w:rPr>
          <w:rFonts w:ascii="宋体" w:hAnsi="宋体" w:eastAsia="宋体" w:cs="Microsoft Himalaya"/>
        </w:rPr>
      </w:pPr>
      <w:r>
        <w:rPr>
          <w:rFonts w:hint="eastAsia" w:ascii="宋体" w:hAnsi="宋体" w:eastAsia="宋体" w:cs="Microsoft Himalaya"/>
        </w:rPr>
        <w:t>4）</w:t>
      </w:r>
      <w:r>
        <w:rPr>
          <w:rFonts w:ascii="宋体" w:hAnsi="宋体" w:eastAsia="宋体" w:cs="Microsoft Himalaya"/>
        </w:rPr>
        <w:t>药房根据科室小药房退回的药品单据进行入库。</w:t>
      </w:r>
    </w:p>
    <w:p w14:paraId="7A6BA139">
      <w:pPr>
        <w:ind w:firstLine="480"/>
        <w:rPr>
          <w:rFonts w:ascii="宋体" w:hAnsi="宋体" w:eastAsia="宋体" w:cs="Microsoft Himalaya"/>
        </w:rPr>
      </w:pPr>
      <w:r>
        <w:rPr>
          <w:rFonts w:hint="eastAsia" w:ascii="宋体" w:hAnsi="宋体" w:eastAsia="宋体" w:cs="Microsoft Himalaya"/>
        </w:rPr>
        <w:t>5）</w:t>
      </w:r>
      <w:r>
        <w:rPr>
          <w:rFonts w:ascii="宋体" w:hAnsi="宋体" w:eastAsia="宋体" w:cs="Microsoft Himalaya"/>
        </w:rPr>
        <w:t>房将药品出库给科室小药房。</w:t>
      </w:r>
    </w:p>
    <w:p w14:paraId="1B2568D2">
      <w:pPr>
        <w:ind w:firstLine="480"/>
        <w:rPr>
          <w:rFonts w:ascii="宋体" w:hAnsi="宋体" w:eastAsia="宋体" w:cs="Microsoft Himalaya"/>
        </w:rPr>
      </w:pPr>
      <w:r>
        <w:rPr>
          <w:rFonts w:hint="eastAsia" w:ascii="宋体" w:hAnsi="宋体" w:eastAsia="宋体" w:cs="Microsoft Himalaya"/>
        </w:rPr>
        <w:t>6）</w:t>
      </w:r>
      <w:r>
        <w:rPr>
          <w:rFonts w:ascii="宋体" w:hAnsi="宋体" w:eastAsia="宋体" w:cs="Microsoft Himalaya"/>
        </w:rPr>
        <w:t>科室小药房退药回药房。</w:t>
      </w:r>
    </w:p>
    <w:p w14:paraId="194020F1">
      <w:pPr>
        <w:ind w:firstLine="480"/>
        <w:rPr>
          <w:rFonts w:ascii="宋体" w:hAnsi="宋体" w:eastAsia="宋体" w:cs="Microsoft Himalaya"/>
        </w:rPr>
      </w:pPr>
      <w:r>
        <w:rPr>
          <w:rFonts w:hint="eastAsia" w:ascii="宋体" w:hAnsi="宋体" w:eastAsia="宋体" w:cs="Microsoft Himalaya"/>
        </w:rPr>
        <w:t>7）</w:t>
      </w:r>
      <w:r>
        <w:rPr>
          <w:rFonts w:ascii="宋体" w:hAnsi="宋体" w:eastAsia="宋体" w:cs="Microsoft Himalaya"/>
        </w:rPr>
        <w:t>药品批次管理，可根据参数设置药品“先入先出”或“效期先出”原则。</w:t>
      </w:r>
    </w:p>
    <w:p w14:paraId="733F82A1">
      <w:pPr>
        <w:rPr>
          <w:rFonts w:ascii="宋体" w:hAnsi="宋体" w:eastAsia="宋体"/>
        </w:rPr>
      </w:pPr>
      <w:r>
        <w:rPr>
          <w:rFonts w:hint="eastAsia" w:ascii="宋体" w:hAnsi="宋体" w:eastAsia="宋体"/>
        </w:rPr>
        <w:t>（3）</w:t>
      </w:r>
      <w:r>
        <w:rPr>
          <w:rFonts w:ascii="宋体" w:hAnsi="宋体" w:eastAsia="宋体"/>
        </w:rPr>
        <w:t>药房库存管理</w:t>
      </w:r>
    </w:p>
    <w:p w14:paraId="3E8F89FB">
      <w:pPr>
        <w:ind w:firstLine="480"/>
        <w:rPr>
          <w:rFonts w:ascii="宋体" w:hAnsi="宋体" w:eastAsia="宋体" w:cs="Microsoft Himalaya"/>
        </w:rPr>
      </w:pPr>
      <w:r>
        <w:rPr>
          <w:rFonts w:hint="eastAsia" w:ascii="宋体" w:hAnsi="宋体" w:eastAsia="宋体" w:cs="Microsoft Himalaya"/>
        </w:rPr>
        <w:t>1）</w:t>
      </w:r>
      <w:r>
        <w:rPr>
          <w:rFonts w:ascii="宋体" w:hAnsi="宋体" w:eastAsia="宋体" w:cs="Microsoft Himalaya"/>
        </w:rPr>
        <w:t>药品调拨</w:t>
      </w:r>
      <w:r>
        <w:rPr>
          <w:rFonts w:hint="eastAsia" w:ascii="宋体" w:hAnsi="宋体" w:eastAsia="宋体" w:cs="Microsoft Himalaya"/>
        </w:rPr>
        <w:t>支持</w:t>
      </w:r>
      <w:r>
        <w:rPr>
          <w:rFonts w:ascii="宋体" w:hAnsi="宋体" w:eastAsia="宋体" w:cs="Microsoft Himalaya"/>
        </w:rPr>
        <w:t>药房之间的药品相互调拨</w:t>
      </w:r>
      <w:r>
        <w:rPr>
          <w:rFonts w:hint="eastAsia" w:ascii="宋体" w:hAnsi="宋体" w:eastAsia="宋体" w:cs="Microsoft Himalaya"/>
        </w:rPr>
        <w:t>，</w:t>
      </w:r>
      <w:r>
        <w:rPr>
          <w:rFonts w:ascii="宋体" w:hAnsi="宋体" w:eastAsia="宋体" w:cs="Microsoft Himalaya"/>
        </w:rPr>
        <w:t>可扩展到多个药房库存单元（门诊、住院、中、西、成），实现药房之间的调拨执行确定。</w:t>
      </w:r>
    </w:p>
    <w:p w14:paraId="04D95311">
      <w:pPr>
        <w:ind w:firstLine="480"/>
        <w:rPr>
          <w:rFonts w:ascii="宋体" w:hAnsi="宋体" w:eastAsia="宋体" w:cs="Microsoft Himalaya"/>
        </w:rPr>
      </w:pPr>
      <w:r>
        <w:rPr>
          <w:rFonts w:hint="eastAsia" w:ascii="宋体" w:hAnsi="宋体" w:eastAsia="宋体" w:cs="Microsoft Himalaya"/>
        </w:rPr>
        <w:t>2）</w:t>
      </w:r>
      <w:r>
        <w:rPr>
          <w:rFonts w:ascii="宋体" w:hAnsi="宋体" w:eastAsia="宋体" w:cs="Microsoft Himalaya"/>
        </w:rPr>
        <w:t>药品报损</w:t>
      </w:r>
      <w:r>
        <w:rPr>
          <w:rFonts w:hint="eastAsia" w:ascii="宋体" w:hAnsi="宋体" w:eastAsia="宋体" w:cs="Microsoft Himalaya"/>
        </w:rPr>
        <w:t>支持</w:t>
      </w:r>
      <w:r>
        <w:rPr>
          <w:rFonts w:ascii="宋体" w:hAnsi="宋体" w:eastAsia="宋体" w:cs="Microsoft Himalaya"/>
        </w:rPr>
        <w:t>药房药品的报损记录登记</w:t>
      </w:r>
      <w:r>
        <w:rPr>
          <w:rFonts w:hint="eastAsia" w:ascii="宋体" w:hAnsi="宋体" w:eastAsia="宋体" w:cs="Microsoft Himalaya"/>
        </w:rPr>
        <w:t>，</w:t>
      </w:r>
      <w:r>
        <w:rPr>
          <w:rFonts w:ascii="宋体" w:hAnsi="宋体" w:eastAsia="宋体" w:cs="Microsoft Himalaya"/>
        </w:rPr>
        <w:t>报损明细增加报损原因。</w:t>
      </w:r>
    </w:p>
    <w:p w14:paraId="63F8A3C4">
      <w:pPr>
        <w:ind w:firstLine="480"/>
        <w:rPr>
          <w:rFonts w:ascii="宋体" w:hAnsi="宋体" w:eastAsia="宋体" w:cs="Microsoft Himalaya"/>
        </w:rPr>
      </w:pPr>
      <w:r>
        <w:rPr>
          <w:rFonts w:hint="eastAsia" w:ascii="宋体" w:hAnsi="宋体" w:eastAsia="宋体" w:cs="Microsoft Himalaya"/>
        </w:rPr>
        <w:t>3）</w:t>
      </w:r>
      <w:r>
        <w:rPr>
          <w:rFonts w:ascii="宋体" w:hAnsi="宋体" w:eastAsia="宋体" w:cs="Microsoft Himalaya"/>
        </w:rPr>
        <w:t>药品盘点</w:t>
      </w:r>
      <w:r>
        <w:rPr>
          <w:rFonts w:hint="eastAsia" w:ascii="宋体" w:hAnsi="宋体" w:eastAsia="宋体" w:cs="Microsoft Himalaya"/>
        </w:rPr>
        <w:t>支持</w:t>
      </w:r>
      <w:r>
        <w:rPr>
          <w:rFonts w:ascii="宋体" w:hAnsi="宋体" w:eastAsia="宋体" w:cs="Microsoft Himalaya"/>
        </w:rPr>
        <w:t>药房的季度或者月度盘点</w:t>
      </w:r>
      <w:r>
        <w:rPr>
          <w:rFonts w:hint="eastAsia" w:ascii="宋体" w:hAnsi="宋体" w:eastAsia="宋体" w:cs="Microsoft Himalaya"/>
        </w:rPr>
        <w:t>；</w:t>
      </w:r>
      <w:r>
        <w:rPr>
          <w:rFonts w:ascii="宋体" w:hAnsi="宋体" w:eastAsia="宋体" w:cs="Microsoft Himalaya"/>
        </w:rPr>
        <w:t>支持多种盘点模式，比如按品种、按厂家、按批次等</w:t>
      </w:r>
      <w:r>
        <w:rPr>
          <w:rFonts w:hint="eastAsia" w:ascii="宋体" w:hAnsi="宋体" w:eastAsia="宋体" w:cs="Microsoft Himalaya"/>
        </w:rPr>
        <w:t>；</w:t>
      </w:r>
      <w:r>
        <w:rPr>
          <w:rFonts w:ascii="宋体" w:hAnsi="宋体" w:eastAsia="宋体" w:cs="Microsoft Himalaya"/>
        </w:rPr>
        <w:t>支持对单品种进行盘点。</w:t>
      </w:r>
    </w:p>
    <w:p w14:paraId="4CF7A0BC">
      <w:pPr>
        <w:ind w:firstLine="480"/>
        <w:rPr>
          <w:rFonts w:ascii="宋体" w:hAnsi="宋体" w:eastAsia="宋体" w:cs="Microsoft Himalaya"/>
        </w:rPr>
      </w:pPr>
      <w:r>
        <w:rPr>
          <w:rFonts w:hint="eastAsia" w:ascii="宋体" w:hAnsi="宋体" w:eastAsia="宋体" w:cs="Microsoft Himalaya"/>
        </w:rPr>
        <w:t>4）</w:t>
      </w:r>
      <w:r>
        <w:rPr>
          <w:rFonts w:ascii="宋体" w:hAnsi="宋体" w:eastAsia="宋体" w:cs="Microsoft Himalaya"/>
        </w:rPr>
        <w:t>药品退库支持药房退药回库房</w:t>
      </w:r>
      <w:r>
        <w:rPr>
          <w:rFonts w:hint="eastAsia" w:ascii="宋体" w:hAnsi="宋体" w:eastAsia="宋体" w:cs="Microsoft Himalaya"/>
        </w:rPr>
        <w:t>；</w:t>
      </w:r>
      <w:r>
        <w:rPr>
          <w:rFonts w:ascii="宋体" w:hAnsi="宋体" w:eastAsia="宋体" w:cs="Microsoft Himalaya"/>
        </w:rPr>
        <w:t>支持科室小药房退药回库房。</w:t>
      </w:r>
    </w:p>
    <w:p w14:paraId="43FA6E63">
      <w:pPr>
        <w:ind w:firstLine="480"/>
        <w:rPr>
          <w:rFonts w:ascii="宋体" w:hAnsi="宋体" w:eastAsia="宋体" w:cs="Microsoft Himalaya"/>
        </w:rPr>
      </w:pPr>
      <w:r>
        <w:rPr>
          <w:rFonts w:hint="eastAsia" w:ascii="宋体" w:hAnsi="宋体" w:eastAsia="宋体" w:cs="Microsoft Himalaya"/>
        </w:rPr>
        <w:t>5）</w:t>
      </w:r>
      <w:r>
        <w:rPr>
          <w:rFonts w:ascii="宋体" w:hAnsi="宋体" w:eastAsia="宋体" w:cs="Microsoft Himalaya"/>
        </w:rPr>
        <w:t>药品存量管理对药房的药品进行库存、开药、存量等进行控制</w:t>
      </w:r>
      <w:r>
        <w:rPr>
          <w:rFonts w:hint="eastAsia" w:ascii="宋体" w:hAnsi="宋体" w:eastAsia="宋体" w:cs="Microsoft Himalaya"/>
        </w:rPr>
        <w:t>；</w:t>
      </w:r>
      <w:r>
        <w:rPr>
          <w:rFonts w:ascii="宋体" w:hAnsi="宋体" w:eastAsia="宋体" w:cs="Microsoft Himalaya"/>
        </w:rPr>
        <w:t>可用库存数量查询的，以便医生开单或处方输入后减少可用库存，下次处方能根据可用库存控制开单数量，保证发药时库存充分</w:t>
      </w:r>
      <w:r>
        <w:rPr>
          <w:rFonts w:hint="eastAsia" w:ascii="宋体" w:hAnsi="宋体" w:eastAsia="宋体" w:cs="Microsoft Himalaya"/>
        </w:rPr>
        <w:t>；支持</w:t>
      </w:r>
      <w:r>
        <w:rPr>
          <w:rFonts w:ascii="宋体" w:hAnsi="宋体" w:eastAsia="宋体" w:cs="Microsoft Himalaya"/>
        </w:rPr>
        <w:t>药品的有效期管理、库存预警功，可自动报警和统计过期、低储药品的品种数和金额</w:t>
      </w:r>
      <w:r>
        <w:rPr>
          <w:rFonts w:hint="eastAsia" w:ascii="宋体" w:hAnsi="宋体" w:eastAsia="宋体" w:cs="Microsoft Himalaya"/>
        </w:rPr>
        <w:t>；</w:t>
      </w:r>
      <w:r>
        <w:rPr>
          <w:rFonts w:ascii="宋体" w:hAnsi="宋体" w:eastAsia="宋体" w:cs="Microsoft Himalaya"/>
        </w:rPr>
        <w:t>对毒麻药品、精神药品的种类、贵重药品、院内制剂等均有特定的判断识别处理。</w:t>
      </w:r>
    </w:p>
    <w:p w14:paraId="66642902">
      <w:pPr>
        <w:rPr>
          <w:rFonts w:ascii="宋体" w:hAnsi="宋体" w:eastAsia="宋体"/>
        </w:rPr>
      </w:pPr>
      <w:r>
        <w:rPr>
          <w:rFonts w:hint="eastAsia" w:ascii="宋体" w:hAnsi="宋体" w:eastAsia="宋体"/>
        </w:rPr>
        <w:t>（4）</w:t>
      </w:r>
      <w:r>
        <w:rPr>
          <w:rFonts w:ascii="宋体" w:hAnsi="宋体" w:eastAsia="宋体"/>
        </w:rPr>
        <w:t>住院发药管理</w:t>
      </w:r>
    </w:p>
    <w:p w14:paraId="565C8DFB">
      <w:pPr>
        <w:ind w:firstLine="480"/>
        <w:rPr>
          <w:rFonts w:ascii="宋体" w:hAnsi="宋体" w:eastAsia="宋体" w:cs="Microsoft Himalaya"/>
        </w:rPr>
      </w:pPr>
      <w:r>
        <w:rPr>
          <w:rFonts w:hint="eastAsia" w:ascii="宋体" w:hAnsi="宋体" w:eastAsia="宋体" w:cs="Microsoft Himalaya"/>
        </w:rPr>
        <w:t>1）</w:t>
      </w:r>
      <w:r>
        <w:rPr>
          <w:rFonts w:ascii="宋体" w:hAnsi="宋体" w:eastAsia="宋体" w:cs="Microsoft Himalaya"/>
        </w:rPr>
        <w:t>住院摆药审核</w:t>
      </w:r>
      <w:r>
        <w:rPr>
          <w:rFonts w:hint="eastAsia" w:ascii="宋体" w:hAnsi="宋体" w:eastAsia="宋体" w:cs="Microsoft Himalaya"/>
        </w:rPr>
        <w:t>是</w:t>
      </w:r>
      <w:r>
        <w:rPr>
          <w:rFonts w:ascii="宋体" w:hAnsi="宋体" w:eastAsia="宋体" w:cs="Microsoft Himalaya"/>
        </w:rPr>
        <w:t>对护士发送的摆药记录进行审核</w:t>
      </w:r>
      <w:r>
        <w:rPr>
          <w:rFonts w:hint="eastAsia" w:ascii="宋体" w:hAnsi="宋体" w:eastAsia="宋体" w:cs="Microsoft Himalaya"/>
        </w:rPr>
        <w:t>，</w:t>
      </w:r>
      <w:r>
        <w:rPr>
          <w:rFonts w:ascii="宋体" w:hAnsi="宋体" w:eastAsia="宋体" w:cs="Microsoft Himalaya"/>
        </w:rPr>
        <w:t>支持对摆药记录进行驳回</w:t>
      </w:r>
      <w:r>
        <w:rPr>
          <w:rFonts w:hint="eastAsia" w:ascii="宋体" w:hAnsi="宋体" w:eastAsia="宋体" w:cs="Microsoft Himalaya"/>
        </w:rPr>
        <w:t>；</w:t>
      </w:r>
      <w:r>
        <w:rPr>
          <w:rFonts w:ascii="宋体" w:hAnsi="宋体" w:eastAsia="宋体" w:cs="Microsoft Himalaya"/>
        </w:rPr>
        <w:t>根据药品分类摆药（如大输液、片剂药品等）。</w:t>
      </w:r>
    </w:p>
    <w:p w14:paraId="3A300183">
      <w:pPr>
        <w:ind w:firstLine="480"/>
        <w:rPr>
          <w:rFonts w:ascii="宋体" w:hAnsi="宋体" w:eastAsia="宋体" w:cs="Microsoft Himalaya"/>
        </w:rPr>
      </w:pPr>
      <w:r>
        <w:rPr>
          <w:rFonts w:hint="eastAsia" w:ascii="宋体" w:hAnsi="宋体" w:eastAsia="宋体" w:cs="Microsoft Himalaya"/>
        </w:rPr>
        <w:t>2）</w:t>
      </w:r>
      <w:r>
        <w:rPr>
          <w:rFonts w:ascii="宋体" w:hAnsi="宋体" w:eastAsia="宋体" w:cs="Microsoft Himalaya"/>
        </w:rPr>
        <w:t>住院医嘱发药</w:t>
      </w:r>
      <w:r>
        <w:rPr>
          <w:rFonts w:hint="eastAsia" w:ascii="宋体" w:hAnsi="宋体" w:eastAsia="宋体" w:cs="Microsoft Himalaya"/>
        </w:rPr>
        <w:t>是指</w:t>
      </w:r>
      <w:r>
        <w:rPr>
          <w:rFonts w:ascii="宋体" w:hAnsi="宋体" w:eastAsia="宋体" w:cs="Microsoft Himalaya"/>
        </w:rPr>
        <w:t>对摆药记录进行发药处理</w:t>
      </w:r>
      <w:r>
        <w:rPr>
          <w:rFonts w:hint="eastAsia" w:ascii="宋体" w:hAnsi="宋体" w:eastAsia="宋体" w:cs="Microsoft Himalaya"/>
        </w:rPr>
        <w:t>，</w:t>
      </w:r>
      <w:r>
        <w:rPr>
          <w:rFonts w:ascii="宋体" w:hAnsi="宋体" w:eastAsia="宋体" w:cs="Microsoft Himalaya"/>
        </w:rPr>
        <w:t>支持分别按患者的临时医嘱和长期医嘱执行确认发药，同时追踪各药品的库存</w:t>
      </w:r>
      <w:r>
        <w:rPr>
          <w:rFonts w:hint="eastAsia" w:ascii="宋体" w:hAnsi="宋体" w:eastAsia="宋体" w:cs="Microsoft Himalaya"/>
        </w:rPr>
        <w:t>；</w:t>
      </w:r>
      <w:r>
        <w:rPr>
          <w:rFonts w:ascii="宋体" w:hAnsi="宋体" w:eastAsia="宋体" w:cs="Microsoft Himalaya"/>
        </w:rPr>
        <w:t>支持药房发药自动换批次</w:t>
      </w:r>
      <w:r>
        <w:rPr>
          <w:rFonts w:hint="eastAsia" w:ascii="宋体" w:hAnsi="宋体" w:eastAsia="宋体" w:cs="Microsoft Himalaya"/>
        </w:rPr>
        <w:t>，</w:t>
      </w:r>
      <w:r>
        <w:rPr>
          <w:rFonts w:ascii="宋体" w:hAnsi="宋体" w:eastAsia="宋体" w:cs="Microsoft Himalaya"/>
        </w:rPr>
        <w:t>发药后自动打印。</w:t>
      </w:r>
    </w:p>
    <w:p w14:paraId="3D9C835C">
      <w:pPr>
        <w:ind w:firstLine="480"/>
        <w:rPr>
          <w:rFonts w:ascii="宋体" w:hAnsi="宋体" w:eastAsia="宋体" w:cs="Microsoft Himalaya"/>
        </w:rPr>
      </w:pPr>
      <w:r>
        <w:rPr>
          <w:rFonts w:hint="eastAsia" w:ascii="宋体" w:hAnsi="宋体" w:eastAsia="宋体" w:cs="Microsoft Himalaya"/>
        </w:rPr>
        <w:t>3）</w:t>
      </w:r>
      <w:r>
        <w:rPr>
          <w:rFonts w:ascii="宋体" w:hAnsi="宋体" w:eastAsia="宋体" w:cs="Microsoft Himalaya"/>
        </w:rPr>
        <w:t>摆药药品调配</w:t>
      </w:r>
      <w:r>
        <w:rPr>
          <w:rFonts w:hint="eastAsia" w:ascii="宋体" w:hAnsi="宋体" w:eastAsia="宋体" w:cs="Microsoft Himalaya"/>
        </w:rPr>
        <w:t>支持</w:t>
      </w:r>
      <w:r>
        <w:rPr>
          <w:rFonts w:ascii="宋体" w:hAnsi="宋体" w:eastAsia="宋体" w:cs="Microsoft Himalaya"/>
        </w:rPr>
        <w:t>对发药单或者退药单进行调配处理</w:t>
      </w:r>
      <w:r>
        <w:rPr>
          <w:rFonts w:hint="eastAsia" w:ascii="宋体" w:hAnsi="宋体" w:eastAsia="宋体" w:cs="Microsoft Himalaya"/>
        </w:rPr>
        <w:t>，</w:t>
      </w:r>
      <w:r>
        <w:rPr>
          <w:rFonts w:ascii="宋体" w:hAnsi="宋体" w:eastAsia="宋体" w:cs="Microsoft Himalaya"/>
        </w:rPr>
        <w:t>根据调配时间、领药科室、配送单号进行检索</w:t>
      </w:r>
      <w:r>
        <w:rPr>
          <w:rFonts w:hint="eastAsia" w:ascii="宋体" w:hAnsi="宋体" w:eastAsia="宋体" w:cs="Microsoft Himalaya"/>
        </w:rPr>
        <w:t>；</w:t>
      </w:r>
      <w:r>
        <w:rPr>
          <w:rFonts w:ascii="宋体" w:hAnsi="宋体" w:eastAsia="宋体" w:cs="Microsoft Himalaya"/>
        </w:rPr>
        <w:t>支持退药合并。</w:t>
      </w:r>
    </w:p>
    <w:p w14:paraId="5087E1AE">
      <w:pPr>
        <w:ind w:firstLine="480"/>
        <w:rPr>
          <w:rFonts w:ascii="宋体" w:hAnsi="宋体" w:eastAsia="宋体" w:cs="Microsoft Himalaya"/>
        </w:rPr>
      </w:pPr>
      <w:r>
        <w:rPr>
          <w:rFonts w:hint="eastAsia" w:ascii="宋体" w:hAnsi="宋体" w:eastAsia="宋体" w:cs="Microsoft Himalaya"/>
        </w:rPr>
        <w:t>4）</w:t>
      </w:r>
      <w:r>
        <w:rPr>
          <w:rFonts w:ascii="宋体" w:hAnsi="宋体" w:eastAsia="宋体" w:cs="Microsoft Himalaya"/>
        </w:rPr>
        <w:t>摆药药品配送</w:t>
      </w:r>
      <w:r>
        <w:rPr>
          <w:rFonts w:hint="eastAsia" w:ascii="宋体" w:hAnsi="宋体" w:eastAsia="宋体" w:cs="Microsoft Himalaya"/>
        </w:rPr>
        <w:t>支持</w:t>
      </w:r>
      <w:r>
        <w:rPr>
          <w:rFonts w:ascii="宋体" w:hAnsi="宋体" w:eastAsia="宋体" w:cs="Microsoft Himalaya"/>
        </w:rPr>
        <w:t>对已经打印的调配单进行配送处理</w:t>
      </w:r>
      <w:r>
        <w:rPr>
          <w:rFonts w:hint="eastAsia" w:ascii="宋体" w:hAnsi="宋体" w:eastAsia="宋体" w:cs="Microsoft Himalaya"/>
        </w:rPr>
        <w:t>，</w:t>
      </w:r>
      <w:r>
        <w:rPr>
          <w:rFonts w:ascii="宋体" w:hAnsi="宋体" w:eastAsia="宋体" w:cs="Microsoft Himalaya"/>
        </w:rPr>
        <w:t>打印配送条码。</w:t>
      </w:r>
    </w:p>
    <w:p w14:paraId="1E340BB9">
      <w:pPr>
        <w:ind w:firstLine="480"/>
        <w:rPr>
          <w:rFonts w:ascii="宋体" w:hAnsi="宋体" w:eastAsia="宋体" w:cs="Microsoft Himalaya"/>
        </w:rPr>
      </w:pPr>
      <w:r>
        <w:rPr>
          <w:rFonts w:hint="eastAsia" w:ascii="宋体" w:hAnsi="宋体" w:eastAsia="宋体" w:cs="Microsoft Himalaya"/>
        </w:rPr>
        <w:t>5）</w:t>
      </w:r>
      <w:r>
        <w:rPr>
          <w:rFonts w:ascii="宋体" w:hAnsi="宋体" w:eastAsia="宋体" w:cs="Microsoft Himalaya"/>
        </w:rPr>
        <w:t>住院中草药发药</w:t>
      </w:r>
      <w:r>
        <w:rPr>
          <w:rFonts w:hint="eastAsia" w:ascii="宋体" w:hAnsi="宋体" w:eastAsia="宋体" w:cs="Microsoft Himalaya"/>
        </w:rPr>
        <w:t>是指</w:t>
      </w:r>
      <w:r>
        <w:rPr>
          <w:rFonts w:ascii="宋体" w:hAnsi="宋体" w:eastAsia="宋体" w:cs="Microsoft Himalaya"/>
        </w:rPr>
        <w:t>对护士发送的中草药摆药记录进行发药处理</w:t>
      </w:r>
      <w:r>
        <w:rPr>
          <w:rFonts w:hint="eastAsia" w:ascii="宋体" w:hAnsi="宋体" w:eastAsia="宋体" w:cs="Microsoft Himalaya"/>
        </w:rPr>
        <w:t>，</w:t>
      </w:r>
      <w:r>
        <w:rPr>
          <w:rFonts w:ascii="宋体" w:hAnsi="宋体" w:eastAsia="宋体" w:cs="Microsoft Himalaya"/>
        </w:rPr>
        <w:t>打印中草药处方单</w:t>
      </w:r>
      <w:r>
        <w:rPr>
          <w:rFonts w:hint="eastAsia" w:ascii="宋体" w:hAnsi="宋体" w:eastAsia="宋体" w:cs="Microsoft Himalaya"/>
        </w:rPr>
        <w:t>；</w:t>
      </w:r>
      <w:r>
        <w:rPr>
          <w:rFonts w:ascii="宋体" w:hAnsi="宋体" w:eastAsia="宋体" w:cs="Microsoft Himalaya"/>
        </w:rPr>
        <w:t>支持按多种条件进行发药单进行查询，并显示发药详情。</w:t>
      </w:r>
    </w:p>
    <w:p w14:paraId="05847A99">
      <w:pPr>
        <w:rPr>
          <w:rFonts w:ascii="宋体" w:hAnsi="宋体" w:eastAsia="宋体"/>
        </w:rPr>
      </w:pPr>
      <w:r>
        <w:rPr>
          <w:rFonts w:hint="eastAsia" w:ascii="宋体" w:hAnsi="宋体" w:eastAsia="宋体"/>
        </w:rPr>
        <w:t>（5）</w:t>
      </w:r>
      <w:r>
        <w:rPr>
          <w:rFonts w:ascii="宋体" w:hAnsi="宋体" w:eastAsia="宋体"/>
        </w:rPr>
        <w:t>住院退药管理</w:t>
      </w:r>
    </w:p>
    <w:p w14:paraId="3BAFD997">
      <w:pPr>
        <w:ind w:firstLine="480"/>
        <w:rPr>
          <w:rFonts w:ascii="宋体" w:hAnsi="宋体" w:eastAsia="宋体" w:cs="Microsoft Himalaya"/>
        </w:rPr>
      </w:pPr>
      <w:r>
        <w:rPr>
          <w:rFonts w:hint="eastAsia" w:ascii="宋体" w:hAnsi="宋体" w:eastAsia="宋体" w:cs="Microsoft Himalaya"/>
        </w:rPr>
        <w:t>1）支持</w:t>
      </w:r>
      <w:r>
        <w:rPr>
          <w:rFonts w:ascii="宋体" w:hAnsi="宋体" w:eastAsia="宋体" w:cs="Microsoft Himalaya"/>
        </w:rPr>
        <w:t>对病区的退药单进行执行确认。</w:t>
      </w:r>
    </w:p>
    <w:p w14:paraId="6E85B914">
      <w:pPr>
        <w:ind w:firstLine="480"/>
        <w:rPr>
          <w:rFonts w:ascii="宋体" w:hAnsi="宋体" w:eastAsia="宋体" w:cs="Microsoft Himalaya"/>
        </w:rPr>
      </w:pPr>
      <w:r>
        <w:rPr>
          <w:rFonts w:hint="eastAsia" w:ascii="宋体" w:hAnsi="宋体" w:eastAsia="宋体" w:cs="Microsoft Himalaya"/>
        </w:rPr>
        <w:t>2）</w:t>
      </w:r>
      <w:r>
        <w:rPr>
          <w:rFonts w:ascii="宋体" w:hAnsi="宋体" w:eastAsia="宋体" w:cs="Microsoft Himalaya"/>
        </w:rPr>
        <w:t>支持按多种筛选条件对退药单进行查询。</w:t>
      </w:r>
    </w:p>
    <w:p w14:paraId="6F1AB165">
      <w:pPr>
        <w:rPr>
          <w:rFonts w:ascii="宋体" w:hAnsi="宋体" w:eastAsia="宋体"/>
        </w:rPr>
      </w:pPr>
      <w:r>
        <w:rPr>
          <w:rFonts w:hint="eastAsia" w:ascii="宋体" w:hAnsi="宋体" w:eastAsia="宋体"/>
        </w:rPr>
        <w:t>（6）</w:t>
      </w:r>
      <w:r>
        <w:rPr>
          <w:rFonts w:ascii="宋体" w:hAnsi="宋体" w:eastAsia="宋体"/>
        </w:rPr>
        <w:t>住院计费管理</w:t>
      </w:r>
    </w:p>
    <w:p w14:paraId="336AD21E">
      <w:pPr>
        <w:ind w:firstLine="480"/>
        <w:rPr>
          <w:rFonts w:ascii="宋体" w:hAnsi="宋体" w:eastAsia="宋体" w:cs="Microsoft Himalaya"/>
        </w:rPr>
      </w:pPr>
      <w:r>
        <w:rPr>
          <w:rFonts w:hint="eastAsia" w:ascii="宋体" w:hAnsi="宋体" w:eastAsia="宋体" w:cs="Microsoft Himalaya"/>
        </w:rPr>
        <w:t>1）支持</w:t>
      </w:r>
      <w:r>
        <w:rPr>
          <w:rFonts w:ascii="宋体" w:hAnsi="宋体" w:eastAsia="宋体" w:cs="Microsoft Himalaya"/>
        </w:rPr>
        <w:t>药房手工划价处方。</w:t>
      </w:r>
    </w:p>
    <w:p w14:paraId="50E225D4">
      <w:pPr>
        <w:rPr>
          <w:rFonts w:ascii="宋体" w:hAnsi="宋体" w:eastAsia="宋体"/>
        </w:rPr>
      </w:pPr>
      <w:r>
        <w:rPr>
          <w:rFonts w:hint="eastAsia" w:ascii="宋体" w:hAnsi="宋体" w:eastAsia="宋体"/>
        </w:rPr>
        <w:t>（7）</w:t>
      </w:r>
      <w:r>
        <w:rPr>
          <w:rFonts w:ascii="宋体" w:hAnsi="宋体" w:eastAsia="宋体"/>
        </w:rPr>
        <w:t>药房结算</w:t>
      </w:r>
    </w:p>
    <w:p w14:paraId="5783CD4A">
      <w:pPr>
        <w:ind w:firstLine="480"/>
        <w:rPr>
          <w:rFonts w:ascii="宋体" w:hAnsi="宋体" w:eastAsia="宋体" w:cs="Microsoft Himalaya"/>
        </w:rPr>
      </w:pPr>
      <w:r>
        <w:rPr>
          <w:rFonts w:hint="eastAsia" w:ascii="宋体" w:hAnsi="宋体" w:eastAsia="宋体" w:cs="Microsoft Himalaya"/>
        </w:rPr>
        <w:t>1）</w:t>
      </w:r>
      <w:r>
        <w:rPr>
          <w:rFonts w:ascii="宋体" w:hAnsi="宋体" w:eastAsia="宋体" w:cs="Microsoft Himalaya"/>
        </w:rPr>
        <w:t>具有药房药品的日结、月结和年结算。</w:t>
      </w:r>
    </w:p>
    <w:p w14:paraId="6F9BC5D8">
      <w:pPr>
        <w:pStyle w:val="6"/>
      </w:pPr>
      <w:r>
        <w:rPr>
          <w:rFonts w:hint="eastAsia"/>
        </w:rPr>
        <w:t>护理病历管理系统</w:t>
      </w:r>
    </w:p>
    <w:p w14:paraId="021C08BC">
      <w:pPr>
        <w:rPr>
          <w:rFonts w:ascii="宋体" w:hAnsi="宋体" w:eastAsia="宋体"/>
        </w:rPr>
      </w:pPr>
      <w:r>
        <w:rPr>
          <w:rFonts w:hint="eastAsia" w:ascii="宋体" w:hAnsi="宋体" w:eastAsia="宋体"/>
        </w:rPr>
        <w:t>（1）护理文书</w:t>
      </w:r>
    </w:p>
    <w:p w14:paraId="0E33C16E">
      <w:pPr>
        <w:ind w:firstLine="480"/>
        <w:rPr>
          <w:rFonts w:ascii="宋体" w:hAnsi="宋体" w:eastAsia="宋体" w:cs="Microsoft Himalaya"/>
        </w:rPr>
      </w:pPr>
      <w:r>
        <w:rPr>
          <w:rFonts w:hint="eastAsia" w:ascii="宋体" w:hAnsi="宋体" w:eastAsia="宋体" w:cs="Microsoft Himalaya"/>
        </w:rPr>
        <w:t>1）常用护理文书录入，包括患者的生命体征、病情观察措施、评估信息。</w:t>
      </w:r>
    </w:p>
    <w:p w14:paraId="1ADBB900">
      <w:pPr>
        <w:ind w:firstLine="480"/>
        <w:rPr>
          <w:rFonts w:ascii="宋体" w:hAnsi="宋体" w:eastAsia="宋体" w:cs="Microsoft Himalaya"/>
        </w:rPr>
      </w:pPr>
      <w:r>
        <w:rPr>
          <w:rFonts w:hint="eastAsia" w:ascii="宋体" w:hAnsi="宋体" w:eastAsia="宋体" w:cs="Microsoft Himalaya"/>
        </w:rPr>
        <w:t>2）一般护理记录单的新增、删除、修改、预览、打印、插入小结、总结、引用医嘱、体征、检查检验、既往史、简要病史。</w:t>
      </w:r>
    </w:p>
    <w:p w14:paraId="0783E966">
      <w:pPr>
        <w:ind w:firstLine="480"/>
        <w:rPr>
          <w:rFonts w:ascii="宋体" w:hAnsi="宋体" w:eastAsia="宋体" w:cs="Microsoft Himalaya"/>
        </w:rPr>
      </w:pPr>
      <w:r>
        <w:rPr>
          <w:rFonts w:hint="eastAsia" w:ascii="宋体" w:hAnsi="宋体" w:eastAsia="宋体" w:cs="Microsoft Himalaya"/>
        </w:rPr>
        <w:t>3）危重护理记录单的新增明细、删除明细、修改、打印、预览、插入小结、总结，引用医嘱、体征、检查检验、胰岛素注射、既往史、电子病历、过敏药品信息。</w:t>
      </w:r>
    </w:p>
    <w:p w14:paraId="72E7D2F9">
      <w:pPr>
        <w:ind w:firstLine="480"/>
        <w:rPr>
          <w:rFonts w:ascii="宋体" w:hAnsi="宋体" w:eastAsia="宋体" w:cs="Microsoft Himalaya"/>
        </w:rPr>
      </w:pPr>
      <w:r>
        <w:rPr>
          <w:rFonts w:hint="eastAsia" w:ascii="宋体" w:hAnsi="宋体" w:eastAsia="宋体" w:cs="Microsoft Himalaya"/>
        </w:rPr>
        <w:t>4）手术清点记录单、术后护理记录单的录入、修改、删除、预览和打印。</w:t>
      </w:r>
    </w:p>
    <w:p w14:paraId="63761ED8">
      <w:pPr>
        <w:ind w:firstLine="480"/>
        <w:rPr>
          <w:rFonts w:ascii="宋体" w:hAnsi="宋体" w:eastAsia="宋体" w:cs="Microsoft Himalaya"/>
        </w:rPr>
      </w:pPr>
      <w:r>
        <w:rPr>
          <w:rFonts w:hint="eastAsia" w:ascii="宋体" w:hAnsi="宋体" w:eastAsia="宋体" w:cs="Microsoft Himalaya"/>
        </w:rPr>
        <w:t>5）专科护理病历记录，包括：在表单中插入小结、总结，查看医嘱信息、检查检验、既往史、调阅电子病历、过敏药品信息、引用检验检查报告。</w:t>
      </w:r>
    </w:p>
    <w:p w14:paraId="7B091657">
      <w:pPr>
        <w:ind w:firstLine="480"/>
        <w:rPr>
          <w:rFonts w:ascii="宋体" w:hAnsi="宋体" w:eastAsia="宋体" w:cs="Microsoft Himalaya"/>
        </w:rPr>
      </w:pPr>
      <w:r>
        <w:rPr>
          <w:rFonts w:hint="eastAsia" w:ascii="宋体" w:hAnsi="宋体" w:eastAsia="宋体" w:cs="Microsoft Himalaya"/>
        </w:rPr>
        <w:t>6）支持与第三方电子签名对接，实现护理文书电子签名。</w:t>
      </w:r>
    </w:p>
    <w:p w14:paraId="79472579">
      <w:pPr>
        <w:rPr>
          <w:rFonts w:ascii="宋体" w:hAnsi="宋体" w:eastAsia="宋体"/>
        </w:rPr>
      </w:pPr>
      <w:r>
        <w:rPr>
          <w:rFonts w:hint="eastAsia" w:ascii="宋体" w:hAnsi="宋体" w:eastAsia="宋体"/>
        </w:rPr>
        <w:t>（2）</w:t>
      </w:r>
      <w:r>
        <w:rPr>
          <w:rFonts w:ascii="宋体" w:hAnsi="宋体" w:eastAsia="宋体"/>
        </w:rPr>
        <w:t>护理评估</w:t>
      </w:r>
    </w:p>
    <w:p w14:paraId="37F5C59A">
      <w:pPr>
        <w:ind w:firstLine="480"/>
        <w:rPr>
          <w:rFonts w:ascii="宋体" w:hAnsi="宋体" w:eastAsia="宋体" w:cs="Microsoft Himalaya"/>
        </w:rPr>
      </w:pPr>
      <w:r>
        <w:rPr>
          <w:rFonts w:hint="eastAsia" w:ascii="宋体" w:hAnsi="宋体" w:eastAsia="宋体" w:cs="Microsoft Himalaya"/>
        </w:rPr>
        <w:t>1）</w:t>
      </w:r>
      <w:r>
        <w:rPr>
          <w:rFonts w:ascii="宋体" w:hAnsi="宋体" w:eastAsia="宋体" w:cs="Microsoft Himalaya"/>
        </w:rPr>
        <w:t>入院评估单录入、保存、预览、打印，包括入院方式、过敏史、入院诊断、评估信息。</w:t>
      </w:r>
    </w:p>
    <w:p w14:paraId="3CB8EC65">
      <w:pPr>
        <w:ind w:firstLine="480"/>
        <w:rPr>
          <w:rFonts w:ascii="宋体" w:hAnsi="宋体" w:eastAsia="宋体" w:cs="Microsoft Himalaya"/>
        </w:rPr>
      </w:pPr>
      <w:r>
        <w:rPr>
          <w:rFonts w:hint="eastAsia" w:ascii="宋体" w:hAnsi="宋体" w:eastAsia="宋体" w:cs="Microsoft Himalaya"/>
        </w:rPr>
        <w:t>2）</w:t>
      </w:r>
      <w:r>
        <w:rPr>
          <w:rFonts w:ascii="宋体" w:hAnsi="宋体" w:eastAsia="宋体" w:cs="Microsoft Himalaya"/>
        </w:rPr>
        <w:t>入院评估单对患者自理能力、压疮跌倒导管、管道滑脱、疼痛进行评估。</w:t>
      </w:r>
    </w:p>
    <w:p w14:paraId="47382F2F">
      <w:pPr>
        <w:ind w:firstLine="480"/>
        <w:rPr>
          <w:rFonts w:ascii="宋体" w:hAnsi="宋体" w:eastAsia="宋体" w:cs="Microsoft Himalaya"/>
        </w:rPr>
      </w:pPr>
      <w:r>
        <w:rPr>
          <w:rFonts w:hint="eastAsia" w:ascii="宋体" w:hAnsi="宋体" w:eastAsia="宋体" w:cs="Microsoft Himalaya"/>
        </w:rPr>
        <w:t>3）</w:t>
      </w:r>
      <w:r>
        <w:rPr>
          <w:rFonts w:ascii="宋体" w:hAnsi="宋体" w:eastAsia="宋体" w:cs="Microsoft Himalaya"/>
        </w:rPr>
        <w:t>出院评估单信息的录入与展示，包括：患者心理状态、自理能力、皮肤情况、并发症、特殊用药指导、情绪调节。</w:t>
      </w:r>
    </w:p>
    <w:p w14:paraId="17F11EC3">
      <w:pPr>
        <w:ind w:firstLine="480"/>
        <w:rPr>
          <w:rFonts w:ascii="宋体" w:hAnsi="宋体" w:eastAsia="宋体" w:cs="Microsoft Himalaya"/>
        </w:rPr>
      </w:pPr>
      <w:r>
        <w:rPr>
          <w:rFonts w:hint="eastAsia" w:ascii="宋体" w:hAnsi="宋体" w:eastAsia="宋体" w:cs="Microsoft Himalaya"/>
        </w:rPr>
        <w:t>4）</w:t>
      </w:r>
      <w:r>
        <w:rPr>
          <w:rFonts w:ascii="宋体" w:hAnsi="宋体" w:eastAsia="宋体" w:cs="Microsoft Himalaya"/>
        </w:rPr>
        <w:t>跌倒评估单各项内容的录入与展示及总分计算，包括记录：年龄、精神状况、身体状况、活动能力、灵活程度。</w:t>
      </w:r>
    </w:p>
    <w:p w14:paraId="13739A87">
      <w:pPr>
        <w:ind w:firstLine="480"/>
        <w:rPr>
          <w:rFonts w:ascii="宋体" w:hAnsi="宋体" w:eastAsia="宋体" w:cs="Microsoft Himalaya"/>
        </w:rPr>
      </w:pPr>
      <w:r>
        <w:rPr>
          <w:rFonts w:hint="eastAsia" w:ascii="宋体" w:hAnsi="宋体" w:eastAsia="宋体" w:cs="Microsoft Himalaya"/>
        </w:rPr>
        <w:t>5）</w:t>
      </w:r>
      <w:r>
        <w:rPr>
          <w:rFonts w:ascii="宋体" w:hAnsi="宋体" w:eastAsia="宋体" w:cs="Microsoft Himalaya"/>
        </w:rPr>
        <w:t>各类导管评估单录入与展示及总分自动计算，包括记录：导管类别、意识。</w:t>
      </w:r>
    </w:p>
    <w:p w14:paraId="76445AD7">
      <w:pPr>
        <w:ind w:firstLine="480"/>
        <w:rPr>
          <w:rFonts w:ascii="宋体" w:hAnsi="宋体" w:eastAsia="宋体" w:cs="Microsoft Himalaya"/>
        </w:rPr>
      </w:pPr>
      <w:r>
        <w:rPr>
          <w:rFonts w:hint="eastAsia" w:ascii="宋体" w:hAnsi="宋体" w:eastAsia="宋体" w:cs="Microsoft Himalaya"/>
        </w:rPr>
        <w:t>6）</w:t>
      </w:r>
      <w:r>
        <w:rPr>
          <w:rFonts w:ascii="宋体" w:hAnsi="宋体" w:eastAsia="宋体" w:cs="Microsoft Himalaya"/>
        </w:rPr>
        <w:t>压疮风险评估单录入与展示及总分自动计算，包括记录：感觉、潮湿、活动、营养、摩擦力与剪切力、压疮情况评估、压疮护理措施。</w:t>
      </w:r>
    </w:p>
    <w:p w14:paraId="564E0295">
      <w:pPr>
        <w:ind w:firstLine="480"/>
        <w:rPr>
          <w:rFonts w:ascii="宋体" w:hAnsi="宋体" w:eastAsia="宋体" w:cs="Microsoft Himalaya"/>
        </w:rPr>
      </w:pPr>
      <w:r>
        <w:rPr>
          <w:rFonts w:hint="eastAsia" w:ascii="宋体" w:hAnsi="宋体" w:eastAsia="宋体" w:cs="Microsoft Himalaya"/>
        </w:rPr>
        <w:t>7）</w:t>
      </w:r>
      <w:r>
        <w:rPr>
          <w:rFonts w:ascii="宋体" w:hAnsi="宋体" w:eastAsia="宋体" w:cs="Microsoft Himalaya"/>
        </w:rPr>
        <w:t>自理能力评估单录入与展示及总分自动计算，包括记录：进餐、洗澡、穿衣、大小便控制。</w:t>
      </w:r>
    </w:p>
    <w:p w14:paraId="573E31E5">
      <w:pPr>
        <w:ind w:firstLine="480"/>
        <w:rPr>
          <w:rFonts w:ascii="宋体" w:hAnsi="宋体" w:eastAsia="宋体" w:cs="Microsoft Himalaya"/>
        </w:rPr>
      </w:pPr>
      <w:r>
        <w:rPr>
          <w:rFonts w:hint="eastAsia" w:ascii="宋体" w:hAnsi="宋体" w:eastAsia="宋体" w:cs="Microsoft Himalaya"/>
        </w:rPr>
        <w:t>8）支持</w:t>
      </w:r>
      <w:r>
        <w:rPr>
          <w:rFonts w:ascii="宋体" w:hAnsi="宋体" w:eastAsia="宋体" w:cs="Microsoft Himalaya"/>
        </w:rPr>
        <w:t>疼痛风险评估及疼痛护理记录单录入与展示，包括：疼痛部位标记、面部表情疼痛表、数字评定量表、FLACC图。</w:t>
      </w:r>
    </w:p>
    <w:p w14:paraId="554DA602">
      <w:pPr>
        <w:ind w:firstLine="480"/>
        <w:rPr>
          <w:rFonts w:ascii="宋体" w:hAnsi="宋体" w:eastAsia="宋体" w:cs="Microsoft Himalaya"/>
        </w:rPr>
      </w:pPr>
      <w:r>
        <w:rPr>
          <w:rFonts w:hint="eastAsia" w:ascii="宋体" w:hAnsi="宋体" w:eastAsia="宋体" w:cs="Microsoft Himalaya"/>
        </w:rPr>
        <w:t>9）</w:t>
      </w:r>
      <w:r>
        <w:rPr>
          <w:rFonts w:ascii="宋体" w:hAnsi="宋体" w:eastAsia="宋体" w:cs="Microsoft Himalaya"/>
        </w:rPr>
        <w:t>移动端护理评估，支持在移动端完成各项护理表单的评估。</w:t>
      </w:r>
    </w:p>
    <w:p w14:paraId="13522A04">
      <w:pPr>
        <w:rPr>
          <w:rFonts w:ascii="宋体" w:hAnsi="宋体" w:eastAsia="宋体"/>
        </w:rPr>
      </w:pPr>
      <w:r>
        <w:rPr>
          <w:rFonts w:hint="eastAsia" w:ascii="宋体" w:hAnsi="宋体" w:eastAsia="宋体"/>
        </w:rPr>
        <w:t>（3）</w:t>
      </w:r>
      <w:r>
        <w:rPr>
          <w:rFonts w:ascii="宋体" w:hAnsi="宋体" w:eastAsia="宋体"/>
        </w:rPr>
        <w:t>护理计划</w:t>
      </w:r>
    </w:p>
    <w:p w14:paraId="560384B9">
      <w:pPr>
        <w:ind w:firstLine="480"/>
        <w:rPr>
          <w:rFonts w:ascii="宋体" w:hAnsi="宋体" w:eastAsia="宋体" w:cs="Microsoft Himalaya"/>
        </w:rPr>
      </w:pPr>
      <w:r>
        <w:rPr>
          <w:rFonts w:hint="eastAsia" w:ascii="宋体" w:hAnsi="宋体" w:eastAsia="宋体" w:cs="Microsoft Himalaya"/>
        </w:rPr>
        <w:t>1）</w:t>
      </w:r>
      <w:r>
        <w:rPr>
          <w:rFonts w:ascii="宋体" w:hAnsi="宋体" w:eastAsia="宋体" w:cs="Microsoft Himalaya"/>
        </w:rPr>
        <w:t>护理计划管理，可针对不同病人病情指定不同的护理计划。</w:t>
      </w:r>
    </w:p>
    <w:p w14:paraId="33A57036">
      <w:pPr>
        <w:ind w:firstLine="480"/>
        <w:rPr>
          <w:rFonts w:ascii="宋体" w:hAnsi="宋体" w:eastAsia="宋体" w:cs="Microsoft Himalaya"/>
        </w:rPr>
      </w:pPr>
      <w:r>
        <w:rPr>
          <w:rFonts w:hint="eastAsia" w:ascii="宋体" w:hAnsi="宋体" w:eastAsia="宋体" w:cs="Microsoft Himalaya"/>
        </w:rPr>
        <w:t>2）</w:t>
      </w:r>
      <w:r>
        <w:rPr>
          <w:rFonts w:ascii="宋体" w:hAnsi="宋体" w:eastAsia="宋体" w:cs="Microsoft Himalaya"/>
        </w:rPr>
        <w:t>护理诊断、护理目标、护理措施的知识库维护。</w:t>
      </w:r>
    </w:p>
    <w:p w14:paraId="1E1BF7A5">
      <w:pPr>
        <w:ind w:firstLine="480"/>
        <w:rPr>
          <w:rFonts w:ascii="宋体" w:hAnsi="宋体" w:eastAsia="宋体" w:cs="Microsoft Himalaya"/>
        </w:rPr>
      </w:pPr>
      <w:r>
        <w:rPr>
          <w:rFonts w:hint="eastAsia" w:ascii="宋体" w:hAnsi="宋体" w:eastAsia="宋体" w:cs="Microsoft Himalaya"/>
        </w:rPr>
        <w:t>3）</w:t>
      </w:r>
      <w:r>
        <w:rPr>
          <w:rFonts w:ascii="宋体" w:hAnsi="宋体" w:eastAsia="宋体" w:cs="Microsoft Himalaya"/>
        </w:rPr>
        <w:t>可根据科室、亚专业维护护理计划模板，方便制定护理计划时可直接引用模板。</w:t>
      </w:r>
    </w:p>
    <w:p w14:paraId="2A1AA7EB">
      <w:pPr>
        <w:ind w:firstLine="480"/>
        <w:rPr>
          <w:rFonts w:ascii="宋体" w:hAnsi="宋体" w:eastAsia="宋体" w:cs="Microsoft Himalaya"/>
        </w:rPr>
      </w:pPr>
      <w:r>
        <w:rPr>
          <w:rFonts w:hint="eastAsia" w:ascii="宋体" w:hAnsi="宋体" w:eastAsia="宋体" w:cs="Microsoft Himalaya"/>
        </w:rPr>
        <w:t>4）</w:t>
      </w:r>
      <w:r>
        <w:rPr>
          <w:rFonts w:ascii="宋体" w:hAnsi="宋体" w:eastAsia="宋体" w:cs="Microsoft Himalaya"/>
        </w:rPr>
        <w:t>可追踪护理计划执行的全过程信息。</w:t>
      </w:r>
    </w:p>
    <w:p w14:paraId="6BADAF8A">
      <w:pPr>
        <w:ind w:firstLine="480"/>
        <w:rPr>
          <w:rFonts w:ascii="宋体" w:hAnsi="宋体" w:eastAsia="宋体" w:cs="Microsoft Himalaya"/>
        </w:rPr>
      </w:pPr>
      <w:r>
        <w:rPr>
          <w:rFonts w:hint="eastAsia" w:ascii="宋体" w:hAnsi="宋体" w:eastAsia="宋体" w:cs="Microsoft Himalaya"/>
        </w:rPr>
        <w:t>5）支持</w:t>
      </w:r>
      <w:r>
        <w:rPr>
          <w:rFonts w:ascii="宋体" w:hAnsi="宋体" w:eastAsia="宋体" w:cs="Microsoft Himalaya"/>
        </w:rPr>
        <w:t>评价完成护理的评价，使护理计划形成闭环。</w:t>
      </w:r>
    </w:p>
    <w:p w14:paraId="60BAD5B5">
      <w:pPr>
        <w:ind w:firstLine="480"/>
        <w:rPr>
          <w:rFonts w:ascii="宋体" w:hAnsi="宋体" w:eastAsia="宋体" w:cs="Microsoft Himalaya"/>
        </w:rPr>
      </w:pPr>
      <w:r>
        <w:rPr>
          <w:rFonts w:hint="eastAsia" w:ascii="宋体" w:hAnsi="宋体" w:eastAsia="宋体" w:cs="Microsoft Himalaya"/>
        </w:rPr>
        <w:t>6）支持</w:t>
      </w:r>
      <w:r>
        <w:rPr>
          <w:rFonts w:ascii="宋体" w:hAnsi="宋体" w:eastAsia="宋体" w:cs="Microsoft Himalaya"/>
        </w:rPr>
        <w:t>移动端护理计划查看，支持在移动端对护理计划诊断措施及目标的查看。</w:t>
      </w:r>
    </w:p>
    <w:p w14:paraId="35C54BAC">
      <w:pPr>
        <w:rPr>
          <w:rFonts w:ascii="宋体" w:hAnsi="宋体" w:eastAsia="宋体"/>
        </w:rPr>
      </w:pPr>
      <w:r>
        <w:rPr>
          <w:rFonts w:hint="eastAsia" w:ascii="宋体" w:hAnsi="宋体" w:eastAsia="宋体"/>
        </w:rPr>
        <w:t>（4）</w:t>
      </w:r>
      <w:r>
        <w:rPr>
          <w:rFonts w:ascii="宋体" w:hAnsi="宋体" w:eastAsia="宋体"/>
        </w:rPr>
        <w:t>其他护理工作</w:t>
      </w:r>
    </w:p>
    <w:p w14:paraId="0D877F2D">
      <w:pPr>
        <w:ind w:firstLine="480"/>
        <w:rPr>
          <w:rFonts w:ascii="宋体" w:hAnsi="宋体" w:eastAsia="宋体" w:cs="Microsoft Himalaya"/>
        </w:rPr>
      </w:pPr>
      <w:r>
        <w:rPr>
          <w:rFonts w:hint="eastAsia" w:ascii="宋体" w:hAnsi="宋体" w:eastAsia="宋体" w:cs="Microsoft Himalaya"/>
        </w:rPr>
        <w:t>1）</w:t>
      </w:r>
      <w:r>
        <w:rPr>
          <w:rFonts w:ascii="宋体" w:hAnsi="宋体" w:eastAsia="宋体" w:cs="Microsoft Himalaya"/>
        </w:rPr>
        <w:t>血糖监测护理单录入与展示，包括：患者晨时、早餐前、午餐后、晚餐前区间段糖尿病监测记录，以及对随机血糖监测结果、用药情况变化、意外情况进行记录。</w:t>
      </w:r>
    </w:p>
    <w:p w14:paraId="5122F67E">
      <w:pPr>
        <w:ind w:firstLine="480"/>
        <w:rPr>
          <w:rFonts w:ascii="宋体" w:hAnsi="宋体" w:eastAsia="宋体" w:cs="Microsoft Himalaya"/>
        </w:rPr>
      </w:pPr>
      <w:r>
        <w:rPr>
          <w:rFonts w:hint="eastAsia" w:ascii="宋体" w:hAnsi="宋体" w:eastAsia="宋体" w:cs="Microsoft Himalaya"/>
        </w:rPr>
        <w:t>2）</w:t>
      </w:r>
      <w:r>
        <w:rPr>
          <w:rFonts w:ascii="宋体" w:hAnsi="宋体" w:eastAsia="宋体" w:cs="Microsoft Himalaya"/>
        </w:rPr>
        <w:t>体温单的录入及数据展示，同时在护士电脑端实时生成体温单。</w:t>
      </w:r>
    </w:p>
    <w:p w14:paraId="5A007F5C">
      <w:pPr>
        <w:pStyle w:val="6"/>
      </w:pPr>
      <w:r>
        <w:rPr>
          <w:rFonts w:hint="eastAsia"/>
        </w:rPr>
        <w:t>临床路径管理系统</w:t>
      </w:r>
    </w:p>
    <w:p w14:paraId="36C476F8">
      <w:pPr>
        <w:rPr>
          <w:rFonts w:ascii="宋体" w:hAnsi="宋体" w:eastAsia="宋体"/>
        </w:rPr>
      </w:pPr>
      <w:r>
        <w:rPr>
          <w:rFonts w:hint="eastAsia" w:ascii="宋体" w:hAnsi="宋体" w:eastAsia="宋体"/>
        </w:rPr>
        <w:t>（1）临床路径配置</w:t>
      </w:r>
    </w:p>
    <w:p w14:paraId="4C660F1D">
      <w:pPr>
        <w:ind w:firstLine="480"/>
        <w:rPr>
          <w:rFonts w:ascii="宋体" w:hAnsi="宋体" w:eastAsia="宋体" w:cs="Microsoft Himalaya"/>
        </w:rPr>
      </w:pPr>
      <w:r>
        <w:rPr>
          <w:rFonts w:hint="eastAsia" w:ascii="宋体" w:hAnsi="宋体" w:eastAsia="宋体" w:cs="Microsoft Himalaya"/>
        </w:rPr>
        <w:t>1）临床路径专业维护。</w:t>
      </w:r>
    </w:p>
    <w:p w14:paraId="0AA9AB88">
      <w:pPr>
        <w:ind w:firstLine="480"/>
        <w:rPr>
          <w:rFonts w:ascii="宋体" w:hAnsi="宋体" w:eastAsia="宋体" w:cs="Microsoft Himalaya"/>
        </w:rPr>
      </w:pPr>
      <w:r>
        <w:rPr>
          <w:rFonts w:hint="eastAsia" w:ascii="宋体" w:hAnsi="宋体" w:eastAsia="宋体" w:cs="Microsoft Himalaya"/>
        </w:rPr>
        <w:t>2）临床路径授权科室维护，完成授权后，各科室才能使用相应的临床路径。</w:t>
      </w:r>
    </w:p>
    <w:p w14:paraId="7C331284">
      <w:pPr>
        <w:ind w:firstLine="480"/>
        <w:rPr>
          <w:rFonts w:ascii="宋体" w:hAnsi="宋体" w:eastAsia="宋体" w:cs="Microsoft Himalaya"/>
        </w:rPr>
      </w:pPr>
      <w:r>
        <w:rPr>
          <w:rFonts w:hint="eastAsia" w:ascii="宋体" w:hAnsi="宋体" w:eastAsia="宋体" w:cs="Microsoft Himalaya"/>
        </w:rPr>
        <w:t>3）临床路径不入径原因维护。</w:t>
      </w:r>
    </w:p>
    <w:p w14:paraId="1D56EC52">
      <w:pPr>
        <w:ind w:firstLine="480"/>
        <w:rPr>
          <w:rFonts w:ascii="宋体" w:hAnsi="宋体" w:eastAsia="宋体" w:cs="Microsoft Himalaya"/>
        </w:rPr>
      </w:pPr>
      <w:r>
        <w:rPr>
          <w:rFonts w:hint="eastAsia" w:ascii="宋体" w:hAnsi="宋体" w:eastAsia="宋体" w:cs="Microsoft Himalaya"/>
        </w:rPr>
        <w:t>4）临床路径公共变异及原因维护，用于记录路径发生变化时的变异记录。</w:t>
      </w:r>
    </w:p>
    <w:p w14:paraId="5E638F55">
      <w:pPr>
        <w:ind w:firstLine="480"/>
        <w:rPr>
          <w:rFonts w:ascii="宋体" w:hAnsi="宋体" w:eastAsia="宋体" w:cs="Microsoft Himalaya"/>
        </w:rPr>
      </w:pPr>
      <w:r>
        <w:rPr>
          <w:rFonts w:hint="eastAsia" w:ascii="宋体" w:hAnsi="宋体" w:eastAsia="宋体" w:cs="Microsoft Himalaya"/>
        </w:rPr>
        <w:t>5）临床路径纳入条件维护，符合纳入条件的病人，系统提示允许加入临床路径。</w:t>
      </w:r>
    </w:p>
    <w:p w14:paraId="76AF3965">
      <w:pPr>
        <w:ind w:firstLine="480"/>
        <w:rPr>
          <w:rFonts w:ascii="宋体" w:hAnsi="宋体" w:eastAsia="宋体" w:cs="Microsoft Himalaya"/>
        </w:rPr>
      </w:pPr>
      <w:r>
        <w:rPr>
          <w:rFonts w:hint="eastAsia" w:ascii="宋体" w:hAnsi="宋体" w:eastAsia="宋体" w:cs="Microsoft Himalaya"/>
        </w:rPr>
        <w:t>6）临床路径排除条件维护，符合排除条件的病人，系统提示不能进入临床路径。</w:t>
      </w:r>
    </w:p>
    <w:p w14:paraId="20927322">
      <w:pPr>
        <w:ind w:firstLine="480"/>
        <w:rPr>
          <w:rFonts w:ascii="宋体" w:hAnsi="宋体" w:eastAsia="宋体" w:cs="Microsoft Himalaya"/>
        </w:rPr>
      </w:pPr>
      <w:r>
        <w:rPr>
          <w:rFonts w:hint="eastAsia" w:ascii="宋体" w:hAnsi="宋体" w:eastAsia="宋体" w:cs="Microsoft Himalaya"/>
        </w:rPr>
        <w:t>7）临床路径的基础信息维护，包括诊疗指南、入径评估、出径标准、变异原因、诊疗单元、治疗方案等。</w:t>
      </w:r>
    </w:p>
    <w:p w14:paraId="247F8913">
      <w:pPr>
        <w:ind w:firstLine="480"/>
        <w:rPr>
          <w:rFonts w:ascii="宋体" w:hAnsi="宋体" w:eastAsia="宋体" w:cs="Microsoft Himalaya"/>
        </w:rPr>
      </w:pPr>
      <w:r>
        <w:rPr>
          <w:rFonts w:hint="eastAsia" w:ascii="宋体" w:hAnsi="宋体" w:eastAsia="宋体" w:cs="Microsoft Himalaya"/>
        </w:rPr>
        <w:t>8）临床路径模版维护，按照每天的检查、治疗内容定义路径中的内容。</w:t>
      </w:r>
    </w:p>
    <w:p w14:paraId="5EA231D2">
      <w:pPr>
        <w:ind w:firstLine="480"/>
        <w:rPr>
          <w:rFonts w:ascii="宋体" w:hAnsi="宋体" w:eastAsia="宋体" w:cs="Microsoft Himalaya"/>
        </w:rPr>
      </w:pPr>
      <w:r>
        <w:rPr>
          <w:rFonts w:hint="eastAsia" w:ascii="宋体" w:hAnsi="宋体" w:eastAsia="宋体" w:cs="Microsoft Himalaya"/>
        </w:rPr>
        <w:t>9）对临床路径进行审核、发布的流程管理。</w:t>
      </w:r>
    </w:p>
    <w:p w14:paraId="4F8F4362">
      <w:pPr>
        <w:ind w:firstLine="480"/>
        <w:rPr>
          <w:rFonts w:ascii="宋体" w:hAnsi="宋体" w:eastAsia="宋体" w:cs="Microsoft Himalaya"/>
        </w:rPr>
      </w:pPr>
      <w:r>
        <w:rPr>
          <w:rFonts w:hint="eastAsia" w:ascii="宋体" w:hAnsi="宋体" w:eastAsia="宋体" w:cs="Microsoft Himalaya"/>
        </w:rPr>
        <w:t>10）不入径记录管理，即该病人选择不入径后，不会反复提醒是否入径。</w:t>
      </w:r>
    </w:p>
    <w:p w14:paraId="31F4604A">
      <w:pPr>
        <w:rPr>
          <w:rFonts w:ascii="宋体" w:hAnsi="宋体" w:eastAsia="宋体"/>
        </w:rPr>
      </w:pPr>
      <w:r>
        <w:rPr>
          <w:rFonts w:hint="eastAsia" w:ascii="宋体" w:hAnsi="宋体" w:eastAsia="宋体"/>
        </w:rPr>
        <w:t>（2）</w:t>
      </w:r>
      <w:r>
        <w:rPr>
          <w:rFonts w:ascii="宋体" w:hAnsi="宋体" w:eastAsia="宋体"/>
        </w:rPr>
        <w:t>入出路径管理</w:t>
      </w:r>
    </w:p>
    <w:p w14:paraId="26B905F7">
      <w:pPr>
        <w:ind w:firstLine="480"/>
        <w:rPr>
          <w:rFonts w:ascii="宋体" w:hAnsi="宋体" w:eastAsia="宋体" w:cs="Microsoft Himalaya"/>
        </w:rPr>
      </w:pPr>
      <w:r>
        <w:rPr>
          <w:rFonts w:ascii="宋体" w:hAnsi="宋体" w:eastAsia="宋体"/>
        </w:rPr>
        <w:t>1）路径准入</w:t>
      </w:r>
      <w:r>
        <w:rPr>
          <w:rFonts w:hint="eastAsia" w:ascii="宋体" w:hAnsi="宋体" w:eastAsia="宋体"/>
        </w:rPr>
        <w:t>：</w:t>
      </w:r>
      <w:r>
        <w:rPr>
          <w:rFonts w:ascii="宋体" w:hAnsi="宋体" w:eastAsia="宋体" w:cs="Microsoft Himalaya"/>
        </w:rPr>
        <w:t>集成到住院医生工作站，实现对住院患者的管理</w:t>
      </w:r>
      <w:r>
        <w:rPr>
          <w:rFonts w:hint="eastAsia" w:ascii="宋体" w:hAnsi="宋体" w:eastAsia="宋体" w:cs="Microsoft Himalaya"/>
        </w:rPr>
        <w:t>；</w:t>
      </w:r>
    </w:p>
    <w:p w14:paraId="23E929ED">
      <w:pPr>
        <w:ind w:firstLine="480"/>
        <w:rPr>
          <w:rFonts w:ascii="宋体" w:hAnsi="宋体" w:eastAsia="宋体"/>
        </w:rPr>
      </w:pPr>
      <w:r>
        <w:rPr>
          <w:rFonts w:ascii="宋体" w:hAnsi="宋体" w:eastAsia="宋体" w:cs="Microsoft Himalaya"/>
        </w:rPr>
        <w:t>自动对患者是否进入路径进行判断，确认入径需要医生患者确认。</w:t>
      </w:r>
    </w:p>
    <w:p w14:paraId="110741C9">
      <w:pPr>
        <w:ind w:firstLine="480"/>
        <w:rPr>
          <w:rFonts w:ascii="宋体" w:hAnsi="宋体" w:eastAsia="宋体" w:cs="Microsoft Himalaya"/>
        </w:rPr>
      </w:pPr>
      <w:r>
        <w:rPr>
          <w:rFonts w:ascii="宋体" w:hAnsi="宋体" w:eastAsia="宋体" w:cs="Microsoft Himalaya"/>
        </w:rPr>
        <w:t>支持临床路径入径知情同意书打印，帮助患者及家属了解医护详细过程与时间安排。</w:t>
      </w:r>
    </w:p>
    <w:p w14:paraId="004E6EAE">
      <w:pPr>
        <w:ind w:firstLine="480"/>
        <w:rPr>
          <w:rFonts w:ascii="宋体" w:hAnsi="宋体" w:eastAsia="宋体" w:cs="Microsoft Himalaya"/>
        </w:rPr>
      </w:pPr>
      <w:r>
        <w:rPr>
          <w:rFonts w:ascii="宋体" w:hAnsi="宋体" w:eastAsia="宋体" w:cs="Microsoft Himalaya"/>
        </w:rPr>
        <w:t>支持对每种进入路径的病种定义步骤与临床套嘱，包括药物、检查、化验、治疗以及护理等医嘱。</w:t>
      </w:r>
    </w:p>
    <w:p w14:paraId="66FC98A1">
      <w:pPr>
        <w:ind w:firstLine="480"/>
        <w:rPr>
          <w:rFonts w:ascii="宋体" w:hAnsi="宋体" w:eastAsia="宋体"/>
        </w:rPr>
      </w:pPr>
      <w:r>
        <w:rPr>
          <w:rFonts w:ascii="宋体" w:hAnsi="宋体" w:eastAsia="宋体"/>
        </w:rPr>
        <w:t>2）路径完成及退出</w:t>
      </w:r>
      <w:r>
        <w:rPr>
          <w:rFonts w:hint="eastAsia" w:ascii="宋体" w:hAnsi="宋体" w:eastAsia="宋体"/>
        </w:rPr>
        <w:t>：</w:t>
      </w:r>
      <w:r>
        <w:rPr>
          <w:rFonts w:ascii="宋体" w:hAnsi="宋体" w:eastAsia="宋体"/>
        </w:rPr>
        <w:t>临床路径中途退出路径与路径完成两种退出方式</w:t>
      </w:r>
      <w:r>
        <w:rPr>
          <w:rFonts w:hint="eastAsia" w:ascii="宋体" w:hAnsi="宋体" w:eastAsia="宋体"/>
        </w:rPr>
        <w:t>；</w:t>
      </w:r>
      <w:r>
        <w:rPr>
          <w:rFonts w:ascii="宋体" w:hAnsi="宋体" w:eastAsia="宋体"/>
        </w:rPr>
        <w:t>中途退出路径时填写退出路径原因。</w:t>
      </w:r>
    </w:p>
    <w:p w14:paraId="5725087D">
      <w:pPr>
        <w:rPr>
          <w:rFonts w:ascii="宋体" w:hAnsi="宋体" w:eastAsia="宋体"/>
        </w:rPr>
      </w:pPr>
      <w:r>
        <w:rPr>
          <w:rFonts w:hint="eastAsia" w:ascii="宋体" w:hAnsi="宋体" w:eastAsia="宋体"/>
        </w:rPr>
        <w:t>（3）</w:t>
      </w:r>
      <w:r>
        <w:rPr>
          <w:rFonts w:ascii="宋体" w:hAnsi="宋体" w:eastAsia="宋体"/>
        </w:rPr>
        <w:t>路径执行与变异</w:t>
      </w:r>
    </w:p>
    <w:p w14:paraId="01C6699D">
      <w:pPr>
        <w:ind w:firstLine="480"/>
        <w:rPr>
          <w:rFonts w:ascii="宋体" w:hAnsi="宋体" w:eastAsia="宋体"/>
        </w:rPr>
      </w:pPr>
      <w:r>
        <w:rPr>
          <w:rFonts w:hint="eastAsia" w:ascii="宋体" w:hAnsi="宋体" w:eastAsia="宋体"/>
        </w:rPr>
        <w:t>1</w:t>
      </w:r>
      <w:r>
        <w:rPr>
          <w:rFonts w:ascii="宋体" w:hAnsi="宋体" w:eastAsia="宋体"/>
        </w:rPr>
        <w:t>）医护人员可以按照每个治疗单元、治疗方案集开立医嘱，为患者治疗。</w:t>
      </w:r>
    </w:p>
    <w:p w14:paraId="058DD365">
      <w:pPr>
        <w:ind w:firstLine="480"/>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支持</w:t>
      </w:r>
      <w:r>
        <w:rPr>
          <w:rFonts w:ascii="宋体" w:hAnsi="宋体" w:eastAsia="宋体"/>
        </w:rPr>
        <w:t>醒目区分必须执行和可选项路径项目或药品，通过勾选框可以实现将必选项医嘱全部下达。</w:t>
      </w:r>
    </w:p>
    <w:p w14:paraId="62C81426">
      <w:pPr>
        <w:ind w:firstLine="480"/>
        <w:rPr>
          <w:rFonts w:ascii="宋体" w:hAnsi="宋体" w:eastAsia="宋体"/>
        </w:rPr>
      </w:pPr>
      <w:r>
        <w:rPr>
          <w:rFonts w:hint="eastAsia" w:ascii="宋体" w:hAnsi="宋体" w:eastAsia="宋体"/>
        </w:rPr>
        <w:t>3</w:t>
      </w:r>
      <w:r>
        <w:rPr>
          <w:rFonts w:ascii="宋体" w:hAnsi="宋体" w:eastAsia="宋体"/>
        </w:rPr>
        <w:t>）路径方案中项目或药品，下达时剂量、剂量单位、用法、频次有修改，可以控制是否变异处理。</w:t>
      </w:r>
    </w:p>
    <w:p w14:paraId="6FD805F5">
      <w:pPr>
        <w:ind w:firstLine="480"/>
        <w:rPr>
          <w:rFonts w:ascii="宋体" w:hAnsi="宋体" w:eastAsia="宋体"/>
        </w:rPr>
      </w:pPr>
      <w:r>
        <w:rPr>
          <w:rFonts w:hint="eastAsia" w:ascii="宋体" w:hAnsi="宋体" w:eastAsia="宋体"/>
        </w:rPr>
        <w:t>4</w:t>
      </w:r>
      <w:r>
        <w:rPr>
          <w:rFonts w:ascii="宋体" w:hAnsi="宋体" w:eastAsia="宋体"/>
        </w:rPr>
        <w:t>）支持旁路申请，可开具旁路的检查申请、检验申请、手术申请、会诊申请等。</w:t>
      </w:r>
    </w:p>
    <w:p w14:paraId="305F9312">
      <w:pPr>
        <w:ind w:firstLine="480"/>
        <w:rPr>
          <w:rFonts w:ascii="宋体" w:hAnsi="宋体" w:eastAsia="宋体"/>
        </w:rPr>
      </w:pPr>
      <w:r>
        <w:rPr>
          <w:rFonts w:hint="eastAsia" w:ascii="宋体" w:hAnsi="宋体" w:eastAsia="宋体"/>
        </w:rPr>
        <w:t>5</w:t>
      </w:r>
      <w:r>
        <w:rPr>
          <w:rFonts w:ascii="宋体" w:hAnsi="宋体" w:eastAsia="宋体"/>
        </w:rPr>
        <w:t>）旁路医嘱，可开具旁路医嘱。</w:t>
      </w:r>
    </w:p>
    <w:p w14:paraId="2E1CB70B">
      <w:pPr>
        <w:ind w:firstLine="480"/>
        <w:rPr>
          <w:rFonts w:ascii="宋体" w:hAnsi="宋体" w:eastAsia="宋体"/>
        </w:rPr>
      </w:pPr>
      <w:r>
        <w:rPr>
          <w:rFonts w:hint="eastAsia" w:ascii="宋体" w:hAnsi="宋体" w:eastAsia="宋体"/>
        </w:rPr>
        <w:t>6</w:t>
      </w:r>
      <w:r>
        <w:rPr>
          <w:rFonts w:ascii="宋体" w:hAnsi="宋体" w:eastAsia="宋体"/>
        </w:rPr>
        <w:t>）支持路径并联</w:t>
      </w:r>
      <w:r>
        <w:rPr>
          <w:rFonts w:hint="eastAsia" w:ascii="宋体" w:hAnsi="宋体" w:eastAsia="宋体"/>
        </w:rPr>
        <w:t>、</w:t>
      </w:r>
      <w:r>
        <w:rPr>
          <w:rFonts w:ascii="宋体" w:hAnsi="宋体" w:eastAsia="宋体"/>
        </w:rPr>
        <w:t>路径串联。</w:t>
      </w:r>
    </w:p>
    <w:p w14:paraId="2C5C04E6">
      <w:pPr>
        <w:ind w:firstLine="480"/>
        <w:rPr>
          <w:rFonts w:ascii="宋体" w:hAnsi="宋体" w:eastAsia="宋体"/>
        </w:rPr>
      </w:pPr>
      <w:r>
        <w:rPr>
          <w:rFonts w:hint="eastAsia" w:ascii="宋体" w:hAnsi="宋体" w:eastAsia="宋体"/>
        </w:rPr>
        <w:t>7</w:t>
      </w:r>
      <w:r>
        <w:rPr>
          <w:rFonts w:ascii="宋体" w:hAnsi="宋体" w:eastAsia="宋体"/>
        </w:rPr>
        <w:t>）自动根据患者实施情况，生成路径表单。</w:t>
      </w:r>
    </w:p>
    <w:p w14:paraId="100776F0">
      <w:pPr>
        <w:rPr>
          <w:rFonts w:ascii="宋体" w:hAnsi="宋体" w:eastAsia="宋体"/>
        </w:rPr>
      </w:pPr>
      <w:r>
        <w:rPr>
          <w:rFonts w:hint="eastAsia" w:ascii="宋体" w:hAnsi="宋体" w:eastAsia="宋体"/>
        </w:rPr>
        <w:t>（4）</w:t>
      </w:r>
      <w:r>
        <w:rPr>
          <w:rFonts w:ascii="宋体" w:hAnsi="宋体" w:eastAsia="宋体"/>
        </w:rPr>
        <w:t>统计分析</w:t>
      </w:r>
    </w:p>
    <w:p w14:paraId="7902D44E">
      <w:pPr>
        <w:ind w:firstLine="480"/>
        <w:rPr>
          <w:rFonts w:ascii="宋体" w:hAnsi="宋体" w:eastAsia="宋体"/>
        </w:rPr>
      </w:pPr>
      <w:r>
        <w:rPr>
          <w:rFonts w:hint="eastAsia" w:ascii="宋体" w:hAnsi="宋体" w:eastAsia="宋体"/>
        </w:rPr>
        <w:t>1）支持</w:t>
      </w:r>
      <w:r>
        <w:rPr>
          <w:rFonts w:ascii="宋体" w:hAnsi="宋体" w:eastAsia="宋体"/>
        </w:rPr>
        <w:t>费用及住院天数统计、评估情况统计、完成率统计、路径变异统计、旁路医嘱数量占比统计。</w:t>
      </w:r>
    </w:p>
    <w:p w14:paraId="237890BA">
      <w:pPr>
        <w:ind w:firstLine="480"/>
        <w:rPr>
          <w:rFonts w:ascii="宋体" w:hAnsi="宋体" w:eastAsia="宋体"/>
        </w:rPr>
      </w:pPr>
      <w:r>
        <w:rPr>
          <w:rFonts w:hint="eastAsia" w:ascii="宋体" w:hAnsi="宋体" w:eastAsia="宋体"/>
        </w:rPr>
        <w:t>2）支持</w:t>
      </w:r>
      <w:r>
        <w:rPr>
          <w:rFonts w:ascii="宋体" w:hAnsi="宋体" w:eastAsia="宋体"/>
        </w:rPr>
        <w:t>国家规定的相关指标统计、路径执行情况统计、治愈率统计。</w:t>
      </w:r>
    </w:p>
    <w:p w14:paraId="53E8A5C9">
      <w:pPr>
        <w:pStyle w:val="6"/>
      </w:pPr>
      <w:r>
        <w:rPr>
          <w:rFonts w:hint="eastAsia"/>
        </w:rPr>
        <w:t>合理用血管理系统</w:t>
      </w:r>
    </w:p>
    <w:p w14:paraId="339FE47A">
      <w:pPr>
        <w:rPr>
          <w:rFonts w:ascii="宋体" w:hAnsi="宋体" w:eastAsia="宋体"/>
        </w:rPr>
      </w:pPr>
      <w:r>
        <w:rPr>
          <w:rFonts w:hint="eastAsia" w:ascii="宋体" w:hAnsi="宋体" w:eastAsia="宋体"/>
        </w:rPr>
        <w:t>（1）库存管理</w:t>
      </w:r>
    </w:p>
    <w:p w14:paraId="5DCD0AC3">
      <w:pPr>
        <w:ind w:firstLine="480"/>
        <w:rPr>
          <w:rFonts w:ascii="宋体" w:hAnsi="宋体" w:eastAsia="宋体"/>
        </w:rPr>
      </w:pPr>
      <w:r>
        <w:rPr>
          <w:rFonts w:hint="eastAsia" w:ascii="宋体" w:hAnsi="宋体" w:eastAsia="宋体"/>
        </w:rPr>
        <w:t>1）血液入库：录入血液制品相关信息进行入库，包括：储血号、品名(如：全血、成分血、血型、来源、采血日期、采血单位、献血者、包装、数量等；支持手工入库和条码入库两种方式；血液复检，复检确认后才正式入库。可支持有效期报警，并有库存量提示。</w:t>
      </w:r>
    </w:p>
    <w:p w14:paraId="5EBB9CB6">
      <w:pPr>
        <w:ind w:firstLine="480"/>
        <w:rPr>
          <w:rFonts w:ascii="宋体" w:hAnsi="宋体" w:eastAsia="宋体"/>
        </w:rPr>
      </w:pPr>
      <w:r>
        <w:rPr>
          <w:rFonts w:hint="eastAsia" w:ascii="宋体" w:hAnsi="宋体" w:eastAsia="宋体"/>
        </w:rPr>
        <w:t>2）血液查询：支持按多种条件进行血液的查询，包括入库时间、入库单号、血袋号、血型等；查看血液的详情及用血全流程信息；查看血制品总体库存情况。</w:t>
      </w:r>
    </w:p>
    <w:p w14:paraId="66F764B0">
      <w:pPr>
        <w:ind w:firstLine="480"/>
        <w:rPr>
          <w:rFonts w:ascii="宋体" w:hAnsi="宋体" w:eastAsia="宋体"/>
        </w:rPr>
      </w:pPr>
      <w:r>
        <w:rPr>
          <w:rFonts w:hint="eastAsia" w:ascii="宋体" w:hAnsi="宋体" w:eastAsia="宋体"/>
        </w:rPr>
        <w:t>3）血液报废：对需要报废的血液进行登记；报废原因及报废去向的记录；打印血液报废单；按报废单号和报废时间查询历史报废信息，并可查看具体报废详情。</w:t>
      </w:r>
    </w:p>
    <w:p w14:paraId="79B8FA43">
      <w:pPr>
        <w:ind w:firstLine="480"/>
        <w:rPr>
          <w:rFonts w:ascii="宋体" w:hAnsi="宋体" w:eastAsia="宋体"/>
        </w:rPr>
      </w:pPr>
      <w:r>
        <w:rPr>
          <w:rFonts w:hint="eastAsia" w:ascii="宋体" w:hAnsi="宋体" w:eastAsia="宋体"/>
        </w:rPr>
        <w:t>4）退回血站：对退回血站的血液进行退回登记，记录退回原因；支持按退回单号和退回时间查询历史退回信息。</w:t>
      </w:r>
    </w:p>
    <w:p w14:paraId="147EC4C9">
      <w:pPr>
        <w:ind w:firstLine="480"/>
        <w:rPr>
          <w:rFonts w:ascii="宋体" w:hAnsi="宋体" w:eastAsia="宋体"/>
        </w:rPr>
      </w:pPr>
      <w:r>
        <w:rPr>
          <w:rFonts w:hint="eastAsia" w:ascii="宋体" w:hAnsi="宋体" w:eastAsia="宋体"/>
        </w:rPr>
        <w:t>5）智能补库：可选择一个计算时间进行补库计算，根据选择时间段的输血人数、用量、系数等结合当前库存进行需补库存的智能计算。</w:t>
      </w:r>
    </w:p>
    <w:p w14:paraId="43F01BEB">
      <w:pPr>
        <w:rPr>
          <w:rFonts w:ascii="宋体" w:hAnsi="宋体" w:eastAsia="宋体"/>
        </w:rPr>
      </w:pPr>
      <w:r>
        <w:rPr>
          <w:rFonts w:hint="eastAsia" w:ascii="宋体" w:hAnsi="宋体" w:eastAsia="宋体"/>
        </w:rPr>
        <w:t>（2）</w:t>
      </w:r>
      <w:r>
        <w:rPr>
          <w:rFonts w:ascii="宋体" w:hAnsi="宋体" w:eastAsia="宋体"/>
        </w:rPr>
        <w:t>用血管理</w:t>
      </w:r>
    </w:p>
    <w:p w14:paraId="3D84755B">
      <w:pPr>
        <w:ind w:firstLine="480"/>
        <w:rPr>
          <w:rFonts w:ascii="宋体" w:hAnsi="宋体" w:eastAsia="宋体"/>
        </w:rPr>
      </w:pPr>
      <w:r>
        <w:rPr>
          <w:rFonts w:ascii="宋体" w:hAnsi="宋体" w:eastAsia="宋体"/>
        </w:rPr>
        <w:t>1）用血审批</w:t>
      </w:r>
      <w:r>
        <w:rPr>
          <w:rFonts w:hint="eastAsia" w:ascii="宋体" w:hAnsi="宋体" w:eastAsia="宋体"/>
        </w:rPr>
        <w:t>：</w:t>
      </w:r>
      <w:r>
        <w:rPr>
          <w:rFonts w:ascii="宋体" w:hAnsi="宋体" w:eastAsia="宋体"/>
        </w:rPr>
        <w:t>支持科主任和医务科对申请量大于规定量的申请单进行申请单审核。</w:t>
      </w:r>
    </w:p>
    <w:p w14:paraId="28C75175">
      <w:pPr>
        <w:ind w:firstLine="480"/>
        <w:rPr>
          <w:rFonts w:ascii="宋体" w:hAnsi="宋体" w:eastAsia="宋体"/>
        </w:rPr>
      </w:pPr>
      <w:r>
        <w:rPr>
          <w:rFonts w:ascii="宋体" w:hAnsi="宋体" w:eastAsia="宋体"/>
        </w:rPr>
        <w:t>2）接收申请</w:t>
      </w:r>
      <w:r>
        <w:rPr>
          <w:rFonts w:hint="eastAsia" w:ascii="宋体" w:hAnsi="宋体" w:eastAsia="宋体"/>
        </w:rPr>
        <w:t>：</w:t>
      </w:r>
      <w:r>
        <w:rPr>
          <w:rFonts w:ascii="宋体" w:hAnsi="宋体" w:eastAsia="宋体"/>
        </w:rPr>
        <w:t>自动获得临床输血申请单，进行接收、拒收管理</w:t>
      </w:r>
      <w:r>
        <w:rPr>
          <w:rFonts w:hint="eastAsia" w:ascii="宋体" w:hAnsi="宋体" w:eastAsia="宋体"/>
        </w:rPr>
        <w:t>；</w:t>
      </w:r>
      <w:r>
        <w:rPr>
          <w:rFonts w:ascii="宋体" w:hAnsi="宋体" w:eastAsia="宋体"/>
        </w:rPr>
        <w:t>支持查看申请单详情及检验结果信息</w:t>
      </w:r>
      <w:r>
        <w:rPr>
          <w:rFonts w:hint="eastAsia" w:ascii="宋体" w:hAnsi="宋体" w:eastAsia="宋体"/>
        </w:rPr>
        <w:t>；</w:t>
      </w:r>
      <w:r>
        <w:rPr>
          <w:rFonts w:ascii="宋体" w:hAnsi="宋体" w:eastAsia="宋体"/>
        </w:rPr>
        <w:t>对接患者360视图查看患者全景信息。</w:t>
      </w:r>
    </w:p>
    <w:p w14:paraId="6308F158">
      <w:pPr>
        <w:ind w:firstLine="480"/>
        <w:rPr>
          <w:rFonts w:ascii="宋体" w:hAnsi="宋体" w:eastAsia="宋体"/>
        </w:rPr>
      </w:pPr>
      <w:r>
        <w:rPr>
          <w:rFonts w:ascii="宋体" w:hAnsi="宋体" w:eastAsia="宋体"/>
        </w:rPr>
        <w:t>3）血型复检</w:t>
      </w:r>
      <w:r>
        <w:rPr>
          <w:rFonts w:hint="eastAsia" w:ascii="宋体" w:hAnsi="宋体" w:eastAsia="宋体"/>
        </w:rPr>
        <w:t>：</w:t>
      </w:r>
      <w:r>
        <w:rPr>
          <w:rFonts w:ascii="宋体" w:hAnsi="宋体" w:eastAsia="宋体"/>
        </w:rPr>
        <w:t>对已接收的申请单进行血型复检</w:t>
      </w:r>
      <w:r>
        <w:rPr>
          <w:rFonts w:hint="eastAsia" w:ascii="宋体" w:hAnsi="宋体" w:eastAsia="宋体"/>
        </w:rPr>
        <w:t>，</w:t>
      </w:r>
      <w:r>
        <w:rPr>
          <w:rFonts w:ascii="宋体" w:hAnsi="宋体" w:eastAsia="宋体"/>
        </w:rPr>
        <w:t>自动进行复检费用的记录。</w:t>
      </w:r>
    </w:p>
    <w:p w14:paraId="19A916C0">
      <w:pPr>
        <w:ind w:firstLine="480"/>
        <w:rPr>
          <w:rFonts w:ascii="宋体" w:hAnsi="宋体" w:eastAsia="宋体"/>
        </w:rPr>
      </w:pPr>
      <w:r>
        <w:rPr>
          <w:rFonts w:ascii="宋体" w:hAnsi="宋体" w:eastAsia="宋体"/>
        </w:rPr>
        <w:t>4）备血管理</w:t>
      </w:r>
      <w:r>
        <w:rPr>
          <w:rFonts w:hint="eastAsia" w:ascii="宋体" w:hAnsi="宋体" w:eastAsia="宋体"/>
        </w:rPr>
        <w:t>：</w:t>
      </w:r>
      <w:r>
        <w:rPr>
          <w:rFonts w:ascii="宋体" w:hAnsi="宋体" w:eastAsia="宋体"/>
        </w:rPr>
        <w:t>对已接收和复检通过的申请单进行备血管理</w:t>
      </w:r>
      <w:r>
        <w:rPr>
          <w:rFonts w:hint="eastAsia" w:ascii="宋体" w:hAnsi="宋体" w:eastAsia="宋体"/>
        </w:rPr>
        <w:t>；</w:t>
      </w:r>
      <w:r>
        <w:rPr>
          <w:rFonts w:ascii="宋体" w:hAnsi="宋体" w:eastAsia="宋体"/>
        </w:rPr>
        <w:t>记录备血人及备血时间</w:t>
      </w:r>
      <w:r>
        <w:rPr>
          <w:rFonts w:hint="eastAsia" w:ascii="宋体" w:hAnsi="宋体" w:eastAsia="宋体"/>
        </w:rPr>
        <w:t>；</w:t>
      </w:r>
      <w:r>
        <w:rPr>
          <w:rFonts w:ascii="宋体" w:hAnsi="宋体" w:eastAsia="宋体"/>
        </w:rPr>
        <w:t>扫描血袋进行快速备血</w:t>
      </w:r>
      <w:r>
        <w:rPr>
          <w:rFonts w:hint="eastAsia" w:ascii="宋体" w:hAnsi="宋体" w:eastAsia="宋体"/>
        </w:rPr>
        <w:t>；</w:t>
      </w:r>
      <w:r>
        <w:rPr>
          <w:rFonts w:ascii="宋体" w:hAnsi="宋体" w:eastAsia="宋体"/>
        </w:rPr>
        <w:t>替代品种的选择和记录</w:t>
      </w:r>
      <w:r>
        <w:rPr>
          <w:rFonts w:hint="eastAsia" w:ascii="宋体" w:hAnsi="宋体" w:eastAsia="宋体"/>
        </w:rPr>
        <w:t>；</w:t>
      </w:r>
      <w:r>
        <w:rPr>
          <w:rFonts w:ascii="宋体" w:hAnsi="宋体" w:eastAsia="宋体"/>
        </w:rPr>
        <w:t>备血单查询。</w:t>
      </w:r>
    </w:p>
    <w:p w14:paraId="2CE90815">
      <w:pPr>
        <w:ind w:firstLine="480"/>
        <w:rPr>
          <w:rFonts w:ascii="宋体" w:hAnsi="宋体" w:eastAsia="宋体"/>
        </w:rPr>
      </w:pPr>
      <w:r>
        <w:rPr>
          <w:rFonts w:ascii="宋体" w:hAnsi="宋体" w:eastAsia="宋体"/>
        </w:rPr>
        <w:t>5）配血管理</w:t>
      </w:r>
      <w:r>
        <w:rPr>
          <w:rFonts w:hint="eastAsia" w:ascii="宋体" w:hAnsi="宋体" w:eastAsia="宋体"/>
        </w:rPr>
        <w:t>：</w:t>
      </w:r>
      <w:r>
        <w:rPr>
          <w:rFonts w:ascii="宋体" w:hAnsi="宋体" w:eastAsia="宋体"/>
        </w:rPr>
        <w:t>实现血制品再加工，进行交叉配血</w:t>
      </w:r>
      <w:r>
        <w:rPr>
          <w:rFonts w:hint="eastAsia" w:ascii="宋体" w:hAnsi="宋体" w:eastAsia="宋体"/>
        </w:rPr>
        <w:t>；</w:t>
      </w:r>
      <w:r>
        <w:rPr>
          <w:rFonts w:ascii="宋体" w:hAnsi="宋体" w:eastAsia="宋体"/>
        </w:rPr>
        <w:t>支持选择配血方法，打印报告单</w:t>
      </w:r>
      <w:r>
        <w:rPr>
          <w:rFonts w:hint="eastAsia" w:ascii="宋体" w:hAnsi="宋体" w:eastAsia="宋体"/>
        </w:rPr>
        <w:t>；</w:t>
      </w:r>
      <w:r>
        <w:rPr>
          <w:rFonts w:ascii="宋体" w:hAnsi="宋体" w:eastAsia="宋体"/>
        </w:rPr>
        <w:t xml:space="preserve"> </w:t>
      </w:r>
    </w:p>
    <w:p w14:paraId="047691CA">
      <w:pPr>
        <w:ind w:firstLine="480"/>
        <w:rPr>
          <w:rFonts w:ascii="宋体" w:hAnsi="宋体" w:eastAsia="宋体"/>
        </w:rPr>
      </w:pPr>
      <w:r>
        <w:rPr>
          <w:rFonts w:ascii="宋体" w:hAnsi="宋体" w:eastAsia="宋体"/>
        </w:rPr>
        <w:t>6）发血管理</w:t>
      </w:r>
      <w:r>
        <w:rPr>
          <w:rFonts w:hint="eastAsia" w:ascii="宋体" w:hAnsi="宋体" w:eastAsia="宋体"/>
        </w:rPr>
        <w:t>：</w:t>
      </w:r>
      <w:r>
        <w:rPr>
          <w:rFonts w:ascii="宋体" w:hAnsi="宋体" w:eastAsia="宋体"/>
        </w:rPr>
        <w:t>对临床输血申请单和配血信息进行核实，完成发血。</w:t>
      </w:r>
    </w:p>
    <w:p w14:paraId="67920125">
      <w:pPr>
        <w:ind w:firstLine="480"/>
        <w:rPr>
          <w:rFonts w:ascii="宋体" w:hAnsi="宋体" w:eastAsia="宋体"/>
        </w:rPr>
      </w:pPr>
      <w:r>
        <w:rPr>
          <w:rFonts w:ascii="宋体" w:hAnsi="宋体" w:eastAsia="宋体"/>
        </w:rPr>
        <w:t>7）输血评价</w:t>
      </w:r>
      <w:r>
        <w:rPr>
          <w:rFonts w:hint="eastAsia" w:ascii="宋体" w:hAnsi="宋体" w:eastAsia="宋体"/>
        </w:rPr>
        <w:t>：</w:t>
      </w:r>
      <w:r>
        <w:rPr>
          <w:rFonts w:ascii="宋体" w:hAnsi="宋体" w:eastAsia="宋体"/>
        </w:rPr>
        <w:t>对输血进行全面评价的新增和删除</w:t>
      </w:r>
      <w:r>
        <w:rPr>
          <w:rFonts w:hint="eastAsia" w:ascii="宋体" w:hAnsi="宋体" w:eastAsia="宋体"/>
        </w:rPr>
        <w:t>，</w:t>
      </w:r>
      <w:r>
        <w:rPr>
          <w:rFonts w:ascii="宋体" w:hAnsi="宋体" w:eastAsia="宋体"/>
        </w:rPr>
        <w:t>评价内容包括申请单规范性、输血疗效、输血不良反应等。</w:t>
      </w:r>
    </w:p>
    <w:p w14:paraId="0B4FE5C3">
      <w:pPr>
        <w:ind w:firstLine="420" w:firstLineChars="200"/>
        <w:rPr>
          <w:rFonts w:ascii="宋体" w:hAnsi="宋体" w:eastAsia="宋体"/>
        </w:rPr>
      </w:pPr>
      <w:r>
        <w:rPr>
          <w:rFonts w:ascii="宋体" w:hAnsi="宋体" w:eastAsia="宋体"/>
        </w:rPr>
        <w:t>8）不良处置</w:t>
      </w:r>
      <w:r>
        <w:rPr>
          <w:rFonts w:hint="eastAsia" w:ascii="宋体" w:hAnsi="宋体" w:eastAsia="宋体"/>
        </w:rPr>
        <w:t>：</w:t>
      </w:r>
      <w:r>
        <w:rPr>
          <w:rFonts w:ascii="宋体" w:hAnsi="宋体" w:eastAsia="宋体"/>
        </w:rPr>
        <w:t>对输血过程中的不良反应进行处置意见的填写。处置内容包含相关信息核查、处置时间、处置人、输血科意见等。</w:t>
      </w:r>
    </w:p>
    <w:p w14:paraId="3D414838">
      <w:pPr>
        <w:ind w:firstLine="480"/>
        <w:rPr>
          <w:rFonts w:ascii="宋体" w:hAnsi="宋体" w:eastAsia="宋体"/>
        </w:rPr>
      </w:pPr>
      <w:r>
        <w:rPr>
          <w:rFonts w:ascii="宋体" w:hAnsi="宋体" w:eastAsia="宋体"/>
        </w:rPr>
        <w:t>9）回收销毁</w:t>
      </w:r>
      <w:r>
        <w:rPr>
          <w:rFonts w:hint="eastAsia" w:ascii="宋体" w:hAnsi="宋体" w:eastAsia="宋体"/>
        </w:rPr>
        <w:t>：</w:t>
      </w:r>
      <w:r>
        <w:rPr>
          <w:rFonts w:ascii="宋体" w:hAnsi="宋体" w:eastAsia="宋体"/>
        </w:rPr>
        <w:t>通过扫描血袋号进行血袋的回收</w:t>
      </w:r>
      <w:r>
        <w:rPr>
          <w:rFonts w:hint="eastAsia" w:ascii="宋体" w:hAnsi="宋体" w:eastAsia="宋体"/>
        </w:rPr>
        <w:t>，</w:t>
      </w:r>
      <w:r>
        <w:rPr>
          <w:rFonts w:ascii="宋体" w:hAnsi="宋体" w:eastAsia="宋体"/>
        </w:rPr>
        <w:t>支持批量回收</w:t>
      </w:r>
      <w:r>
        <w:rPr>
          <w:rFonts w:hint="eastAsia" w:ascii="宋体" w:hAnsi="宋体" w:eastAsia="宋体"/>
        </w:rPr>
        <w:t>；</w:t>
      </w:r>
      <w:r>
        <w:rPr>
          <w:rFonts w:ascii="宋体" w:hAnsi="宋体" w:eastAsia="宋体"/>
        </w:rPr>
        <w:t>通过扫描血袋号进行血袋销毁</w:t>
      </w:r>
      <w:r>
        <w:rPr>
          <w:rFonts w:hint="eastAsia" w:ascii="宋体" w:hAnsi="宋体" w:eastAsia="宋体"/>
        </w:rPr>
        <w:t>，</w:t>
      </w:r>
      <w:r>
        <w:rPr>
          <w:rFonts w:ascii="宋体" w:hAnsi="宋体" w:eastAsia="宋体"/>
        </w:rPr>
        <w:t>支持批量销毁。</w:t>
      </w:r>
    </w:p>
    <w:p w14:paraId="2311D3C7">
      <w:pPr>
        <w:rPr>
          <w:rFonts w:ascii="宋体" w:hAnsi="宋体" w:eastAsia="宋体"/>
        </w:rPr>
      </w:pPr>
      <w:r>
        <w:rPr>
          <w:rFonts w:hint="eastAsia" w:ascii="宋体" w:hAnsi="宋体" w:eastAsia="宋体"/>
        </w:rPr>
        <w:t>（3）</w:t>
      </w:r>
      <w:r>
        <w:rPr>
          <w:rFonts w:ascii="宋体" w:hAnsi="宋体" w:eastAsia="宋体"/>
        </w:rPr>
        <w:t>输血管理</w:t>
      </w:r>
    </w:p>
    <w:p w14:paraId="32097053">
      <w:pPr>
        <w:ind w:firstLine="480"/>
        <w:rPr>
          <w:rFonts w:ascii="宋体" w:hAnsi="宋体" w:eastAsia="宋体"/>
        </w:rPr>
      </w:pPr>
      <w:r>
        <w:rPr>
          <w:rFonts w:ascii="宋体" w:hAnsi="宋体" w:eastAsia="宋体"/>
        </w:rPr>
        <w:t>1）取血管理</w:t>
      </w:r>
      <w:r>
        <w:rPr>
          <w:rFonts w:hint="eastAsia" w:ascii="宋体" w:hAnsi="宋体" w:eastAsia="宋体"/>
        </w:rPr>
        <w:t>：</w:t>
      </w:r>
      <w:r>
        <w:rPr>
          <w:rFonts w:ascii="宋体" w:hAnsi="宋体" w:eastAsia="宋体"/>
        </w:rPr>
        <w:t>持对已配血和已发血的申请单进行取血单的打印</w:t>
      </w:r>
      <w:r>
        <w:rPr>
          <w:rFonts w:hint="eastAsia" w:ascii="宋体" w:hAnsi="宋体" w:eastAsia="宋体"/>
        </w:rPr>
        <w:t>；</w:t>
      </w:r>
      <w:r>
        <w:rPr>
          <w:rFonts w:ascii="宋体" w:hAnsi="宋体" w:eastAsia="宋体"/>
        </w:rPr>
        <w:t>支持查看输血申请单的详情信息。</w:t>
      </w:r>
    </w:p>
    <w:p w14:paraId="49D060DC">
      <w:pPr>
        <w:ind w:firstLine="480"/>
        <w:rPr>
          <w:rFonts w:ascii="宋体" w:hAnsi="宋体" w:eastAsia="宋体"/>
        </w:rPr>
      </w:pPr>
      <w:r>
        <w:rPr>
          <w:rFonts w:ascii="宋体" w:hAnsi="宋体" w:eastAsia="宋体"/>
        </w:rPr>
        <w:t>2）血液核收</w:t>
      </w:r>
      <w:r>
        <w:rPr>
          <w:rFonts w:hint="eastAsia" w:ascii="宋体" w:hAnsi="宋体" w:eastAsia="宋体"/>
        </w:rPr>
        <w:t>：</w:t>
      </w:r>
      <w:r>
        <w:rPr>
          <w:rFonts w:ascii="宋体" w:hAnsi="宋体" w:eastAsia="宋体"/>
        </w:rPr>
        <w:t>从输血科取回的血液，外观、冷链、运输时间。采用双人复核的模式，通过初核和复核，记录包装、血液凝固情况、冷链运输情况，同时记录核对人信息。支持撤销核收，血液进入待核收列表。</w:t>
      </w:r>
    </w:p>
    <w:p w14:paraId="41663521">
      <w:pPr>
        <w:ind w:firstLine="480"/>
        <w:rPr>
          <w:rFonts w:ascii="宋体" w:hAnsi="宋体" w:eastAsia="宋体"/>
        </w:rPr>
      </w:pPr>
      <w:r>
        <w:rPr>
          <w:rFonts w:ascii="宋体" w:hAnsi="宋体" w:eastAsia="宋体"/>
        </w:rPr>
        <w:t>3）血液输注</w:t>
      </w:r>
      <w:r>
        <w:rPr>
          <w:rFonts w:hint="eastAsia" w:ascii="宋体" w:hAnsi="宋体" w:eastAsia="宋体"/>
        </w:rPr>
        <w:t>：</w:t>
      </w:r>
      <w:r>
        <w:rPr>
          <w:rFonts w:ascii="宋体" w:hAnsi="宋体" w:eastAsia="宋体"/>
        </w:rPr>
        <w:t>采用双人核对血制品，记录血制品输注过程。包括核对、复核、冲管、开始、结束等流程的记录。支持多次巡视信息的记录，包括输液速度、体征等。输血反应的记录，包括反应类型、描述、处置人、采取措施、是否通知医生等。</w:t>
      </w:r>
    </w:p>
    <w:p w14:paraId="53721747">
      <w:pPr>
        <w:ind w:firstLine="480"/>
        <w:rPr>
          <w:rFonts w:ascii="宋体" w:hAnsi="宋体" w:eastAsia="宋体"/>
        </w:rPr>
      </w:pPr>
      <w:r>
        <w:rPr>
          <w:rFonts w:ascii="宋体" w:hAnsi="宋体" w:eastAsia="宋体"/>
        </w:rPr>
        <w:t>4）血袋回收</w:t>
      </w:r>
      <w:r>
        <w:rPr>
          <w:rFonts w:hint="eastAsia" w:ascii="宋体" w:hAnsi="宋体" w:eastAsia="宋体"/>
        </w:rPr>
        <w:t>：</w:t>
      </w:r>
      <w:r>
        <w:rPr>
          <w:rFonts w:ascii="宋体" w:hAnsi="宋体" w:eastAsia="宋体"/>
        </w:rPr>
        <w:t>对血袋进行回收登记</w:t>
      </w:r>
      <w:r>
        <w:rPr>
          <w:rFonts w:hint="eastAsia" w:ascii="宋体" w:hAnsi="宋体" w:eastAsia="宋体"/>
        </w:rPr>
        <w:t>，</w:t>
      </w:r>
      <w:r>
        <w:rPr>
          <w:rFonts w:ascii="宋体" w:hAnsi="宋体" w:eastAsia="宋体"/>
        </w:rPr>
        <w:t>支持批量回收登记。</w:t>
      </w:r>
    </w:p>
    <w:p w14:paraId="739F3801">
      <w:pPr>
        <w:ind w:left="426" w:hanging="426"/>
        <w:rPr>
          <w:rFonts w:ascii="宋体" w:hAnsi="宋体" w:eastAsia="宋体"/>
          <w:b/>
          <w:bCs/>
        </w:rPr>
      </w:pPr>
      <w:r>
        <w:rPr>
          <w:rFonts w:hint="eastAsia" w:ascii="宋体" w:hAnsi="宋体" w:eastAsia="宋体"/>
        </w:rPr>
        <w:t>（4）</w:t>
      </w:r>
      <w:r>
        <w:rPr>
          <w:rFonts w:ascii="宋体" w:hAnsi="宋体" w:eastAsia="宋体"/>
        </w:rPr>
        <w:t>不良事件</w:t>
      </w:r>
      <w:r>
        <w:rPr>
          <w:rFonts w:hint="eastAsia" w:ascii="宋体" w:hAnsi="宋体" w:eastAsia="宋体"/>
        </w:rPr>
        <w:t>：</w:t>
      </w:r>
      <w:r>
        <w:rPr>
          <w:rFonts w:ascii="宋体" w:hAnsi="宋体" w:eastAsia="宋体"/>
        </w:rPr>
        <w:t>对接不良事件系统进行不良事件的填报</w:t>
      </w:r>
      <w:r>
        <w:rPr>
          <w:rFonts w:hint="eastAsia" w:ascii="宋体" w:hAnsi="宋体" w:eastAsia="宋体"/>
        </w:rPr>
        <w:t>，</w:t>
      </w:r>
      <w:r>
        <w:rPr>
          <w:rFonts w:ascii="宋体" w:hAnsi="宋体" w:eastAsia="宋体"/>
        </w:rPr>
        <w:t>支持对接不良事件系统进行不良事件汇总及根因分析。</w:t>
      </w:r>
    </w:p>
    <w:p w14:paraId="5090F6F8">
      <w:pPr>
        <w:ind w:left="426" w:hanging="426"/>
        <w:rPr>
          <w:rFonts w:ascii="宋体" w:hAnsi="宋体" w:eastAsia="宋体"/>
          <w:b/>
          <w:bCs/>
        </w:rPr>
      </w:pPr>
      <w:r>
        <w:rPr>
          <w:rFonts w:hint="eastAsia" w:ascii="宋体" w:hAnsi="宋体" w:eastAsia="宋体"/>
        </w:rPr>
        <w:t>（5）</w:t>
      </w:r>
      <w:r>
        <w:rPr>
          <w:rFonts w:ascii="宋体" w:hAnsi="宋体" w:eastAsia="宋体"/>
        </w:rPr>
        <w:t>统计报表</w:t>
      </w:r>
      <w:r>
        <w:rPr>
          <w:rFonts w:hint="eastAsia" w:ascii="宋体" w:hAnsi="宋体" w:eastAsia="宋体"/>
        </w:rPr>
        <w:t>：支持</w:t>
      </w:r>
      <w:r>
        <w:rPr>
          <w:rFonts w:ascii="宋体" w:hAnsi="宋体" w:eastAsia="宋体"/>
        </w:rPr>
        <w:t>工作量统计报表</w:t>
      </w:r>
      <w:r>
        <w:rPr>
          <w:rFonts w:hint="eastAsia" w:ascii="宋体" w:hAnsi="宋体" w:eastAsia="宋体"/>
        </w:rPr>
        <w:t>、</w:t>
      </w:r>
      <w:r>
        <w:rPr>
          <w:rFonts w:ascii="宋体" w:hAnsi="宋体" w:eastAsia="宋体"/>
        </w:rPr>
        <w:t>医生、科室用血统计</w:t>
      </w:r>
      <w:r>
        <w:rPr>
          <w:rFonts w:hint="eastAsia" w:ascii="宋体" w:hAnsi="宋体" w:eastAsia="宋体"/>
        </w:rPr>
        <w:t>、</w:t>
      </w:r>
      <w:r>
        <w:rPr>
          <w:rFonts w:ascii="宋体" w:hAnsi="宋体" w:eastAsia="宋体"/>
        </w:rPr>
        <w:t>血型分布统计。</w:t>
      </w:r>
    </w:p>
    <w:p w14:paraId="5FFE4CBE">
      <w:pPr>
        <w:pStyle w:val="6"/>
      </w:pPr>
      <w:r>
        <w:rPr>
          <w:rFonts w:hint="eastAsia"/>
        </w:rPr>
        <w:t>手术麻醉系统</w:t>
      </w:r>
    </w:p>
    <w:p w14:paraId="1573683C">
      <w:pPr>
        <w:rPr>
          <w:rFonts w:ascii="宋体" w:hAnsi="宋体" w:eastAsia="宋体"/>
        </w:rPr>
      </w:pPr>
      <w:r>
        <w:rPr>
          <w:rFonts w:hint="eastAsia" w:ascii="宋体" w:hAnsi="宋体" w:eastAsia="宋体"/>
        </w:rPr>
        <w:t>（1）手术排程管理</w:t>
      </w:r>
    </w:p>
    <w:p w14:paraId="3B3EBD57">
      <w:pPr>
        <w:ind w:firstLine="480"/>
        <w:rPr>
          <w:rFonts w:ascii="宋体" w:hAnsi="宋体" w:eastAsia="宋体"/>
        </w:rPr>
      </w:pPr>
      <w:r>
        <w:rPr>
          <w:rFonts w:hint="eastAsia" w:ascii="宋体" w:hAnsi="宋体" w:eastAsia="宋体"/>
        </w:rPr>
        <w:t>1)</w:t>
      </w:r>
      <w:r>
        <w:rPr>
          <w:rFonts w:hint="eastAsia" w:ascii="宋体" w:hAnsi="宋体" w:eastAsia="宋体"/>
        </w:rPr>
        <w:tab/>
      </w:r>
      <w:r>
        <w:rPr>
          <w:rFonts w:hint="eastAsia" w:ascii="宋体" w:hAnsi="宋体" w:eastAsia="宋体"/>
        </w:rPr>
        <w:t>手术申请接收管理：手术室接收临床科室发起的手术申请，交由手术排程人员辨别手术申请的合理性。手术申请信息中患者基础信息、手术信息、麻醉信息、特殊需求自动同步。排程人员可查看手术申请的详细信息。当手术排程人员受理或驳回手术申请后，临床可查看手术申请信息及状态。当手术申请未安排时，HIS系统中的手术申请可进行取消。</w:t>
      </w:r>
    </w:p>
    <w:p w14:paraId="1B739F9D">
      <w:pPr>
        <w:ind w:firstLine="480"/>
        <w:rPr>
          <w:rFonts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智能排程管理：系统支持智能排程能力，能够根据医院实际管理需求提供定制化智能排程。排程人员可进行手术停台操作，记录手术停台及停台原因。</w:t>
      </w:r>
    </w:p>
    <w:p w14:paraId="40EF33B5">
      <w:pPr>
        <w:ind w:firstLine="480"/>
        <w:rPr>
          <w:rFonts w:ascii="宋体" w:hAnsi="宋体" w:eastAsia="宋体"/>
        </w:rPr>
      </w:pPr>
      <w:r>
        <w:rPr>
          <w:rFonts w:hint="eastAsia" w:ascii="宋体" w:hAnsi="宋体" w:eastAsia="宋体"/>
        </w:rPr>
        <w:t>3)</w:t>
      </w:r>
      <w:r>
        <w:rPr>
          <w:rFonts w:hint="eastAsia" w:ascii="宋体" w:hAnsi="宋体" w:eastAsia="宋体"/>
        </w:rPr>
        <w:tab/>
      </w:r>
      <w:r>
        <w:rPr>
          <w:rFonts w:hint="eastAsia" w:ascii="宋体" w:hAnsi="宋体" w:eastAsia="宋体"/>
        </w:rPr>
        <w:t>手术发布管理：医生、护士、管理者、智能部门能查询手术排程结果。</w:t>
      </w:r>
    </w:p>
    <w:p w14:paraId="6FC4EE45">
      <w:pPr>
        <w:ind w:firstLine="480"/>
        <w:rPr>
          <w:rFonts w:ascii="宋体" w:hAnsi="宋体" w:eastAsia="宋体"/>
        </w:rPr>
      </w:pPr>
      <w:r>
        <w:rPr>
          <w:rFonts w:hint="eastAsia" w:ascii="宋体" w:hAnsi="宋体" w:eastAsia="宋体"/>
        </w:rPr>
        <w:t>4)</w:t>
      </w:r>
      <w:r>
        <w:rPr>
          <w:rFonts w:hint="eastAsia" w:ascii="宋体" w:hAnsi="宋体" w:eastAsia="宋体"/>
        </w:rPr>
        <w:tab/>
      </w:r>
      <w:r>
        <w:rPr>
          <w:rFonts w:hint="eastAsia" w:ascii="宋体" w:hAnsi="宋体" w:eastAsia="宋体"/>
        </w:rPr>
        <w:t>手术通知单：根据手术安排情况自动生成手术通知单并打印，可根据医院需求定制化开发通知单。已发布的手术排程信息，实现手术室相关人员、临床医护人员查看；</w:t>
      </w:r>
      <w:r>
        <w:rPr>
          <w:rFonts w:ascii="宋体" w:hAnsi="宋体" w:eastAsia="宋体"/>
        </w:rPr>
        <w:t xml:space="preserve"> </w:t>
      </w:r>
    </w:p>
    <w:p w14:paraId="624AB87A">
      <w:pPr>
        <w:ind w:firstLine="480"/>
        <w:rPr>
          <w:rFonts w:ascii="宋体" w:hAnsi="宋体" w:eastAsia="宋体"/>
        </w:rPr>
      </w:pPr>
      <w:r>
        <w:rPr>
          <w:rFonts w:hint="eastAsia" w:ascii="宋体" w:hAnsi="宋体" w:eastAsia="宋体"/>
        </w:rPr>
        <w:t>5)</w:t>
      </w:r>
      <w:r>
        <w:rPr>
          <w:rFonts w:hint="eastAsia" w:ascii="宋体" w:hAnsi="宋体" w:eastAsia="宋体"/>
        </w:rPr>
        <w:tab/>
      </w:r>
      <w:r>
        <w:rPr>
          <w:rFonts w:hint="eastAsia" w:ascii="宋体" w:hAnsi="宋体" w:eastAsia="宋体"/>
        </w:rPr>
        <w:t>排程结果共享：排程结果支持给院内其他信息系统，供医生、护士、科室管理者、职能部门调阅查看排程结果。</w:t>
      </w:r>
    </w:p>
    <w:p w14:paraId="569226FD">
      <w:pPr>
        <w:rPr>
          <w:rFonts w:ascii="宋体" w:hAnsi="宋体" w:eastAsia="宋体"/>
        </w:rPr>
      </w:pPr>
      <w:r>
        <w:rPr>
          <w:rFonts w:hint="eastAsia" w:ascii="宋体" w:hAnsi="宋体" w:eastAsia="宋体"/>
        </w:rPr>
        <w:t>（2）麻醉风险评估</w:t>
      </w:r>
    </w:p>
    <w:p w14:paraId="3EB0C13B">
      <w:pPr>
        <w:ind w:firstLine="480"/>
        <w:rPr>
          <w:rFonts w:ascii="宋体" w:hAnsi="宋体" w:eastAsia="宋体"/>
        </w:rPr>
      </w:pPr>
      <w:r>
        <w:rPr>
          <w:rFonts w:hint="eastAsia" w:ascii="宋体" w:hAnsi="宋体" w:eastAsia="宋体"/>
        </w:rPr>
        <w:t>1)</w:t>
      </w:r>
      <w:r>
        <w:rPr>
          <w:rFonts w:hint="eastAsia" w:ascii="宋体" w:hAnsi="宋体" w:eastAsia="宋体"/>
        </w:rPr>
        <w:tab/>
      </w:r>
      <w:r>
        <w:rPr>
          <w:rFonts w:hint="eastAsia" w:ascii="宋体" w:hAnsi="宋体" w:eastAsia="宋体"/>
        </w:rPr>
        <w:t>移动端评估：系统支持医用平板进行评估。</w:t>
      </w:r>
    </w:p>
    <w:p w14:paraId="0135F5A7">
      <w:pPr>
        <w:ind w:firstLine="480"/>
        <w:rPr>
          <w:rFonts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评估版本：麻醉风险评估含儿童版、成人版（男性）、成人版（女性）、老年版，可满足医疗各场景使用。</w:t>
      </w:r>
    </w:p>
    <w:p w14:paraId="02AE0AF5">
      <w:pPr>
        <w:ind w:firstLine="480"/>
        <w:rPr>
          <w:rFonts w:ascii="宋体" w:hAnsi="宋体" w:eastAsia="宋体"/>
        </w:rPr>
      </w:pPr>
      <w:r>
        <w:rPr>
          <w:rFonts w:hint="eastAsia" w:ascii="宋体" w:hAnsi="宋体" w:eastAsia="宋体"/>
        </w:rPr>
        <w:t>3)</w:t>
      </w:r>
      <w:r>
        <w:rPr>
          <w:rFonts w:hint="eastAsia" w:ascii="宋体" w:hAnsi="宋体" w:eastAsia="宋体"/>
        </w:rPr>
        <w:tab/>
      </w:r>
      <w:r>
        <w:rPr>
          <w:rFonts w:hint="eastAsia" w:ascii="宋体" w:hAnsi="宋体" w:eastAsia="宋体"/>
        </w:rPr>
        <w:t>数据采集：要求对接院内HIS系统，实现数据的自动填充。支持患者一般信息、实验室检查结果信息、身体重要系统和脏器相关信息、手术相关信息的采集。</w:t>
      </w:r>
    </w:p>
    <w:p w14:paraId="475AC528">
      <w:pPr>
        <w:ind w:firstLine="480"/>
        <w:rPr>
          <w:rFonts w:ascii="宋体" w:hAnsi="宋体" w:eastAsia="宋体"/>
        </w:rPr>
      </w:pPr>
      <w:r>
        <w:rPr>
          <w:rFonts w:hint="eastAsia" w:ascii="宋体" w:hAnsi="宋体" w:eastAsia="宋体"/>
        </w:rPr>
        <w:t>4)</w:t>
      </w:r>
      <w:r>
        <w:rPr>
          <w:rFonts w:hint="eastAsia" w:ascii="宋体" w:hAnsi="宋体" w:eastAsia="宋体"/>
        </w:rPr>
        <w:tab/>
      </w:r>
      <w:r>
        <w:rPr>
          <w:rFonts w:hint="eastAsia" w:ascii="宋体" w:hAnsi="宋体" w:eastAsia="宋体"/>
        </w:rPr>
        <w:t>检验信息：要求对接院内实验室检查系统（LIS），通过数据接口获取本次就诊中的检验数据。按照一定规则自动填充到麻醉风险评估中，并且能够按照条目式查询多项检验条目，支持引用某条检验记录至麻醉风险评估中。</w:t>
      </w:r>
    </w:p>
    <w:p w14:paraId="76DA3BC8">
      <w:pPr>
        <w:ind w:firstLine="480"/>
        <w:rPr>
          <w:rFonts w:ascii="宋体" w:hAnsi="宋体" w:eastAsia="宋体"/>
        </w:rPr>
      </w:pPr>
      <w:r>
        <w:rPr>
          <w:rFonts w:hint="eastAsia" w:ascii="宋体" w:hAnsi="宋体" w:eastAsia="宋体"/>
        </w:rPr>
        <w:t>5)</w:t>
      </w:r>
      <w:r>
        <w:rPr>
          <w:rFonts w:hint="eastAsia" w:ascii="宋体" w:hAnsi="宋体" w:eastAsia="宋体"/>
        </w:rPr>
        <w:tab/>
      </w:r>
      <w:r>
        <w:rPr>
          <w:rFonts w:hint="eastAsia" w:ascii="宋体" w:hAnsi="宋体" w:eastAsia="宋体"/>
        </w:rPr>
        <w:t>检查数据：要求对接院内检查系统（PACS、心电图等），通过数据接口获取本次就诊中的检查数据。按照一定规则自动填充到麻醉风险评估中，并且能够按照条目式查询多项检查条目，支持引用某条检查记录至到麻醉风险评估中。</w:t>
      </w:r>
    </w:p>
    <w:p w14:paraId="170735C6">
      <w:pPr>
        <w:ind w:firstLine="480"/>
        <w:rPr>
          <w:rFonts w:ascii="宋体" w:hAnsi="宋体" w:eastAsia="宋体"/>
        </w:rPr>
      </w:pPr>
      <w:r>
        <w:rPr>
          <w:rFonts w:hint="eastAsia" w:ascii="宋体" w:hAnsi="宋体" w:eastAsia="宋体"/>
        </w:rPr>
        <w:t>6)</w:t>
      </w:r>
      <w:r>
        <w:rPr>
          <w:rFonts w:hint="eastAsia" w:ascii="宋体" w:hAnsi="宋体" w:eastAsia="宋体"/>
        </w:rPr>
        <w:tab/>
      </w:r>
      <w:r>
        <w:rPr>
          <w:rFonts w:hint="eastAsia" w:ascii="宋体" w:hAnsi="宋体" w:eastAsia="宋体"/>
        </w:rPr>
        <w:t>不良事件/并发症预测：麻醉风险评估能够主动识别心血管不良事件、卒中、急性肾损伤、术后谵妄、肺部并发症、困难气道、恶心呕吐、中重度疼痛共计8项并发症并给出相应的风险评级。</w:t>
      </w:r>
    </w:p>
    <w:p w14:paraId="5E7CCF38">
      <w:pPr>
        <w:ind w:firstLine="480"/>
        <w:rPr>
          <w:rFonts w:ascii="宋体" w:hAnsi="宋体" w:eastAsia="宋体"/>
        </w:rPr>
      </w:pPr>
      <w:r>
        <w:rPr>
          <w:rFonts w:hint="eastAsia" w:ascii="宋体" w:hAnsi="宋体" w:eastAsia="宋体"/>
        </w:rPr>
        <w:t>7)</w:t>
      </w:r>
      <w:r>
        <w:rPr>
          <w:rFonts w:hint="eastAsia" w:ascii="宋体" w:hAnsi="宋体" w:eastAsia="宋体"/>
        </w:rPr>
        <w:tab/>
      </w:r>
      <w:r>
        <w:rPr>
          <w:rFonts w:hint="eastAsia" w:ascii="宋体" w:hAnsi="宋体" w:eastAsia="宋体"/>
        </w:rPr>
        <w:t>干预预案决策：根据围术期并发症及风险等级，由系统自带的知识库给出对应的处置建议，包括防治方案及管理目标。</w:t>
      </w:r>
    </w:p>
    <w:p w14:paraId="1878C6C3">
      <w:pPr>
        <w:ind w:firstLine="480"/>
        <w:rPr>
          <w:rFonts w:ascii="宋体" w:hAnsi="宋体" w:eastAsia="宋体"/>
        </w:rPr>
      </w:pPr>
      <w:r>
        <w:rPr>
          <w:rFonts w:hint="eastAsia" w:ascii="宋体" w:hAnsi="宋体" w:eastAsia="宋体"/>
        </w:rPr>
        <w:t>8)</w:t>
      </w:r>
      <w:r>
        <w:rPr>
          <w:rFonts w:hint="eastAsia" w:ascii="宋体" w:hAnsi="宋体" w:eastAsia="宋体"/>
        </w:rPr>
        <w:tab/>
      </w:r>
      <w:r>
        <w:rPr>
          <w:rFonts w:hint="eastAsia" w:ascii="宋体" w:hAnsi="宋体" w:eastAsia="宋体"/>
        </w:rPr>
        <w:t>镇痛计划：从采集的数据中抽取疼痛相关的结果数据，包括手术方式、手术时长、患者精神状态等信息，交由系统预设的智能算法给出镇痛计划。联动镇痛泵管理、知情同意书，实现超前的疼痛预测及干预处置，建立镇痛的全流程闭环管理。</w:t>
      </w:r>
    </w:p>
    <w:p w14:paraId="025A4226">
      <w:pPr>
        <w:ind w:firstLine="480"/>
        <w:rPr>
          <w:rFonts w:ascii="宋体" w:hAnsi="宋体" w:eastAsia="宋体"/>
        </w:rPr>
      </w:pPr>
      <w:r>
        <w:rPr>
          <w:rFonts w:hint="eastAsia" w:ascii="宋体" w:hAnsi="宋体" w:eastAsia="宋体"/>
        </w:rPr>
        <w:t>9)</w:t>
      </w:r>
      <w:r>
        <w:rPr>
          <w:rFonts w:hint="eastAsia" w:ascii="宋体" w:hAnsi="宋体" w:eastAsia="宋体"/>
        </w:rPr>
        <w:tab/>
      </w:r>
      <w:r>
        <w:rPr>
          <w:rFonts w:hint="eastAsia" w:ascii="宋体" w:hAnsi="宋体" w:eastAsia="宋体"/>
        </w:rPr>
        <w:t>评估意见：支持选择麻醉计划，“处置建议”自动带入并发症预测结果，减少医生手工摘抄的工作量、漏抄的风险，最后呈现在麻醉风险评估报告中。</w:t>
      </w:r>
    </w:p>
    <w:p w14:paraId="57520B64">
      <w:pPr>
        <w:ind w:firstLine="480"/>
        <w:rPr>
          <w:rFonts w:ascii="宋体" w:hAnsi="宋体" w:eastAsia="宋体"/>
        </w:rPr>
      </w:pPr>
      <w:r>
        <w:rPr>
          <w:rFonts w:hint="eastAsia" w:ascii="宋体" w:hAnsi="宋体" w:eastAsia="宋体"/>
        </w:rPr>
        <w:t>10)知情同意书：麻醉风险评估可快速链接至知情同意书，支持按照医院知情同意书模板定制开发，可自动带入患者基础信息、手术申请信息、并发症预测信息、镇痛计划。</w:t>
      </w:r>
    </w:p>
    <w:p w14:paraId="056B8BB8">
      <w:pPr>
        <w:ind w:firstLine="480"/>
        <w:rPr>
          <w:rFonts w:ascii="宋体" w:hAnsi="宋体" w:eastAsia="宋体"/>
        </w:rPr>
      </w:pPr>
      <w:r>
        <w:rPr>
          <w:rFonts w:hint="eastAsia" w:ascii="宋体" w:hAnsi="宋体" w:eastAsia="宋体"/>
        </w:rPr>
        <w:t>11)必填项管理：根据实际场景及大量数据分析，预设部分项目的必填项，这类必填项数据主要作为风险识别及重点关注的必备因素，对必填项进行校验。</w:t>
      </w:r>
    </w:p>
    <w:p w14:paraId="7689E47C">
      <w:pPr>
        <w:ind w:firstLine="480"/>
        <w:rPr>
          <w:rFonts w:ascii="宋体" w:hAnsi="宋体" w:eastAsia="宋体"/>
        </w:rPr>
      </w:pPr>
      <w:r>
        <w:rPr>
          <w:rFonts w:hint="eastAsia" w:ascii="宋体" w:hAnsi="宋体" w:eastAsia="宋体"/>
        </w:rPr>
        <w:t>12)麻醉风险评估报告：在完成麻醉风险评估提交后，能够打印麻醉风险评估报告。包括患者基础信息、生命体征信息、检查检验结果信息、身体各系统评估描述、评估结果、评估意见、处置建议。</w:t>
      </w:r>
    </w:p>
    <w:p w14:paraId="6126B26A">
      <w:pPr>
        <w:rPr>
          <w:rFonts w:ascii="宋体" w:hAnsi="宋体" w:eastAsia="宋体"/>
        </w:rPr>
      </w:pPr>
      <w:r>
        <w:rPr>
          <w:rFonts w:hint="eastAsia" w:ascii="宋体" w:hAnsi="宋体" w:eastAsia="宋体"/>
        </w:rPr>
        <w:t>（3）术中麻醉管理</w:t>
      </w:r>
    </w:p>
    <w:p w14:paraId="6AD5E923">
      <w:pPr>
        <w:ind w:firstLine="480"/>
        <w:rPr>
          <w:rFonts w:ascii="宋体" w:hAnsi="宋体" w:eastAsia="宋体"/>
        </w:rPr>
      </w:pPr>
      <w:r>
        <w:rPr>
          <w:rFonts w:hint="eastAsia" w:ascii="宋体" w:hAnsi="宋体" w:eastAsia="宋体"/>
        </w:rPr>
        <w:t>1)</w:t>
      </w:r>
      <w:r>
        <w:rPr>
          <w:rFonts w:hint="eastAsia" w:ascii="宋体" w:hAnsi="宋体" w:eastAsia="宋体"/>
        </w:rPr>
        <w:tab/>
      </w:r>
      <w:r>
        <w:rPr>
          <w:rFonts w:hint="eastAsia" w:ascii="宋体" w:hAnsi="宋体" w:eastAsia="宋体"/>
        </w:rPr>
        <w:t>患者管理：手术患者信息来源于排程结果，支持对患者进行入室、转手术间、停手术的操作。</w:t>
      </w:r>
    </w:p>
    <w:p w14:paraId="18D761C9">
      <w:pPr>
        <w:ind w:firstLine="480"/>
        <w:rPr>
          <w:rFonts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信息管理：患者信息管理能够录入、补充患者信息。手术排程信息中已有的数据，可并自动进行填充。</w:t>
      </w:r>
    </w:p>
    <w:p w14:paraId="2D565FD5">
      <w:pPr>
        <w:ind w:firstLine="480"/>
        <w:rPr>
          <w:rFonts w:ascii="宋体" w:hAnsi="宋体" w:eastAsia="宋体"/>
        </w:rPr>
      </w:pPr>
      <w:r>
        <w:rPr>
          <w:rFonts w:hint="eastAsia" w:ascii="宋体" w:hAnsi="宋体" w:eastAsia="宋体"/>
        </w:rPr>
        <w:t>3)</w:t>
      </w:r>
      <w:r>
        <w:rPr>
          <w:rFonts w:hint="eastAsia" w:ascii="宋体" w:hAnsi="宋体" w:eastAsia="宋体"/>
        </w:rPr>
        <w:tab/>
      </w:r>
      <w:r>
        <w:rPr>
          <w:rFonts w:hint="eastAsia" w:ascii="宋体" w:hAnsi="宋体" w:eastAsia="宋体"/>
        </w:rPr>
        <w:t>药品、液体、血液、出入量管理：</w:t>
      </w:r>
    </w:p>
    <w:p w14:paraId="44DF7E4F">
      <w:pPr>
        <w:ind w:firstLine="480"/>
        <w:rPr>
          <w:rFonts w:ascii="宋体" w:hAnsi="宋体" w:eastAsia="宋体"/>
        </w:rPr>
      </w:pPr>
      <w:r>
        <w:rPr>
          <w:rFonts w:hint="eastAsia" w:ascii="宋体" w:hAnsi="宋体" w:eastAsia="宋体"/>
        </w:rPr>
        <w:t>用药及输液情况区域可单击记录用药、输血、输液、出入量信息，支持快速添加，也能够通过手工拉动的方式修改临时用药的时间、持续用药的开始/结束时间。</w:t>
      </w:r>
    </w:p>
    <w:p w14:paraId="304A107D">
      <w:pPr>
        <w:ind w:firstLine="480"/>
        <w:rPr>
          <w:rFonts w:ascii="宋体" w:hAnsi="宋体" w:eastAsia="宋体"/>
        </w:rPr>
      </w:pPr>
      <w:r>
        <w:rPr>
          <w:rFonts w:hint="eastAsia" w:ascii="宋体" w:hAnsi="宋体" w:eastAsia="宋体"/>
        </w:rPr>
        <w:t>术中大量使用药品时，系统可自动调整用药区的药品显示顺序。优先显示持续用药，其次再显示单次用药，用药区显示不下时，把单次用药显示到备注区。</w:t>
      </w:r>
    </w:p>
    <w:p w14:paraId="2C1AB1FE">
      <w:pPr>
        <w:ind w:firstLine="480"/>
        <w:rPr>
          <w:rFonts w:ascii="宋体" w:hAnsi="宋体" w:eastAsia="宋体"/>
        </w:rPr>
      </w:pPr>
      <w:r>
        <w:rPr>
          <w:rFonts w:hint="eastAsia" w:ascii="宋体" w:hAnsi="宋体" w:eastAsia="宋体"/>
        </w:rPr>
        <w:t>输液输血记录时，支持人体静脉通道图示，可进行静脉通道的标记。麻醉记录单用药区域右侧采用不同颜色区分不同静脉通道。</w:t>
      </w:r>
    </w:p>
    <w:p w14:paraId="0C4CDECF">
      <w:pPr>
        <w:ind w:firstLine="480"/>
        <w:rPr>
          <w:rFonts w:ascii="宋体" w:hAnsi="宋体" w:eastAsia="宋体"/>
        </w:rPr>
      </w:pPr>
      <w:r>
        <w:rPr>
          <w:rFonts w:hint="eastAsia" w:ascii="宋体" w:hAnsi="宋体" w:eastAsia="宋体"/>
        </w:rPr>
        <w:t>出入量区域可添加患者术中血量、引流量等液体的情况，手术结束后可汇总剩余量，当患者转入苏醒室时，可把剩余量换作“带入液体”。</w:t>
      </w:r>
    </w:p>
    <w:p w14:paraId="2443B1EB">
      <w:pPr>
        <w:ind w:firstLine="480"/>
        <w:rPr>
          <w:rFonts w:ascii="宋体" w:hAnsi="宋体" w:eastAsia="宋体"/>
        </w:rPr>
      </w:pPr>
      <w:r>
        <w:rPr>
          <w:rFonts w:hint="eastAsia" w:ascii="宋体" w:hAnsi="宋体" w:eastAsia="宋体"/>
        </w:rPr>
        <w:t>可拖动术中用药剂量修改给药时间，持续用药可拖动收尾调整持续用药时间段，可快速修改持续用药的剂量，每个药品在麻醉记录单右侧自动汇总药品总量。</w:t>
      </w:r>
    </w:p>
    <w:p w14:paraId="04FF27C1">
      <w:pPr>
        <w:ind w:firstLine="480"/>
        <w:rPr>
          <w:rFonts w:ascii="宋体" w:hAnsi="宋体" w:eastAsia="宋体"/>
        </w:rPr>
      </w:pPr>
      <w:r>
        <w:rPr>
          <w:rFonts w:hint="eastAsia" w:ascii="宋体" w:hAnsi="宋体" w:eastAsia="宋体"/>
        </w:rPr>
        <w:t>支持持续用药、单次用药、输血补液的记录，能够自动填写记录时间，也可手工修改记录时间。</w:t>
      </w:r>
    </w:p>
    <w:p w14:paraId="364C9628">
      <w:pPr>
        <w:ind w:firstLine="480"/>
        <w:rPr>
          <w:rFonts w:ascii="宋体" w:hAnsi="宋体" w:eastAsia="宋体"/>
        </w:rPr>
      </w:pPr>
      <w:r>
        <w:rPr>
          <w:rFonts w:hint="eastAsia" w:ascii="宋体" w:hAnsi="宋体" w:eastAsia="宋体"/>
        </w:rPr>
        <w:t>支持病人术中出量和入量自动计算汇总。</w:t>
      </w:r>
    </w:p>
    <w:p w14:paraId="120149A0">
      <w:pPr>
        <w:ind w:firstLine="480"/>
        <w:rPr>
          <w:rFonts w:ascii="宋体" w:hAnsi="宋体" w:eastAsia="宋体"/>
        </w:rPr>
      </w:pPr>
      <w:r>
        <w:rPr>
          <w:rFonts w:hint="eastAsia" w:ascii="宋体" w:hAnsi="宋体" w:eastAsia="宋体"/>
        </w:rPr>
        <w:t>4)</w:t>
      </w:r>
      <w:r>
        <w:rPr>
          <w:rFonts w:hint="eastAsia" w:ascii="宋体" w:hAnsi="宋体" w:eastAsia="宋体"/>
        </w:rPr>
        <w:tab/>
      </w:r>
      <w:r>
        <w:rPr>
          <w:rFonts w:hint="eastAsia" w:ascii="宋体" w:hAnsi="宋体" w:eastAsia="宋体"/>
        </w:rPr>
        <w:t>手术麻醉事件管理</w:t>
      </w:r>
    </w:p>
    <w:p w14:paraId="76FA447B">
      <w:pPr>
        <w:ind w:firstLine="480"/>
        <w:rPr>
          <w:rFonts w:ascii="宋体" w:hAnsi="宋体" w:eastAsia="宋体"/>
        </w:rPr>
      </w:pPr>
      <w:r>
        <w:rPr>
          <w:rFonts w:hint="eastAsia" w:ascii="宋体" w:hAnsi="宋体" w:eastAsia="宋体"/>
        </w:rPr>
        <w:t>可在术中记录时一键发起事件并记录发生时间，支持快捷按钮的配置，支持事件模板；</w:t>
      </w:r>
    </w:p>
    <w:p w14:paraId="6AAEF13D">
      <w:pPr>
        <w:ind w:firstLine="480"/>
        <w:rPr>
          <w:rFonts w:ascii="宋体" w:hAnsi="宋体" w:eastAsia="宋体"/>
        </w:rPr>
      </w:pPr>
      <w:r>
        <w:rPr>
          <w:rFonts w:hint="eastAsia" w:ascii="宋体" w:hAnsi="宋体" w:eastAsia="宋体"/>
        </w:rPr>
        <w:t>根据术中选择的体位，在麻醉记录单标记区以形象的体位图标记录术中体位。</w:t>
      </w:r>
    </w:p>
    <w:p w14:paraId="5B1642EA">
      <w:pPr>
        <w:ind w:firstLine="420" w:firstLineChars="200"/>
        <w:rPr>
          <w:rFonts w:ascii="宋体" w:hAnsi="宋体" w:eastAsia="宋体"/>
        </w:rPr>
      </w:pPr>
      <w:r>
        <w:rPr>
          <w:rFonts w:hint="eastAsia" w:ascii="宋体" w:hAnsi="宋体" w:eastAsia="宋体"/>
        </w:rPr>
        <w:t>实现全结构化人工气道建立信息的录入，所涉及内容包括：插管方式、麻醉方式、插管设备/方法、导管口径、插管、拔管时间等信息。</w:t>
      </w:r>
    </w:p>
    <w:p w14:paraId="290E86DA">
      <w:pPr>
        <w:ind w:firstLine="480"/>
        <w:rPr>
          <w:rFonts w:ascii="宋体" w:hAnsi="宋体" w:eastAsia="宋体"/>
        </w:rPr>
      </w:pPr>
      <w:r>
        <w:rPr>
          <w:rFonts w:hint="eastAsia" w:ascii="宋体" w:hAnsi="宋体" w:eastAsia="宋体"/>
        </w:rPr>
        <w:t>系统对连续事件进行倒计时提醒，如麻醉医师在添加主动脉阻断时，可设置阻断时间。</w:t>
      </w:r>
    </w:p>
    <w:p w14:paraId="466D9052">
      <w:pPr>
        <w:ind w:firstLine="480"/>
        <w:rPr>
          <w:rFonts w:ascii="宋体" w:hAnsi="宋体" w:eastAsia="宋体"/>
        </w:rPr>
      </w:pPr>
      <w:r>
        <w:rPr>
          <w:rFonts w:hint="eastAsia" w:ascii="宋体" w:hAnsi="宋体" w:eastAsia="宋体"/>
        </w:rPr>
        <w:t>每5分钟显示一次生命体征数据，切换至抢救模式时，时间区域以红色背景色标注，该区域内每1分钟展示次条生命体征数据。</w:t>
      </w:r>
    </w:p>
    <w:p w14:paraId="32BEB2BE">
      <w:pPr>
        <w:ind w:firstLine="480"/>
        <w:rPr>
          <w:rFonts w:ascii="宋体" w:hAnsi="宋体" w:eastAsia="宋体"/>
        </w:rPr>
      </w:pPr>
      <w:r>
        <w:rPr>
          <w:rFonts w:hint="eastAsia" w:ascii="宋体" w:hAnsi="宋体" w:eastAsia="宋体"/>
        </w:rPr>
        <w:t>体外循环：在麻醉记录单的标记区用特殊颜色的区域标识体外循环时间段。</w:t>
      </w:r>
    </w:p>
    <w:p w14:paraId="12E50116">
      <w:pPr>
        <w:ind w:firstLine="480"/>
        <w:rPr>
          <w:rFonts w:ascii="宋体" w:hAnsi="宋体" w:eastAsia="宋体"/>
        </w:rPr>
      </w:pPr>
      <w:r>
        <w:rPr>
          <w:rFonts w:hint="eastAsia" w:ascii="宋体" w:hAnsi="宋体" w:eastAsia="宋体"/>
        </w:rPr>
        <w:t>5)</w:t>
      </w:r>
      <w:r>
        <w:rPr>
          <w:rFonts w:hint="eastAsia" w:ascii="宋体" w:hAnsi="宋体" w:eastAsia="宋体"/>
        </w:rPr>
        <w:tab/>
      </w:r>
      <w:r>
        <w:rPr>
          <w:rFonts w:hint="eastAsia" w:ascii="宋体" w:hAnsi="宋体" w:eastAsia="宋体"/>
        </w:rPr>
        <w:t>监护设备数据采集</w:t>
      </w:r>
    </w:p>
    <w:p w14:paraId="0388829D">
      <w:pPr>
        <w:ind w:firstLine="480"/>
        <w:rPr>
          <w:rFonts w:ascii="宋体" w:hAnsi="宋体" w:eastAsia="宋体"/>
        </w:rPr>
      </w:pPr>
      <w:r>
        <w:rPr>
          <w:rFonts w:hint="eastAsia" w:ascii="宋体" w:hAnsi="宋体" w:eastAsia="宋体"/>
        </w:rPr>
        <w:t>支持与监护仪、麻醉机等设备对接，采集病人术中血压、心率、血氧、脉博、呼气末二氧化碳等生命体征参数，及麻醉机参数。根据预设规则进行数据呈现。</w:t>
      </w:r>
    </w:p>
    <w:p w14:paraId="356EA9F6">
      <w:pPr>
        <w:ind w:firstLine="480"/>
        <w:rPr>
          <w:rFonts w:ascii="宋体" w:hAnsi="宋体" w:eastAsia="宋体"/>
        </w:rPr>
      </w:pPr>
      <w:r>
        <w:rPr>
          <w:rFonts w:hint="eastAsia" w:ascii="宋体" w:hAnsi="宋体" w:eastAsia="宋体"/>
        </w:rPr>
        <w:t>支持自动提取血气分析结果，录入麻醉记录单。</w:t>
      </w:r>
    </w:p>
    <w:p w14:paraId="456D1F75">
      <w:pPr>
        <w:ind w:firstLine="480"/>
        <w:rPr>
          <w:rFonts w:ascii="宋体" w:hAnsi="宋体" w:eastAsia="宋体"/>
        </w:rPr>
      </w:pPr>
      <w:r>
        <w:rPr>
          <w:rFonts w:hint="eastAsia" w:ascii="宋体" w:hAnsi="宋体" w:eastAsia="宋体"/>
        </w:rPr>
        <w:t>对于仪器设备干扰或其他因素产生的设备记录误差值可以人工手动修改，并按照院方要求，规定是否保留修改痕迹；能够设置用户权限对受干扰的体征数据进行修正，并修正后的结果突出显示。</w:t>
      </w:r>
    </w:p>
    <w:p w14:paraId="7AB2EFE1">
      <w:pPr>
        <w:ind w:firstLine="480"/>
        <w:rPr>
          <w:rFonts w:ascii="宋体" w:hAnsi="宋体" w:eastAsia="宋体"/>
        </w:rPr>
      </w:pPr>
      <w:r>
        <w:rPr>
          <w:rFonts w:hint="eastAsia" w:ascii="宋体" w:hAnsi="宋体" w:eastAsia="宋体"/>
        </w:rPr>
        <w:t>设置生命体征参数的阈值，当数据采集过程中生命体征参数达到或超过阈值，系统会进行报警提示。</w:t>
      </w:r>
    </w:p>
    <w:p w14:paraId="42EC339F">
      <w:pPr>
        <w:ind w:firstLine="480"/>
        <w:rPr>
          <w:rFonts w:ascii="宋体" w:hAnsi="宋体" w:eastAsia="宋体"/>
        </w:rPr>
      </w:pPr>
      <w:r>
        <w:rPr>
          <w:rFonts w:hint="eastAsia" w:ascii="宋体" w:hAnsi="宋体" w:eastAsia="宋体"/>
        </w:rPr>
        <w:t>支持当出现网络故障或系统未登录时，采集记录的数据不受网络限制，当网络恢复时，再将数据推送至服务器中。</w:t>
      </w:r>
    </w:p>
    <w:p w14:paraId="2B87E19B">
      <w:pPr>
        <w:ind w:firstLine="480"/>
        <w:rPr>
          <w:rFonts w:ascii="宋体" w:hAnsi="宋体" w:eastAsia="宋体"/>
        </w:rPr>
      </w:pPr>
      <w:r>
        <w:rPr>
          <w:rFonts w:hint="eastAsia" w:ascii="宋体" w:hAnsi="宋体" w:eastAsia="宋体"/>
        </w:rPr>
        <w:t>接入生命体征监护仪数据信息，将模拟信号转换为数字信号后实时引入到麻醉预警知识库中，作为知识库输入参数和危急判定依据。在麻醉过程中，匹配设置的阈值与告警提示触发条件。超过阈值时，系统予以警示，并告知麻醉医生处置建议。知识库参数包括拟手术时长、预计出血量、体温、血氧饱和度、吸氧浓度、收缩压、心率、NA+、Glu等，其中针对血压、心率、呼吸、血氧饱和度给予了相应的处置建议，包括药物、剂量、设备、体位等建议。</w:t>
      </w:r>
    </w:p>
    <w:p w14:paraId="06E8948C">
      <w:pPr>
        <w:rPr>
          <w:rFonts w:ascii="宋体" w:hAnsi="宋体" w:eastAsia="宋体"/>
        </w:rPr>
      </w:pPr>
      <w:r>
        <w:rPr>
          <w:rFonts w:hint="eastAsia" w:ascii="宋体" w:hAnsi="宋体" w:eastAsia="宋体"/>
        </w:rPr>
        <w:t>6)</w:t>
      </w:r>
      <w:r>
        <w:rPr>
          <w:rFonts w:hint="eastAsia" w:ascii="宋体" w:hAnsi="宋体" w:eastAsia="宋体"/>
        </w:rPr>
        <w:tab/>
      </w:r>
      <w:r>
        <w:rPr>
          <w:rFonts w:hint="eastAsia" w:ascii="宋体" w:hAnsi="宋体" w:eastAsia="宋体"/>
        </w:rPr>
        <w:t>交接班管理</w:t>
      </w:r>
    </w:p>
    <w:p w14:paraId="5DED566E">
      <w:pPr>
        <w:ind w:firstLine="480"/>
        <w:rPr>
          <w:rFonts w:ascii="宋体" w:hAnsi="宋体" w:eastAsia="宋体"/>
        </w:rPr>
      </w:pPr>
      <w:r>
        <w:rPr>
          <w:rFonts w:hint="eastAsia" w:ascii="宋体" w:hAnsi="宋体" w:eastAsia="宋体"/>
        </w:rPr>
        <w:t>支持麻醉医生、学员的工作交接，记录交接信息，并能够在麻醉记录单上呈现。该交接记录可以联动工作量计算规则，从而准确计算各个麻醉医生、学员的工作量。</w:t>
      </w:r>
    </w:p>
    <w:p w14:paraId="3B8344E9">
      <w:pPr>
        <w:ind w:firstLine="480"/>
        <w:rPr>
          <w:rFonts w:ascii="宋体" w:hAnsi="宋体" w:eastAsia="宋体"/>
        </w:rPr>
      </w:pPr>
      <w:r>
        <w:rPr>
          <w:rFonts w:hint="eastAsia" w:ascii="宋体" w:hAnsi="宋体" w:eastAsia="宋体"/>
        </w:rPr>
        <w:t>7)</w:t>
      </w:r>
      <w:r>
        <w:rPr>
          <w:rFonts w:hint="eastAsia" w:ascii="宋体" w:hAnsi="宋体" w:eastAsia="宋体"/>
        </w:rPr>
        <w:tab/>
      </w:r>
      <w:r>
        <w:rPr>
          <w:rFonts w:hint="eastAsia" w:ascii="宋体" w:hAnsi="宋体" w:eastAsia="宋体"/>
        </w:rPr>
        <w:t>快速手术</w:t>
      </w:r>
    </w:p>
    <w:p w14:paraId="2C164EDA">
      <w:pPr>
        <w:ind w:firstLine="480"/>
        <w:rPr>
          <w:rFonts w:ascii="宋体" w:hAnsi="宋体" w:eastAsia="宋体"/>
        </w:rPr>
      </w:pPr>
      <w:r>
        <w:rPr>
          <w:rFonts w:hint="eastAsia" w:ascii="宋体" w:hAnsi="宋体" w:eastAsia="宋体"/>
        </w:rPr>
        <w:t>快速手术入口立刻进入麻醉记录单，能够正常进行麻醉手术信息的记录。针对急诊手术这类紧急手术，允许先记录信息，在患者出室前再补录患者基础信息，以保证信息录入的及时性。</w:t>
      </w:r>
    </w:p>
    <w:p w14:paraId="132C17B6">
      <w:pPr>
        <w:rPr>
          <w:rFonts w:ascii="宋体" w:hAnsi="宋体" w:eastAsia="宋体"/>
        </w:rPr>
      </w:pPr>
      <w:r>
        <w:rPr>
          <w:rFonts w:hint="eastAsia" w:ascii="宋体" w:hAnsi="宋体" w:eastAsia="宋体"/>
        </w:rPr>
        <w:t>（4）麻醉苏醒管理</w:t>
      </w:r>
    </w:p>
    <w:p w14:paraId="584E30FD">
      <w:pPr>
        <w:ind w:firstLine="480"/>
        <w:rPr>
          <w:rFonts w:ascii="宋体" w:hAnsi="宋体" w:eastAsia="宋体"/>
        </w:rPr>
      </w:pPr>
      <w:r>
        <w:rPr>
          <w:rFonts w:hint="eastAsia" w:ascii="宋体" w:hAnsi="宋体" w:eastAsia="宋体"/>
        </w:rPr>
        <w:t>1)</w:t>
      </w:r>
      <w:r>
        <w:rPr>
          <w:rFonts w:hint="eastAsia" w:ascii="宋体" w:hAnsi="宋体" w:eastAsia="宋体"/>
        </w:rPr>
        <w:tab/>
      </w:r>
      <w:r>
        <w:rPr>
          <w:rFonts w:hint="eastAsia" w:ascii="宋体" w:hAnsi="宋体" w:eastAsia="宋体"/>
        </w:rPr>
        <w:t>支持1台客户端电脑控制多个床位的模式，可根据医院实际操作配置。</w:t>
      </w:r>
    </w:p>
    <w:p w14:paraId="5E030B77">
      <w:pPr>
        <w:ind w:firstLine="480"/>
        <w:rPr>
          <w:rFonts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苏醒记录单支持记录术后苏醒过程中麻醉用药、事件情况、生命体征等信息，自动生成苏醒记录单。其中生命体征信息可对接监护仪器，自动采集并记录数据。</w:t>
      </w:r>
    </w:p>
    <w:p w14:paraId="3F78EBDD">
      <w:pPr>
        <w:ind w:firstLine="480"/>
        <w:rPr>
          <w:rFonts w:ascii="宋体" w:hAnsi="宋体" w:eastAsia="宋体"/>
        </w:rPr>
      </w:pPr>
      <w:r>
        <w:rPr>
          <w:rFonts w:hint="eastAsia" w:ascii="宋体" w:hAnsi="宋体" w:eastAsia="宋体"/>
        </w:rPr>
        <w:t>3)</w:t>
      </w:r>
      <w:r>
        <w:rPr>
          <w:rFonts w:hint="eastAsia" w:ascii="宋体" w:hAnsi="宋体" w:eastAsia="宋体"/>
        </w:rPr>
        <w:tab/>
      </w:r>
      <w:r>
        <w:rPr>
          <w:rFonts w:hint="eastAsia" w:ascii="宋体" w:hAnsi="宋体" w:eastAsia="宋体"/>
        </w:rPr>
        <w:t>能够支持麻醉Steward、改良的Aldrete苏醒评分。从小便性状、哭闹程度、恶习/呕吐、寒颤、疼痛评分、伤口情况、引流性状、健康指导等多维度评估患者苏醒情况。</w:t>
      </w:r>
    </w:p>
    <w:p w14:paraId="4DD026B4">
      <w:pPr>
        <w:ind w:firstLine="480"/>
        <w:rPr>
          <w:rFonts w:ascii="宋体" w:hAnsi="宋体" w:eastAsia="宋体"/>
        </w:rPr>
      </w:pPr>
      <w:r>
        <w:rPr>
          <w:rFonts w:hint="eastAsia" w:ascii="宋体" w:hAnsi="宋体" w:eastAsia="宋体"/>
        </w:rPr>
        <w:t>4)</w:t>
      </w:r>
      <w:r>
        <w:rPr>
          <w:rFonts w:hint="eastAsia" w:ascii="宋体" w:hAnsi="宋体" w:eastAsia="宋体"/>
        </w:rPr>
        <w:tab/>
      </w:r>
      <w:r>
        <w:rPr>
          <w:rFonts w:hint="eastAsia" w:ascii="宋体" w:hAnsi="宋体" w:eastAsia="宋体"/>
        </w:rPr>
        <w:t>支持记录患者从入苏醒室时随身管道：输液管道、尿管、T管、口烟管、鼻咽管、镇痛泵等。</w:t>
      </w:r>
    </w:p>
    <w:p w14:paraId="65B2B931">
      <w:pPr>
        <w:ind w:firstLine="480"/>
        <w:rPr>
          <w:rFonts w:ascii="宋体" w:hAnsi="宋体" w:eastAsia="宋体"/>
        </w:rPr>
      </w:pPr>
      <w:r>
        <w:rPr>
          <w:rFonts w:hint="eastAsia" w:ascii="宋体" w:hAnsi="宋体" w:eastAsia="宋体"/>
        </w:rPr>
        <w:t>5)</w:t>
      </w:r>
      <w:r>
        <w:rPr>
          <w:rFonts w:hint="eastAsia" w:ascii="宋体" w:hAnsi="宋体" w:eastAsia="宋体"/>
        </w:rPr>
        <w:tab/>
      </w:r>
      <w:r>
        <w:rPr>
          <w:rFonts w:hint="eastAsia" w:ascii="宋体" w:hAnsi="宋体" w:eastAsia="宋体"/>
        </w:rPr>
        <w:t>患者完成手术，麻醉医生记录术中剩余液体余量。转入苏醒室时，系统自动提取出室时记录的液体余量，标记在苏醒记录单上，并且特别显示为带入液体。</w:t>
      </w:r>
    </w:p>
    <w:p w14:paraId="60E263AA">
      <w:pPr>
        <w:rPr>
          <w:rFonts w:ascii="宋体" w:hAnsi="宋体" w:eastAsia="宋体"/>
        </w:rPr>
      </w:pPr>
      <w:r>
        <w:rPr>
          <w:rFonts w:hint="eastAsia" w:ascii="宋体" w:hAnsi="宋体" w:eastAsia="宋体"/>
        </w:rPr>
        <w:t>（5）术后随访管理</w:t>
      </w:r>
    </w:p>
    <w:p w14:paraId="785E5122">
      <w:pPr>
        <w:ind w:firstLine="480"/>
        <w:rPr>
          <w:rFonts w:ascii="宋体" w:hAnsi="宋体" w:eastAsia="宋体"/>
        </w:rPr>
      </w:pPr>
      <w:r>
        <w:rPr>
          <w:rFonts w:hint="eastAsia" w:ascii="宋体" w:hAnsi="宋体" w:eastAsia="宋体"/>
        </w:rPr>
        <w:t>1)</w:t>
      </w:r>
      <w:r>
        <w:rPr>
          <w:rFonts w:hint="eastAsia" w:ascii="宋体" w:hAnsi="宋体" w:eastAsia="宋体"/>
        </w:rPr>
        <w:tab/>
      </w:r>
      <w:r>
        <w:rPr>
          <w:rFonts w:hint="eastAsia" w:ascii="宋体" w:hAnsi="宋体" w:eastAsia="宋体"/>
        </w:rPr>
        <w:t>术后随访支持客户端及床旁随访两种模式。整体按照任务驱动方式进行管理，系统自动汇总每日待随访病人，并且根据规则生成随访任务。包括术后24小时随访、镇痛泵随访、并发症随访、预出院随访。</w:t>
      </w:r>
    </w:p>
    <w:p w14:paraId="6097DE70">
      <w:pPr>
        <w:ind w:firstLine="480"/>
        <w:rPr>
          <w:rFonts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镇痛泵随访结合了术前申请、术中使用，完成了镇痛闭环管理。当患者申请了镇痛泵，手术结束后系统按照随访日期自动生成镇痛泵随访。结合术前麻醉风险评估中的镇痛计划及建议以及麻醉医生申请的镇痛泵类型、镇痛药物等信息，能有效了解患者在围术期内镇痛的情况，帮助麻醉医生改善后续手术的镇痛计划。患者拆除镇痛泵，镇痛泵随访结束；</w:t>
      </w:r>
    </w:p>
    <w:p w14:paraId="3C4B6D55">
      <w:pPr>
        <w:ind w:firstLine="480"/>
        <w:rPr>
          <w:rFonts w:ascii="宋体" w:hAnsi="宋体" w:eastAsia="宋体"/>
        </w:rPr>
      </w:pPr>
      <w:r>
        <w:rPr>
          <w:rFonts w:hint="eastAsia" w:ascii="宋体" w:hAnsi="宋体" w:eastAsia="宋体"/>
        </w:rPr>
        <w:t>3)</w:t>
      </w:r>
      <w:r>
        <w:rPr>
          <w:rFonts w:hint="eastAsia" w:ascii="宋体" w:hAnsi="宋体" w:eastAsia="宋体"/>
        </w:rPr>
        <w:tab/>
      </w:r>
      <w:r>
        <w:rPr>
          <w:rFonts w:hint="eastAsia" w:ascii="宋体" w:hAnsi="宋体" w:eastAsia="宋体"/>
        </w:rPr>
        <w:t>患者在术后出现并发症时，能够生成术后并发症随访。能够在患者并发症未治愈前每日生成并发症随访，直到术后并发症消失。术前麻醉风险评估给予并发症高风险评定及应对措施，结合术中麻醉医生采取的应对措施，能够有效分析出术后并发症的产生的原因，并且有了有效数据作为支撑，整个术后并发症形成闭环管理；</w:t>
      </w:r>
    </w:p>
    <w:p w14:paraId="3352144B">
      <w:pPr>
        <w:ind w:firstLine="480"/>
        <w:rPr>
          <w:rFonts w:ascii="宋体" w:hAnsi="宋体" w:eastAsia="宋体"/>
        </w:rPr>
      </w:pPr>
      <w:r>
        <w:rPr>
          <w:rFonts w:hint="eastAsia" w:ascii="宋体" w:hAnsi="宋体" w:eastAsia="宋体"/>
        </w:rPr>
        <w:t>4)</w:t>
      </w:r>
      <w:r>
        <w:rPr>
          <w:rFonts w:hint="eastAsia" w:ascii="宋体" w:hAnsi="宋体" w:eastAsia="宋体"/>
        </w:rPr>
        <w:tab/>
      </w:r>
      <w:r>
        <w:rPr>
          <w:rFonts w:hint="eastAsia" w:ascii="宋体" w:hAnsi="宋体" w:eastAsia="宋体"/>
        </w:rPr>
        <w:t>术后随访过程中出现不良事件，如全麻气管插管拔管后声音嘶哑，根据后台不良事件规则库，结合术中麻醉操作给予不良事件提示。要求随访人员/麻醉医生记录不良事件产生的原因。</w:t>
      </w:r>
    </w:p>
    <w:p w14:paraId="3962995E">
      <w:pPr>
        <w:rPr>
          <w:rFonts w:ascii="宋体" w:hAnsi="宋体" w:eastAsia="宋体"/>
        </w:rPr>
      </w:pPr>
      <w:r>
        <w:rPr>
          <w:rFonts w:hint="eastAsia" w:ascii="宋体" w:hAnsi="宋体" w:eastAsia="宋体"/>
        </w:rPr>
        <w:t>（6）麻醉计费管理</w:t>
      </w:r>
    </w:p>
    <w:p w14:paraId="7122425E">
      <w:pPr>
        <w:ind w:firstLine="480"/>
        <w:rPr>
          <w:rFonts w:ascii="宋体" w:hAnsi="宋体" w:eastAsia="宋体"/>
        </w:rPr>
      </w:pPr>
      <w:r>
        <w:rPr>
          <w:rFonts w:hint="eastAsia" w:ascii="宋体" w:hAnsi="宋体" w:eastAsia="宋体"/>
        </w:rPr>
        <w:t>1)</w:t>
      </w:r>
      <w:r>
        <w:rPr>
          <w:rFonts w:hint="eastAsia" w:ascii="宋体" w:hAnsi="宋体" w:eastAsia="宋体"/>
        </w:rPr>
        <w:tab/>
      </w:r>
      <w:r>
        <w:rPr>
          <w:rFonts w:hint="eastAsia" w:ascii="宋体" w:hAnsi="宋体" w:eastAsia="宋体"/>
        </w:rPr>
        <w:t>支持自动识别汇总术中的麻醉用药，并把实际剂量转换为最小包装单位。自动识别麻醉时长，以及麻醉过程中所使用的耗材、操作、血气、镇痛泵等耗材与处置费。由麻醉医生核对费用后，一键提交至HIS，完成术中用药的医嘱记录与费用记录。</w:t>
      </w:r>
    </w:p>
    <w:p w14:paraId="74D4274D">
      <w:pPr>
        <w:ind w:firstLine="480"/>
        <w:rPr>
          <w:rFonts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要求对接耗材管理系统，通过扫码方式完成耗材的计费；</w:t>
      </w:r>
    </w:p>
    <w:p w14:paraId="6E5A43BE">
      <w:pPr>
        <w:ind w:firstLine="480"/>
        <w:rPr>
          <w:rFonts w:ascii="宋体" w:hAnsi="宋体" w:eastAsia="宋体"/>
        </w:rPr>
      </w:pPr>
      <w:r>
        <w:rPr>
          <w:rFonts w:hint="eastAsia" w:ascii="宋体" w:hAnsi="宋体" w:eastAsia="宋体"/>
        </w:rPr>
        <w:t>3)</w:t>
      </w:r>
      <w:r>
        <w:rPr>
          <w:rFonts w:hint="eastAsia" w:ascii="宋体" w:hAnsi="宋体" w:eastAsia="宋体"/>
        </w:rPr>
        <w:tab/>
      </w:r>
      <w:r>
        <w:rPr>
          <w:rFonts w:hint="eastAsia" w:ascii="宋体" w:hAnsi="宋体" w:eastAsia="宋体"/>
        </w:rPr>
        <w:t>支持快速录入区，按照医嘱类型归类，便于麻醉医生快速计费；</w:t>
      </w:r>
    </w:p>
    <w:p w14:paraId="45E669B0">
      <w:pPr>
        <w:ind w:firstLine="480"/>
        <w:rPr>
          <w:rFonts w:ascii="宋体" w:hAnsi="宋体" w:eastAsia="宋体"/>
        </w:rPr>
      </w:pPr>
      <w:r>
        <w:rPr>
          <w:rFonts w:hint="eastAsia" w:ascii="宋体" w:hAnsi="宋体" w:eastAsia="宋体"/>
        </w:rPr>
        <w:t>4)</w:t>
      </w:r>
      <w:r>
        <w:rPr>
          <w:rFonts w:hint="eastAsia" w:ascii="宋体" w:hAnsi="宋体" w:eastAsia="宋体"/>
        </w:rPr>
        <w:tab/>
      </w:r>
      <w:r>
        <w:rPr>
          <w:rFonts w:hint="eastAsia" w:ascii="宋体" w:hAnsi="宋体" w:eastAsia="宋体"/>
        </w:rPr>
        <w:t>支持医嘱套包，将多个医嘱合并至一个套包内，快速完成计费。</w:t>
      </w:r>
    </w:p>
    <w:p w14:paraId="149B242C">
      <w:pPr>
        <w:rPr>
          <w:rFonts w:ascii="宋体" w:hAnsi="宋体" w:eastAsia="宋体"/>
        </w:rPr>
      </w:pPr>
      <w:r>
        <w:rPr>
          <w:rFonts w:hint="eastAsia" w:ascii="宋体" w:hAnsi="宋体" w:eastAsia="宋体"/>
        </w:rPr>
        <w:t>（7）手术护理管理</w:t>
      </w:r>
    </w:p>
    <w:p w14:paraId="41C1416E">
      <w:pPr>
        <w:ind w:firstLine="480"/>
        <w:rPr>
          <w:rFonts w:ascii="宋体" w:hAnsi="宋体" w:eastAsia="宋体"/>
        </w:rPr>
      </w:pPr>
      <w:r>
        <w:rPr>
          <w:rFonts w:hint="eastAsia" w:ascii="宋体" w:hAnsi="宋体" w:eastAsia="宋体"/>
        </w:rPr>
        <w:t>1）患者管理</w:t>
      </w:r>
    </w:p>
    <w:p w14:paraId="757FF5BE">
      <w:pPr>
        <w:ind w:firstLine="480"/>
        <w:rPr>
          <w:rFonts w:ascii="宋体" w:hAnsi="宋体" w:eastAsia="宋体"/>
        </w:rPr>
      </w:pPr>
      <w:r>
        <w:rPr>
          <w:rFonts w:hint="eastAsia" w:ascii="宋体" w:hAnsi="宋体" w:eastAsia="宋体"/>
        </w:rPr>
        <w:t>对接手术排程系统，实现已排程患者的自动获取，以手术间维度呈现患者，供手术室护士操作与记录；</w:t>
      </w:r>
    </w:p>
    <w:p w14:paraId="3253119F">
      <w:pPr>
        <w:ind w:firstLine="480"/>
        <w:rPr>
          <w:rFonts w:ascii="宋体" w:hAnsi="宋体" w:eastAsia="宋体"/>
        </w:rPr>
      </w:pPr>
      <w:r>
        <w:rPr>
          <w:rFonts w:hint="eastAsia" w:ascii="宋体" w:hAnsi="宋体" w:eastAsia="宋体"/>
        </w:rPr>
        <w:t>对接HIS系统、手麻系统等业务系统，实现患者信息、手术信息、排程信息的自动获取；</w:t>
      </w:r>
    </w:p>
    <w:p w14:paraId="3E014FEA">
      <w:pPr>
        <w:ind w:firstLine="480"/>
        <w:rPr>
          <w:rFonts w:ascii="宋体" w:hAnsi="宋体" w:eastAsia="宋体"/>
        </w:rPr>
      </w:pPr>
      <w:r>
        <w:rPr>
          <w:rFonts w:hint="eastAsia" w:ascii="宋体" w:hAnsi="宋体" w:eastAsia="宋体"/>
        </w:rPr>
        <w:t>支持调用移动设备的扫描装置，通过手持移动设备扫描患者腕带，实现机读方式核对患者身份及手术信息，完成患者入室信息的核对。</w:t>
      </w:r>
    </w:p>
    <w:p w14:paraId="284CAC47">
      <w:pPr>
        <w:ind w:firstLine="480"/>
        <w:rPr>
          <w:rFonts w:ascii="宋体" w:hAnsi="宋体" w:eastAsia="宋体"/>
        </w:rPr>
      </w:pPr>
      <w:r>
        <w:rPr>
          <w:rFonts w:hint="eastAsia" w:ascii="宋体" w:hAnsi="宋体" w:eastAsia="宋体"/>
        </w:rPr>
        <w:t>2）器械清点</w:t>
      </w:r>
    </w:p>
    <w:p w14:paraId="002C7158">
      <w:pPr>
        <w:ind w:firstLine="480"/>
        <w:rPr>
          <w:rFonts w:ascii="宋体" w:hAnsi="宋体" w:eastAsia="宋体"/>
        </w:rPr>
      </w:pPr>
      <w:r>
        <w:rPr>
          <w:rFonts w:hint="eastAsia" w:ascii="宋体" w:hAnsi="宋体" w:eastAsia="宋体"/>
        </w:rPr>
        <w:t>支持根据手术状态管控清点节点，当手术状态未到相应阶段时，无法进行下一步的清点工作。配合移动平板，能够实现无菌台旁的器械清点。</w:t>
      </w:r>
    </w:p>
    <w:p w14:paraId="5D9F97DF">
      <w:pPr>
        <w:ind w:firstLine="480"/>
        <w:rPr>
          <w:rFonts w:ascii="宋体" w:hAnsi="宋体" w:eastAsia="宋体"/>
        </w:rPr>
      </w:pPr>
      <w:r>
        <w:rPr>
          <w:rFonts w:hint="eastAsia" w:ascii="宋体" w:hAnsi="宋体" w:eastAsia="宋体"/>
        </w:rPr>
        <w:t>支持按照医院现有器械包及包内器械，配置电子器械包，便于护士快速添加器械包及包内器械；</w:t>
      </w:r>
    </w:p>
    <w:p w14:paraId="608A2C9B">
      <w:pPr>
        <w:ind w:firstLine="480"/>
        <w:rPr>
          <w:rFonts w:ascii="宋体" w:hAnsi="宋体" w:eastAsia="宋体"/>
        </w:rPr>
      </w:pPr>
      <w:r>
        <w:rPr>
          <w:rFonts w:hint="eastAsia" w:ascii="宋体" w:hAnsi="宋体" w:eastAsia="宋体"/>
        </w:rPr>
        <w:t>新增器械包时，进行包内器械及数量的核对，记录打包错误的详细情况。不同器械包的相同器械，需要进行区分显示；</w:t>
      </w:r>
    </w:p>
    <w:p w14:paraId="4BAE1A4D">
      <w:pPr>
        <w:ind w:firstLine="480"/>
        <w:rPr>
          <w:rFonts w:ascii="宋体" w:hAnsi="宋体" w:eastAsia="宋体"/>
        </w:rPr>
      </w:pPr>
      <w:r>
        <w:rPr>
          <w:rFonts w:hint="eastAsia" w:ascii="宋体" w:hAnsi="宋体" w:eastAsia="宋体"/>
        </w:rPr>
        <w:t>支持以清单方式呈现各阶段添加的器械数量，便于护士快速了解各阶段原始数、加数、现有数量；</w:t>
      </w:r>
    </w:p>
    <w:p w14:paraId="09CD05B4">
      <w:pPr>
        <w:ind w:firstLine="480"/>
        <w:rPr>
          <w:rFonts w:ascii="宋体" w:hAnsi="宋体" w:eastAsia="宋体"/>
        </w:rPr>
      </w:pPr>
      <w:r>
        <w:rPr>
          <w:rFonts w:hint="eastAsia" w:ascii="宋体" w:hAnsi="宋体" w:eastAsia="宋体"/>
        </w:rPr>
        <w:t>患者存在多个主手术时，支持关联主手术建立多个器械清点单；</w:t>
      </w:r>
    </w:p>
    <w:p w14:paraId="3DACF19A">
      <w:pPr>
        <w:ind w:firstLine="480"/>
        <w:rPr>
          <w:rFonts w:ascii="宋体" w:hAnsi="宋体" w:eastAsia="宋体"/>
        </w:rPr>
      </w:pPr>
      <w:r>
        <w:rPr>
          <w:rFonts w:hint="eastAsia" w:ascii="宋体" w:hAnsi="宋体" w:eastAsia="宋体"/>
        </w:rPr>
        <w:t>按照标准格式生成器械清点记录单，也可根据医院要求定制化器械清点单；</w:t>
      </w:r>
    </w:p>
    <w:p w14:paraId="72268058">
      <w:pPr>
        <w:ind w:firstLine="480"/>
        <w:rPr>
          <w:rFonts w:ascii="宋体" w:hAnsi="宋体" w:eastAsia="宋体"/>
        </w:rPr>
      </w:pPr>
      <w:r>
        <w:rPr>
          <w:rFonts w:hint="eastAsia" w:ascii="宋体" w:hAnsi="宋体" w:eastAsia="宋体"/>
        </w:rPr>
        <w:t>持通过移动设备扫描器械包上的条码进行快速加载器械包，提高器械清单效率。</w:t>
      </w:r>
    </w:p>
    <w:p w14:paraId="1E82F364">
      <w:pPr>
        <w:ind w:firstLine="480"/>
        <w:rPr>
          <w:rFonts w:ascii="宋体" w:hAnsi="宋体" w:eastAsia="宋体"/>
        </w:rPr>
      </w:pPr>
      <w:r>
        <w:rPr>
          <w:rFonts w:hint="eastAsia" w:ascii="宋体" w:hAnsi="宋体" w:eastAsia="宋体"/>
        </w:rPr>
        <w:t>3）安全核查</w:t>
      </w:r>
    </w:p>
    <w:p w14:paraId="4788A879">
      <w:pPr>
        <w:ind w:firstLine="480"/>
        <w:rPr>
          <w:rFonts w:ascii="宋体" w:hAnsi="宋体" w:eastAsia="宋体"/>
        </w:rPr>
      </w:pPr>
      <w:r>
        <w:rPr>
          <w:rFonts w:hint="eastAsia" w:ascii="宋体" w:hAnsi="宋体" w:eastAsia="宋体"/>
        </w:rPr>
        <w:t>根据手术状态管控安全核查流程，未到相应阶段，无法进行下一步的安全核查；</w:t>
      </w:r>
    </w:p>
    <w:p w14:paraId="4967592A">
      <w:pPr>
        <w:ind w:firstLine="480"/>
        <w:rPr>
          <w:rFonts w:ascii="宋体" w:hAnsi="宋体" w:eastAsia="宋体"/>
        </w:rPr>
      </w:pPr>
      <w:r>
        <w:rPr>
          <w:rFonts w:hint="eastAsia" w:ascii="宋体" w:hAnsi="宋体" w:eastAsia="宋体"/>
        </w:rPr>
        <w:t>支持联动手麻系统，实现按角色、按内容在两个系统内进行核查，核查结果汇总。配合移动平板，能够实现床旁的安全核查。</w:t>
      </w:r>
    </w:p>
    <w:p w14:paraId="503BE31D">
      <w:pPr>
        <w:ind w:firstLine="480"/>
        <w:rPr>
          <w:rFonts w:ascii="宋体" w:hAnsi="宋体" w:eastAsia="宋体"/>
        </w:rPr>
      </w:pPr>
      <w:r>
        <w:rPr>
          <w:rFonts w:hint="eastAsia" w:ascii="宋体" w:hAnsi="宋体" w:eastAsia="宋体"/>
        </w:rPr>
        <w:t>支持安全核查项目自动跳转，即每项条目逐页自行滚动播放，并在检查项目中获取检查项目的结果，避免护士切换系统查询待核查内容；</w:t>
      </w:r>
    </w:p>
    <w:p w14:paraId="1FDB9F56">
      <w:pPr>
        <w:ind w:firstLine="480"/>
        <w:rPr>
          <w:rFonts w:ascii="宋体" w:hAnsi="宋体" w:eastAsia="宋体"/>
        </w:rPr>
      </w:pPr>
      <w:r>
        <w:rPr>
          <w:rFonts w:hint="eastAsia" w:ascii="宋体" w:hAnsi="宋体" w:eastAsia="宋体"/>
        </w:rPr>
        <w:t>按照标准格式生成安全核查记录单，也可根据医院要求定制化安全核查记录单。</w:t>
      </w:r>
    </w:p>
    <w:p w14:paraId="7145D8FE">
      <w:pPr>
        <w:ind w:firstLine="480"/>
        <w:rPr>
          <w:rFonts w:ascii="宋体" w:hAnsi="宋体" w:eastAsia="宋体"/>
        </w:rPr>
      </w:pPr>
      <w:r>
        <w:rPr>
          <w:rFonts w:hint="eastAsia" w:ascii="宋体" w:hAnsi="宋体" w:eastAsia="宋体"/>
        </w:rPr>
        <w:t>4）转科交接记录</w:t>
      </w:r>
    </w:p>
    <w:p w14:paraId="1370FB19">
      <w:pPr>
        <w:ind w:firstLine="480"/>
        <w:rPr>
          <w:rFonts w:ascii="宋体" w:hAnsi="宋体" w:eastAsia="宋体"/>
        </w:rPr>
      </w:pPr>
      <w:r>
        <w:rPr>
          <w:rFonts w:hint="eastAsia" w:ascii="宋体" w:hAnsi="宋体" w:eastAsia="宋体"/>
        </w:rPr>
        <w:t>按照标准格式设计转科交接单，也可根据医院要求定制化转科交接单。</w:t>
      </w:r>
    </w:p>
    <w:p w14:paraId="2E6BF8B0">
      <w:pPr>
        <w:ind w:firstLine="480"/>
        <w:rPr>
          <w:rFonts w:ascii="宋体" w:hAnsi="宋体" w:eastAsia="宋体"/>
        </w:rPr>
      </w:pPr>
      <w:r>
        <w:rPr>
          <w:rFonts w:hint="eastAsia" w:ascii="宋体" w:hAnsi="宋体" w:eastAsia="宋体"/>
        </w:rPr>
        <w:t>5）管路管理</w:t>
      </w:r>
    </w:p>
    <w:p w14:paraId="01ABAE7C">
      <w:pPr>
        <w:ind w:firstLine="480"/>
        <w:rPr>
          <w:rFonts w:ascii="宋体" w:hAnsi="宋体" w:eastAsia="宋体"/>
        </w:rPr>
      </w:pPr>
      <w:r>
        <w:rPr>
          <w:rFonts w:hint="eastAsia" w:ascii="宋体" w:hAnsi="宋体" w:eastAsia="宋体"/>
        </w:rPr>
        <w:t>支持手术患者的管路信息记录，汇总麻醉医生创建的管理和护士记录的管路信息，包括：静脉通道、尿管、胃管，记录创建时间，位置、深度、创建人员等。</w:t>
      </w:r>
    </w:p>
    <w:p w14:paraId="524B63DC">
      <w:pPr>
        <w:ind w:firstLine="480"/>
        <w:rPr>
          <w:rFonts w:ascii="宋体" w:hAnsi="宋体" w:eastAsia="宋体"/>
        </w:rPr>
      </w:pPr>
      <w:r>
        <w:rPr>
          <w:rFonts w:hint="eastAsia" w:ascii="宋体" w:hAnsi="宋体" w:eastAsia="宋体"/>
        </w:rPr>
        <w:t>6）文书管理</w:t>
      </w:r>
    </w:p>
    <w:p w14:paraId="47920255">
      <w:pPr>
        <w:ind w:firstLine="480"/>
        <w:rPr>
          <w:rFonts w:ascii="宋体" w:hAnsi="宋体" w:eastAsia="宋体"/>
        </w:rPr>
      </w:pPr>
      <w:r>
        <w:rPr>
          <w:rFonts w:hint="eastAsia" w:ascii="宋体" w:hAnsi="宋体" w:eastAsia="宋体"/>
        </w:rPr>
        <w:t>记录单能够根据预设、人工勾选的项目，无偏差的生成护理文书。记录单支持对接医院无纸化病案系统，也能通过打印机输出纸质记录单；</w:t>
      </w:r>
    </w:p>
    <w:p w14:paraId="63734455">
      <w:pPr>
        <w:ind w:firstLine="480"/>
        <w:rPr>
          <w:rFonts w:ascii="宋体" w:hAnsi="宋体" w:eastAsia="宋体"/>
        </w:rPr>
      </w:pPr>
      <w:r>
        <w:rPr>
          <w:rFonts w:hint="eastAsia" w:ascii="宋体" w:hAnsi="宋体" w:eastAsia="宋体"/>
        </w:rPr>
        <w:t>可根据医院手术护理需求，定制其他手术护理文书；</w:t>
      </w:r>
    </w:p>
    <w:p w14:paraId="5411EBEC">
      <w:pPr>
        <w:ind w:firstLine="480"/>
        <w:rPr>
          <w:rFonts w:ascii="宋体" w:hAnsi="宋体" w:eastAsia="宋体"/>
        </w:rPr>
      </w:pPr>
      <w:r>
        <w:rPr>
          <w:rFonts w:hint="eastAsia" w:ascii="宋体" w:hAnsi="宋体" w:eastAsia="宋体"/>
        </w:rPr>
        <w:t>支持将文书通过地址、查阅工具等方式支持对外服务，供院内其它信息系统调阅。</w:t>
      </w:r>
    </w:p>
    <w:p w14:paraId="69949134">
      <w:pPr>
        <w:rPr>
          <w:rFonts w:ascii="宋体" w:hAnsi="宋体" w:eastAsia="宋体"/>
        </w:rPr>
      </w:pPr>
      <w:r>
        <w:rPr>
          <w:rFonts w:hint="eastAsia" w:ascii="宋体" w:hAnsi="宋体" w:eastAsia="宋体"/>
        </w:rPr>
        <w:t>（8）麻醉质控指标</w:t>
      </w:r>
    </w:p>
    <w:p w14:paraId="6747DB9A">
      <w:pPr>
        <w:ind w:firstLine="480"/>
        <w:rPr>
          <w:rFonts w:ascii="宋体" w:hAnsi="宋体" w:eastAsia="宋体"/>
        </w:rPr>
      </w:pPr>
      <w:r>
        <w:rPr>
          <w:rFonts w:hint="eastAsia" w:ascii="宋体" w:hAnsi="宋体" w:eastAsia="宋体"/>
        </w:rPr>
        <w:t>1)</w:t>
      </w:r>
      <w:r>
        <w:rPr>
          <w:rFonts w:hint="eastAsia" w:ascii="宋体" w:hAnsi="宋体" w:eastAsia="宋体"/>
        </w:rPr>
        <w:tab/>
      </w:r>
      <w:r>
        <w:rPr>
          <w:rFonts w:hint="eastAsia" w:ascii="宋体" w:hAnsi="宋体" w:eastAsia="宋体"/>
        </w:rPr>
        <w:t>按照《麻醉专业医疗质量控制指标（2022版）》标准支持质控指标。质控数据可通过业务系统自动抓取，上线前可根据医院实际情况调整数据抓取的触发点。</w:t>
      </w:r>
    </w:p>
    <w:p w14:paraId="70449302">
      <w:pPr>
        <w:ind w:firstLine="480"/>
        <w:rPr>
          <w:rFonts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支持质控指标展示，支持指标的数据占比。质控指标中可查看数据占比的详情；可核对占比的准确性，帮助管理者详细了解详细的情况；</w:t>
      </w:r>
    </w:p>
    <w:p w14:paraId="13314DE8">
      <w:pPr>
        <w:ind w:firstLine="480"/>
        <w:rPr>
          <w:rFonts w:ascii="宋体" w:hAnsi="宋体" w:eastAsia="宋体"/>
        </w:rPr>
      </w:pPr>
      <w:r>
        <w:rPr>
          <w:rFonts w:hint="eastAsia" w:ascii="宋体" w:hAnsi="宋体" w:eastAsia="宋体"/>
        </w:rPr>
        <w:t>3)</w:t>
      </w:r>
      <w:r>
        <w:rPr>
          <w:rFonts w:hint="eastAsia" w:ascii="宋体" w:hAnsi="宋体" w:eastAsia="宋体"/>
        </w:rPr>
        <w:tab/>
      </w:r>
      <w:r>
        <w:rPr>
          <w:rFonts w:hint="eastAsia" w:ascii="宋体" w:hAnsi="宋体" w:eastAsia="宋体"/>
        </w:rPr>
        <w:t>单个指标能够通过可视化图形进行占比展示，能够查看指标的详细信息。详细信息能够按照分子、分母进行区分，能够将详细信息以EXCEL表进行导出。</w:t>
      </w:r>
    </w:p>
    <w:p w14:paraId="6A758FA2">
      <w:pPr>
        <w:rPr>
          <w:rFonts w:ascii="宋体" w:hAnsi="宋体" w:eastAsia="宋体"/>
        </w:rPr>
      </w:pPr>
      <w:r>
        <w:rPr>
          <w:rFonts w:hint="eastAsia" w:ascii="宋体" w:hAnsi="宋体" w:eastAsia="宋体"/>
        </w:rPr>
        <w:t>（9）运营与检测指标</w:t>
      </w:r>
    </w:p>
    <w:p w14:paraId="2BF4D072">
      <w:pPr>
        <w:ind w:firstLine="480"/>
        <w:rPr>
          <w:rFonts w:ascii="宋体" w:hAnsi="宋体" w:eastAsia="宋体"/>
        </w:rPr>
      </w:pPr>
      <w:r>
        <w:rPr>
          <w:rFonts w:hint="eastAsia" w:ascii="宋体" w:hAnsi="宋体" w:eastAsia="宋体"/>
        </w:rPr>
        <w:t>1)</w:t>
      </w:r>
      <w:r>
        <w:rPr>
          <w:rFonts w:hint="eastAsia" w:ascii="宋体" w:hAnsi="宋体" w:eastAsia="宋体"/>
        </w:rPr>
        <w:tab/>
      </w:r>
      <w:r>
        <w:rPr>
          <w:rFonts w:hint="eastAsia" w:ascii="宋体" w:hAnsi="宋体" w:eastAsia="宋体"/>
        </w:rPr>
        <w:t>准点与延迟开台率</w:t>
      </w:r>
    </w:p>
    <w:p w14:paraId="23A673AE">
      <w:pPr>
        <w:ind w:firstLine="480"/>
        <w:rPr>
          <w:rFonts w:ascii="宋体" w:hAnsi="宋体" w:eastAsia="宋体"/>
        </w:rPr>
      </w:pPr>
      <w:r>
        <w:rPr>
          <w:rFonts w:hint="eastAsia" w:ascii="宋体" w:hAnsi="宋体" w:eastAsia="宋体"/>
        </w:rPr>
        <w:t>重点展示每日首台量、首台手术患者所属科室、准点开台数量、准点开台率、延迟开台数量、延迟开台量。其中首台量、准点开台数量、延迟开台数量能够展示取值明细。</w:t>
      </w:r>
    </w:p>
    <w:p w14:paraId="70B56F76">
      <w:pPr>
        <w:ind w:firstLine="480"/>
        <w:rPr>
          <w:rFonts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接台时长统计</w:t>
      </w:r>
    </w:p>
    <w:p w14:paraId="550B50A2">
      <w:pPr>
        <w:ind w:firstLine="480"/>
        <w:rPr>
          <w:rFonts w:ascii="宋体" w:hAnsi="宋体" w:eastAsia="宋体"/>
        </w:rPr>
      </w:pPr>
      <w:r>
        <w:rPr>
          <w:rFonts w:hint="eastAsia" w:ascii="宋体" w:hAnsi="宋体" w:eastAsia="宋体"/>
        </w:rPr>
        <w:t>重点展示手术台数、总计手术时长、总计接台时长、入室时间、平均接台时长。其中手术台数能够展示取值明细。</w:t>
      </w:r>
    </w:p>
    <w:p w14:paraId="41691AA4">
      <w:pPr>
        <w:ind w:firstLine="480"/>
        <w:rPr>
          <w:rFonts w:ascii="宋体" w:hAnsi="宋体" w:eastAsia="宋体"/>
        </w:rPr>
      </w:pPr>
      <w:r>
        <w:rPr>
          <w:rFonts w:hint="eastAsia" w:ascii="宋体" w:hAnsi="宋体" w:eastAsia="宋体"/>
        </w:rPr>
        <w:t>3)</w:t>
      </w:r>
      <w:r>
        <w:rPr>
          <w:rFonts w:hint="eastAsia" w:ascii="宋体" w:hAnsi="宋体" w:eastAsia="宋体"/>
        </w:rPr>
        <w:tab/>
      </w:r>
      <w:r>
        <w:rPr>
          <w:rFonts w:hint="eastAsia" w:ascii="宋体" w:hAnsi="宋体" w:eastAsia="宋体"/>
        </w:rPr>
        <w:t>取消手术统计</w:t>
      </w:r>
    </w:p>
    <w:p w14:paraId="6F99311D">
      <w:pPr>
        <w:ind w:firstLine="480"/>
        <w:rPr>
          <w:rFonts w:ascii="宋体" w:hAnsi="宋体" w:eastAsia="宋体"/>
        </w:rPr>
      </w:pPr>
      <w:r>
        <w:rPr>
          <w:rFonts w:hint="eastAsia" w:ascii="宋体" w:hAnsi="宋体" w:eastAsia="宋体"/>
        </w:rPr>
        <w:t>取消手术包括手术申请、手术排程、入室前、手术过程中几种阶段，重点统计上述阶段取消手术的数量，并能够展示每个条目的取值明细。</w:t>
      </w:r>
    </w:p>
    <w:p w14:paraId="772CB074">
      <w:pPr>
        <w:ind w:firstLine="480"/>
        <w:rPr>
          <w:rFonts w:ascii="宋体" w:hAnsi="宋体" w:eastAsia="宋体"/>
        </w:rPr>
      </w:pPr>
      <w:r>
        <w:rPr>
          <w:rFonts w:hint="eastAsia" w:ascii="宋体" w:hAnsi="宋体" w:eastAsia="宋体"/>
        </w:rPr>
        <w:t>4)</w:t>
      </w:r>
      <w:r>
        <w:rPr>
          <w:rFonts w:hint="eastAsia" w:ascii="宋体" w:hAnsi="宋体" w:eastAsia="宋体"/>
        </w:rPr>
        <w:tab/>
      </w:r>
      <w:r>
        <w:rPr>
          <w:rFonts w:hint="eastAsia" w:ascii="宋体" w:hAnsi="宋体" w:eastAsia="宋体"/>
        </w:rPr>
        <w:t>跨天手术统计</w:t>
      </w:r>
    </w:p>
    <w:p w14:paraId="052E9007">
      <w:pPr>
        <w:ind w:firstLine="480"/>
        <w:rPr>
          <w:rFonts w:ascii="宋体" w:hAnsi="宋体" w:eastAsia="宋体"/>
        </w:rPr>
      </w:pPr>
      <w:r>
        <w:rPr>
          <w:rFonts w:hint="eastAsia" w:ascii="宋体" w:hAnsi="宋体" w:eastAsia="宋体"/>
        </w:rPr>
        <w:t>重点展示开始日期与结束日期不在同一自然日的各类手术数量，包括取值明细。</w:t>
      </w:r>
    </w:p>
    <w:p w14:paraId="37EBADBF">
      <w:pPr>
        <w:ind w:firstLine="480"/>
        <w:rPr>
          <w:rFonts w:ascii="宋体" w:hAnsi="宋体" w:eastAsia="宋体"/>
        </w:rPr>
      </w:pPr>
      <w:r>
        <w:rPr>
          <w:rFonts w:hint="eastAsia" w:ascii="宋体" w:hAnsi="宋体" w:eastAsia="宋体"/>
        </w:rPr>
        <w:t>5)</w:t>
      </w:r>
      <w:r>
        <w:rPr>
          <w:rFonts w:hint="eastAsia" w:ascii="宋体" w:hAnsi="宋体" w:eastAsia="宋体"/>
        </w:rPr>
        <w:tab/>
      </w:r>
      <w:r>
        <w:rPr>
          <w:rFonts w:hint="eastAsia" w:ascii="宋体" w:hAnsi="宋体" w:eastAsia="宋体"/>
        </w:rPr>
        <w:t>手术类型统计</w:t>
      </w:r>
    </w:p>
    <w:p w14:paraId="6F4F114D">
      <w:pPr>
        <w:ind w:firstLine="480"/>
        <w:rPr>
          <w:rFonts w:ascii="宋体" w:hAnsi="宋体" w:eastAsia="宋体"/>
        </w:rPr>
      </w:pPr>
      <w:r>
        <w:rPr>
          <w:rFonts w:hint="eastAsia" w:ascii="宋体" w:hAnsi="宋体" w:eastAsia="宋体"/>
        </w:rPr>
        <w:t>统计院内各类已进行的手术数量，如择期手术、急诊手术、日间手术等，能够展示各类手术数量取值明细。</w:t>
      </w:r>
    </w:p>
    <w:p w14:paraId="0147BE47">
      <w:pPr>
        <w:ind w:firstLine="480"/>
        <w:rPr>
          <w:rFonts w:ascii="宋体" w:hAnsi="宋体" w:eastAsia="宋体"/>
        </w:rPr>
      </w:pPr>
      <w:r>
        <w:rPr>
          <w:rFonts w:hint="eastAsia" w:ascii="宋体" w:hAnsi="宋体" w:eastAsia="宋体"/>
        </w:rPr>
        <w:t>6)</w:t>
      </w:r>
      <w:r>
        <w:rPr>
          <w:rFonts w:hint="eastAsia" w:ascii="宋体" w:hAnsi="宋体" w:eastAsia="宋体"/>
        </w:rPr>
        <w:tab/>
      </w:r>
      <w:r>
        <w:rPr>
          <w:rFonts w:hint="eastAsia" w:ascii="宋体" w:hAnsi="宋体" w:eastAsia="宋体"/>
        </w:rPr>
        <w:t>ASA分级与对应死亡统计</w:t>
      </w:r>
    </w:p>
    <w:p w14:paraId="3131B61D">
      <w:pPr>
        <w:ind w:firstLine="480"/>
        <w:rPr>
          <w:rFonts w:ascii="宋体" w:hAnsi="宋体" w:eastAsia="宋体"/>
        </w:rPr>
      </w:pPr>
      <w:r>
        <w:rPr>
          <w:rFonts w:hint="eastAsia" w:ascii="宋体" w:hAnsi="宋体" w:eastAsia="宋体"/>
        </w:rPr>
        <w:t>当出现患者死亡时，获取患者的ASA分级形成对应关系，展示各个ASA级别对应的死亡患者数量，能够查询取值明细。</w:t>
      </w:r>
    </w:p>
    <w:p w14:paraId="42E1B7F9">
      <w:pPr>
        <w:ind w:firstLine="480"/>
        <w:rPr>
          <w:rFonts w:ascii="宋体" w:hAnsi="宋体" w:eastAsia="宋体"/>
        </w:rPr>
      </w:pPr>
      <w:r>
        <w:rPr>
          <w:rFonts w:hint="eastAsia" w:ascii="宋体" w:hAnsi="宋体" w:eastAsia="宋体"/>
        </w:rPr>
        <w:t>7)</w:t>
      </w:r>
      <w:r>
        <w:rPr>
          <w:rFonts w:hint="eastAsia" w:ascii="宋体" w:hAnsi="宋体" w:eastAsia="宋体"/>
        </w:rPr>
        <w:tab/>
      </w:r>
      <w:r>
        <w:rPr>
          <w:rFonts w:hint="eastAsia" w:ascii="宋体" w:hAnsi="宋体" w:eastAsia="宋体"/>
        </w:rPr>
        <w:t>麻醉方式统计</w:t>
      </w:r>
    </w:p>
    <w:p w14:paraId="7E8F137A">
      <w:pPr>
        <w:ind w:firstLine="480"/>
        <w:rPr>
          <w:rFonts w:ascii="宋体" w:hAnsi="宋体" w:eastAsia="宋体"/>
        </w:rPr>
      </w:pPr>
      <w:r>
        <w:rPr>
          <w:rFonts w:hint="eastAsia" w:ascii="宋体" w:hAnsi="宋体" w:eastAsia="宋体"/>
        </w:rPr>
        <w:t>按照麻醉方式字典取各类麻醉开展的数量，如椎管内麻醉、全身麻醉、神经阻滞麻醉，能够查询取值明细。</w:t>
      </w:r>
    </w:p>
    <w:p w14:paraId="24C047E0">
      <w:pPr>
        <w:ind w:firstLine="480"/>
        <w:rPr>
          <w:rFonts w:ascii="宋体" w:hAnsi="宋体" w:eastAsia="宋体"/>
        </w:rPr>
      </w:pPr>
      <w:r>
        <w:rPr>
          <w:rFonts w:hint="eastAsia" w:ascii="宋体" w:hAnsi="宋体" w:eastAsia="宋体"/>
        </w:rPr>
        <w:t>8)</w:t>
      </w:r>
      <w:r>
        <w:rPr>
          <w:rFonts w:hint="eastAsia" w:ascii="宋体" w:hAnsi="宋体" w:eastAsia="宋体"/>
        </w:rPr>
        <w:tab/>
      </w:r>
      <w:r>
        <w:rPr>
          <w:rFonts w:hint="eastAsia" w:ascii="宋体" w:hAnsi="宋体" w:eastAsia="宋体"/>
        </w:rPr>
        <w:t>局麻手术患者统计</w:t>
      </w:r>
    </w:p>
    <w:p w14:paraId="02BB8FFE">
      <w:pPr>
        <w:ind w:firstLine="480"/>
        <w:rPr>
          <w:rFonts w:ascii="宋体" w:hAnsi="宋体" w:eastAsia="宋体"/>
        </w:rPr>
      </w:pPr>
      <w:r>
        <w:rPr>
          <w:rFonts w:hint="eastAsia" w:ascii="宋体" w:hAnsi="宋体" w:eastAsia="宋体"/>
        </w:rPr>
        <w:t>获取手术申请信息中麻醉方式为“局麻”的患者及所属科室，形成关联关系，从而展示院内各临床科室开展的局麻手术数量，包含取值明细。</w:t>
      </w:r>
    </w:p>
    <w:p w14:paraId="4B21E10D">
      <w:pPr>
        <w:ind w:firstLine="480"/>
        <w:rPr>
          <w:rFonts w:ascii="宋体" w:hAnsi="宋体" w:eastAsia="宋体"/>
        </w:rPr>
      </w:pPr>
      <w:r>
        <w:rPr>
          <w:rFonts w:hint="eastAsia" w:ascii="宋体" w:hAnsi="宋体" w:eastAsia="宋体"/>
        </w:rPr>
        <w:t>9)</w:t>
      </w:r>
      <w:r>
        <w:rPr>
          <w:rFonts w:hint="eastAsia" w:ascii="宋体" w:hAnsi="宋体" w:eastAsia="宋体"/>
        </w:rPr>
        <w:tab/>
      </w:r>
      <w:r>
        <w:rPr>
          <w:rFonts w:hint="eastAsia" w:ascii="宋体" w:hAnsi="宋体" w:eastAsia="宋体"/>
        </w:rPr>
        <w:t>输血统计</w:t>
      </w:r>
    </w:p>
    <w:p w14:paraId="35042991">
      <w:pPr>
        <w:ind w:firstLine="480"/>
        <w:rPr>
          <w:rFonts w:ascii="宋体" w:hAnsi="宋体" w:eastAsia="宋体"/>
        </w:rPr>
      </w:pPr>
      <w:r>
        <w:rPr>
          <w:rFonts w:hint="eastAsia" w:ascii="宋体" w:hAnsi="宋体" w:eastAsia="宋体"/>
        </w:rPr>
        <w:t>术中发生输血的血制品类型与对应总量统计，包含各项血制品使用的取值明细。</w:t>
      </w:r>
    </w:p>
    <w:p w14:paraId="024FE110">
      <w:pPr>
        <w:ind w:firstLine="480"/>
        <w:rPr>
          <w:rFonts w:ascii="宋体" w:hAnsi="宋体" w:eastAsia="宋体"/>
        </w:rPr>
      </w:pPr>
      <w:r>
        <w:rPr>
          <w:rFonts w:hint="eastAsia" w:ascii="宋体" w:hAnsi="宋体" w:eastAsia="宋体"/>
        </w:rPr>
        <w:t>10)</w:t>
      </w:r>
      <w:r>
        <w:rPr>
          <w:rFonts w:hint="eastAsia" w:ascii="宋体" w:hAnsi="宋体" w:eastAsia="宋体"/>
        </w:rPr>
        <w:tab/>
      </w:r>
      <w:r>
        <w:rPr>
          <w:rFonts w:hint="eastAsia" w:ascii="宋体" w:hAnsi="宋体" w:eastAsia="宋体"/>
        </w:rPr>
        <w:t>自体血输血统计</w:t>
      </w:r>
    </w:p>
    <w:p w14:paraId="0623A240">
      <w:pPr>
        <w:ind w:firstLine="480"/>
        <w:rPr>
          <w:rFonts w:ascii="宋体" w:hAnsi="宋体" w:eastAsia="宋体"/>
        </w:rPr>
      </w:pPr>
      <w:r>
        <w:rPr>
          <w:rFonts w:hint="eastAsia" w:ascii="宋体" w:hAnsi="宋体" w:eastAsia="宋体"/>
        </w:rPr>
        <w:t>统计术中输注“自体血”的情况，按照输注“自体血”的输注量分别统计输注人数，包含输注人的详细信息。</w:t>
      </w:r>
    </w:p>
    <w:p w14:paraId="21157114">
      <w:pPr>
        <w:ind w:firstLine="480"/>
        <w:rPr>
          <w:rFonts w:ascii="宋体" w:hAnsi="宋体" w:eastAsia="宋体"/>
        </w:rPr>
      </w:pPr>
      <w:r>
        <w:rPr>
          <w:rFonts w:hint="eastAsia" w:ascii="宋体" w:hAnsi="宋体" w:eastAsia="宋体"/>
        </w:rPr>
        <w:t>11)</w:t>
      </w:r>
      <w:r>
        <w:rPr>
          <w:rFonts w:hint="eastAsia" w:ascii="宋体" w:hAnsi="宋体" w:eastAsia="宋体"/>
        </w:rPr>
        <w:tab/>
      </w:r>
      <w:r>
        <w:rPr>
          <w:rFonts w:hint="eastAsia" w:ascii="宋体" w:hAnsi="宋体" w:eastAsia="宋体"/>
        </w:rPr>
        <w:t>输血患者统计</w:t>
      </w:r>
    </w:p>
    <w:p w14:paraId="183EFDE7">
      <w:pPr>
        <w:ind w:firstLine="480"/>
        <w:rPr>
          <w:rFonts w:ascii="宋体" w:hAnsi="宋体" w:eastAsia="宋体"/>
        </w:rPr>
      </w:pPr>
      <w:r>
        <w:rPr>
          <w:rFonts w:hint="eastAsia" w:ascii="宋体" w:hAnsi="宋体" w:eastAsia="宋体"/>
        </w:rPr>
        <w:t>重点统计输血患者数、其中输注自体血的患者数量、非自体血的患者数量，能够查看各项数据的取值明细。</w:t>
      </w:r>
    </w:p>
    <w:p w14:paraId="2E0A2AE1">
      <w:pPr>
        <w:ind w:firstLine="480"/>
        <w:rPr>
          <w:rFonts w:ascii="宋体" w:hAnsi="宋体" w:eastAsia="宋体"/>
        </w:rPr>
      </w:pPr>
      <w:r>
        <w:rPr>
          <w:rFonts w:hint="eastAsia" w:ascii="宋体" w:hAnsi="宋体" w:eastAsia="宋体"/>
        </w:rPr>
        <w:t>12)</w:t>
      </w:r>
      <w:r>
        <w:rPr>
          <w:rFonts w:hint="eastAsia" w:ascii="宋体" w:hAnsi="宋体" w:eastAsia="宋体"/>
        </w:rPr>
        <w:tab/>
      </w:r>
      <w:r>
        <w:rPr>
          <w:rFonts w:hint="eastAsia" w:ascii="宋体" w:hAnsi="宋体" w:eastAsia="宋体"/>
        </w:rPr>
        <w:t>出血患者统计</w:t>
      </w:r>
    </w:p>
    <w:p w14:paraId="5CD3E841">
      <w:pPr>
        <w:ind w:firstLine="480"/>
        <w:rPr>
          <w:rFonts w:ascii="宋体" w:hAnsi="宋体" w:eastAsia="宋体"/>
        </w:rPr>
      </w:pPr>
      <w:r>
        <w:rPr>
          <w:rFonts w:hint="eastAsia" w:ascii="宋体" w:hAnsi="宋体" w:eastAsia="宋体"/>
        </w:rPr>
        <w:t>获取“出量”中含有“血量”的患者数量，并且根据出血量分别统计患者数量，如400ml以下、400-1000ml。能够查看各项数据的取值明细。</w:t>
      </w:r>
    </w:p>
    <w:p w14:paraId="09A3109D">
      <w:pPr>
        <w:ind w:firstLine="480"/>
        <w:rPr>
          <w:rFonts w:ascii="宋体" w:hAnsi="宋体" w:eastAsia="宋体"/>
        </w:rPr>
      </w:pPr>
      <w:r>
        <w:rPr>
          <w:rFonts w:hint="eastAsia" w:ascii="宋体" w:hAnsi="宋体" w:eastAsia="宋体"/>
        </w:rPr>
        <w:t>13)</w:t>
      </w:r>
      <w:r>
        <w:rPr>
          <w:rFonts w:hint="eastAsia" w:ascii="宋体" w:hAnsi="宋体" w:eastAsia="宋体"/>
        </w:rPr>
        <w:tab/>
      </w:r>
      <w:r>
        <w:rPr>
          <w:rFonts w:hint="eastAsia" w:ascii="宋体" w:hAnsi="宋体" w:eastAsia="宋体"/>
        </w:rPr>
        <w:t>患者年龄分析</w:t>
      </w:r>
    </w:p>
    <w:p w14:paraId="42242085">
      <w:pPr>
        <w:ind w:firstLine="480"/>
        <w:rPr>
          <w:rFonts w:ascii="宋体" w:hAnsi="宋体" w:eastAsia="宋体"/>
        </w:rPr>
      </w:pPr>
      <w:r>
        <w:rPr>
          <w:rFonts w:hint="eastAsia" w:ascii="宋体" w:hAnsi="宋体" w:eastAsia="宋体"/>
        </w:rPr>
        <w:t>统计手术患者年龄分布，计算各年龄段患者数量及性别，能够查看各项数据的取值明细。</w:t>
      </w:r>
    </w:p>
    <w:p w14:paraId="2AD07771">
      <w:pPr>
        <w:ind w:firstLine="480"/>
        <w:rPr>
          <w:rFonts w:ascii="宋体" w:hAnsi="宋体" w:eastAsia="宋体"/>
        </w:rPr>
      </w:pPr>
      <w:r>
        <w:rPr>
          <w:rFonts w:hint="eastAsia" w:ascii="宋体" w:hAnsi="宋体" w:eastAsia="宋体"/>
        </w:rPr>
        <w:t>14)</w:t>
      </w:r>
      <w:r>
        <w:rPr>
          <w:rFonts w:hint="eastAsia" w:ascii="宋体" w:hAnsi="宋体" w:eastAsia="宋体"/>
        </w:rPr>
        <w:tab/>
      </w:r>
      <w:r>
        <w:rPr>
          <w:rFonts w:hint="eastAsia" w:ascii="宋体" w:hAnsi="宋体" w:eastAsia="宋体"/>
        </w:rPr>
        <w:t>镇痛泵统计</w:t>
      </w:r>
    </w:p>
    <w:p w14:paraId="35298A83">
      <w:pPr>
        <w:ind w:firstLine="480"/>
        <w:rPr>
          <w:rFonts w:ascii="宋体" w:hAnsi="宋体" w:eastAsia="宋体"/>
        </w:rPr>
      </w:pPr>
      <w:r>
        <w:rPr>
          <w:rFonts w:hint="eastAsia" w:ascii="宋体" w:hAnsi="宋体" w:eastAsia="宋体"/>
        </w:rPr>
        <w:t>统计每日镇痛泵使用情况，包括每日新增数量、拆泵数量、使用量。能够查看各项数据的取值明细。</w:t>
      </w:r>
    </w:p>
    <w:p w14:paraId="540B62C3">
      <w:pPr>
        <w:ind w:firstLine="480"/>
        <w:rPr>
          <w:rFonts w:ascii="宋体" w:hAnsi="宋体" w:eastAsia="宋体"/>
        </w:rPr>
      </w:pPr>
      <w:r>
        <w:rPr>
          <w:rFonts w:hint="eastAsia" w:ascii="宋体" w:hAnsi="宋体" w:eastAsia="宋体"/>
        </w:rPr>
        <w:t>15)</w:t>
      </w:r>
      <w:r>
        <w:rPr>
          <w:rFonts w:hint="eastAsia" w:ascii="宋体" w:hAnsi="宋体" w:eastAsia="宋体"/>
        </w:rPr>
        <w:tab/>
      </w:r>
      <w:r>
        <w:rPr>
          <w:rFonts w:hint="eastAsia" w:ascii="宋体" w:hAnsi="宋体" w:eastAsia="宋体"/>
        </w:rPr>
        <w:t>手术名称统计</w:t>
      </w:r>
    </w:p>
    <w:p w14:paraId="02E5E2BD">
      <w:pPr>
        <w:ind w:firstLine="480"/>
        <w:rPr>
          <w:rFonts w:ascii="宋体" w:hAnsi="宋体" w:eastAsia="宋体"/>
        </w:rPr>
      </w:pPr>
      <w:r>
        <w:rPr>
          <w:rFonts w:hint="eastAsia" w:ascii="宋体" w:hAnsi="宋体" w:eastAsia="宋体"/>
        </w:rPr>
        <w:t>统计时间段内开展的手术及手术数量，手术名称以ICD-9字典为标准，能够查看各项数据的取值明细。</w:t>
      </w:r>
    </w:p>
    <w:p w14:paraId="30BA1D6B">
      <w:pPr>
        <w:ind w:firstLine="480"/>
        <w:rPr>
          <w:rFonts w:ascii="宋体" w:hAnsi="宋体" w:eastAsia="宋体"/>
        </w:rPr>
      </w:pPr>
      <w:r>
        <w:rPr>
          <w:rFonts w:hint="eastAsia" w:ascii="宋体" w:hAnsi="宋体" w:eastAsia="宋体"/>
        </w:rPr>
        <w:t>16)</w:t>
      </w:r>
      <w:r>
        <w:rPr>
          <w:rFonts w:hint="eastAsia" w:ascii="宋体" w:hAnsi="宋体" w:eastAsia="宋体"/>
        </w:rPr>
        <w:tab/>
      </w:r>
      <w:r>
        <w:rPr>
          <w:rFonts w:hint="eastAsia" w:ascii="宋体" w:hAnsi="宋体" w:eastAsia="宋体"/>
        </w:rPr>
        <w:t>手术级别统计</w:t>
      </w:r>
    </w:p>
    <w:p w14:paraId="1768579C">
      <w:pPr>
        <w:ind w:firstLine="480"/>
        <w:rPr>
          <w:rFonts w:ascii="宋体" w:hAnsi="宋体" w:eastAsia="宋体"/>
        </w:rPr>
      </w:pPr>
      <w:r>
        <w:rPr>
          <w:rFonts w:hint="eastAsia" w:ascii="宋体" w:hAnsi="宋体" w:eastAsia="宋体"/>
        </w:rPr>
        <w:t>统计时间段内开展的手术及对应手术级别，手术名称以ICD-9字典为标准，手术级别以标准版内支持手术名称对应手术级别为主，能够查看各项数据的取值明细。</w:t>
      </w:r>
    </w:p>
    <w:p w14:paraId="35BD84D0">
      <w:pPr>
        <w:ind w:firstLine="480"/>
        <w:rPr>
          <w:rFonts w:ascii="宋体" w:hAnsi="宋体" w:eastAsia="宋体"/>
        </w:rPr>
      </w:pPr>
      <w:r>
        <w:rPr>
          <w:rFonts w:hint="eastAsia" w:ascii="宋体" w:hAnsi="宋体" w:eastAsia="宋体"/>
        </w:rPr>
        <w:t>17)</w:t>
      </w:r>
      <w:r>
        <w:rPr>
          <w:rFonts w:hint="eastAsia" w:ascii="宋体" w:hAnsi="宋体" w:eastAsia="宋体"/>
        </w:rPr>
        <w:tab/>
      </w:r>
      <w:r>
        <w:rPr>
          <w:rFonts w:hint="eastAsia" w:ascii="宋体" w:hAnsi="宋体" w:eastAsia="宋体"/>
        </w:rPr>
        <w:t>麻醉效果统计</w:t>
      </w:r>
    </w:p>
    <w:p w14:paraId="1E7A0571">
      <w:pPr>
        <w:ind w:firstLine="480"/>
        <w:rPr>
          <w:rFonts w:ascii="宋体" w:hAnsi="宋体" w:eastAsia="宋体"/>
        </w:rPr>
      </w:pPr>
      <w:r>
        <w:rPr>
          <w:rFonts w:hint="eastAsia" w:ascii="宋体" w:hAnsi="宋体" w:eastAsia="宋体"/>
        </w:rPr>
        <w:t>数据来源为麻醉记录单中“麻醉质量评估单”内选取的“麻醉效果”指标，供管理者查询时间段内“麻醉效果”数据及取值明细。</w:t>
      </w:r>
    </w:p>
    <w:p w14:paraId="5899C7EE">
      <w:pPr>
        <w:ind w:firstLine="480"/>
        <w:rPr>
          <w:rFonts w:ascii="宋体" w:hAnsi="宋体" w:eastAsia="宋体"/>
        </w:rPr>
      </w:pPr>
      <w:r>
        <w:rPr>
          <w:rFonts w:hint="eastAsia" w:ascii="宋体" w:hAnsi="宋体" w:eastAsia="宋体"/>
        </w:rPr>
        <w:t>18)</w:t>
      </w:r>
      <w:r>
        <w:rPr>
          <w:rFonts w:hint="eastAsia" w:ascii="宋体" w:hAnsi="宋体" w:eastAsia="宋体"/>
        </w:rPr>
        <w:tab/>
      </w:r>
      <w:r>
        <w:rPr>
          <w:rFonts w:hint="eastAsia" w:ascii="宋体" w:hAnsi="宋体" w:eastAsia="宋体"/>
        </w:rPr>
        <w:t>非计划再次手术</w:t>
      </w:r>
    </w:p>
    <w:p w14:paraId="146D6372">
      <w:pPr>
        <w:ind w:firstLine="480"/>
        <w:rPr>
          <w:rFonts w:ascii="宋体" w:hAnsi="宋体" w:eastAsia="宋体"/>
        </w:rPr>
      </w:pPr>
      <w:r>
        <w:rPr>
          <w:rFonts w:hint="eastAsia" w:ascii="宋体" w:hAnsi="宋体" w:eastAsia="宋体"/>
        </w:rPr>
        <w:t>数据来源为麻醉记录单中“非计划再次手术”或对接院内手术申请中标记的非计划再次手术数据，供管理者查询时间段内“非计划再次手术”数据及取值明细。</w:t>
      </w:r>
    </w:p>
    <w:p w14:paraId="11B5C9CC">
      <w:pPr>
        <w:ind w:firstLine="480"/>
        <w:rPr>
          <w:rFonts w:ascii="宋体" w:hAnsi="宋体" w:eastAsia="宋体"/>
        </w:rPr>
      </w:pPr>
      <w:r>
        <w:rPr>
          <w:rFonts w:hint="eastAsia" w:ascii="宋体" w:hAnsi="宋体" w:eastAsia="宋体"/>
        </w:rPr>
        <w:t>19)</w:t>
      </w:r>
      <w:r>
        <w:rPr>
          <w:rFonts w:hint="eastAsia" w:ascii="宋体" w:hAnsi="宋体" w:eastAsia="宋体"/>
        </w:rPr>
        <w:tab/>
      </w:r>
      <w:r>
        <w:rPr>
          <w:rFonts w:hint="eastAsia" w:ascii="宋体" w:hAnsi="宋体" w:eastAsia="宋体"/>
        </w:rPr>
        <w:t>重返修改麻醉记录单统计</w:t>
      </w:r>
    </w:p>
    <w:p w14:paraId="11E4FF5F">
      <w:pPr>
        <w:ind w:firstLine="480"/>
        <w:rPr>
          <w:rFonts w:ascii="宋体" w:hAnsi="宋体" w:eastAsia="宋体"/>
        </w:rPr>
      </w:pPr>
      <w:r>
        <w:rPr>
          <w:rFonts w:hint="eastAsia" w:ascii="宋体" w:hAnsi="宋体" w:eastAsia="宋体"/>
        </w:rPr>
        <w:t>数据来源为操作“重返手术室修改麻醉记录单”的数据，供管理者查询时间段内“重返手术室修改麻醉记录单”的数据及取值明细。</w:t>
      </w:r>
    </w:p>
    <w:p w14:paraId="1F82B4D3">
      <w:pPr>
        <w:ind w:firstLine="480"/>
        <w:rPr>
          <w:rFonts w:ascii="宋体" w:hAnsi="宋体" w:eastAsia="宋体"/>
        </w:rPr>
      </w:pPr>
      <w:r>
        <w:rPr>
          <w:rFonts w:hint="eastAsia" w:ascii="宋体" w:hAnsi="宋体" w:eastAsia="宋体"/>
        </w:rPr>
        <w:t>20)</w:t>
      </w:r>
      <w:r>
        <w:rPr>
          <w:rFonts w:hint="eastAsia" w:ascii="宋体" w:hAnsi="宋体" w:eastAsia="宋体"/>
        </w:rPr>
        <w:tab/>
      </w:r>
      <w:r>
        <w:rPr>
          <w:rFonts w:hint="eastAsia" w:ascii="宋体" w:hAnsi="宋体" w:eastAsia="宋体"/>
        </w:rPr>
        <w:t>恢复室统计</w:t>
      </w:r>
    </w:p>
    <w:p w14:paraId="4977D986">
      <w:pPr>
        <w:ind w:firstLine="480"/>
        <w:rPr>
          <w:rFonts w:ascii="宋体" w:hAnsi="宋体" w:eastAsia="宋体"/>
        </w:rPr>
      </w:pPr>
      <w:r>
        <w:rPr>
          <w:rFonts w:hint="eastAsia" w:ascii="宋体" w:hAnsi="宋体" w:eastAsia="宋体"/>
        </w:rPr>
        <w:t>统计时间段内恢复室安床患者数量、延迟苏醒、入室低体温、苏醒评分异常的数据及取值明细。</w:t>
      </w:r>
    </w:p>
    <w:p w14:paraId="28CD5FCC">
      <w:pPr>
        <w:ind w:firstLine="480"/>
        <w:rPr>
          <w:rFonts w:ascii="宋体" w:hAnsi="宋体" w:eastAsia="宋体"/>
        </w:rPr>
      </w:pPr>
      <w:r>
        <w:rPr>
          <w:rFonts w:hint="eastAsia" w:ascii="宋体" w:hAnsi="宋体" w:eastAsia="宋体"/>
        </w:rPr>
        <w:t>21)</w:t>
      </w:r>
      <w:r>
        <w:rPr>
          <w:rFonts w:hint="eastAsia" w:ascii="宋体" w:hAnsi="宋体" w:eastAsia="宋体"/>
        </w:rPr>
        <w:tab/>
      </w:r>
      <w:r>
        <w:rPr>
          <w:rFonts w:hint="eastAsia" w:ascii="宋体" w:hAnsi="宋体" w:eastAsia="宋体"/>
        </w:rPr>
        <w:t>毒麻药使用登记</w:t>
      </w:r>
    </w:p>
    <w:p w14:paraId="5210A509">
      <w:pPr>
        <w:ind w:firstLine="480"/>
        <w:rPr>
          <w:rFonts w:ascii="宋体" w:hAnsi="宋体" w:eastAsia="宋体"/>
        </w:rPr>
      </w:pPr>
      <w:r>
        <w:rPr>
          <w:rFonts w:hint="eastAsia" w:ascii="宋体" w:hAnsi="宋体" w:eastAsia="宋体"/>
        </w:rPr>
        <w:t>统计时间段内开具的毒麻药品、毒麻药品信息、开具医生等详细信息。</w:t>
      </w:r>
    </w:p>
    <w:p w14:paraId="259E98AA">
      <w:pPr>
        <w:ind w:firstLine="480"/>
        <w:rPr>
          <w:rFonts w:ascii="宋体" w:hAnsi="宋体" w:eastAsia="宋体"/>
        </w:rPr>
      </w:pPr>
      <w:r>
        <w:rPr>
          <w:rFonts w:hint="eastAsia" w:ascii="宋体" w:hAnsi="宋体" w:eastAsia="宋体"/>
        </w:rPr>
        <w:t>22)</w:t>
      </w:r>
      <w:r>
        <w:rPr>
          <w:rFonts w:hint="eastAsia" w:ascii="宋体" w:hAnsi="宋体" w:eastAsia="宋体"/>
        </w:rPr>
        <w:tab/>
      </w:r>
      <w:r>
        <w:rPr>
          <w:rFonts w:hint="eastAsia" w:ascii="宋体" w:hAnsi="宋体" w:eastAsia="宋体"/>
        </w:rPr>
        <w:t>肌松药使用登记</w:t>
      </w:r>
    </w:p>
    <w:p w14:paraId="7E4581FB">
      <w:pPr>
        <w:ind w:firstLine="480"/>
        <w:rPr>
          <w:rFonts w:ascii="宋体" w:hAnsi="宋体" w:eastAsia="宋体"/>
        </w:rPr>
      </w:pPr>
      <w:r>
        <w:rPr>
          <w:rFonts w:hint="eastAsia" w:ascii="宋体" w:hAnsi="宋体" w:eastAsia="宋体"/>
        </w:rPr>
        <w:t>统计时间段内开具的肌松药、药品信息、开具医生等详细信息。</w:t>
      </w:r>
    </w:p>
    <w:p w14:paraId="502831AA">
      <w:pPr>
        <w:ind w:firstLine="480"/>
        <w:rPr>
          <w:rFonts w:ascii="宋体" w:hAnsi="宋体" w:eastAsia="宋体"/>
        </w:rPr>
      </w:pPr>
      <w:r>
        <w:rPr>
          <w:rFonts w:hint="eastAsia" w:ascii="宋体" w:hAnsi="宋体" w:eastAsia="宋体"/>
        </w:rPr>
        <w:t>23)</w:t>
      </w:r>
      <w:r>
        <w:rPr>
          <w:rFonts w:hint="eastAsia" w:ascii="宋体" w:hAnsi="宋体" w:eastAsia="宋体"/>
        </w:rPr>
        <w:tab/>
      </w:r>
      <w:r>
        <w:rPr>
          <w:rFonts w:hint="eastAsia" w:ascii="宋体" w:hAnsi="宋体" w:eastAsia="宋体"/>
        </w:rPr>
        <w:t>转入ICU统计</w:t>
      </w:r>
    </w:p>
    <w:p w14:paraId="26988AB1">
      <w:pPr>
        <w:ind w:firstLine="480"/>
        <w:rPr>
          <w:rFonts w:ascii="宋体" w:hAnsi="宋体" w:eastAsia="宋体"/>
        </w:rPr>
      </w:pPr>
      <w:r>
        <w:rPr>
          <w:rFonts w:hint="eastAsia" w:ascii="宋体" w:hAnsi="宋体" w:eastAsia="宋体"/>
        </w:rPr>
        <w:t>统计时间段内计划、非计划转入ICU，计划、非计划转入苏醒室的数据及取值明细。</w:t>
      </w:r>
    </w:p>
    <w:p w14:paraId="075BFB9A">
      <w:pPr>
        <w:ind w:firstLine="480"/>
        <w:rPr>
          <w:rFonts w:ascii="宋体" w:hAnsi="宋体" w:eastAsia="宋体"/>
        </w:rPr>
      </w:pPr>
      <w:r>
        <w:rPr>
          <w:rFonts w:hint="eastAsia" w:ascii="宋体" w:hAnsi="宋体" w:eastAsia="宋体"/>
        </w:rPr>
        <w:t>24)</w:t>
      </w:r>
      <w:r>
        <w:rPr>
          <w:rFonts w:hint="eastAsia" w:ascii="宋体" w:hAnsi="宋体" w:eastAsia="宋体"/>
        </w:rPr>
        <w:tab/>
      </w:r>
      <w:r>
        <w:rPr>
          <w:rFonts w:hint="eastAsia" w:ascii="宋体" w:hAnsi="宋体" w:eastAsia="宋体"/>
        </w:rPr>
        <w:t>拔插管统计</w:t>
      </w:r>
    </w:p>
    <w:p w14:paraId="535DDF5C">
      <w:pPr>
        <w:ind w:firstLine="480"/>
        <w:rPr>
          <w:rFonts w:ascii="宋体" w:hAnsi="宋体" w:eastAsia="宋体"/>
        </w:rPr>
      </w:pPr>
      <w:r>
        <w:rPr>
          <w:rFonts w:hint="eastAsia" w:ascii="宋体" w:hAnsi="宋体" w:eastAsia="宋体"/>
        </w:rPr>
        <w:t>统计时间段内计划、非计划手术室内插管、苏醒室内插管、再次插管、拔管、带管出室的患者数据及取值明细。</w:t>
      </w:r>
    </w:p>
    <w:p w14:paraId="624A50A8">
      <w:pPr>
        <w:ind w:firstLine="480"/>
        <w:rPr>
          <w:rFonts w:ascii="宋体" w:hAnsi="宋体" w:eastAsia="宋体"/>
        </w:rPr>
      </w:pPr>
      <w:r>
        <w:rPr>
          <w:rFonts w:hint="eastAsia" w:ascii="宋体" w:hAnsi="宋体" w:eastAsia="宋体"/>
        </w:rPr>
        <w:t>25)</w:t>
      </w:r>
      <w:r>
        <w:rPr>
          <w:rFonts w:hint="eastAsia" w:ascii="宋体" w:hAnsi="宋体" w:eastAsia="宋体"/>
        </w:rPr>
        <w:tab/>
      </w:r>
      <w:r>
        <w:rPr>
          <w:rFonts w:hint="eastAsia" w:ascii="宋体" w:hAnsi="宋体" w:eastAsia="宋体"/>
        </w:rPr>
        <w:t>术中有创操作统计</w:t>
      </w:r>
    </w:p>
    <w:p w14:paraId="21585E73">
      <w:pPr>
        <w:ind w:firstLine="480"/>
        <w:rPr>
          <w:rFonts w:ascii="宋体" w:hAnsi="宋体" w:eastAsia="宋体"/>
        </w:rPr>
      </w:pPr>
      <w:r>
        <w:rPr>
          <w:rFonts w:hint="eastAsia" w:ascii="宋体" w:hAnsi="宋体" w:eastAsia="宋体"/>
        </w:rPr>
        <w:t>统计时间段内有创操作的数据及取值明细，有创操作如动脉穿刺置管、颈外静脉穿刺置管等。</w:t>
      </w:r>
    </w:p>
    <w:p w14:paraId="58F4BC1F">
      <w:pPr>
        <w:ind w:firstLine="480"/>
        <w:rPr>
          <w:rFonts w:ascii="宋体" w:hAnsi="宋体" w:eastAsia="宋体"/>
        </w:rPr>
      </w:pPr>
      <w:r>
        <w:rPr>
          <w:rFonts w:hint="eastAsia" w:ascii="宋体" w:hAnsi="宋体" w:eastAsia="宋体"/>
        </w:rPr>
        <w:t>26)</w:t>
      </w:r>
      <w:r>
        <w:rPr>
          <w:rFonts w:hint="eastAsia" w:ascii="宋体" w:hAnsi="宋体" w:eastAsia="宋体"/>
        </w:rPr>
        <w:tab/>
      </w:r>
      <w:r>
        <w:rPr>
          <w:rFonts w:hint="eastAsia" w:ascii="宋体" w:hAnsi="宋体" w:eastAsia="宋体"/>
        </w:rPr>
        <w:t>抢救患者统计</w:t>
      </w:r>
    </w:p>
    <w:p w14:paraId="6CEA1E20">
      <w:pPr>
        <w:ind w:firstLine="480"/>
        <w:rPr>
          <w:rFonts w:ascii="宋体" w:hAnsi="宋体" w:eastAsia="宋体"/>
        </w:rPr>
      </w:pPr>
      <w:r>
        <w:rPr>
          <w:rFonts w:hint="eastAsia" w:ascii="宋体" w:hAnsi="宋体" w:eastAsia="宋体"/>
        </w:rPr>
        <w:t>统计时间段内“抢救”患者的数据及取值明细。</w:t>
      </w:r>
    </w:p>
    <w:p w14:paraId="7BC45E17">
      <w:pPr>
        <w:ind w:firstLine="480"/>
        <w:rPr>
          <w:rFonts w:ascii="宋体" w:hAnsi="宋体" w:eastAsia="宋体"/>
        </w:rPr>
      </w:pPr>
      <w:r>
        <w:rPr>
          <w:rFonts w:hint="eastAsia" w:ascii="宋体" w:hAnsi="宋体" w:eastAsia="宋体"/>
        </w:rPr>
        <w:t>27)</w:t>
      </w:r>
      <w:r>
        <w:rPr>
          <w:rFonts w:hint="eastAsia" w:ascii="宋体" w:hAnsi="宋体" w:eastAsia="宋体"/>
        </w:rPr>
        <w:tab/>
      </w:r>
      <w:r>
        <w:rPr>
          <w:rFonts w:hint="eastAsia" w:ascii="宋体" w:hAnsi="宋体" w:eastAsia="宋体"/>
        </w:rPr>
        <w:t>麻醉不良事件统计</w:t>
      </w:r>
    </w:p>
    <w:p w14:paraId="51A39824">
      <w:pPr>
        <w:ind w:firstLine="480"/>
        <w:rPr>
          <w:rFonts w:ascii="宋体" w:hAnsi="宋体" w:eastAsia="宋体"/>
        </w:rPr>
      </w:pPr>
      <w:r>
        <w:rPr>
          <w:rFonts w:hint="eastAsia" w:ascii="宋体" w:hAnsi="宋体" w:eastAsia="宋体"/>
        </w:rPr>
        <w:t>统计时间段内发生的不良事件名称、发生数量及取值明细。</w:t>
      </w:r>
    </w:p>
    <w:p w14:paraId="3C1DBFAB">
      <w:pPr>
        <w:rPr>
          <w:rFonts w:ascii="宋体" w:hAnsi="宋体" w:eastAsia="宋体"/>
        </w:rPr>
      </w:pPr>
      <w:r>
        <w:rPr>
          <w:rFonts w:hint="eastAsia" w:ascii="宋体" w:hAnsi="宋体" w:eastAsia="宋体"/>
        </w:rPr>
        <w:t>（10）系统维护</w:t>
      </w:r>
    </w:p>
    <w:p w14:paraId="640C0691">
      <w:pPr>
        <w:ind w:firstLine="480"/>
        <w:rPr>
          <w:rFonts w:ascii="宋体" w:hAnsi="宋体" w:eastAsia="宋体"/>
        </w:rPr>
      </w:pPr>
      <w:r>
        <w:rPr>
          <w:rFonts w:hint="eastAsia" w:ascii="宋体" w:hAnsi="宋体" w:eastAsia="宋体"/>
        </w:rPr>
        <w:t>1)</w:t>
      </w:r>
      <w:r>
        <w:rPr>
          <w:rFonts w:hint="eastAsia" w:ascii="宋体" w:hAnsi="宋体" w:eastAsia="宋体"/>
        </w:rPr>
        <w:tab/>
      </w:r>
      <w:r>
        <w:rPr>
          <w:rFonts w:hint="eastAsia" w:ascii="宋体" w:hAnsi="宋体" w:eastAsia="宋体"/>
        </w:rPr>
        <w:t>系统整体采用用户、角色、权限的多层级管理方式进行功能、数据、业务的管理。</w:t>
      </w:r>
    </w:p>
    <w:p w14:paraId="2D15D0DC">
      <w:pPr>
        <w:ind w:firstLine="480"/>
        <w:rPr>
          <w:rFonts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支持操作日志管理，该日志能够记录并呈现用户在系统内的所有操作，包括操作人、操作时间、操作内容等。并支持下钻，能够查看该操作的详细信息；</w:t>
      </w:r>
    </w:p>
    <w:p w14:paraId="744F161B">
      <w:pPr>
        <w:ind w:firstLine="480"/>
        <w:rPr>
          <w:rFonts w:ascii="宋体" w:hAnsi="宋体" w:eastAsia="宋体"/>
        </w:rPr>
      </w:pPr>
      <w:r>
        <w:rPr>
          <w:rFonts w:hint="eastAsia" w:ascii="宋体" w:hAnsi="宋体" w:eastAsia="宋体"/>
        </w:rPr>
        <w:t>3)</w:t>
      </w:r>
      <w:r>
        <w:rPr>
          <w:rFonts w:hint="eastAsia" w:ascii="宋体" w:hAnsi="宋体" w:eastAsia="宋体"/>
        </w:rPr>
        <w:tab/>
      </w:r>
      <w:r>
        <w:rPr>
          <w:rFonts w:hint="eastAsia" w:ascii="宋体" w:hAnsi="宋体" w:eastAsia="宋体"/>
        </w:rPr>
        <w:t>支持基础数据的管理及更新，包括但不限于用户信息、字典信息、麻醉信息、耗材信息、药品信息、器械信息、管路信息等。</w:t>
      </w:r>
    </w:p>
    <w:p w14:paraId="75A52B65">
      <w:pPr>
        <w:pStyle w:val="6"/>
      </w:pPr>
      <w:r>
        <w:rPr>
          <w:rFonts w:hint="eastAsia"/>
        </w:rPr>
        <w:t>抗菌药物分级管理</w:t>
      </w:r>
    </w:p>
    <w:p w14:paraId="12E7D2AC">
      <w:pPr>
        <w:rPr>
          <w:rFonts w:ascii="宋体" w:hAnsi="宋体" w:eastAsia="宋体"/>
        </w:rPr>
      </w:pPr>
      <w:r>
        <w:rPr>
          <w:rFonts w:hint="eastAsia" w:ascii="宋体" w:hAnsi="宋体" w:eastAsia="宋体"/>
        </w:rPr>
        <w:t>（1）抗菌药物规则设置</w:t>
      </w:r>
    </w:p>
    <w:p w14:paraId="2899D7B9">
      <w:pPr>
        <w:ind w:firstLine="480"/>
        <w:rPr>
          <w:rFonts w:ascii="宋体" w:hAnsi="宋体" w:eastAsia="宋体"/>
        </w:rPr>
      </w:pPr>
      <w:r>
        <w:rPr>
          <w:rFonts w:hint="eastAsia" w:ascii="宋体" w:hAnsi="宋体" w:eastAsia="宋体"/>
        </w:rPr>
        <w:t>1）抗菌药物级别设置能，包括非限制使用、限制使用、特殊使用。</w:t>
      </w:r>
    </w:p>
    <w:p w14:paraId="1A81851C">
      <w:pPr>
        <w:ind w:firstLine="480"/>
        <w:rPr>
          <w:rFonts w:ascii="宋体" w:hAnsi="宋体" w:eastAsia="宋体"/>
        </w:rPr>
      </w:pPr>
      <w:r>
        <w:rPr>
          <w:rFonts w:hint="eastAsia" w:ascii="宋体" w:hAnsi="宋体" w:eastAsia="宋体"/>
        </w:rPr>
        <w:t>2）根据医生职称对按医生设置抗菌药物使用权限。</w:t>
      </w:r>
    </w:p>
    <w:p w14:paraId="51051C80">
      <w:pPr>
        <w:rPr>
          <w:rFonts w:ascii="宋体" w:hAnsi="宋体" w:eastAsia="宋体"/>
        </w:rPr>
      </w:pPr>
      <w:r>
        <w:rPr>
          <w:rFonts w:hint="eastAsia" w:ascii="宋体" w:hAnsi="宋体" w:eastAsia="宋体"/>
        </w:rPr>
        <w:t>（2）</w:t>
      </w:r>
      <w:r>
        <w:rPr>
          <w:rFonts w:ascii="宋体" w:hAnsi="宋体" w:eastAsia="宋体"/>
        </w:rPr>
        <w:t>抗菌药物分级管理</w:t>
      </w:r>
    </w:p>
    <w:p w14:paraId="40A2243A">
      <w:pPr>
        <w:ind w:firstLine="480"/>
        <w:rPr>
          <w:rFonts w:ascii="宋体" w:hAnsi="宋体" w:eastAsia="宋体"/>
        </w:rPr>
      </w:pPr>
      <w:r>
        <w:rPr>
          <w:rFonts w:hint="eastAsia" w:ascii="宋体" w:hAnsi="宋体" w:eastAsia="宋体"/>
        </w:rPr>
        <w:t>1）支持</w:t>
      </w:r>
      <w:r>
        <w:rPr>
          <w:rFonts w:ascii="宋体" w:hAnsi="宋体" w:eastAsia="宋体"/>
        </w:rPr>
        <w:t>开立抗菌药物时，按医生对应的抗菌药物使用权限控制是否允许使用。</w:t>
      </w:r>
    </w:p>
    <w:p w14:paraId="707B2029">
      <w:pPr>
        <w:ind w:firstLine="480"/>
        <w:rPr>
          <w:rFonts w:ascii="宋体" w:hAnsi="宋体" w:eastAsia="宋体"/>
        </w:rPr>
      </w:pPr>
      <w:r>
        <w:rPr>
          <w:rFonts w:hint="eastAsia" w:ascii="宋体" w:hAnsi="宋体" w:eastAsia="宋体"/>
        </w:rPr>
        <w:t>2）</w:t>
      </w:r>
      <w:r>
        <w:rPr>
          <w:rFonts w:ascii="宋体" w:hAnsi="宋体" w:eastAsia="宋体"/>
        </w:rPr>
        <w:t>对医生抗菌药物使用权限不足时能够自动弹出提示内容进行提示。</w:t>
      </w:r>
    </w:p>
    <w:p w14:paraId="15C57120">
      <w:pPr>
        <w:ind w:firstLine="480"/>
        <w:rPr>
          <w:rFonts w:ascii="宋体" w:hAnsi="宋体" w:eastAsia="宋体"/>
        </w:rPr>
      </w:pPr>
      <w:r>
        <w:rPr>
          <w:rFonts w:hint="eastAsia" w:ascii="宋体" w:hAnsi="宋体" w:eastAsia="宋体"/>
        </w:rPr>
        <w:t>3）</w:t>
      </w:r>
      <w:r>
        <w:rPr>
          <w:rFonts w:ascii="宋体" w:hAnsi="宋体" w:eastAsia="宋体"/>
        </w:rPr>
        <w:t>科室医生对应不同的抗菌药物使用权限，当医生开具级别高的抗菌药物时，会触发抗菌药物审批流程。</w:t>
      </w:r>
    </w:p>
    <w:p w14:paraId="44637631">
      <w:pPr>
        <w:ind w:firstLine="480"/>
        <w:rPr>
          <w:rFonts w:ascii="宋体" w:hAnsi="宋体" w:eastAsia="宋体"/>
        </w:rPr>
      </w:pPr>
      <w:r>
        <w:rPr>
          <w:rFonts w:hint="eastAsia" w:ascii="宋体" w:hAnsi="宋体" w:eastAsia="宋体"/>
        </w:rPr>
        <w:t>4）支持</w:t>
      </w:r>
      <w:r>
        <w:rPr>
          <w:rFonts w:ascii="宋体" w:hAnsi="宋体" w:eastAsia="宋体"/>
        </w:rPr>
        <w:t>紧急情况下，医生临时越级使用抗菌药物，事后24h内医生补审核流程。</w:t>
      </w:r>
    </w:p>
    <w:p w14:paraId="6E15A532">
      <w:pPr>
        <w:ind w:firstLine="480"/>
        <w:rPr>
          <w:rFonts w:ascii="宋体" w:hAnsi="宋体" w:eastAsia="宋体"/>
        </w:rPr>
      </w:pPr>
      <w:r>
        <w:rPr>
          <w:rFonts w:hint="eastAsia" w:ascii="宋体" w:hAnsi="宋体" w:eastAsia="宋体"/>
        </w:rPr>
        <w:t>5）</w:t>
      </w:r>
      <w:r>
        <w:rPr>
          <w:rFonts w:ascii="宋体" w:hAnsi="宋体" w:eastAsia="宋体"/>
        </w:rPr>
        <w:t>将各分级审批流程植入临床业务系统中，实时提醒医生或上级审批人员及时审批特殊使用药物。</w:t>
      </w:r>
    </w:p>
    <w:p w14:paraId="3314E8CA">
      <w:pPr>
        <w:rPr>
          <w:rFonts w:ascii="宋体" w:hAnsi="宋体" w:eastAsia="宋体"/>
        </w:rPr>
      </w:pPr>
      <w:r>
        <w:rPr>
          <w:rFonts w:hint="eastAsia" w:ascii="宋体" w:hAnsi="宋体" w:eastAsia="宋体"/>
        </w:rPr>
        <w:t>（3）</w:t>
      </w:r>
      <w:r>
        <w:rPr>
          <w:rFonts w:ascii="宋体" w:hAnsi="宋体" w:eastAsia="宋体"/>
        </w:rPr>
        <w:t>抗菌药物用药目的管理</w:t>
      </w:r>
    </w:p>
    <w:p w14:paraId="3A194A8B">
      <w:pPr>
        <w:ind w:firstLine="480"/>
        <w:rPr>
          <w:rFonts w:ascii="宋体" w:hAnsi="宋体" w:eastAsia="宋体"/>
        </w:rPr>
      </w:pPr>
      <w:r>
        <w:rPr>
          <w:rFonts w:hint="eastAsia" w:ascii="宋体" w:hAnsi="宋体" w:eastAsia="宋体"/>
        </w:rPr>
        <w:t>1）</w:t>
      </w:r>
      <w:r>
        <w:rPr>
          <w:rFonts w:ascii="宋体" w:hAnsi="宋体" w:eastAsia="宋体"/>
        </w:rPr>
        <w:t>在医生下达提交抗菌药物时，自动弹出抗菌药物使用目的，由医生选择明确的抗菌药物使用目的。</w:t>
      </w:r>
    </w:p>
    <w:p w14:paraId="6A4912F8">
      <w:pPr>
        <w:pStyle w:val="6"/>
      </w:pPr>
      <w:r>
        <w:rPr>
          <w:rFonts w:hint="eastAsia"/>
        </w:rPr>
        <w:t>不良事件管理系统</w:t>
      </w:r>
    </w:p>
    <w:p w14:paraId="117C909D">
      <w:pPr>
        <w:rPr>
          <w:rFonts w:ascii="宋体" w:hAnsi="宋体" w:eastAsia="宋体"/>
        </w:rPr>
      </w:pPr>
      <w:r>
        <w:rPr>
          <w:rFonts w:hint="eastAsia" w:ascii="宋体" w:hAnsi="宋体" w:eastAsia="宋体"/>
        </w:rPr>
        <w:t>（1）不良事件综合管理</w:t>
      </w:r>
    </w:p>
    <w:p w14:paraId="40CBA4BB">
      <w:pPr>
        <w:ind w:firstLine="480"/>
        <w:rPr>
          <w:rFonts w:ascii="宋体" w:hAnsi="宋体" w:eastAsia="宋体"/>
        </w:rPr>
      </w:pPr>
      <w:r>
        <w:rPr>
          <w:rFonts w:hint="eastAsia" w:ascii="宋体" w:hAnsi="宋体" w:eastAsia="宋体"/>
        </w:rPr>
        <w:t>1）总览显示，包括不良事件总数、已处理数和未处理数。</w:t>
      </w:r>
    </w:p>
    <w:p w14:paraId="7C575A38">
      <w:pPr>
        <w:ind w:firstLine="480"/>
        <w:rPr>
          <w:rFonts w:ascii="宋体" w:hAnsi="宋体" w:eastAsia="宋体"/>
        </w:rPr>
      </w:pPr>
      <w:r>
        <w:rPr>
          <w:rFonts w:hint="eastAsia" w:ascii="宋体" w:hAnsi="宋体" w:eastAsia="宋体"/>
        </w:rPr>
        <w:t>2）显示按年度、按类型、按级别的分类数据。</w:t>
      </w:r>
    </w:p>
    <w:p w14:paraId="7D60AAFF">
      <w:pPr>
        <w:ind w:firstLine="480"/>
        <w:rPr>
          <w:rFonts w:ascii="宋体" w:hAnsi="宋体" w:eastAsia="宋体"/>
        </w:rPr>
      </w:pPr>
      <w:r>
        <w:rPr>
          <w:rFonts w:hint="eastAsia" w:ascii="宋体" w:hAnsi="宋体" w:eastAsia="宋体"/>
        </w:rPr>
        <w:t>3）支持按科室显示各科室的不良事件数据，进行统计分析。</w:t>
      </w:r>
    </w:p>
    <w:p w14:paraId="257F2828">
      <w:pPr>
        <w:rPr>
          <w:rFonts w:ascii="宋体" w:hAnsi="宋体" w:eastAsia="宋体"/>
        </w:rPr>
      </w:pPr>
      <w:r>
        <w:rPr>
          <w:rFonts w:hint="eastAsia" w:ascii="宋体" w:hAnsi="宋体" w:eastAsia="宋体"/>
        </w:rPr>
        <w:t>（2）不良事件</w:t>
      </w:r>
      <w:r>
        <w:rPr>
          <w:rFonts w:ascii="宋体" w:hAnsi="宋体" w:eastAsia="宋体"/>
        </w:rPr>
        <w:t>表单管理</w:t>
      </w:r>
    </w:p>
    <w:p w14:paraId="480B83EA">
      <w:pPr>
        <w:ind w:firstLine="480"/>
        <w:rPr>
          <w:rFonts w:ascii="宋体" w:hAnsi="宋体" w:eastAsia="宋体"/>
        </w:rPr>
      </w:pPr>
      <w:r>
        <w:rPr>
          <w:rFonts w:hint="eastAsia" w:ascii="宋体" w:hAnsi="宋体" w:eastAsia="宋体"/>
        </w:rPr>
        <w:t>1）</w:t>
      </w:r>
      <w:r>
        <w:rPr>
          <w:rFonts w:ascii="宋体" w:hAnsi="宋体" w:eastAsia="宋体"/>
        </w:rPr>
        <w:t>自定义填报表单创建</w:t>
      </w:r>
      <w:r>
        <w:rPr>
          <w:rFonts w:hint="eastAsia" w:ascii="宋体" w:hAnsi="宋体" w:eastAsia="宋体"/>
        </w:rPr>
        <w:t>；</w:t>
      </w:r>
      <w:r>
        <w:rPr>
          <w:rFonts w:ascii="宋体" w:hAnsi="宋体" w:eastAsia="宋体"/>
        </w:rPr>
        <w:t>填报表单样式修改，可根据实际需要修改表单内容及样式</w:t>
      </w:r>
      <w:r>
        <w:rPr>
          <w:rFonts w:hint="eastAsia" w:ascii="宋体" w:hAnsi="宋体" w:eastAsia="宋体"/>
        </w:rPr>
        <w:t>；</w:t>
      </w:r>
    </w:p>
    <w:p w14:paraId="6540A800">
      <w:pPr>
        <w:ind w:firstLine="480"/>
        <w:rPr>
          <w:rFonts w:ascii="宋体" w:hAnsi="宋体" w:eastAsia="宋体"/>
        </w:rPr>
      </w:pPr>
      <w:r>
        <w:rPr>
          <w:rFonts w:hint="eastAsia" w:ascii="宋体" w:hAnsi="宋体" w:eastAsia="宋体"/>
        </w:rPr>
        <w:t>2）</w:t>
      </w:r>
      <w:r>
        <w:rPr>
          <w:rFonts w:ascii="宋体" w:hAnsi="宋体" w:eastAsia="宋体"/>
        </w:rPr>
        <w:t>支持复制已有填报表单来创建新的表单</w:t>
      </w:r>
      <w:r>
        <w:rPr>
          <w:rFonts w:hint="eastAsia" w:ascii="宋体" w:hAnsi="宋体" w:eastAsia="宋体"/>
        </w:rPr>
        <w:t>，同时支持</w:t>
      </w:r>
      <w:r>
        <w:rPr>
          <w:rFonts w:ascii="宋体" w:hAnsi="宋体" w:eastAsia="宋体"/>
        </w:rPr>
        <w:t>表单</w:t>
      </w:r>
      <w:r>
        <w:rPr>
          <w:rFonts w:hint="eastAsia" w:ascii="宋体" w:hAnsi="宋体" w:eastAsia="宋体"/>
        </w:rPr>
        <w:t>必填项定义控制</w:t>
      </w:r>
      <w:r>
        <w:rPr>
          <w:rFonts w:ascii="宋体" w:hAnsi="宋体" w:eastAsia="宋体"/>
        </w:rPr>
        <w:t>。</w:t>
      </w:r>
    </w:p>
    <w:p w14:paraId="64C9936B">
      <w:pPr>
        <w:ind w:firstLine="480"/>
        <w:rPr>
          <w:rFonts w:ascii="宋体" w:hAnsi="宋体" w:eastAsia="宋体" w:cs="Microsoft Himalaya"/>
          <w:szCs w:val="21"/>
        </w:rPr>
      </w:pPr>
      <w:r>
        <w:rPr>
          <w:rFonts w:hint="eastAsia" w:ascii="宋体" w:hAnsi="宋体" w:eastAsia="宋体"/>
        </w:rPr>
        <w:t>3）</w:t>
      </w:r>
      <w:r>
        <w:rPr>
          <w:rFonts w:ascii="宋体" w:hAnsi="宋体" w:eastAsia="宋体"/>
        </w:rPr>
        <w:t>支持填报表单历史记录查询。</w:t>
      </w:r>
    </w:p>
    <w:p w14:paraId="00A7D664">
      <w:pPr>
        <w:rPr>
          <w:rFonts w:ascii="宋体" w:hAnsi="宋体" w:eastAsia="宋体"/>
        </w:rPr>
      </w:pPr>
      <w:r>
        <w:rPr>
          <w:rFonts w:hint="eastAsia" w:ascii="宋体" w:hAnsi="宋体" w:eastAsia="宋体"/>
        </w:rPr>
        <w:t>（3）</w:t>
      </w:r>
      <w:r>
        <w:rPr>
          <w:rFonts w:ascii="宋体" w:hAnsi="宋体" w:eastAsia="宋体"/>
        </w:rPr>
        <w:t>审批流程配置</w:t>
      </w:r>
    </w:p>
    <w:p w14:paraId="429DEC4C">
      <w:pPr>
        <w:ind w:firstLine="480"/>
        <w:rPr>
          <w:rFonts w:ascii="宋体" w:hAnsi="宋体" w:eastAsia="宋体"/>
        </w:rPr>
      </w:pPr>
      <w:r>
        <w:rPr>
          <w:rFonts w:ascii="宋体" w:hAnsi="宋体" w:eastAsia="宋体"/>
        </w:rPr>
        <w:t>自定义审批流程创建</w:t>
      </w:r>
      <w:r>
        <w:rPr>
          <w:rFonts w:hint="eastAsia" w:ascii="宋体" w:hAnsi="宋体" w:eastAsia="宋体"/>
        </w:rPr>
        <w:t>，</w:t>
      </w:r>
      <w:r>
        <w:rPr>
          <w:rFonts w:ascii="宋体" w:hAnsi="宋体" w:eastAsia="宋体"/>
        </w:rPr>
        <w:t>支持审批流程的修改</w:t>
      </w:r>
      <w:r>
        <w:rPr>
          <w:rFonts w:hint="eastAsia" w:ascii="宋体" w:hAnsi="宋体" w:eastAsia="宋体"/>
        </w:rPr>
        <w:t>、发布、删除、查询等</w:t>
      </w:r>
      <w:r>
        <w:rPr>
          <w:rFonts w:ascii="宋体" w:hAnsi="宋体" w:eastAsia="宋体"/>
        </w:rPr>
        <w:br w:type="textWrapping"/>
      </w:r>
      <w:r>
        <w:rPr>
          <w:rFonts w:ascii="宋体" w:hAnsi="宋体" w:eastAsia="宋体"/>
        </w:rPr>
        <w:t>支持流程节点审批人员</w:t>
      </w:r>
      <w:r>
        <w:rPr>
          <w:rFonts w:hint="eastAsia" w:ascii="宋体" w:hAnsi="宋体" w:eastAsia="宋体"/>
        </w:rPr>
        <w:t>、</w:t>
      </w:r>
      <w:r>
        <w:rPr>
          <w:rFonts w:ascii="宋体" w:hAnsi="宋体" w:eastAsia="宋体"/>
        </w:rPr>
        <w:t>执行表单</w:t>
      </w:r>
      <w:r>
        <w:rPr>
          <w:rFonts w:hint="eastAsia" w:ascii="宋体" w:hAnsi="宋体" w:eastAsia="宋体"/>
        </w:rPr>
        <w:t>灵活管理</w:t>
      </w:r>
      <w:r>
        <w:rPr>
          <w:rFonts w:ascii="宋体" w:hAnsi="宋体" w:eastAsia="宋体"/>
        </w:rPr>
        <w:t>。</w:t>
      </w:r>
    </w:p>
    <w:p w14:paraId="501318A2">
      <w:pPr>
        <w:rPr>
          <w:rFonts w:ascii="宋体" w:hAnsi="宋体" w:eastAsia="宋体"/>
        </w:rPr>
      </w:pPr>
      <w:r>
        <w:rPr>
          <w:rFonts w:hint="eastAsia" w:ascii="宋体" w:hAnsi="宋体" w:eastAsia="宋体"/>
        </w:rPr>
        <w:t>（4）</w:t>
      </w:r>
      <w:r>
        <w:rPr>
          <w:rFonts w:ascii="宋体" w:hAnsi="宋体" w:eastAsia="宋体"/>
        </w:rPr>
        <w:t>医疗不良事件上报</w:t>
      </w:r>
    </w:p>
    <w:p w14:paraId="546A62A9">
      <w:pPr>
        <w:widowControl/>
        <w:spacing w:before="240" w:after="240"/>
        <w:ind w:firstLine="420" w:firstLineChars="200"/>
        <w:rPr>
          <w:rFonts w:ascii="宋体" w:hAnsi="宋体" w:eastAsia="宋体" w:cs="Microsoft Himalaya"/>
          <w:szCs w:val="21"/>
        </w:rPr>
      </w:pPr>
      <w:r>
        <w:rPr>
          <w:rFonts w:ascii="宋体" w:hAnsi="宋体" w:eastAsia="宋体"/>
        </w:rPr>
        <w:t>支持误诊误治事件上报、麻醉不良事件上报、手术不良事件上报、导管/介入意外事件上报等</w:t>
      </w:r>
      <w:r>
        <w:rPr>
          <w:rFonts w:ascii="宋体" w:hAnsi="宋体" w:eastAsia="宋体" w:cs="Microsoft Himalaya"/>
          <w:szCs w:val="21"/>
        </w:rPr>
        <w:t>。</w:t>
      </w:r>
    </w:p>
    <w:p w14:paraId="3E665B43">
      <w:pPr>
        <w:rPr>
          <w:rFonts w:ascii="宋体" w:hAnsi="宋体" w:eastAsia="宋体"/>
        </w:rPr>
      </w:pPr>
      <w:r>
        <w:rPr>
          <w:rFonts w:hint="eastAsia" w:ascii="宋体" w:hAnsi="宋体" w:eastAsia="宋体"/>
        </w:rPr>
        <w:t>（5）</w:t>
      </w:r>
      <w:r>
        <w:rPr>
          <w:rFonts w:ascii="宋体" w:hAnsi="宋体" w:eastAsia="宋体"/>
        </w:rPr>
        <w:t>药品不良反应事件上报</w:t>
      </w:r>
    </w:p>
    <w:p w14:paraId="4D1B877C">
      <w:pPr>
        <w:ind w:firstLine="480"/>
        <w:rPr>
          <w:rFonts w:ascii="宋体" w:hAnsi="宋体" w:eastAsia="宋体"/>
        </w:rPr>
      </w:pPr>
      <w:r>
        <w:rPr>
          <w:rFonts w:ascii="宋体" w:hAnsi="宋体" w:eastAsia="宋体"/>
        </w:rPr>
        <w:t>新增</w:t>
      </w:r>
      <w:r>
        <w:rPr>
          <w:rFonts w:hint="eastAsia" w:ascii="宋体" w:hAnsi="宋体" w:eastAsia="宋体"/>
        </w:rPr>
        <w:t>、修改、撤销、删除、查询等</w:t>
      </w:r>
      <w:r>
        <w:rPr>
          <w:rFonts w:ascii="宋体" w:hAnsi="宋体" w:eastAsia="宋体"/>
        </w:rPr>
        <w:t>药品不良事件</w:t>
      </w:r>
      <w:r>
        <w:rPr>
          <w:rFonts w:hint="eastAsia" w:ascii="宋体" w:hAnsi="宋体" w:eastAsia="宋体"/>
        </w:rPr>
        <w:t>上报</w:t>
      </w:r>
      <w:r>
        <w:rPr>
          <w:rFonts w:ascii="宋体" w:hAnsi="宋体" w:eastAsia="宋体"/>
        </w:rPr>
        <w:t>。</w:t>
      </w:r>
    </w:p>
    <w:p w14:paraId="7E534020">
      <w:pPr>
        <w:rPr>
          <w:rFonts w:ascii="宋体" w:hAnsi="宋体" w:eastAsia="宋体"/>
        </w:rPr>
      </w:pPr>
      <w:r>
        <w:rPr>
          <w:rFonts w:hint="eastAsia" w:ascii="宋体" w:hAnsi="宋体" w:eastAsia="宋体"/>
        </w:rPr>
        <w:t>（6）</w:t>
      </w:r>
      <w:r>
        <w:rPr>
          <w:rFonts w:ascii="宋体" w:hAnsi="宋体" w:eastAsia="宋体"/>
        </w:rPr>
        <w:t>护理不良事件上报</w:t>
      </w:r>
    </w:p>
    <w:p w14:paraId="0F02AB72">
      <w:pPr>
        <w:ind w:firstLine="480"/>
        <w:rPr>
          <w:rFonts w:ascii="宋体" w:hAnsi="宋体" w:eastAsia="宋体"/>
        </w:rPr>
      </w:pPr>
      <w:r>
        <w:rPr>
          <w:rFonts w:hint="eastAsia" w:ascii="宋体" w:hAnsi="宋体" w:eastAsia="宋体"/>
        </w:rPr>
        <w:t>包含但不限于</w:t>
      </w:r>
      <w:r>
        <w:rPr>
          <w:rFonts w:ascii="宋体" w:hAnsi="宋体" w:eastAsia="宋体"/>
        </w:rPr>
        <w:t>跌倒/坠床事件上报、烧伤/烫伤事件上报、误吸事件上报、导管意外事件上报、约束意外事件上报、转运意外事件上报、走失/自杀/自残事件上报、非预期压疮事件上报、错用药/漏用药事件上报、液体渗漏事件上报、样本采集错误事件上报、标本漏送/迟送事件上报、冻伤事件上报等。</w:t>
      </w:r>
    </w:p>
    <w:p w14:paraId="02104125">
      <w:pPr>
        <w:rPr>
          <w:rFonts w:ascii="宋体" w:hAnsi="宋体" w:eastAsia="宋体"/>
        </w:rPr>
      </w:pPr>
      <w:r>
        <w:rPr>
          <w:rFonts w:hint="eastAsia" w:ascii="宋体" w:hAnsi="宋体" w:eastAsia="宋体"/>
        </w:rPr>
        <w:t>（7）</w:t>
      </w:r>
      <w:r>
        <w:rPr>
          <w:rFonts w:ascii="宋体" w:hAnsi="宋体" w:eastAsia="宋体"/>
        </w:rPr>
        <w:t>医学技术检查事件上报</w:t>
      </w:r>
    </w:p>
    <w:p w14:paraId="6F4D200D">
      <w:pPr>
        <w:ind w:firstLine="420" w:firstLineChars="200"/>
        <w:rPr>
          <w:rFonts w:ascii="宋体" w:hAnsi="宋体" w:eastAsia="宋体"/>
          <w:b/>
          <w:bCs/>
        </w:rPr>
      </w:pPr>
      <w:r>
        <w:rPr>
          <w:rFonts w:hint="eastAsia" w:ascii="宋体" w:hAnsi="宋体" w:eastAsia="宋体"/>
        </w:rPr>
        <w:t>包含</w:t>
      </w:r>
      <w:r>
        <w:rPr>
          <w:rFonts w:ascii="宋体" w:hAnsi="宋体" w:eastAsia="宋体"/>
        </w:rPr>
        <w:t>标本采集不良事件上报、功能检查不良事件上报、医学影像不良事件上报、放射安全不良事件上报等。</w:t>
      </w:r>
      <w:r>
        <w:rPr>
          <w:rFonts w:ascii="宋体" w:hAnsi="宋体" w:eastAsia="宋体" w:cs="Microsoft Himalaya"/>
          <w:szCs w:val="21"/>
        </w:rPr>
        <w:br w:type="textWrapping"/>
      </w:r>
      <w:r>
        <w:rPr>
          <w:rFonts w:hint="eastAsia" w:ascii="宋体" w:hAnsi="宋体" w:eastAsia="宋体"/>
        </w:rPr>
        <w:t>（8）</w:t>
      </w:r>
      <w:r>
        <w:rPr>
          <w:rFonts w:ascii="宋体" w:hAnsi="宋体" w:eastAsia="宋体"/>
        </w:rPr>
        <w:t>输血不良事件上报</w:t>
      </w:r>
    </w:p>
    <w:p w14:paraId="437913CC">
      <w:pPr>
        <w:ind w:firstLine="480"/>
        <w:rPr>
          <w:rFonts w:ascii="宋体" w:hAnsi="宋体" w:eastAsia="宋体"/>
        </w:rPr>
      </w:pPr>
      <w:r>
        <w:rPr>
          <w:rFonts w:ascii="宋体" w:hAnsi="宋体" w:eastAsia="宋体"/>
        </w:rPr>
        <w:t>支持输血前检验项目未进行事件上报、配型错误事件上报、血型错误事件上报、错误注射患者事件上报、未输入事件上报、成分输血及治疗错误事件上报、放射性照射错误事件上报、记录错误事件上报、输血反应事件上报、输血量错误事件上报、无输血医嘱输血事件上报等。</w:t>
      </w:r>
    </w:p>
    <w:p w14:paraId="0D995454">
      <w:pPr>
        <w:rPr>
          <w:rFonts w:ascii="宋体" w:hAnsi="宋体" w:eastAsia="宋体"/>
        </w:rPr>
      </w:pPr>
      <w:r>
        <w:rPr>
          <w:rFonts w:hint="eastAsia" w:ascii="宋体" w:hAnsi="宋体" w:eastAsia="宋体"/>
        </w:rPr>
        <w:t>（9）</w:t>
      </w:r>
      <w:r>
        <w:rPr>
          <w:rFonts w:ascii="宋体" w:hAnsi="宋体" w:eastAsia="宋体"/>
        </w:rPr>
        <w:t>医院感染事件上报</w:t>
      </w:r>
    </w:p>
    <w:p w14:paraId="7A6A3ADE">
      <w:pPr>
        <w:ind w:firstLine="480"/>
        <w:rPr>
          <w:rFonts w:ascii="宋体" w:hAnsi="宋体" w:eastAsia="宋体"/>
        </w:rPr>
      </w:pPr>
      <w:r>
        <w:rPr>
          <w:rFonts w:ascii="宋体" w:hAnsi="宋体" w:eastAsia="宋体"/>
        </w:rPr>
        <w:t>支持呼吸机所致肺炎上报、留置导管相关泌尿系统感染上报、血管导管相关血流感染上报、手术部位感染上报、呼吸系统感染上报、血液系统感染上报、腹部和消化系统感染上报、泌尿系统感染上报、皮肤和软组织感染上报、生殖道感染上报、心血管系统感染上报、中枢神经感染上报、口腔感染上报、骨/关节感染上报、职业暴露上报等。</w:t>
      </w:r>
    </w:p>
    <w:p w14:paraId="3378430C">
      <w:pPr>
        <w:rPr>
          <w:rFonts w:ascii="宋体" w:hAnsi="宋体" w:eastAsia="宋体"/>
        </w:rPr>
      </w:pPr>
      <w:r>
        <w:rPr>
          <w:rFonts w:hint="eastAsia" w:ascii="宋体" w:hAnsi="宋体" w:eastAsia="宋体"/>
        </w:rPr>
        <w:t>（10）</w:t>
      </w:r>
      <w:r>
        <w:rPr>
          <w:rFonts w:ascii="宋体" w:hAnsi="宋体" w:eastAsia="宋体"/>
        </w:rPr>
        <w:t>医疗器械不良事件上报</w:t>
      </w:r>
    </w:p>
    <w:p w14:paraId="593D639F">
      <w:pPr>
        <w:ind w:firstLine="480"/>
        <w:rPr>
          <w:rFonts w:ascii="宋体" w:hAnsi="宋体" w:eastAsia="宋体"/>
        </w:rPr>
      </w:pPr>
      <w:r>
        <w:rPr>
          <w:rFonts w:ascii="宋体" w:hAnsi="宋体" w:eastAsia="宋体"/>
        </w:rPr>
        <w:t>支持医疗耗材不良事件上报、器械不良事件上报、医疗设备不良事件上报等。</w:t>
      </w:r>
    </w:p>
    <w:p w14:paraId="311A656A">
      <w:pPr>
        <w:rPr>
          <w:rFonts w:ascii="宋体" w:hAnsi="宋体" w:eastAsia="宋体"/>
        </w:rPr>
      </w:pPr>
      <w:r>
        <w:rPr>
          <w:rFonts w:hint="eastAsia" w:ascii="宋体" w:hAnsi="宋体" w:eastAsia="宋体"/>
        </w:rPr>
        <w:t>（11）</w:t>
      </w:r>
      <w:r>
        <w:rPr>
          <w:rFonts w:ascii="宋体" w:hAnsi="宋体" w:eastAsia="宋体"/>
        </w:rPr>
        <w:t>综合不良事件上报</w:t>
      </w:r>
    </w:p>
    <w:p w14:paraId="1195C15E">
      <w:pPr>
        <w:ind w:firstLine="480"/>
        <w:rPr>
          <w:rFonts w:ascii="宋体" w:hAnsi="宋体" w:eastAsia="宋体"/>
        </w:rPr>
      </w:pPr>
      <w:r>
        <w:rPr>
          <w:rFonts w:ascii="宋体" w:hAnsi="宋体" w:eastAsia="宋体"/>
        </w:rPr>
        <w:t>支持查对/识别不良事件上报、信息传递不良事件上报、知情同意不良事件上报、诊疗记录不良事件上报、饮食与营养不良事件上报、物品运送不良事件上报、安全管理及意外伤害事件上报等。</w:t>
      </w:r>
    </w:p>
    <w:p w14:paraId="2538F616">
      <w:pPr>
        <w:rPr>
          <w:rFonts w:ascii="宋体" w:hAnsi="宋体" w:eastAsia="宋体"/>
        </w:rPr>
      </w:pPr>
      <w:r>
        <w:rPr>
          <w:rFonts w:hint="eastAsia" w:ascii="宋体" w:hAnsi="宋体" w:eastAsia="宋体"/>
        </w:rPr>
        <w:t>（12）</w:t>
      </w:r>
      <w:r>
        <w:rPr>
          <w:rFonts w:ascii="宋体" w:hAnsi="宋体" w:eastAsia="宋体"/>
        </w:rPr>
        <w:t>上报审批</w:t>
      </w:r>
    </w:p>
    <w:p w14:paraId="688617AA">
      <w:pPr>
        <w:ind w:firstLine="480"/>
        <w:rPr>
          <w:rFonts w:ascii="宋体" w:hAnsi="宋体" w:eastAsia="宋体"/>
        </w:rPr>
      </w:pPr>
      <w:r>
        <w:rPr>
          <w:rFonts w:ascii="宋体" w:hAnsi="宋体" w:eastAsia="宋体"/>
        </w:rPr>
        <w:t>将不良事件登记逐级推送到上级审批部门；支持节点审批任务自定义</w:t>
      </w:r>
      <w:r>
        <w:rPr>
          <w:rFonts w:hint="eastAsia" w:ascii="宋体" w:hAnsi="宋体" w:eastAsia="宋体"/>
        </w:rPr>
        <w:t>，可</w:t>
      </w:r>
      <w:r>
        <w:rPr>
          <w:rFonts w:ascii="宋体" w:hAnsi="宋体" w:eastAsia="宋体"/>
        </w:rPr>
        <w:t>自由选择驳回节点。</w:t>
      </w:r>
      <w:r>
        <w:rPr>
          <w:rFonts w:hint="eastAsia" w:ascii="宋体" w:hAnsi="宋体" w:eastAsia="宋体"/>
        </w:rPr>
        <w:t>同时可</w:t>
      </w:r>
      <w:r>
        <w:rPr>
          <w:rFonts w:ascii="宋体" w:hAnsi="宋体" w:eastAsia="宋体"/>
        </w:rPr>
        <w:t>指派多部门</w:t>
      </w:r>
      <w:r>
        <w:rPr>
          <w:rFonts w:hint="eastAsia" w:ascii="宋体" w:hAnsi="宋体" w:eastAsia="宋体"/>
        </w:rPr>
        <w:t>、</w:t>
      </w:r>
      <w:r>
        <w:rPr>
          <w:rFonts w:ascii="宋体" w:hAnsi="宋体" w:eastAsia="宋体"/>
        </w:rPr>
        <w:t>指派多人员</w:t>
      </w:r>
      <w:r>
        <w:rPr>
          <w:rFonts w:hint="eastAsia" w:ascii="宋体" w:hAnsi="宋体" w:eastAsia="宋体"/>
        </w:rPr>
        <w:t>、</w:t>
      </w:r>
      <w:r>
        <w:rPr>
          <w:rFonts w:ascii="宋体" w:hAnsi="宋体" w:eastAsia="宋体"/>
        </w:rPr>
        <w:t>指派多角色执行。</w:t>
      </w:r>
    </w:p>
    <w:p w14:paraId="518EA78C">
      <w:pPr>
        <w:rPr>
          <w:rFonts w:ascii="宋体" w:hAnsi="宋体" w:eastAsia="宋体"/>
        </w:rPr>
      </w:pPr>
      <w:r>
        <w:rPr>
          <w:rFonts w:hint="eastAsia" w:ascii="宋体" w:hAnsi="宋体" w:eastAsia="宋体"/>
        </w:rPr>
        <w:t>（13）</w:t>
      </w:r>
      <w:r>
        <w:rPr>
          <w:rFonts w:ascii="宋体" w:hAnsi="宋体" w:eastAsia="宋体"/>
        </w:rPr>
        <w:t>事件上报临床数据引用</w:t>
      </w:r>
    </w:p>
    <w:p w14:paraId="4DFA0B2E">
      <w:pPr>
        <w:ind w:firstLine="480"/>
        <w:rPr>
          <w:rFonts w:ascii="宋体" w:hAnsi="宋体" w:eastAsia="宋体"/>
        </w:rPr>
      </w:pPr>
      <w:r>
        <w:rPr>
          <w:rFonts w:ascii="宋体" w:hAnsi="宋体" w:eastAsia="宋体"/>
        </w:rPr>
        <w:t>采用数据源可配置的方式自动获取患者基本</w:t>
      </w:r>
      <w:r>
        <w:rPr>
          <w:rFonts w:hint="eastAsia" w:ascii="宋体" w:hAnsi="宋体" w:eastAsia="宋体"/>
        </w:rPr>
        <w:t>信息、</w:t>
      </w:r>
      <w:r>
        <w:rPr>
          <w:rFonts w:ascii="宋体" w:hAnsi="宋体" w:eastAsia="宋体"/>
        </w:rPr>
        <w:t>患者药品信息</w:t>
      </w:r>
      <w:r>
        <w:rPr>
          <w:rFonts w:hint="eastAsia" w:ascii="宋体" w:hAnsi="宋体" w:eastAsia="宋体"/>
        </w:rPr>
        <w:t>、</w:t>
      </w:r>
      <w:r>
        <w:rPr>
          <w:rFonts w:ascii="宋体" w:hAnsi="宋体" w:eastAsia="宋体"/>
        </w:rPr>
        <w:t>医疗人员信息</w:t>
      </w:r>
      <w:r>
        <w:rPr>
          <w:rFonts w:hint="eastAsia" w:ascii="宋体" w:hAnsi="宋体" w:eastAsia="宋体"/>
        </w:rPr>
        <w:t>等</w:t>
      </w:r>
      <w:r>
        <w:rPr>
          <w:rFonts w:ascii="宋体" w:hAnsi="宋体" w:eastAsia="宋体"/>
        </w:rPr>
        <w:t>。</w:t>
      </w:r>
    </w:p>
    <w:p w14:paraId="559F7F3F">
      <w:pPr>
        <w:rPr>
          <w:rFonts w:ascii="宋体" w:hAnsi="宋体" w:eastAsia="宋体"/>
        </w:rPr>
      </w:pPr>
      <w:r>
        <w:rPr>
          <w:rFonts w:hint="eastAsia" w:ascii="宋体" w:hAnsi="宋体" w:eastAsia="宋体"/>
        </w:rPr>
        <w:t>（14）</w:t>
      </w:r>
      <w:r>
        <w:rPr>
          <w:rFonts w:ascii="宋体" w:hAnsi="宋体" w:eastAsia="宋体"/>
        </w:rPr>
        <w:t>不良事件查询</w:t>
      </w:r>
    </w:p>
    <w:p w14:paraId="0F4B93BB">
      <w:pPr>
        <w:ind w:firstLine="480"/>
        <w:rPr>
          <w:rFonts w:ascii="宋体" w:hAnsi="宋体" w:eastAsia="宋体"/>
        </w:rPr>
      </w:pPr>
      <w:r>
        <w:rPr>
          <w:rFonts w:hint="eastAsia" w:ascii="宋体" w:hAnsi="宋体" w:eastAsia="宋体"/>
        </w:rPr>
        <w:t>1）支持</w:t>
      </w:r>
      <w:r>
        <w:rPr>
          <w:rFonts w:ascii="宋体" w:hAnsi="宋体" w:eastAsia="宋体"/>
        </w:rPr>
        <w:t>查看个人填报记录、查看报告状态、存在问题及改进措施、部门处理情况、事件结果部门追踪评价、审核记录等。</w:t>
      </w:r>
    </w:p>
    <w:p w14:paraId="2B5855F7">
      <w:pPr>
        <w:ind w:firstLine="480"/>
        <w:rPr>
          <w:rFonts w:ascii="宋体" w:hAnsi="宋体" w:eastAsia="宋体"/>
        </w:rPr>
      </w:pPr>
      <w:r>
        <w:rPr>
          <w:rFonts w:hint="eastAsia" w:ascii="宋体" w:hAnsi="宋体" w:eastAsia="宋体"/>
        </w:rPr>
        <w:t>2）</w:t>
      </w:r>
      <w:r>
        <w:rPr>
          <w:rFonts w:ascii="宋体" w:hAnsi="宋体" w:eastAsia="宋体"/>
        </w:rPr>
        <w:t>支持按事件类型、事件名称、事件级别、填报部门、填报人、状态进行查询。</w:t>
      </w:r>
    </w:p>
    <w:p w14:paraId="04964713">
      <w:pPr>
        <w:ind w:firstLine="480"/>
        <w:rPr>
          <w:rFonts w:ascii="宋体" w:hAnsi="宋体" w:eastAsia="宋体"/>
        </w:rPr>
      </w:pPr>
      <w:r>
        <w:rPr>
          <w:rFonts w:hint="eastAsia" w:ascii="宋体" w:hAnsi="宋体" w:eastAsia="宋体"/>
        </w:rPr>
        <w:t>3）提供</w:t>
      </w:r>
      <w:r>
        <w:rPr>
          <w:rFonts w:ascii="宋体" w:hAnsi="宋体" w:eastAsia="宋体"/>
        </w:rPr>
        <w:t>审核流程进度</w:t>
      </w:r>
      <w:r>
        <w:rPr>
          <w:rFonts w:hint="eastAsia" w:ascii="宋体" w:hAnsi="宋体" w:eastAsia="宋体"/>
        </w:rPr>
        <w:t>、</w:t>
      </w:r>
      <w:r>
        <w:rPr>
          <w:rFonts w:ascii="宋体" w:hAnsi="宋体" w:eastAsia="宋体"/>
        </w:rPr>
        <w:t>审核记录</w:t>
      </w:r>
      <w:r>
        <w:rPr>
          <w:rFonts w:hint="eastAsia" w:ascii="宋体" w:hAnsi="宋体" w:eastAsia="宋体"/>
        </w:rPr>
        <w:t>的查询管理</w:t>
      </w:r>
      <w:r>
        <w:rPr>
          <w:rFonts w:ascii="宋体" w:hAnsi="宋体" w:eastAsia="宋体"/>
        </w:rPr>
        <w:t>。</w:t>
      </w:r>
    </w:p>
    <w:p w14:paraId="6E004A31">
      <w:pPr>
        <w:rPr>
          <w:rFonts w:ascii="宋体" w:hAnsi="宋体" w:eastAsia="宋体"/>
        </w:rPr>
      </w:pPr>
      <w:r>
        <w:rPr>
          <w:rFonts w:hint="eastAsia" w:ascii="宋体" w:hAnsi="宋体" w:eastAsia="宋体"/>
        </w:rPr>
        <w:t>（15）</w:t>
      </w:r>
      <w:r>
        <w:rPr>
          <w:rFonts w:ascii="宋体" w:hAnsi="宋体" w:eastAsia="宋体"/>
        </w:rPr>
        <w:t>报表统计</w:t>
      </w:r>
    </w:p>
    <w:p w14:paraId="5E022C0B">
      <w:pPr>
        <w:widowControl/>
        <w:spacing w:before="240" w:after="240"/>
        <w:ind w:firstLine="420" w:firstLineChars="200"/>
        <w:rPr>
          <w:rFonts w:ascii="宋体" w:hAnsi="宋体" w:eastAsia="宋体" w:cs="Microsoft Himalaya"/>
          <w:szCs w:val="21"/>
        </w:rPr>
      </w:pPr>
      <w:r>
        <w:rPr>
          <w:rFonts w:hint="eastAsia" w:ascii="宋体" w:hAnsi="宋体" w:eastAsia="宋体" w:cs="Microsoft Himalaya"/>
          <w:szCs w:val="21"/>
        </w:rPr>
        <w:t>支持</w:t>
      </w:r>
      <w:r>
        <w:rPr>
          <w:rFonts w:ascii="宋体" w:hAnsi="宋体" w:eastAsia="宋体" w:cs="Microsoft Himalaya"/>
          <w:szCs w:val="21"/>
        </w:rPr>
        <w:t>按发生科室、上报科室、事件类型、事件等级、年度、季度、月度等已上报的数据进行多方位的汇总统计报表。</w:t>
      </w:r>
      <w:r>
        <w:rPr>
          <w:rFonts w:hint="eastAsia" w:ascii="宋体" w:hAnsi="宋体" w:eastAsia="宋体" w:cs="Microsoft Himalaya"/>
          <w:szCs w:val="21"/>
        </w:rPr>
        <w:t>包含</w:t>
      </w:r>
      <w:r>
        <w:rPr>
          <w:rFonts w:ascii="宋体" w:hAnsi="宋体" w:eastAsia="宋体" w:cs="Microsoft Himalaya"/>
          <w:szCs w:val="21"/>
        </w:rPr>
        <w:t>汇总统计报表</w:t>
      </w:r>
      <w:r>
        <w:rPr>
          <w:rFonts w:hint="eastAsia" w:ascii="宋体" w:hAnsi="宋体" w:eastAsia="宋体" w:cs="Microsoft Himalaya"/>
          <w:szCs w:val="21"/>
        </w:rPr>
        <w:t>、发生科室统计、上报科室统计、不良事件类型统计、不良事件等级统计、不良事件上报奖励统计等</w:t>
      </w:r>
    </w:p>
    <w:p w14:paraId="023E8B3F">
      <w:pPr>
        <w:pStyle w:val="6"/>
      </w:pPr>
      <w:r>
        <w:rPr>
          <w:rFonts w:hint="eastAsia"/>
        </w:rPr>
        <w:t>青海省全民健康信息平台接口</w:t>
      </w:r>
    </w:p>
    <w:p w14:paraId="42AC6F98">
      <w:pPr>
        <w:ind w:firstLine="480"/>
        <w:rPr>
          <w:rFonts w:ascii="宋体" w:hAnsi="宋体" w:eastAsia="宋体"/>
        </w:rPr>
      </w:pPr>
      <w:r>
        <w:rPr>
          <w:rFonts w:hint="eastAsia" w:ascii="宋体" w:hAnsi="宋体" w:eastAsia="宋体"/>
        </w:rPr>
        <w:t>根据青海省全民健康信息平台发布的接口文档定制开发，实现与平台对接，同时要求根据全民健康信息平台数据提取的时间段要求进行上传。</w:t>
      </w:r>
    </w:p>
    <w:p w14:paraId="2217C947">
      <w:pPr>
        <w:pStyle w:val="6"/>
      </w:pPr>
      <w:r>
        <w:rPr>
          <w:rFonts w:hint="eastAsia"/>
        </w:rPr>
        <w:t>海南州全民健康信息平台接口（预留）</w:t>
      </w:r>
    </w:p>
    <w:p w14:paraId="51928995">
      <w:pPr>
        <w:ind w:firstLine="480"/>
        <w:rPr>
          <w:rFonts w:ascii="宋体" w:hAnsi="宋体" w:eastAsia="宋体"/>
        </w:rPr>
      </w:pPr>
      <w:r>
        <w:rPr>
          <w:rFonts w:hint="eastAsia" w:ascii="宋体" w:hAnsi="宋体" w:eastAsia="宋体"/>
        </w:rPr>
        <w:t>（预留）根据海南州全民健康信息平台发布的接口文档定制开发，实现与平台对接，同时要求根据全民健康信息平台数据提取的时间段要求进行上传。</w:t>
      </w:r>
    </w:p>
    <w:p w14:paraId="7A873FD2">
      <w:pPr>
        <w:pStyle w:val="6"/>
      </w:pPr>
      <w:r>
        <w:rPr>
          <w:rFonts w:hint="eastAsia"/>
        </w:rPr>
        <w:t>海南州远程医疗接口</w:t>
      </w:r>
    </w:p>
    <w:p w14:paraId="1F8A85F6">
      <w:pPr>
        <w:ind w:firstLine="480"/>
        <w:rPr>
          <w:rFonts w:ascii="宋体" w:hAnsi="宋体" w:eastAsia="宋体"/>
        </w:rPr>
      </w:pPr>
      <w:r>
        <w:rPr>
          <w:rFonts w:hint="eastAsia" w:ascii="宋体" w:hAnsi="宋体" w:eastAsia="宋体"/>
        </w:rPr>
        <w:t>根据海南州远程医疗系统厂家接口文档定制开发，实现系统互联。</w:t>
      </w:r>
    </w:p>
    <w:p w14:paraId="09E2ECE5">
      <w:pPr>
        <w:ind w:firstLine="480"/>
        <w:rPr>
          <w:rFonts w:ascii="宋体" w:hAnsi="宋体" w:eastAsia="宋体"/>
        </w:rPr>
      </w:pPr>
      <w:r>
        <w:rPr>
          <w:rFonts w:hint="eastAsia" w:ascii="宋体" w:hAnsi="宋体" w:eastAsia="宋体"/>
        </w:rPr>
        <w:t>根据青海省涉藏地区远程医疗与远程教育平台标准接口文档定制开发，结合医院实际业务按要求实现对接。</w:t>
      </w:r>
    </w:p>
    <w:p w14:paraId="3C8D6F9F">
      <w:pPr>
        <w:pStyle w:val="6"/>
      </w:pPr>
      <w:r>
        <w:rPr>
          <w:rFonts w:hint="eastAsia"/>
        </w:rPr>
        <w:t>银行对账平台接口</w:t>
      </w:r>
    </w:p>
    <w:p w14:paraId="081CB89E">
      <w:pPr>
        <w:ind w:firstLine="480"/>
        <w:rPr>
          <w:rFonts w:ascii="宋体" w:hAnsi="宋体" w:eastAsia="宋体"/>
        </w:rPr>
      </w:pPr>
      <w:r>
        <w:rPr>
          <w:rFonts w:hint="eastAsia" w:ascii="宋体" w:hAnsi="宋体" w:eastAsia="宋体"/>
        </w:rPr>
        <w:t xml:space="preserve">    根据海南州人民医院合作银行给出的对账平台接口文档定制开发。</w:t>
      </w:r>
    </w:p>
    <w:p w14:paraId="436BC3EC">
      <w:pPr>
        <w:pStyle w:val="6"/>
      </w:pPr>
      <w:r>
        <w:rPr>
          <w:rFonts w:hint="eastAsia"/>
        </w:rPr>
        <w:t>医保平台所有接口（包含自助机）</w:t>
      </w:r>
    </w:p>
    <w:p w14:paraId="0FBAFC8E">
      <w:pPr>
        <w:ind w:firstLine="480"/>
        <w:rPr>
          <w:rFonts w:ascii="宋体" w:hAnsi="宋体" w:eastAsia="宋体"/>
        </w:rPr>
      </w:pPr>
      <w:r>
        <w:rPr>
          <w:rFonts w:hint="eastAsia" w:ascii="宋体" w:hAnsi="宋体" w:eastAsia="宋体"/>
        </w:rPr>
        <w:t>根据青海省医保平台接口规范定制开发，包含但不限于医保结算、医保自助机服务、医保移动支付、医保药品追溯、医保电子凭证全流程应用等接口，同时要求在建设期或运维期内，医疗平台下发的对接要求均免费接入，包含因接入必要的系统升级改造，以满足接入需求。</w:t>
      </w:r>
    </w:p>
    <w:p w14:paraId="4685C861">
      <w:pPr>
        <w:pStyle w:val="6"/>
      </w:pPr>
      <w:r>
        <w:rPr>
          <w:rFonts w:hint="eastAsia"/>
        </w:rPr>
        <w:t>传染病智能监测接口</w:t>
      </w:r>
    </w:p>
    <w:p w14:paraId="271C88E9">
      <w:pPr>
        <w:ind w:firstLine="420" w:firstLineChars="200"/>
        <w:rPr>
          <w:rFonts w:ascii="宋体" w:hAnsi="宋体" w:eastAsia="宋体"/>
        </w:rPr>
      </w:pPr>
      <w:r>
        <w:rPr>
          <w:rFonts w:hint="eastAsia" w:ascii="宋体" w:hAnsi="宋体" w:eastAsia="宋体"/>
        </w:rPr>
        <w:t>根据《国家传染病智能监测预警前置软件数据集规范和数据API接口规范》定制开发。</w:t>
      </w:r>
    </w:p>
    <w:p w14:paraId="1BE0E63B">
      <w:pPr>
        <w:pStyle w:val="4"/>
        <w:rPr>
          <w:rFonts w:ascii="宋体" w:hAnsi="宋体"/>
        </w:rPr>
      </w:pPr>
      <w:r>
        <w:rPr>
          <w:rFonts w:hint="eastAsia" w:ascii="宋体" w:hAnsi="宋体"/>
        </w:rPr>
        <w:t>医务管理系统</w:t>
      </w:r>
    </w:p>
    <w:p w14:paraId="74B90B4F">
      <w:pPr>
        <w:pStyle w:val="5"/>
        <w:rPr>
          <w:rFonts w:ascii="宋体" w:hAnsi="宋体" w:eastAsia="宋体"/>
        </w:rPr>
      </w:pPr>
      <w:r>
        <w:rPr>
          <w:rFonts w:hint="eastAsia" w:ascii="宋体" w:hAnsi="宋体" w:eastAsia="宋体"/>
        </w:rPr>
        <w:t>个人与医院门户管理</w:t>
      </w:r>
    </w:p>
    <w:p w14:paraId="337499FB">
      <w:pPr>
        <w:ind w:firstLine="480"/>
        <w:rPr>
          <w:rFonts w:ascii="宋体" w:hAnsi="宋体" w:eastAsia="宋体"/>
        </w:rPr>
      </w:pPr>
      <w:r>
        <w:rPr>
          <w:rFonts w:hint="eastAsia" w:ascii="宋体" w:hAnsi="宋体" w:eastAsia="宋体"/>
        </w:rPr>
        <w:t>1）系统首页可快速查看个人待办事项和统计信息，支持医务管理人员进行各类审批的处理。实现医生个人门户信息展示，接收医院通知公告信息，查看个人待办事项及预警类信息；</w:t>
      </w:r>
    </w:p>
    <w:p w14:paraId="26B154CD">
      <w:pPr>
        <w:ind w:firstLine="480"/>
        <w:rPr>
          <w:rFonts w:ascii="宋体" w:hAnsi="宋体" w:eastAsia="宋体"/>
        </w:rPr>
      </w:pPr>
      <w:r>
        <w:rPr>
          <w:rFonts w:hint="eastAsia" w:ascii="宋体" w:hAnsi="宋体" w:eastAsia="宋体"/>
        </w:rPr>
        <w:t>2）医院门户管理，医务管理人员待办事项查看，通知公告管理，全院医生预警信息管理，档案与申请类统计分析、患者如出院人次变化趋势查看。</w:t>
      </w:r>
    </w:p>
    <w:p w14:paraId="7A07C86F">
      <w:pPr>
        <w:pStyle w:val="5"/>
        <w:rPr>
          <w:rFonts w:ascii="宋体" w:hAnsi="宋体" w:eastAsia="宋体"/>
        </w:rPr>
      </w:pPr>
      <w:r>
        <w:rPr>
          <w:rFonts w:hint="eastAsia" w:ascii="宋体" w:hAnsi="宋体" w:eastAsia="宋体"/>
        </w:rPr>
        <w:t>医疗技术档案</w:t>
      </w:r>
    </w:p>
    <w:p w14:paraId="09B5411D">
      <w:pPr>
        <w:ind w:firstLine="480"/>
        <w:rPr>
          <w:rFonts w:ascii="宋体" w:hAnsi="宋体" w:eastAsia="宋体"/>
        </w:rPr>
      </w:pPr>
      <w:r>
        <w:rPr>
          <w:rFonts w:hint="eastAsia" w:ascii="宋体" w:hAnsi="宋体" w:eastAsia="宋体"/>
        </w:rPr>
        <w:t>1）我的</w:t>
      </w:r>
      <w:r>
        <w:rPr>
          <w:rFonts w:ascii="宋体" w:hAnsi="宋体" w:eastAsia="宋体"/>
        </w:rPr>
        <w:t>档案</w:t>
      </w:r>
    </w:p>
    <w:p w14:paraId="2A79703A">
      <w:pPr>
        <w:ind w:firstLine="480"/>
        <w:rPr>
          <w:rFonts w:ascii="宋体" w:hAnsi="宋体" w:eastAsia="宋体"/>
        </w:rPr>
      </w:pPr>
      <w:r>
        <w:rPr>
          <w:rFonts w:ascii="宋体" w:hAnsi="宋体" w:eastAsia="宋体"/>
        </w:rPr>
        <w:t>医务人员管理个人档案信息，内容包含档案总览，通过日期检索查看科研项目论文、三新技术、学分情况、奖励惩罚情况、医疗活动情况和知识产权情况等数量信息；</w:t>
      </w:r>
    </w:p>
    <w:p w14:paraId="5154D514">
      <w:pPr>
        <w:ind w:firstLine="480"/>
        <w:rPr>
          <w:rFonts w:ascii="宋体" w:hAnsi="宋体" w:eastAsia="宋体"/>
        </w:rPr>
      </w:pPr>
      <w:r>
        <w:rPr>
          <w:rFonts w:ascii="宋体" w:hAnsi="宋体" w:eastAsia="宋体"/>
        </w:rPr>
        <w:t>通过时间轴查看所有个人档案事件发生情况，通过年份和事件类型进行过滤查看；</w:t>
      </w:r>
    </w:p>
    <w:p w14:paraId="773E945D">
      <w:pPr>
        <w:ind w:firstLine="480"/>
        <w:rPr>
          <w:rFonts w:ascii="宋体" w:hAnsi="宋体" w:eastAsia="宋体"/>
        </w:rPr>
      </w:pPr>
      <w:r>
        <w:rPr>
          <w:rFonts w:ascii="宋体" w:hAnsi="宋体" w:eastAsia="宋体"/>
        </w:rPr>
        <w:t>管理维护个人档案基本信息，包含工号、姓名、性别、婚姻、出生日期、手机号码、邮箱地址等内容。</w:t>
      </w:r>
    </w:p>
    <w:p w14:paraId="5870B180">
      <w:pPr>
        <w:ind w:firstLine="480"/>
        <w:rPr>
          <w:rFonts w:ascii="宋体" w:hAnsi="宋体" w:eastAsia="宋体"/>
        </w:rPr>
      </w:pPr>
      <w:r>
        <w:rPr>
          <w:rFonts w:ascii="宋体" w:hAnsi="宋体" w:eastAsia="宋体"/>
        </w:rPr>
        <w:t>管理执业证书信息，包含各类执业证书的名称、执业证号、获得时间、审批有效期等内容。</w:t>
      </w:r>
    </w:p>
    <w:p w14:paraId="264A7AE9">
      <w:pPr>
        <w:ind w:firstLine="480"/>
        <w:rPr>
          <w:rFonts w:ascii="宋体" w:hAnsi="宋体" w:eastAsia="宋体"/>
        </w:rPr>
      </w:pPr>
      <w:r>
        <w:rPr>
          <w:rFonts w:ascii="宋体" w:hAnsi="宋体" w:eastAsia="宋体"/>
        </w:rPr>
        <w:t>管理学历工作信息，包含教育经历（教育开始和结束时间、学校、所学专业、学历、学位等）和工作经历（工作开始和结束时间、工作单位、担任职务、岗位职称、科室等）</w:t>
      </w:r>
    </w:p>
    <w:p w14:paraId="7DACCB2E">
      <w:pPr>
        <w:ind w:firstLine="480"/>
        <w:rPr>
          <w:rFonts w:ascii="宋体" w:hAnsi="宋体" w:eastAsia="宋体"/>
        </w:rPr>
      </w:pPr>
      <w:r>
        <w:rPr>
          <w:rFonts w:ascii="宋体" w:hAnsi="宋体" w:eastAsia="宋体"/>
        </w:rPr>
        <w:t>管理职称职务信息，档案显示医务调动后的变动记录，包含调动/任命日期、获得职称与职务名称等信息。</w:t>
      </w:r>
    </w:p>
    <w:p w14:paraId="2643977C">
      <w:pPr>
        <w:ind w:firstLine="480"/>
        <w:rPr>
          <w:rFonts w:ascii="宋体" w:hAnsi="宋体" w:eastAsia="宋体"/>
        </w:rPr>
      </w:pPr>
      <w:r>
        <w:rPr>
          <w:rFonts w:ascii="宋体" w:hAnsi="宋体" w:eastAsia="宋体"/>
        </w:rPr>
        <w:t>管理证照信息，包含各类证照的附件资料管理。</w:t>
      </w:r>
    </w:p>
    <w:p w14:paraId="05952CFD">
      <w:pPr>
        <w:ind w:firstLine="480"/>
        <w:rPr>
          <w:rFonts w:ascii="宋体" w:hAnsi="宋体" w:eastAsia="宋体"/>
        </w:rPr>
      </w:pPr>
      <w:r>
        <w:rPr>
          <w:rFonts w:ascii="宋体" w:hAnsi="宋体" w:eastAsia="宋体"/>
        </w:rPr>
        <w:t>管理科研论文信息，包含科研项目（项目编号、项目名称、研究开始和结束时间、项目级别、附件）和论文项目（期刊类型、年份、题目、第一作者、通讯作者、期刊名称、卷号）的情况。</w:t>
      </w:r>
    </w:p>
    <w:p w14:paraId="5BD6DA35">
      <w:pPr>
        <w:ind w:firstLine="480"/>
        <w:rPr>
          <w:rFonts w:ascii="宋体" w:hAnsi="宋体" w:eastAsia="宋体"/>
        </w:rPr>
      </w:pPr>
      <w:r>
        <w:rPr>
          <w:rFonts w:ascii="宋体" w:hAnsi="宋体" w:eastAsia="宋体"/>
        </w:rPr>
        <w:t>管理三新记录信息，包含记录项目名称、开始和结束时间、项目单位、项目类型等。</w:t>
      </w:r>
    </w:p>
    <w:p w14:paraId="5F62FA90">
      <w:pPr>
        <w:ind w:firstLine="480"/>
        <w:rPr>
          <w:rFonts w:ascii="宋体" w:hAnsi="宋体" w:eastAsia="宋体"/>
        </w:rPr>
      </w:pPr>
      <w:r>
        <w:rPr>
          <w:rFonts w:ascii="宋体" w:hAnsi="宋体" w:eastAsia="宋体"/>
        </w:rPr>
        <w:t>管理专业学会任职信息，包含任职开始和结束时间、任职团体、任职职务等。</w:t>
      </w:r>
    </w:p>
    <w:p w14:paraId="0F6C28E2">
      <w:pPr>
        <w:ind w:firstLine="480"/>
        <w:rPr>
          <w:rFonts w:ascii="宋体" w:hAnsi="宋体" w:eastAsia="宋体"/>
        </w:rPr>
      </w:pPr>
      <w:r>
        <w:rPr>
          <w:rFonts w:ascii="宋体" w:hAnsi="宋体" w:eastAsia="宋体"/>
        </w:rPr>
        <w:t>查看学分情况，通过教育教育记录产生的学分情况查看。</w:t>
      </w:r>
    </w:p>
    <w:p w14:paraId="0385118C">
      <w:pPr>
        <w:ind w:firstLine="480"/>
        <w:rPr>
          <w:rFonts w:ascii="宋体" w:hAnsi="宋体" w:eastAsia="宋体"/>
        </w:rPr>
      </w:pPr>
      <w:r>
        <w:rPr>
          <w:rFonts w:ascii="宋体" w:hAnsi="宋体" w:eastAsia="宋体"/>
        </w:rPr>
        <w:t>查看奖惩情况，通过奖惩记录生成的包含奖励和惩罚相关的日期、部门、项目、等级、金额等。</w:t>
      </w:r>
    </w:p>
    <w:p w14:paraId="73A31D6B">
      <w:pPr>
        <w:ind w:firstLine="480"/>
        <w:rPr>
          <w:rFonts w:ascii="宋体" w:hAnsi="宋体" w:eastAsia="宋体"/>
        </w:rPr>
      </w:pPr>
      <w:r>
        <w:rPr>
          <w:rFonts w:ascii="宋体" w:hAnsi="宋体" w:eastAsia="宋体"/>
        </w:rPr>
        <w:t>管理培训考试记录，包含培训日期、培训内容、培训部门、考核日期、分数等。</w:t>
      </w:r>
    </w:p>
    <w:p w14:paraId="50DAE54F">
      <w:pPr>
        <w:ind w:firstLine="480"/>
        <w:rPr>
          <w:rFonts w:ascii="宋体" w:hAnsi="宋体" w:eastAsia="宋体"/>
        </w:rPr>
      </w:pPr>
      <w:r>
        <w:rPr>
          <w:rFonts w:ascii="宋体" w:hAnsi="宋体" w:eastAsia="宋体"/>
        </w:rPr>
        <w:t>管理继续教育记录，包含教育的开始和结束日期、项目编号、项目名称、项目类型、学分，生成学分记录到学分情况模块。</w:t>
      </w:r>
    </w:p>
    <w:p w14:paraId="422C3B71">
      <w:pPr>
        <w:ind w:firstLine="480"/>
        <w:rPr>
          <w:rFonts w:ascii="宋体" w:hAnsi="宋体" w:eastAsia="宋体"/>
        </w:rPr>
      </w:pPr>
      <w:r>
        <w:rPr>
          <w:rFonts w:ascii="宋体" w:hAnsi="宋体" w:eastAsia="宋体"/>
        </w:rPr>
        <w:t>管理定期考核记录，包含考核周期、考核开始和结束日期、考核结果。</w:t>
      </w:r>
    </w:p>
    <w:p w14:paraId="5E17746C">
      <w:pPr>
        <w:ind w:firstLine="480"/>
        <w:rPr>
          <w:rFonts w:ascii="宋体" w:hAnsi="宋体" w:eastAsia="宋体"/>
        </w:rPr>
      </w:pPr>
      <w:r>
        <w:rPr>
          <w:rFonts w:ascii="宋体" w:hAnsi="宋体" w:eastAsia="宋体"/>
        </w:rPr>
        <w:t>查看人员处方权限和手术权限信息。</w:t>
      </w:r>
    </w:p>
    <w:p w14:paraId="7BA39B03">
      <w:pPr>
        <w:ind w:firstLine="482"/>
        <w:rPr>
          <w:rFonts w:ascii="宋体" w:hAnsi="宋体" w:eastAsia="宋体"/>
          <w:b/>
          <w:bCs/>
        </w:rPr>
      </w:pPr>
      <w:r>
        <w:rPr>
          <w:rFonts w:hint="eastAsia" w:ascii="宋体" w:hAnsi="宋体" w:eastAsia="宋体"/>
        </w:rPr>
        <w:t>2）</w:t>
      </w:r>
      <w:r>
        <w:rPr>
          <w:rFonts w:ascii="宋体" w:hAnsi="宋体" w:eastAsia="宋体"/>
        </w:rPr>
        <w:t>档案管理</w:t>
      </w:r>
      <w:r>
        <w:rPr>
          <w:rFonts w:hint="eastAsia" w:ascii="宋体" w:hAnsi="宋体" w:eastAsia="宋体"/>
          <w:b/>
          <w:bCs/>
        </w:rPr>
        <w:t>：</w:t>
      </w:r>
      <w:r>
        <w:rPr>
          <w:rFonts w:ascii="宋体" w:hAnsi="宋体" w:eastAsia="宋体"/>
        </w:rPr>
        <w:t>全院医务人员档案信息总览管理，可从HRP或者HIS同步人员基础信息,可以到处人员基本信息。</w:t>
      </w:r>
    </w:p>
    <w:p w14:paraId="0DEDF241">
      <w:pPr>
        <w:ind w:firstLine="480"/>
        <w:rPr>
          <w:rFonts w:ascii="宋体" w:hAnsi="宋体" w:eastAsia="宋体"/>
        </w:rPr>
      </w:pPr>
      <w:r>
        <w:rPr>
          <w:rFonts w:hint="eastAsia" w:ascii="宋体" w:hAnsi="宋体" w:eastAsia="宋体"/>
        </w:rPr>
        <w:t>3）</w:t>
      </w:r>
      <w:r>
        <w:rPr>
          <w:rFonts w:ascii="宋体" w:hAnsi="宋体" w:eastAsia="宋体"/>
        </w:rPr>
        <w:t>档案借阅</w:t>
      </w:r>
      <w:r>
        <w:rPr>
          <w:rFonts w:hint="eastAsia" w:ascii="宋体" w:hAnsi="宋体" w:eastAsia="宋体"/>
        </w:rPr>
        <w:t>：</w:t>
      </w:r>
      <w:r>
        <w:rPr>
          <w:rFonts w:ascii="宋体" w:hAnsi="宋体" w:eastAsia="宋体"/>
        </w:rPr>
        <w:t>可以记录医务人员档案借阅情况和归还情况。</w:t>
      </w:r>
    </w:p>
    <w:p w14:paraId="58F30920">
      <w:pPr>
        <w:ind w:firstLine="480"/>
        <w:rPr>
          <w:rFonts w:ascii="宋体" w:hAnsi="宋体" w:eastAsia="宋体"/>
        </w:rPr>
      </w:pPr>
      <w:r>
        <w:rPr>
          <w:rFonts w:hint="eastAsia" w:ascii="宋体" w:hAnsi="宋体" w:eastAsia="宋体"/>
        </w:rPr>
        <w:t>4）</w:t>
      </w:r>
      <w:r>
        <w:rPr>
          <w:rFonts w:ascii="宋体" w:hAnsi="宋体" w:eastAsia="宋体"/>
        </w:rPr>
        <w:t>职务变动管理</w:t>
      </w:r>
      <w:r>
        <w:rPr>
          <w:rFonts w:hint="eastAsia" w:ascii="宋体" w:hAnsi="宋体" w:eastAsia="宋体"/>
        </w:rPr>
        <w:t>：</w:t>
      </w:r>
      <w:r>
        <w:rPr>
          <w:rFonts w:ascii="宋体" w:hAnsi="宋体" w:eastAsia="宋体"/>
        </w:rPr>
        <w:t>支持医务管理人员变动和维护医生的职务变动信息。</w:t>
      </w:r>
    </w:p>
    <w:p w14:paraId="3BB5940F">
      <w:pPr>
        <w:ind w:firstLine="480"/>
        <w:rPr>
          <w:rFonts w:ascii="宋体" w:hAnsi="宋体" w:eastAsia="宋体"/>
        </w:rPr>
      </w:pPr>
      <w:r>
        <w:rPr>
          <w:rFonts w:hint="eastAsia" w:ascii="宋体" w:hAnsi="宋体" w:eastAsia="宋体"/>
        </w:rPr>
        <w:t>5）</w:t>
      </w:r>
      <w:r>
        <w:rPr>
          <w:rFonts w:ascii="宋体" w:hAnsi="宋体" w:eastAsia="宋体"/>
        </w:rPr>
        <w:t>职称变动管理</w:t>
      </w:r>
      <w:r>
        <w:rPr>
          <w:rFonts w:hint="eastAsia" w:ascii="宋体" w:hAnsi="宋体" w:eastAsia="宋体"/>
        </w:rPr>
        <w:t>：</w:t>
      </w:r>
      <w:r>
        <w:rPr>
          <w:rFonts w:ascii="宋体" w:hAnsi="宋体" w:eastAsia="宋体"/>
        </w:rPr>
        <w:t>支持医务管理人员变动和维护医生的职称变动信息。</w:t>
      </w:r>
    </w:p>
    <w:p w14:paraId="0E7E841B">
      <w:pPr>
        <w:ind w:firstLine="480"/>
        <w:rPr>
          <w:rFonts w:ascii="宋体" w:hAnsi="宋体" w:eastAsia="宋体"/>
        </w:rPr>
      </w:pPr>
      <w:r>
        <w:rPr>
          <w:rFonts w:hint="eastAsia" w:ascii="宋体" w:hAnsi="宋体" w:eastAsia="宋体"/>
        </w:rPr>
        <w:t>6）</w:t>
      </w:r>
      <w:r>
        <w:rPr>
          <w:rFonts w:ascii="宋体" w:hAnsi="宋体" w:eastAsia="宋体"/>
        </w:rPr>
        <w:t>医嘱权限管理</w:t>
      </w:r>
      <w:r>
        <w:rPr>
          <w:rFonts w:hint="eastAsia" w:ascii="宋体" w:hAnsi="宋体" w:eastAsia="宋体"/>
        </w:rPr>
        <w:t>：</w:t>
      </w:r>
      <w:r>
        <w:rPr>
          <w:rFonts w:ascii="宋体" w:hAnsi="宋体" w:eastAsia="宋体"/>
        </w:rPr>
        <w:t>支持对全院医生进行医嘱权限授权和取消授权管理，授权和取消授权将同步更新HIS系统权限。</w:t>
      </w:r>
    </w:p>
    <w:p w14:paraId="65283E03">
      <w:pPr>
        <w:pStyle w:val="5"/>
        <w:rPr>
          <w:rFonts w:ascii="宋体" w:hAnsi="宋体" w:eastAsia="宋体"/>
        </w:rPr>
      </w:pPr>
      <w:r>
        <w:rPr>
          <w:rFonts w:ascii="宋体" w:hAnsi="宋体" w:eastAsia="宋体"/>
        </w:rPr>
        <w:t>申请与审批管理</w:t>
      </w:r>
    </w:p>
    <w:p w14:paraId="6ABD52CF">
      <w:pPr>
        <w:ind w:firstLine="480"/>
        <w:rPr>
          <w:rFonts w:ascii="宋体" w:hAnsi="宋体" w:eastAsia="宋体"/>
        </w:rPr>
      </w:pPr>
      <w:r>
        <w:rPr>
          <w:rFonts w:hint="eastAsia" w:ascii="宋体" w:hAnsi="宋体" w:eastAsia="宋体"/>
        </w:rPr>
        <w:t>支持</w:t>
      </w:r>
      <w:r>
        <w:rPr>
          <w:rFonts w:ascii="宋体" w:hAnsi="宋体" w:eastAsia="宋体"/>
        </w:rPr>
        <w:t>日常业务的申请与审批，包括：系统权限申请、医疗技术申请、请假申请、会诊申请、处方权限申请、档案借阅申请、临床输血申请，及对应业务的审批。审批后档案同步更新到医务人员的个人医疗技术档案。</w:t>
      </w:r>
    </w:p>
    <w:p w14:paraId="5A63A6AE">
      <w:pPr>
        <w:ind w:firstLine="480"/>
        <w:rPr>
          <w:rFonts w:ascii="宋体" w:hAnsi="宋体" w:eastAsia="宋体"/>
        </w:rPr>
      </w:pPr>
      <w:r>
        <w:rPr>
          <w:rFonts w:hint="eastAsia" w:ascii="宋体" w:hAnsi="宋体" w:eastAsia="宋体"/>
        </w:rPr>
        <w:t>1）</w:t>
      </w:r>
      <w:r>
        <w:rPr>
          <w:rFonts w:ascii="宋体" w:hAnsi="宋体" w:eastAsia="宋体"/>
        </w:rPr>
        <w:t>日常业务申请</w:t>
      </w:r>
      <w:r>
        <w:rPr>
          <w:rFonts w:hint="eastAsia" w:ascii="宋体" w:hAnsi="宋体" w:eastAsia="宋体"/>
        </w:rPr>
        <w:t>：</w:t>
      </w:r>
      <w:r>
        <w:rPr>
          <w:rFonts w:ascii="宋体" w:hAnsi="宋体" w:eastAsia="宋体"/>
        </w:rPr>
        <w:t>申请通过自由式表单配置的如抗菌药物权限申请、抗肿瘤药物权限申请、麻醉药物权限申请、重大手术申请、处方权权限申请、医师权限申请、外请专家申请等各类申请信息的提交</w:t>
      </w:r>
      <w:r>
        <w:rPr>
          <w:rFonts w:hint="eastAsia" w:ascii="宋体" w:hAnsi="宋体" w:eastAsia="宋体"/>
        </w:rPr>
        <w:t>；</w:t>
      </w:r>
      <w:r>
        <w:rPr>
          <w:rFonts w:ascii="宋体" w:hAnsi="宋体" w:eastAsia="宋体"/>
        </w:rPr>
        <w:t>通过申请日期、类型、状态查看申请状态</w:t>
      </w:r>
      <w:r>
        <w:rPr>
          <w:rFonts w:hint="eastAsia" w:ascii="宋体" w:hAnsi="宋体" w:eastAsia="宋体"/>
        </w:rPr>
        <w:t>；</w:t>
      </w:r>
      <w:r>
        <w:rPr>
          <w:rFonts w:ascii="宋体" w:hAnsi="宋体" w:eastAsia="宋体"/>
        </w:rPr>
        <w:t>申请单的提交、打印、作废、删除处理。</w:t>
      </w:r>
    </w:p>
    <w:p w14:paraId="155A6DF8">
      <w:pPr>
        <w:ind w:firstLine="480"/>
        <w:rPr>
          <w:rFonts w:ascii="宋体" w:hAnsi="宋体" w:eastAsia="宋体"/>
        </w:rPr>
      </w:pPr>
      <w:r>
        <w:rPr>
          <w:rFonts w:hint="eastAsia" w:ascii="宋体" w:hAnsi="宋体" w:eastAsia="宋体"/>
        </w:rPr>
        <w:t>2）</w:t>
      </w:r>
      <w:r>
        <w:rPr>
          <w:rFonts w:ascii="宋体" w:hAnsi="宋体" w:eastAsia="宋体"/>
        </w:rPr>
        <w:t>日常业务审批</w:t>
      </w:r>
      <w:r>
        <w:rPr>
          <w:rFonts w:hint="eastAsia" w:ascii="宋体" w:hAnsi="宋体" w:eastAsia="宋体"/>
        </w:rPr>
        <w:t>：</w:t>
      </w:r>
      <w:r>
        <w:rPr>
          <w:rFonts w:ascii="宋体" w:hAnsi="宋体" w:eastAsia="宋体"/>
        </w:rPr>
        <w:t>支持审批各类日常业务申请单，可通过流程引擎配置各类申请单的审批流程，可以查看审批记录。</w:t>
      </w:r>
    </w:p>
    <w:p w14:paraId="10B5501C">
      <w:pPr>
        <w:ind w:firstLine="480"/>
        <w:rPr>
          <w:rFonts w:ascii="宋体" w:hAnsi="宋体" w:eastAsia="宋体"/>
        </w:rPr>
      </w:pPr>
      <w:r>
        <w:rPr>
          <w:rFonts w:hint="eastAsia" w:ascii="宋体" w:hAnsi="宋体" w:eastAsia="宋体"/>
        </w:rPr>
        <w:t>3）</w:t>
      </w:r>
      <w:r>
        <w:rPr>
          <w:rFonts w:ascii="宋体" w:hAnsi="宋体" w:eastAsia="宋体"/>
        </w:rPr>
        <w:t>档案审批</w:t>
      </w:r>
      <w:r>
        <w:rPr>
          <w:rFonts w:hint="eastAsia" w:ascii="宋体" w:hAnsi="宋体" w:eastAsia="宋体"/>
        </w:rPr>
        <w:t>：</w:t>
      </w:r>
      <w:r>
        <w:rPr>
          <w:rFonts w:ascii="宋体" w:hAnsi="宋体" w:eastAsia="宋体"/>
        </w:rPr>
        <w:t>开启档案审批</w:t>
      </w:r>
      <w:r>
        <w:rPr>
          <w:rFonts w:hint="eastAsia" w:ascii="宋体" w:hAnsi="宋体" w:eastAsia="宋体"/>
        </w:rPr>
        <w:t>，</w:t>
      </w:r>
      <w:r>
        <w:rPr>
          <w:rFonts w:ascii="宋体" w:hAnsi="宋体" w:eastAsia="宋体"/>
        </w:rPr>
        <w:t>任何个人档案的修改都需要进行审批后才可以生效，可以通过申请时间、科室、类型筛选需要审批的内容，审批过程中可以对比修改前的内容。</w:t>
      </w:r>
    </w:p>
    <w:p w14:paraId="3CD6AB7E">
      <w:pPr>
        <w:ind w:firstLine="480"/>
        <w:rPr>
          <w:rFonts w:ascii="宋体" w:hAnsi="宋体" w:eastAsia="宋体"/>
        </w:rPr>
      </w:pPr>
      <w:r>
        <w:rPr>
          <w:rFonts w:hint="eastAsia" w:ascii="宋体" w:hAnsi="宋体" w:eastAsia="宋体"/>
        </w:rPr>
        <w:t>4）</w:t>
      </w:r>
      <w:r>
        <w:rPr>
          <w:rFonts w:ascii="宋体" w:hAnsi="宋体" w:eastAsia="宋体"/>
        </w:rPr>
        <w:t>档案借阅审批</w:t>
      </w:r>
      <w:r>
        <w:rPr>
          <w:rFonts w:hint="eastAsia" w:ascii="宋体" w:hAnsi="宋体" w:eastAsia="宋体"/>
        </w:rPr>
        <w:t>：</w:t>
      </w:r>
      <w:r>
        <w:rPr>
          <w:rFonts w:ascii="宋体" w:hAnsi="宋体" w:eastAsia="宋体"/>
        </w:rPr>
        <w:t>针对借阅档案操作的审批处理。</w:t>
      </w:r>
    </w:p>
    <w:p w14:paraId="170662F4">
      <w:pPr>
        <w:pStyle w:val="5"/>
        <w:rPr>
          <w:rFonts w:ascii="宋体" w:hAnsi="宋体" w:eastAsia="宋体"/>
        </w:rPr>
      </w:pPr>
      <w:r>
        <w:rPr>
          <w:rFonts w:ascii="宋体" w:hAnsi="宋体" w:eastAsia="宋体"/>
        </w:rPr>
        <w:t>手术授权管理</w:t>
      </w:r>
    </w:p>
    <w:p w14:paraId="509ACB71">
      <w:pPr>
        <w:ind w:firstLine="480"/>
        <w:rPr>
          <w:rFonts w:ascii="宋体" w:hAnsi="宋体" w:eastAsia="宋体"/>
        </w:rPr>
      </w:pPr>
      <w:r>
        <w:rPr>
          <w:rFonts w:hint="eastAsia" w:ascii="宋体" w:hAnsi="宋体" w:eastAsia="宋体"/>
        </w:rPr>
        <w:t>实现</w:t>
      </w:r>
      <w:r>
        <w:rPr>
          <w:rFonts w:ascii="宋体" w:hAnsi="宋体" w:eastAsia="宋体"/>
        </w:rPr>
        <w:t>科室批量手术权限的申请和审批，支持医生申请个人手术权限，</w:t>
      </w:r>
      <w:r>
        <w:rPr>
          <w:rFonts w:hint="eastAsia" w:ascii="宋体" w:hAnsi="宋体" w:eastAsia="宋体"/>
        </w:rPr>
        <w:t>要求与</w:t>
      </w:r>
      <w:r>
        <w:rPr>
          <w:rFonts w:ascii="宋体" w:hAnsi="宋体" w:eastAsia="宋体"/>
        </w:rPr>
        <w:t>HIS系统患者信息</w:t>
      </w:r>
      <w:r>
        <w:rPr>
          <w:rFonts w:hint="eastAsia" w:ascii="宋体" w:hAnsi="宋体" w:eastAsia="宋体"/>
        </w:rPr>
        <w:t>无缝对接</w:t>
      </w:r>
      <w:r>
        <w:rPr>
          <w:rFonts w:ascii="宋体" w:hAnsi="宋体" w:eastAsia="宋体"/>
        </w:rPr>
        <w:t>，支持关联医生个人医疗技术档案信息；管理和追踪医务人员的手术资质和动态信息，包括手术资质的定期评测、定期授权、再授权及手术资质的降级和取消等，支持授权水印和时间戳服务；申请情况、审批情况、授权情况等各项指标统计。</w:t>
      </w:r>
    </w:p>
    <w:p w14:paraId="47D51FCF">
      <w:pPr>
        <w:ind w:firstLine="480"/>
        <w:rPr>
          <w:rFonts w:ascii="宋体" w:hAnsi="宋体" w:eastAsia="宋体"/>
        </w:rPr>
      </w:pPr>
      <w:r>
        <w:rPr>
          <w:rFonts w:hint="eastAsia" w:ascii="宋体" w:hAnsi="宋体" w:eastAsia="宋体"/>
        </w:rPr>
        <w:t>1）</w:t>
      </w:r>
      <w:r>
        <w:rPr>
          <w:rFonts w:ascii="宋体" w:hAnsi="宋体" w:eastAsia="宋体"/>
        </w:rPr>
        <w:t>手术授权统计</w:t>
      </w:r>
      <w:r>
        <w:rPr>
          <w:rFonts w:hint="eastAsia" w:ascii="宋体" w:hAnsi="宋体" w:eastAsia="宋体"/>
        </w:rPr>
        <w:t>：</w:t>
      </w:r>
      <w:r>
        <w:rPr>
          <w:rFonts w:ascii="宋体" w:hAnsi="宋体" w:eastAsia="宋体"/>
        </w:rPr>
        <w:t>支持查看医生申请流程节点数量查询、科室手术授权医生数、手术授权例数查询。</w:t>
      </w:r>
    </w:p>
    <w:p w14:paraId="4591408E">
      <w:pPr>
        <w:ind w:firstLine="480"/>
        <w:rPr>
          <w:rFonts w:ascii="宋体" w:hAnsi="宋体" w:eastAsia="宋体"/>
        </w:rPr>
      </w:pPr>
      <w:r>
        <w:rPr>
          <w:rFonts w:hint="eastAsia" w:ascii="宋体" w:hAnsi="宋体" w:eastAsia="宋体"/>
        </w:rPr>
        <w:t>2）</w:t>
      </w:r>
      <w:r>
        <w:rPr>
          <w:rFonts w:ascii="宋体" w:hAnsi="宋体" w:eastAsia="宋体"/>
        </w:rPr>
        <w:t>科室手术申请</w:t>
      </w:r>
      <w:r>
        <w:rPr>
          <w:rFonts w:hint="eastAsia" w:ascii="宋体" w:hAnsi="宋体" w:eastAsia="宋体"/>
        </w:rPr>
        <w:t>：</w:t>
      </w:r>
      <w:r>
        <w:rPr>
          <w:rFonts w:ascii="宋体" w:hAnsi="宋体" w:eastAsia="宋体"/>
        </w:rPr>
        <w:t>支持科室主任申请自己科室所需的手术，申请的时候可以通过手术类别、手术级别、手术名称进行分类查询选择。查询科室手术申请列表，审核记录，科室已授权的手术。</w:t>
      </w:r>
    </w:p>
    <w:p w14:paraId="0BAF914E">
      <w:pPr>
        <w:ind w:firstLine="480"/>
        <w:rPr>
          <w:rFonts w:ascii="宋体" w:hAnsi="宋体" w:eastAsia="宋体"/>
        </w:rPr>
      </w:pPr>
      <w:r>
        <w:rPr>
          <w:rFonts w:hint="eastAsia" w:ascii="宋体" w:hAnsi="宋体" w:eastAsia="宋体"/>
        </w:rPr>
        <w:t>3）</w:t>
      </w:r>
      <w:r>
        <w:rPr>
          <w:rFonts w:ascii="宋体" w:hAnsi="宋体" w:eastAsia="宋体"/>
        </w:rPr>
        <w:t>科室手术审批</w:t>
      </w:r>
      <w:r>
        <w:rPr>
          <w:rFonts w:hint="eastAsia" w:ascii="宋体" w:hAnsi="宋体" w:eastAsia="宋体"/>
        </w:rPr>
        <w:t>：</w:t>
      </w:r>
      <w:r>
        <w:rPr>
          <w:rFonts w:ascii="宋体" w:hAnsi="宋体" w:eastAsia="宋体"/>
        </w:rPr>
        <w:t>支持对科室已申请的手术进行审批，可以查看科室手术申请的内容。</w:t>
      </w:r>
    </w:p>
    <w:p w14:paraId="33574F61">
      <w:pPr>
        <w:ind w:firstLine="480"/>
        <w:rPr>
          <w:rFonts w:ascii="宋体" w:hAnsi="宋体" w:eastAsia="宋体"/>
        </w:rPr>
      </w:pPr>
      <w:r>
        <w:rPr>
          <w:rFonts w:hint="eastAsia" w:ascii="宋体" w:hAnsi="宋体" w:eastAsia="宋体"/>
        </w:rPr>
        <w:t>4）</w:t>
      </w:r>
      <w:r>
        <w:rPr>
          <w:rFonts w:ascii="宋体" w:hAnsi="宋体" w:eastAsia="宋体"/>
        </w:rPr>
        <w:t>手术授权申请</w:t>
      </w:r>
      <w:r>
        <w:rPr>
          <w:rFonts w:hint="eastAsia" w:ascii="宋体" w:hAnsi="宋体" w:eastAsia="宋体"/>
        </w:rPr>
        <w:t>：</w:t>
      </w:r>
      <w:r>
        <w:rPr>
          <w:rFonts w:ascii="宋体" w:hAnsi="宋体" w:eastAsia="宋体"/>
        </w:rPr>
        <w:t>支持医生个人手术的申请，申请的时候可以通过手术类别、手术级别、手术名称进行分类查询选择，可选择的范围限定于科室已申请手术的列表内容。支持导出个人手术申请表。</w:t>
      </w:r>
    </w:p>
    <w:p w14:paraId="0E1EFB83">
      <w:pPr>
        <w:ind w:firstLine="480"/>
        <w:rPr>
          <w:rFonts w:ascii="宋体" w:hAnsi="宋体" w:eastAsia="宋体"/>
        </w:rPr>
      </w:pPr>
      <w:r>
        <w:rPr>
          <w:rFonts w:hint="eastAsia" w:ascii="宋体" w:hAnsi="宋体" w:eastAsia="宋体"/>
        </w:rPr>
        <w:t>5）</w:t>
      </w:r>
      <w:r>
        <w:rPr>
          <w:rFonts w:ascii="宋体" w:hAnsi="宋体" w:eastAsia="宋体"/>
        </w:rPr>
        <w:t>手术权限审批</w:t>
      </w:r>
      <w:r>
        <w:rPr>
          <w:rFonts w:hint="eastAsia" w:ascii="宋体" w:hAnsi="宋体" w:eastAsia="宋体"/>
        </w:rPr>
        <w:t>：</w:t>
      </w:r>
      <w:r>
        <w:rPr>
          <w:rFonts w:ascii="宋体" w:hAnsi="宋体" w:eastAsia="宋体"/>
        </w:rPr>
        <w:t>支持审批医生手术，支持多人批量审批，支持通过流程引擎配置审批流程，手术审批通过后将手术权限同步到HIS.</w:t>
      </w:r>
    </w:p>
    <w:p w14:paraId="45AC6AB5">
      <w:pPr>
        <w:ind w:firstLine="480"/>
        <w:rPr>
          <w:rFonts w:ascii="宋体" w:hAnsi="宋体" w:eastAsia="宋体"/>
        </w:rPr>
      </w:pPr>
      <w:r>
        <w:rPr>
          <w:rFonts w:hint="eastAsia" w:ascii="宋体" w:hAnsi="宋体" w:eastAsia="宋体"/>
        </w:rPr>
        <w:t>6）</w:t>
      </w:r>
      <w:r>
        <w:rPr>
          <w:rFonts w:ascii="宋体" w:hAnsi="宋体" w:eastAsia="宋体"/>
        </w:rPr>
        <w:t>手术授权会议记录</w:t>
      </w:r>
      <w:r>
        <w:rPr>
          <w:rFonts w:hint="eastAsia" w:ascii="宋体" w:hAnsi="宋体" w:eastAsia="宋体"/>
        </w:rPr>
        <w:t>：</w:t>
      </w:r>
      <w:r>
        <w:rPr>
          <w:rFonts w:ascii="宋体" w:hAnsi="宋体" w:eastAsia="宋体"/>
        </w:rPr>
        <w:t>支持手术授权过程中的会议记录，包含会议的名称、时间、地点、主持人、参会人员，可以通过会议关联授权申请单。</w:t>
      </w:r>
    </w:p>
    <w:p w14:paraId="4E24CA25">
      <w:pPr>
        <w:ind w:firstLine="480"/>
        <w:rPr>
          <w:rFonts w:ascii="宋体" w:hAnsi="宋体" w:eastAsia="宋体"/>
        </w:rPr>
      </w:pPr>
      <w:r>
        <w:rPr>
          <w:rFonts w:hint="eastAsia" w:ascii="宋体" w:hAnsi="宋体" w:eastAsia="宋体"/>
        </w:rPr>
        <w:t>7）</w:t>
      </w:r>
      <w:r>
        <w:rPr>
          <w:rFonts w:ascii="宋体" w:hAnsi="宋体" w:eastAsia="宋体"/>
        </w:rPr>
        <w:t>手术资质动态</w:t>
      </w:r>
      <w:r>
        <w:rPr>
          <w:rFonts w:hint="eastAsia" w:ascii="宋体" w:hAnsi="宋体" w:eastAsia="宋体"/>
        </w:rPr>
        <w:t>：</w:t>
      </w:r>
      <w:r>
        <w:rPr>
          <w:rFonts w:ascii="宋体" w:hAnsi="宋体" w:eastAsia="宋体"/>
        </w:rPr>
        <w:t>支持查看医生手术开展情况，包含一级手术数、二级手术数、三级手术数、四级手术数、非计划再次手术数、手术并发症次数；支持对医生授权权限的管理，可以取消当前可以开展的手术，可以查看被取消的手术权限。</w:t>
      </w:r>
    </w:p>
    <w:p w14:paraId="30685F0F">
      <w:pPr>
        <w:pStyle w:val="5"/>
        <w:rPr>
          <w:rFonts w:ascii="宋体" w:hAnsi="宋体" w:eastAsia="宋体"/>
        </w:rPr>
      </w:pPr>
      <w:r>
        <w:rPr>
          <w:rFonts w:ascii="宋体" w:hAnsi="宋体" w:eastAsia="宋体"/>
        </w:rPr>
        <w:t>排班管理</w:t>
      </w:r>
    </w:p>
    <w:p w14:paraId="1EB85065">
      <w:pPr>
        <w:ind w:firstLine="480"/>
        <w:rPr>
          <w:rFonts w:ascii="宋体" w:hAnsi="宋体" w:eastAsia="宋体"/>
        </w:rPr>
      </w:pPr>
      <w:r>
        <w:rPr>
          <w:rFonts w:hint="eastAsia" w:ascii="宋体" w:hAnsi="宋体" w:eastAsia="宋体"/>
        </w:rPr>
        <w:t>1）</w:t>
      </w:r>
      <w:r>
        <w:rPr>
          <w:rFonts w:ascii="宋体" w:hAnsi="宋体" w:eastAsia="宋体"/>
        </w:rPr>
        <w:t>按照不同维度进行排班与查询，支持复制上周排班。</w:t>
      </w:r>
    </w:p>
    <w:p w14:paraId="1DD2588E">
      <w:pPr>
        <w:ind w:firstLine="480"/>
        <w:rPr>
          <w:rFonts w:ascii="宋体" w:hAnsi="宋体" w:eastAsia="宋体"/>
        </w:rPr>
      </w:pPr>
      <w:r>
        <w:rPr>
          <w:rFonts w:hint="eastAsia" w:ascii="宋体" w:hAnsi="宋体" w:eastAsia="宋体"/>
        </w:rPr>
        <w:t>2）</w:t>
      </w:r>
      <w:r>
        <w:rPr>
          <w:rFonts w:ascii="宋体" w:hAnsi="宋体" w:eastAsia="宋体"/>
        </w:rPr>
        <w:t>临床科室主任对临床工作医生进行排班管理。包含全院统一班次类型的维护。</w:t>
      </w:r>
    </w:p>
    <w:p w14:paraId="0D8F51B2">
      <w:pPr>
        <w:ind w:firstLine="480"/>
        <w:rPr>
          <w:rFonts w:ascii="宋体" w:hAnsi="宋体" w:eastAsia="宋体"/>
        </w:rPr>
      </w:pPr>
      <w:r>
        <w:rPr>
          <w:rFonts w:hint="eastAsia" w:ascii="宋体" w:hAnsi="宋体" w:eastAsia="宋体"/>
        </w:rPr>
        <w:t>3）</w:t>
      </w:r>
      <w:r>
        <w:rPr>
          <w:rFonts w:ascii="宋体" w:hAnsi="宋体" w:eastAsia="宋体"/>
        </w:rPr>
        <w:t>科室自行维护班次，包含班次名称、班次时间、班时、颜色、班次内容。</w:t>
      </w:r>
    </w:p>
    <w:p w14:paraId="29D81579">
      <w:pPr>
        <w:ind w:firstLine="480"/>
        <w:rPr>
          <w:rFonts w:ascii="宋体" w:hAnsi="宋体" w:eastAsia="宋体"/>
        </w:rPr>
      </w:pPr>
      <w:r>
        <w:rPr>
          <w:rFonts w:hint="eastAsia" w:ascii="宋体" w:hAnsi="宋体" w:eastAsia="宋体"/>
        </w:rPr>
        <w:t>4）</w:t>
      </w:r>
      <w:r>
        <w:rPr>
          <w:rFonts w:ascii="宋体" w:hAnsi="宋体" w:eastAsia="宋体"/>
        </w:rPr>
        <w:t>科室人员排班管理，对科室人员班次信息进行排</w:t>
      </w:r>
      <w:r>
        <w:rPr>
          <w:rFonts w:hint="eastAsia" w:ascii="宋体" w:hAnsi="宋体" w:eastAsia="宋体"/>
        </w:rPr>
        <w:t>班</w:t>
      </w:r>
      <w:r>
        <w:rPr>
          <w:rFonts w:ascii="宋体" w:hAnsi="宋体" w:eastAsia="宋体"/>
        </w:rPr>
        <w:t>，可以进行排班表的打印。</w:t>
      </w:r>
    </w:p>
    <w:p w14:paraId="03BCC8DE">
      <w:pPr>
        <w:ind w:firstLine="480"/>
        <w:rPr>
          <w:rFonts w:ascii="宋体" w:hAnsi="宋体" w:eastAsia="宋体"/>
        </w:rPr>
      </w:pPr>
      <w:r>
        <w:rPr>
          <w:rFonts w:hint="eastAsia" w:ascii="宋体" w:hAnsi="宋体" w:eastAsia="宋体"/>
        </w:rPr>
        <w:t>5）</w:t>
      </w:r>
      <w:r>
        <w:rPr>
          <w:rFonts w:ascii="宋体" w:hAnsi="宋体" w:eastAsia="宋体"/>
        </w:rPr>
        <w:t>全院排班情况查询，在一个</w:t>
      </w:r>
      <w:r>
        <w:rPr>
          <w:rFonts w:hint="eastAsia" w:ascii="宋体" w:hAnsi="宋体" w:eastAsia="宋体"/>
        </w:rPr>
        <w:t>界面</w:t>
      </w:r>
      <w:r>
        <w:rPr>
          <w:rFonts w:ascii="宋体" w:hAnsi="宋体" w:eastAsia="宋体"/>
        </w:rPr>
        <w:t>上查询门诊和住院的排班情况。</w:t>
      </w:r>
    </w:p>
    <w:p w14:paraId="3F6CC41C">
      <w:pPr>
        <w:pStyle w:val="5"/>
        <w:rPr>
          <w:rFonts w:ascii="宋体" w:hAnsi="宋体" w:eastAsia="宋体"/>
        </w:rPr>
      </w:pPr>
      <w:r>
        <w:rPr>
          <w:rFonts w:ascii="宋体" w:hAnsi="宋体" w:eastAsia="宋体"/>
        </w:rPr>
        <w:t>医德医风管理</w:t>
      </w:r>
    </w:p>
    <w:p w14:paraId="633C1D7E">
      <w:pPr>
        <w:ind w:firstLine="480"/>
        <w:rPr>
          <w:rFonts w:ascii="宋体" w:hAnsi="宋体" w:eastAsia="宋体"/>
        </w:rPr>
      </w:pPr>
      <w:r>
        <w:rPr>
          <w:rFonts w:hint="eastAsia" w:ascii="宋体" w:hAnsi="宋体" w:eastAsia="宋体"/>
        </w:rPr>
        <w:t>1）</w:t>
      </w:r>
      <w:r>
        <w:rPr>
          <w:rFonts w:ascii="宋体" w:hAnsi="宋体" w:eastAsia="宋体"/>
        </w:rPr>
        <w:t>医院自行维护加分项和减分项；支持不同权限的操作人员进行个人自评、科室评分、医院评分，评分过程中支持附件上传。</w:t>
      </w:r>
    </w:p>
    <w:p w14:paraId="68150C45">
      <w:pPr>
        <w:ind w:firstLine="480"/>
        <w:rPr>
          <w:rFonts w:ascii="宋体" w:hAnsi="宋体" w:eastAsia="宋体"/>
        </w:rPr>
      </w:pPr>
      <w:r>
        <w:rPr>
          <w:rFonts w:hint="eastAsia" w:ascii="宋体" w:hAnsi="宋体" w:eastAsia="宋体"/>
        </w:rPr>
        <w:t>2）</w:t>
      </w:r>
      <w:r>
        <w:rPr>
          <w:rFonts w:ascii="宋体" w:hAnsi="宋体" w:eastAsia="宋体"/>
        </w:rPr>
        <w:t>考评项目的维护，包含考评项目标准分的维护、考评大类的维护。</w:t>
      </w:r>
    </w:p>
    <w:p w14:paraId="67965BC1">
      <w:pPr>
        <w:ind w:firstLine="480"/>
        <w:rPr>
          <w:rFonts w:ascii="宋体" w:hAnsi="宋体" w:eastAsia="宋体"/>
        </w:rPr>
      </w:pPr>
      <w:r>
        <w:rPr>
          <w:rFonts w:hint="eastAsia" w:ascii="宋体" w:hAnsi="宋体" w:eastAsia="宋体"/>
        </w:rPr>
        <w:t>3）</w:t>
      </w:r>
      <w:r>
        <w:rPr>
          <w:rFonts w:ascii="宋体" w:hAnsi="宋体" w:eastAsia="宋体"/>
        </w:rPr>
        <w:t>个人自评项目的维护，个人考评自评，考评附件的上传。</w:t>
      </w:r>
    </w:p>
    <w:p w14:paraId="7E7CAD96">
      <w:pPr>
        <w:ind w:firstLine="480"/>
        <w:rPr>
          <w:rFonts w:ascii="宋体" w:hAnsi="宋体" w:eastAsia="宋体"/>
        </w:rPr>
      </w:pPr>
      <w:r>
        <w:rPr>
          <w:rFonts w:hint="eastAsia" w:ascii="宋体" w:hAnsi="宋体" w:eastAsia="宋体"/>
        </w:rPr>
        <w:t>4）</w:t>
      </w:r>
      <w:r>
        <w:rPr>
          <w:rFonts w:ascii="宋体" w:hAnsi="宋体" w:eastAsia="宋体"/>
        </w:rPr>
        <w:t>科室对个人的评分进行二次评价。</w:t>
      </w:r>
    </w:p>
    <w:p w14:paraId="3132CD9B">
      <w:pPr>
        <w:ind w:firstLine="480"/>
        <w:rPr>
          <w:rFonts w:ascii="宋体" w:hAnsi="宋体" w:eastAsia="宋体"/>
        </w:rPr>
      </w:pPr>
      <w:r>
        <w:rPr>
          <w:rFonts w:hint="eastAsia" w:ascii="宋体" w:hAnsi="宋体" w:eastAsia="宋体"/>
        </w:rPr>
        <w:t>5）</w:t>
      </w:r>
      <w:r>
        <w:rPr>
          <w:rFonts w:ascii="宋体" w:hAnsi="宋体" w:eastAsia="宋体"/>
        </w:rPr>
        <w:t>医院对科室及医生的评分进行最终评价。</w:t>
      </w:r>
    </w:p>
    <w:p w14:paraId="05FE5106">
      <w:pPr>
        <w:pStyle w:val="5"/>
        <w:rPr>
          <w:rFonts w:ascii="宋体" w:hAnsi="宋体" w:eastAsia="宋体"/>
        </w:rPr>
      </w:pPr>
      <w:r>
        <w:rPr>
          <w:rFonts w:ascii="宋体" w:hAnsi="宋体" w:eastAsia="宋体"/>
        </w:rPr>
        <w:t>应急预案管理</w:t>
      </w:r>
    </w:p>
    <w:p w14:paraId="39F5A06A">
      <w:pPr>
        <w:ind w:firstLine="480"/>
        <w:rPr>
          <w:rFonts w:ascii="宋体" w:hAnsi="宋体" w:eastAsia="宋体"/>
        </w:rPr>
      </w:pPr>
      <w:r>
        <w:rPr>
          <w:rFonts w:hint="eastAsia" w:ascii="宋体" w:hAnsi="宋体" w:eastAsia="宋体"/>
        </w:rPr>
        <w:t>1）</w:t>
      </w:r>
      <w:r>
        <w:rPr>
          <w:rFonts w:ascii="宋体" w:hAnsi="宋体" w:eastAsia="宋体"/>
        </w:rPr>
        <w:t>支持对应急预案体系的维护、应急预案计划的制定，包括应急预案领导组长、成员、应急电话、应急科室、应急物资及应急药品等。</w:t>
      </w:r>
    </w:p>
    <w:p w14:paraId="08B1B477">
      <w:pPr>
        <w:ind w:firstLine="480"/>
        <w:rPr>
          <w:rFonts w:ascii="宋体" w:hAnsi="宋体" w:eastAsia="宋体"/>
        </w:rPr>
      </w:pPr>
      <w:r>
        <w:rPr>
          <w:rFonts w:hint="eastAsia" w:ascii="宋体" w:hAnsi="宋体" w:eastAsia="宋体"/>
        </w:rPr>
        <w:t>2）</w:t>
      </w:r>
      <w:r>
        <w:rPr>
          <w:rFonts w:ascii="宋体" w:hAnsi="宋体" w:eastAsia="宋体"/>
        </w:rPr>
        <w:t>支持对应急预案计划和记录的独立管理。</w:t>
      </w:r>
    </w:p>
    <w:p w14:paraId="095B7571">
      <w:pPr>
        <w:ind w:firstLine="480"/>
        <w:rPr>
          <w:rFonts w:ascii="宋体" w:hAnsi="宋体" w:eastAsia="宋体"/>
        </w:rPr>
      </w:pPr>
      <w:r>
        <w:rPr>
          <w:rFonts w:hint="eastAsia" w:ascii="宋体" w:hAnsi="宋体" w:eastAsia="宋体"/>
        </w:rPr>
        <w:t>3）</w:t>
      </w:r>
      <w:r>
        <w:rPr>
          <w:rFonts w:ascii="宋体" w:hAnsi="宋体" w:eastAsia="宋体"/>
        </w:rPr>
        <w:t>支持应急预案计划的启动、暂停、继续、终结，操作记录可以通过系统消息或者短信平台推送应急人员。</w:t>
      </w:r>
    </w:p>
    <w:p w14:paraId="72F01ABB">
      <w:pPr>
        <w:pStyle w:val="5"/>
        <w:rPr>
          <w:rFonts w:ascii="宋体" w:hAnsi="宋体" w:eastAsia="宋体"/>
        </w:rPr>
      </w:pPr>
      <w:r>
        <w:rPr>
          <w:rFonts w:ascii="宋体" w:hAnsi="宋体" w:eastAsia="宋体"/>
        </w:rPr>
        <w:t>公益派单管理</w:t>
      </w:r>
    </w:p>
    <w:p w14:paraId="558DA9D5">
      <w:pPr>
        <w:ind w:firstLine="480"/>
        <w:rPr>
          <w:rFonts w:ascii="宋体" w:hAnsi="宋体" w:eastAsia="宋体"/>
        </w:rPr>
      </w:pPr>
      <w:r>
        <w:rPr>
          <w:rFonts w:hint="eastAsia" w:ascii="宋体" w:hAnsi="宋体" w:eastAsia="宋体"/>
        </w:rPr>
        <w:t>1）</w:t>
      </w:r>
      <w:r>
        <w:rPr>
          <w:rFonts w:ascii="宋体" w:hAnsi="宋体" w:eastAsia="宋体"/>
        </w:rPr>
        <w:t>医院公益派单任务的记录和管理，包括下乡、义诊、公益体检、扶贫、志愿者、党员先锋队等任务；支持自由增加派单人员和通过不同的条件自动匹配和推荐派单人员。</w:t>
      </w:r>
    </w:p>
    <w:p w14:paraId="7D49B0EE">
      <w:pPr>
        <w:ind w:firstLine="480"/>
        <w:rPr>
          <w:rFonts w:ascii="宋体" w:hAnsi="宋体" w:eastAsia="宋体"/>
        </w:rPr>
      </w:pPr>
      <w:r>
        <w:rPr>
          <w:rFonts w:hint="eastAsia" w:ascii="宋体" w:hAnsi="宋体" w:eastAsia="宋体"/>
        </w:rPr>
        <w:t>2）</w:t>
      </w:r>
      <w:r>
        <w:rPr>
          <w:rFonts w:ascii="宋体" w:hAnsi="宋体" w:eastAsia="宋体"/>
        </w:rPr>
        <w:t>派单开销的填写，包含里程、午餐费、油费、救护车、药品、物资数量。</w:t>
      </w:r>
    </w:p>
    <w:p w14:paraId="0A6CAF59">
      <w:pPr>
        <w:pStyle w:val="5"/>
        <w:rPr>
          <w:rFonts w:ascii="宋体" w:hAnsi="宋体" w:eastAsia="宋体"/>
        </w:rPr>
      </w:pPr>
      <w:r>
        <w:rPr>
          <w:rFonts w:ascii="宋体" w:hAnsi="宋体" w:eastAsia="宋体"/>
        </w:rPr>
        <w:t>医务安全管理</w:t>
      </w:r>
    </w:p>
    <w:p w14:paraId="29827412">
      <w:pPr>
        <w:ind w:firstLine="480"/>
        <w:rPr>
          <w:rFonts w:ascii="宋体" w:hAnsi="宋体" w:eastAsia="宋体"/>
        </w:rPr>
      </w:pPr>
      <w:r>
        <w:rPr>
          <w:rFonts w:hint="eastAsia" w:ascii="宋体" w:hAnsi="宋体" w:eastAsia="宋体"/>
        </w:rPr>
        <w:t>1）</w:t>
      </w:r>
      <w:r>
        <w:rPr>
          <w:rFonts w:ascii="宋体" w:hAnsi="宋体" w:eastAsia="宋体"/>
        </w:rPr>
        <w:t>对患者的投诉进行登记管理，包括投诉人信息、投诉内容、投诉日期、接诉部门、理诉部门、投诉方式等信息；支持记录投诉处理结果，查看投诉处理进度及调解情况，支持将投诉处理结果导出为EXCEL文档格式；</w:t>
      </w:r>
    </w:p>
    <w:p w14:paraId="487E84F1">
      <w:pPr>
        <w:ind w:firstLine="480"/>
        <w:rPr>
          <w:rFonts w:ascii="宋体" w:hAnsi="宋体" w:eastAsia="宋体"/>
        </w:rPr>
      </w:pPr>
      <w:r>
        <w:rPr>
          <w:rFonts w:hint="eastAsia" w:ascii="宋体" w:hAnsi="宋体" w:eastAsia="宋体"/>
        </w:rPr>
        <w:t>2）</w:t>
      </w:r>
      <w:r>
        <w:rPr>
          <w:rFonts w:ascii="宋体" w:hAnsi="宋体" w:eastAsia="宋体"/>
        </w:rPr>
        <w:t>对投诉记录的调解处理，包含院方代表、调解时间、调解地点、院方法律人员、患方法律人员、调解结果等信息记录。</w:t>
      </w:r>
    </w:p>
    <w:p w14:paraId="7369ACA0">
      <w:pPr>
        <w:ind w:firstLine="480"/>
        <w:rPr>
          <w:rFonts w:ascii="宋体" w:hAnsi="宋体" w:eastAsia="宋体"/>
        </w:rPr>
      </w:pPr>
      <w:r>
        <w:rPr>
          <w:rFonts w:hint="eastAsia" w:ascii="宋体" w:hAnsi="宋体" w:eastAsia="宋体"/>
        </w:rPr>
        <w:t>3）</w:t>
      </w:r>
      <w:r>
        <w:rPr>
          <w:rFonts w:ascii="宋体" w:hAnsi="宋体" w:eastAsia="宋体"/>
        </w:rPr>
        <w:t>对调解不成功的记录进行诉讼处理，包含诉讼结果、诉讼时间等信息记录。</w:t>
      </w:r>
    </w:p>
    <w:p w14:paraId="55B78837">
      <w:pPr>
        <w:ind w:firstLine="480"/>
        <w:rPr>
          <w:rFonts w:ascii="宋体" w:hAnsi="宋体" w:eastAsia="宋体"/>
        </w:rPr>
      </w:pPr>
      <w:r>
        <w:rPr>
          <w:rFonts w:hint="eastAsia" w:ascii="宋体" w:hAnsi="宋体" w:eastAsia="宋体"/>
        </w:rPr>
        <w:t>4）</w:t>
      </w:r>
      <w:r>
        <w:rPr>
          <w:rFonts w:ascii="宋体" w:hAnsi="宋体" w:eastAsia="宋体"/>
        </w:rPr>
        <w:t>对诉讼的投诉内容进行赔偿处理，包含赔偿执行时间、执行地点、院方代表、患方代表、第三方机构、患者法律人员等信息。</w:t>
      </w:r>
    </w:p>
    <w:p w14:paraId="6CF753C2">
      <w:pPr>
        <w:ind w:firstLine="480"/>
        <w:rPr>
          <w:rFonts w:ascii="宋体" w:hAnsi="宋体" w:eastAsia="宋体"/>
        </w:rPr>
      </w:pPr>
      <w:r>
        <w:rPr>
          <w:rFonts w:hint="eastAsia" w:ascii="宋体" w:hAnsi="宋体" w:eastAsia="宋体"/>
        </w:rPr>
        <w:t>5）</w:t>
      </w:r>
      <w:r>
        <w:rPr>
          <w:rFonts w:ascii="宋体" w:hAnsi="宋体" w:eastAsia="宋体"/>
        </w:rPr>
        <w:t>对处理结果的记录。</w:t>
      </w:r>
    </w:p>
    <w:p w14:paraId="4F4B4A44">
      <w:pPr>
        <w:ind w:firstLine="480"/>
        <w:rPr>
          <w:rFonts w:ascii="宋体" w:hAnsi="宋体" w:eastAsia="宋体"/>
        </w:rPr>
      </w:pPr>
      <w:r>
        <w:rPr>
          <w:rFonts w:hint="eastAsia" w:ascii="宋体" w:hAnsi="宋体" w:eastAsia="宋体"/>
        </w:rPr>
        <w:t>6）</w:t>
      </w:r>
      <w:r>
        <w:rPr>
          <w:rFonts w:ascii="宋体" w:hAnsi="宋体" w:eastAsia="宋体"/>
        </w:rPr>
        <w:t>对投诉的伦理分析，包含伦理分析的时间、地点、方式、认定记录摘要、责任人相关信息。</w:t>
      </w:r>
    </w:p>
    <w:p w14:paraId="3693D38F">
      <w:pPr>
        <w:pStyle w:val="5"/>
        <w:rPr>
          <w:rFonts w:ascii="宋体" w:hAnsi="宋体" w:eastAsia="宋体"/>
        </w:rPr>
      </w:pPr>
      <w:r>
        <w:rPr>
          <w:rFonts w:ascii="宋体" w:hAnsi="宋体" w:eastAsia="宋体"/>
        </w:rPr>
        <w:t>院际会诊管理</w:t>
      </w:r>
    </w:p>
    <w:p w14:paraId="4A2093D2">
      <w:pPr>
        <w:ind w:firstLine="480"/>
        <w:rPr>
          <w:rFonts w:ascii="宋体" w:hAnsi="宋体" w:eastAsia="宋体"/>
        </w:rPr>
      </w:pPr>
      <w:r>
        <w:rPr>
          <w:rFonts w:hint="eastAsia" w:ascii="宋体" w:hAnsi="宋体" w:eastAsia="宋体"/>
        </w:rPr>
        <w:t>1）</w:t>
      </w:r>
      <w:r>
        <w:rPr>
          <w:rFonts w:ascii="宋体" w:hAnsi="宋体" w:eastAsia="宋体"/>
        </w:rPr>
        <w:t>支持医务科填写和管理院内外出到外院会诊记录的填写，包含会诊人员、会诊医院、是受手术、会诊日期、回院日期、会诊事项。</w:t>
      </w:r>
    </w:p>
    <w:p w14:paraId="0AC78FA5">
      <w:pPr>
        <w:ind w:firstLine="480"/>
        <w:rPr>
          <w:rFonts w:ascii="宋体" w:hAnsi="宋体" w:eastAsia="宋体"/>
        </w:rPr>
      </w:pPr>
      <w:r>
        <w:rPr>
          <w:rFonts w:hint="eastAsia" w:ascii="宋体" w:hAnsi="宋体" w:eastAsia="宋体"/>
        </w:rPr>
        <w:t>2）</w:t>
      </w:r>
      <w:r>
        <w:rPr>
          <w:rFonts w:ascii="宋体" w:hAnsi="宋体" w:eastAsia="宋体"/>
        </w:rPr>
        <w:t>支持外院专家到医院会诊的会诊记录信息的填写，包含会诊人员、人员电话、医院、邀会诊科室、会诊日期、离院日期、会诊事项。</w:t>
      </w:r>
    </w:p>
    <w:p w14:paraId="251ABD50">
      <w:pPr>
        <w:pStyle w:val="5"/>
        <w:rPr>
          <w:rFonts w:ascii="宋体" w:hAnsi="宋体" w:eastAsia="宋体"/>
        </w:rPr>
      </w:pPr>
      <w:r>
        <w:rPr>
          <w:rFonts w:ascii="宋体" w:hAnsi="宋体" w:eastAsia="宋体"/>
        </w:rPr>
        <w:t>奖惩</w:t>
      </w:r>
      <w:r>
        <w:rPr>
          <w:rFonts w:hint="eastAsia" w:ascii="宋体" w:hAnsi="宋体" w:eastAsia="宋体"/>
        </w:rPr>
        <w:t>及考试管理</w:t>
      </w:r>
    </w:p>
    <w:p w14:paraId="12AD790C">
      <w:pPr>
        <w:ind w:firstLine="480"/>
        <w:rPr>
          <w:rFonts w:ascii="宋体" w:hAnsi="宋体" w:eastAsia="宋体"/>
        </w:rPr>
      </w:pPr>
      <w:r>
        <w:rPr>
          <w:rFonts w:ascii="宋体" w:hAnsi="宋体" w:eastAsia="宋体"/>
        </w:rPr>
        <w:t>支持医务科管理和记录所有医生的奖励和惩罚信息并记录到个人医疗技术档案。</w:t>
      </w:r>
    </w:p>
    <w:p w14:paraId="0C545438">
      <w:pPr>
        <w:ind w:firstLine="480"/>
        <w:rPr>
          <w:rFonts w:ascii="宋体" w:hAnsi="宋体" w:eastAsia="宋体"/>
        </w:rPr>
      </w:pPr>
      <w:r>
        <w:rPr>
          <w:rFonts w:ascii="宋体" w:hAnsi="宋体" w:eastAsia="宋体"/>
        </w:rPr>
        <w:t>支持批量导入教学培训考试成绩信息，考试成绩信息支持自动匹配同步到个人医疗技术的档案。</w:t>
      </w:r>
    </w:p>
    <w:p w14:paraId="5700B880">
      <w:pPr>
        <w:pStyle w:val="5"/>
        <w:rPr>
          <w:rFonts w:ascii="宋体" w:hAnsi="宋体" w:eastAsia="宋体"/>
        </w:rPr>
      </w:pPr>
      <w:r>
        <w:rPr>
          <w:rFonts w:ascii="宋体" w:hAnsi="宋体" w:eastAsia="宋体"/>
        </w:rPr>
        <w:t>医务工作</w:t>
      </w:r>
      <w:r>
        <w:rPr>
          <w:rFonts w:hint="eastAsia" w:ascii="宋体" w:hAnsi="宋体" w:eastAsia="宋体"/>
        </w:rPr>
        <w:t>计划及报表管理</w:t>
      </w:r>
    </w:p>
    <w:p w14:paraId="72EDF6C6">
      <w:pPr>
        <w:ind w:firstLine="480"/>
        <w:rPr>
          <w:rFonts w:ascii="宋体" w:hAnsi="宋体" w:eastAsia="宋体"/>
        </w:rPr>
      </w:pPr>
      <w:r>
        <w:rPr>
          <w:rFonts w:ascii="宋体" w:hAnsi="宋体" w:eastAsia="宋体"/>
        </w:rPr>
        <w:t>实现医务部、科主任等角色制定工作计划。可以制定年工作计划、季度工作计划、月工作计划。医务工作计划支持展现护理计划项目的实施进度、完成情况以及计划天数，并可实时维护医务工作完成进度，方便医务项目周期性管理。支持增删查改。</w:t>
      </w:r>
    </w:p>
    <w:p w14:paraId="69CDB28E">
      <w:pPr>
        <w:ind w:firstLine="480"/>
        <w:rPr>
          <w:rFonts w:ascii="宋体" w:hAnsi="宋体" w:eastAsia="宋体"/>
        </w:rPr>
      </w:pPr>
      <w:r>
        <w:rPr>
          <w:rFonts w:ascii="宋体" w:hAnsi="宋体" w:eastAsia="宋体"/>
        </w:rPr>
        <w:t>支持个人技术档案、运营分析、公益派单等相关统计报表。</w:t>
      </w:r>
    </w:p>
    <w:p w14:paraId="280C7811">
      <w:pPr>
        <w:pStyle w:val="4"/>
        <w:rPr>
          <w:rFonts w:ascii="宋体" w:hAnsi="宋体"/>
        </w:rPr>
      </w:pPr>
      <w:r>
        <w:rPr>
          <w:rFonts w:hint="eastAsia" w:ascii="宋体" w:hAnsi="宋体"/>
        </w:rPr>
        <w:t>护理管理系统</w:t>
      </w:r>
    </w:p>
    <w:p w14:paraId="46D73F7E">
      <w:pPr>
        <w:pStyle w:val="5"/>
        <w:rPr>
          <w:rFonts w:ascii="宋体" w:hAnsi="宋体" w:eastAsia="宋体"/>
        </w:rPr>
      </w:pPr>
      <w:r>
        <w:rPr>
          <w:rFonts w:hint="eastAsia" w:ascii="宋体" w:hAnsi="宋体" w:eastAsia="宋体"/>
        </w:rPr>
        <w:t>首页综合管理</w:t>
      </w:r>
    </w:p>
    <w:p w14:paraId="51590E2C">
      <w:pPr>
        <w:ind w:firstLine="480"/>
        <w:rPr>
          <w:rFonts w:ascii="宋体" w:hAnsi="宋体" w:eastAsia="宋体"/>
        </w:rPr>
      </w:pPr>
      <w:r>
        <w:rPr>
          <w:rFonts w:hint="eastAsia" w:ascii="宋体" w:hAnsi="宋体" w:eastAsia="宋体"/>
        </w:rPr>
        <w:t>1）支持统计全院信息：全院护士人数，全院上班人数，全院请假人数，全院住院人数，今日新入人数，今日新出人数，今日病危人数，今日病重人数，今日死亡人数。</w:t>
      </w:r>
    </w:p>
    <w:p w14:paraId="3D563AB3">
      <w:pPr>
        <w:ind w:firstLine="480"/>
        <w:rPr>
          <w:rFonts w:ascii="宋体" w:hAnsi="宋体" w:eastAsia="宋体"/>
        </w:rPr>
      </w:pPr>
      <w:r>
        <w:rPr>
          <w:rFonts w:hint="eastAsia" w:ascii="宋体" w:hAnsi="宋体" w:eastAsia="宋体"/>
        </w:rPr>
        <w:t>2）各科室床位使用率、护病比、护重比等指标查看。</w:t>
      </w:r>
    </w:p>
    <w:p w14:paraId="49A2C18A">
      <w:pPr>
        <w:ind w:firstLine="480"/>
        <w:rPr>
          <w:rFonts w:ascii="宋体" w:hAnsi="宋体" w:eastAsia="宋体"/>
        </w:rPr>
      </w:pPr>
      <w:r>
        <w:rPr>
          <w:rFonts w:hint="eastAsia" w:ascii="宋体" w:hAnsi="宋体" w:eastAsia="宋体"/>
        </w:rPr>
        <w:t>3）护理人员学历、职称、科室人员分布情况查看。</w:t>
      </w:r>
    </w:p>
    <w:p w14:paraId="424D1831">
      <w:pPr>
        <w:pStyle w:val="5"/>
        <w:rPr>
          <w:rFonts w:ascii="宋体" w:hAnsi="宋体" w:eastAsia="宋体"/>
        </w:rPr>
      </w:pPr>
      <w:r>
        <w:rPr>
          <w:rFonts w:ascii="宋体" w:hAnsi="宋体" w:eastAsia="宋体"/>
        </w:rPr>
        <w:t>待办事项</w:t>
      </w:r>
      <w:r>
        <w:rPr>
          <w:rFonts w:hint="eastAsia" w:ascii="宋体" w:hAnsi="宋体" w:eastAsia="宋体"/>
        </w:rPr>
        <w:t>管理</w:t>
      </w:r>
    </w:p>
    <w:p w14:paraId="3DCDFE79">
      <w:pPr>
        <w:ind w:firstLine="480"/>
        <w:rPr>
          <w:rFonts w:ascii="宋体" w:hAnsi="宋体" w:eastAsia="宋体"/>
        </w:rPr>
      </w:pPr>
      <w:r>
        <w:rPr>
          <w:rFonts w:hint="eastAsia" w:ascii="宋体" w:hAnsi="宋体" w:eastAsia="宋体"/>
        </w:rPr>
        <w:t>1）</w:t>
      </w:r>
      <w:r>
        <w:rPr>
          <w:rFonts w:ascii="宋体" w:hAnsi="宋体" w:eastAsia="宋体"/>
        </w:rPr>
        <w:t>各类待办事项的提醒和处理监控，包括待审批、人事动态监控、排班监控、护理质量监控、护理敏感指标监控、护士长工作手册监控。</w:t>
      </w:r>
    </w:p>
    <w:p w14:paraId="2A2DF788">
      <w:pPr>
        <w:ind w:firstLine="480"/>
        <w:rPr>
          <w:rFonts w:ascii="宋体" w:hAnsi="宋体" w:eastAsia="宋体"/>
        </w:rPr>
      </w:pPr>
      <w:r>
        <w:rPr>
          <w:rFonts w:hint="eastAsia" w:ascii="宋体" w:hAnsi="宋体" w:eastAsia="宋体"/>
        </w:rPr>
        <w:t>2）</w:t>
      </w:r>
      <w:r>
        <w:rPr>
          <w:rFonts w:ascii="宋体" w:hAnsi="宋体" w:eastAsia="宋体"/>
        </w:rPr>
        <w:t>系统可结合相关数据进行监控指标结果的分析统计。</w:t>
      </w:r>
    </w:p>
    <w:p w14:paraId="208088B8">
      <w:pPr>
        <w:pStyle w:val="5"/>
        <w:rPr>
          <w:rFonts w:ascii="宋体" w:hAnsi="宋体" w:eastAsia="宋体"/>
        </w:rPr>
      </w:pPr>
      <w:r>
        <w:rPr>
          <w:rFonts w:ascii="宋体" w:hAnsi="宋体" w:eastAsia="宋体"/>
        </w:rPr>
        <w:t>人员档案</w:t>
      </w:r>
    </w:p>
    <w:p w14:paraId="09D7BB22">
      <w:pPr>
        <w:ind w:firstLine="480"/>
        <w:rPr>
          <w:rFonts w:ascii="宋体" w:hAnsi="宋体" w:eastAsia="宋体"/>
        </w:rPr>
      </w:pPr>
      <w:r>
        <w:rPr>
          <w:rFonts w:hint="eastAsia" w:ascii="宋体" w:hAnsi="宋体" w:eastAsia="宋体"/>
        </w:rPr>
        <w:t>1）</w:t>
      </w:r>
      <w:r>
        <w:rPr>
          <w:rFonts w:ascii="宋体" w:hAnsi="宋体" w:eastAsia="宋体"/>
        </w:rPr>
        <w:t>各类人员档案管理</w:t>
      </w:r>
      <w:r>
        <w:rPr>
          <w:rFonts w:hint="eastAsia" w:ascii="宋体" w:hAnsi="宋体" w:eastAsia="宋体"/>
        </w:rPr>
        <w:t>：</w:t>
      </w:r>
      <w:r>
        <w:rPr>
          <w:rFonts w:ascii="宋体" w:hAnsi="宋体" w:eastAsia="宋体"/>
        </w:rPr>
        <w:t>包含在职人员档案、非编制人员档案、规培人员档案、非护理人员档案、来院进修人员档案、外出进修人员档案、实习人员档案信息维护。</w:t>
      </w:r>
      <w:r>
        <w:rPr>
          <w:rFonts w:hint="eastAsia" w:ascii="宋体" w:hAnsi="宋体" w:eastAsia="宋体"/>
        </w:rPr>
        <w:t>要求</w:t>
      </w:r>
      <w:r>
        <w:rPr>
          <w:rFonts w:ascii="宋体" w:hAnsi="宋体" w:eastAsia="宋体"/>
        </w:rPr>
        <w:t>通过从</w:t>
      </w:r>
      <w:r>
        <w:rPr>
          <w:rFonts w:hint="eastAsia" w:ascii="宋体" w:hAnsi="宋体" w:eastAsia="宋体"/>
        </w:rPr>
        <w:t>医院</w:t>
      </w:r>
      <w:r>
        <w:rPr>
          <w:rFonts w:ascii="宋体" w:hAnsi="宋体" w:eastAsia="宋体"/>
        </w:rPr>
        <w:t>HIS和HRP</w:t>
      </w:r>
      <w:r>
        <w:rPr>
          <w:rFonts w:hint="eastAsia" w:ascii="宋体" w:hAnsi="宋体" w:eastAsia="宋体"/>
        </w:rPr>
        <w:t>系统</w:t>
      </w:r>
      <w:r>
        <w:rPr>
          <w:rFonts w:ascii="宋体" w:hAnsi="宋体" w:eastAsia="宋体"/>
        </w:rPr>
        <w:t>同步人员基本信息；</w:t>
      </w:r>
      <w:r>
        <w:rPr>
          <w:rFonts w:hint="eastAsia" w:ascii="宋体" w:hAnsi="宋体" w:eastAsia="宋体"/>
        </w:rPr>
        <w:t>支持</w:t>
      </w:r>
      <w:r>
        <w:rPr>
          <w:rFonts w:ascii="宋体" w:hAnsi="宋体" w:eastAsia="宋体"/>
        </w:rPr>
        <w:t>人员基本信息的自我维护，审核后才会生效修改内容；支持对执业证书的状态，包含未填写、已过期、将过期等状态进行监控；</w:t>
      </w:r>
    </w:p>
    <w:p w14:paraId="5BE5E60F">
      <w:pPr>
        <w:ind w:firstLine="480"/>
        <w:rPr>
          <w:rFonts w:ascii="宋体" w:hAnsi="宋体" w:eastAsia="宋体"/>
        </w:rPr>
      </w:pPr>
      <w:r>
        <w:rPr>
          <w:rFonts w:hint="eastAsia" w:ascii="宋体" w:hAnsi="宋体" w:eastAsia="宋体"/>
        </w:rPr>
        <w:t>2）</w:t>
      </w:r>
      <w:r>
        <w:rPr>
          <w:rFonts w:ascii="宋体" w:hAnsi="宋体" w:eastAsia="宋体"/>
        </w:rPr>
        <w:t>人事管理</w:t>
      </w:r>
      <w:r>
        <w:rPr>
          <w:rFonts w:hint="eastAsia" w:ascii="宋体" w:hAnsi="宋体" w:eastAsia="宋体"/>
        </w:rPr>
        <w:t>：</w:t>
      </w:r>
      <w:r>
        <w:rPr>
          <w:rFonts w:ascii="宋体" w:hAnsi="宋体" w:eastAsia="宋体"/>
        </w:rPr>
        <w:t>支持科室人员调动管理，查看调动记录</w:t>
      </w:r>
      <w:r>
        <w:rPr>
          <w:rFonts w:hint="eastAsia" w:ascii="宋体" w:hAnsi="宋体" w:eastAsia="宋体"/>
        </w:rPr>
        <w:t>；</w:t>
      </w:r>
      <w:r>
        <w:rPr>
          <w:rFonts w:ascii="宋体" w:hAnsi="宋体" w:eastAsia="宋体"/>
        </w:rPr>
        <w:t>护士轮转记录的制定，可以同时制定多个科室的轮转记录</w:t>
      </w:r>
      <w:r>
        <w:rPr>
          <w:rFonts w:hint="eastAsia" w:ascii="宋体" w:hAnsi="宋体" w:eastAsia="宋体"/>
        </w:rPr>
        <w:t>；</w:t>
      </w:r>
      <w:r>
        <w:rPr>
          <w:rFonts w:ascii="宋体" w:hAnsi="宋体" w:eastAsia="宋体"/>
        </w:rPr>
        <w:t>支持人员的注销和恢复管理。</w:t>
      </w:r>
    </w:p>
    <w:p w14:paraId="1D943470">
      <w:pPr>
        <w:ind w:firstLine="480"/>
        <w:rPr>
          <w:rFonts w:ascii="宋体" w:hAnsi="宋体" w:eastAsia="宋体"/>
        </w:rPr>
      </w:pPr>
      <w:r>
        <w:rPr>
          <w:rFonts w:hint="eastAsia" w:ascii="宋体" w:hAnsi="宋体" w:eastAsia="宋体"/>
        </w:rPr>
        <w:t>3）</w:t>
      </w:r>
      <w:r>
        <w:rPr>
          <w:rFonts w:ascii="宋体" w:hAnsi="宋体" w:eastAsia="宋体"/>
        </w:rPr>
        <w:t>人力资源统计分析报告</w:t>
      </w:r>
    </w:p>
    <w:p w14:paraId="75AEBDBE">
      <w:pPr>
        <w:ind w:firstLine="480"/>
        <w:rPr>
          <w:rFonts w:ascii="宋体" w:hAnsi="宋体" w:eastAsia="宋体"/>
        </w:rPr>
      </w:pPr>
      <w:r>
        <w:rPr>
          <w:rFonts w:ascii="宋体" w:hAnsi="宋体" w:eastAsia="宋体"/>
        </w:rPr>
        <w:t>支持通过统计周期自动生成全院护理人员概况，各科护理人员分布、人员结构说明、护士离职情况，人员增长率、离职率、床护比等内容分析，可以进行打印和导出。</w:t>
      </w:r>
    </w:p>
    <w:p w14:paraId="4E571448">
      <w:pPr>
        <w:pStyle w:val="5"/>
        <w:rPr>
          <w:rFonts w:ascii="宋体" w:hAnsi="宋体" w:eastAsia="宋体"/>
        </w:rPr>
      </w:pPr>
      <w:r>
        <w:rPr>
          <w:rFonts w:ascii="宋体" w:hAnsi="宋体" w:eastAsia="宋体"/>
        </w:rPr>
        <w:t>护理排班</w:t>
      </w:r>
    </w:p>
    <w:p w14:paraId="277C3F26">
      <w:pPr>
        <w:ind w:firstLine="480"/>
        <w:rPr>
          <w:rFonts w:ascii="宋体" w:hAnsi="宋体" w:eastAsia="宋体"/>
        </w:rPr>
      </w:pPr>
      <w:r>
        <w:rPr>
          <w:rFonts w:hint="eastAsia" w:ascii="宋体" w:hAnsi="宋体" w:eastAsia="宋体"/>
        </w:rPr>
        <w:t>1）</w:t>
      </w:r>
      <w:r>
        <w:rPr>
          <w:rFonts w:ascii="宋体" w:hAnsi="宋体" w:eastAsia="宋体"/>
        </w:rPr>
        <w:t>班次类型</w:t>
      </w:r>
      <w:r>
        <w:rPr>
          <w:rFonts w:hint="eastAsia" w:ascii="宋体" w:hAnsi="宋体" w:eastAsia="宋体"/>
        </w:rPr>
        <w:t>：</w:t>
      </w:r>
      <w:r>
        <w:rPr>
          <w:rFonts w:ascii="宋体" w:hAnsi="宋体" w:eastAsia="宋体"/>
        </w:rPr>
        <w:t>支持护理部维护全院统一班次类型，包含班次名称、性质、是否夜班、班次类型描述。</w:t>
      </w:r>
    </w:p>
    <w:p w14:paraId="72364A3E">
      <w:pPr>
        <w:ind w:firstLine="480"/>
        <w:rPr>
          <w:rFonts w:ascii="宋体" w:hAnsi="宋体" w:eastAsia="宋体"/>
        </w:rPr>
      </w:pPr>
      <w:r>
        <w:rPr>
          <w:rFonts w:hint="eastAsia" w:ascii="宋体" w:hAnsi="宋体" w:eastAsia="宋体"/>
        </w:rPr>
        <w:t>2）</w:t>
      </w:r>
      <w:r>
        <w:rPr>
          <w:rFonts w:ascii="宋体" w:hAnsi="宋体" w:eastAsia="宋体"/>
        </w:rPr>
        <w:t>班次维护</w:t>
      </w:r>
      <w:r>
        <w:rPr>
          <w:rFonts w:hint="eastAsia" w:ascii="宋体" w:hAnsi="宋体" w:eastAsia="宋体"/>
        </w:rPr>
        <w:t>：</w:t>
      </w:r>
      <w:r>
        <w:rPr>
          <w:rFonts w:ascii="宋体" w:hAnsi="宋体" w:eastAsia="宋体"/>
        </w:rPr>
        <w:t>支持科室维护自己的班次，可以复制其他科室的班次进行修改，维护班次内容包含班次名称、类型、班时、白班时长和夜班时长。</w:t>
      </w:r>
    </w:p>
    <w:p w14:paraId="620A3616">
      <w:pPr>
        <w:ind w:firstLine="480"/>
        <w:rPr>
          <w:rFonts w:ascii="宋体" w:hAnsi="宋体" w:eastAsia="宋体"/>
        </w:rPr>
      </w:pPr>
      <w:r>
        <w:rPr>
          <w:rFonts w:hint="eastAsia" w:ascii="宋体" w:hAnsi="宋体" w:eastAsia="宋体"/>
        </w:rPr>
        <w:t>3）</w:t>
      </w:r>
      <w:r>
        <w:rPr>
          <w:rFonts w:ascii="宋体" w:hAnsi="宋体" w:eastAsia="宋体"/>
        </w:rPr>
        <w:t>组合排班</w:t>
      </w:r>
      <w:r>
        <w:rPr>
          <w:rFonts w:hint="eastAsia" w:ascii="宋体" w:hAnsi="宋体" w:eastAsia="宋体"/>
        </w:rPr>
        <w:t>：</w:t>
      </w:r>
      <w:r>
        <w:rPr>
          <w:rFonts w:ascii="宋体" w:hAnsi="宋体" w:eastAsia="宋体"/>
        </w:rPr>
        <w:t>支持科室组合排班的维护，在人员排班过程中可以调取组合维护的班次。</w:t>
      </w:r>
    </w:p>
    <w:p w14:paraId="08BD3A36">
      <w:pPr>
        <w:ind w:firstLine="480"/>
        <w:rPr>
          <w:rFonts w:ascii="宋体" w:hAnsi="宋体" w:eastAsia="宋体"/>
        </w:rPr>
      </w:pPr>
      <w:r>
        <w:rPr>
          <w:rFonts w:hint="eastAsia" w:ascii="宋体" w:hAnsi="宋体" w:eastAsia="宋体"/>
        </w:rPr>
        <w:t>4）</w:t>
      </w:r>
      <w:r>
        <w:rPr>
          <w:rFonts w:ascii="宋体" w:hAnsi="宋体" w:eastAsia="宋体"/>
        </w:rPr>
        <w:t>班次费用维护</w:t>
      </w:r>
      <w:r>
        <w:rPr>
          <w:rFonts w:hint="eastAsia" w:ascii="宋体" w:hAnsi="宋体" w:eastAsia="宋体"/>
        </w:rPr>
        <w:t>：</w:t>
      </w:r>
      <w:r>
        <w:rPr>
          <w:rFonts w:ascii="宋体" w:hAnsi="宋体" w:eastAsia="宋体"/>
        </w:rPr>
        <w:t>支持按照科室、科室等级、护士层级、护士职称、护士职务分类维护每个班次对应的费用，用于费用统计。</w:t>
      </w:r>
    </w:p>
    <w:p w14:paraId="7006C54C">
      <w:pPr>
        <w:ind w:firstLine="480"/>
        <w:rPr>
          <w:rFonts w:ascii="宋体" w:hAnsi="宋体" w:eastAsia="宋体"/>
        </w:rPr>
      </w:pPr>
      <w:r>
        <w:rPr>
          <w:rFonts w:hint="eastAsia" w:ascii="宋体" w:hAnsi="宋体" w:eastAsia="宋体"/>
        </w:rPr>
        <w:t>5）</w:t>
      </w:r>
      <w:r>
        <w:rPr>
          <w:rFonts w:ascii="宋体" w:hAnsi="宋体" w:eastAsia="宋体"/>
        </w:rPr>
        <w:t>人员排班</w:t>
      </w:r>
      <w:r>
        <w:rPr>
          <w:rFonts w:hint="eastAsia" w:ascii="宋体" w:hAnsi="宋体" w:eastAsia="宋体"/>
        </w:rPr>
        <w:t>：</w:t>
      </w:r>
      <w:r>
        <w:rPr>
          <w:rFonts w:ascii="宋体" w:hAnsi="宋体" w:eastAsia="宋体"/>
        </w:rPr>
        <w:t>支持按照日、周、月三种视图进行排班情况的查看，可以通过科室、周数和姓名进行排班检索</w:t>
      </w:r>
      <w:r>
        <w:rPr>
          <w:rFonts w:hint="eastAsia" w:ascii="宋体" w:hAnsi="宋体" w:eastAsia="宋体"/>
        </w:rPr>
        <w:t>；</w:t>
      </w:r>
      <w:r>
        <w:rPr>
          <w:rFonts w:ascii="宋体" w:hAnsi="宋体" w:eastAsia="宋体"/>
        </w:rPr>
        <w:t>可以启用排班审核参数，所有排班信息需要审核后生效</w:t>
      </w:r>
      <w:r>
        <w:rPr>
          <w:rFonts w:hint="eastAsia" w:ascii="宋体" w:hAnsi="宋体" w:eastAsia="宋体"/>
        </w:rPr>
        <w:t>；</w:t>
      </w:r>
      <w:r>
        <w:rPr>
          <w:rFonts w:ascii="宋体" w:hAnsi="宋体" w:eastAsia="宋体"/>
        </w:rPr>
        <w:t>支持排班的打印、导出、备忘录、工作重点的管理；</w:t>
      </w:r>
    </w:p>
    <w:p w14:paraId="1C86A95F">
      <w:pPr>
        <w:ind w:firstLine="480"/>
        <w:rPr>
          <w:rFonts w:ascii="宋体" w:hAnsi="宋体" w:eastAsia="宋体"/>
        </w:rPr>
      </w:pPr>
      <w:r>
        <w:rPr>
          <w:rFonts w:hint="eastAsia" w:ascii="宋体" w:hAnsi="宋体" w:eastAsia="宋体"/>
        </w:rPr>
        <w:t>6）</w:t>
      </w:r>
      <w:r>
        <w:rPr>
          <w:rFonts w:ascii="宋体" w:hAnsi="宋体" w:eastAsia="宋体"/>
        </w:rPr>
        <w:t>支持排班班次的编辑、复制，管床的编辑和复制，可以参考上周排班情况，可以调整排班人员序号，可以借调其他科室的人员来本科室进行排班。可以检查排班的合理性，包含按人次、按班次、夜班的统计。</w:t>
      </w:r>
    </w:p>
    <w:p w14:paraId="7A944359">
      <w:pPr>
        <w:ind w:firstLine="480"/>
        <w:rPr>
          <w:rFonts w:ascii="宋体" w:hAnsi="宋体" w:eastAsia="宋体"/>
        </w:rPr>
      </w:pPr>
      <w:r>
        <w:rPr>
          <w:rFonts w:hint="eastAsia" w:ascii="宋体" w:hAnsi="宋体" w:eastAsia="宋体"/>
        </w:rPr>
        <w:t>7）</w:t>
      </w:r>
      <w:r>
        <w:rPr>
          <w:rFonts w:ascii="宋体" w:hAnsi="宋体" w:eastAsia="宋体"/>
        </w:rPr>
        <w:t>二线排班</w:t>
      </w:r>
      <w:r>
        <w:rPr>
          <w:rFonts w:hint="eastAsia" w:ascii="宋体" w:hAnsi="宋体" w:eastAsia="宋体"/>
        </w:rPr>
        <w:t>：</w:t>
      </w:r>
      <w:r>
        <w:rPr>
          <w:rFonts w:ascii="宋体" w:hAnsi="宋体" w:eastAsia="宋体"/>
        </w:rPr>
        <w:t>支持科室护士长进行二线排班，排班的方式与人员排班类似，可以打印排班记录，可以查看排班修改记录。</w:t>
      </w:r>
    </w:p>
    <w:p w14:paraId="053C5DBE">
      <w:pPr>
        <w:ind w:firstLine="480"/>
        <w:rPr>
          <w:rFonts w:ascii="宋体" w:hAnsi="宋体" w:eastAsia="宋体"/>
        </w:rPr>
      </w:pPr>
      <w:r>
        <w:rPr>
          <w:rFonts w:hint="eastAsia" w:ascii="宋体" w:hAnsi="宋体" w:eastAsia="宋体"/>
        </w:rPr>
        <w:t>8）</w:t>
      </w:r>
      <w:r>
        <w:rPr>
          <w:rFonts w:ascii="宋体" w:hAnsi="宋体" w:eastAsia="宋体"/>
        </w:rPr>
        <w:t>三线排班</w:t>
      </w:r>
      <w:r>
        <w:rPr>
          <w:rFonts w:hint="eastAsia" w:ascii="宋体" w:hAnsi="宋体" w:eastAsia="宋体"/>
        </w:rPr>
        <w:t>:</w:t>
      </w:r>
      <w:r>
        <w:rPr>
          <w:rFonts w:ascii="宋体" w:hAnsi="宋体" w:eastAsia="宋体"/>
        </w:rPr>
        <w:t>支持各科室进行三线排班，排班的方式与人员排班类似，可以打印排班记录，可以查看排班修改记录。</w:t>
      </w:r>
    </w:p>
    <w:p w14:paraId="32A93C62">
      <w:pPr>
        <w:pStyle w:val="5"/>
        <w:rPr>
          <w:rFonts w:ascii="宋体" w:hAnsi="宋体" w:eastAsia="宋体"/>
        </w:rPr>
      </w:pPr>
      <w:r>
        <w:rPr>
          <w:rFonts w:ascii="宋体" w:hAnsi="宋体" w:eastAsia="宋体"/>
        </w:rPr>
        <w:t>护理质量管理</w:t>
      </w:r>
    </w:p>
    <w:p w14:paraId="2AD8970F">
      <w:pPr>
        <w:ind w:firstLine="480"/>
        <w:rPr>
          <w:rFonts w:ascii="宋体" w:hAnsi="宋体" w:eastAsia="宋体"/>
        </w:rPr>
      </w:pPr>
      <w:r>
        <w:rPr>
          <w:rFonts w:hint="eastAsia" w:ascii="宋体" w:hAnsi="宋体" w:eastAsia="宋体"/>
        </w:rPr>
        <w:t>1）</w:t>
      </w:r>
      <w:r>
        <w:rPr>
          <w:rFonts w:ascii="宋体" w:hAnsi="宋体" w:eastAsia="宋体"/>
        </w:rPr>
        <w:t>质量标准维护</w:t>
      </w:r>
      <w:r>
        <w:rPr>
          <w:rFonts w:hint="eastAsia" w:ascii="宋体" w:hAnsi="宋体" w:eastAsia="宋体"/>
        </w:rPr>
        <w:t>：</w:t>
      </w:r>
      <w:r>
        <w:rPr>
          <w:rFonts w:ascii="宋体" w:hAnsi="宋体" w:eastAsia="宋体"/>
        </w:rPr>
        <w:t>支持对各类标准质量检查标准的维护、版本管理、标准详情的查看；对每种质量标准进行系列项目的维护。</w:t>
      </w:r>
    </w:p>
    <w:p w14:paraId="63248676">
      <w:pPr>
        <w:ind w:firstLine="480"/>
        <w:rPr>
          <w:rFonts w:ascii="宋体" w:hAnsi="宋体" w:eastAsia="宋体"/>
        </w:rPr>
      </w:pPr>
      <w:r>
        <w:rPr>
          <w:rFonts w:hint="eastAsia" w:ascii="宋体" w:hAnsi="宋体" w:eastAsia="宋体"/>
        </w:rPr>
        <w:t>2）</w:t>
      </w:r>
      <w:r>
        <w:rPr>
          <w:rFonts w:ascii="宋体" w:hAnsi="宋体" w:eastAsia="宋体"/>
        </w:rPr>
        <w:t>质控组织架构</w:t>
      </w:r>
      <w:r>
        <w:rPr>
          <w:rFonts w:hint="eastAsia" w:ascii="宋体" w:hAnsi="宋体" w:eastAsia="宋体"/>
        </w:rPr>
        <w:t>：</w:t>
      </w:r>
      <w:r>
        <w:rPr>
          <w:rFonts w:ascii="宋体" w:hAnsi="宋体" w:eastAsia="宋体"/>
        </w:rPr>
        <w:t>支持对全院一、二、三级质量的组织进行维护。</w:t>
      </w:r>
    </w:p>
    <w:p w14:paraId="5751290B">
      <w:pPr>
        <w:ind w:firstLine="480"/>
        <w:rPr>
          <w:rFonts w:ascii="宋体" w:hAnsi="宋体" w:eastAsia="宋体"/>
        </w:rPr>
      </w:pPr>
      <w:r>
        <w:rPr>
          <w:rFonts w:hint="eastAsia" w:ascii="宋体" w:hAnsi="宋体" w:eastAsia="宋体"/>
        </w:rPr>
        <w:t>3）</w:t>
      </w:r>
      <w:r>
        <w:rPr>
          <w:rFonts w:ascii="宋体" w:hAnsi="宋体" w:eastAsia="宋体"/>
        </w:rPr>
        <w:t>质量分级人员</w:t>
      </w:r>
      <w:r>
        <w:rPr>
          <w:rFonts w:hint="eastAsia" w:ascii="宋体" w:hAnsi="宋体" w:eastAsia="宋体"/>
        </w:rPr>
        <w:t>：</w:t>
      </w:r>
      <w:r>
        <w:rPr>
          <w:rFonts w:ascii="宋体" w:hAnsi="宋体" w:eastAsia="宋体"/>
        </w:rPr>
        <w:t>支持对已维护的组织进行组织内分组的维护，和分组内参与人员的维护。</w:t>
      </w:r>
    </w:p>
    <w:p w14:paraId="738FF3A3">
      <w:pPr>
        <w:ind w:firstLine="480"/>
        <w:rPr>
          <w:rFonts w:ascii="宋体" w:hAnsi="宋体" w:eastAsia="宋体"/>
        </w:rPr>
      </w:pPr>
      <w:r>
        <w:rPr>
          <w:rFonts w:hint="eastAsia" w:ascii="宋体" w:hAnsi="宋体" w:eastAsia="宋体"/>
        </w:rPr>
        <w:t>4）</w:t>
      </w:r>
      <w:r>
        <w:rPr>
          <w:rFonts w:ascii="宋体" w:hAnsi="宋体" w:eastAsia="宋体"/>
        </w:rPr>
        <w:t>质控计划</w:t>
      </w:r>
      <w:r>
        <w:rPr>
          <w:rFonts w:hint="eastAsia" w:ascii="宋体" w:hAnsi="宋体" w:eastAsia="宋体"/>
        </w:rPr>
        <w:t>：</w:t>
      </w:r>
      <w:r>
        <w:rPr>
          <w:rFonts w:ascii="宋体" w:hAnsi="宋体" w:eastAsia="宋体"/>
        </w:rPr>
        <w:t>支持选择计划的周期生成计划</w:t>
      </w:r>
      <w:r>
        <w:rPr>
          <w:rFonts w:hint="eastAsia" w:ascii="宋体" w:hAnsi="宋体" w:eastAsia="宋体"/>
        </w:rPr>
        <w:t>，支持年、月、日计划；</w:t>
      </w:r>
      <w:r>
        <w:rPr>
          <w:rFonts w:ascii="宋体" w:hAnsi="宋体" w:eastAsia="宋体"/>
        </w:rPr>
        <w:t>支持按照片区、楼宇、科室、护理单元四种类型勾选需要参与受检的科室</w:t>
      </w:r>
      <w:r>
        <w:rPr>
          <w:rFonts w:hint="eastAsia" w:ascii="宋体" w:hAnsi="宋体" w:eastAsia="宋体"/>
        </w:rPr>
        <w:t>；</w:t>
      </w:r>
      <w:r>
        <w:rPr>
          <w:rFonts w:ascii="宋体" w:hAnsi="宋体" w:eastAsia="宋体"/>
        </w:rPr>
        <w:t>支持每个科室单独选择质控标准，且每个标准可以填写设置检查的次数，可以多选标准。</w:t>
      </w:r>
    </w:p>
    <w:p w14:paraId="20400FDD">
      <w:pPr>
        <w:ind w:firstLine="480"/>
        <w:rPr>
          <w:rFonts w:ascii="宋体" w:hAnsi="宋体" w:eastAsia="宋体"/>
        </w:rPr>
      </w:pPr>
      <w:r>
        <w:rPr>
          <w:rFonts w:ascii="宋体" w:hAnsi="宋体" w:eastAsia="宋体"/>
        </w:rPr>
        <w:t>支持质控计划按照计划日期，质控组织筛选已经建立的质控计划，可以通过计划标题和计划状态检索，可以查看计划执行进度。</w:t>
      </w:r>
    </w:p>
    <w:p w14:paraId="6CFD8D00">
      <w:pPr>
        <w:ind w:firstLine="480"/>
        <w:rPr>
          <w:rFonts w:ascii="宋体" w:hAnsi="宋体" w:eastAsia="宋体"/>
        </w:rPr>
      </w:pPr>
      <w:r>
        <w:rPr>
          <w:rFonts w:hint="eastAsia" w:ascii="宋体" w:hAnsi="宋体" w:eastAsia="宋体"/>
        </w:rPr>
        <w:t>5）</w:t>
      </w:r>
      <w:r>
        <w:rPr>
          <w:rFonts w:ascii="宋体" w:hAnsi="宋体" w:eastAsia="宋体"/>
        </w:rPr>
        <w:t>质量检查</w:t>
      </w:r>
      <w:r>
        <w:rPr>
          <w:rFonts w:hint="eastAsia" w:ascii="宋体" w:hAnsi="宋体" w:eastAsia="宋体"/>
        </w:rPr>
        <w:t>：</w:t>
      </w:r>
      <w:r>
        <w:rPr>
          <w:rFonts w:ascii="宋体" w:hAnsi="宋体" w:eastAsia="宋体"/>
        </w:rPr>
        <w:t>质控小组按照标准类别、科室和质控单展示未检查、进行中、已检查的质控计划。</w:t>
      </w:r>
    </w:p>
    <w:p w14:paraId="7C0F0B2D">
      <w:pPr>
        <w:ind w:firstLine="480"/>
        <w:rPr>
          <w:rFonts w:ascii="宋体" w:hAnsi="宋体" w:eastAsia="宋体"/>
        </w:rPr>
      </w:pPr>
      <w:r>
        <w:rPr>
          <w:rFonts w:ascii="宋体" w:hAnsi="宋体" w:eastAsia="宋体"/>
        </w:rPr>
        <w:t>整个评分项目分“汇总”和“单项对象抽检”，其中汇总的分数为单个抽检求平均分，扣分原因为多个扣分原因汇总叠加。</w:t>
      </w:r>
    </w:p>
    <w:p w14:paraId="71F101D7">
      <w:pPr>
        <w:ind w:firstLine="480"/>
        <w:rPr>
          <w:rFonts w:ascii="宋体" w:hAnsi="宋体" w:eastAsia="宋体"/>
        </w:rPr>
      </w:pPr>
      <w:r>
        <w:rPr>
          <w:rFonts w:ascii="宋体" w:hAnsi="宋体" w:eastAsia="宋体"/>
        </w:rPr>
        <w:t>支持在抽检过程中可以在所选计划下增加一个临时表单进行评分，每次只能增加一个质控标准。</w:t>
      </w:r>
    </w:p>
    <w:p w14:paraId="5F8A74A3">
      <w:pPr>
        <w:ind w:firstLine="480"/>
        <w:rPr>
          <w:rFonts w:ascii="宋体" w:hAnsi="宋体" w:eastAsia="宋体"/>
        </w:rPr>
      </w:pPr>
      <w:r>
        <w:rPr>
          <w:rFonts w:ascii="宋体" w:hAnsi="宋体" w:eastAsia="宋体"/>
        </w:rPr>
        <w:t>支持查看单个护理计划中每个质控记录分未查和已查的状态，其中未查状态无检查时间和检查者。已查的记录有检查者和检查时间，其中红色标记的记录为达不到符合率的记录。其中符合率有变化的记录为申诉成功的记录。</w:t>
      </w:r>
    </w:p>
    <w:p w14:paraId="6D276326">
      <w:pPr>
        <w:ind w:firstLine="480"/>
        <w:rPr>
          <w:rFonts w:ascii="宋体" w:hAnsi="宋体" w:eastAsia="宋体"/>
        </w:rPr>
      </w:pPr>
      <w:r>
        <w:rPr>
          <w:rFonts w:hint="eastAsia" w:ascii="宋体" w:hAnsi="宋体" w:eastAsia="宋体"/>
        </w:rPr>
        <w:t>6）</w:t>
      </w:r>
      <w:r>
        <w:rPr>
          <w:rFonts w:ascii="宋体" w:hAnsi="宋体" w:eastAsia="宋体"/>
        </w:rPr>
        <w:t>检查成绩</w:t>
      </w:r>
    </w:p>
    <w:p w14:paraId="097C98F7">
      <w:pPr>
        <w:ind w:firstLine="480"/>
        <w:rPr>
          <w:rFonts w:ascii="宋体" w:hAnsi="宋体" w:eastAsia="宋体"/>
        </w:rPr>
      </w:pPr>
      <w:r>
        <w:rPr>
          <w:rFonts w:ascii="宋体" w:hAnsi="宋体" w:eastAsia="宋体"/>
        </w:rPr>
        <w:t>质控检查中的成绩展示。可在此进行申诉，主要为受检科室提供成绩查看和申诉的入口。检查者和护理部也可在此处理申诉过程。</w:t>
      </w:r>
    </w:p>
    <w:p w14:paraId="2B1467AE">
      <w:pPr>
        <w:ind w:firstLine="480"/>
        <w:rPr>
          <w:rFonts w:ascii="宋体" w:hAnsi="宋体" w:eastAsia="宋体"/>
        </w:rPr>
      </w:pPr>
      <w:r>
        <w:rPr>
          <w:rFonts w:ascii="宋体" w:hAnsi="宋体" w:eastAsia="宋体"/>
        </w:rPr>
        <w:t>由受检科室护士长查看检查成绩，从列表中进入申诉流程，选择申诉内容（申诉内容为检查项里面的错误项，可以选择汇总也可以选择抽检对象，可多选）。填写申诉理由最后提交申诉。</w:t>
      </w:r>
    </w:p>
    <w:p w14:paraId="64A151D5">
      <w:pPr>
        <w:ind w:firstLine="480"/>
        <w:rPr>
          <w:rFonts w:ascii="宋体" w:hAnsi="宋体" w:eastAsia="宋体"/>
        </w:rPr>
      </w:pPr>
      <w:r>
        <w:rPr>
          <w:rFonts w:ascii="宋体" w:hAnsi="宋体" w:eastAsia="宋体"/>
        </w:rPr>
        <w:t>提交后的申诉，申诉情况变为“待检查者处理”，检查者可以查看并填写检查者意见，但是检查者无权进行申诉结果的处理。</w:t>
      </w:r>
    </w:p>
    <w:p w14:paraId="67C9B82B">
      <w:pPr>
        <w:ind w:firstLine="480"/>
        <w:rPr>
          <w:rFonts w:ascii="宋体" w:hAnsi="宋体" w:eastAsia="宋体"/>
        </w:rPr>
      </w:pPr>
      <w:r>
        <w:rPr>
          <w:rFonts w:ascii="宋体" w:hAnsi="宋体" w:eastAsia="宋体"/>
        </w:rPr>
        <w:t>检查者提交意见后，申诉情况变为“待质控处理”，质控（护理部）可以查看申诉情况和检查者情况，处理质控结果，质控结果分为“成功”和“失败”。失败时：不影响原有得分率和落实率，成功时，如果项目是符合率则将结果自动改为符合，如果是得分率则默认满分，质控人可以执行更改得很，只能改抽检对象得分。</w:t>
      </w:r>
    </w:p>
    <w:p w14:paraId="5528670D">
      <w:pPr>
        <w:ind w:firstLine="480"/>
        <w:rPr>
          <w:rFonts w:ascii="宋体" w:hAnsi="宋体" w:eastAsia="宋体"/>
        </w:rPr>
      </w:pPr>
      <w:r>
        <w:rPr>
          <w:rFonts w:ascii="宋体" w:hAnsi="宋体" w:eastAsia="宋体"/>
        </w:rPr>
        <w:t>申诉流程结束后此申述完成，可看到之前的申诉结果，不能修改，且不支持再次申诉。</w:t>
      </w:r>
    </w:p>
    <w:p w14:paraId="5C6806A1">
      <w:pPr>
        <w:ind w:firstLine="480"/>
        <w:rPr>
          <w:rFonts w:ascii="宋体" w:hAnsi="宋体" w:eastAsia="宋体"/>
        </w:rPr>
      </w:pPr>
      <w:r>
        <w:rPr>
          <w:rFonts w:hint="eastAsia" w:ascii="宋体" w:hAnsi="宋体" w:eastAsia="宋体"/>
        </w:rPr>
        <w:t>7）</w:t>
      </w:r>
      <w:r>
        <w:rPr>
          <w:rFonts w:ascii="宋体" w:hAnsi="宋体" w:eastAsia="宋体"/>
        </w:rPr>
        <w:t>分析改进</w:t>
      </w:r>
    </w:p>
    <w:p w14:paraId="614091C4">
      <w:pPr>
        <w:ind w:firstLine="480"/>
        <w:rPr>
          <w:rFonts w:ascii="宋体" w:hAnsi="宋体" w:eastAsia="宋体"/>
        </w:rPr>
      </w:pPr>
      <w:r>
        <w:rPr>
          <w:rFonts w:ascii="宋体" w:hAnsi="宋体" w:eastAsia="宋体"/>
        </w:rPr>
        <w:t>循环改进</w:t>
      </w:r>
      <w:r>
        <w:rPr>
          <w:rFonts w:hint="eastAsia" w:ascii="宋体" w:hAnsi="宋体" w:eastAsia="宋体"/>
        </w:rPr>
        <w:t>，</w:t>
      </w:r>
      <w:r>
        <w:rPr>
          <w:rFonts w:ascii="宋体" w:hAnsi="宋体" w:eastAsia="宋体"/>
        </w:rPr>
        <w:t>被检查者和检查者可以进行分析改进的处理。支持批量进行原因分析，整改时间、整改措施、效果评价。</w:t>
      </w:r>
    </w:p>
    <w:p w14:paraId="3FB39129">
      <w:pPr>
        <w:ind w:firstLine="480"/>
        <w:rPr>
          <w:rFonts w:ascii="宋体" w:hAnsi="宋体" w:eastAsia="宋体"/>
        </w:rPr>
      </w:pPr>
      <w:r>
        <w:rPr>
          <w:rFonts w:ascii="宋体" w:hAnsi="宋体" w:eastAsia="宋体"/>
        </w:rPr>
        <w:t>由护士长来填写原因分析，整改时间和整改措施。由质控人来填写效果评价</w:t>
      </w:r>
      <w:r>
        <w:rPr>
          <w:rFonts w:hint="eastAsia" w:ascii="宋体" w:hAnsi="宋体" w:eastAsia="宋体"/>
        </w:rPr>
        <w:t>，</w:t>
      </w:r>
      <w:r>
        <w:rPr>
          <w:rFonts w:ascii="宋体" w:hAnsi="宋体" w:eastAsia="宋体"/>
        </w:rPr>
        <w:t>显示护士长签名或质控小组签名。</w:t>
      </w:r>
    </w:p>
    <w:p w14:paraId="7701603D">
      <w:pPr>
        <w:ind w:firstLine="480"/>
        <w:rPr>
          <w:rFonts w:ascii="宋体" w:hAnsi="宋体" w:eastAsia="宋体"/>
        </w:rPr>
      </w:pPr>
      <w:r>
        <w:rPr>
          <w:rFonts w:ascii="宋体" w:hAnsi="宋体" w:eastAsia="宋体"/>
        </w:rPr>
        <w:t>支持根因分析，填写根因的头骨名称，选择根因，生成鱼骨图。可以导出鱼骨图。</w:t>
      </w:r>
    </w:p>
    <w:p w14:paraId="76869C6F">
      <w:pPr>
        <w:ind w:firstLine="480"/>
        <w:rPr>
          <w:rFonts w:ascii="宋体" w:hAnsi="宋体" w:eastAsia="宋体"/>
        </w:rPr>
      </w:pPr>
      <w:r>
        <w:rPr>
          <w:rFonts w:hint="eastAsia" w:ascii="宋体" w:hAnsi="宋体" w:eastAsia="宋体"/>
        </w:rPr>
        <w:t>8）</w:t>
      </w:r>
      <w:r>
        <w:rPr>
          <w:rFonts w:ascii="宋体" w:hAnsi="宋体" w:eastAsia="宋体"/>
        </w:rPr>
        <w:t>质控报告</w:t>
      </w:r>
    </w:p>
    <w:p w14:paraId="43BDBF38">
      <w:pPr>
        <w:ind w:firstLine="480"/>
        <w:rPr>
          <w:rFonts w:ascii="宋体" w:hAnsi="宋体" w:eastAsia="宋体"/>
        </w:rPr>
      </w:pPr>
      <w:r>
        <w:rPr>
          <w:rFonts w:ascii="宋体" w:hAnsi="宋体" w:eastAsia="宋体"/>
        </w:rPr>
        <w:t>选择检查时间和质控标准生成二三级质控报告。报告可以导出、打印。</w:t>
      </w:r>
    </w:p>
    <w:p w14:paraId="0217B5DC">
      <w:pPr>
        <w:ind w:firstLine="480"/>
        <w:rPr>
          <w:rFonts w:ascii="宋体" w:hAnsi="宋体" w:eastAsia="宋体"/>
        </w:rPr>
      </w:pPr>
      <w:r>
        <w:rPr>
          <w:rFonts w:hint="eastAsia" w:ascii="宋体" w:hAnsi="宋体" w:eastAsia="宋体"/>
        </w:rPr>
        <w:t>9）</w:t>
      </w:r>
      <w:r>
        <w:rPr>
          <w:rFonts w:ascii="宋体" w:hAnsi="宋体" w:eastAsia="宋体"/>
        </w:rPr>
        <w:t>质控综合分析</w:t>
      </w:r>
    </w:p>
    <w:p w14:paraId="3B7C0DA6">
      <w:pPr>
        <w:ind w:firstLine="480"/>
        <w:rPr>
          <w:rFonts w:ascii="宋体" w:hAnsi="宋体" w:eastAsia="宋体"/>
        </w:rPr>
      </w:pPr>
      <w:r>
        <w:rPr>
          <w:rFonts w:ascii="宋体" w:hAnsi="宋体" w:eastAsia="宋体"/>
        </w:rPr>
        <w:t>支持重点问题分析</w:t>
      </w:r>
      <w:r>
        <w:rPr>
          <w:rFonts w:hint="eastAsia" w:ascii="宋体" w:hAnsi="宋体" w:eastAsia="宋体"/>
        </w:rPr>
        <w:t>、</w:t>
      </w:r>
      <w:r>
        <w:rPr>
          <w:rFonts w:ascii="宋体" w:hAnsi="宋体" w:eastAsia="宋体"/>
        </w:rPr>
        <w:t>重点人员分析</w:t>
      </w:r>
      <w:r>
        <w:rPr>
          <w:rFonts w:hint="eastAsia" w:ascii="宋体" w:hAnsi="宋体" w:eastAsia="宋体"/>
        </w:rPr>
        <w:t>、</w:t>
      </w:r>
      <w:r>
        <w:rPr>
          <w:rFonts w:ascii="宋体" w:hAnsi="宋体" w:eastAsia="宋体"/>
        </w:rPr>
        <w:t>重点科室分析</w:t>
      </w:r>
      <w:r>
        <w:rPr>
          <w:rFonts w:hint="eastAsia" w:ascii="宋体" w:hAnsi="宋体" w:eastAsia="宋体"/>
        </w:rPr>
        <w:t>、</w:t>
      </w:r>
      <w:r>
        <w:rPr>
          <w:rFonts w:ascii="宋体" w:hAnsi="宋体" w:eastAsia="宋体"/>
        </w:rPr>
        <w:t>检查人员分析</w:t>
      </w:r>
      <w:r>
        <w:rPr>
          <w:rFonts w:hint="eastAsia" w:ascii="宋体" w:hAnsi="宋体" w:eastAsia="宋体"/>
        </w:rPr>
        <w:t>、</w:t>
      </w:r>
    </w:p>
    <w:p w14:paraId="728901D3">
      <w:pPr>
        <w:rPr>
          <w:rFonts w:ascii="宋体" w:hAnsi="宋体" w:eastAsia="宋体"/>
        </w:rPr>
      </w:pPr>
      <w:r>
        <w:rPr>
          <w:rFonts w:ascii="宋体" w:hAnsi="宋体" w:eastAsia="宋体"/>
        </w:rPr>
        <w:t>支持得分分析</w:t>
      </w:r>
      <w:r>
        <w:rPr>
          <w:rFonts w:hint="eastAsia" w:ascii="宋体" w:hAnsi="宋体" w:eastAsia="宋体"/>
        </w:rPr>
        <w:t>、</w:t>
      </w:r>
      <w:r>
        <w:rPr>
          <w:rFonts w:ascii="宋体" w:hAnsi="宋体" w:eastAsia="宋体"/>
        </w:rPr>
        <w:t>持续改进分析</w:t>
      </w:r>
      <w:r>
        <w:rPr>
          <w:rFonts w:hint="eastAsia" w:ascii="宋体" w:hAnsi="宋体" w:eastAsia="宋体"/>
        </w:rPr>
        <w:t>等</w:t>
      </w:r>
    </w:p>
    <w:p w14:paraId="45177BEC">
      <w:pPr>
        <w:pStyle w:val="5"/>
        <w:rPr>
          <w:rFonts w:ascii="宋体" w:hAnsi="宋体" w:eastAsia="宋体"/>
        </w:rPr>
      </w:pPr>
      <w:r>
        <w:rPr>
          <w:rFonts w:ascii="宋体" w:hAnsi="宋体" w:eastAsia="宋体"/>
        </w:rPr>
        <w:t>护理工作手册</w:t>
      </w:r>
    </w:p>
    <w:p w14:paraId="1297103A">
      <w:pPr>
        <w:ind w:firstLine="480"/>
        <w:rPr>
          <w:rFonts w:ascii="宋体" w:hAnsi="宋体" w:eastAsia="宋体"/>
        </w:rPr>
      </w:pPr>
      <w:r>
        <w:rPr>
          <w:rFonts w:hint="eastAsia" w:ascii="宋体" w:hAnsi="宋体" w:eastAsia="宋体"/>
        </w:rPr>
        <w:t>1）</w:t>
      </w:r>
      <w:r>
        <w:rPr>
          <w:rFonts w:ascii="宋体" w:hAnsi="宋体" w:eastAsia="宋体"/>
        </w:rPr>
        <w:t>护理人力资源配置与管理</w:t>
      </w:r>
      <w:r>
        <w:rPr>
          <w:rFonts w:hint="eastAsia" w:ascii="宋体" w:hAnsi="宋体" w:eastAsia="宋体"/>
        </w:rPr>
        <w:t>：</w:t>
      </w:r>
      <w:r>
        <w:rPr>
          <w:rFonts w:ascii="宋体" w:hAnsi="宋体" w:eastAsia="宋体"/>
        </w:rPr>
        <w:t>支持护理人员基本信息一览、护理人力资源管理统计、护理人员夜班及节假日值班统计、护理人力资源调配记录等统计信息的记录。</w:t>
      </w:r>
    </w:p>
    <w:p w14:paraId="677CE26C">
      <w:pPr>
        <w:ind w:firstLine="480"/>
        <w:rPr>
          <w:rFonts w:ascii="宋体" w:hAnsi="宋体" w:eastAsia="宋体"/>
        </w:rPr>
      </w:pPr>
      <w:r>
        <w:rPr>
          <w:rFonts w:hint="eastAsia" w:ascii="宋体" w:hAnsi="宋体" w:eastAsia="宋体"/>
        </w:rPr>
        <w:t>2）</w:t>
      </w:r>
      <w:r>
        <w:rPr>
          <w:rFonts w:ascii="宋体" w:hAnsi="宋体" w:eastAsia="宋体"/>
        </w:rPr>
        <w:t>护理工作计划与总结</w:t>
      </w:r>
      <w:r>
        <w:rPr>
          <w:rFonts w:hint="eastAsia" w:ascii="宋体" w:hAnsi="宋体" w:eastAsia="宋体"/>
        </w:rPr>
        <w:t>：</w:t>
      </w:r>
      <w:r>
        <w:rPr>
          <w:rFonts w:ascii="宋体" w:hAnsi="宋体" w:eastAsia="宋体"/>
        </w:rPr>
        <w:t>支持年度工作计划、季度护理工作计划、月度护理工作计划、半年总结/年度总结记录、年度工作总结记录的填写。</w:t>
      </w:r>
    </w:p>
    <w:p w14:paraId="0D2DC315">
      <w:pPr>
        <w:ind w:firstLine="480"/>
        <w:rPr>
          <w:rFonts w:ascii="宋体" w:hAnsi="宋体" w:eastAsia="宋体"/>
        </w:rPr>
      </w:pPr>
      <w:r>
        <w:rPr>
          <w:rFonts w:hint="eastAsia" w:ascii="宋体" w:hAnsi="宋体" w:eastAsia="宋体"/>
        </w:rPr>
        <w:t>3）</w:t>
      </w:r>
      <w:r>
        <w:rPr>
          <w:rFonts w:ascii="宋体" w:hAnsi="宋体" w:eastAsia="宋体"/>
        </w:rPr>
        <w:t>护理质量管理</w:t>
      </w:r>
      <w:r>
        <w:rPr>
          <w:rFonts w:hint="eastAsia" w:ascii="宋体" w:hAnsi="宋体" w:eastAsia="宋体"/>
        </w:rPr>
        <w:t>：</w:t>
      </w:r>
      <w:r>
        <w:rPr>
          <w:rFonts w:ascii="宋体" w:hAnsi="宋体" w:eastAsia="宋体"/>
        </w:rPr>
        <w:t>支持科室工作量统计、护理敏感质量指标监测结果、护理不良事件统计、输液（血）反应及处理情况登记、护理查房/疑难病例讨论登记的填写。</w:t>
      </w:r>
    </w:p>
    <w:p w14:paraId="36A27E0C">
      <w:pPr>
        <w:pStyle w:val="5"/>
        <w:rPr>
          <w:rFonts w:ascii="宋体" w:hAnsi="宋体" w:eastAsia="宋体"/>
        </w:rPr>
      </w:pPr>
      <w:r>
        <w:rPr>
          <w:rFonts w:ascii="宋体" w:hAnsi="宋体" w:eastAsia="宋体"/>
        </w:rPr>
        <w:t>护理敏感指标</w:t>
      </w:r>
    </w:p>
    <w:p w14:paraId="00A79EB5">
      <w:pPr>
        <w:ind w:firstLine="480"/>
        <w:rPr>
          <w:rFonts w:ascii="宋体" w:hAnsi="宋体" w:eastAsia="宋体"/>
        </w:rPr>
      </w:pPr>
      <w:r>
        <w:rPr>
          <w:rFonts w:hint="eastAsia" w:ascii="宋体" w:hAnsi="宋体" w:eastAsia="宋体"/>
        </w:rPr>
        <w:t>1）</w:t>
      </w:r>
      <w:r>
        <w:rPr>
          <w:rFonts w:ascii="宋体" w:hAnsi="宋体" w:eastAsia="宋体"/>
        </w:rPr>
        <w:t>支持根据实际需求预先设定敏感指标</w:t>
      </w:r>
      <w:r>
        <w:rPr>
          <w:rFonts w:hint="eastAsia" w:ascii="宋体" w:hAnsi="宋体" w:eastAsia="宋体"/>
        </w:rPr>
        <w:t>，</w:t>
      </w:r>
      <w:r>
        <w:rPr>
          <w:rFonts w:ascii="宋体" w:hAnsi="宋体" w:eastAsia="宋体"/>
        </w:rPr>
        <w:t>系统可结合相关数据进行指标结果的自动分析统计，实现系统自动跟踪的智能护理管理。</w:t>
      </w:r>
    </w:p>
    <w:p w14:paraId="21B793C0">
      <w:pPr>
        <w:ind w:firstLine="480"/>
        <w:rPr>
          <w:rFonts w:ascii="宋体" w:hAnsi="宋体" w:eastAsia="宋体"/>
        </w:rPr>
      </w:pPr>
      <w:r>
        <w:rPr>
          <w:rFonts w:hint="eastAsia" w:ascii="宋体" w:hAnsi="宋体" w:eastAsia="宋体"/>
        </w:rPr>
        <w:t>2）</w:t>
      </w:r>
      <w:r>
        <w:rPr>
          <w:rFonts w:ascii="宋体" w:hAnsi="宋体" w:eastAsia="宋体"/>
        </w:rPr>
        <w:t>敏感指标数据维护</w:t>
      </w:r>
      <w:r>
        <w:rPr>
          <w:rFonts w:hint="eastAsia" w:ascii="宋体" w:hAnsi="宋体" w:eastAsia="宋体"/>
        </w:rPr>
        <w:t>：</w:t>
      </w:r>
      <w:r>
        <w:rPr>
          <w:rFonts w:ascii="宋体" w:hAnsi="宋体" w:eastAsia="宋体"/>
        </w:rPr>
        <w:t>支持敏感指标的指标定义、指标说明和指标计算方法的维护。</w:t>
      </w:r>
    </w:p>
    <w:p w14:paraId="24711ACA">
      <w:pPr>
        <w:ind w:firstLine="480"/>
        <w:rPr>
          <w:rFonts w:ascii="宋体" w:hAnsi="宋体" w:eastAsia="宋体"/>
        </w:rPr>
      </w:pPr>
      <w:r>
        <w:rPr>
          <w:rFonts w:hint="eastAsia" w:ascii="宋体" w:hAnsi="宋体" w:eastAsia="宋体"/>
        </w:rPr>
        <w:t>3）</w:t>
      </w:r>
      <w:r>
        <w:rPr>
          <w:rFonts w:ascii="宋体" w:hAnsi="宋体" w:eastAsia="宋体"/>
        </w:rPr>
        <w:t>敏感指标填报单维护</w:t>
      </w:r>
      <w:r>
        <w:rPr>
          <w:rFonts w:hint="eastAsia" w:ascii="宋体" w:hAnsi="宋体" w:eastAsia="宋体"/>
        </w:rPr>
        <w:t>：</w:t>
      </w:r>
      <w:r>
        <w:rPr>
          <w:rFonts w:ascii="宋体" w:hAnsi="宋体" w:eastAsia="宋体"/>
        </w:rPr>
        <w:t>支持敏感指标填报表单和指标之间的绑定和填报科室的授权管理。</w:t>
      </w:r>
    </w:p>
    <w:p w14:paraId="6598965D">
      <w:pPr>
        <w:ind w:firstLine="480"/>
        <w:rPr>
          <w:rFonts w:ascii="宋体" w:hAnsi="宋体" w:eastAsia="宋体"/>
        </w:rPr>
      </w:pPr>
      <w:r>
        <w:rPr>
          <w:rFonts w:hint="eastAsia" w:ascii="宋体" w:hAnsi="宋体" w:eastAsia="宋体"/>
        </w:rPr>
        <w:t>4）</w:t>
      </w:r>
      <w:r>
        <w:rPr>
          <w:rFonts w:ascii="宋体" w:hAnsi="宋体" w:eastAsia="宋体"/>
        </w:rPr>
        <w:t>数据填报</w:t>
      </w:r>
      <w:r>
        <w:rPr>
          <w:rFonts w:hint="eastAsia" w:ascii="宋体" w:hAnsi="宋体" w:eastAsia="宋体"/>
        </w:rPr>
        <w:t>：</w:t>
      </w:r>
      <w:r>
        <w:rPr>
          <w:rFonts w:ascii="宋体" w:hAnsi="宋体" w:eastAsia="宋体"/>
        </w:rPr>
        <w:t>支持选择不同的填报表单进行数据的填报，可以按照月、季度、日进行数据的填报；填报过程中可以对比系统获取的数据，可以手动调整数据。</w:t>
      </w:r>
    </w:p>
    <w:p w14:paraId="60255B46">
      <w:pPr>
        <w:ind w:firstLine="480"/>
        <w:rPr>
          <w:rFonts w:ascii="宋体" w:hAnsi="宋体" w:eastAsia="宋体"/>
        </w:rPr>
      </w:pPr>
      <w:r>
        <w:rPr>
          <w:rFonts w:hint="eastAsia" w:ascii="宋体" w:hAnsi="宋体" w:eastAsia="宋体"/>
        </w:rPr>
        <w:t>5）</w:t>
      </w:r>
      <w:r>
        <w:rPr>
          <w:rFonts w:ascii="宋体" w:hAnsi="宋体" w:eastAsia="宋体"/>
        </w:rPr>
        <w:t>敏感指标统计结果展示</w:t>
      </w:r>
      <w:r>
        <w:rPr>
          <w:rFonts w:hint="eastAsia" w:ascii="宋体" w:hAnsi="宋体" w:eastAsia="宋体"/>
        </w:rPr>
        <w:t>：</w:t>
      </w:r>
      <w:r>
        <w:rPr>
          <w:rFonts w:ascii="宋体" w:hAnsi="宋体" w:eastAsia="宋体"/>
        </w:rPr>
        <w:t>支持通过各类统计方案查看填报的指标情况</w:t>
      </w:r>
      <w:r>
        <w:rPr>
          <w:rFonts w:hint="eastAsia" w:ascii="宋体" w:hAnsi="宋体" w:eastAsia="宋体"/>
        </w:rPr>
        <w:t>；</w:t>
      </w:r>
      <w:r>
        <w:rPr>
          <w:rFonts w:ascii="宋体" w:hAnsi="宋体" w:eastAsia="宋体"/>
        </w:rPr>
        <w:t>支持指标趋势对比分析。</w:t>
      </w:r>
    </w:p>
    <w:p w14:paraId="38B47439">
      <w:pPr>
        <w:pStyle w:val="5"/>
        <w:rPr>
          <w:rFonts w:ascii="宋体" w:hAnsi="宋体" w:eastAsia="宋体"/>
        </w:rPr>
      </w:pPr>
      <w:r>
        <w:rPr>
          <w:rFonts w:ascii="宋体" w:hAnsi="宋体" w:eastAsia="宋体"/>
        </w:rPr>
        <w:t>临床患者管理</w:t>
      </w:r>
    </w:p>
    <w:p w14:paraId="70616C57">
      <w:pPr>
        <w:ind w:firstLine="480"/>
        <w:rPr>
          <w:rFonts w:ascii="宋体" w:hAnsi="宋体" w:eastAsia="宋体"/>
        </w:rPr>
      </w:pPr>
      <w:r>
        <w:rPr>
          <w:rFonts w:ascii="宋体" w:hAnsi="宋体" w:eastAsia="宋体"/>
        </w:rPr>
        <w:t>分科室查看患者卡片信息，可以通过病区、科室、病人和状态进行患者检索</w:t>
      </w:r>
      <w:r>
        <w:rPr>
          <w:rFonts w:hint="eastAsia" w:ascii="宋体" w:hAnsi="宋体" w:eastAsia="宋体"/>
        </w:rPr>
        <w:t>；</w:t>
      </w:r>
      <w:r>
        <w:rPr>
          <w:rFonts w:ascii="宋体" w:hAnsi="宋体" w:eastAsia="宋体"/>
        </w:rPr>
        <w:t>选择患者查看患者基本信息、医嘱信息、检查信息、检验信息和手术信息。</w:t>
      </w:r>
    </w:p>
    <w:p w14:paraId="4D0FF4C1">
      <w:pPr>
        <w:pStyle w:val="5"/>
        <w:rPr>
          <w:rFonts w:ascii="宋体" w:hAnsi="宋体" w:eastAsia="宋体"/>
        </w:rPr>
      </w:pPr>
      <w:r>
        <w:rPr>
          <w:rFonts w:ascii="宋体" w:hAnsi="宋体" w:eastAsia="宋体"/>
        </w:rPr>
        <w:t>护理安全管理</w:t>
      </w:r>
    </w:p>
    <w:p w14:paraId="10E0C409">
      <w:pPr>
        <w:ind w:firstLine="480"/>
        <w:rPr>
          <w:rFonts w:ascii="宋体" w:hAnsi="宋体" w:eastAsia="宋体"/>
        </w:rPr>
      </w:pPr>
      <w:r>
        <w:rPr>
          <w:rFonts w:hint="eastAsia" w:ascii="宋体" w:hAnsi="宋体" w:eastAsia="宋体"/>
        </w:rPr>
        <w:t>1）</w:t>
      </w:r>
      <w:r>
        <w:rPr>
          <w:rFonts w:ascii="宋体" w:hAnsi="宋体" w:eastAsia="宋体"/>
        </w:rPr>
        <w:t>对患者的投诉进行登记管理，包括投诉人信息、投诉内容、投诉日期、接诉部门、理诉部门、投诉方式等信息；支持记录投诉处理结果，查看投诉处理进度及调解情况，支持将投诉处理结果导出为EXCEL文档格式；</w:t>
      </w:r>
    </w:p>
    <w:p w14:paraId="2A5A6C74">
      <w:pPr>
        <w:ind w:firstLine="480"/>
        <w:rPr>
          <w:rFonts w:ascii="宋体" w:hAnsi="宋体" w:eastAsia="宋体"/>
        </w:rPr>
      </w:pPr>
      <w:r>
        <w:rPr>
          <w:rFonts w:hint="eastAsia" w:ascii="宋体" w:hAnsi="宋体" w:eastAsia="宋体"/>
        </w:rPr>
        <w:t>2）</w:t>
      </w:r>
      <w:r>
        <w:rPr>
          <w:rFonts w:ascii="宋体" w:hAnsi="宋体" w:eastAsia="宋体"/>
        </w:rPr>
        <w:t>对投诉记录的调解处理，包含院方代表、调解时间、调解地点、院方法律人员、患方法律人员、调解结果等信息记录。</w:t>
      </w:r>
    </w:p>
    <w:p w14:paraId="0784469B">
      <w:pPr>
        <w:ind w:firstLine="480"/>
        <w:rPr>
          <w:rFonts w:ascii="宋体" w:hAnsi="宋体" w:eastAsia="宋体"/>
        </w:rPr>
      </w:pPr>
      <w:r>
        <w:rPr>
          <w:rFonts w:hint="eastAsia" w:ascii="宋体" w:hAnsi="宋体" w:eastAsia="宋体"/>
        </w:rPr>
        <w:t>3）</w:t>
      </w:r>
      <w:r>
        <w:rPr>
          <w:rFonts w:ascii="宋体" w:hAnsi="宋体" w:eastAsia="宋体"/>
        </w:rPr>
        <w:t>对调解不成功的记录进行诉讼处理，包含诉讼结果、诉讼时间等信息记录。</w:t>
      </w:r>
    </w:p>
    <w:p w14:paraId="0BB89CFD">
      <w:pPr>
        <w:ind w:firstLine="480"/>
        <w:rPr>
          <w:rFonts w:ascii="宋体" w:hAnsi="宋体" w:eastAsia="宋体"/>
        </w:rPr>
      </w:pPr>
      <w:r>
        <w:rPr>
          <w:rFonts w:hint="eastAsia" w:ascii="宋体" w:hAnsi="宋体" w:eastAsia="宋体"/>
        </w:rPr>
        <w:t>4）</w:t>
      </w:r>
      <w:r>
        <w:rPr>
          <w:rFonts w:ascii="宋体" w:hAnsi="宋体" w:eastAsia="宋体"/>
        </w:rPr>
        <w:t>对诉讼的投诉内容进行赔偿处理，包含赔偿执行时间、执行地点、院方代表、患方代表、第三方机构、患者法律人员等信息。</w:t>
      </w:r>
    </w:p>
    <w:p w14:paraId="19C4BC54">
      <w:pPr>
        <w:ind w:firstLine="480"/>
        <w:rPr>
          <w:rFonts w:ascii="宋体" w:hAnsi="宋体" w:eastAsia="宋体"/>
        </w:rPr>
      </w:pPr>
      <w:r>
        <w:rPr>
          <w:rFonts w:hint="eastAsia" w:ascii="宋体" w:hAnsi="宋体" w:eastAsia="宋体"/>
        </w:rPr>
        <w:t>5）</w:t>
      </w:r>
      <w:r>
        <w:rPr>
          <w:rFonts w:ascii="宋体" w:hAnsi="宋体" w:eastAsia="宋体"/>
        </w:rPr>
        <w:t>支持对处理结果的记录。</w:t>
      </w:r>
    </w:p>
    <w:p w14:paraId="2349C792">
      <w:pPr>
        <w:ind w:firstLine="480"/>
        <w:rPr>
          <w:rFonts w:ascii="宋体" w:hAnsi="宋体" w:eastAsia="宋体"/>
        </w:rPr>
      </w:pPr>
      <w:r>
        <w:rPr>
          <w:rFonts w:hint="eastAsia" w:ascii="宋体" w:hAnsi="宋体" w:eastAsia="宋体"/>
        </w:rPr>
        <w:t>6）</w:t>
      </w:r>
      <w:r>
        <w:rPr>
          <w:rFonts w:ascii="宋体" w:hAnsi="宋体" w:eastAsia="宋体"/>
        </w:rPr>
        <w:t>支持对投诉的伦理分析，包含伦理分析的时间、地点、方式、认定记录摘要、责任人相关信息。</w:t>
      </w:r>
    </w:p>
    <w:p w14:paraId="02BAF88D">
      <w:pPr>
        <w:pStyle w:val="5"/>
        <w:rPr>
          <w:rFonts w:ascii="宋体" w:hAnsi="宋体" w:eastAsia="宋体"/>
        </w:rPr>
      </w:pPr>
      <w:r>
        <w:rPr>
          <w:rFonts w:ascii="宋体" w:hAnsi="宋体" w:eastAsia="宋体"/>
        </w:rPr>
        <w:t>统计分析</w:t>
      </w:r>
      <w:r>
        <w:rPr>
          <w:rFonts w:hint="eastAsia" w:ascii="宋体" w:hAnsi="宋体" w:eastAsia="宋体"/>
        </w:rPr>
        <w:t>模块</w:t>
      </w:r>
    </w:p>
    <w:p w14:paraId="2C8F7C5B">
      <w:pPr>
        <w:ind w:firstLine="480"/>
        <w:rPr>
          <w:rFonts w:ascii="宋体" w:hAnsi="宋体" w:eastAsia="宋体"/>
        </w:rPr>
      </w:pPr>
      <w:r>
        <w:rPr>
          <w:rFonts w:hint="eastAsia" w:ascii="宋体" w:hAnsi="宋体" w:eastAsia="宋体"/>
        </w:rPr>
        <w:t>1）</w:t>
      </w:r>
      <w:r>
        <w:rPr>
          <w:rFonts w:ascii="宋体" w:hAnsi="宋体" w:eastAsia="宋体"/>
        </w:rPr>
        <w:t>支持各类统计指标分析，如：护士分类统计、护理排班统计、护理质控统计、护理敏感指标统计、患者信息人数统计、质控合格率统计等。</w:t>
      </w:r>
    </w:p>
    <w:p w14:paraId="019957AF">
      <w:pPr>
        <w:ind w:firstLine="480"/>
        <w:rPr>
          <w:rFonts w:ascii="宋体" w:hAnsi="宋体" w:eastAsia="宋体"/>
        </w:rPr>
      </w:pPr>
      <w:r>
        <w:rPr>
          <w:rFonts w:hint="eastAsia" w:ascii="宋体" w:hAnsi="宋体" w:eastAsia="宋体"/>
        </w:rPr>
        <w:t>2）</w:t>
      </w:r>
      <w:r>
        <w:rPr>
          <w:rFonts w:ascii="宋体" w:hAnsi="宋体" w:eastAsia="宋体"/>
        </w:rPr>
        <w:t>护士分类统计</w:t>
      </w:r>
      <w:r>
        <w:rPr>
          <w:rFonts w:hint="eastAsia" w:ascii="宋体" w:hAnsi="宋体" w:eastAsia="宋体"/>
        </w:rPr>
        <w:t>：</w:t>
      </w:r>
      <w:r>
        <w:rPr>
          <w:rFonts w:ascii="宋体" w:hAnsi="宋体" w:eastAsia="宋体"/>
        </w:rPr>
        <w:t>支持护理人员职称学历统计、各科室在职人员统计、护士男女分布统计、护士职称分布统计、护士学历分布统计、护士工作年限分布统计、护士状态分布统计、护士层级分布统计、护士注销率分析、护士离职详细表。</w:t>
      </w:r>
    </w:p>
    <w:p w14:paraId="14644D74">
      <w:pPr>
        <w:ind w:firstLine="480"/>
        <w:rPr>
          <w:rFonts w:ascii="宋体" w:hAnsi="宋体" w:eastAsia="宋体"/>
        </w:rPr>
      </w:pPr>
      <w:r>
        <w:rPr>
          <w:rFonts w:hint="eastAsia" w:ascii="宋体" w:hAnsi="宋体" w:eastAsia="宋体"/>
        </w:rPr>
        <w:t>3）</w:t>
      </w:r>
      <w:r>
        <w:rPr>
          <w:rFonts w:ascii="宋体" w:hAnsi="宋体" w:eastAsia="宋体"/>
        </w:rPr>
        <w:t>护理排班统计</w:t>
      </w:r>
      <w:r>
        <w:rPr>
          <w:rFonts w:hint="eastAsia" w:ascii="宋体" w:hAnsi="宋体" w:eastAsia="宋体"/>
        </w:rPr>
        <w:t>：</w:t>
      </w:r>
      <w:r>
        <w:rPr>
          <w:rFonts w:ascii="宋体" w:hAnsi="宋体" w:eastAsia="宋体"/>
        </w:rPr>
        <w:t>支持护理夜班费用统计、工作量分值统计。</w:t>
      </w:r>
    </w:p>
    <w:p w14:paraId="1A2A00AF">
      <w:pPr>
        <w:pStyle w:val="4"/>
        <w:rPr>
          <w:rFonts w:ascii="宋体" w:hAnsi="宋体"/>
        </w:rPr>
      </w:pPr>
      <w:r>
        <w:rPr>
          <w:rFonts w:hint="eastAsia" w:ascii="宋体" w:hAnsi="宋体"/>
        </w:rPr>
        <w:t>护理综合发布系统</w:t>
      </w:r>
    </w:p>
    <w:p w14:paraId="264DF245">
      <w:pPr>
        <w:pStyle w:val="5"/>
        <w:rPr>
          <w:rFonts w:ascii="宋体" w:hAnsi="宋体" w:eastAsia="宋体"/>
        </w:rPr>
      </w:pPr>
      <w:r>
        <w:rPr>
          <w:rFonts w:hint="eastAsia" w:ascii="宋体" w:hAnsi="宋体" w:eastAsia="宋体"/>
        </w:rPr>
        <w:t>病区概况</w:t>
      </w:r>
    </w:p>
    <w:p w14:paraId="55E0A3B6">
      <w:pPr>
        <w:ind w:firstLine="480"/>
      </w:pPr>
      <w:r>
        <w:rPr>
          <w:rFonts w:hint="eastAsia"/>
        </w:rPr>
        <w:t>展示病区概况，支持表格和图形两种方式。</w:t>
      </w:r>
    </w:p>
    <w:p w14:paraId="48A63A3D">
      <w:pPr>
        <w:ind w:firstLine="480"/>
      </w:pPr>
      <w:r>
        <w:rPr>
          <w:rFonts w:hint="eastAsia"/>
        </w:rPr>
        <w:t>通过护理管理系统中的指标维护展示科室病区、护理、特殊检查等分类的指标呈现，呈现内容包含指标名称、患者数、床号和频率，支持不同护理级别的床号颜色区分查看。</w:t>
      </w:r>
    </w:p>
    <w:p w14:paraId="5AAC49A9">
      <w:pPr>
        <w:ind w:firstLine="480"/>
      </w:pPr>
      <w:r>
        <w:rPr>
          <w:rFonts w:hint="eastAsia"/>
        </w:rPr>
        <w:t>触屏切换查看科室护理级别比例、护理动态比例、特殊检查比例、患者年龄人数分布、患者出入院人次变化趋势、床位使用率、手术台次、床护比、护患比等指标的查看。</w:t>
      </w:r>
    </w:p>
    <w:p w14:paraId="348B8AFD">
      <w:pPr>
        <w:pStyle w:val="5"/>
        <w:rPr>
          <w:rFonts w:ascii="宋体" w:hAnsi="宋体" w:eastAsia="宋体"/>
        </w:rPr>
      </w:pPr>
      <w:r>
        <w:rPr>
          <w:rFonts w:ascii="宋体" w:hAnsi="宋体" w:eastAsia="宋体"/>
        </w:rPr>
        <w:t>床位一览</w:t>
      </w:r>
    </w:p>
    <w:p w14:paraId="70FF5C57">
      <w:pPr>
        <w:ind w:firstLine="480"/>
      </w:pPr>
      <w:r>
        <w:t>支持科室床位信息一览显示。</w:t>
      </w:r>
      <w:r>
        <w:rPr>
          <w:rFonts w:hint="eastAsia"/>
        </w:rPr>
        <w:t>可</w:t>
      </w:r>
      <w:r>
        <w:t>按床位背景色代表不同的护理等级。</w:t>
      </w:r>
    </w:p>
    <w:p w14:paraId="5BCA8FC0">
      <w:pPr>
        <w:ind w:firstLine="480"/>
      </w:pPr>
      <w:r>
        <w:t>显示床位患者详情，支持按条件筛选床位（包含在床、特殊护理、一级护理、二级护理、三级护理、病危、病重、今日手术）</w:t>
      </w:r>
      <w:r>
        <w:rPr>
          <w:rFonts w:hint="eastAsia"/>
        </w:rPr>
        <w:t>，</w:t>
      </w:r>
      <w:r>
        <w:t>可以查看患者的基本信息。</w:t>
      </w:r>
    </w:p>
    <w:p w14:paraId="19B90CC9">
      <w:pPr>
        <w:pStyle w:val="5"/>
        <w:rPr>
          <w:rFonts w:ascii="宋体" w:hAnsi="宋体" w:eastAsia="宋体"/>
        </w:rPr>
      </w:pPr>
      <w:r>
        <w:rPr>
          <w:rFonts w:ascii="宋体" w:hAnsi="宋体" w:eastAsia="宋体"/>
        </w:rPr>
        <w:t>护理计划</w:t>
      </w:r>
    </w:p>
    <w:p w14:paraId="4FD5D93D">
      <w:pPr>
        <w:ind w:firstLine="480"/>
      </w:pPr>
      <w:r>
        <w:t>支持查看医嘱计划内容，支持按照医嘱项目排序显示未出院病人医嘱内容，支持按条件筛选护理内容。</w:t>
      </w:r>
    </w:p>
    <w:p w14:paraId="7F1D0FB1">
      <w:pPr>
        <w:ind w:firstLine="480"/>
      </w:pPr>
      <w:r>
        <w:t>可以通过医嘱类型、医嘱状态进行检索查看。</w:t>
      </w:r>
    </w:p>
    <w:p w14:paraId="07DD6A7E">
      <w:pPr>
        <w:pStyle w:val="5"/>
        <w:rPr>
          <w:rFonts w:ascii="宋体" w:hAnsi="宋体" w:eastAsia="宋体"/>
        </w:rPr>
      </w:pPr>
      <w:r>
        <w:rPr>
          <w:rFonts w:ascii="宋体" w:hAnsi="宋体" w:eastAsia="宋体"/>
        </w:rPr>
        <w:t>排班信息</w:t>
      </w:r>
    </w:p>
    <w:p w14:paraId="2F8F810F">
      <w:pPr>
        <w:ind w:firstLine="480"/>
      </w:pPr>
      <w:r>
        <w:t>支持按天和按周显示当前科室医生的排班信息，支持切换显示今日排班和科室排班，科室排班支持通过日历选择指定周的排班信息。</w:t>
      </w:r>
    </w:p>
    <w:p w14:paraId="64AD676E">
      <w:pPr>
        <w:ind w:firstLine="480"/>
      </w:pPr>
      <w:r>
        <w:rPr>
          <w:rFonts w:hint="eastAsia" w:ascii="宋体" w:hAnsi="宋体" w:eastAsia="宋体"/>
        </w:rPr>
        <w:t>与</w:t>
      </w:r>
      <w:r>
        <w:t>护理管理系统</w:t>
      </w:r>
      <w:r>
        <w:rPr>
          <w:rFonts w:hint="eastAsia"/>
        </w:rPr>
        <w:t>对接获取</w:t>
      </w:r>
      <w:r>
        <w:t>排班</w:t>
      </w:r>
      <w:r>
        <w:rPr>
          <w:rFonts w:hint="eastAsia"/>
        </w:rPr>
        <w:t>信息</w:t>
      </w:r>
      <w:r>
        <w:t>，显示内容包含护士的班次、联系电话和床位备注等信息。</w:t>
      </w:r>
    </w:p>
    <w:p w14:paraId="55CE06E4">
      <w:pPr>
        <w:pStyle w:val="5"/>
        <w:rPr>
          <w:rFonts w:ascii="宋体" w:hAnsi="宋体" w:eastAsia="宋体"/>
        </w:rPr>
      </w:pPr>
      <w:r>
        <w:rPr>
          <w:rFonts w:ascii="宋体" w:hAnsi="宋体" w:eastAsia="宋体"/>
        </w:rPr>
        <w:t>体征事件</w:t>
      </w:r>
    </w:p>
    <w:p w14:paraId="50E9B7B4">
      <w:pPr>
        <w:ind w:firstLine="480"/>
      </w:pPr>
      <w:r>
        <w:t>支持体征异常，如发热患者、脉搏异常患者、呼吸困难患者、高低血压患者、高低血糖患者的发生人数、上次指标和发生日期查询。</w:t>
      </w:r>
    </w:p>
    <w:p w14:paraId="765F4A03">
      <w:pPr>
        <w:ind w:firstLine="480"/>
      </w:pPr>
      <w:r>
        <w:t>支持压力性损伤等异常评估信息的风险预警和风险变化趋势查询展示。</w:t>
      </w:r>
    </w:p>
    <w:p w14:paraId="73BFF790">
      <w:pPr>
        <w:pStyle w:val="5"/>
        <w:rPr>
          <w:rFonts w:ascii="宋体" w:hAnsi="宋体" w:eastAsia="宋体"/>
        </w:rPr>
      </w:pPr>
      <w:r>
        <w:rPr>
          <w:rFonts w:ascii="宋体" w:hAnsi="宋体" w:eastAsia="宋体"/>
        </w:rPr>
        <w:t>手术监控</w:t>
      </w:r>
    </w:p>
    <w:p w14:paraId="460AEE07">
      <w:pPr>
        <w:ind w:firstLine="480"/>
      </w:pPr>
      <w:r>
        <w:t>支持显示当前科室的手术患者信息，支持通过切换按钮选择显示“择期手术”、“历史手术”。</w:t>
      </w:r>
    </w:p>
    <w:p w14:paraId="76E907DE">
      <w:pPr>
        <w:ind w:firstLine="480"/>
      </w:pPr>
      <w:r>
        <w:t>手术内容包含患者床号、住院号、患者姓名、性别、诊断、手术名称、主刀医生、手术时间、送入术室时间、手术结束时间、回到病房时间等数据的展示。</w:t>
      </w:r>
    </w:p>
    <w:p w14:paraId="18BB16DB">
      <w:pPr>
        <w:pStyle w:val="5"/>
        <w:rPr>
          <w:rFonts w:ascii="宋体" w:hAnsi="宋体" w:eastAsia="宋体"/>
        </w:rPr>
      </w:pPr>
      <w:r>
        <w:rPr>
          <w:rFonts w:ascii="宋体" w:hAnsi="宋体" w:eastAsia="宋体"/>
        </w:rPr>
        <w:t>交班日志</w:t>
      </w:r>
    </w:p>
    <w:p w14:paraId="3D0252CE">
      <w:pPr>
        <w:ind w:firstLine="480"/>
      </w:pPr>
      <w:r>
        <w:t>支持从提取HIS提取交接班日志记录信息，展示包括病房数据、交班重点、交班人及时间等信息。</w:t>
      </w:r>
    </w:p>
    <w:p w14:paraId="65B7D56F">
      <w:pPr>
        <w:pStyle w:val="5"/>
        <w:rPr>
          <w:rFonts w:ascii="宋体" w:hAnsi="宋体" w:eastAsia="宋体"/>
        </w:rPr>
      </w:pPr>
      <w:r>
        <w:rPr>
          <w:rFonts w:ascii="宋体" w:hAnsi="宋体" w:eastAsia="宋体"/>
        </w:rPr>
        <w:t>通讯录</w:t>
      </w:r>
    </w:p>
    <w:p w14:paraId="1834F929">
      <w:pPr>
        <w:ind w:firstLine="480"/>
      </w:pPr>
      <w:r>
        <w:t>支持展示全院各科室联系人信息，包括科室、职位、姓名、电话等；支持通过姓名拼音简码查询联系人信息。</w:t>
      </w:r>
    </w:p>
    <w:p w14:paraId="2F3C81C7">
      <w:pPr>
        <w:pStyle w:val="5"/>
        <w:rPr>
          <w:rFonts w:ascii="宋体" w:hAnsi="宋体" w:eastAsia="宋体"/>
        </w:rPr>
      </w:pPr>
      <w:r>
        <w:rPr>
          <w:rFonts w:ascii="宋体" w:hAnsi="宋体" w:eastAsia="宋体"/>
        </w:rPr>
        <w:t>多媒体</w:t>
      </w:r>
    </w:p>
    <w:p w14:paraId="49817BA5">
      <w:pPr>
        <w:ind w:firstLine="480"/>
      </w:pPr>
      <w:r>
        <w:t>支持mp4格式文件的多媒体展示，支持全屏、循环播放。</w:t>
      </w:r>
    </w:p>
    <w:p w14:paraId="4485308C">
      <w:pPr>
        <w:pStyle w:val="3"/>
      </w:pPr>
      <w:r>
        <w:rPr>
          <w:rFonts w:hint="eastAsia"/>
        </w:rPr>
        <w:t>(LIS)系统升级扩建</w:t>
      </w:r>
    </w:p>
    <w:p w14:paraId="4BC42D58">
      <w:pPr>
        <w:pStyle w:val="4"/>
      </w:pPr>
      <w:r>
        <w:rPr>
          <w:rFonts w:hint="eastAsia"/>
        </w:rPr>
        <w:t>LIS系统升级</w:t>
      </w:r>
    </w:p>
    <w:p w14:paraId="76A0ACE4">
      <w:pPr>
        <w:ind w:firstLine="480"/>
        <w:rPr>
          <w:rFonts w:ascii="宋体" w:hAnsi="宋体" w:eastAsia="宋体"/>
        </w:rPr>
      </w:pPr>
      <w:r>
        <w:rPr>
          <w:rFonts w:hint="eastAsia" w:ascii="宋体" w:hAnsi="宋体" w:eastAsia="宋体"/>
        </w:rPr>
        <w:t>系统升级时须充分利用现有的检验基础数据、检验条码规则等，调研检验科室的业务流程和管理需求，平稳过度，不得影响检验科业务的正常开展。</w:t>
      </w:r>
    </w:p>
    <w:p w14:paraId="25A01132">
      <w:pPr>
        <w:ind w:firstLine="480"/>
        <w:rPr>
          <w:rFonts w:ascii="宋体" w:hAnsi="宋体" w:eastAsia="宋体"/>
        </w:rPr>
      </w:pPr>
      <w:r>
        <w:rPr>
          <w:rFonts w:hint="eastAsia" w:ascii="宋体" w:hAnsi="宋体" w:eastAsia="宋体"/>
        </w:rPr>
        <w:t>系统升级扩建须遵循电子病历五级评审对检验系统的功能要求，同时满足评价标准中其他系统与检验系统互联互通需求、满足业务流程中的调用查阅需求、满足三级甲等医院创建中达标需求；能根据医院合理的流程及管理要求进行二次开发。至少包含标本采集模块、检验工作站模块、微生物工作站、费用管理、基础数据关了、查询与统计、检验结果共享模块、临床报告打印模块等。</w:t>
      </w:r>
    </w:p>
    <w:tbl>
      <w:tblPr>
        <w:tblStyle w:val="2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116"/>
        <w:gridCol w:w="5244"/>
      </w:tblGrid>
      <w:tr w14:paraId="07EC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40" w:type="dxa"/>
            <w:shd w:val="clear" w:color="auto" w:fill="auto"/>
            <w:vAlign w:val="center"/>
          </w:tcPr>
          <w:p w14:paraId="71380CF2">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类别</w:t>
            </w:r>
          </w:p>
        </w:tc>
        <w:tc>
          <w:tcPr>
            <w:tcW w:w="2116" w:type="dxa"/>
            <w:shd w:val="clear" w:color="auto" w:fill="auto"/>
            <w:vAlign w:val="center"/>
          </w:tcPr>
          <w:p w14:paraId="240EB881">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电子病历五级要求</w:t>
            </w:r>
          </w:p>
        </w:tc>
        <w:tc>
          <w:tcPr>
            <w:tcW w:w="5244" w:type="dxa"/>
            <w:shd w:val="clear" w:color="auto" w:fill="auto"/>
            <w:vAlign w:val="center"/>
          </w:tcPr>
          <w:p w14:paraId="54F00BFE">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升级改造重点内容</w:t>
            </w:r>
          </w:p>
        </w:tc>
      </w:tr>
      <w:tr w14:paraId="48DB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40" w:type="dxa"/>
            <w:vMerge w:val="restart"/>
            <w:shd w:val="clear" w:color="auto" w:fill="auto"/>
            <w:vAlign w:val="center"/>
          </w:tcPr>
          <w:p w14:paraId="173CA510">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病房检验申请</w:t>
            </w:r>
          </w:p>
        </w:tc>
        <w:tc>
          <w:tcPr>
            <w:tcW w:w="2116" w:type="dxa"/>
            <w:shd w:val="clear" w:color="auto" w:fill="auto"/>
            <w:vAlign w:val="center"/>
          </w:tcPr>
          <w:p w14:paraId="24CA8842">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（1）检验申请数据有全院统一管理机制</w:t>
            </w:r>
          </w:p>
        </w:tc>
        <w:tc>
          <w:tcPr>
            <w:tcW w:w="5244" w:type="dxa"/>
            <w:shd w:val="clear" w:color="auto" w:fill="auto"/>
            <w:vAlign w:val="center"/>
          </w:tcPr>
          <w:p w14:paraId="216B3B4A">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（1）全院使用统一的检验申请医嘱字典，病房医生开立检验申请医嘱后检验科接收标本，审核发布报告，病房医生和护士可以在系统中查看到各类检验报告内容，检验报告能和检验申请相互对应。</w:t>
            </w:r>
          </w:p>
        </w:tc>
      </w:tr>
      <w:tr w14:paraId="43D2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40" w:type="dxa"/>
            <w:vMerge w:val="continue"/>
            <w:vAlign w:val="center"/>
          </w:tcPr>
          <w:p w14:paraId="68DB895E">
            <w:pPr>
              <w:widowControl/>
              <w:spacing w:line="240" w:lineRule="auto"/>
              <w:jc w:val="left"/>
              <w:rPr>
                <w:rFonts w:ascii="宋体" w:hAnsi="宋体" w:eastAsia="宋体" w:cs="宋体"/>
                <w:kern w:val="0"/>
                <w:sz w:val="21"/>
                <w:szCs w:val="21"/>
              </w:rPr>
            </w:pPr>
          </w:p>
        </w:tc>
        <w:tc>
          <w:tcPr>
            <w:tcW w:w="2116" w:type="dxa"/>
            <w:shd w:val="clear" w:color="auto" w:fill="auto"/>
            <w:vAlign w:val="center"/>
          </w:tcPr>
          <w:p w14:paraId="0965B709">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（2）有全院统一的检验标本字典并在申请中使用</w:t>
            </w:r>
          </w:p>
        </w:tc>
        <w:tc>
          <w:tcPr>
            <w:tcW w:w="5244" w:type="dxa"/>
            <w:shd w:val="clear" w:color="auto" w:fill="auto"/>
            <w:vAlign w:val="center"/>
          </w:tcPr>
          <w:p w14:paraId="10022549">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（1）全院的检验标本字典，由检验科室统一维护，病房医生在开立检验申请时，会自动显示检验项目绑定的标本名称，多个标本的检验项目，医生可以根据实际情况选择标本类型。</w:t>
            </w:r>
          </w:p>
        </w:tc>
      </w:tr>
      <w:tr w14:paraId="286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vMerge w:val="continue"/>
            <w:vAlign w:val="center"/>
          </w:tcPr>
          <w:p w14:paraId="79B9D17F">
            <w:pPr>
              <w:widowControl/>
              <w:spacing w:line="240" w:lineRule="auto"/>
              <w:jc w:val="left"/>
              <w:rPr>
                <w:rFonts w:ascii="宋体" w:hAnsi="宋体" w:eastAsia="宋体" w:cs="宋体"/>
                <w:kern w:val="0"/>
                <w:sz w:val="21"/>
                <w:szCs w:val="21"/>
              </w:rPr>
            </w:pPr>
          </w:p>
        </w:tc>
        <w:tc>
          <w:tcPr>
            <w:tcW w:w="2116" w:type="dxa"/>
            <w:shd w:val="clear" w:color="auto" w:fill="auto"/>
            <w:vAlign w:val="center"/>
          </w:tcPr>
          <w:p w14:paraId="3097A6E5">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（3）开写检验申请时，可以浏览病人重要病历信息；</w:t>
            </w:r>
          </w:p>
        </w:tc>
        <w:tc>
          <w:tcPr>
            <w:tcW w:w="5244" w:type="dxa"/>
            <w:shd w:val="clear" w:color="auto" w:fill="auto"/>
            <w:vAlign w:val="center"/>
          </w:tcPr>
          <w:p w14:paraId="2C0161E7">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（1）病房医生开检验申请时，可以浏览患者的重要病历信息（本次及历次就诊的病历、检验报告、检查报告、护理记录、生命体征等）</w:t>
            </w:r>
          </w:p>
        </w:tc>
      </w:tr>
      <w:tr w14:paraId="62CA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40" w:type="dxa"/>
            <w:vMerge w:val="restart"/>
            <w:shd w:val="clear" w:color="auto" w:fill="auto"/>
            <w:vAlign w:val="center"/>
          </w:tcPr>
          <w:p w14:paraId="4ED911EA">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病房检验报告</w:t>
            </w:r>
          </w:p>
        </w:tc>
        <w:tc>
          <w:tcPr>
            <w:tcW w:w="2116" w:type="dxa"/>
            <w:shd w:val="clear" w:color="auto" w:fill="auto"/>
            <w:vAlign w:val="center"/>
          </w:tcPr>
          <w:p w14:paraId="6272EBA9">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（1）检验报告来自全院统一医疗数据管理体系</w:t>
            </w:r>
          </w:p>
        </w:tc>
        <w:tc>
          <w:tcPr>
            <w:tcW w:w="5244" w:type="dxa"/>
            <w:shd w:val="clear" w:color="auto" w:fill="auto"/>
            <w:vAlign w:val="center"/>
          </w:tcPr>
          <w:p w14:paraId="12644593">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（1）病房医生在检验结果界面能查看各类检验的报告（如临检、生化、免疫、微生物）、能看门诊就诊的检验报告。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（2）不同角色都能查看检验报告，且看到的内容相同。检验报告能和检验申请相互对应。</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（3）病历能引用检验结果。</w:t>
            </w:r>
          </w:p>
        </w:tc>
      </w:tr>
      <w:tr w14:paraId="0B25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1140" w:type="dxa"/>
            <w:vMerge w:val="continue"/>
            <w:vAlign w:val="center"/>
          </w:tcPr>
          <w:p w14:paraId="3C15B228">
            <w:pPr>
              <w:widowControl/>
              <w:spacing w:line="240" w:lineRule="auto"/>
              <w:jc w:val="left"/>
              <w:rPr>
                <w:rFonts w:ascii="宋体" w:hAnsi="宋体" w:eastAsia="宋体" w:cs="宋体"/>
                <w:kern w:val="0"/>
                <w:sz w:val="21"/>
                <w:szCs w:val="21"/>
              </w:rPr>
            </w:pPr>
          </w:p>
        </w:tc>
        <w:tc>
          <w:tcPr>
            <w:tcW w:w="2116" w:type="dxa"/>
            <w:shd w:val="clear" w:color="auto" w:fill="auto"/>
            <w:vAlign w:val="center"/>
          </w:tcPr>
          <w:p w14:paraId="1398401A">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（2）查阅报告时，对于多正常参考值的项目能够根据检验结果和诊断、性别、生理周期等自动给出正常结果的判断与提示</w:t>
            </w:r>
          </w:p>
        </w:tc>
        <w:tc>
          <w:tcPr>
            <w:tcW w:w="5244" w:type="dxa"/>
            <w:shd w:val="clear" w:color="auto" w:fill="auto"/>
            <w:vAlign w:val="center"/>
          </w:tcPr>
          <w:p w14:paraId="404D2B88">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（1）诊断：检验系统按照“诊断ICD编码”维护化验项目的正常参考值范围，检验报告发布时、病房医生查阅报告时按照患者临床诊断自动显示符合的正常参考值范围及异常值提示。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（2）性别\年龄：检验系统按照“性别字典”、“年龄段”维护化验项目的正常参考值范围，检验报告发布时、病房医生查阅报告时按照患者性别自动显示符合的正常参考值值范围。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生理周期：检验系统按照“生理周期”维护化验项目的正常参考值范围，病房医师开检验申请前选择患者采集标本时的生理周期，检验报告发布时、病房医生查阅报告时按照病房医师选择的“生理周期”自动显示符合的正常参考值范围。</w:t>
            </w:r>
          </w:p>
        </w:tc>
      </w:tr>
      <w:tr w14:paraId="1EB1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vMerge w:val="continue"/>
            <w:vAlign w:val="center"/>
          </w:tcPr>
          <w:p w14:paraId="293EEF27">
            <w:pPr>
              <w:widowControl/>
              <w:spacing w:line="240" w:lineRule="auto"/>
              <w:jc w:val="left"/>
              <w:rPr>
                <w:rFonts w:ascii="宋体" w:hAnsi="宋体" w:eastAsia="宋体" w:cs="宋体"/>
                <w:kern w:val="0"/>
                <w:sz w:val="21"/>
                <w:szCs w:val="21"/>
              </w:rPr>
            </w:pPr>
          </w:p>
        </w:tc>
        <w:tc>
          <w:tcPr>
            <w:tcW w:w="2116" w:type="dxa"/>
            <w:shd w:val="clear" w:color="auto" w:fill="auto"/>
            <w:vAlign w:val="center"/>
          </w:tcPr>
          <w:p w14:paraId="5AA4DF8E">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（3）可根据历史检验结果绘制趋势图</w:t>
            </w:r>
          </w:p>
        </w:tc>
        <w:tc>
          <w:tcPr>
            <w:tcW w:w="5244" w:type="dxa"/>
            <w:shd w:val="clear" w:color="auto" w:fill="auto"/>
            <w:vAlign w:val="center"/>
          </w:tcPr>
          <w:p w14:paraId="41443912">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（1）病房医生查看患者检验结果时，可以看到按历史检验结果的时间节点绘制出的结果趋势图，查看患者检验指标的变化。</w:t>
            </w:r>
          </w:p>
        </w:tc>
      </w:tr>
      <w:tr w14:paraId="034F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40" w:type="dxa"/>
            <w:vMerge w:val="continue"/>
            <w:vAlign w:val="center"/>
          </w:tcPr>
          <w:p w14:paraId="6C871170">
            <w:pPr>
              <w:widowControl/>
              <w:spacing w:line="240" w:lineRule="auto"/>
              <w:jc w:val="left"/>
              <w:rPr>
                <w:rFonts w:ascii="宋体" w:hAnsi="宋体" w:eastAsia="宋体" w:cs="宋体"/>
                <w:kern w:val="0"/>
                <w:sz w:val="21"/>
                <w:szCs w:val="21"/>
              </w:rPr>
            </w:pPr>
          </w:p>
        </w:tc>
        <w:tc>
          <w:tcPr>
            <w:tcW w:w="2116" w:type="dxa"/>
            <w:shd w:val="clear" w:color="auto" w:fill="auto"/>
            <w:vAlign w:val="center"/>
          </w:tcPr>
          <w:p w14:paraId="30D75A8E">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（4）对于危急检验结果，医师、护士能够在系统中看到</w:t>
            </w:r>
          </w:p>
        </w:tc>
        <w:tc>
          <w:tcPr>
            <w:tcW w:w="5244" w:type="dxa"/>
            <w:shd w:val="clear" w:color="auto" w:fill="auto"/>
            <w:vAlign w:val="center"/>
          </w:tcPr>
          <w:p w14:paraId="5353B423">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（1）检验科发布危急值报告时通过系统发送消息给相应病区的医生与护士，病房医生站和护士站会立即自动弹出危急值紧急消息提醒框。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（2）护士接到危急值消息后及时通知医生，在系统中记录通知情况。医生通过危急值消息处理界面查看检验危急值报告的详细内容，处理后在系统中填写处理情况。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（3）检验科可以在检验系统中接收到临床处理危急值的信息。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（4）检验科，医务部，病房医生、护士可以在系统中查询历史的危急值记录及处理情况。</w:t>
            </w:r>
          </w:p>
        </w:tc>
      </w:tr>
      <w:tr w14:paraId="43EE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40" w:type="dxa"/>
            <w:vMerge w:val="continue"/>
            <w:vAlign w:val="center"/>
          </w:tcPr>
          <w:p w14:paraId="768D8694">
            <w:pPr>
              <w:widowControl/>
              <w:spacing w:line="240" w:lineRule="auto"/>
              <w:jc w:val="left"/>
              <w:rPr>
                <w:rFonts w:ascii="宋体" w:hAnsi="宋体" w:eastAsia="宋体" w:cs="宋体"/>
                <w:kern w:val="0"/>
                <w:sz w:val="21"/>
                <w:szCs w:val="21"/>
              </w:rPr>
            </w:pPr>
          </w:p>
        </w:tc>
        <w:tc>
          <w:tcPr>
            <w:tcW w:w="2116" w:type="dxa"/>
            <w:shd w:val="clear" w:color="auto" w:fill="auto"/>
            <w:vAlign w:val="center"/>
          </w:tcPr>
          <w:p w14:paraId="6176FE94">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（5）浏览检验报告时，可以浏览病人重要病历信息</w:t>
            </w:r>
          </w:p>
        </w:tc>
        <w:tc>
          <w:tcPr>
            <w:tcW w:w="5244" w:type="dxa"/>
            <w:shd w:val="clear" w:color="auto" w:fill="auto"/>
            <w:vAlign w:val="center"/>
          </w:tcPr>
          <w:p w14:paraId="1CBD0D6E">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（1）病房医生浏览检验报告时可以通过病历浏览或全息视图查看患者的重要病历信息（包括：医嘱、本次及历次就诊的病历、过敏记录、检查报告、护理记录、生命体征等）</w:t>
            </w:r>
          </w:p>
        </w:tc>
      </w:tr>
    </w:tbl>
    <w:p w14:paraId="3829BACB"/>
    <w:tbl>
      <w:tblPr>
        <w:tblStyle w:val="2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2167"/>
        <w:gridCol w:w="5103"/>
      </w:tblGrid>
      <w:tr w14:paraId="177F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230" w:type="dxa"/>
            <w:vMerge w:val="restart"/>
            <w:shd w:val="clear" w:color="auto" w:fill="auto"/>
            <w:vAlign w:val="center"/>
          </w:tcPr>
          <w:p w14:paraId="6331827E">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标本处理</w:t>
            </w:r>
          </w:p>
        </w:tc>
        <w:tc>
          <w:tcPr>
            <w:tcW w:w="2167" w:type="dxa"/>
            <w:shd w:val="clear" w:color="auto" w:fill="auto"/>
            <w:vAlign w:val="center"/>
          </w:tcPr>
          <w:p w14:paraId="127D1720">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（1）标本字典、标本采集记录等数据在医院统一管理</w:t>
            </w:r>
          </w:p>
        </w:tc>
        <w:tc>
          <w:tcPr>
            <w:tcW w:w="5103" w:type="dxa"/>
            <w:shd w:val="clear" w:color="auto" w:fill="auto"/>
            <w:vAlign w:val="center"/>
          </w:tcPr>
          <w:p w14:paraId="0CB4E90D">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（1）检验科统一维护检验项目标本信息，医生开检验申请时自动显示检验系统维护的标本信息。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（2）护士执行检验项目时可查看及核对标本名称，操作标本采集。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（3）临床医护、检验科室均能追踪标本的信息。</w:t>
            </w:r>
          </w:p>
        </w:tc>
      </w:tr>
      <w:tr w14:paraId="7957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30" w:type="dxa"/>
            <w:vMerge w:val="continue"/>
            <w:vAlign w:val="center"/>
          </w:tcPr>
          <w:p w14:paraId="122AC187">
            <w:pPr>
              <w:widowControl/>
              <w:spacing w:line="240" w:lineRule="auto"/>
              <w:jc w:val="left"/>
              <w:rPr>
                <w:rFonts w:ascii="宋体" w:hAnsi="宋体" w:eastAsia="宋体" w:cs="宋体"/>
                <w:kern w:val="0"/>
                <w:sz w:val="21"/>
                <w:szCs w:val="21"/>
              </w:rPr>
            </w:pPr>
          </w:p>
        </w:tc>
        <w:tc>
          <w:tcPr>
            <w:tcW w:w="2167" w:type="dxa"/>
            <w:shd w:val="clear" w:color="auto" w:fill="auto"/>
            <w:vAlign w:val="center"/>
          </w:tcPr>
          <w:p w14:paraId="1213B1E3">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（2）标本采集可根据检验知识库进行标本类型、病人关联、采集要求等的核对，防止标本差错</w:t>
            </w:r>
          </w:p>
        </w:tc>
        <w:tc>
          <w:tcPr>
            <w:tcW w:w="5103" w:type="dxa"/>
            <w:shd w:val="clear" w:color="auto" w:fill="auto"/>
            <w:vAlign w:val="center"/>
          </w:tcPr>
          <w:p w14:paraId="5D81F56D">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（1）护士扫描病人腕带与检验条码进行核对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（2）采集时PDA界面能够提示标本信息及采集要求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（3）基于临床知识库</w:t>
            </w:r>
          </w:p>
        </w:tc>
      </w:tr>
      <w:tr w14:paraId="796F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30" w:type="dxa"/>
            <w:vMerge w:val="continue"/>
            <w:vAlign w:val="center"/>
          </w:tcPr>
          <w:p w14:paraId="63C564DE">
            <w:pPr>
              <w:widowControl/>
              <w:spacing w:line="240" w:lineRule="auto"/>
              <w:jc w:val="left"/>
              <w:rPr>
                <w:rFonts w:ascii="宋体" w:hAnsi="宋体" w:eastAsia="宋体" w:cs="宋体"/>
                <w:kern w:val="0"/>
                <w:sz w:val="21"/>
                <w:szCs w:val="21"/>
              </w:rPr>
            </w:pPr>
          </w:p>
        </w:tc>
        <w:tc>
          <w:tcPr>
            <w:tcW w:w="2167" w:type="dxa"/>
            <w:shd w:val="clear" w:color="auto" w:fill="auto"/>
            <w:vAlign w:val="center"/>
          </w:tcPr>
          <w:p w14:paraId="64511535">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（3）对接收到的不合格标本有记录</w:t>
            </w:r>
          </w:p>
        </w:tc>
        <w:tc>
          <w:tcPr>
            <w:tcW w:w="5103" w:type="dxa"/>
            <w:shd w:val="clear" w:color="auto" w:fill="auto"/>
            <w:vAlign w:val="center"/>
          </w:tcPr>
          <w:p w14:paraId="16B9EAB9">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（1）检验科室对不合格标本有拒收功能，拒收后能够查询出拒收标本信息，能够发送拒收消息提醒护士重新采集标本，护士可以处理拒收消息，能够查询拒收标本信息。</w:t>
            </w:r>
          </w:p>
        </w:tc>
      </w:tr>
      <w:tr w14:paraId="269E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230" w:type="dxa"/>
            <w:vMerge w:val="restart"/>
            <w:shd w:val="clear" w:color="auto" w:fill="auto"/>
            <w:noWrap/>
            <w:vAlign w:val="center"/>
          </w:tcPr>
          <w:p w14:paraId="47853079">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检验结果记录</w:t>
            </w:r>
          </w:p>
        </w:tc>
        <w:tc>
          <w:tcPr>
            <w:tcW w:w="2167" w:type="dxa"/>
            <w:shd w:val="clear" w:color="auto" w:fill="auto"/>
            <w:vAlign w:val="center"/>
          </w:tcPr>
          <w:p w14:paraId="4EB4978C">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（1）检验结果作为医院整体医疗数据管理体系内容</w:t>
            </w:r>
          </w:p>
        </w:tc>
        <w:tc>
          <w:tcPr>
            <w:tcW w:w="5103" w:type="dxa"/>
            <w:shd w:val="clear" w:color="auto" w:fill="auto"/>
            <w:vAlign w:val="center"/>
          </w:tcPr>
          <w:p w14:paraId="3164472B">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（1）医生在检验结果界面能查看各类检验的结果（如：临检、生化、免疫、微生物），能看历史就诊的检验结果。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（2）不同角色都能查看检验结果，且看到的内容相同。检验结果能和检验申请项目对应。</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（3）病历能引用各类检验结果。</w:t>
            </w:r>
          </w:p>
        </w:tc>
      </w:tr>
      <w:tr w14:paraId="5D9E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230" w:type="dxa"/>
            <w:vMerge w:val="continue"/>
            <w:vAlign w:val="center"/>
          </w:tcPr>
          <w:p w14:paraId="7DBF6FF8">
            <w:pPr>
              <w:widowControl/>
              <w:spacing w:line="240" w:lineRule="auto"/>
              <w:jc w:val="left"/>
              <w:rPr>
                <w:rFonts w:ascii="宋体" w:hAnsi="宋体" w:eastAsia="宋体" w:cs="宋体"/>
                <w:kern w:val="0"/>
                <w:sz w:val="21"/>
                <w:szCs w:val="21"/>
              </w:rPr>
            </w:pPr>
          </w:p>
        </w:tc>
        <w:tc>
          <w:tcPr>
            <w:tcW w:w="2167" w:type="dxa"/>
            <w:shd w:val="clear" w:color="auto" w:fill="auto"/>
            <w:vAlign w:val="center"/>
          </w:tcPr>
          <w:p w14:paraId="45CD0820">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（2）检验结果可按项目进行结构化数据记录</w:t>
            </w:r>
          </w:p>
        </w:tc>
        <w:tc>
          <w:tcPr>
            <w:tcW w:w="5103" w:type="dxa"/>
            <w:shd w:val="clear" w:color="auto" w:fill="auto"/>
            <w:vAlign w:val="center"/>
          </w:tcPr>
          <w:p w14:paraId="47DA2D3E">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（1）检验系统采用结构化的结果录入界面，定性和定量的结果全部按结构化数据格式进行存储与应用，定量结果有数值和标准单位，定性结果通过字典选择录入。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（2）临床医生可通过HIS系统查看患者结构化的检验结果。</w:t>
            </w:r>
          </w:p>
        </w:tc>
      </w:tr>
      <w:tr w14:paraId="45D8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30" w:type="dxa"/>
            <w:vMerge w:val="continue"/>
            <w:vAlign w:val="center"/>
          </w:tcPr>
          <w:p w14:paraId="704078E4">
            <w:pPr>
              <w:widowControl/>
              <w:spacing w:line="240" w:lineRule="auto"/>
              <w:jc w:val="left"/>
              <w:rPr>
                <w:rFonts w:ascii="宋体" w:hAnsi="宋体" w:eastAsia="宋体" w:cs="宋体"/>
                <w:kern w:val="0"/>
                <w:sz w:val="21"/>
                <w:szCs w:val="21"/>
              </w:rPr>
            </w:pPr>
          </w:p>
        </w:tc>
        <w:tc>
          <w:tcPr>
            <w:tcW w:w="2167" w:type="dxa"/>
            <w:shd w:val="clear" w:color="auto" w:fill="auto"/>
            <w:vAlign w:val="center"/>
          </w:tcPr>
          <w:p w14:paraId="21982A7B">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（3）有实验室内质控记录</w:t>
            </w:r>
          </w:p>
        </w:tc>
        <w:tc>
          <w:tcPr>
            <w:tcW w:w="5103" w:type="dxa"/>
            <w:shd w:val="clear" w:color="auto" w:fill="auto"/>
            <w:vAlign w:val="center"/>
          </w:tcPr>
          <w:p w14:paraId="2650E6E1">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（1）检验系统质控功能，质控规则由检验科室维护，系统自动对检验结果进行质控，并生成相应的质控图、质控报表，以便检验人员对检验结果的质量进行控制。</w:t>
            </w:r>
          </w:p>
        </w:tc>
      </w:tr>
      <w:tr w14:paraId="5F9C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230" w:type="dxa"/>
            <w:vMerge w:val="restart"/>
            <w:shd w:val="clear" w:color="auto" w:fill="auto"/>
            <w:vAlign w:val="center"/>
          </w:tcPr>
          <w:p w14:paraId="6D608ABF">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报告生成</w:t>
            </w:r>
          </w:p>
        </w:tc>
        <w:tc>
          <w:tcPr>
            <w:tcW w:w="2167" w:type="dxa"/>
            <w:shd w:val="clear" w:color="auto" w:fill="auto"/>
            <w:vAlign w:val="center"/>
          </w:tcPr>
          <w:p w14:paraId="0541AC7B">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（1）检验报告纳入全院统一数据管理体系</w:t>
            </w:r>
          </w:p>
        </w:tc>
        <w:tc>
          <w:tcPr>
            <w:tcW w:w="5103" w:type="dxa"/>
            <w:shd w:val="clear" w:color="auto" w:fill="auto"/>
            <w:vAlign w:val="center"/>
          </w:tcPr>
          <w:p w14:paraId="5A78ED4F">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（1）医生在检验结果界面能查看各类检验的报告（如：临检、生化、免疫、微生物），能看历史就诊的检验报告。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（2）不同角色都能查看检验报告，且看到的内容相同。检验报告能和检验申请项目对应。</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（3）病历能引用检验结果。</w:t>
            </w:r>
          </w:p>
        </w:tc>
      </w:tr>
      <w:tr w14:paraId="3620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0" w:type="dxa"/>
            <w:vMerge w:val="continue"/>
            <w:vAlign w:val="center"/>
          </w:tcPr>
          <w:p w14:paraId="75DA79F2">
            <w:pPr>
              <w:widowControl/>
              <w:spacing w:line="240" w:lineRule="auto"/>
              <w:jc w:val="left"/>
              <w:rPr>
                <w:rFonts w:ascii="宋体" w:hAnsi="宋体" w:eastAsia="宋体" w:cs="宋体"/>
                <w:kern w:val="0"/>
                <w:sz w:val="21"/>
                <w:szCs w:val="21"/>
              </w:rPr>
            </w:pPr>
          </w:p>
        </w:tc>
        <w:tc>
          <w:tcPr>
            <w:tcW w:w="2167" w:type="dxa"/>
            <w:shd w:val="clear" w:color="auto" w:fill="auto"/>
            <w:vAlign w:val="center"/>
          </w:tcPr>
          <w:p w14:paraId="49BF62F8">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（2）报告审核时能自动显示病人同项目的历史检验结果作为参考</w:t>
            </w:r>
          </w:p>
        </w:tc>
        <w:tc>
          <w:tcPr>
            <w:tcW w:w="5103" w:type="dxa"/>
            <w:shd w:val="clear" w:color="auto" w:fill="auto"/>
            <w:vAlign w:val="center"/>
          </w:tcPr>
          <w:p w14:paraId="05D9305B">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（1）检验科发布报告时能看到患者历史检验结果作为参考</w:t>
            </w:r>
          </w:p>
        </w:tc>
      </w:tr>
    </w:tbl>
    <w:p w14:paraId="5D29F5A3"/>
    <w:p w14:paraId="2FC1F079">
      <w:pPr>
        <w:pStyle w:val="5"/>
        <w:rPr>
          <w:rFonts w:ascii="宋体" w:hAnsi="宋体" w:eastAsia="宋体"/>
        </w:rPr>
      </w:pPr>
      <w:r>
        <w:rPr>
          <w:rFonts w:hint="eastAsia" w:ascii="宋体" w:hAnsi="宋体" w:eastAsia="宋体"/>
        </w:rPr>
        <w:t>标本采集工作站模块</w:t>
      </w:r>
    </w:p>
    <w:p w14:paraId="78257B22">
      <w:pPr>
        <w:rPr>
          <w:rFonts w:ascii="宋体" w:hAnsi="宋体" w:eastAsia="宋体"/>
        </w:rPr>
      </w:pPr>
      <w:r>
        <w:rPr>
          <w:rFonts w:hint="eastAsia" w:ascii="宋体" w:hAnsi="宋体" w:eastAsia="宋体"/>
        </w:rPr>
        <w:t>（1）住院标本采集工作站</w:t>
      </w:r>
    </w:p>
    <w:p w14:paraId="0965EE38">
      <w:pPr>
        <w:ind w:firstLine="480"/>
        <w:rPr>
          <w:rFonts w:ascii="宋体" w:hAnsi="宋体" w:eastAsia="宋体"/>
        </w:rPr>
      </w:pPr>
      <w:r>
        <w:rPr>
          <w:rFonts w:hint="eastAsia" w:ascii="宋体" w:hAnsi="宋体" w:eastAsia="宋体"/>
        </w:rPr>
        <w:t>1）要求通过HIS接口获取检验申请单，检验条形码生成、打印、采集确认，检验标本打包、流转；</w:t>
      </w:r>
    </w:p>
    <w:p w14:paraId="19A8D498">
      <w:pPr>
        <w:ind w:firstLine="480"/>
        <w:rPr>
          <w:rFonts w:ascii="宋体" w:hAnsi="宋体" w:eastAsia="宋体"/>
        </w:rPr>
      </w:pPr>
      <w:r>
        <w:rPr>
          <w:rFonts w:hint="eastAsia" w:ascii="宋体" w:hAnsi="宋体" w:eastAsia="宋体"/>
        </w:rPr>
        <w:t>2）检验申请单信息可自动拆分和合并成标本；检验申请项目按规则自动合并生成条码信息。</w:t>
      </w:r>
    </w:p>
    <w:p w14:paraId="4A0C124F">
      <w:pPr>
        <w:ind w:firstLine="480"/>
        <w:rPr>
          <w:rFonts w:ascii="宋体" w:hAnsi="宋体" w:eastAsia="宋体"/>
        </w:rPr>
      </w:pPr>
      <w:r>
        <w:rPr>
          <w:rFonts w:hint="eastAsia" w:ascii="宋体" w:hAnsi="宋体" w:eastAsia="宋体"/>
        </w:rPr>
        <w:t>3）可设定申请项目必须选择标本、容器：如微生物培养；支持按按病区、病房、床号条件过滤标本信息；有效控制标本类型及容器错误；</w:t>
      </w:r>
    </w:p>
    <w:p w14:paraId="419704AC">
      <w:pPr>
        <w:ind w:firstLine="480"/>
        <w:rPr>
          <w:rFonts w:ascii="宋体" w:hAnsi="宋体" w:eastAsia="宋体"/>
        </w:rPr>
      </w:pPr>
      <w:r>
        <w:rPr>
          <w:rFonts w:hint="eastAsia" w:ascii="宋体" w:hAnsi="宋体" w:eastAsia="宋体"/>
        </w:rPr>
        <w:t>4）标准采集管理：标本采集确认，记录采集时间；标本送出确认并打印送出清单。</w:t>
      </w:r>
    </w:p>
    <w:p w14:paraId="24908833">
      <w:pPr>
        <w:ind w:firstLine="480"/>
        <w:rPr>
          <w:rFonts w:ascii="宋体" w:hAnsi="宋体" w:eastAsia="宋体"/>
        </w:rPr>
      </w:pPr>
      <w:r>
        <w:rPr>
          <w:rFonts w:hint="eastAsia" w:ascii="宋体" w:hAnsi="宋体" w:eastAsia="宋体"/>
        </w:rPr>
        <w:t>5）条码管理：支持条码补打，并有明显的补打标记。有生成条码规则维护、可根据规则控制生成条码。可根据检验类型可以生成不同类别的条码合并规则。</w:t>
      </w:r>
    </w:p>
    <w:p w14:paraId="4B85AADB">
      <w:pPr>
        <w:ind w:firstLine="480"/>
        <w:rPr>
          <w:rFonts w:ascii="宋体" w:hAnsi="宋体" w:eastAsia="宋体"/>
        </w:rPr>
      </w:pPr>
      <w:r>
        <w:rPr>
          <w:rFonts w:hint="eastAsia" w:ascii="宋体" w:hAnsi="宋体" w:eastAsia="宋体"/>
        </w:rPr>
        <w:t>6）支持条码回退、重新再次合并项目生成条码。</w:t>
      </w:r>
    </w:p>
    <w:p w14:paraId="008781E8">
      <w:pPr>
        <w:rPr>
          <w:rFonts w:ascii="宋体" w:hAnsi="宋体" w:eastAsia="宋体"/>
        </w:rPr>
      </w:pPr>
      <w:r>
        <w:rPr>
          <w:rFonts w:hint="eastAsia" w:ascii="宋体" w:hAnsi="宋体" w:eastAsia="宋体"/>
        </w:rPr>
        <w:t>（2）门诊标本采集工作站</w:t>
      </w:r>
    </w:p>
    <w:p w14:paraId="2B36AB77">
      <w:pPr>
        <w:ind w:firstLine="480"/>
        <w:rPr>
          <w:rFonts w:ascii="宋体" w:hAnsi="宋体" w:eastAsia="宋体"/>
        </w:rPr>
      </w:pPr>
      <w:r>
        <w:rPr>
          <w:rFonts w:hint="eastAsia" w:ascii="宋体" w:hAnsi="宋体" w:eastAsia="宋体"/>
        </w:rPr>
        <w:t>1）要求通过HIS接口获取门诊检验申请单信息并生成条码码电子标签。</w:t>
      </w:r>
    </w:p>
    <w:p w14:paraId="682C8B9F">
      <w:pPr>
        <w:ind w:firstLine="480"/>
        <w:rPr>
          <w:rFonts w:ascii="宋体" w:hAnsi="宋体" w:eastAsia="宋体"/>
        </w:rPr>
      </w:pPr>
      <w:r>
        <w:rPr>
          <w:rFonts w:hint="eastAsia" w:ascii="宋体" w:hAnsi="宋体" w:eastAsia="宋体"/>
        </w:rPr>
        <w:t>2）支持多采集单元的部署和管理；可以自定义窗口采集包含的诊疗项目，对每个窗口采集种类进行个性化定义；准确记录采集时间、采集人信息。</w:t>
      </w:r>
    </w:p>
    <w:p w14:paraId="697EFB35">
      <w:pPr>
        <w:ind w:firstLine="480"/>
        <w:rPr>
          <w:rFonts w:ascii="宋体" w:hAnsi="宋体" w:eastAsia="宋体"/>
        </w:rPr>
      </w:pPr>
      <w:r>
        <w:rPr>
          <w:rFonts w:hint="eastAsia" w:ascii="宋体" w:hAnsi="宋体" w:eastAsia="宋体"/>
        </w:rPr>
        <w:t>3）支持设备集成：与自动化采血流水线的集成；与贴管机的集成（如有）。</w:t>
      </w:r>
    </w:p>
    <w:p w14:paraId="0C8291E0">
      <w:pPr>
        <w:ind w:firstLine="480"/>
        <w:rPr>
          <w:rFonts w:ascii="宋体" w:hAnsi="宋体" w:eastAsia="宋体"/>
        </w:rPr>
      </w:pPr>
      <w:r>
        <w:rPr>
          <w:rFonts w:hint="eastAsia" w:ascii="宋体" w:hAnsi="宋体" w:eastAsia="宋体"/>
        </w:rPr>
        <w:t>4）智能化控制要求：申请单信息自动拆分和合并成标本；有效控制标本类型错误、容器错误。</w:t>
      </w:r>
    </w:p>
    <w:p w14:paraId="53F63628">
      <w:pPr>
        <w:ind w:firstLine="480"/>
        <w:rPr>
          <w:rFonts w:ascii="宋体" w:hAnsi="宋体" w:eastAsia="宋体"/>
        </w:rPr>
      </w:pPr>
      <w:r>
        <w:rPr>
          <w:rFonts w:hint="eastAsia" w:ascii="宋体" w:hAnsi="宋体" w:eastAsia="宋体"/>
        </w:rPr>
        <w:t>5）支持通过HIS接口或者国家互联互通标准接口获取指定病人的检验申请单信息。</w:t>
      </w:r>
    </w:p>
    <w:p w14:paraId="4A17292E">
      <w:pPr>
        <w:ind w:firstLine="480"/>
        <w:rPr>
          <w:rFonts w:ascii="宋体" w:hAnsi="宋体" w:eastAsia="宋体"/>
        </w:rPr>
      </w:pPr>
      <w:r>
        <w:rPr>
          <w:rFonts w:hint="eastAsia" w:ascii="宋体" w:hAnsi="宋体" w:eastAsia="宋体"/>
        </w:rPr>
        <w:t>6）采集窗口管理:支持查看采集工作量、和采集病人信息、查看患者检验申请是否缴费、患者类型等信息。查询本窗口和所有窗口条码生成信息。</w:t>
      </w:r>
    </w:p>
    <w:p w14:paraId="3D99AC10">
      <w:pPr>
        <w:ind w:firstLine="420" w:firstLineChars="200"/>
        <w:rPr>
          <w:rFonts w:ascii="宋体" w:hAnsi="宋体" w:eastAsia="宋体"/>
        </w:rPr>
      </w:pPr>
      <w:r>
        <w:rPr>
          <w:rFonts w:hint="eastAsia" w:ascii="宋体" w:hAnsi="宋体" w:eastAsia="宋体"/>
        </w:rPr>
        <w:t>7）检验条码管理：按规则合并检验申请项目，并生成打印条码。条码打印设置，比如条码打印机、申请单打印机设置。支持条码可选打印和补打。</w:t>
      </w:r>
    </w:p>
    <w:p w14:paraId="1E312CA0">
      <w:pPr>
        <w:ind w:firstLine="480"/>
        <w:rPr>
          <w:rFonts w:ascii="宋体" w:hAnsi="宋体" w:eastAsia="宋体"/>
        </w:rPr>
      </w:pPr>
      <w:r>
        <w:rPr>
          <w:rFonts w:hint="eastAsia" w:ascii="宋体" w:hAnsi="宋体" w:eastAsia="宋体"/>
        </w:rPr>
        <w:t>8）门诊病人回执单上能显示取报告时间。</w:t>
      </w:r>
    </w:p>
    <w:p w14:paraId="5977DF13">
      <w:pPr>
        <w:rPr>
          <w:rFonts w:ascii="宋体" w:hAnsi="宋体" w:eastAsia="宋体"/>
        </w:rPr>
      </w:pPr>
      <w:r>
        <w:rPr>
          <w:rFonts w:hint="eastAsia" w:ascii="宋体" w:hAnsi="宋体" w:eastAsia="宋体"/>
        </w:rPr>
        <w:t>（3）检验申请</w:t>
      </w:r>
    </w:p>
    <w:p w14:paraId="2F860D9F">
      <w:pPr>
        <w:ind w:firstLine="480"/>
        <w:rPr>
          <w:rFonts w:ascii="宋体" w:hAnsi="宋体" w:eastAsia="宋体"/>
        </w:rPr>
      </w:pPr>
      <w:r>
        <w:rPr>
          <w:rFonts w:hint="eastAsia" w:ascii="宋体" w:hAnsi="宋体" w:eastAsia="宋体"/>
        </w:rPr>
        <w:t>1）自动接收检验申请，自动获取包括申请科室、申请医生、申请日期、检验项目、标本类型、费用及是否急诊等检验申请信息。</w:t>
      </w:r>
    </w:p>
    <w:p w14:paraId="728512F5">
      <w:pPr>
        <w:ind w:firstLine="480"/>
        <w:rPr>
          <w:rFonts w:ascii="宋体" w:hAnsi="宋体" w:eastAsia="宋体"/>
        </w:rPr>
      </w:pPr>
      <w:r>
        <w:rPr>
          <w:rFonts w:hint="eastAsia" w:ascii="宋体" w:hAnsi="宋体" w:eastAsia="宋体"/>
        </w:rPr>
        <w:t>2）通过读取条形码获取相关信息，也可手工录入或补录相关信息。</w:t>
      </w:r>
    </w:p>
    <w:p w14:paraId="6BE31C1C">
      <w:pPr>
        <w:ind w:firstLine="480"/>
        <w:rPr>
          <w:rFonts w:ascii="宋体" w:hAnsi="宋体" w:eastAsia="宋体"/>
        </w:rPr>
      </w:pPr>
      <w:r>
        <w:rPr>
          <w:rFonts w:hint="eastAsia" w:ascii="宋体" w:hAnsi="宋体" w:eastAsia="宋体"/>
        </w:rPr>
        <w:t>3）（预留）区域检验申请。</w:t>
      </w:r>
    </w:p>
    <w:p w14:paraId="612990EA">
      <w:pPr>
        <w:ind w:firstLine="480"/>
        <w:rPr>
          <w:rFonts w:ascii="宋体" w:hAnsi="宋体" w:eastAsia="宋体"/>
        </w:rPr>
      </w:pPr>
      <w:r>
        <w:rPr>
          <w:rFonts w:hint="eastAsia" w:ascii="宋体" w:hAnsi="宋体" w:eastAsia="宋体"/>
        </w:rPr>
        <w:t>4）具备临床GCP药物实验检验申请。</w:t>
      </w:r>
    </w:p>
    <w:p w14:paraId="061F9C43">
      <w:pPr>
        <w:ind w:firstLine="480"/>
        <w:rPr>
          <w:rFonts w:ascii="宋体" w:hAnsi="宋体" w:eastAsia="宋体"/>
        </w:rPr>
      </w:pPr>
      <w:r>
        <w:rPr>
          <w:rFonts w:hint="eastAsia" w:ascii="宋体" w:hAnsi="宋体" w:eastAsia="宋体"/>
        </w:rPr>
        <w:t>5）支持检验项目分类展开，医生开检验申请单，检验项目分类，直接打勾申请。</w:t>
      </w:r>
    </w:p>
    <w:p w14:paraId="72977B19">
      <w:pPr>
        <w:rPr>
          <w:rFonts w:ascii="宋体" w:hAnsi="宋体" w:eastAsia="宋体"/>
        </w:rPr>
      </w:pPr>
      <w:r>
        <w:rPr>
          <w:rFonts w:hint="eastAsia" w:ascii="宋体" w:hAnsi="宋体" w:eastAsia="宋体"/>
        </w:rPr>
        <w:t>（4）样本采集</w:t>
      </w:r>
    </w:p>
    <w:p w14:paraId="4BC3AFBA">
      <w:pPr>
        <w:ind w:firstLine="480"/>
        <w:rPr>
          <w:rFonts w:ascii="宋体" w:hAnsi="宋体" w:eastAsia="宋体"/>
        </w:rPr>
      </w:pPr>
      <w:r>
        <w:rPr>
          <w:rFonts w:hint="eastAsia" w:ascii="宋体" w:hAnsi="宋体" w:eastAsia="宋体"/>
        </w:rPr>
        <w:t>1）要求从HIS中直接获取患者的相关信息，也可采用手工方式输入。</w:t>
      </w:r>
    </w:p>
    <w:p w14:paraId="04BFF5A2">
      <w:pPr>
        <w:ind w:firstLine="480"/>
        <w:rPr>
          <w:rFonts w:ascii="宋体" w:hAnsi="宋体" w:eastAsia="宋体"/>
        </w:rPr>
      </w:pPr>
      <w:r>
        <w:rPr>
          <w:rFonts w:hint="eastAsia" w:ascii="宋体" w:hAnsi="宋体" w:eastAsia="宋体"/>
        </w:rPr>
        <w:t>2）标本信息管理：包括标本种类、采集部位、采集日期、采集者等。</w:t>
      </w:r>
    </w:p>
    <w:p w14:paraId="032E2C36">
      <w:pPr>
        <w:ind w:firstLine="480"/>
        <w:rPr>
          <w:rFonts w:ascii="宋体" w:hAnsi="宋体" w:eastAsia="宋体"/>
        </w:rPr>
      </w:pPr>
      <w:r>
        <w:rPr>
          <w:rFonts w:hint="eastAsia" w:ascii="宋体" w:hAnsi="宋体" w:eastAsia="宋体"/>
        </w:rPr>
        <w:t>3）支持手工或自动生成检验条码，一式多份并可根据医院管理需求定制。</w:t>
      </w:r>
    </w:p>
    <w:p w14:paraId="3F1E994F">
      <w:pPr>
        <w:rPr>
          <w:rFonts w:ascii="宋体" w:hAnsi="宋体" w:eastAsia="宋体"/>
        </w:rPr>
      </w:pPr>
      <w:r>
        <w:rPr>
          <w:rFonts w:hint="eastAsia" w:ascii="宋体" w:hAnsi="宋体" w:eastAsia="宋体"/>
        </w:rPr>
        <w:t>（5）样本核收</w:t>
      </w:r>
    </w:p>
    <w:p w14:paraId="109A0AF4">
      <w:pPr>
        <w:ind w:firstLine="480"/>
        <w:rPr>
          <w:rFonts w:ascii="宋体" w:hAnsi="宋体" w:eastAsia="宋体"/>
        </w:rPr>
      </w:pPr>
      <w:r>
        <w:rPr>
          <w:rFonts w:hint="eastAsia" w:ascii="宋体" w:hAnsi="宋体" w:eastAsia="宋体"/>
        </w:rPr>
        <w:t>1）要求通过扫描条形码或手工录入条形码获取样本信息完成样本接收；准确记录接收时间、接收人、接收机构信息，并完成对标本检验费用的确认；</w:t>
      </w:r>
    </w:p>
    <w:p w14:paraId="3031EBE2">
      <w:pPr>
        <w:ind w:firstLine="480"/>
        <w:rPr>
          <w:rFonts w:ascii="宋体" w:hAnsi="宋体" w:eastAsia="宋体"/>
        </w:rPr>
      </w:pPr>
      <w:r>
        <w:rPr>
          <w:rFonts w:hint="eastAsia" w:ascii="宋体" w:hAnsi="宋体" w:eastAsia="宋体"/>
        </w:rPr>
        <w:t>2）样本核收提醒：执行科室不一致提醒、住院标本未进行采集确定提醒等，并可与临床进行消息互动：</w:t>
      </w:r>
    </w:p>
    <w:p w14:paraId="01528F79">
      <w:pPr>
        <w:ind w:firstLine="480"/>
        <w:rPr>
          <w:rFonts w:ascii="宋体" w:hAnsi="宋体" w:eastAsia="宋体"/>
        </w:rPr>
      </w:pPr>
      <w:r>
        <w:rPr>
          <w:rFonts w:hint="eastAsia" w:ascii="宋体" w:hAnsi="宋体" w:eastAsia="宋体"/>
        </w:rPr>
        <w:t>3）急查标本发送接收消息；支持查看接收标本所有的状态：包括接收、上机、审核、打印；</w:t>
      </w:r>
    </w:p>
    <w:p w14:paraId="4F430F3C">
      <w:pPr>
        <w:ind w:firstLine="480"/>
        <w:rPr>
          <w:rFonts w:ascii="宋体" w:hAnsi="宋体" w:eastAsia="宋体"/>
        </w:rPr>
      </w:pPr>
      <w:r>
        <w:rPr>
          <w:rFonts w:hint="eastAsia" w:ascii="宋体" w:hAnsi="宋体" w:eastAsia="宋体"/>
        </w:rPr>
        <w:t>4）住院标本费用校验，及时发现漏费标本；</w:t>
      </w:r>
    </w:p>
    <w:p w14:paraId="06CE2B5B">
      <w:pPr>
        <w:ind w:firstLine="480"/>
        <w:rPr>
          <w:rFonts w:ascii="宋体" w:hAnsi="宋体" w:eastAsia="宋体"/>
        </w:rPr>
      </w:pPr>
      <w:r>
        <w:rPr>
          <w:rFonts w:hint="eastAsia" w:ascii="宋体" w:hAnsi="宋体" w:eastAsia="宋体"/>
        </w:rPr>
        <w:t>5）智能分配：依据自动上机规则，自动对样本进行分类、分组和编号，完成自动上机，减少样本统一接收多处检验漏检、错检；</w:t>
      </w:r>
    </w:p>
    <w:p w14:paraId="6E2E5778">
      <w:pPr>
        <w:ind w:firstLine="480"/>
        <w:rPr>
          <w:rFonts w:ascii="宋体" w:hAnsi="宋体" w:eastAsia="宋体"/>
        </w:rPr>
      </w:pPr>
      <w:r>
        <w:rPr>
          <w:rFonts w:hint="eastAsia" w:ascii="宋体" w:hAnsi="宋体" w:eastAsia="宋体"/>
        </w:rPr>
        <w:t>6）自动计算取报告时间，及时提醒样本检验超时；</w:t>
      </w:r>
      <w:r>
        <w:rPr>
          <w:rFonts w:ascii="宋体" w:hAnsi="宋体" w:eastAsia="宋体"/>
        </w:rPr>
        <w:t xml:space="preserve"> </w:t>
      </w:r>
    </w:p>
    <w:p w14:paraId="19FCB40F">
      <w:pPr>
        <w:ind w:firstLine="480"/>
        <w:rPr>
          <w:rFonts w:ascii="宋体" w:hAnsi="宋体" w:eastAsia="宋体"/>
        </w:rPr>
      </w:pPr>
      <w:r>
        <w:rPr>
          <w:rFonts w:hint="eastAsia" w:ascii="宋体" w:hAnsi="宋体" w:eastAsia="宋体"/>
        </w:rPr>
        <w:t>7）支持按条件查询核收标本信息，核收人、核收时间等信息。</w:t>
      </w:r>
    </w:p>
    <w:p w14:paraId="75F2DD26">
      <w:pPr>
        <w:ind w:firstLine="480"/>
        <w:rPr>
          <w:rFonts w:ascii="宋体" w:hAnsi="宋体" w:eastAsia="宋体"/>
        </w:rPr>
      </w:pPr>
      <w:r>
        <w:rPr>
          <w:rFonts w:hint="eastAsia" w:ascii="宋体" w:hAnsi="宋体" w:eastAsia="宋体"/>
        </w:rPr>
        <w:t>8）要求与HIS核收状态同步，核收后的标本条码不能打印、以免重复采样。</w:t>
      </w:r>
    </w:p>
    <w:p w14:paraId="1711D9BA">
      <w:pPr>
        <w:ind w:firstLine="480"/>
        <w:rPr>
          <w:rFonts w:ascii="宋体" w:hAnsi="宋体" w:eastAsia="宋体"/>
        </w:rPr>
      </w:pPr>
      <w:r>
        <w:rPr>
          <w:rFonts w:hint="eastAsia" w:ascii="宋体" w:hAnsi="宋体" w:eastAsia="宋体"/>
        </w:rPr>
        <w:t>9）住院标本费用校验、校验申请单费用和实际接口计费一致，避免费差异。</w:t>
      </w:r>
    </w:p>
    <w:p w14:paraId="603BAF8F">
      <w:pPr>
        <w:ind w:firstLine="480"/>
        <w:rPr>
          <w:rFonts w:ascii="宋体" w:hAnsi="宋体" w:eastAsia="宋体"/>
        </w:rPr>
      </w:pPr>
      <w:r>
        <w:rPr>
          <w:rFonts w:hint="eastAsia" w:ascii="宋体" w:hAnsi="宋体" w:eastAsia="宋体"/>
        </w:rPr>
        <w:t>10）按规则自动分配到检验分组，标本核收后检验信息自动分配到对应的设备工作站。</w:t>
      </w:r>
    </w:p>
    <w:p w14:paraId="71981B53">
      <w:pPr>
        <w:ind w:firstLine="420" w:firstLineChars="200"/>
        <w:rPr>
          <w:rFonts w:ascii="宋体" w:hAnsi="宋体" w:eastAsia="宋体"/>
        </w:rPr>
      </w:pPr>
      <w:r>
        <w:rPr>
          <w:rFonts w:hint="eastAsia" w:ascii="宋体" w:hAnsi="宋体" w:eastAsia="宋体"/>
        </w:rPr>
        <w:t>11）支持拒绝接收标本的，具有智能判断标本是否超过有效期，对超时和采集不合格的标本予以拒收，同时记录拒收原因，同时反馈至临床医生。</w:t>
      </w:r>
    </w:p>
    <w:p w14:paraId="35B69BCE">
      <w:pPr>
        <w:ind w:firstLine="480"/>
        <w:rPr>
          <w:rFonts w:ascii="宋体" w:hAnsi="宋体" w:eastAsia="宋体"/>
        </w:rPr>
      </w:pPr>
      <w:r>
        <w:rPr>
          <w:rFonts w:hint="eastAsia" w:ascii="宋体" w:hAnsi="宋体" w:eastAsia="宋体"/>
        </w:rPr>
        <w:t>12）支持标本闭环状态查看，可获取到标本闭环各时间节点和操作人员、操作时间等信息。</w:t>
      </w:r>
    </w:p>
    <w:p w14:paraId="051C37D0">
      <w:pPr>
        <w:ind w:firstLine="480"/>
        <w:rPr>
          <w:rFonts w:ascii="宋体" w:hAnsi="宋体" w:eastAsia="宋体"/>
        </w:rPr>
      </w:pPr>
      <w:r>
        <w:rPr>
          <w:rFonts w:hint="eastAsia" w:ascii="宋体" w:hAnsi="宋体" w:eastAsia="宋体"/>
        </w:rPr>
        <w:t>13）支持标本核收后可实现跟检验分拣机对接，分拣机进行标本分拣核收、和标本分类工作，可分离出急诊仓、常规仓、异常仓等。</w:t>
      </w:r>
    </w:p>
    <w:p w14:paraId="5AF83FE9">
      <w:pPr>
        <w:rPr>
          <w:rFonts w:ascii="宋体" w:hAnsi="宋体" w:eastAsia="宋体"/>
        </w:rPr>
      </w:pPr>
      <w:r>
        <w:rPr>
          <w:rFonts w:hint="eastAsia" w:ascii="宋体" w:hAnsi="宋体" w:eastAsia="宋体"/>
        </w:rPr>
        <w:t>（6）问题样本拒收</w:t>
      </w:r>
    </w:p>
    <w:p w14:paraId="08D90844">
      <w:pPr>
        <w:ind w:firstLine="480"/>
        <w:rPr>
          <w:rFonts w:ascii="宋体" w:hAnsi="宋体" w:eastAsia="宋体"/>
        </w:rPr>
      </w:pPr>
      <w:r>
        <w:rPr>
          <w:rFonts w:hint="eastAsia" w:ascii="宋体" w:hAnsi="宋体" w:eastAsia="宋体"/>
        </w:rPr>
        <w:t>1）可通过扫描条形码或手工录入条形码获取样本信息完成对不合格样本拒收；准确记录拒收时间、拒收人、拒收原因、拒收方式信息；可与临床进行消息互动，形成从退回-临床确认-取消执行或重新采集闭环管理。</w:t>
      </w:r>
    </w:p>
    <w:p w14:paraId="1EBD201D">
      <w:pPr>
        <w:ind w:firstLine="480"/>
        <w:rPr>
          <w:rFonts w:ascii="宋体" w:hAnsi="宋体" w:eastAsia="宋体"/>
        </w:rPr>
      </w:pPr>
      <w:r>
        <w:rPr>
          <w:rFonts w:hint="eastAsia" w:ascii="宋体" w:hAnsi="宋体" w:eastAsia="宋体"/>
        </w:rPr>
        <w:t>2）具备拒收样本统计分析、满足卫生部临床质量指标对问题样本的统计分析、以及问题原因统计分析等。</w:t>
      </w:r>
    </w:p>
    <w:p w14:paraId="0FC582E8">
      <w:pPr>
        <w:ind w:firstLine="480"/>
        <w:rPr>
          <w:rFonts w:ascii="宋体" w:hAnsi="宋体" w:eastAsia="宋体"/>
        </w:rPr>
      </w:pPr>
      <w:r>
        <w:rPr>
          <w:rFonts w:hint="eastAsia" w:ascii="宋体" w:hAnsi="宋体" w:eastAsia="宋体"/>
        </w:rPr>
        <w:t>3）具备有问题项目按照科室分布统计、方便及时纠正各科室采集过程中的问题，优化采集流程，指定采样纠正措施。</w:t>
      </w:r>
    </w:p>
    <w:p w14:paraId="7912F948">
      <w:pPr>
        <w:ind w:firstLine="480"/>
        <w:rPr>
          <w:rFonts w:ascii="宋体" w:hAnsi="宋体" w:eastAsia="宋体"/>
        </w:rPr>
      </w:pPr>
      <w:r>
        <w:rPr>
          <w:rFonts w:hint="eastAsia" w:ascii="宋体" w:hAnsi="宋体" w:eastAsia="宋体"/>
        </w:rPr>
        <w:t>4）支持不合格样本登记，登记不合格样本的原因、通知科室、处理方式。</w:t>
      </w:r>
    </w:p>
    <w:p w14:paraId="670E7281">
      <w:pPr>
        <w:rPr>
          <w:rFonts w:ascii="宋体" w:hAnsi="宋体" w:eastAsia="宋体"/>
        </w:rPr>
      </w:pPr>
      <w:r>
        <w:rPr>
          <w:rFonts w:hint="eastAsia" w:ascii="宋体" w:hAnsi="宋体" w:eastAsia="宋体"/>
        </w:rPr>
        <w:t>（7）检验设备联机</w:t>
      </w:r>
    </w:p>
    <w:p w14:paraId="5C7C830D">
      <w:pPr>
        <w:ind w:firstLine="482"/>
        <w:rPr>
          <w:rFonts w:ascii="宋体" w:hAnsi="宋体" w:eastAsia="宋体"/>
        </w:rPr>
      </w:pPr>
      <w:r>
        <w:rPr>
          <w:rFonts w:hint="eastAsia" w:ascii="宋体" w:hAnsi="宋体" w:eastAsia="宋体"/>
        </w:rPr>
        <w:t>1）自动将数据接入网络，并进行模式识别，判断为何种资料。质控、定标及检验结果自动分离，自动入库；</w:t>
      </w:r>
    </w:p>
    <w:p w14:paraId="202A60C0">
      <w:pPr>
        <w:ind w:firstLine="482"/>
        <w:rPr>
          <w:rFonts w:ascii="宋体" w:hAnsi="宋体" w:eastAsia="宋体"/>
        </w:rPr>
      </w:pPr>
      <w:r>
        <w:rPr>
          <w:rFonts w:hint="eastAsia" w:ascii="宋体" w:hAnsi="宋体" w:eastAsia="宋体"/>
        </w:rPr>
        <w:t>2）科研标本条码管理：科研标本快速生成条码，并打印出条码；对比导出科研标本、设备能识别。</w:t>
      </w:r>
    </w:p>
    <w:p w14:paraId="7415F46E">
      <w:pPr>
        <w:ind w:firstLine="482"/>
        <w:rPr>
          <w:rFonts w:ascii="宋体" w:hAnsi="宋体" w:eastAsia="宋体"/>
        </w:rPr>
      </w:pPr>
      <w:r>
        <w:rPr>
          <w:rFonts w:hint="eastAsia" w:ascii="宋体" w:hAnsi="宋体" w:eastAsia="宋体"/>
        </w:rPr>
        <w:t>3）条码生成与打印、发放，手工或自动生成检验条码，一式多份并可按医院要求定制。</w:t>
      </w:r>
    </w:p>
    <w:p w14:paraId="40465904">
      <w:pPr>
        <w:ind w:firstLine="480"/>
        <w:rPr>
          <w:rFonts w:ascii="宋体" w:hAnsi="宋体" w:eastAsia="宋体"/>
        </w:rPr>
      </w:pPr>
      <w:r>
        <w:rPr>
          <w:rFonts w:hint="eastAsia" w:ascii="宋体" w:hAnsi="宋体" w:eastAsia="宋体"/>
        </w:rPr>
        <w:t>4）自动接收检验仪器发送的结果数据、手工录入结果数据、知识库选择录入结果数据。</w:t>
      </w:r>
    </w:p>
    <w:p w14:paraId="32EBECBA">
      <w:pPr>
        <w:ind w:firstLine="480"/>
        <w:rPr>
          <w:rFonts w:ascii="宋体" w:hAnsi="宋体" w:eastAsia="宋体"/>
        </w:rPr>
      </w:pPr>
      <w:r>
        <w:rPr>
          <w:rFonts w:hint="eastAsia" w:ascii="宋体" w:hAnsi="宋体" w:eastAsia="宋体"/>
        </w:rPr>
        <w:t>5）根据申请项目+标本类型自动填充默认结果值，减少手工项目录入次数、结果一致的一批样本可采用批量录入方式批量添加检验结果。</w:t>
      </w:r>
    </w:p>
    <w:p w14:paraId="7CE23A7C">
      <w:pPr>
        <w:ind w:firstLine="480"/>
        <w:rPr>
          <w:rFonts w:ascii="宋体" w:hAnsi="宋体" w:eastAsia="宋体"/>
        </w:rPr>
      </w:pPr>
      <w:r>
        <w:rPr>
          <w:rFonts w:hint="eastAsia" w:ascii="宋体" w:hAnsi="宋体" w:eastAsia="宋体"/>
        </w:rPr>
        <w:t>6）检验结果拷贝、合并：如糖耐量实验。</w:t>
      </w:r>
    </w:p>
    <w:p w14:paraId="597BF616">
      <w:pPr>
        <w:ind w:firstLine="480"/>
        <w:rPr>
          <w:rFonts w:ascii="宋体" w:hAnsi="宋体" w:eastAsia="宋体"/>
        </w:rPr>
      </w:pPr>
      <w:r>
        <w:rPr>
          <w:rFonts w:hint="eastAsia" w:ascii="宋体" w:hAnsi="宋体" w:eastAsia="宋体"/>
        </w:rPr>
        <w:t>7）对结果异常需要复查的样本标记复查状态，完成复查后可标记复查完成，并完整记录复查过程中的复查项目和复查结果。</w:t>
      </w:r>
    </w:p>
    <w:p w14:paraId="0DC0AA8B">
      <w:pPr>
        <w:ind w:firstLine="420" w:firstLineChars="200"/>
        <w:rPr>
          <w:rFonts w:ascii="宋体" w:hAnsi="宋体" w:eastAsia="宋体"/>
        </w:rPr>
      </w:pPr>
      <w:r>
        <w:rPr>
          <w:rFonts w:hint="eastAsia" w:ascii="宋体" w:hAnsi="宋体" w:eastAsia="宋体"/>
        </w:rPr>
        <w:t>8）依据设定的参考范围自动判断结果高低状态，对异常值进行特殊标记区分：包括字体颜色和字体样式。</w:t>
      </w:r>
    </w:p>
    <w:p w14:paraId="6031DB85">
      <w:pPr>
        <w:ind w:firstLine="480"/>
        <w:rPr>
          <w:rFonts w:ascii="宋体" w:hAnsi="宋体" w:eastAsia="宋体"/>
        </w:rPr>
      </w:pPr>
      <w:r>
        <w:rPr>
          <w:rFonts w:hint="eastAsia" w:ascii="宋体" w:hAnsi="宋体" w:eastAsia="宋体"/>
        </w:rPr>
        <w:t>9）依据设定危急值判定规则，自动判断样本危急值状态：对于出现危急值结果进行弹窗提醒，并在样本列表显示危急值标记。</w:t>
      </w:r>
    </w:p>
    <w:p w14:paraId="10159D14">
      <w:pPr>
        <w:ind w:firstLine="480"/>
        <w:rPr>
          <w:rFonts w:ascii="宋体" w:hAnsi="宋体" w:eastAsia="宋体"/>
        </w:rPr>
      </w:pPr>
      <w:r>
        <w:rPr>
          <w:rFonts w:hint="eastAsia" w:ascii="宋体" w:hAnsi="宋体" w:eastAsia="宋体"/>
        </w:rPr>
        <w:t>10）依据设置的传染病判断规则，自动判断样本传染病状态：对应出现传染病的样本在样本列表中显示传染病标记。</w:t>
      </w:r>
    </w:p>
    <w:p w14:paraId="31140411">
      <w:pPr>
        <w:pStyle w:val="5"/>
        <w:rPr>
          <w:rFonts w:ascii="宋体" w:hAnsi="宋体" w:eastAsia="宋体"/>
        </w:rPr>
      </w:pPr>
      <w:r>
        <w:rPr>
          <w:rFonts w:hint="eastAsia" w:ascii="宋体" w:hAnsi="宋体" w:eastAsia="宋体"/>
        </w:rPr>
        <w:t>检验工作站模块</w:t>
      </w:r>
    </w:p>
    <w:p w14:paraId="4ED3A33F">
      <w:pPr>
        <w:ind w:firstLine="480"/>
        <w:rPr>
          <w:rFonts w:ascii="宋体" w:hAnsi="宋体" w:eastAsia="宋体"/>
        </w:rPr>
      </w:pPr>
      <w:r>
        <w:rPr>
          <w:rFonts w:hint="eastAsia" w:ascii="宋体" w:hAnsi="宋体" w:eastAsia="宋体"/>
        </w:rPr>
        <w:t>（1）病人资料录入</w:t>
      </w:r>
    </w:p>
    <w:p w14:paraId="18F0DB8B">
      <w:pPr>
        <w:ind w:firstLine="480"/>
        <w:rPr>
          <w:rFonts w:ascii="宋体" w:hAnsi="宋体" w:eastAsia="宋体"/>
        </w:rPr>
      </w:pPr>
      <w:r>
        <w:rPr>
          <w:rFonts w:hint="eastAsia" w:ascii="宋体" w:hAnsi="宋体" w:eastAsia="宋体"/>
        </w:rPr>
        <w:t>扫描条码获取样本基本信息；手工录入样本基本信息；实现标本编排或条码分捡；建立检验单表头信息与检验结果的关联；实现基本信息的批量修改与复制；解决手工项目数据的入库。</w:t>
      </w:r>
    </w:p>
    <w:p w14:paraId="6248B090">
      <w:pPr>
        <w:ind w:firstLine="480"/>
        <w:rPr>
          <w:rFonts w:ascii="宋体" w:hAnsi="宋体" w:eastAsia="宋体"/>
        </w:rPr>
      </w:pPr>
      <w:r>
        <w:rPr>
          <w:rFonts w:hint="eastAsia" w:ascii="宋体" w:hAnsi="宋体" w:eastAsia="宋体"/>
        </w:rPr>
        <w:t>（2）检验结果生成</w:t>
      </w:r>
    </w:p>
    <w:p w14:paraId="6E904604">
      <w:pPr>
        <w:ind w:firstLine="480"/>
        <w:rPr>
          <w:rFonts w:ascii="宋体" w:hAnsi="宋体" w:eastAsia="宋体"/>
        </w:rPr>
      </w:pPr>
      <w:r>
        <w:rPr>
          <w:rFonts w:hint="eastAsia" w:ascii="宋体" w:hAnsi="宋体" w:eastAsia="宋体"/>
        </w:rPr>
        <w:t>自动接收检验仪器发送的结果数据；手工录入结果数据和知识库选择录入结果数据；默认值，减少手工项目录入次数；对于结果一致的一批样本可采用批量录入；检验结果拷贝、合并；对于复查标本可以标记复查状态，并记录历次复查结果；自动判断结果状态，对异常值进行特殊标记区分，对于危急值进行弹窗提醒。</w:t>
      </w:r>
    </w:p>
    <w:p w14:paraId="0C87F61E">
      <w:pPr>
        <w:ind w:firstLine="480"/>
        <w:rPr>
          <w:rFonts w:ascii="宋体" w:hAnsi="宋体" w:eastAsia="宋体"/>
        </w:rPr>
      </w:pPr>
      <w:r>
        <w:rPr>
          <w:rFonts w:hint="eastAsia" w:ascii="宋体" w:hAnsi="宋体" w:eastAsia="宋体"/>
        </w:rPr>
        <w:t>（3）报告审核</w:t>
      </w:r>
    </w:p>
    <w:p w14:paraId="19CBF6F4">
      <w:pPr>
        <w:ind w:firstLine="480"/>
        <w:rPr>
          <w:rFonts w:ascii="宋体" w:hAnsi="宋体" w:eastAsia="宋体"/>
        </w:rPr>
      </w:pPr>
      <w:r>
        <w:rPr>
          <w:rFonts w:hint="eastAsia" w:ascii="宋体" w:hAnsi="宋体" w:eastAsia="宋体"/>
        </w:rPr>
        <w:t>实现检验报告的最终审核；可设定时间段提醒审核者和检验者是否一致；对于普通状态的样本可以进行批量审核，减少审核次数；对于危急值样本单独审核，可与临床进行消息互动，形成从危急值发送-临床确认-检验科接收回复的电子化闭环管理；可设置检验项目规则，实现审核时提醒审核人员标本结果异常，避免错发报告；要求与历史系统无缝对接，可在界面进行历史结果对比；自行协调第三方认证系统对接数字签名认证。</w:t>
      </w:r>
    </w:p>
    <w:p w14:paraId="61963B24">
      <w:pPr>
        <w:ind w:firstLine="480"/>
        <w:rPr>
          <w:rFonts w:ascii="宋体" w:hAnsi="宋体" w:eastAsia="宋体"/>
        </w:rPr>
      </w:pPr>
      <w:r>
        <w:rPr>
          <w:rFonts w:hint="eastAsia" w:ascii="宋体" w:hAnsi="宋体" w:eastAsia="宋体"/>
        </w:rPr>
        <w:t>（5）辅助功能</w:t>
      </w:r>
    </w:p>
    <w:p w14:paraId="0BB4BFF4">
      <w:pPr>
        <w:ind w:firstLine="480"/>
        <w:rPr>
          <w:rFonts w:ascii="宋体" w:hAnsi="宋体" w:eastAsia="宋体"/>
        </w:rPr>
      </w:pPr>
      <w:r>
        <w:rPr>
          <w:rFonts w:hint="eastAsia" w:ascii="宋体" w:hAnsi="宋体" w:eastAsia="宋体"/>
        </w:rPr>
        <w:t>按条件打印病人列表；可在检验报告未审核前预览最终报告，避免报告样式错误；可统一查看危急标本，并查看临床回复情况；可单独和批量打印检验报告。</w:t>
      </w:r>
    </w:p>
    <w:p w14:paraId="3A3F03F3">
      <w:pPr>
        <w:ind w:firstLine="480"/>
        <w:rPr>
          <w:rFonts w:ascii="宋体" w:hAnsi="宋体" w:eastAsia="宋体"/>
        </w:rPr>
      </w:pPr>
      <w:r>
        <w:rPr>
          <w:rFonts w:hint="eastAsia" w:ascii="宋体" w:hAnsi="宋体" w:eastAsia="宋体"/>
        </w:rPr>
        <w:t>（6）设备仿真运行及检验人员培训</w:t>
      </w:r>
    </w:p>
    <w:p w14:paraId="0353D2F5">
      <w:pPr>
        <w:ind w:firstLine="480"/>
        <w:rPr>
          <w:rFonts w:ascii="宋体" w:hAnsi="宋体" w:eastAsia="宋体"/>
        </w:rPr>
      </w:pPr>
      <w:r>
        <w:rPr>
          <w:rFonts w:hint="eastAsia" w:ascii="宋体" w:hAnsi="宋体" w:eastAsia="宋体"/>
        </w:rPr>
        <w:t>通过安装虚拟设备接口，运行一个仿真客户端，检验系统可以运行在仿真和模拟状态下，这样便于测试和培训检验人员，减少对系统的干扰。</w:t>
      </w:r>
    </w:p>
    <w:p w14:paraId="48CD606F">
      <w:pPr>
        <w:ind w:firstLine="480"/>
        <w:rPr>
          <w:rFonts w:ascii="宋体" w:hAnsi="宋体" w:eastAsia="宋体"/>
        </w:rPr>
      </w:pPr>
      <w:r>
        <w:rPr>
          <w:rFonts w:hint="eastAsia" w:ascii="宋体" w:hAnsi="宋体" w:eastAsia="宋体"/>
        </w:rPr>
        <w:t>（7）智能审核报告</w:t>
      </w:r>
    </w:p>
    <w:p w14:paraId="581FDE0A">
      <w:pPr>
        <w:ind w:firstLine="480"/>
        <w:rPr>
          <w:rFonts w:ascii="宋体" w:hAnsi="宋体" w:eastAsia="宋体"/>
        </w:rPr>
      </w:pPr>
      <w:r>
        <w:rPr>
          <w:rFonts w:hint="eastAsia" w:ascii="宋体" w:hAnsi="宋体" w:eastAsia="宋体"/>
        </w:rPr>
        <w:t>智能分组与智能审核项目设定；项目质控的确定；审核范围类型和范围判断（危急值类型判断、仪器报警信息、极限值高低）等；审核范围申请单信息；ICD诊断的关键字跟检验项目做判断；智能审核历史结果分析；智能审核逻辑运算分类等。</w:t>
      </w:r>
    </w:p>
    <w:p w14:paraId="4C52DE0F">
      <w:pPr>
        <w:ind w:firstLine="480"/>
        <w:rPr>
          <w:rFonts w:ascii="宋体" w:hAnsi="宋体" w:eastAsia="宋体"/>
        </w:rPr>
      </w:pPr>
      <w:r>
        <w:rPr>
          <w:rFonts w:hint="eastAsia" w:ascii="宋体" w:hAnsi="宋体" w:eastAsia="宋体"/>
        </w:rPr>
        <w:t>（8）检验报告打印和发放</w:t>
      </w:r>
    </w:p>
    <w:p w14:paraId="693D1D40">
      <w:pPr>
        <w:ind w:firstLine="480"/>
        <w:rPr>
          <w:rFonts w:ascii="宋体" w:hAnsi="宋体" w:eastAsia="宋体"/>
        </w:rPr>
      </w:pPr>
      <w:r>
        <w:rPr>
          <w:rFonts w:hint="eastAsia" w:ascii="宋体" w:hAnsi="宋体" w:eastAsia="宋体"/>
        </w:rPr>
        <w:t>数字签名认证：报告系统支持查看医嘱信息、电子病历信息；采用数据存储和PDF存储检验报告，PDF保证检验报告的一致性。门诊自助打印、医生站打印查看对比、移动端查看报告等多种方式。</w:t>
      </w:r>
    </w:p>
    <w:p w14:paraId="38E25051">
      <w:pPr>
        <w:ind w:firstLine="480"/>
        <w:rPr>
          <w:rFonts w:ascii="宋体" w:hAnsi="宋体" w:eastAsia="宋体"/>
        </w:rPr>
      </w:pPr>
      <w:r>
        <w:rPr>
          <w:rFonts w:hint="eastAsia" w:ascii="宋体" w:hAnsi="宋体" w:eastAsia="宋体"/>
        </w:rPr>
        <w:t>申请信息校验如果遇到年龄格式不对、超过极限值了。或者项目名称错误等情况、工作站有相应提示。</w:t>
      </w:r>
    </w:p>
    <w:p w14:paraId="41A71B59">
      <w:pPr>
        <w:ind w:firstLine="480"/>
        <w:rPr>
          <w:rFonts w:ascii="宋体" w:hAnsi="宋体" w:eastAsia="宋体"/>
        </w:rPr>
      </w:pPr>
      <w:r>
        <w:rPr>
          <w:rFonts w:hint="eastAsia" w:ascii="宋体" w:hAnsi="宋体" w:eastAsia="宋体"/>
        </w:rPr>
        <w:t>图文报告、特殊检验报告格式、如基因检测、骨髓检测、染色体检测等特检报告工作站。</w:t>
      </w:r>
    </w:p>
    <w:p w14:paraId="6C05833F">
      <w:pPr>
        <w:ind w:firstLine="480"/>
        <w:rPr>
          <w:rFonts w:ascii="宋体" w:hAnsi="宋体" w:eastAsia="宋体"/>
        </w:rPr>
      </w:pPr>
      <w:r>
        <w:rPr>
          <w:rFonts w:hint="eastAsia" w:ascii="宋体" w:hAnsi="宋体" w:eastAsia="宋体"/>
        </w:rPr>
        <w:t>标本复检、标本信息查看、历史结果对比、历史曲线图对比等。</w:t>
      </w:r>
    </w:p>
    <w:p w14:paraId="7A71196B">
      <w:pPr>
        <w:ind w:firstLine="480"/>
        <w:rPr>
          <w:rFonts w:ascii="宋体" w:hAnsi="宋体" w:eastAsia="宋体"/>
        </w:rPr>
      </w:pPr>
      <w:r>
        <w:rPr>
          <w:rFonts w:hint="eastAsia" w:ascii="宋体" w:hAnsi="宋体" w:eastAsia="宋体"/>
        </w:rPr>
        <w:t>自动接收仪器的质控结果，具有不同分析项目采用不同质控规则判断质控状态。</w:t>
      </w:r>
    </w:p>
    <w:p w14:paraId="0120B200">
      <w:pPr>
        <w:ind w:firstLine="480"/>
        <w:rPr>
          <w:rFonts w:ascii="宋体" w:hAnsi="宋体" w:eastAsia="宋体"/>
        </w:rPr>
      </w:pPr>
      <w:r>
        <w:rPr>
          <w:rFonts w:hint="eastAsia" w:ascii="宋体" w:hAnsi="宋体" w:eastAsia="宋体"/>
        </w:rPr>
        <w:t>质控数据的自动分析与报警。</w:t>
      </w:r>
    </w:p>
    <w:p w14:paraId="7429FFEE">
      <w:pPr>
        <w:ind w:firstLine="480"/>
        <w:rPr>
          <w:rFonts w:ascii="宋体" w:hAnsi="宋体" w:eastAsia="宋体"/>
        </w:rPr>
      </w:pPr>
      <w:r>
        <w:rPr>
          <w:rFonts w:hint="eastAsia" w:ascii="宋体" w:hAnsi="宋体" w:eastAsia="宋体"/>
        </w:rPr>
        <w:t>可建立相关校验标准，实现异常检验结果的分离，确保检验结果的可靠性。</w:t>
      </w:r>
    </w:p>
    <w:p w14:paraId="425A1ABF">
      <w:pPr>
        <w:ind w:firstLine="480"/>
        <w:rPr>
          <w:rFonts w:ascii="宋体" w:hAnsi="宋体" w:eastAsia="宋体"/>
        </w:rPr>
      </w:pPr>
      <w:r>
        <w:rPr>
          <w:rFonts w:hint="eastAsia" w:ascii="宋体" w:hAnsi="宋体" w:eastAsia="宋体"/>
        </w:rPr>
        <w:t>具有质控月总结报表、质控失控分析报表、质控项目开展报表、质控项目开展情况表报、均值标准差变异系数统计、质控项目变异系数不合格率分析、失控及纠正次数统计分析。</w:t>
      </w:r>
    </w:p>
    <w:p w14:paraId="14331092">
      <w:pPr>
        <w:ind w:firstLine="480"/>
        <w:rPr>
          <w:rFonts w:ascii="宋体" w:hAnsi="宋体" w:eastAsia="宋体"/>
        </w:rPr>
      </w:pPr>
      <w:r>
        <w:rPr>
          <w:rFonts w:hint="eastAsia" w:ascii="宋体" w:hAnsi="宋体" w:eastAsia="宋体"/>
        </w:rPr>
        <w:t>支持L-J、Z分数质控图，高、中、低多个质控数据能在一张图上体现，失控规则任选，失控数据和纠正数据在图上能体现，失控数据连线以虚线表示，纠正后的数据以实线表示。</w:t>
      </w:r>
    </w:p>
    <w:p w14:paraId="3CFC09E4">
      <w:pPr>
        <w:pStyle w:val="5"/>
        <w:rPr>
          <w:rFonts w:ascii="宋体" w:hAnsi="宋体" w:eastAsia="宋体"/>
        </w:rPr>
      </w:pPr>
      <w:r>
        <w:rPr>
          <w:rFonts w:hint="eastAsia" w:ascii="宋体" w:hAnsi="宋体" w:eastAsia="宋体"/>
        </w:rPr>
        <w:t>微生物工作站</w:t>
      </w:r>
    </w:p>
    <w:p w14:paraId="0111D6F9">
      <w:pPr>
        <w:ind w:firstLine="480"/>
        <w:rPr>
          <w:rFonts w:ascii="宋体" w:hAnsi="宋体" w:eastAsia="宋体"/>
        </w:rPr>
      </w:pPr>
      <w:r>
        <w:rPr>
          <w:rFonts w:hint="eastAsia" w:ascii="宋体" w:hAnsi="宋体" w:eastAsia="宋体"/>
        </w:rPr>
        <w:t>1）标本接收登记、报告处理、危急值处理、whonet 导出等过程管理。支持微生物名称、抗生素名称等数据标准化。微生物检验过程规范化管理。微生物检验全程条码化管理（标本条形码、培养皿条形码、玻片条形码、工作单条形码、条形码上机）。</w:t>
      </w:r>
    </w:p>
    <w:p w14:paraId="0FC50EDD">
      <w:pPr>
        <w:ind w:firstLine="480"/>
        <w:rPr>
          <w:rFonts w:ascii="宋体" w:hAnsi="宋体" w:eastAsia="宋体"/>
        </w:rPr>
      </w:pPr>
      <w:r>
        <w:rPr>
          <w:rFonts w:hint="eastAsia" w:ascii="宋体" w:hAnsi="宋体" w:eastAsia="宋体"/>
        </w:rPr>
        <w:t>2）智能化工作导引：可根据申请项目+标本类型自动默认培养或者涂片结果；可根据抗生素折点规则自动匹配药敏和用药类型，并用颜色区分药敏状态：耐药、中介、敏感；可根据多重耐药规则自动判定多重耐药类型，也可以手工标记多重耐药：如MASA、VER；支持标记报阳时间。</w:t>
      </w:r>
    </w:p>
    <w:p w14:paraId="34D332ED">
      <w:pPr>
        <w:ind w:firstLine="480"/>
        <w:rPr>
          <w:rFonts w:ascii="宋体" w:hAnsi="宋体" w:eastAsia="宋体"/>
        </w:rPr>
      </w:pPr>
      <w:r>
        <w:rPr>
          <w:rFonts w:hint="eastAsia" w:ascii="宋体" w:hAnsi="宋体" w:eastAsia="宋体"/>
        </w:rPr>
        <w:t>3）涂片结果默认及初报、培养阴性结果默认、培养阳性结果、真菌结果、细菌鉴定结果、药敏结果等多阶段结果处理及24小时初步报告、48 小时报告、最终报告等分级化报告，并在界面显示不同级别标志。</w:t>
      </w:r>
    </w:p>
    <w:p w14:paraId="3BBD18AB">
      <w:pPr>
        <w:ind w:firstLine="480"/>
        <w:rPr>
          <w:rFonts w:ascii="宋体" w:hAnsi="宋体" w:eastAsia="宋体"/>
        </w:rPr>
      </w:pPr>
      <w:r>
        <w:rPr>
          <w:rFonts w:hint="eastAsia" w:ascii="宋体" w:hAnsi="宋体" w:eastAsia="宋体"/>
        </w:rPr>
        <w:t>4）录入培养操作记录；药敏结果按照药敏板批量添加；药敏结果复制。</w:t>
      </w:r>
    </w:p>
    <w:p w14:paraId="7529A65F">
      <w:pPr>
        <w:ind w:firstLine="480"/>
        <w:rPr>
          <w:rFonts w:ascii="宋体" w:hAnsi="宋体" w:eastAsia="宋体"/>
        </w:rPr>
      </w:pPr>
      <w:r>
        <w:rPr>
          <w:rFonts w:hint="eastAsia" w:ascii="宋体" w:hAnsi="宋体" w:eastAsia="宋体"/>
        </w:rPr>
        <w:t>5）手工标记微生物标本危急值，审核后可与临床进行消息互动。</w:t>
      </w:r>
    </w:p>
    <w:p w14:paraId="205A93C0">
      <w:pPr>
        <w:ind w:firstLine="480"/>
        <w:rPr>
          <w:rFonts w:ascii="宋体" w:hAnsi="宋体" w:eastAsia="宋体"/>
        </w:rPr>
      </w:pPr>
      <w:r>
        <w:rPr>
          <w:rFonts w:hint="eastAsia" w:ascii="宋体" w:hAnsi="宋体" w:eastAsia="宋体"/>
        </w:rPr>
        <w:t>6）WHONET对接、导出DBF文件；具有微生物统计分析：细菌阳性率统计、细菌阳性分布统计、抗生素敏感度统计、科室标本统计、微生物申请标本统计、涂片登记簿、病原体排序及构成比例、微生物汇总统计、微生物阳性统计等。</w:t>
      </w:r>
    </w:p>
    <w:p w14:paraId="3E7842B3">
      <w:pPr>
        <w:pStyle w:val="5"/>
        <w:rPr>
          <w:rFonts w:ascii="宋体" w:hAnsi="宋体" w:eastAsia="宋体"/>
        </w:rPr>
      </w:pPr>
      <w:r>
        <w:rPr>
          <w:rFonts w:hint="eastAsia" w:ascii="宋体" w:hAnsi="宋体" w:eastAsia="宋体"/>
        </w:rPr>
        <w:t>费用管理模块</w:t>
      </w:r>
    </w:p>
    <w:p w14:paraId="6F4CC94A">
      <w:pPr>
        <w:ind w:firstLine="480"/>
        <w:rPr>
          <w:rFonts w:ascii="宋体" w:hAnsi="宋体" w:eastAsia="宋体"/>
        </w:rPr>
      </w:pPr>
      <w:r>
        <w:rPr>
          <w:rFonts w:hint="eastAsia" w:ascii="宋体" w:hAnsi="宋体" w:eastAsia="宋体"/>
        </w:rPr>
        <w:t>1）住院病人：具有发送检验报告时自动收费，具有增加、删除及冲退费用；</w:t>
      </w:r>
    </w:p>
    <w:p w14:paraId="27BF38D2">
      <w:pPr>
        <w:ind w:firstLine="480"/>
        <w:rPr>
          <w:rFonts w:ascii="宋体" w:hAnsi="宋体" w:eastAsia="宋体"/>
        </w:rPr>
      </w:pPr>
      <w:r>
        <w:rPr>
          <w:rFonts w:hint="eastAsia" w:ascii="宋体" w:hAnsi="宋体" w:eastAsia="宋体"/>
        </w:rPr>
        <w:t>2）门（急）诊病人：具有安排检验项目时自动确认发票费用，具有取消费用确认，以便患者在收费处冲退费用。</w:t>
      </w:r>
    </w:p>
    <w:p w14:paraId="0A6317B5">
      <w:pPr>
        <w:ind w:firstLine="480"/>
        <w:rPr>
          <w:rFonts w:ascii="宋体" w:hAnsi="宋体" w:eastAsia="宋体"/>
        </w:rPr>
      </w:pPr>
      <w:r>
        <w:rPr>
          <w:rFonts w:hint="eastAsia" w:ascii="宋体" w:hAnsi="宋体" w:eastAsia="宋体"/>
        </w:rPr>
        <w:t>3）具有费用校验，校验检验申请费用跟实际计费金额是否一致。</w:t>
      </w:r>
    </w:p>
    <w:p w14:paraId="2D9719D4">
      <w:pPr>
        <w:ind w:firstLine="480"/>
        <w:rPr>
          <w:rFonts w:ascii="宋体" w:hAnsi="宋体" w:eastAsia="宋体"/>
        </w:rPr>
      </w:pPr>
      <w:r>
        <w:rPr>
          <w:rFonts w:hint="eastAsia" w:ascii="宋体" w:hAnsi="宋体" w:eastAsia="宋体"/>
        </w:rPr>
        <w:t>4）统计检验收费、按照月度、检验仪器等条件统计。</w:t>
      </w:r>
    </w:p>
    <w:p w14:paraId="363A6AF9">
      <w:pPr>
        <w:pStyle w:val="5"/>
        <w:rPr>
          <w:rFonts w:ascii="宋体" w:hAnsi="宋体" w:eastAsia="宋体"/>
        </w:rPr>
      </w:pPr>
      <w:r>
        <w:rPr>
          <w:rFonts w:hint="eastAsia" w:ascii="宋体" w:hAnsi="宋体" w:eastAsia="宋体"/>
        </w:rPr>
        <w:t>基础数据管理</w:t>
      </w:r>
    </w:p>
    <w:p w14:paraId="76BBDED7">
      <w:pPr>
        <w:ind w:firstLine="480"/>
        <w:rPr>
          <w:rFonts w:ascii="宋体" w:hAnsi="宋体" w:eastAsia="宋体"/>
        </w:rPr>
      </w:pPr>
      <w:r>
        <w:rPr>
          <w:rFonts w:hint="eastAsia" w:ascii="宋体" w:hAnsi="宋体" w:eastAsia="宋体"/>
        </w:rPr>
        <w:t>1）标准的检验项目基础数据维护；</w:t>
      </w:r>
    </w:p>
    <w:p w14:paraId="066AB5D6">
      <w:pPr>
        <w:ind w:firstLine="480"/>
        <w:rPr>
          <w:rFonts w:ascii="宋体" w:hAnsi="宋体" w:eastAsia="宋体"/>
        </w:rPr>
      </w:pPr>
      <w:r>
        <w:rPr>
          <w:rFonts w:hint="eastAsia" w:ascii="宋体" w:hAnsi="宋体" w:eastAsia="宋体"/>
        </w:rPr>
        <w:t>2）检验项目检验方法学维护；</w:t>
      </w:r>
    </w:p>
    <w:p w14:paraId="4CE778B7">
      <w:pPr>
        <w:ind w:firstLine="480"/>
        <w:rPr>
          <w:rFonts w:ascii="宋体" w:hAnsi="宋体" w:eastAsia="宋体"/>
        </w:rPr>
      </w:pPr>
      <w:r>
        <w:rPr>
          <w:rFonts w:hint="eastAsia" w:ascii="宋体" w:hAnsi="宋体" w:eastAsia="宋体"/>
        </w:rPr>
        <w:t>3）检验项目多参考值维护、根据性别、年龄、标本等信息维护判定；</w:t>
      </w:r>
    </w:p>
    <w:p w14:paraId="19D31FC9">
      <w:pPr>
        <w:ind w:firstLine="480"/>
        <w:rPr>
          <w:rFonts w:ascii="宋体" w:hAnsi="宋体" w:eastAsia="宋体"/>
        </w:rPr>
      </w:pPr>
      <w:r>
        <w:rPr>
          <w:rFonts w:hint="eastAsia" w:ascii="宋体" w:hAnsi="宋体" w:eastAsia="宋体"/>
        </w:rPr>
        <w:t>4）检验项目结果极限值维护、当检验结果超过极限值后进行拦截；</w:t>
      </w:r>
    </w:p>
    <w:p w14:paraId="7BDC72B8">
      <w:pPr>
        <w:ind w:firstLine="480"/>
        <w:rPr>
          <w:rFonts w:ascii="宋体" w:hAnsi="宋体" w:eastAsia="宋体"/>
        </w:rPr>
      </w:pPr>
      <w:r>
        <w:rPr>
          <w:rFonts w:hint="eastAsia" w:ascii="宋体" w:hAnsi="宋体" w:eastAsia="宋体"/>
        </w:rPr>
        <w:t>5）检验结果正常值和危急值维护；</w:t>
      </w:r>
    </w:p>
    <w:p w14:paraId="2E4DA955">
      <w:pPr>
        <w:ind w:firstLine="480"/>
        <w:rPr>
          <w:rFonts w:ascii="宋体" w:hAnsi="宋体" w:eastAsia="宋体"/>
        </w:rPr>
      </w:pPr>
      <w:r>
        <w:rPr>
          <w:rFonts w:hint="eastAsia" w:ascii="宋体" w:hAnsi="宋体" w:eastAsia="宋体"/>
        </w:rPr>
        <w:t>6）检验结果根据生理周期维护参考值；</w:t>
      </w:r>
    </w:p>
    <w:p w14:paraId="21B1E92F">
      <w:pPr>
        <w:ind w:firstLine="480"/>
        <w:rPr>
          <w:rFonts w:ascii="宋体" w:hAnsi="宋体" w:eastAsia="宋体"/>
        </w:rPr>
      </w:pPr>
      <w:r>
        <w:rPr>
          <w:rFonts w:hint="eastAsia" w:ascii="宋体" w:hAnsi="宋体" w:eastAsia="宋体"/>
        </w:rPr>
        <w:t>7）检验结果根据临床诊断维护参考值；</w:t>
      </w:r>
    </w:p>
    <w:p w14:paraId="16C29D30">
      <w:pPr>
        <w:ind w:firstLine="480"/>
        <w:rPr>
          <w:rFonts w:ascii="宋体" w:hAnsi="宋体" w:eastAsia="宋体"/>
        </w:rPr>
      </w:pPr>
      <w:r>
        <w:rPr>
          <w:rFonts w:hint="eastAsia" w:ascii="宋体" w:hAnsi="宋体" w:eastAsia="宋体"/>
        </w:rPr>
        <w:t>8）检验项目包对应的采集要求、采集试管等维护；</w:t>
      </w:r>
    </w:p>
    <w:p w14:paraId="0D52BFE7">
      <w:pPr>
        <w:ind w:firstLine="480"/>
        <w:rPr>
          <w:rFonts w:ascii="宋体" w:hAnsi="宋体" w:eastAsia="宋体"/>
        </w:rPr>
      </w:pPr>
      <w:r>
        <w:rPr>
          <w:rFonts w:hint="eastAsia" w:ascii="宋体" w:hAnsi="宋体" w:eastAsia="宋体"/>
        </w:rPr>
        <w:t>9）维护检验项目临床意义，支持给临床医生诊断；</w:t>
      </w:r>
    </w:p>
    <w:p w14:paraId="404D9E6E">
      <w:pPr>
        <w:ind w:firstLine="480"/>
        <w:rPr>
          <w:rFonts w:ascii="宋体" w:hAnsi="宋体" w:eastAsia="宋体"/>
        </w:rPr>
      </w:pPr>
      <w:r>
        <w:rPr>
          <w:rFonts w:hint="eastAsia" w:ascii="宋体" w:hAnsi="宋体" w:eastAsia="宋体"/>
        </w:rPr>
        <w:t>10）检验项目规则维护、验证数据质量。</w:t>
      </w:r>
    </w:p>
    <w:p w14:paraId="7C5F0599">
      <w:pPr>
        <w:ind w:firstLine="480"/>
        <w:rPr>
          <w:rFonts w:ascii="宋体" w:hAnsi="宋体" w:eastAsia="宋体"/>
        </w:rPr>
      </w:pPr>
      <w:r>
        <w:rPr>
          <w:rFonts w:hint="eastAsia" w:ascii="宋体" w:hAnsi="宋体" w:eastAsia="宋体"/>
        </w:rPr>
        <w:t>11）检验项目公式维护，判定验证检验结果质量。</w:t>
      </w:r>
    </w:p>
    <w:p w14:paraId="66474AE3">
      <w:pPr>
        <w:ind w:firstLine="480"/>
        <w:rPr>
          <w:rFonts w:ascii="宋体" w:hAnsi="宋体" w:eastAsia="宋体"/>
        </w:rPr>
      </w:pPr>
      <w:r>
        <w:rPr>
          <w:rFonts w:hint="eastAsia" w:ascii="宋体" w:hAnsi="宋体" w:eastAsia="宋体"/>
        </w:rPr>
        <w:t>12）辅助审核规则维护，维护规则后，可根据规则拦截提示。</w:t>
      </w:r>
    </w:p>
    <w:p w14:paraId="7B9D562B">
      <w:pPr>
        <w:ind w:firstLine="480"/>
        <w:rPr>
          <w:rFonts w:ascii="宋体" w:hAnsi="宋体" w:eastAsia="宋体"/>
        </w:rPr>
      </w:pPr>
      <w:r>
        <w:rPr>
          <w:rFonts w:hint="eastAsia" w:ascii="宋体" w:hAnsi="宋体" w:eastAsia="宋体"/>
        </w:rPr>
        <w:t>13）检验报告单格式根据医院科室需求选择维护。</w:t>
      </w:r>
    </w:p>
    <w:p w14:paraId="7DB51E42">
      <w:pPr>
        <w:ind w:firstLine="480"/>
        <w:rPr>
          <w:rFonts w:ascii="宋体" w:hAnsi="宋体" w:eastAsia="宋体"/>
        </w:rPr>
      </w:pPr>
      <w:r>
        <w:rPr>
          <w:rFonts w:hint="eastAsia" w:ascii="宋体" w:hAnsi="宋体" w:eastAsia="宋体"/>
        </w:rPr>
        <w:t>14）系统数据安全管理：操作日志记录管理，例如登录系统IP地址、系统登录时间、登录人等信息；检测结果原始记录管理，如检验结果调整后应记录调整结果；审核的报告记录管理，记录报告的相关信息；需对检验信息进行加密存储和传输。</w:t>
      </w:r>
    </w:p>
    <w:p w14:paraId="3906C7A5">
      <w:pPr>
        <w:ind w:firstLine="480"/>
        <w:rPr>
          <w:rFonts w:ascii="宋体" w:hAnsi="宋体" w:eastAsia="宋体"/>
        </w:rPr>
      </w:pPr>
      <w:r>
        <w:rPr>
          <w:rFonts w:hint="eastAsia" w:ascii="宋体" w:hAnsi="宋体" w:eastAsia="宋体"/>
        </w:rPr>
        <w:t>15）系统消息管理：须具备通知类消息弹框提示、消息自动发送、消息图标提示、颜色区分和声音提示。包含但不限于系统更新消息、危急值消息、传染病消息、危急值闭环管理提示消息、标本拒收消息等，同时可自定义消息类型。</w:t>
      </w:r>
    </w:p>
    <w:p w14:paraId="2D27C114">
      <w:pPr>
        <w:pStyle w:val="5"/>
        <w:rPr>
          <w:rFonts w:ascii="宋体" w:hAnsi="宋体" w:eastAsia="宋体"/>
        </w:rPr>
      </w:pPr>
      <w:r>
        <w:rPr>
          <w:rFonts w:hint="eastAsia" w:ascii="宋体" w:hAnsi="宋体" w:eastAsia="宋体"/>
        </w:rPr>
        <w:t>查询与统计模块</w:t>
      </w:r>
    </w:p>
    <w:p w14:paraId="1A1C3E20">
      <w:pPr>
        <w:ind w:firstLine="480"/>
        <w:rPr>
          <w:rFonts w:ascii="宋体" w:hAnsi="宋体" w:eastAsia="宋体"/>
        </w:rPr>
      </w:pPr>
      <w:r>
        <w:rPr>
          <w:rFonts w:hint="eastAsia" w:ascii="宋体" w:hAnsi="宋体" w:eastAsia="宋体"/>
        </w:rPr>
        <w:t>1）实验报告查询：根据患者基本信息、申请医生、申请时间、实验医生、条形码、化验申请单、化验报告单、实验仪器、实验结果、报告状态等进行多条件查询和模糊查询。</w:t>
      </w:r>
    </w:p>
    <w:p w14:paraId="443ECBF4">
      <w:pPr>
        <w:ind w:firstLine="480"/>
        <w:rPr>
          <w:rFonts w:ascii="宋体" w:hAnsi="宋体" w:eastAsia="宋体"/>
        </w:rPr>
      </w:pPr>
      <w:r>
        <w:rPr>
          <w:rFonts w:hint="eastAsia" w:ascii="宋体" w:hAnsi="宋体" w:eastAsia="宋体"/>
        </w:rPr>
        <w:t>2）费用查询：根据患者基本信息、条形码、化验申请单查询相对应的费用情况。</w:t>
      </w:r>
    </w:p>
    <w:p w14:paraId="195AC26F">
      <w:pPr>
        <w:ind w:firstLine="480"/>
        <w:rPr>
          <w:rFonts w:ascii="宋体" w:hAnsi="宋体" w:eastAsia="宋体"/>
        </w:rPr>
      </w:pPr>
      <w:r>
        <w:rPr>
          <w:rFonts w:hint="eastAsia" w:ascii="宋体" w:hAnsi="宋体" w:eastAsia="宋体"/>
        </w:rPr>
        <w:t>3）实验项目查询：根据项目名称、类型、仪器、标本等关键信息查询实验科室所有项目信息。</w:t>
      </w:r>
    </w:p>
    <w:p w14:paraId="3D967F3B">
      <w:pPr>
        <w:ind w:firstLine="480"/>
        <w:rPr>
          <w:rFonts w:ascii="宋体" w:hAnsi="宋体" w:eastAsia="宋体"/>
        </w:rPr>
      </w:pPr>
      <w:r>
        <w:rPr>
          <w:rFonts w:hint="eastAsia" w:ascii="宋体" w:hAnsi="宋体" w:eastAsia="宋体"/>
        </w:rPr>
        <w:t>4）信息修改查询：具有查询患者信息、结果记录、批准记录等修改痕迹，具有显示修改前后所有内容，包括检查结果、操作者、审核者、批准者等信息。</w:t>
      </w:r>
    </w:p>
    <w:p w14:paraId="3E8A9E54">
      <w:pPr>
        <w:ind w:firstLine="480"/>
        <w:rPr>
          <w:rFonts w:ascii="宋体" w:hAnsi="宋体" w:eastAsia="宋体"/>
        </w:rPr>
      </w:pPr>
      <w:r>
        <w:rPr>
          <w:rFonts w:hint="eastAsia" w:ascii="宋体" w:hAnsi="宋体" w:eastAsia="宋体"/>
        </w:rPr>
        <w:t>5）异常结果的统计查询。</w:t>
      </w:r>
    </w:p>
    <w:p w14:paraId="6D9AD9D5">
      <w:pPr>
        <w:ind w:firstLine="480"/>
        <w:rPr>
          <w:rFonts w:ascii="宋体" w:hAnsi="宋体" w:eastAsia="宋体"/>
        </w:rPr>
      </w:pPr>
      <w:r>
        <w:rPr>
          <w:rFonts w:hint="eastAsia" w:ascii="宋体" w:hAnsi="宋体" w:eastAsia="宋体"/>
        </w:rPr>
        <w:t>6）科室收入、工作量、仪器收入等统计查询。</w:t>
      </w:r>
    </w:p>
    <w:p w14:paraId="51C72AFC">
      <w:pPr>
        <w:ind w:firstLine="480"/>
        <w:rPr>
          <w:rFonts w:ascii="宋体" w:hAnsi="宋体" w:eastAsia="宋体"/>
        </w:rPr>
      </w:pPr>
      <w:r>
        <w:rPr>
          <w:rFonts w:hint="eastAsia" w:ascii="宋体" w:hAnsi="宋体" w:eastAsia="宋体"/>
        </w:rPr>
        <w:t>7）临床检验统计：</w:t>
      </w:r>
    </w:p>
    <w:p w14:paraId="33FB1A1E">
      <w:pPr>
        <w:ind w:firstLine="630" w:firstLineChars="300"/>
        <w:rPr>
          <w:rFonts w:ascii="宋体" w:hAnsi="宋体" w:eastAsia="宋体"/>
        </w:rPr>
      </w:pPr>
      <w:r>
        <w:rPr>
          <w:rFonts w:hint="eastAsia" w:ascii="宋体" w:hAnsi="宋体" w:eastAsia="宋体"/>
        </w:rPr>
        <w:t>临床检验15个质量技术指标、TAT时间等能自动计算，TAT时间中错误数据能人工纠正。可依科室、病种、性别、年龄段等进行学术统计，能进行工作量、阳性率等统计。</w:t>
      </w:r>
    </w:p>
    <w:p w14:paraId="423368B8">
      <w:pPr>
        <w:ind w:firstLine="480"/>
        <w:rPr>
          <w:rFonts w:ascii="宋体" w:hAnsi="宋体" w:eastAsia="宋体"/>
        </w:rPr>
      </w:pPr>
      <w:r>
        <w:rPr>
          <w:rFonts w:hint="eastAsia" w:ascii="宋体" w:hAnsi="宋体" w:eastAsia="宋体"/>
        </w:rPr>
        <w:t>不合格标本通过LIS直接向临床加以提示，月末可统计、汇总。</w:t>
      </w:r>
    </w:p>
    <w:p w14:paraId="04F0740B">
      <w:pPr>
        <w:ind w:firstLine="420" w:firstLineChars="200"/>
        <w:rPr>
          <w:rFonts w:ascii="宋体" w:hAnsi="宋体" w:eastAsia="宋体"/>
        </w:rPr>
      </w:pPr>
      <w:r>
        <w:rPr>
          <w:rFonts w:hint="eastAsia" w:ascii="宋体" w:hAnsi="宋体" w:eastAsia="宋体"/>
        </w:rPr>
        <w:t>支持报告结果复制，报告结果合并。可以将一台设备的结果数据复制到另外一台设备上，并在打印报告时能区分不同设备的结果数据。</w:t>
      </w:r>
    </w:p>
    <w:p w14:paraId="7AAFD7F8">
      <w:pPr>
        <w:ind w:firstLine="420" w:firstLineChars="200"/>
        <w:rPr>
          <w:rFonts w:ascii="宋体" w:hAnsi="宋体" w:eastAsia="宋体"/>
        </w:rPr>
      </w:pPr>
      <w:r>
        <w:rPr>
          <w:rFonts w:hint="eastAsia" w:ascii="宋体" w:hAnsi="宋体" w:eastAsia="宋体"/>
        </w:rPr>
        <w:t>支持标本状态TAT管理。可以统计标本的采集到标本签收，标本签收到标本上机，标本上机到标本出报告的每个阶段的标本状态信息。</w:t>
      </w:r>
    </w:p>
    <w:p w14:paraId="61E81E5B">
      <w:pPr>
        <w:ind w:firstLine="420" w:firstLineChars="200"/>
        <w:rPr>
          <w:rFonts w:ascii="宋体" w:hAnsi="宋体" w:eastAsia="宋体"/>
        </w:rPr>
      </w:pPr>
      <w:r>
        <w:rPr>
          <w:rFonts w:hint="eastAsia" w:ascii="宋体" w:hAnsi="宋体" w:eastAsia="宋体"/>
        </w:rPr>
        <w:t>支持标本批量导入。</w:t>
      </w:r>
    </w:p>
    <w:p w14:paraId="0A390B96">
      <w:pPr>
        <w:pStyle w:val="5"/>
        <w:rPr>
          <w:rFonts w:ascii="宋体" w:hAnsi="宋体" w:eastAsia="宋体"/>
        </w:rPr>
      </w:pPr>
      <w:r>
        <w:rPr>
          <w:rFonts w:hint="eastAsia" w:ascii="宋体" w:hAnsi="宋体" w:eastAsia="宋体"/>
        </w:rPr>
        <w:t>检验结果信息共享模块</w:t>
      </w:r>
    </w:p>
    <w:p w14:paraId="301318BF">
      <w:pPr>
        <w:ind w:firstLine="480"/>
        <w:rPr>
          <w:rFonts w:ascii="宋体" w:hAnsi="宋体" w:eastAsia="宋体"/>
        </w:rPr>
      </w:pPr>
      <w:r>
        <w:rPr>
          <w:rFonts w:hint="eastAsia" w:ascii="宋体" w:hAnsi="宋体" w:eastAsia="宋体"/>
        </w:rPr>
        <w:t>1）检验结果须在医生工作站能查看到，同时支持移动端查看审核报告，可查看每项检验结果入院后历次结果的变化趋势图。</w:t>
      </w:r>
    </w:p>
    <w:p w14:paraId="5A1AA555">
      <w:pPr>
        <w:ind w:firstLine="480"/>
        <w:rPr>
          <w:rFonts w:ascii="宋体" w:hAnsi="宋体" w:eastAsia="宋体"/>
        </w:rPr>
      </w:pPr>
      <w:r>
        <w:rPr>
          <w:rFonts w:hint="eastAsia" w:ascii="宋体" w:hAnsi="宋体" w:eastAsia="宋体"/>
        </w:rPr>
        <w:t>2）支持同一项目可维护多钟标本类型并能在条码上体现并识别。</w:t>
      </w:r>
    </w:p>
    <w:p w14:paraId="1EC6BE3F">
      <w:pPr>
        <w:ind w:firstLine="480"/>
        <w:rPr>
          <w:rFonts w:ascii="宋体" w:hAnsi="宋体" w:eastAsia="宋体"/>
        </w:rPr>
      </w:pPr>
      <w:r>
        <w:rPr>
          <w:rFonts w:hint="eastAsia" w:ascii="宋体" w:hAnsi="宋体" w:eastAsia="宋体"/>
        </w:rPr>
        <w:t>3）全自动尿机干化学部分，（±）、（+）等符号能与数字相对应。</w:t>
      </w:r>
    </w:p>
    <w:p w14:paraId="56A56E9A">
      <w:pPr>
        <w:ind w:firstLine="480"/>
        <w:rPr>
          <w:rFonts w:ascii="宋体" w:hAnsi="宋体" w:eastAsia="宋体"/>
        </w:rPr>
      </w:pPr>
      <w:r>
        <w:rPr>
          <w:rFonts w:hint="eastAsia" w:ascii="宋体" w:hAnsi="宋体" w:eastAsia="宋体"/>
        </w:rPr>
        <w:t>4） 分科室进行报告打印，同时临床也可自主打印且打印模板与检验科相同。</w:t>
      </w:r>
    </w:p>
    <w:p w14:paraId="226814C8">
      <w:pPr>
        <w:ind w:firstLine="480"/>
        <w:rPr>
          <w:rFonts w:ascii="宋体" w:hAnsi="宋体" w:eastAsia="宋体"/>
        </w:rPr>
      </w:pPr>
      <w:r>
        <w:rPr>
          <w:rFonts w:hint="eastAsia" w:ascii="宋体" w:hAnsi="宋体" w:eastAsia="宋体"/>
        </w:rPr>
        <w:t>5）检验项目可以查看临床意义，检验项目参考值与年龄、性别自动关联。</w:t>
      </w:r>
    </w:p>
    <w:p w14:paraId="08532561">
      <w:pPr>
        <w:ind w:firstLine="480"/>
        <w:rPr>
          <w:rFonts w:ascii="宋体" w:hAnsi="宋体" w:eastAsia="宋体"/>
        </w:rPr>
      </w:pPr>
      <w:r>
        <w:rPr>
          <w:rFonts w:hint="eastAsia" w:ascii="宋体" w:hAnsi="宋体" w:eastAsia="宋体"/>
        </w:rPr>
        <w:t>6）具备添加复检规则，在此规则下对要复检标本加以提示。</w:t>
      </w:r>
    </w:p>
    <w:p w14:paraId="5980107A">
      <w:pPr>
        <w:ind w:firstLine="480"/>
        <w:rPr>
          <w:rFonts w:ascii="宋体" w:hAnsi="宋体" w:eastAsia="宋体"/>
        </w:rPr>
      </w:pPr>
      <w:r>
        <w:rPr>
          <w:rFonts w:hint="eastAsia" w:ascii="宋体" w:hAnsi="宋体" w:eastAsia="宋体"/>
        </w:rPr>
        <w:t>7）支持在报告审核时能够浏览患者病历信息。</w:t>
      </w:r>
    </w:p>
    <w:p w14:paraId="31D2EA69">
      <w:pPr>
        <w:ind w:firstLine="480"/>
        <w:rPr>
          <w:rFonts w:ascii="宋体" w:hAnsi="宋体" w:eastAsia="宋体"/>
        </w:rPr>
      </w:pPr>
      <w:r>
        <w:rPr>
          <w:rFonts w:hint="eastAsia" w:ascii="宋体" w:hAnsi="宋体" w:eastAsia="宋体"/>
        </w:rPr>
        <w:t>8）提供样本状态跟踪，可及时知晓样本处理情况。</w:t>
      </w:r>
    </w:p>
    <w:p w14:paraId="7721AF7B">
      <w:pPr>
        <w:ind w:firstLine="480"/>
        <w:rPr>
          <w:rFonts w:ascii="宋体" w:hAnsi="宋体" w:eastAsia="宋体"/>
        </w:rPr>
      </w:pPr>
      <w:r>
        <w:rPr>
          <w:rFonts w:hint="eastAsia" w:ascii="宋体" w:hAnsi="宋体" w:eastAsia="宋体"/>
        </w:rPr>
        <w:t>9）要求已检测、已打印条码、已退费的不能再次打印条码，并在再次打印时有所提示，即使要补打应有补打字样，并有相关权限。</w:t>
      </w:r>
    </w:p>
    <w:p w14:paraId="54313075">
      <w:pPr>
        <w:pStyle w:val="5"/>
        <w:rPr>
          <w:rFonts w:ascii="宋体" w:hAnsi="宋体" w:eastAsia="宋体"/>
        </w:rPr>
      </w:pPr>
      <w:r>
        <w:rPr>
          <w:rFonts w:hint="eastAsia" w:ascii="宋体" w:hAnsi="宋体" w:eastAsia="宋体"/>
        </w:rPr>
        <w:t>临床报告打印</w:t>
      </w:r>
    </w:p>
    <w:p w14:paraId="60F66CD5">
      <w:pPr>
        <w:ind w:firstLine="480"/>
        <w:rPr>
          <w:rFonts w:ascii="宋体" w:hAnsi="宋体" w:eastAsia="宋体"/>
        </w:rPr>
      </w:pPr>
      <w:r>
        <w:rPr>
          <w:rFonts w:hint="eastAsia" w:ascii="宋体" w:hAnsi="宋体" w:eastAsia="宋体"/>
        </w:rPr>
        <w:t>1）通过病人ID、病人主索引、电子健康卡等信息查询患者检验报告，能区分出报告状态，如检测中、已审核、已打印等；可按科室或者病区查询在检验系统上机的样本信息。</w:t>
      </w:r>
    </w:p>
    <w:p w14:paraId="59B6C724">
      <w:pPr>
        <w:ind w:firstLine="480"/>
        <w:rPr>
          <w:rFonts w:ascii="宋体" w:hAnsi="宋体" w:eastAsia="宋体"/>
        </w:rPr>
      </w:pPr>
      <w:r>
        <w:rPr>
          <w:rFonts w:hint="eastAsia" w:ascii="宋体" w:hAnsi="宋体" w:eastAsia="宋体"/>
        </w:rPr>
        <w:t>2）查看样本的检验结果、异常结果颜色区分。</w:t>
      </w:r>
    </w:p>
    <w:p w14:paraId="2E59B6DF">
      <w:pPr>
        <w:ind w:firstLine="480"/>
        <w:rPr>
          <w:rFonts w:ascii="宋体" w:hAnsi="宋体" w:eastAsia="宋体"/>
        </w:rPr>
      </w:pPr>
      <w:r>
        <w:rPr>
          <w:rFonts w:hint="eastAsia" w:ascii="宋体" w:hAnsi="宋体" w:eastAsia="宋体"/>
        </w:rPr>
        <w:t>3）可使用曲线图显示病人的历次结果，方便临床医生查看病人检验指标变化，</w:t>
      </w:r>
    </w:p>
    <w:p w14:paraId="4D338699">
      <w:pPr>
        <w:ind w:firstLine="480"/>
        <w:rPr>
          <w:rFonts w:ascii="宋体" w:hAnsi="宋体" w:eastAsia="宋体"/>
        </w:rPr>
      </w:pPr>
      <w:r>
        <w:rPr>
          <w:rFonts w:hint="eastAsia" w:ascii="宋体" w:hAnsi="宋体" w:eastAsia="宋体"/>
        </w:rPr>
        <w:t>4）可批量打印检验报告。</w:t>
      </w:r>
    </w:p>
    <w:p w14:paraId="0CE30745">
      <w:pPr>
        <w:ind w:firstLine="480"/>
        <w:rPr>
          <w:rFonts w:ascii="宋体" w:hAnsi="宋体" w:eastAsia="宋体"/>
        </w:rPr>
      </w:pPr>
      <w:r>
        <w:rPr>
          <w:rFonts w:hint="eastAsia" w:ascii="宋体" w:hAnsi="宋体" w:eastAsia="宋体"/>
        </w:rPr>
        <w:t>5）提供数据对照提示数据变化比率，对照结果能具体到某一天。</w:t>
      </w:r>
    </w:p>
    <w:p w14:paraId="3F8205A7">
      <w:pPr>
        <w:ind w:firstLine="480"/>
        <w:rPr>
          <w:rFonts w:ascii="宋体" w:hAnsi="宋体" w:eastAsia="宋体"/>
        </w:rPr>
      </w:pPr>
      <w:r>
        <w:rPr>
          <w:rFonts w:hint="eastAsia" w:ascii="宋体" w:hAnsi="宋体" w:eastAsia="宋体"/>
        </w:rPr>
        <w:t>6）实现医生查看检验结果临床意义、方便医生获取更多的参考意见。</w:t>
      </w:r>
    </w:p>
    <w:p w14:paraId="53F19411">
      <w:pPr>
        <w:pStyle w:val="4"/>
        <w:rPr>
          <w:rFonts w:ascii="宋体" w:hAnsi="宋体"/>
        </w:rPr>
      </w:pPr>
      <w:r>
        <w:rPr>
          <w:rFonts w:hint="eastAsia" w:ascii="宋体" w:hAnsi="宋体"/>
        </w:rPr>
        <w:t>LIS系统扩建</w:t>
      </w:r>
    </w:p>
    <w:p w14:paraId="0379DC55">
      <w:pPr>
        <w:pStyle w:val="5"/>
      </w:pPr>
      <w:r>
        <w:rPr>
          <w:rFonts w:hint="eastAsia"/>
        </w:rPr>
        <w:t>试剂管理系统</w:t>
      </w:r>
    </w:p>
    <w:p w14:paraId="1FB9A673">
      <w:pPr>
        <w:ind w:firstLine="480"/>
        <w:rPr>
          <w:rFonts w:ascii="宋体" w:hAnsi="宋体" w:eastAsia="宋体"/>
        </w:rPr>
      </w:pPr>
      <w:r>
        <w:rPr>
          <w:rFonts w:hint="eastAsia" w:ascii="宋体" w:hAnsi="宋体" w:eastAsia="宋体"/>
        </w:rPr>
        <w:t>实现试剂的采购、入出库、调拨、试剂过期预警、高于上限或低于下限预警、资质过期预警、统计、基础数据设置及权限管理等。</w:t>
      </w:r>
    </w:p>
    <w:p w14:paraId="32155765">
      <w:pPr>
        <w:ind w:firstLine="482"/>
        <w:rPr>
          <w:rFonts w:ascii="宋体" w:hAnsi="宋体" w:eastAsia="宋体"/>
        </w:rPr>
      </w:pPr>
      <w:r>
        <w:rPr>
          <w:rFonts w:hint="eastAsia" w:ascii="宋体" w:hAnsi="宋体" w:eastAsia="宋体"/>
        </w:rPr>
        <w:t>（1）基础数据管理：基础数据至少包含存放地点、试剂准备管理、包装单位管理、存储条件管理、供应商管理、生产商管理、试剂信息、试剂检验项目管理、专业组仪器管理、试剂项目包管理、试剂临床科室管理、参数配置管理、项目试剂消耗、耗材专业组管理、数据纸质类型；</w:t>
      </w:r>
    </w:p>
    <w:p w14:paraId="7BAEA2B5">
      <w:pPr>
        <w:ind w:firstLine="482"/>
        <w:rPr>
          <w:rFonts w:ascii="宋体" w:hAnsi="宋体" w:eastAsia="宋体"/>
        </w:rPr>
      </w:pPr>
      <w:r>
        <w:rPr>
          <w:rFonts w:hint="eastAsia" w:ascii="宋体" w:hAnsi="宋体" w:eastAsia="宋体"/>
        </w:rPr>
        <w:t>（2）试剂采购管理：采购计划、采购计划审核、采购订单及查询；</w:t>
      </w:r>
    </w:p>
    <w:p w14:paraId="5DCE9650">
      <w:pPr>
        <w:ind w:firstLine="482"/>
        <w:rPr>
          <w:rFonts w:ascii="宋体" w:hAnsi="宋体" w:eastAsia="宋体"/>
        </w:rPr>
      </w:pPr>
      <w:r>
        <w:rPr>
          <w:rFonts w:hint="eastAsia" w:ascii="宋体" w:hAnsi="宋体" w:eastAsia="宋体"/>
        </w:rPr>
        <w:t>（3）试剂入库管理：试剂入库审核；入库记录查询；代码录入试剂；试剂入库产生唯一条码标识；自动生成入库单号；</w:t>
      </w:r>
    </w:p>
    <w:p w14:paraId="1AA4370C">
      <w:pPr>
        <w:ind w:firstLine="482"/>
        <w:rPr>
          <w:rFonts w:ascii="宋体" w:hAnsi="宋体" w:eastAsia="宋体"/>
        </w:rPr>
      </w:pPr>
      <w:r>
        <w:rPr>
          <w:rFonts w:hint="eastAsia" w:ascii="宋体" w:hAnsi="宋体" w:eastAsia="宋体"/>
        </w:rPr>
        <w:t>（4）试剂出库管理：代码检索试剂；自动生成出库单号；自动选择靠后批号的试剂；自动填充入库数量和价格；过期试剂提示；试剂扫描条码出库、试剂出库审核、出库记录查询、临床科室出库、临床科室出库审核、临床科室记录查询、耗材专业组出库、耗材专业组审核、耗材专业组查询；</w:t>
      </w:r>
    </w:p>
    <w:p w14:paraId="5460327D">
      <w:pPr>
        <w:ind w:firstLine="482"/>
        <w:rPr>
          <w:rFonts w:ascii="宋体" w:hAnsi="宋体" w:eastAsia="宋体"/>
        </w:rPr>
      </w:pPr>
      <w:r>
        <w:rPr>
          <w:rFonts w:hint="eastAsia" w:ascii="宋体" w:hAnsi="宋体" w:eastAsia="宋体"/>
        </w:rPr>
        <w:t>（5）试剂使用管理：项目维护对应的检测试剂，支持每个包装试剂使用到具体设备上，支持设备消耗试剂统计，可统计试剂检测人员，实现成本核算。</w:t>
      </w:r>
    </w:p>
    <w:p w14:paraId="4BBF99AA">
      <w:pPr>
        <w:ind w:firstLine="482"/>
        <w:rPr>
          <w:rFonts w:ascii="宋体" w:hAnsi="宋体" w:eastAsia="宋体"/>
        </w:rPr>
      </w:pPr>
      <w:r>
        <w:rPr>
          <w:rFonts w:hint="eastAsia" w:ascii="宋体" w:hAnsi="宋体" w:eastAsia="宋体"/>
        </w:rPr>
        <w:t>（6）试剂有效期提醒：如有过期或即将过期试剂立即弹出列表框提示，红色提示试剂已过期，蓝色提示试剂即将过期。出库时如遇过期试剂，警示并提示应报废该试剂；</w:t>
      </w:r>
    </w:p>
    <w:p w14:paraId="45DFEB32">
      <w:pPr>
        <w:ind w:firstLine="482"/>
        <w:rPr>
          <w:rFonts w:ascii="宋体" w:hAnsi="宋体" w:eastAsia="宋体"/>
        </w:rPr>
      </w:pPr>
      <w:r>
        <w:rPr>
          <w:rFonts w:hint="eastAsia" w:ascii="宋体" w:hAnsi="宋体" w:eastAsia="宋体"/>
        </w:rPr>
        <w:t>（7）LIS系统的试剂条码化管理：试剂入库可打印条形码，标记试剂的唯一性，在使用过程中扫描使用，可追溯试剂使用的环节信息。</w:t>
      </w:r>
    </w:p>
    <w:p w14:paraId="2B7790E0">
      <w:pPr>
        <w:ind w:firstLine="482"/>
        <w:rPr>
          <w:rFonts w:ascii="宋体" w:hAnsi="宋体" w:eastAsia="宋体"/>
        </w:rPr>
      </w:pPr>
      <w:r>
        <w:rPr>
          <w:rFonts w:hint="eastAsia" w:ascii="宋体" w:hAnsi="宋体" w:eastAsia="宋体"/>
        </w:rPr>
        <w:t>（8）试剂统计分析：试剂绩效统计分析、试剂库存汇总统计、试剂年度出库统计；试剂供应商统计、试剂生产厂商统计、试剂绩效统计、试剂采购统计、试剂入库统计、试剂划拨统计、试剂库存统计、试剂出库统计、试剂使用统计（按照设备统计）、试剂使用统计（按照组别）、试剂成本核算统计、试剂临床科室统计、耗材专业组统计；</w:t>
      </w:r>
    </w:p>
    <w:p w14:paraId="625B608B">
      <w:pPr>
        <w:ind w:firstLine="482"/>
        <w:rPr>
          <w:rFonts w:ascii="宋体" w:hAnsi="宋体" w:eastAsia="宋体"/>
        </w:rPr>
      </w:pPr>
      <w:r>
        <w:rPr>
          <w:rFonts w:hint="eastAsia" w:ascii="宋体" w:hAnsi="宋体" w:eastAsia="宋体"/>
        </w:rPr>
        <w:t>（9）试剂查询：试剂库存查询、试剂使用查询、试剂条码查询、总账明细查询、试剂出入库明细查询；</w:t>
      </w:r>
    </w:p>
    <w:p w14:paraId="1F37501C">
      <w:pPr>
        <w:ind w:firstLine="482"/>
        <w:rPr>
          <w:rFonts w:ascii="宋体" w:hAnsi="宋体" w:eastAsia="宋体"/>
        </w:rPr>
      </w:pPr>
      <w:r>
        <w:rPr>
          <w:rFonts w:hint="eastAsia" w:ascii="宋体" w:hAnsi="宋体" w:eastAsia="宋体"/>
        </w:rPr>
        <w:t>（10）试剂智能安全管理：支持试剂库存盘点备份；试剂预警中心；试剂资质管理：试剂资质、生产商资质、供应商资质；试剂销毁管理。</w:t>
      </w:r>
    </w:p>
    <w:p w14:paraId="780ACE11">
      <w:pPr>
        <w:pStyle w:val="5"/>
      </w:pPr>
      <w:r>
        <w:rPr>
          <w:rFonts w:hint="eastAsia"/>
        </w:rPr>
        <w:t>危急值管理系统</w:t>
      </w:r>
    </w:p>
    <w:p w14:paraId="7815533D">
      <w:pPr>
        <w:rPr>
          <w:rFonts w:ascii="宋体" w:hAnsi="宋体" w:eastAsia="宋体"/>
        </w:rPr>
      </w:pPr>
      <w:r>
        <w:rPr>
          <w:rFonts w:hint="eastAsia" w:ascii="宋体" w:hAnsi="宋体" w:eastAsia="宋体"/>
        </w:rPr>
        <w:t>（1）基础数据管理</w:t>
      </w:r>
    </w:p>
    <w:p w14:paraId="0FD1FC5E">
      <w:pPr>
        <w:ind w:firstLine="480"/>
        <w:rPr>
          <w:rFonts w:ascii="宋体" w:hAnsi="宋体" w:eastAsia="宋体"/>
        </w:rPr>
      </w:pPr>
      <w:r>
        <w:rPr>
          <w:rFonts w:hint="eastAsia" w:ascii="宋体" w:hAnsi="宋体" w:eastAsia="宋体"/>
        </w:rPr>
        <w:t>1）危急值类型管理：新增、修改、删除危急值所属项目类型。</w:t>
      </w:r>
    </w:p>
    <w:p w14:paraId="26DECACF">
      <w:pPr>
        <w:ind w:firstLine="480"/>
        <w:rPr>
          <w:rFonts w:ascii="宋体" w:hAnsi="宋体" w:eastAsia="宋体"/>
        </w:rPr>
      </w:pPr>
      <w:r>
        <w:rPr>
          <w:rFonts w:hint="eastAsia" w:ascii="宋体" w:hAnsi="宋体" w:eastAsia="宋体"/>
        </w:rPr>
        <w:t>2）危急值项目维护：对危急值的各类项目进行设置和管理，支持项目的导入和导出。</w:t>
      </w:r>
    </w:p>
    <w:p w14:paraId="18FC214E">
      <w:pPr>
        <w:ind w:firstLine="480"/>
        <w:rPr>
          <w:rFonts w:ascii="宋体" w:hAnsi="宋体" w:eastAsia="宋体"/>
        </w:rPr>
      </w:pPr>
      <w:r>
        <w:rPr>
          <w:rFonts w:hint="eastAsia" w:ascii="宋体" w:hAnsi="宋体" w:eastAsia="宋体"/>
        </w:rPr>
        <w:t>3）消息处理意见维护：危急值确认消息字典维护，消息处理意见的新增、修改、删除。</w:t>
      </w:r>
    </w:p>
    <w:p w14:paraId="038C7C33">
      <w:pPr>
        <w:ind w:firstLine="480"/>
        <w:rPr>
          <w:rFonts w:ascii="宋体" w:hAnsi="宋体" w:eastAsia="宋体"/>
        </w:rPr>
      </w:pPr>
      <w:r>
        <w:rPr>
          <w:rFonts w:hint="eastAsia" w:ascii="宋体" w:hAnsi="宋体" w:eastAsia="宋体"/>
        </w:rPr>
        <w:t>4）执行条件维护：危急值信息的执行前置条件维护，支持患者信息或疾病名称的维护。</w:t>
      </w:r>
    </w:p>
    <w:p w14:paraId="08610168">
      <w:pPr>
        <w:ind w:firstLine="480"/>
        <w:rPr>
          <w:rFonts w:ascii="宋体" w:hAnsi="宋体" w:eastAsia="宋体"/>
        </w:rPr>
      </w:pPr>
      <w:r>
        <w:rPr>
          <w:rFonts w:hint="eastAsia" w:ascii="宋体" w:hAnsi="宋体" w:eastAsia="宋体"/>
        </w:rPr>
        <w:t>5）危险程度维护：危急值项目严重程度的维护，不同的危险程度可有不同的处理方案。</w:t>
      </w:r>
    </w:p>
    <w:p w14:paraId="78CAC2C3">
      <w:pPr>
        <w:ind w:firstLine="480"/>
        <w:rPr>
          <w:rFonts w:ascii="宋体" w:hAnsi="宋体" w:eastAsia="宋体"/>
        </w:rPr>
      </w:pPr>
      <w:r>
        <w:rPr>
          <w:rFonts w:hint="eastAsia" w:ascii="宋体" w:hAnsi="宋体" w:eastAsia="宋体"/>
        </w:rPr>
        <w:t>6）危急值规则维护：危急值项目和结果范围管理，依据危急值判定规则，对符合危急值的检验检查结果配置醒目的提醒（如标志颜色）。</w:t>
      </w:r>
    </w:p>
    <w:p w14:paraId="03F621EF">
      <w:pPr>
        <w:rPr>
          <w:rFonts w:ascii="宋体" w:hAnsi="宋体" w:eastAsia="宋体"/>
        </w:rPr>
      </w:pPr>
      <w:r>
        <w:rPr>
          <w:rFonts w:hint="eastAsia" w:ascii="宋体" w:hAnsi="宋体" w:eastAsia="宋体"/>
        </w:rPr>
        <w:t>（2）</w:t>
      </w:r>
      <w:r>
        <w:rPr>
          <w:rFonts w:ascii="宋体" w:hAnsi="宋体" w:eastAsia="宋体"/>
        </w:rPr>
        <w:t>危急值管理</w:t>
      </w:r>
    </w:p>
    <w:p w14:paraId="7584CB8E">
      <w:pPr>
        <w:ind w:firstLine="420" w:firstLineChars="200"/>
        <w:rPr>
          <w:rFonts w:ascii="宋体" w:hAnsi="宋体" w:eastAsia="宋体"/>
        </w:rPr>
      </w:pPr>
      <w:r>
        <w:rPr>
          <w:rFonts w:ascii="宋体" w:hAnsi="宋体" w:eastAsia="宋体"/>
        </w:rPr>
        <w:t>1）上传记录管理</w:t>
      </w:r>
      <w:r>
        <w:rPr>
          <w:rFonts w:hint="eastAsia" w:ascii="宋体" w:hAnsi="宋体" w:eastAsia="宋体"/>
        </w:rPr>
        <w:t>：</w:t>
      </w:r>
      <w:r>
        <w:rPr>
          <w:rFonts w:ascii="宋体" w:hAnsi="宋体" w:eastAsia="宋体"/>
        </w:rPr>
        <w:t>接收来自业务系统的危急值信息，业务系统通过接口上传。</w:t>
      </w:r>
      <w:r>
        <w:rPr>
          <w:rFonts w:hint="eastAsia" w:ascii="宋体" w:hAnsi="宋体" w:eastAsia="宋体"/>
        </w:rPr>
        <w:t>可通过</w:t>
      </w:r>
      <w:r>
        <w:rPr>
          <w:rFonts w:ascii="宋体" w:hAnsi="宋体" w:eastAsia="宋体"/>
        </w:rPr>
        <w:t>患者姓名或就诊号、条码号、申请单号等关键字进行危急值信息的查询。</w:t>
      </w:r>
      <w:r>
        <w:rPr>
          <w:rFonts w:hint="eastAsia" w:ascii="宋体" w:hAnsi="宋体" w:eastAsia="宋体"/>
        </w:rPr>
        <w:t>可</w:t>
      </w:r>
      <w:r>
        <w:rPr>
          <w:rFonts w:ascii="宋体" w:hAnsi="宋体" w:eastAsia="宋体"/>
        </w:rPr>
        <w:t>导出危急值信息记录。</w:t>
      </w:r>
    </w:p>
    <w:p w14:paraId="3D26C8FF">
      <w:pPr>
        <w:ind w:firstLine="420" w:firstLineChars="200"/>
        <w:rPr>
          <w:rFonts w:ascii="宋体" w:hAnsi="宋体" w:eastAsia="宋体"/>
        </w:rPr>
      </w:pPr>
      <w:r>
        <w:rPr>
          <w:rFonts w:ascii="宋体" w:hAnsi="宋体" w:eastAsia="宋体"/>
        </w:rPr>
        <w:t>2）工作站消息管理</w:t>
      </w:r>
      <w:r>
        <w:rPr>
          <w:rFonts w:hint="eastAsia" w:ascii="宋体" w:hAnsi="宋体" w:eastAsia="宋体"/>
        </w:rPr>
        <w:t>：</w:t>
      </w:r>
      <w:r>
        <w:rPr>
          <w:rFonts w:ascii="宋体" w:hAnsi="宋体" w:eastAsia="宋体"/>
        </w:rPr>
        <w:t>通过消息机制（包括网络、短信、预警信息等方式），支持科室大屏提醒危急值、电脑端提醒危急值，支持危急值发送到临床医生及护士。危急值消息需医生护士对消息回复后方可取消提醒。</w:t>
      </w:r>
      <w:r>
        <w:rPr>
          <w:rFonts w:hint="eastAsia" w:ascii="宋体" w:hAnsi="宋体" w:eastAsia="宋体"/>
        </w:rPr>
        <w:t>可</w:t>
      </w:r>
      <w:r>
        <w:rPr>
          <w:rFonts w:ascii="宋体" w:hAnsi="宋体" w:eastAsia="宋体"/>
        </w:rPr>
        <w:t>按医生或患者进行危急值消息的检索。</w:t>
      </w:r>
      <w:r>
        <w:rPr>
          <w:rFonts w:hint="eastAsia" w:ascii="宋体" w:hAnsi="宋体" w:eastAsia="宋体"/>
        </w:rPr>
        <w:t>能</w:t>
      </w:r>
      <w:r>
        <w:rPr>
          <w:rFonts w:ascii="宋体" w:hAnsi="宋体" w:eastAsia="宋体"/>
        </w:rPr>
        <w:t>对危急值消息进行处理意见的记录。</w:t>
      </w:r>
    </w:p>
    <w:p w14:paraId="34A06A94">
      <w:pPr>
        <w:ind w:firstLine="420" w:firstLineChars="200"/>
        <w:rPr>
          <w:rFonts w:ascii="宋体" w:hAnsi="宋体" w:eastAsia="宋体"/>
        </w:rPr>
      </w:pPr>
      <w:r>
        <w:rPr>
          <w:rFonts w:ascii="宋体" w:hAnsi="宋体" w:eastAsia="宋体"/>
        </w:rPr>
        <w:t>3）危急值闭环</w:t>
      </w:r>
      <w:r>
        <w:rPr>
          <w:rFonts w:hint="eastAsia" w:ascii="宋体" w:hAnsi="宋体" w:eastAsia="宋体"/>
        </w:rPr>
        <w:t>：要求与相关系统无缝对接，</w:t>
      </w:r>
      <w:r>
        <w:rPr>
          <w:rFonts w:ascii="宋体" w:hAnsi="宋体" w:eastAsia="宋体"/>
        </w:rPr>
        <w:t>医技科室检测到危急值，到医生收到危急值预警信息，以及医生处治危急值整个过程实现闭环管理。</w:t>
      </w:r>
    </w:p>
    <w:p w14:paraId="1B4FBA9C">
      <w:pPr>
        <w:rPr>
          <w:rFonts w:ascii="宋体" w:hAnsi="宋体" w:eastAsia="宋体"/>
        </w:rPr>
      </w:pPr>
      <w:r>
        <w:rPr>
          <w:rFonts w:hint="eastAsia" w:ascii="宋体" w:hAnsi="宋体" w:eastAsia="宋体"/>
        </w:rPr>
        <w:t>（3）</w:t>
      </w:r>
      <w:r>
        <w:rPr>
          <w:rFonts w:ascii="宋体" w:hAnsi="宋体" w:eastAsia="宋体"/>
        </w:rPr>
        <w:t>统计分析</w:t>
      </w:r>
    </w:p>
    <w:p w14:paraId="25C0A09E">
      <w:pPr>
        <w:ind w:firstLine="480"/>
        <w:rPr>
          <w:rFonts w:ascii="宋体" w:hAnsi="宋体" w:eastAsia="宋体"/>
        </w:rPr>
      </w:pPr>
      <w:r>
        <w:rPr>
          <w:rFonts w:hint="eastAsia" w:ascii="宋体" w:hAnsi="宋体" w:eastAsia="宋体"/>
        </w:rPr>
        <w:t>1）须提供</w:t>
      </w:r>
      <w:r>
        <w:rPr>
          <w:rFonts w:ascii="宋体" w:hAnsi="宋体" w:eastAsia="宋体"/>
        </w:rPr>
        <w:t>全院危急值统计</w:t>
      </w:r>
      <w:r>
        <w:rPr>
          <w:rFonts w:hint="eastAsia" w:ascii="宋体" w:hAnsi="宋体" w:eastAsia="宋体"/>
        </w:rPr>
        <w:t>查询、</w:t>
      </w:r>
      <w:r>
        <w:rPr>
          <w:rFonts w:ascii="宋体" w:hAnsi="宋体" w:eastAsia="宋体"/>
        </w:rPr>
        <w:t>危急值处置监控</w:t>
      </w:r>
      <w:r>
        <w:rPr>
          <w:rFonts w:hint="eastAsia" w:ascii="宋体" w:hAnsi="宋体" w:eastAsia="宋体"/>
        </w:rPr>
        <w:t>、</w:t>
      </w:r>
      <w:r>
        <w:rPr>
          <w:rFonts w:ascii="宋体" w:hAnsi="宋体" w:eastAsia="宋体"/>
        </w:rPr>
        <w:t>危急值指标统计</w:t>
      </w:r>
      <w:r>
        <w:rPr>
          <w:rFonts w:hint="eastAsia" w:ascii="宋体" w:hAnsi="宋体" w:eastAsia="宋体"/>
        </w:rPr>
        <w:t>等</w:t>
      </w:r>
    </w:p>
    <w:p w14:paraId="012930E6">
      <w:pPr>
        <w:ind w:firstLine="480"/>
        <w:rPr>
          <w:rFonts w:ascii="宋体" w:hAnsi="宋体" w:eastAsia="宋体"/>
        </w:rPr>
      </w:pPr>
      <w:r>
        <w:rPr>
          <w:rFonts w:hint="eastAsia" w:ascii="宋体" w:hAnsi="宋体" w:eastAsia="宋体"/>
        </w:rPr>
        <w:t>2）提供</w:t>
      </w:r>
      <w:r>
        <w:rPr>
          <w:rFonts w:ascii="宋体" w:hAnsi="宋体" w:eastAsia="宋体"/>
        </w:rPr>
        <w:t>危急值发生率统计、危机值确认率统计、危机值分布时间统计、危机值及时有效率、危机值报告临床科室处理率</w:t>
      </w:r>
      <w:r>
        <w:rPr>
          <w:rFonts w:hint="eastAsia" w:ascii="宋体" w:hAnsi="宋体" w:eastAsia="宋体"/>
        </w:rPr>
        <w:t>等分析</w:t>
      </w:r>
      <w:r>
        <w:rPr>
          <w:rFonts w:ascii="宋体" w:hAnsi="宋体" w:eastAsia="宋体"/>
        </w:rPr>
        <w:t>。</w:t>
      </w:r>
    </w:p>
    <w:p w14:paraId="5222D156">
      <w:pPr>
        <w:pStyle w:val="5"/>
      </w:pPr>
      <w:r>
        <w:rPr>
          <w:rFonts w:hint="eastAsia"/>
        </w:rPr>
        <w:t>实验室质控管理</w:t>
      </w:r>
    </w:p>
    <w:p w14:paraId="551D1BD9">
      <w:pPr>
        <w:rPr>
          <w:rFonts w:ascii="宋体" w:hAnsi="宋体" w:eastAsia="宋体"/>
        </w:rPr>
      </w:pPr>
      <w:r>
        <w:rPr>
          <w:rFonts w:hint="eastAsia" w:ascii="宋体" w:hAnsi="宋体" w:eastAsia="宋体"/>
        </w:rPr>
        <w:t>（1）质控规则管理：</w:t>
      </w:r>
    </w:p>
    <w:p w14:paraId="43ABE79E">
      <w:pPr>
        <w:ind w:firstLine="480"/>
        <w:rPr>
          <w:rFonts w:ascii="宋体" w:hAnsi="宋体" w:eastAsia="宋体"/>
        </w:rPr>
      </w:pPr>
      <w:r>
        <w:rPr>
          <w:rFonts w:hint="eastAsia" w:ascii="宋体" w:hAnsi="宋体" w:eastAsia="宋体"/>
        </w:rPr>
        <w:t>1）N-xS：连续N个结果超过x倍标准差，如：1_2S,2_1S；</w:t>
      </w:r>
    </w:p>
    <w:p w14:paraId="67A312ED">
      <w:pPr>
        <w:ind w:firstLine="480"/>
        <w:rPr>
          <w:rFonts w:ascii="宋体" w:hAnsi="宋体" w:eastAsia="宋体"/>
        </w:rPr>
      </w:pPr>
      <w:r>
        <w:rPr>
          <w:rFonts w:hint="eastAsia" w:ascii="宋体" w:hAnsi="宋体" w:eastAsia="宋体"/>
        </w:rPr>
        <w:t>2）N-T：连续N个结果向上或向下的趋势,如7T；</w:t>
      </w:r>
    </w:p>
    <w:p w14:paraId="35D10436">
      <w:pPr>
        <w:ind w:firstLine="480"/>
        <w:rPr>
          <w:rFonts w:ascii="宋体" w:hAnsi="宋体" w:eastAsia="宋体"/>
        </w:rPr>
      </w:pPr>
      <w:r>
        <w:rPr>
          <w:rFonts w:hint="eastAsia" w:ascii="宋体" w:hAnsi="宋体" w:eastAsia="宋体"/>
        </w:rPr>
        <w:t>3）N-X：连续N个结果在平均数的一侧,如6X；R-xS：极差超过x倍标准差,如R_4S;可将规则明细打包成规则包，简便维护。</w:t>
      </w:r>
    </w:p>
    <w:p w14:paraId="5CA7E42E">
      <w:pPr>
        <w:rPr>
          <w:rFonts w:ascii="宋体" w:hAnsi="宋体" w:eastAsia="宋体"/>
        </w:rPr>
      </w:pPr>
      <w:r>
        <w:rPr>
          <w:rFonts w:hint="eastAsia" w:ascii="宋体" w:hAnsi="宋体" w:eastAsia="宋体"/>
        </w:rPr>
        <w:t>（2）质控物维护管理：</w:t>
      </w:r>
    </w:p>
    <w:p w14:paraId="19CBB2BF">
      <w:pPr>
        <w:ind w:firstLine="480"/>
        <w:rPr>
          <w:rFonts w:ascii="宋体" w:hAnsi="宋体" w:eastAsia="宋体"/>
        </w:rPr>
      </w:pPr>
      <w:r>
        <w:rPr>
          <w:rFonts w:hint="eastAsia" w:ascii="宋体" w:hAnsi="宋体" w:eastAsia="宋体"/>
        </w:rPr>
        <w:t>1）质控物基本信息添加：包括名称、厂商、质控物浓度、试剂批号、仪器名称。实验方法、试剂效期、校准物效期；质控项目维护：均值、SD、CV。</w:t>
      </w:r>
    </w:p>
    <w:p w14:paraId="58311323">
      <w:pPr>
        <w:ind w:firstLine="480"/>
        <w:rPr>
          <w:rFonts w:ascii="宋体" w:hAnsi="宋体" w:eastAsia="宋体"/>
        </w:rPr>
      </w:pPr>
      <w:r>
        <w:rPr>
          <w:rFonts w:hint="eastAsia" w:ascii="宋体" w:hAnsi="宋体" w:eastAsia="宋体"/>
        </w:rPr>
        <w:t>2）可指定质控物对应实验号，实现仪器检验结果自动传入质控系统。</w:t>
      </w:r>
    </w:p>
    <w:p w14:paraId="58229D2F">
      <w:pPr>
        <w:ind w:firstLine="480"/>
        <w:rPr>
          <w:rFonts w:ascii="宋体" w:hAnsi="宋体" w:eastAsia="宋体"/>
        </w:rPr>
      </w:pPr>
      <w:r>
        <w:rPr>
          <w:rFonts w:hint="eastAsia" w:ascii="宋体" w:hAnsi="宋体" w:eastAsia="宋体"/>
        </w:rPr>
        <w:t>3）可指定质控物项目对应质控规则，实现质控结果状态自动判断。</w:t>
      </w:r>
    </w:p>
    <w:p w14:paraId="60FBCF58">
      <w:pPr>
        <w:ind w:firstLine="480"/>
        <w:rPr>
          <w:rFonts w:ascii="宋体" w:hAnsi="宋体" w:eastAsia="宋体"/>
        </w:rPr>
      </w:pPr>
      <w:r>
        <w:rPr>
          <w:rFonts w:hint="eastAsia" w:ascii="宋体" w:hAnsi="宋体" w:eastAsia="宋体"/>
        </w:rPr>
        <w:t>4）支持定性质控项目规则维护。</w:t>
      </w:r>
    </w:p>
    <w:p w14:paraId="4920A438">
      <w:pPr>
        <w:rPr>
          <w:rFonts w:ascii="宋体" w:hAnsi="宋体" w:eastAsia="宋体"/>
        </w:rPr>
      </w:pPr>
      <w:r>
        <w:rPr>
          <w:rFonts w:hint="eastAsia" w:ascii="宋体" w:hAnsi="宋体" w:eastAsia="宋体"/>
        </w:rPr>
        <w:t>（3）质控计划维护：可将多个包含相同质控项目质控物关联一起，可实现多水平自动判断质控结果状态。</w:t>
      </w:r>
    </w:p>
    <w:p w14:paraId="50402730">
      <w:pPr>
        <w:rPr>
          <w:rFonts w:ascii="宋体" w:hAnsi="宋体" w:eastAsia="宋体"/>
        </w:rPr>
      </w:pPr>
      <w:r>
        <w:rPr>
          <w:rFonts w:hint="eastAsia" w:ascii="宋体" w:hAnsi="宋体" w:eastAsia="宋体"/>
        </w:rPr>
        <w:t>（4）定量质控</w:t>
      </w:r>
    </w:p>
    <w:p w14:paraId="10368FB9">
      <w:pPr>
        <w:ind w:firstLine="480"/>
        <w:rPr>
          <w:rFonts w:ascii="宋体" w:hAnsi="宋体" w:eastAsia="宋体"/>
        </w:rPr>
      </w:pPr>
      <w:r>
        <w:rPr>
          <w:rFonts w:hint="eastAsia" w:ascii="宋体" w:hAnsi="宋体" w:eastAsia="宋体"/>
        </w:rPr>
        <w:t>1）可显示指定时间范围的质控图和质控结果列表信息，并按照设定条件自动计算靶值、CV、SD：包括本月、到本月累计、上月、时间范围，并支持一键替换当前设置的参数。</w:t>
      </w:r>
    </w:p>
    <w:p w14:paraId="513270F8">
      <w:pPr>
        <w:ind w:firstLine="480"/>
        <w:rPr>
          <w:rFonts w:ascii="宋体" w:hAnsi="宋体" w:eastAsia="宋体"/>
        </w:rPr>
      </w:pPr>
      <w:r>
        <w:rPr>
          <w:rFonts w:hint="eastAsia" w:ascii="宋体" w:hAnsi="宋体" w:eastAsia="宋体"/>
        </w:rPr>
        <w:t>2）仪器自动传输的质控结果进行自动判断失控状态，失控的显示失控规则和颜色区分，并可查看失控规则的具体内容。</w:t>
      </w:r>
    </w:p>
    <w:p w14:paraId="4D223AB9">
      <w:pPr>
        <w:ind w:firstLine="480"/>
        <w:rPr>
          <w:rFonts w:ascii="宋体" w:hAnsi="宋体" w:eastAsia="宋体"/>
        </w:rPr>
      </w:pPr>
      <w:r>
        <w:rPr>
          <w:rFonts w:hint="eastAsia" w:ascii="宋体" w:hAnsi="宋体" w:eastAsia="宋体"/>
        </w:rPr>
        <w:t>3）对失控数据进行失控处理：记录可能出现的原因、纠正处理情况、最终失控原因确定，最终形成失控处理报告。</w:t>
      </w:r>
    </w:p>
    <w:p w14:paraId="257886F8">
      <w:pPr>
        <w:ind w:firstLine="480"/>
        <w:rPr>
          <w:rFonts w:ascii="宋体" w:hAnsi="宋体" w:eastAsia="宋体"/>
        </w:rPr>
      </w:pPr>
      <w:r>
        <w:rPr>
          <w:rFonts w:hint="eastAsia" w:ascii="宋体" w:hAnsi="宋体" w:eastAsia="宋体"/>
        </w:rPr>
        <w:t>4）质控月总结模板生成，可自定义或者使用模板添加项目月总结内容。</w:t>
      </w:r>
    </w:p>
    <w:p w14:paraId="369F3588">
      <w:pPr>
        <w:ind w:firstLine="480"/>
        <w:rPr>
          <w:rFonts w:ascii="宋体" w:hAnsi="宋体" w:eastAsia="宋体"/>
        </w:rPr>
      </w:pPr>
      <w:r>
        <w:rPr>
          <w:rFonts w:hint="eastAsia" w:ascii="宋体" w:hAnsi="宋体" w:eastAsia="宋体"/>
        </w:rPr>
        <w:t>5）对于修改了均值、CV、SD的质控项目进行单独或者批量重新判定质控规则。</w:t>
      </w:r>
    </w:p>
    <w:p w14:paraId="175C9B2B">
      <w:pPr>
        <w:ind w:firstLine="480"/>
        <w:rPr>
          <w:rFonts w:ascii="宋体" w:hAnsi="宋体" w:eastAsia="宋体"/>
        </w:rPr>
      </w:pPr>
      <w:r>
        <w:rPr>
          <w:rFonts w:hint="eastAsia" w:ascii="宋体" w:hAnsi="宋体" w:eastAsia="宋体"/>
        </w:rPr>
        <w:t>6）单独和批量打印质控图，方便打印存档。支持基于病人检验数据的质控分析。支持单独、批量重新判定质控数据。</w:t>
      </w:r>
    </w:p>
    <w:p w14:paraId="113A8956">
      <w:pPr>
        <w:ind w:firstLine="480"/>
        <w:rPr>
          <w:rFonts w:ascii="宋体" w:hAnsi="宋体" w:eastAsia="宋体"/>
        </w:rPr>
      </w:pPr>
      <w:r>
        <w:rPr>
          <w:rFonts w:hint="eastAsia" w:ascii="宋体" w:hAnsi="宋体" w:eastAsia="宋体"/>
        </w:rPr>
        <w:t>7）可分离异常检验结果。</w:t>
      </w:r>
    </w:p>
    <w:p w14:paraId="03056F6B">
      <w:pPr>
        <w:ind w:firstLine="480"/>
        <w:rPr>
          <w:rFonts w:ascii="宋体" w:hAnsi="宋体" w:eastAsia="宋体"/>
        </w:rPr>
      </w:pPr>
      <w:r>
        <w:rPr>
          <w:rFonts w:hint="eastAsia" w:ascii="宋体" w:hAnsi="宋体" w:eastAsia="宋体"/>
        </w:rPr>
        <w:t>8）质控管理分析：具有质控月总结报表、质控失控分析报表、质控项目开展报表、均值标准差变异系数统计等。</w:t>
      </w:r>
    </w:p>
    <w:p w14:paraId="32B13265">
      <w:pPr>
        <w:rPr>
          <w:rFonts w:ascii="宋体" w:hAnsi="宋体" w:eastAsia="宋体"/>
        </w:rPr>
      </w:pPr>
      <w:r>
        <w:rPr>
          <w:rFonts w:hint="eastAsia" w:ascii="宋体" w:hAnsi="宋体" w:eastAsia="宋体"/>
        </w:rPr>
        <w:t>（5）定性质控：设定的定性值规则，实现对不同的质控项目显示不同的测量值。</w:t>
      </w:r>
    </w:p>
    <w:p w14:paraId="5C6D8736">
      <w:pPr>
        <w:rPr>
          <w:rFonts w:ascii="宋体" w:hAnsi="宋体" w:eastAsia="宋体"/>
        </w:rPr>
      </w:pPr>
      <w:r>
        <w:rPr>
          <w:rFonts w:hint="eastAsia" w:ascii="宋体" w:hAnsi="宋体" w:eastAsia="宋体"/>
        </w:rPr>
        <w:t xml:space="preserve"> （6）质控对比：不同质控计划项目质控项目可以显示在一张质控图上，并可以支持可自定义选择显示的质控物水平。</w:t>
      </w:r>
    </w:p>
    <w:p w14:paraId="54743CBB">
      <w:pPr>
        <w:pStyle w:val="5"/>
      </w:pPr>
      <w:r>
        <w:rPr>
          <w:rFonts w:hint="eastAsia"/>
        </w:rPr>
        <w:t>检验设备管理系统</w:t>
      </w:r>
    </w:p>
    <w:p w14:paraId="43FE2CF7">
      <w:pPr>
        <w:ind w:firstLine="480"/>
        <w:rPr>
          <w:rFonts w:ascii="宋体" w:hAnsi="宋体" w:eastAsia="宋体"/>
        </w:rPr>
      </w:pPr>
      <w:r>
        <w:rPr>
          <w:rFonts w:hint="eastAsia" w:ascii="宋体" w:hAnsi="宋体" w:eastAsia="宋体"/>
        </w:rPr>
        <w:t>（1）仪器子设备维护：维护设备关联的仪器：例如冰箱，存储柜，电话等。</w:t>
      </w:r>
    </w:p>
    <w:p w14:paraId="34A18114">
      <w:pPr>
        <w:ind w:firstLine="480"/>
        <w:rPr>
          <w:rFonts w:ascii="宋体" w:hAnsi="宋体" w:eastAsia="宋体"/>
        </w:rPr>
      </w:pPr>
      <w:r>
        <w:rPr>
          <w:rFonts w:hint="eastAsia" w:ascii="宋体" w:hAnsi="宋体" w:eastAsia="宋体"/>
        </w:rPr>
        <w:t>（2）仪器属性管理：维护仪器属性的子设备名称、该子设备具体位置、设备管理员维护、维修负责人、设备组长及联系方式，该子设备启用和停用时间维护、该设备现在的状态（正常、故障、停用）、生物危险等级（一级、二级、三级），根据子设备的等级维护。</w:t>
      </w:r>
    </w:p>
    <w:p w14:paraId="52A4C1CC">
      <w:pPr>
        <w:ind w:firstLine="480"/>
        <w:rPr>
          <w:rFonts w:ascii="宋体" w:hAnsi="宋体" w:eastAsia="宋体"/>
        </w:rPr>
      </w:pPr>
      <w:r>
        <w:rPr>
          <w:rFonts w:hint="eastAsia" w:ascii="宋体" w:hAnsi="宋体" w:eastAsia="宋体"/>
        </w:rPr>
        <w:t>（3）仪器保养基础数据维护：子设备编码维护及该子设备维护。</w:t>
      </w:r>
    </w:p>
    <w:p w14:paraId="25BEA2C0">
      <w:pPr>
        <w:ind w:firstLine="480"/>
        <w:rPr>
          <w:rFonts w:ascii="宋体" w:hAnsi="宋体" w:eastAsia="宋体"/>
        </w:rPr>
      </w:pPr>
      <w:r>
        <w:rPr>
          <w:rFonts w:hint="eastAsia" w:ascii="宋体" w:hAnsi="宋体" w:eastAsia="宋体"/>
        </w:rPr>
        <w:t>（4）仪器保养登记：维护设备每天保养要做的内容：如设备是否故障、每天登记的清洁设备外壳、试剂检查、关机保养、设备温度登记、设备故障的原因登记、对设备故障处理措施、方案填写、校验设备结果、纠正措施实施等信息登记。</w:t>
      </w:r>
    </w:p>
    <w:p w14:paraId="7C6EF797">
      <w:pPr>
        <w:ind w:firstLine="480"/>
        <w:rPr>
          <w:rFonts w:ascii="宋体" w:hAnsi="宋体" w:eastAsia="宋体"/>
        </w:rPr>
      </w:pPr>
      <w:r>
        <w:rPr>
          <w:rFonts w:hint="eastAsia" w:ascii="宋体" w:hAnsi="宋体" w:eastAsia="宋体"/>
        </w:rPr>
        <w:t>（5）质控登记：子设备质控登记。</w:t>
      </w:r>
    </w:p>
    <w:p w14:paraId="29FD9A31">
      <w:pPr>
        <w:ind w:firstLine="480"/>
        <w:rPr>
          <w:rFonts w:ascii="宋体" w:hAnsi="宋体" w:eastAsia="宋体"/>
        </w:rPr>
      </w:pPr>
      <w:r>
        <w:rPr>
          <w:rFonts w:hint="eastAsia" w:ascii="宋体" w:hAnsi="宋体" w:eastAsia="宋体"/>
        </w:rPr>
        <w:t>（6）文档管理：仪器管理操作说明，质控保存的文档，仪器维护记录等。可根据需求在相应的文件夹内打开或创建新得文件内容。</w:t>
      </w:r>
    </w:p>
    <w:p w14:paraId="3A315B80">
      <w:pPr>
        <w:ind w:firstLine="480"/>
        <w:rPr>
          <w:rFonts w:ascii="宋体" w:hAnsi="宋体" w:eastAsia="宋体"/>
        </w:rPr>
      </w:pPr>
      <w:r>
        <w:rPr>
          <w:rFonts w:hint="eastAsia" w:ascii="宋体" w:hAnsi="宋体" w:eastAsia="宋体"/>
        </w:rPr>
        <w:t>（7）仪器属性统计：可选择院区，科室，设备状态，开始时间，结束时间对子设备仪器进行全面地统计。统计后以PDF格式打印，APPLET打印，FLD打印。</w:t>
      </w:r>
    </w:p>
    <w:p w14:paraId="5644E2D8">
      <w:pPr>
        <w:ind w:firstLine="480"/>
        <w:rPr>
          <w:rFonts w:ascii="宋体" w:hAnsi="宋体" w:eastAsia="宋体"/>
        </w:rPr>
      </w:pPr>
      <w:r>
        <w:rPr>
          <w:rFonts w:hint="eastAsia" w:ascii="宋体" w:hAnsi="宋体" w:eastAsia="宋体"/>
        </w:rPr>
        <w:t>（8）仪器故障率统计：可选择院区，科室，设备状态，开始时间，结束时间对子设备仪器故障设备进行全面地统计。</w:t>
      </w:r>
    </w:p>
    <w:p w14:paraId="1399CD91">
      <w:pPr>
        <w:ind w:firstLine="480"/>
        <w:rPr>
          <w:rFonts w:ascii="宋体" w:hAnsi="宋体" w:eastAsia="宋体"/>
        </w:rPr>
      </w:pPr>
      <w:r>
        <w:rPr>
          <w:rFonts w:hint="eastAsia" w:ascii="宋体" w:hAnsi="宋体" w:eastAsia="宋体"/>
        </w:rPr>
        <w:t>（9）仪器日、周、月维护统计：可统计设备规定每天需要维护的内容。查看当日设备维护的内容，过期无法维护。</w:t>
      </w:r>
    </w:p>
    <w:p w14:paraId="539D0054">
      <w:pPr>
        <w:pStyle w:val="3"/>
      </w:pPr>
      <w:r>
        <w:rPr>
          <w:rFonts w:hint="eastAsia"/>
        </w:rPr>
        <w:t>PACS升级改造扩建</w:t>
      </w:r>
    </w:p>
    <w:p w14:paraId="66DC8495">
      <w:pPr>
        <w:pStyle w:val="4"/>
      </w:pPr>
      <w:r>
        <w:rPr>
          <w:rFonts w:hint="eastAsia"/>
        </w:rPr>
        <w:t>PACS系统升级改造</w:t>
      </w:r>
    </w:p>
    <w:p w14:paraId="0BEFE1C7">
      <w:pPr>
        <w:ind w:firstLine="480"/>
        <w:rPr>
          <w:rFonts w:ascii="宋体" w:hAnsi="宋体" w:eastAsia="宋体"/>
        </w:rPr>
      </w:pPr>
      <w:r>
        <w:rPr>
          <w:rFonts w:hint="eastAsia" w:ascii="宋体" w:hAnsi="宋体" w:eastAsia="宋体"/>
        </w:rPr>
        <w:t>系统升级时须充分利用现有的检查业务基础数据，调研影像各科室的业务流程和管理需求，平稳过度，不得影响影像各科室及相关科室的业务的正常开展。</w:t>
      </w:r>
    </w:p>
    <w:p w14:paraId="6B2FCF7A">
      <w:pPr>
        <w:ind w:firstLine="480"/>
        <w:rPr>
          <w:rFonts w:ascii="宋体" w:hAnsi="宋体" w:eastAsia="宋体"/>
        </w:rPr>
      </w:pPr>
      <w:r>
        <w:rPr>
          <w:rFonts w:hint="eastAsia" w:ascii="宋体" w:hAnsi="宋体" w:eastAsia="宋体"/>
        </w:rPr>
        <w:t>系统升级改造须遵循电子病历五级评审对检验系统的功能要求，同时满足评价标准中其他系统与检查系统互联互通需求、满足业务流程中的调用查阅需求、满足三级甲等医院创建中达标需求；能根据医院合理的流程及管理要求进行二次开发。至少包含放射、超声、内镜、病理（接口）、心电（接口）等。</w:t>
      </w:r>
    </w:p>
    <w:tbl>
      <w:tblPr>
        <w:tblStyle w:val="2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824"/>
        <w:gridCol w:w="4536"/>
      </w:tblGrid>
      <w:tr w14:paraId="2648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94C879">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类别</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14:paraId="7A685A55">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电子病历五级要求</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2B4950A4">
            <w:pPr>
              <w:widowControl/>
              <w:spacing w:line="240" w:lineRule="auto"/>
              <w:ind w:firstLine="840" w:firstLineChars="400"/>
              <w:jc w:val="left"/>
              <w:rPr>
                <w:rFonts w:ascii="宋体" w:hAnsi="宋体" w:eastAsia="宋体" w:cs="宋体"/>
                <w:kern w:val="0"/>
                <w:sz w:val="21"/>
                <w:szCs w:val="21"/>
              </w:rPr>
            </w:pPr>
            <w:r>
              <w:rPr>
                <w:rFonts w:hint="eastAsia" w:ascii="宋体" w:hAnsi="宋体" w:eastAsia="宋体" w:cs="宋体"/>
                <w:kern w:val="0"/>
                <w:sz w:val="21"/>
                <w:szCs w:val="21"/>
              </w:rPr>
              <w:t>升级改造重点内容</w:t>
            </w:r>
          </w:p>
        </w:tc>
      </w:tr>
      <w:tr w14:paraId="5101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vMerge w:val="restart"/>
            <w:shd w:val="clear" w:color="auto" w:fill="auto"/>
            <w:vAlign w:val="center"/>
          </w:tcPr>
          <w:p w14:paraId="183032AB">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门诊检查报告</w:t>
            </w:r>
          </w:p>
        </w:tc>
        <w:tc>
          <w:tcPr>
            <w:tcW w:w="2824" w:type="dxa"/>
            <w:shd w:val="clear" w:color="auto" w:fill="auto"/>
            <w:vAlign w:val="center"/>
          </w:tcPr>
          <w:p w14:paraId="2685AFFA">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（1）检查报告和图像来自全院统一管理的数据</w:t>
            </w:r>
          </w:p>
        </w:tc>
        <w:tc>
          <w:tcPr>
            <w:tcW w:w="4536" w:type="dxa"/>
            <w:shd w:val="clear" w:color="auto" w:fill="auto"/>
            <w:vAlign w:val="center"/>
          </w:tcPr>
          <w:p w14:paraId="3B4F7151">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（1）门诊医师在检查列表界面能看各类检查的报告和图像。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（2）同一患者的检查报告在不同角色下看到的内容一致。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（3）病历能够引用检查报告的内容。</w:t>
            </w:r>
          </w:p>
        </w:tc>
      </w:tr>
      <w:tr w14:paraId="7B8F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vMerge w:val="restart"/>
            <w:shd w:val="clear" w:color="auto" w:fill="auto"/>
            <w:vAlign w:val="center"/>
          </w:tcPr>
          <w:p w14:paraId="7C977FCA">
            <w:pPr>
              <w:widowControl/>
              <w:spacing w:line="240" w:lineRule="auto"/>
              <w:jc w:val="center"/>
              <w:rPr>
                <w:rFonts w:ascii="宋体" w:hAnsi="宋体" w:eastAsia="宋体" w:cs="宋体"/>
                <w:kern w:val="0"/>
                <w:sz w:val="21"/>
                <w:szCs w:val="21"/>
              </w:rPr>
            </w:pPr>
          </w:p>
        </w:tc>
        <w:tc>
          <w:tcPr>
            <w:tcW w:w="2824" w:type="dxa"/>
            <w:shd w:val="clear" w:color="auto" w:fill="auto"/>
            <w:vAlign w:val="center"/>
          </w:tcPr>
          <w:p w14:paraId="241A9D51">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（2）查阅报告时，能够显示测量结果，对于有正常参考值的项目能显示参考范围及自动产生异常标记</w:t>
            </w:r>
          </w:p>
        </w:tc>
        <w:tc>
          <w:tcPr>
            <w:tcW w:w="4536" w:type="dxa"/>
            <w:shd w:val="clear" w:color="auto" w:fill="auto"/>
            <w:vAlign w:val="center"/>
          </w:tcPr>
          <w:p w14:paraId="725A59B9">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（1）门诊医生在工作站查看心电图、彩超、超声、CT等检查报告时，报告上有检查测量值、测量值正常值参考范围、测量值异常标识信息。</w:t>
            </w:r>
          </w:p>
        </w:tc>
      </w:tr>
      <w:tr w14:paraId="6AD5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vMerge w:val="restart"/>
            <w:shd w:val="clear" w:color="auto" w:fill="auto"/>
            <w:vAlign w:val="center"/>
          </w:tcPr>
          <w:p w14:paraId="4D710B8B">
            <w:pPr>
              <w:widowControl/>
              <w:spacing w:line="240" w:lineRule="auto"/>
              <w:jc w:val="center"/>
              <w:rPr>
                <w:rFonts w:ascii="宋体" w:hAnsi="宋体" w:eastAsia="宋体" w:cs="宋体"/>
                <w:kern w:val="0"/>
                <w:sz w:val="21"/>
                <w:szCs w:val="21"/>
              </w:rPr>
            </w:pPr>
          </w:p>
        </w:tc>
        <w:tc>
          <w:tcPr>
            <w:tcW w:w="2824" w:type="dxa"/>
            <w:shd w:val="clear" w:color="auto" w:fill="auto"/>
            <w:vAlign w:val="center"/>
          </w:tcPr>
          <w:p w14:paraId="4036F8C1">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（3）对于检查危急值，门诊医师能够在系统中看到</w:t>
            </w:r>
          </w:p>
        </w:tc>
        <w:tc>
          <w:tcPr>
            <w:tcW w:w="4536" w:type="dxa"/>
            <w:shd w:val="clear" w:color="auto" w:fill="auto"/>
            <w:vAlign w:val="center"/>
          </w:tcPr>
          <w:p w14:paraId="61BC83E1">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（1）检查科室发布危急值报告，同时发送消息给门诊医生，门诊医生站会立即自动弹出危急值紧急消息提醒框。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（2）门诊医生通过危急值消息处理界面查看检查危急值报告的详细内容，完成处理后在系统中填写处理情况。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（3）检查科室可以在检查系统中接收到门诊医生处理危急值的信息。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（4）检验科、医务部、门诊部、门诊医生可通过危急值查询界面查询危急值的处理情况。</w:t>
            </w:r>
          </w:p>
        </w:tc>
      </w:tr>
      <w:tr w14:paraId="007C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vMerge w:val="restart"/>
            <w:shd w:val="clear" w:color="auto" w:fill="auto"/>
            <w:vAlign w:val="center"/>
          </w:tcPr>
          <w:p w14:paraId="20C17A6A">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申请与预约</w:t>
            </w:r>
          </w:p>
        </w:tc>
        <w:tc>
          <w:tcPr>
            <w:tcW w:w="2824" w:type="dxa"/>
            <w:shd w:val="clear" w:color="auto" w:fill="auto"/>
            <w:vAlign w:val="center"/>
          </w:tcPr>
          <w:p w14:paraId="27946D2B">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（1）检查安排时间表能够提供全院共享，并能够及时进行同步</w:t>
            </w:r>
          </w:p>
        </w:tc>
        <w:tc>
          <w:tcPr>
            <w:tcW w:w="4536" w:type="dxa"/>
            <w:shd w:val="clear" w:color="auto" w:fill="auto"/>
            <w:vAlign w:val="center"/>
          </w:tcPr>
          <w:p w14:paraId="66075C67">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（1）检查科室可以对资源进行排班，临床医生能同步查看到检查预约资源排班信息，临床医生预约后检查资源计划明细能同步更新。</w:t>
            </w:r>
          </w:p>
        </w:tc>
      </w:tr>
      <w:tr w14:paraId="2E8A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40" w:type="dxa"/>
            <w:vMerge w:val="continue"/>
            <w:vAlign w:val="center"/>
          </w:tcPr>
          <w:p w14:paraId="04A5EF7D">
            <w:pPr>
              <w:widowControl/>
              <w:spacing w:line="240" w:lineRule="auto"/>
              <w:jc w:val="left"/>
              <w:rPr>
                <w:rFonts w:ascii="宋体" w:hAnsi="宋体" w:eastAsia="宋体" w:cs="宋体"/>
                <w:kern w:val="0"/>
                <w:sz w:val="21"/>
                <w:szCs w:val="21"/>
              </w:rPr>
            </w:pPr>
          </w:p>
        </w:tc>
        <w:tc>
          <w:tcPr>
            <w:tcW w:w="2824" w:type="dxa"/>
            <w:shd w:val="clear" w:color="auto" w:fill="auto"/>
            <w:vAlign w:val="center"/>
          </w:tcPr>
          <w:p w14:paraId="0A6B5622">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（2）各临床科室能依据检查安排表进行预约，预约结果可全院共享</w:t>
            </w:r>
          </w:p>
        </w:tc>
        <w:tc>
          <w:tcPr>
            <w:tcW w:w="4536" w:type="dxa"/>
            <w:shd w:val="clear" w:color="auto" w:fill="auto"/>
            <w:vAlign w:val="center"/>
          </w:tcPr>
          <w:p w14:paraId="36FCE312">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（1）检查预约的资源全院统一管理。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（2）病房、门诊医生可在系统中为患者进行检查预约。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（3）检查科室，临床医生、护士都可在系统中查询已预约信息，预约结果全院共享。</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（4）医生申请检查后预约的资源和检查科室预约台预约的资源是全院统一的。</w:t>
            </w:r>
          </w:p>
        </w:tc>
      </w:tr>
      <w:tr w14:paraId="3270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40" w:type="dxa"/>
            <w:vMerge w:val="continue"/>
            <w:vAlign w:val="center"/>
          </w:tcPr>
          <w:p w14:paraId="72C5B5FC">
            <w:pPr>
              <w:widowControl/>
              <w:spacing w:line="240" w:lineRule="auto"/>
              <w:jc w:val="left"/>
              <w:rPr>
                <w:rFonts w:ascii="宋体" w:hAnsi="宋体" w:eastAsia="宋体" w:cs="宋体"/>
                <w:kern w:val="0"/>
                <w:sz w:val="21"/>
                <w:szCs w:val="21"/>
              </w:rPr>
            </w:pPr>
          </w:p>
        </w:tc>
        <w:tc>
          <w:tcPr>
            <w:tcW w:w="2824" w:type="dxa"/>
            <w:shd w:val="clear" w:color="auto" w:fill="auto"/>
            <w:vAlign w:val="center"/>
          </w:tcPr>
          <w:p w14:paraId="65452E7E">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（3）有自动安排检查时间的规则，能够提供默认的检查时间安排</w:t>
            </w:r>
          </w:p>
        </w:tc>
        <w:tc>
          <w:tcPr>
            <w:tcW w:w="4536" w:type="dxa"/>
            <w:shd w:val="clear" w:color="auto" w:fill="auto"/>
            <w:vAlign w:val="center"/>
          </w:tcPr>
          <w:p w14:paraId="03550976">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（1）检查科室、医生给患者预约时会自动默认一个最优资源，也可以调整默认预约时间，如果预约有时间的冲突，系统会自动提示。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（2）门诊、住院工作站具有浏览检查安排表功能</w:t>
            </w:r>
          </w:p>
        </w:tc>
      </w:tr>
      <w:tr w14:paraId="465D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40" w:type="dxa"/>
            <w:vMerge w:val="restart"/>
            <w:shd w:val="clear" w:color="auto" w:fill="auto"/>
            <w:vAlign w:val="center"/>
          </w:tcPr>
          <w:p w14:paraId="7341444C">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检查记录</w:t>
            </w:r>
          </w:p>
        </w:tc>
        <w:tc>
          <w:tcPr>
            <w:tcW w:w="2824" w:type="dxa"/>
            <w:shd w:val="clear" w:color="auto" w:fill="auto"/>
            <w:vAlign w:val="center"/>
          </w:tcPr>
          <w:p w14:paraId="7CAD76E2">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（1）检查结果、检查图像在全院有统一管理机制</w:t>
            </w:r>
          </w:p>
        </w:tc>
        <w:tc>
          <w:tcPr>
            <w:tcW w:w="4536" w:type="dxa"/>
            <w:shd w:val="clear" w:color="auto" w:fill="auto"/>
            <w:vAlign w:val="center"/>
          </w:tcPr>
          <w:p w14:paraId="6B26C3EC">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医院建立了影像统一存储服务，将所有检查科室（超声、放射、内镜、病理、心电）的图像、报告统一存储到影像管理中心（DICOM格式），检查科室、医生工作站使用统一的工具调阅患者的历次检查图像及报告。</w:t>
            </w:r>
          </w:p>
        </w:tc>
      </w:tr>
      <w:tr w14:paraId="11D2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40" w:type="dxa"/>
            <w:vMerge w:val="continue"/>
            <w:vAlign w:val="center"/>
          </w:tcPr>
          <w:p w14:paraId="618649D7">
            <w:pPr>
              <w:widowControl/>
              <w:spacing w:line="240" w:lineRule="auto"/>
              <w:jc w:val="left"/>
              <w:rPr>
                <w:rFonts w:ascii="宋体" w:hAnsi="宋体" w:eastAsia="宋体" w:cs="宋体"/>
                <w:kern w:val="0"/>
                <w:sz w:val="21"/>
                <w:szCs w:val="21"/>
              </w:rPr>
            </w:pPr>
          </w:p>
        </w:tc>
        <w:tc>
          <w:tcPr>
            <w:tcW w:w="2824" w:type="dxa"/>
            <w:shd w:val="clear" w:color="auto" w:fill="auto"/>
            <w:vAlign w:val="center"/>
          </w:tcPr>
          <w:p w14:paraId="053BB178">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（2）可以长期存储记录</w:t>
            </w:r>
          </w:p>
        </w:tc>
        <w:tc>
          <w:tcPr>
            <w:tcW w:w="4536" w:type="dxa"/>
            <w:shd w:val="clear" w:color="auto" w:fill="auto"/>
            <w:vAlign w:val="center"/>
          </w:tcPr>
          <w:p w14:paraId="79363FD6">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（1）检查报告和图像在系统中长期存储，检查科室、临床医生可以查询患者历史就诊的检查报告和图像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（2）时应选择检查时间较远期的案例（3-5年前的检查报告和图像），以证明“长期存储”</w:t>
            </w:r>
          </w:p>
        </w:tc>
      </w:tr>
      <w:tr w14:paraId="45E4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40" w:type="dxa"/>
            <w:vMerge w:val="restart"/>
            <w:shd w:val="clear" w:color="auto" w:fill="auto"/>
            <w:vAlign w:val="center"/>
          </w:tcPr>
          <w:p w14:paraId="7BEB5519">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检查报告</w:t>
            </w:r>
          </w:p>
        </w:tc>
        <w:tc>
          <w:tcPr>
            <w:tcW w:w="2824" w:type="dxa"/>
            <w:shd w:val="clear" w:color="auto" w:fill="auto"/>
            <w:vAlign w:val="center"/>
          </w:tcPr>
          <w:p w14:paraId="0DFCE67D">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（1）检查报告内容有可定义格式与模板</w:t>
            </w:r>
          </w:p>
        </w:tc>
        <w:tc>
          <w:tcPr>
            <w:tcW w:w="4536" w:type="dxa"/>
            <w:shd w:val="clear" w:color="auto" w:fill="auto"/>
            <w:vAlign w:val="center"/>
          </w:tcPr>
          <w:p w14:paraId="1EF1D34A">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（1）检查报告可以定义不同的书写模板与内容模板，模板内容用户可自定义编辑，支持结构化</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（2）放射、超声、心电、内镜、病理、核医学等的报告模板都需要</w:t>
            </w:r>
          </w:p>
        </w:tc>
      </w:tr>
      <w:tr w14:paraId="1CB2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40" w:type="dxa"/>
            <w:vMerge w:val="continue"/>
            <w:vAlign w:val="center"/>
          </w:tcPr>
          <w:p w14:paraId="7CC0246C">
            <w:pPr>
              <w:widowControl/>
              <w:spacing w:line="240" w:lineRule="auto"/>
              <w:jc w:val="left"/>
              <w:rPr>
                <w:rFonts w:ascii="宋体" w:hAnsi="宋体" w:eastAsia="宋体" w:cs="宋体"/>
                <w:kern w:val="0"/>
                <w:sz w:val="21"/>
                <w:szCs w:val="21"/>
              </w:rPr>
            </w:pPr>
          </w:p>
        </w:tc>
        <w:tc>
          <w:tcPr>
            <w:tcW w:w="2824" w:type="dxa"/>
            <w:shd w:val="clear" w:color="auto" w:fill="auto"/>
            <w:vAlign w:val="center"/>
          </w:tcPr>
          <w:p w14:paraId="47D9DB44">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（2）书写报告时可根据项目、诊断提供选择模板</w:t>
            </w:r>
          </w:p>
        </w:tc>
        <w:tc>
          <w:tcPr>
            <w:tcW w:w="4536" w:type="dxa"/>
            <w:shd w:val="clear" w:color="auto" w:fill="auto"/>
            <w:vAlign w:val="center"/>
          </w:tcPr>
          <w:p w14:paraId="2E70EB37">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（1）书写检查报告时可以根据不同的检查项目自动显示相应的检查报告模板，可以根据检查诊断手工选择相应的检查模板。</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（2）放射、超声、心电、内镜、病理、核医学等的报告模板都需要</w:t>
            </w:r>
          </w:p>
        </w:tc>
      </w:tr>
      <w:tr w14:paraId="13CD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40" w:type="dxa"/>
            <w:vMerge w:val="restart"/>
            <w:shd w:val="clear" w:color="auto" w:fill="auto"/>
            <w:vAlign w:val="center"/>
          </w:tcPr>
          <w:p w14:paraId="39FA8C81">
            <w:pPr>
              <w:widowControl/>
              <w:spacing w:line="240" w:lineRule="auto"/>
              <w:jc w:val="center"/>
              <w:rPr>
                <w:rFonts w:ascii="宋体" w:hAnsi="宋体" w:eastAsia="宋体" w:cs="宋体"/>
                <w:kern w:val="0"/>
                <w:sz w:val="21"/>
                <w:szCs w:val="21"/>
              </w:rPr>
            </w:pPr>
            <w:r>
              <w:rPr>
                <w:rFonts w:hint="eastAsia" w:ascii="宋体" w:hAnsi="宋体" w:eastAsia="宋体" w:cs="宋体"/>
                <w:kern w:val="0"/>
                <w:sz w:val="21"/>
                <w:szCs w:val="21"/>
              </w:rPr>
              <w:t>检查图象</w:t>
            </w:r>
          </w:p>
        </w:tc>
        <w:tc>
          <w:tcPr>
            <w:tcW w:w="2824" w:type="dxa"/>
            <w:shd w:val="clear" w:color="auto" w:fill="auto"/>
            <w:vAlign w:val="center"/>
          </w:tcPr>
          <w:p w14:paraId="451220D9">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（1）建立全院统一的图像存储体系</w:t>
            </w:r>
          </w:p>
        </w:tc>
        <w:tc>
          <w:tcPr>
            <w:tcW w:w="4536" w:type="dxa"/>
            <w:shd w:val="clear" w:color="auto" w:fill="auto"/>
            <w:vAlign w:val="center"/>
          </w:tcPr>
          <w:p w14:paraId="119EF67E">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（1）医院要有影像管理中，能将所有检查科室（超声、放射、内镜、病理）的图像、报告统一存储到影像中心（DICOM格式），有统一的图像管理界面，检查科室、临床医生可以使用统一的工具进行查看。</w:t>
            </w:r>
          </w:p>
        </w:tc>
      </w:tr>
      <w:tr w14:paraId="40DE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vMerge w:val="continue"/>
            <w:vAlign w:val="center"/>
          </w:tcPr>
          <w:p w14:paraId="70CF9C74">
            <w:pPr>
              <w:widowControl/>
              <w:spacing w:line="240" w:lineRule="auto"/>
              <w:jc w:val="left"/>
              <w:rPr>
                <w:rFonts w:ascii="宋体" w:hAnsi="宋体" w:eastAsia="宋体" w:cs="宋体"/>
                <w:kern w:val="0"/>
                <w:sz w:val="21"/>
                <w:szCs w:val="21"/>
              </w:rPr>
            </w:pPr>
          </w:p>
        </w:tc>
        <w:tc>
          <w:tcPr>
            <w:tcW w:w="2824" w:type="dxa"/>
            <w:shd w:val="clear" w:color="auto" w:fill="auto"/>
            <w:vAlign w:val="center"/>
          </w:tcPr>
          <w:p w14:paraId="258D4A05">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（2）支持符合DICOM标准的图像显示终端访问图像数据</w:t>
            </w:r>
          </w:p>
        </w:tc>
        <w:tc>
          <w:tcPr>
            <w:tcW w:w="4536" w:type="dxa"/>
            <w:shd w:val="clear" w:color="auto" w:fill="auto"/>
            <w:vAlign w:val="center"/>
          </w:tcPr>
          <w:p w14:paraId="6DA16E99">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（1）各种检查（超声、放射、内镜、病理）图像严格遵守DICOM标准协议并通过影像管理中心统一存储管理，检查科室、临床医生可以使用统一的终端工具进行查看。</w:t>
            </w:r>
          </w:p>
        </w:tc>
      </w:tr>
      <w:tr w14:paraId="3355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140" w:type="dxa"/>
            <w:vMerge w:val="continue"/>
            <w:vAlign w:val="center"/>
          </w:tcPr>
          <w:p w14:paraId="591AC18F">
            <w:pPr>
              <w:widowControl/>
              <w:spacing w:line="240" w:lineRule="auto"/>
              <w:jc w:val="left"/>
              <w:rPr>
                <w:rFonts w:ascii="宋体" w:hAnsi="宋体" w:eastAsia="宋体" w:cs="宋体"/>
                <w:kern w:val="0"/>
                <w:sz w:val="21"/>
                <w:szCs w:val="21"/>
              </w:rPr>
            </w:pPr>
          </w:p>
        </w:tc>
        <w:tc>
          <w:tcPr>
            <w:tcW w:w="2824" w:type="dxa"/>
            <w:shd w:val="clear" w:color="auto" w:fill="auto"/>
            <w:vAlign w:val="center"/>
          </w:tcPr>
          <w:p w14:paraId="76015C90">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（3）有完整的数据访问控制体系，支持指定用户、指定病人、指定检查的访问控制</w:t>
            </w:r>
          </w:p>
        </w:tc>
        <w:tc>
          <w:tcPr>
            <w:tcW w:w="4536" w:type="dxa"/>
            <w:shd w:val="clear" w:color="auto" w:fill="auto"/>
            <w:vAlign w:val="center"/>
          </w:tcPr>
          <w:p w14:paraId="027EC786">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（1）指定用户：检查系统支持按用户、用户组定义访问、保存、修改、打印报告和图像的权限。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（2）指定病人：检查系统可以定义病人属于那个组如VIP，VIP患者的报告需要控制访问权限，未分配权限的用户不能查看操作特殊病人的报告。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（3）指定检查：能按照检查项目定义访问、保存、修改、打印报告和图像的权限。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（4）检查科室用户不能修改其他科室的报告（如CT室用户不能修改核磁的报告）</w:t>
            </w:r>
          </w:p>
        </w:tc>
      </w:tr>
      <w:tr w14:paraId="48FF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40" w:type="dxa"/>
            <w:vMerge w:val="continue"/>
            <w:vAlign w:val="center"/>
          </w:tcPr>
          <w:p w14:paraId="6E34C67A">
            <w:pPr>
              <w:widowControl/>
              <w:spacing w:line="240" w:lineRule="auto"/>
              <w:jc w:val="left"/>
              <w:rPr>
                <w:rFonts w:ascii="宋体" w:hAnsi="宋体" w:eastAsia="宋体" w:cs="宋体"/>
                <w:kern w:val="0"/>
                <w:sz w:val="21"/>
                <w:szCs w:val="21"/>
              </w:rPr>
            </w:pPr>
          </w:p>
        </w:tc>
        <w:tc>
          <w:tcPr>
            <w:tcW w:w="2824" w:type="dxa"/>
            <w:shd w:val="clear" w:color="auto" w:fill="auto"/>
            <w:vAlign w:val="center"/>
          </w:tcPr>
          <w:p w14:paraId="5CE3DD75">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（4）具有图像质控功能，并有记录</w:t>
            </w:r>
          </w:p>
        </w:tc>
        <w:tc>
          <w:tcPr>
            <w:tcW w:w="4536" w:type="dxa"/>
            <w:shd w:val="clear" w:color="auto" w:fill="auto"/>
            <w:vAlign w:val="center"/>
          </w:tcPr>
          <w:p w14:paraId="260A6781">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（1）通过检查系统的图像质控管理平台，可以按比例抽取样本质控，对检查图像质量、报告质量进行质控评价，并可查询质控记录，质控评分。</w:t>
            </w:r>
          </w:p>
        </w:tc>
      </w:tr>
    </w:tbl>
    <w:p w14:paraId="586C010C">
      <w:pPr>
        <w:rPr>
          <w:rFonts w:ascii="宋体" w:hAnsi="宋体" w:eastAsia="宋体"/>
        </w:rPr>
      </w:pPr>
    </w:p>
    <w:p w14:paraId="5C8BF6CB">
      <w:pPr>
        <w:pStyle w:val="5"/>
      </w:pPr>
      <w:r>
        <w:t>放射信息管理系统</w:t>
      </w:r>
    </w:p>
    <w:p w14:paraId="66EF46AA">
      <w:pPr>
        <w:rPr>
          <w:rFonts w:ascii="宋体" w:hAnsi="宋体" w:eastAsia="宋体"/>
        </w:rPr>
      </w:pPr>
      <w:r>
        <w:rPr>
          <w:rFonts w:hint="eastAsia" w:ascii="宋体" w:hAnsi="宋体" w:eastAsia="宋体"/>
        </w:rPr>
        <w:t>（1）登记预约：</w:t>
      </w:r>
    </w:p>
    <w:p w14:paraId="2F3DC2D3">
      <w:pPr>
        <w:ind w:firstLine="480"/>
        <w:rPr>
          <w:rFonts w:ascii="宋体" w:hAnsi="宋体" w:eastAsia="宋体"/>
        </w:rPr>
      </w:pPr>
      <w:r>
        <w:rPr>
          <w:rFonts w:hint="eastAsia" w:ascii="宋体" w:hAnsi="宋体" w:eastAsia="宋体"/>
        </w:rPr>
        <w:t>1）要求与医院HIS系统无缝对接，接收HIS、体检等第三方系统推送检查电子检查申请单信息；同时支持进行手工录入登记，条码枪扫描、身份证读卡等多种患者基本信息录入模式；</w:t>
      </w:r>
    </w:p>
    <w:p w14:paraId="235A0A3A">
      <w:pPr>
        <w:ind w:firstLine="480"/>
        <w:rPr>
          <w:rFonts w:ascii="宋体" w:hAnsi="宋体" w:eastAsia="宋体"/>
        </w:rPr>
      </w:pPr>
      <w:r>
        <w:rPr>
          <w:rFonts w:hint="eastAsia" w:ascii="宋体" w:hAnsi="宋体" w:eastAsia="宋体"/>
        </w:rPr>
        <w:t>2）可单个部位或多个部位任意组合预约登记；可单个申请单项目拆分与多个申请单合并预约登记；支持患者信息批量登记预约处理；患者可根据电子检查申请信息自助预约登记。</w:t>
      </w:r>
    </w:p>
    <w:p w14:paraId="6BDFE154">
      <w:pPr>
        <w:ind w:firstLine="480"/>
        <w:rPr>
          <w:rFonts w:ascii="宋体" w:hAnsi="宋体" w:eastAsia="宋体"/>
        </w:rPr>
      </w:pPr>
      <w:r>
        <w:rPr>
          <w:rFonts w:hint="eastAsia" w:ascii="宋体" w:hAnsi="宋体" w:eastAsia="宋体"/>
        </w:rPr>
        <w:t>3）单日预约总人数管理；登记预约资源分布情况显示查询处理；</w:t>
      </w:r>
    </w:p>
    <w:p w14:paraId="2B02BED5">
      <w:pPr>
        <w:ind w:firstLine="480"/>
        <w:rPr>
          <w:rFonts w:ascii="宋体" w:hAnsi="宋体" w:eastAsia="宋体"/>
        </w:rPr>
      </w:pPr>
      <w:r>
        <w:rPr>
          <w:rFonts w:hint="eastAsia" w:ascii="宋体" w:hAnsi="宋体" w:eastAsia="宋体"/>
        </w:rPr>
        <w:t>4）急诊、危重类患者快速预约登记；</w:t>
      </w:r>
    </w:p>
    <w:p w14:paraId="258D762E">
      <w:pPr>
        <w:rPr>
          <w:rFonts w:ascii="宋体" w:hAnsi="宋体" w:eastAsia="宋体"/>
        </w:rPr>
      </w:pPr>
      <w:r>
        <w:rPr>
          <w:rFonts w:hint="eastAsia" w:ascii="宋体" w:hAnsi="宋体" w:eastAsia="宋体"/>
        </w:rPr>
        <w:t>（2）诊断审核：</w:t>
      </w:r>
    </w:p>
    <w:p w14:paraId="392C0600">
      <w:pPr>
        <w:ind w:firstLine="480"/>
        <w:rPr>
          <w:rFonts w:ascii="宋体" w:hAnsi="宋体" w:eastAsia="宋体"/>
        </w:rPr>
      </w:pPr>
      <w:r>
        <w:rPr>
          <w:rFonts w:hint="eastAsia" w:ascii="宋体" w:hAnsi="宋体" w:eastAsia="宋体"/>
        </w:rPr>
        <w:t>1）支持检查报告模板自定义；特殊字符、常用词条快速引用；检查报告撤销、修改；描述模板引用、新建、删除、修改；</w:t>
      </w:r>
    </w:p>
    <w:p w14:paraId="2CBB18C0">
      <w:pPr>
        <w:ind w:firstLine="480"/>
        <w:rPr>
          <w:rFonts w:ascii="宋体" w:hAnsi="宋体" w:eastAsia="宋体"/>
        </w:rPr>
      </w:pPr>
      <w:r>
        <w:rPr>
          <w:rFonts w:hint="eastAsia" w:ascii="宋体" w:hAnsi="宋体" w:eastAsia="宋体"/>
        </w:rPr>
        <w:t>2）须具备检查阴/阳性、危急值影像质控控制；</w:t>
      </w:r>
    </w:p>
    <w:p w14:paraId="715E32B8">
      <w:pPr>
        <w:ind w:firstLine="480"/>
        <w:rPr>
          <w:rFonts w:ascii="宋体" w:hAnsi="宋体" w:eastAsia="宋体"/>
        </w:rPr>
      </w:pPr>
      <w:r>
        <w:rPr>
          <w:rFonts w:hint="eastAsia" w:ascii="宋体" w:hAnsi="宋体" w:eastAsia="宋体"/>
        </w:rPr>
        <w:t>3）支持同时打开多个患者报告进行对比；支持同一患者不同图像与不同患者图像比对；</w:t>
      </w:r>
    </w:p>
    <w:p w14:paraId="7D441A0B">
      <w:pPr>
        <w:ind w:firstLine="480"/>
        <w:rPr>
          <w:rFonts w:ascii="宋体" w:hAnsi="宋体" w:eastAsia="宋体"/>
        </w:rPr>
      </w:pPr>
      <w:r>
        <w:rPr>
          <w:rFonts w:hint="eastAsia" w:ascii="宋体" w:hAnsi="宋体" w:eastAsia="宋体"/>
        </w:rPr>
        <w:t>4）同一患者历史报告关联，可查看历史报告，可复制历史报告内容；加载历史检查的影像；历史同框、同屏对比、标注；</w:t>
      </w:r>
    </w:p>
    <w:p w14:paraId="1F10580F">
      <w:pPr>
        <w:ind w:firstLine="480"/>
        <w:rPr>
          <w:rFonts w:ascii="宋体" w:hAnsi="宋体" w:eastAsia="宋体"/>
        </w:rPr>
      </w:pPr>
      <w:r>
        <w:rPr>
          <w:rFonts w:hint="eastAsia" w:ascii="宋体" w:hAnsi="宋体" w:eastAsia="宋体"/>
        </w:rPr>
        <w:t>5）检查报告驳回，报告质量评价，图片质量评价，报告分级审核；</w:t>
      </w:r>
    </w:p>
    <w:p w14:paraId="10DC068F">
      <w:pPr>
        <w:ind w:firstLine="480"/>
        <w:rPr>
          <w:rFonts w:ascii="宋体" w:hAnsi="宋体" w:eastAsia="宋体"/>
        </w:rPr>
      </w:pPr>
      <w:r>
        <w:rPr>
          <w:rFonts w:hint="eastAsia" w:ascii="宋体" w:hAnsi="宋体" w:eastAsia="宋体"/>
        </w:rPr>
        <w:t>6）检查报告自动保存；检查报告批量打印，数据批量导出；</w:t>
      </w:r>
    </w:p>
    <w:p w14:paraId="48C69F5A">
      <w:pPr>
        <w:ind w:firstLine="480"/>
        <w:rPr>
          <w:rFonts w:ascii="宋体" w:hAnsi="宋体" w:eastAsia="宋体"/>
        </w:rPr>
      </w:pPr>
      <w:r>
        <w:rPr>
          <w:rFonts w:hint="eastAsia" w:ascii="宋体" w:hAnsi="宋体" w:eastAsia="宋体"/>
        </w:rPr>
        <w:t>7）须支持患者随访记录管理；</w:t>
      </w:r>
    </w:p>
    <w:p w14:paraId="1D68C447">
      <w:pPr>
        <w:rPr>
          <w:rFonts w:ascii="宋体" w:hAnsi="宋体" w:eastAsia="宋体"/>
        </w:rPr>
      </w:pPr>
      <w:r>
        <w:rPr>
          <w:rFonts w:hint="eastAsia" w:ascii="宋体" w:hAnsi="宋体" w:eastAsia="宋体"/>
        </w:rPr>
        <w:t>（3）影像处理：</w:t>
      </w:r>
    </w:p>
    <w:p w14:paraId="10B85FE1">
      <w:pPr>
        <w:ind w:firstLine="480"/>
        <w:rPr>
          <w:rFonts w:ascii="宋体" w:hAnsi="宋体" w:eastAsia="宋体"/>
        </w:rPr>
      </w:pPr>
      <w:r>
        <w:rPr>
          <w:rFonts w:hint="eastAsia" w:ascii="宋体" w:hAnsi="宋体" w:eastAsia="宋体"/>
        </w:rPr>
        <w:t>1）影像浏览、缩放、调窗、旋转、镜像、反射、同步/关联、播放、伪彩、遮板、复位、反色、；</w:t>
      </w:r>
    </w:p>
    <w:p w14:paraId="04A046A0">
      <w:pPr>
        <w:ind w:firstLine="480"/>
        <w:rPr>
          <w:rFonts w:ascii="宋体" w:hAnsi="宋体" w:eastAsia="宋体"/>
        </w:rPr>
      </w:pPr>
      <w:r>
        <w:rPr>
          <w:rFonts w:hint="eastAsia" w:ascii="宋体" w:hAnsi="宋体" w:eastAsia="宋体"/>
        </w:rPr>
        <w:t>2）影像直尺、角度、圆心、矩形、多边形测量，并提供与之相适应的距离、面积、角度、CT值、密度测量值显示；</w:t>
      </w:r>
    </w:p>
    <w:p w14:paraId="7501D74A">
      <w:pPr>
        <w:ind w:firstLine="480"/>
        <w:rPr>
          <w:rFonts w:ascii="宋体" w:hAnsi="宋体" w:eastAsia="宋体"/>
        </w:rPr>
      </w:pPr>
      <w:r>
        <w:rPr>
          <w:rFonts w:hint="eastAsia" w:ascii="宋体" w:hAnsi="宋体" w:eastAsia="宋体"/>
        </w:rPr>
        <w:t>3）影像心胸比、鼠标探针测量显示；文本标注、信息备注工具；直线交叉角显示；</w:t>
      </w:r>
    </w:p>
    <w:p w14:paraId="09064BF2">
      <w:pPr>
        <w:ind w:firstLine="480"/>
        <w:rPr>
          <w:rFonts w:ascii="宋体" w:hAnsi="宋体" w:eastAsia="宋体"/>
        </w:rPr>
      </w:pPr>
      <w:r>
        <w:rPr>
          <w:rFonts w:hint="eastAsia" w:ascii="宋体" w:hAnsi="宋体" w:eastAsia="宋体"/>
        </w:rPr>
        <w:t>4）影像定标；测量、标注、备注信息保存与重现、删除；</w:t>
      </w:r>
    </w:p>
    <w:p w14:paraId="3CF21170">
      <w:pPr>
        <w:ind w:firstLine="480"/>
        <w:rPr>
          <w:rFonts w:ascii="宋体" w:hAnsi="宋体" w:eastAsia="宋体"/>
        </w:rPr>
      </w:pPr>
      <w:r>
        <w:rPr>
          <w:rFonts w:hint="eastAsia" w:ascii="宋体" w:hAnsi="宋体" w:eastAsia="宋体"/>
        </w:rPr>
        <w:t>5）影像切片定位显示；序列定位显示；影像坐标点空间定位；</w:t>
      </w:r>
    </w:p>
    <w:p w14:paraId="1D959EAE">
      <w:pPr>
        <w:ind w:firstLine="480"/>
        <w:rPr>
          <w:rFonts w:ascii="宋体" w:hAnsi="宋体" w:eastAsia="宋体"/>
        </w:rPr>
      </w:pPr>
      <w:r>
        <w:rPr>
          <w:rFonts w:hint="eastAsia" w:ascii="宋体" w:hAnsi="宋体" w:eastAsia="宋体"/>
        </w:rPr>
        <w:t>6）显示布局可灵活调整，支持序列并列显示和影像平铺显示布局切换；</w:t>
      </w:r>
    </w:p>
    <w:p w14:paraId="6192EE0D">
      <w:pPr>
        <w:ind w:firstLine="480"/>
        <w:rPr>
          <w:rFonts w:ascii="宋体" w:hAnsi="宋体" w:eastAsia="宋体"/>
        </w:rPr>
      </w:pPr>
      <w:r>
        <w:rPr>
          <w:rFonts w:hint="eastAsia" w:ascii="宋体" w:hAnsi="宋体" w:eastAsia="宋体"/>
        </w:rPr>
        <w:t>7）支持不同Modality类型检查默认挂片协议定义与修改；</w:t>
      </w:r>
    </w:p>
    <w:p w14:paraId="597F5DFA">
      <w:pPr>
        <w:ind w:firstLine="480"/>
        <w:rPr>
          <w:rFonts w:ascii="宋体" w:hAnsi="宋体" w:eastAsia="宋体"/>
        </w:rPr>
      </w:pPr>
      <w:r>
        <w:rPr>
          <w:rFonts w:hint="eastAsia" w:ascii="宋体" w:hAnsi="宋体" w:eastAsia="宋体"/>
        </w:rPr>
        <w:t>8）支持自定义的DICOMTAG信息显示、患者检查序列缩略图显示、多屏复制、扩展分屏显示、序列拆分显示，分屏显示；</w:t>
      </w:r>
    </w:p>
    <w:p w14:paraId="076F7FEC">
      <w:pPr>
        <w:ind w:firstLine="480"/>
        <w:rPr>
          <w:rFonts w:ascii="宋体" w:hAnsi="宋体" w:eastAsia="宋体"/>
        </w:rPr>
      </w:pPr>
      <w:r>
        <w:rPr>
          <w:rFonts w:hint="eastAsia" w:ascii="宋体" w:hAnsi="宋体" w:eastAsia="宋体"/>
        </w:rPr>
        <w:t>9）影像打印排版处理，DICOM激光胶片相机与非DICOM打印机打印输出；图像导出为BMP、JPG、DICOM等多个格式；</w:t>
      </w:r>
    </w:p>
    <w:p w14:paraId="450C50C7">
      <w:pPr>
        <w:ind w:firstLine="480"/>
        <w:rPr>
          <w:rFonts w:ascii="宋体" w:hAnsi="宋体" w:eastAsia="宋体"/>
        </w:rPr>
      </w:pPr>
      <w:r>
        <w:rPr>
          <w:rFonts w:hint="eastAsia" w:ascii="宋体" w:hAnsi="宋体" w:eastAsia="宋体"/>
        </w:rPr>
        <w:t>10）支持DICOM传输、接收、查询检索。可通过姓名、检查号、起止时间等多种条件查询病例并获取显示影像；</w:t>
      </w:r>
    </w:p>
    <w:p w14:paraId="16D8C1DE">
      <w:pPr>
        <w:rPr>
          <w:rFonts w:ascii="宋体" w:hAnsi="宋体" w:eastAsia="宋体"/>
        </w:rPr>
      </w:pPr>
      <w:r>
        <w:rPr>
          <w:rFonts w:hint="eastAsia" w:ascii="宋体" w:hAnsi="宋体" w:eastAsia="宋体"/>
        </w:rPr>
        <w:t>（4）统计分析：</w:t>
      </w:r>
    </w:p>
    <w:p w14:paraId="22B25269">
      <w:pPr>
        <w:ind w:firstLine="420" w:firstLineChars="200"/>
        <w:rPr>
          <w:rFonts w:ascii="宋体" w:hAnsi="宋体" w:eastAsia="宋体"/>
        </w:rPr>
      </w:pPr>
      <w:r>
        <w:rPr>
          <w:rFonts w:hint="eastAsia" w:ascii="宋体" w:hAnsi="宋体" w:eastAsia="宋体"/>
        </w:rPr>
        <w:t>包含但不限于费用、工作量、疾病、送检来源、阳性率、检查项目、设备效益、患者预约率等统计分析和报表打印。</w:t>
      </w:r>
    </w:p>
    <w:p w14:paraId="7A52059B">
      <w:pPr>
        <w:pStyle w:val="5"/>
      </w:pPr>
      <w:r>
        <w:rPr>
          <w:rFonts w:hint="eastAsia"/>
        </w:rPr>
        <w:t>医学影像存储与通讯系统</w:t>
      </w:r>
    </w:p>
    <w:p w14:paraId="273D33A3">
      <w:pPr>
        <w:rPr>
          <w:rFonts w:ascii="宋体" w:hAnsi="宋体" w:eastAsia="宋体"/>
        </w:rPr>
      </w:pPr>
      <w:r>
        <w:rPr>
          <w:rFonts w:hint="eastAsia" w:ascii="宋体" w:hAnsi="宋体" w:eastAsia="宋体"/>
        </w:rPr>
        <w:t>（1）系统须支持多种数据存储设备，包括硬盘冗余阵列、存储局域网络、网络存储以及磁带库、光盘库等设备，可配置选择影像归档存储的不同路径与设备；</w:t>
      </w:r>
    </w:p>
    <w:p w14:paraId="0C154FA7">
      <w:pPr>
        <w:rPr>
          <w:rFonts w:ascii="宋体" w:hAnsi="宋体" w:eastAsia="宋体"/>
        </w:rPr>
      </w:pPr>
      <w:r>
        <w:rPr>
          <w:rFonts w:hint="eastAsia" w:ascii="宋体" w:hAnsi="宋体" w:eastAsia="宋体"/>
        </w:rPr>
        <w:t>（2）提供DICOMStorageSCU/SCP，支持接收所有符合DICOM3.0标准的影像数据；支持三维图像接收；</w:t>
      </w:r>
    </w:p>
    <w:p w14:paraId="74E2445A">
      <w:pPr>
        <w:rPr>
          <w:rFonts w:ascii="宋体" w:hAnsi="宋体" w:eastAsia="宋体"/>
        </w:rPr>
      </w:pPr>
      <w:r>
        <w:rPr>
          <w:rFonts w:hint="eastAsia" w:ascii="宋体" w:hAnsi="宋体" w:eastAsia="宋体"/>
        </w:rPr>
        <w:t>（3）提供DICOMQ/RSCP支持多终端并发访问，根据患者姓名、检查设备、检查部位、影像号、检查时间日期等多种查询条件的组合形式查询与调阅影像，并提供查询影像调阅前的预览；</w:t>
      </w:r>
    </w:p>
    <w:p w14:paraId="50EBFA11">
      <w:pPr>
        <w:rPr>
          <w:rFonts w:ascii="宋体" w:hAnsi="宋体" w:eastAsia="宋体"/>
        </w:rPr>
      </w:pPr>
      <w:r>
        <w:rPr>
          <w:rFonts w:hint="eastAsia" w:ascii="宋体" w:hAnsi="宋体" w:eastAsia="宋体"/>
        </w:rPr>
        <w:t>（4）可同时接受多个不同影像设备并发发送的数据，并存储影像资料；</w:t>
      </w:r>
    </w:p>
    <w:p w14:paraId="2DB6BCA4">
      <w:pPr>
        <w:rPr>
          <w:rFonts w:ascii="宋体" w:hAnsi="宋体" w:eastAsia="宋体"/>
        </w:rPr>
      </w:pPr>
      <w:r>
        <w:rPr>
          <w:rFonts w:hint="eastAsia" w:ascii="宋体" w:hAnsi="宋体" w:eastAsia="宋体"/>
        </w:rPr>
        <w:t>（5）实现多种影像设备的在线添加、删除；</w:t>
      </w:r>
    </w:p>
    <w:p w14:paraId="6368BDF9">
      <w:pPr>
        <w:rPr>
          <w:rFonts w:ascii="宋体" w:hAnsi="宋体" w:eastAsia="宋体"/>
        </w:rPr>
      </w:pPr>
      <w:r>
        <w:rPr>
          <w:rFonts w:hint="eastAsia" w:ascii="宋体" w:hAnsi="宋体" w:eastAsia="宋体"/>
        </w:rPr>
        <w:t>（6）支持影像压缩，影像非压缩、有损（LOSSY）或无损（LOSSLESS）压缩存储。支持8至16位影像数据无损及有损压缩；</w:t>
      </w:r>
    </w:p>
    <w:p w14:paraId="02A75438">
      <w:pPr>
        <w:rPr>
          <w:rFonts w:ascii="宋体" w:hAnsi="宋体" w:eastAsia="宋体"/>
        </w:rPr>
      </w:pPr>
      <w:r>
        <w:rPr>
          <w:rFonts w:hint="eastAsia" w:ascii="宋体" w:hAnsi="宋体" w:eastAsia="宋体"/>
        </w:rPr>
        <w:t>（7）支持DICOMModalityWorklistSCP，为每一部检查设备产生相应的检查信息清单，免去在影像设备上重复输入信息的步骤；</w:t>
      </w:r>
    </w:p>
    <w:p w14:paraId="1F679845">
      <w:pPr>
        <w:rPr>
          <w:rFonts w:ascii="宋体" w:hAnsi="宋体" w:eastAsia="宋体"/>
        </w:rPr>
      </w:pPr>
      <w:r>
        <w:rPr>
          <w:rFonts w:hint="eastAsia" w:ascii="宋体" w:hAnsi="宋体" w:eastAsia="宋体"/>
        </w:rPr>
        <w:t>（8）支持DICOMModalityPerformedProcedureStep（MPPS），以便实时了解支持MPPS服务的设备当前运行状态。</w:t>
      </w:r>
    </w:p>
    <w:p w14:paraId="05C61CB2">
      <w:pPr>
        <w:rPr>
          <w:rFonts w:ascii="宋体" w:hAnsi="宋体" w:eastAsia="宋体"/>
        </w:rPr>
      </w:pPr>
      <w:r>
        <w:rPr>
          <w:rFonts w:hint="eastAsia" w:ascii="宋体" w:hAnsi="宋体" w:eastAsia="宋体"/>
        </w:rPr>
        <w:t>（9）患者信息自动转换，将姓名、性别、年龄等患者主要信息转换为设备所需的格式，如拼音、英文简写等；</w:t>
      </w:r>
    </w:p>
    <w:p w14:paraId="34359979">
      <w:pPr>
        <w:rPr>
          <w:rFonts w:ascii="宋体" w:hAnsi="宋体" w:eastAsia="宋体"/>
        </w:rPr>
      </w:pPr>
      <w:r>
        <w:rPr>
          <w:rFonts w:hint="eastAsia" w:ascii="宋体" w:hAnsi="宋体" w:eastAsia="宋体"/>
        </w:rPr>
        <w:t>（10）存储量自动管理：可依需要来调整影像存储容量限制，到达限制量时，系统自动存入已经预设好的其它存储内；</w:t>
      </w:r>
    </w:p>
    <w:p w14:paraId="2C79EF78">
      <w:pPr>
        <w:rPr>
          <w:rFonts w:ascii="宋体" w:hAnsi="宋体" w:eastAsia="宋体"/>
        </w:rPr>
      </w:pPr>
      <w:r>
        <w:rPr>
          <w:rFonts w:hint="eastAsia" w:ascii="宋体" w:hAnsi="宋体" w:eastAsia="宋体"/>
        </w:rPr>
        <w:t>（11）影像数据的各种状态记录日志（影像存档、影像调阅、影像传输等），并支持相应管理查询工具；</w:t>
      </w:r>
    </w:p>
    <w:p w14:paraId="1D29703A">
      <w:pPr>
        <w:rPr>
          <w:rFonts w:ascii="宋体" w:hAnsi="宋体" w:eastAsia="宋体"/>
        </w:rPr>
      </w:pPr>
      <w:r>
        <w:rPr>
          <w:rFonts w:hint="eastAsia" w:ascii="宋体" w:hAnsi="宋体" w:eastAsia="宋体"/>
        </w:rPr>
        <w:t>（12）通讯(SCU)设备的授权管理，以屏蔽未经授权的DICOM应用实体访问，以保证服务器的安全；</w:t>
      </w:r>
    </w:p>
    <w:p w14:paraId="02D3B2C9">
      <w:pPr>
        <w:rPr>
          <w:rFonts w:ascii="宋体" w:hAnsi="宋体" w:eastAsia="宋体"/>
        </w:rPr>
      </w:pPr>
      <w:r>
        <w:rPr>
          <w:rFonts w:hint="eastAsia" w:ascii="宋体" w:hAnsi="宋体" w:eastAsia="宋体"/>
        </w:rPr>
        <w:t>（13）可选的覆盖写入，当相同SOPInstanceUID的影像被重复传送时，将依据配置进行覆盖或新增保存；</w:t>
      </w:r>
    </w:p>
    <w:p w14:paraId="37B4B21F">
      <w:pPr>
        <w:rPr>
          <w:rFonts w:ascii="宋体" w:hAnsi="宋体" w:eastAsia="宋体"/>
        </w:rPr>
      </w:pPr>
      <w:r>
        <w:rPr>
          <w:rFonts w:hint="eastAsia" w:ascii="宋体" w:hAnsi="宋体" w:eastAsia="宋体"/>
        </w:rPr>
        <w:t>（14）影像的先进先出机制，当存储空间满时，系统将自动近线或离线最早检查的影像；</w:t>
      </w:r>
    </w:p>
    <w:p w14:paraId="7127D4EB">
      <w:pPr>
        <w:rPr>
          <w:rFonts w:ascii="宋体" w:hAnsi="宋体" w:eastAsia="宋体"/>
        </w:rPr>
      </w:pPr>
      <w:r>
        <w:rPr>
          <w:rFonts w:hint="eastAsia" w:ascii="宋体" w:hAnsi="宋体" w:eastAsia="宋体"/>
        </w:rPr>
        <w:t>（15）可自动转送影像至其它的DICOM存储节点或通用的文件存储系统，比如远端的FTP服务器和HTTP服务器等；</w:t>
      </w:r>
    </w:p>
    <w:p w14:paraId="4A0534A2">
      <w:pPr>
        <w:rPr>
          <w:rFonts w:ascii="宋体" w:hAnsi="宋体" w:eastAsia="宋体"/>
        </w:rPr>
      </w:pPr>
      <w:r>
        <w:rPr>
          <w:rFonts w:hint="eastAsia" w:ascii="宋体" w:hAnsi="宋体" w:eastAsia="宋体"/>
        </w:rPr>
        <w:t>（16）同步创建JPEG文件，可自动创建并保存相同分辨率的JPEG影像文件；</w:t>
      </w:r>
    </w:p>
    <w:p w14:paraId="35DF10BF">
      <w:pPr>
        <w:rPr>
          <w:rFonts w:ascii="宋体" w:hAnsi="宋体" w:eastAsia="宋体"/>
        </w:rPr>
      </w:pPr>
      <w:r>
        <w:rPr>
          <w:rFonts w:hint="eastAsia" w:ascii="宋体" w:hAnsi="宋体" w:eastAsia="宋体"/>
        </w:rPr>
        <w:t>（17）创建AVI格式的动态影像，当接收动态影像后，可自动创建并保存一份AVI影像文件；</w:t>
      </w:r>
    </w:p>
    <w:p w14:paraId="5773B24B">
      <w:pPr>
        <w:pStyle w:val="5"/>
      </w:pPr>
      <w:r>
        <w:rPr>
          <w:rFonts w:hint="eastAsia"/>
        </w:rPr>
        <w:t>超声信息管理系统</w:t>
      </w:r>
    </w:p>
    <w:p w14:paraId="664FD197">
      <w:pPr>
        <w:rPr>
          <w:rFonts w:ascii="宋体" w:hAnsi="宋体" w:eastAsia="宋体"/>
        </w:rPr>
      </w:pPr>
      <w:r>
        <w:rPr>
          <w:rFonts w:hint="eastAsia" w:ascii="宋体" w:hAnsi="宋体" w:eastAsia="宋体"/>
        </w:rPr>
        <w:t>（1）登记预约：</w:t>
      </w:r>
    </w:p>
    <w:p w14:paraId="7A11F006">
      <w:pPr>
        <w:ind w:firstLine="480"/>
        <w:rPr>
          <w:rFonts w:ascii="宋体" w:hAnsi="宋体" w:eastAsia="宋体"/>
        </w:rPr>
      </w:pPr>
      <w:r>
        <w:rPr>
          <w:rFonts w:hint="eastAsia" w:ascii="宋体" w:hAnsi="宋体" w:eastAsia="宋体"/>
        </w:rPr>
        <w:t>1）要求与医院HIS系统无缝对接，接收HIS、体检等第三方系统推送检查电子检查申请单信息；同时支持进行手工录入登记，条码枪扫描、身份证读卡等多种患者基本信息录入模式；</w:t>
      </w:r>
    </w:p>
    <w:p w14:paraId="3A04D6A8">
      <w:pPr>
        <w:ind w:firstLine="480"/>
        <w:rPr>
          <w:rFonts w:ascii="宋体" w:hAnsi="宋体" w:eastAsia="宋体"/>
        </w:rPr>
      </w:pPr>
      <w:r>
        <w:rPr>
          <w:rFonts w:hint="eastAsia" w:ascii="宋体" w:hAnsi="宋体" w:eastAsia="宋体"/>
        </w:rPr>
        <w:t>2）可单个部位或多个部位任意组合预约登记；可单个申请单项目拆分与多个申请单合并预约登记；支持患者信息批量登记预约处理；患者可根据电子检查申请信息自助预约登记。</w:t>
      </w:r>
    </w:p>
    <w:p w14:paraId="11DBEAD8">
      <w:pPr>
        <w:ind w:firstLine="480"/>
        <w:rPr>
          <w:rFonts w:ascii="宋体" w:hAnsi="宋体" w:eastAsia="宋体"/>
        </w:rPr>
      </w:pPr>
      <w:r>
        <w:rPr>
          <w:rFonts w:hint="eastAsia" w:ascii="宋体" w:hAnsi="宋体" w:eastAsia="宋体"/>
        </w:rPr>
        <w:t>3）单日预约总人数管理；登记预约资源分布情况显示查询处理；</w:t>
      </w:r>
    </w:p>
    <w:p w14:paraId="73BACDB2">
      <w:pPr>
        <w:ind w:firstLine="480"/>
        <w:rPr>
          <w:rFonts w:ascii="宋体" w:hAnsi="宋体" w:eastAsia="宋体"/>
        </w:rPr>
      </w:pPr>
      <w:r>
        <w:rPr>
          <w:rFonts w:hint="eastAsia" w:ascii="宋体" w:hAnsi="宋体" w:eastAsia="宋体"/>
        </w:rPr>
        <w:t>4）急诊、危重类患者快速预约登记；</w:t>
      </w:r>
    </w:p>
    <w:p w14:paraId="138ADF42">
      <w:pPr>
        <w:rPr>
          <w:rFonts w:ascii="宋体" w:hAnsi="宋体" w:eastAsia="宋体"/>
        </w:rPr>
      </w:pPr>
      <w:r>
        <w:rPr>
          <w:rFonts w:hint="eastAsia" w:ascii="宋体" w:hAnsi="宋体" w:eastAsia="宋体"/>
        </w:rPr>
        <w:t>（2）影像采集：</w:t>
      </w:r>
    </w:p>
    <w:p w14:paraId="65D911DF">
      <w:pPr>
        <w:ind w:firstLine="480"/>
        <w:rPr>
          <w:rFonts w:ascii="宋体" w:hAnsi="宋体" w:eastAsia="宋体"/>
        </w:rPr>
      </w:pPr>
      <w:r>
        <w:rPr>
          <w:rFonts w:hint="eastAsia" w:ascii="宋体" w:hAnsi="宋体" w:eastAsia="宋体"/>
        </w:rPr>
        <w:t>1）可采集标清、高清视频信号，支持视频信号同步显示与采集；</w:t>
      </w:r>
    </w:p>
    <w:p w14:paraId="372D7B5A">
      <w:pPr>
        <w:ind w:firstLine="480"/>
        <w:rPr>
          <w:rFonts w:ascii="宋体" w:hAnsi="宋体" w:eastAsia="宋体"/>
        </w:rPr>
      </w:pPr>
      <w:r>
        <w:rPr>
          <w:rFonts w:hint="eastAsia" w:ascii="宋体" w:hAnsi="宋体" w:eastAsia="宋体"/>
        </w:rPr>
        <w:t>2）视频图像采集与录像可实现自动采集，并能对采集频率进行调控，静态图像采集格式支持JPEG、BMP、PNG文件格式，动态视频录制支持视频压缩与非压缩模式保存；</w:t>
      </w:r>
    </w:p>
    <w:p w14:paraId="45A42CEB">
      <w:pPr>
        <w:ind w:firstLine="480"/>
        <w:rPr>
          <w:rFonts w:ascii="宋体" w:hAnsi="宋体" w:eastAsia="宋体"/>
        </w:rPr>
      </w:pPr>
      <w:r>
        <w:rPr>
          <w:rFonts w:hint="eastAsia" w:ascii="宋体" w:hAnsi="宋体" w:eastAsia="宋体"/>
        </w:rPr>
        <w:t>3）须支持脚踏开关、手柄、键盘、鼠标等多种采集触发方式；静态图像采集与动态视频录制状态语音、标示标识提醒处理；</w:t>
      </w:r>
    </w:p>
    <w:p w14:paraId="11A9B8F3">
      <w:pPr>
        <w:ind w:firstLine="480"/>
        <w:rPr>
          <w:rFonts w:ascii="宋体" w:hAnsi="宋体" w:eastAsia="宋体"/>
        </w:rPr>
      </w:pPr>
      <w:r>
        <w:rPr>
          <w:rFonts w:hint="eastAsia" w:ascii="宋体" w:hAnsi="宋体" w:eastAsia="宋体"/>
        </w:rPr>
        <w:t>4）须支持图像、视频标位处理；音频信号录制；</w:t>
      </w:r>
    </w:p>
    <w:p w14:paraId="714AA6CB">
      <w:pPr>
        <w:ind w:firstLine="480"/>
        <w:rPr>
          <w:rFonts w:ascii="宋体" w:hAnsi="宋体" w:eastAsia="宋体"/>
        </w:rPr>
      </w:pPr>
      <w:r>
        <w:rPr>
          <w:rFonts w:hint="eastAsia" w:ascii="宋体" w:hAnsi="宋体" w:eastAsia="宋体"/>
        </w:rPr>
        <w:t>5）支持静态图像亮度调节、旋转、放大、缩小、裁减编辑；提供静态图像角度、直线、箭头、圆、矩形、多边形和文字等批注工具；</w:t>
      </w:r>
    </w:p>
    <w:p w14:paraId="6DD3D6D6">
      <w:pPr>
        <w:ind w:firstLine="480"/>
        <w:rPr>
          <w:rFonts w:ascii="宋体" w:hAnsi="宋体" w:eastAsia="宋体"/>
        </w:rPr>
      </w:pPr>
      <w:r>
        <w:rPr>
          <w:rFonts w:hint="eastAsia" w:ascii="宋体" w:hAnsi="宋体" w:eastAsia="宋体"/>
        </w:rPr>
        <w:t>6）提供动态视频回放、下载与静态图像导入导出处理、静态图像与动态视频删除处理、患者视频切换处理等；</w:t>
      </w:r>
    </w:p>
    <w:p w14:paraId="72380BB2">
      <w:pPr>
        <w:ind w:firstLine="480"/>
        <w:rPr>
          <w:rFonts w:ascii="宋体" w:hAnsi="宋体" w:eastAsia="宋体"/>
        </w:rPr>
      </w:pPr>
      <w:r>
        <w:rPr>
          <w:rFonts w:hint="eastAsia" w:ascii="宋体" w:hAnsi="宋体" w:eastAsia="宋体"/>
        </w:rPr>
        <w:t>7）须实现患者影像数据集中存储，便于不同工作站间数据共享；</w:t>
      </w:r>
    </w:p>
    <w:p w14:paraId="7EED87C0">
      <w:pPr>
        <w:ind w:firstLine="480"/>
        <w:rPr>
          <w:rFonts w:ascii="宋体" w:hAnsi="宋体" w:eastAsia="宋体"/>
        </w:rPr>
      </w:pPr>
      <w:r>
        <w:rPr>
          <w:rFonts w:hint="eastAsia" w:ascii="宋体" w:hAnsi="宋体" w:eastAsia="宋体"/>
        </w:rPr>
        <w:t>8）支持患者DICOM影像导入、并支持Jpeg、BMP、PNG格式转换处理；DICOM动态影像转非DICOM格式动态影像；</w:t>
      </w:r>
    </w:p>
    <w:p w14:paraId="31C6BE34">
      <w:pPr>
        <w:rPr>
          <w:rFonts w:ascii="宋体" w:hAnsi="宋体" w:eastAsia="宋体"/>
        </w:rPr>
      </w:pPr>
      <w:r>
        <w:rPr>
          <w:rFonts w:hint="eastAsia" w:ascii="宋体" w:hAnsi="宋体" w:eastAsia="宋体"/>
        </w:rPr>
        <w:t>（3）诊断报告：</w:t>
      </w:r>
    </w:p>
    <w:p w14:paraId="383AA7B0">
      <w:pPr>
        <w:ind w:firstLine="480"/>
        <w:rPr>
          <w:rFonts w:ascii="宋体" w:hAnsi="宋体" w:eastAsia="宋体"/>
        </w:rPr>
      </w:pPr>
      <w:r>
        <w:rPr>
          <w:rFonts w:hint="eastAsia" w:ascii="宋体" w:hAnsi="宋体" w:eastAsia="宋体"/>
        </w:rPr>
        <w:t>1）系统可实现检查报告模板自定义；支持特殊字符、常用词条快速引用；检查报告撤销、修改；描述模板引用、新建、删除、修改等</w:t>
      </w:r>
    </w:p>
    <w:p w14:paraId="349DDF6F">
      <w:pPr>
        <w:ind w:firstLine="480"/>
        <w:rPr>
          <w:rFonts w:ascii="宋体" w:hAnsi="宋体" w:eastAsia="宋体"/>
        </w:rPr>
      </w:pPr>
      <w:r>
        <w:rPr>
          <w:rFonts w:hint="eastAsia" w:ascii="宋体" w:hAnsi="宋体" w:eastAsia="宋体"/>
        </w:rPr>
        <w:t>2）实现对检查阴/阳性、危急值影像质控控制；</w:t>
      </w:r>
    </w:p>
    <w:p w14:paraId="088492E6">
      <w:pPr>
        <w:ind w:firstLine="480"/>
        <w:rPr>
          <w:rFonts w:ascii="宋体" w:hAnsi="宋体" w:eastAsia="宋体"/>
        </w:rPr>
      </w:pPr>
      <w:r>
        <w:rPr>
          <w:rFonts w:hint="eastAsia" w:ascii="宋体" w:hAnsi="宋体" w:eastAsia="宋体"/>
        </w:rPr>
        <w:t>3）支持同时打开多个患者报告进行对比；支持同一患者不同图像与不同患者图像比对；查看历史报告，可复制历史报告内容；加载历史检查的影像；报告修改历史同框、同屏对比、标注；</w:t>
      </w:r>
    </w:p>
    <w:p w14:paraId="54D4373E">
      <w:pPr>
        <w:ind w:firstLine="480"/>
        <w:rPr>
          <w:rFonts w:ascii="宋体" w:hAnsi="宋体" w:eastAsia="宋体"/>
        </w:rPr>
      </w:pPr>
      <w:r>
        <w:rPr>
          <w:rFonts w:hint="eastAsia" w:ascii="宋体" w:hAnsi="宋体" w:eastAsia="宋体"/>
        </w:rPr>
        <w:t>4）支持检查报告驳回，报告质量评价，图片质量评价，报告分级审核；</w:t>
      </w:r>
    </w:p>
    <w:p w14:paraId="2C43412C">
      <w:pPr>
        <w:ind w:firstLine="480"/>
        <w:rPr>
          <w:rFonts w:ascii="宋体" w:hAnsi="宋体" w:eastAsia="宋体"/>
        </w:rPr>
      </w:pPr>
      <w:r>
        <w:rPr>
          <w:rFonts w:hint="eastAsia" w:ascii="宋体" w:hAnsi="宋体" w:eastAsia="宋体"/>
        </w:rPr>
        <w:t>5）检查报告可自动保存、打印、预览；支持检查报告批量打印，数据批量导出；</w:t>
      </w:r>
    </w:p>
    <w:p w14:paraId="24759307">
      <w:pPr>
        <w:ind w:firstLine="480"/>
        <w:rPr>
          <w:rFonts w:ascii="宋体" w:hAnsi="宋体" w:eastAsia="宋体"/>
        </w:rPr>
      </w:pPr>
      <w:r>
        <w:rPr>
          <w:rFonts w:hint="eastAsia" w:ascii="宋体" w:hAnsi="宋体" w:eastAsia="宋体"/>
        </w:rPr>
        <w:t>6）具备患者随访记录管理；</w:t>
      </w:r>
    </w:p>
    <w:p w14:paraId="7EABAE22">
      <w:pPr>
        <w:rPr>
          <w:rFonts w:ascii="宋体" w:hAnsi="宋体" w:eastAsia="宋体"/>
        </w:rPr>
      </w:pPr>
      <w:r>
        <w:rPr>
          <w:rFonts w:hint="eastAsia" w:ascii="宋体" w:hAnsi="宋体" w:eastAsia="宋体"/>
        </w:rPr>
        <w:t>（4）数据统计：</w:t>
      </w:r>
    </w:p>
    <w:p w14:paraId="59ED3104">
      <w:pPr>
        <w:ind w:firstLine="480"/>
        <w:rPr>
          <w:rFonts w:ascii="宋体" w:hAnsi="宋体" w:eastAsia="宋体"/>
        </w:rPr>
      </w:pPr>
      <w:r>
        <w:rPr>
          <w:rFonts w:hint="eastAsia" w:ascii="宋体" w:hAnsi="宋体" w:eastAsia="宋体"/>
        </w:rPr>
        <w:t>至少包含报告医师、记录员、检查医师、审核医师、送检医师工作量汇总和明细统计、检查阳性率汇总和明细统计、部位检查人次统计、送检科室汇总统计、设备部位人次统计、设备部位人次明细统计、医技开单统计、会诊病例统计、随访病例统计、病人预约统计；</w:t>
      </w:r>
    </w:p>
    <w:p w14:paraId="0D7386A4">
      <w:pPr>
        <w:pStyle w:val="5"/>
      </w:pPr>
      <w:r>
        <w:rPr>
          <w:rFonts w:hint="eastAsia"/>
        </w:rPr>
        <w:t>内镜信息管理系统</w:t>
      </w:r>
    </w:p>
    <w:p w14:paraId="73171899">
      <w:pPr>
        <w:rPr>
          <w:rFonts w:ascii="宋体" w:hAnsi="宋体" w:eastAsia="宋体"/>
        </w:rPr>
      </w:pPr>
      <w:r>
        <w:rPr>
          <w:rFonts w:hint="eastAsia" w:ascii="宋体" w:hAnsi="宋体" w:eastAsia="宋体"/>
        </w:rPr>
        <w:t>（1）登记预约：</w:t>
      </w:r>
    </w:p>
    <w:p w14:paraId="6DE35C5B">
      <w:pPr>
        <w:ind w:firstLine="480"/>
        <w:rPr>
          <w:rFonts w:ascii="宋体" w:hAnsi="宋体" w:eastAsia="宋体"/>
        </w:rPr>
      </w:pPr>
      <w:r>
        <w:rPr>
          <w:rFonts w:hint="eastAsia" w:ascii="宋体" w:hAnsi="宋体" w:eastAsia="宋体"/>
        </w:rPr>
        <w:t>1）要求与HIS系统无缝对接，接收HIS、体检等第三方系统推送检查电子检查申请单信息；支持患者信息批量登记预约处理；支持患者电子检查申请信息自助预约登记处理；患者信息匿名等急诊、危重类患者快速预约登记；</w:t>
      </w:r>
    </w:p>
    <w:p w14:paraId="69F4456E">
      <w:pPr>
        <w:ind w:firstLine="480"/>
        <w:rPr>
          <w:rFonts w:ascii="宋体" w:hAnsi="宋体" w:eastAsia="宋体"/>
        </w:rPr>
      </w:pPr>
      <w:r>
        <w:rPr>
          <w:rFonts w:hint="eastAsia" w:ascii="宋体" w:hAnsi="宋体" w:eastAsia="宋体"/>
        </w:rPr>
        <w:t>2）支持进行手工录入登记，条码枪扫描、身份证读卡等多种患者基本信息录入模式；</w:t>
      </w:r>
    </w:p>
    <w:p w14:paraId="4043FB10">
      <w:pPr>
        <w:ind w:firstLine="480"/>
        <w:rPr>
          <w:rFonts w:ascii="宋体" w:hAnsi="宋体" w:eastAsia="宋体"/>
        </w:rPr>
      </w:pPr>
      <w:r>
        <w:rPr>
          <w:rFonts w:hint="eastAsia" w:ascii="宋体" w:hAnsi="宋体" w:eastAsia="宋体"/>
        </w:rPr>
        <w:t>3）支持单个部位或多个部位任意组合预约登记；</w:t>
      </w:r>
    </w:p>
    <w:p w14:paraId="5A3A66C7">
      <w:pPr>
        <w:ind w:firstLine="480"/>
        <w:rPr>
          <w:rFonts w:ascii="宋体" w:hAnsi="宋体" w:eastAsia="宋体"/>
        </w:rPr>
      </w:pPr>
      <w:r>
        <w:rPr>
          <w:rFonts w:hint="eastAsia" w:ascii="宋体" w:hAnsi="宋体" w:eastAsia="宋体"/>
        </w:rPr>
        <w:t>4）支持单个申请单项目拆分与多个申请单合并预约登记；</w:t>
      </w:r>
    </w:p>
    <w:p w14:paraId="7A8FE383">
      <w:pPr>
        <w:ind w:firstLine="480"/>
        <w:rPr>
          <w:rFonts w:ascii="宋体" w:hAnsi="宋体" w:eastAsia="宋体"/>
        </w:rPr>
      </w:pPr>
      <w:r>
        <w:rPr>
          <w:rFonts w:hint="eastAsia" w:ascii="宋体" w:hAnsi="宋体" w:eastAsia="宋体"/>
        </w:rPr>
        <w:t>5）支持单日预约总人数控制；登记预约资源分布情况显示查询；登记预约修改、撤销处理</w:t>
      </w:r>
    </w:p>
    <w:p w14:paraId="1CF2CE4B">
      <w:pPr>
        <w:ind w:firstLine="480"/>
        <w:rPr>
          <w:rFonts w:ascii="宋体" w:hAnsi="宋体" w:eastAsia="宋体"/>
        </w:rPr>
      </w:pPr>
      <w:r>
        <w:rPr>
          <w:rFonts w:hint="eastAsia" w:ascii="宋体" w:hAnsi="宋体" w:eastAsia="宋体"/>
        </w:rPr>
        <w:t>6）支持检查号、分诊号自动生成或人工分配；支持检查导引单或报告领取通知单打印；</w:t>
      </w:r>
    </w:p>
    <w:p w14:paraId="3D2C2681">
      <w:pPr>
        <w:ind w:firstLine="480"/>
        <w:rPr>
          <w:rFonts w:ascii="宋体" w:hAnsi="宋体" w:eastAsia="宋体"/>
        </w:rPr>
      </w:pPr>
      <w:r>
        <w:rPr>
          <w:rFonts w:hint="eastAsia" w:ascii="宋体" w:hAnsi="宋体" w:eastAsia="宋体"/>
        </w:rPr>
        <w:t>7）支持预约患者签到管理；实时显示各检查室当前候检人数、到达状态、呼叫状态等信息；可通过候诊区大屏集中候诊显示或诊室诊间屏患者候诊排队信息显示；</w:t>
      </w:r>
    </w:p>
    <w:p w14:paraId="015C8221">
      <w:pPr>
        <w:ind w:firstLine="480"/>
        <w:rPr>
          <w:rFonts w:ascii="宋体" w:hAnsi="宋体" w:eastAsia="宋体"/>
        </w:rPr>
      </w:pPr>
      <w:r>
        <w:rPr>
          <w:rFonts w:hint="eastAsia" w:ascii="宋体" w:hAnsi="宋体" w:eastAsia="宋体"/>
        </w:rPr>
        <w:t>8）支持候诊患者顺序呼叫、指定呼叫管理；</w:t>
      </w:r>
    </w:p>
    <w:p w14:paraId="04E20624">
      <w:pPr>
        <w:ind w:firstLine="480"/>
        <w:rPr>
          <w:rFonts w:ascii="宋体" w:hAnsi="宋体" w:eastAsia="宋体"/>
        </w:rPr>
      </w:pPr>
      <w:r>
        <w:rPr>
          <w:rFonts w:hint="eastAsia" w:ascii="宋体" w:hAnsi="宋体" w:eastAsia="宋体"/>
        </w:rPr>
        <w:t>9）支持患者检查费用核对管理；</w:t>
      </w:r>
    </w:p>
    <w:p w14:paraId="4765D4D2">
      <w:pPr>
        <w:ind w:firstLine="480"/>
        <w:rPr>
          <w:rFonts w:ascii="宋体" w:hAnsi="宋体" w:eastAsia="宋体"/>
        </w:rPr>
      </w:pPr>
      <w:r>
        <w:rPr>
          <w:rFonts w:hint="eastAsia" w:ascii="宋体" w:hAnsi="宋体" w:eastAsia="宋体"/>
        </w:rPr>
        <w:t>10）支持电子检查申请重复登记提醒；</w:t>
      </w:r>
    </w:p>
    <w:p w14:paraId="293E33FF">
      <w:pPr>
        <w:rPr>
          <w:rFonts w:ascii="宋体" w:hAnsi="宋体" w:eastAsia="宋体"/>
        </w:rPr>
      </w:pPr>
      <w:r>
        <w:rPr>
          <w:rFonts w:hint="eastAsia" w:ascii="宋体" w:hAnsi="宋体" w:eastAsia="宋体"/>
        </w:rPr>
        <w:t>（2）影像采集：</w:t>
      </w:r>
    </w:p>
    <w:p w14:paraId="19C8F1D6">
      <w:pPr>
        <w:ind w:firstLine="480"/>
        <w:rPr>
          <w:rFonts w:ascii="宋体" w:hAnsi="宋体" w:eastAsia="宋体"/>
        </w:rPr>
      </w:pPr>
      <w:r>
        <w:rPr>
          <w:rFonts w:hint="eastAsia" w:ascii="宋体" w:hAnsi="宋体" w:eastAsia="宋体"/>
        </w:rPr>
        <w:t>1）支持标清、高清视频信号采集；视频信号同步显示与采集；视频图像自动采集，采集频率实现可调控制；</w:t>
      </w:r>
    </w:p>
    <w:p w14:paraId="592D5468">
      <w:pPr>
        <w:ind w:firstLine="480"/>
        <w:rPr>
          <w:rFonts w:ascii="宋体" w:hAnsi="宋体" w:eastAsia="宋体"/>
        </w:rPr>
      </w:pPr>
      <w:r>
        <w:rPr>
          <w:rFonts w:hint="eastAsia" w:ascii="宋体" w:hAnsi="宋体" w:eastAsia="宋体"/>
        </w:rPr>
        <w:t>2）支持视频图像采集与录像，静态图像采集格式支持JPEG、BMP、PNG文件格式，动态视频录制支持视频压缩与非压缩模式保存；</w:t>
      </w:r>
    </w:p>
    <w:p w14:paraId="32F20823">
      <w:pPr>
        <w:ind w:firstLine="480"/>
        <w:rPr>
          <w:rFonts w:ascii="宋体" w:hAnsi="宋体" w:eastAsia="宋体"/>
        </w:rPr>
      </w:pPr>
      <w:r>
        <w:rPr>
          <w:rFonts w:hint="eastAsia" w:ascii="宋体" w:hAnsi="宋体" w:eastAsia="宋体"/>
        </w:rPr>
        <w:t>3）支持脚踏开关、手柄、键盘、鼠标等多种采集触发方式；</w:t>
      </w:r>
    </w:p>
    <w:p w14:paraId="5F070699">
      <w:pPr>
        <w:ind w:firstLine="480"/>
        <w:rPr>
          <w:rFonts w:ascii="宋体" w:hAnsi="宋体" w:eastAsia="宋体"/>
        </w:rPr>
      </w:pPr>
      <w:r>
        <w:rPr>
          <w:rFonts w:hint="eastAsia" w:ascii="宋体" w:hAnsi="宋体" w:eastAsia="宋体"/>
        </w:rPr>
        <w:t>4）支持静态图像采集与动态视频录制状态语音、标示标识提醒处理；图像、视频标位处理；</w:t>
      </w:r>
    </w:p>
    <w:p w14:paraId="7C40F5DE">
      <w:pPr>
        <w:ind w:firstLine="480"/>
        <w:rPr>
          <w:rFonts w:ascii="宋体" w:hAnsi="宋体" w:eastAsia="宋体"/>
        </w:rPr>
      </w:pPr>
      <w:r>
        <w:rPr>
          <w:rFonts w:hint="eastAsia" w:ascii="宋体" w:hAnsi="宋体" w:eastAsia="宋体"/>
        </w:rPr>
        <w:t>5）支持静态图像亮度调节、旋转、放大、缩小、裁减编辑；静态图像角度、直线、箭头、圆、矩形、多边形和文字等批注工具；</w:t>
      </w:r>
    </w:p>
    <w:p w14:paraId="2A8EA8AD">
      <w:pPr>
        <w:ind w:firstLine="480"/>
        <w:rPr>
          <w:rFonts w:ascii="宋体" w:hAnsi="宋体" w:eastAsia="宋体"/>
        </w:rPr>
      </w:pPr>
      <w:r>
        <w:rPr>
          <w:rFonts w:hint="eastAsia" w:ascii="宋体" w:hAnsi="宋体" w:eastAsia="宋体"/>
        </w:rPr>
        <w:t>6）支持动态视频回放、下载与静态图像导入导出处理；患者视频切换处理；</w:t>
      </w:r>
    </w:p>
    <w:p w14:paraId="2F87FE8B">
      <w:pPr>
        <w:ind w:firstLine="480"/>
        <w:rPr>
          <w:rFonts w:ascii="宋体" w:hAnsi="宋体" w:eastAsia="宋体"/>
        </w:rPr>
      </w:pPr>
      <w:r>
        <w:rPr>
          <w:rFonts w:hint="eastAsia" w:ascii="宋体" w:hAnsi="宋体" w:eastAsia="宋体"/>
        </w:rPr>
        <w:t>7）支持患者影像数据集中存储，便于不同工作站间数据共享；</w:t>
      </w:r>
    </w:p>
    <w:p w14:paraId="787B39E4">
      <w:pPr>
        <w:ind w:firstLine="480"/>
        <w:rPr>
          <w:rFonts w:ascii="宋体" w:hAnsi="宋体" w:eastAsia="宋体"/>
        </w:rPr>
      </w:pPr>
      <w:r>
        <w:rPr>
          <w:rFonts w:hint="eastAsia" w:ascii="宋体" w:hAnsi="宋体" w:eastAsia="宋体"/>
        </w:rPr>
        <w:t>8）支持患者DICOM影像导入、并支持Jpeg、BMP、PNG格式转换处理；DICOM动态影像转非DICOM格式动态影像；</w:t>
      </w:r>
    </w:p>
    <w:p w14:paraId="5870929B">
      <w:pPr>
        <w:rPr>
          <w:rFonts w:ascii="宋体" w:hAnsi="宋体" w:eastAsia="宋体"/>
        </w:rPr>
      </w:pPr>
      <w:r>
        <w:rPr>
          <w:rFonts w:hint="eastAsia" w:ascii="宋体" w:hAnsi="宋体" w:eastAsia="宋体"/>
        </w:rPr>
        <w:t>（3）诊断报告：</w:t>
      </w:r>
    </w:p>
    <w:p w14:paraId="294782A7">
      <w:pPr>
        <w:ind w:firstLine="480"/>
        <w:rPr>
          <w:rFonts w:ascii="宋体" w:hAnsi="宋体" w:eastAsia="宋体"/>
        </w:rPr>
      </w:pPr>
      <w:r>
        <w:rPr>
          <w:rFonts w:hint="eastAsia" w:ascii="宋体" w:hAnsi="宋体" w:eastAsia="宋体"/>
        </w:rPr>
        <w:t>1）检查报告模板可自定义；具备特殊字符、常用词条快速引用、检查报告撤销、修改；描述模板引用、新建、删除、修改；</w:t>
      </w:r>
    </w:p>
    <w:p w14:paraId="6B8AF5AF">
      <w:pPr>
        <w:ind w:firstLine="480"/>
        <w:rPr>
          <w:rFonts w:ascii="宋体" w:hAnsi="宋体" w:eastAsia="宋体"/>
        </w:rPr>
      </w:pPr>
      <w:r>
        <w:rPr>
          <w:rFonts w:hint="eastAsia" w:ascii="宋体" w:hAnsi="宋体" w:eastAsia="宋体"/>
        </w:rPr>
        <w:t>2）实现对检查阴/阳性、危急值影像质控控制；</w:t>
      </w:r>
    </w:p>
    <w:p w14:paraId="07756962">
      <w:pPr>
        <w:ind w:firstLine="480"/>
        <w:rPr>
          <w:rFonts w:ascii="宋体" w:hAnsi="宋体" w:eastAsia="宋体"/>
        </w:rPr>
      </w:pPr>
      <w:r>
        <w:rPr>
          <w:rFonts w:hint="eastAsia" w:ascii="宋体" w:hAnsi="宋体" w:eastAsia="宋体"/>
        </w:rPr>
        <w:t>3）支持同时打开多个患者报告进行对比；支持同一患者不同图像与不同患者图像比对；查看历史报告，可复制历史报告内容；加载历史检查的影像；报告修改历史同框、同屏对比、标注；</w:t>
      </w:r>
    </w:p>
    <w:p w14:paraId="4F7214A6">
      <w:pPr>
        <w:ind w:firstLine="480"/>
        <w:rPr>
          <w:rFonts w:ascii="宋体" w:hAnsi="宋体" w:eastAsia="宋体"/>
        </w:rPr>
      </w:pPr>
      <w:r>
        <w:rPr>
          <w:rFonts w:hint="eastAsia" w:ascii="宋体" w:hAnsi="宋体" w:eastAsia="宋体"/>
        </w:rPr>
        <w:t>4）检查报告驳回，报告质量评价，图片质量评价，报告分级审核；</w:t>
      </w:r>
    </w:p>
    <w:p w14:paraId="4382E2DA">
      <w:pPr>
        <w:ind w:firstLine="480"/>
        <w:rPr>
          <w:rFonts w:ascii="宋体" w:hAnsi="宋体" w:eastAsia="宋体"/>
        </w:rPr>
      </w:pPr>
      <w:r>
        <w:rPr>
          <w:rFonts w:hint="eastAsia" w:ascii="宋体" w:hAnsi="宋体" w:eastAsia="宋体"/>
        </w:rPr>
        <w:t>5）检查报告自动保存、报告打印、预览、检查报告批量打印，数据批量导出；</w:t>
      </w:r>
    </w:p>
    <w:p w14:paraId="030BE03D">
      <w:pPr>
        <w:ind w:firstLine="480"/>
        <w:rPr>
          <w:rFonts w:ascii="宋体" w:hAnsi="宋体" w:eastAsia="宋体"/>
        </w:rPr>
      </w:pPr>
      <w:r>
        <w:rPr>
          <w:rFonts w:hint="eastAsia" w:ascii="宋体" w:hAnsi="宋体" w:eastAsia="宋体"/>
        </w:rPr>
        <w:t>6）实现患者随访记录管理；</w:t>
      </w:r>
    </w:p>
    <w:p w14:paraId="3D405936">
      <w:pPr>
        <w:ind w:firstLine="480"/>
        <w:rPr>
          <w:rFonts w:ascii="宋体" w:hAnsi="宋体" w:eastAsia="宋体"/>
        </w:rPr>
      </w:pPr>
      <w:r>
        <w:rPr>
          <w:rFonts w:hint="eastAsia" w:ascii="宋体" w:hAnsi="宋体" w:eastAsia="宋体"/>
        </w:rPr>
        <w:t>7）系统须支持病理取材手术记录单填报；</w:t>
      </w:r>
    </w:p>
    <w:p w14:paraId="3F388CCB">
      <w:pPr>
        <w:rPr>
          <w:rFonts w:ascii="宋体" w:hAnsi="宋体" w:eastAsia="宋体"/>
        </w:rPr>
      </w:pPr>
      <w:r>
        <w:rPr>
          <w:rFonts w:hint="eastAsia" w:ascii="宋体" w:hAnsi="宋体" w:eastAsia="宋体"/>
        </w:rPr>
        <w:t>（4）数据统计：</w:t>
      </w:r>
    </w:p>
    <w:p w14:paraId="08842795">
      <w:pPr>
        <w:ind w:firstLine="480"/>
        <w:rPr>
          <w:rFonts w:ascii="宋体" w:hAnsi="宋体" w:eastAsia="宋体"/>
        </w:rPr>
      </w:pPr>
      <w:r>
        <w:rPr>
          <w:rFonts w:hint="eastAsia" w:ascii="宋体" w:hAnsi="宋体" w:eastAsia="宋体"/>
        </w:rPr>
        <w:t>至少包含报告医师、记录员、检查医师、审核医师、送检医师工作量汇总和明细统计、检查阳性率汇总和明细统计；部位检查人次统计、送检科室汇总统计、设备部位人次统计、设备部位人次明细统计、医技开单统计、会诊病例统计、随访病例统计、病人预约统计；</w:t>
      </w:r>
    </w:p>
    <w:p w14:paraId="3FD94BF2">
      <w:pPr>
        <w:pStyle w:val="4"/>
      </w:pPr>
      <w:bookmarkStart w:id="214" w:name="_Hlk127796909"/>
      <w:r>
        <w:rPr>
          <w:rFonts w:hint="eastAsia"/>
        </w:rPr>
        <w:t>医技预约管理系统</w:t>
      </w:r>
    </w:p>
    <w:p w14:paraId="106A74BD">
      <w:pPr>
        <w:rPr>
          <w:rFonts w:ascii="宋体" w:hAnsi="宋体" w:eastAsia="宋体"/>
        </w:rPr>
      </w:pPr>
      <w:r>
        <w:rPr>
          <w:rFonts w:hint="eastAsia" w:ascii="宋体" w:hAnsi="宋体" w:eastAsia="宋体"/>
        </w:rPr>
        <w:t>（1）预约总览：显示预约的总体情况，从预约率，预约分布，预约渠道不同维度进行展示。</w:t>
      </w:r>
    </w:p>
    <w:p w14:paraId="02CBB146">
      <w:pPr>
        <w:rPr>
          <w:rFonts w:ascii="宋体" w:hAnsi="宋体" w:eastAsia="宋体"/>
        </w:rPr>
      </w:pPr>
      <w:r>
        <w:rPr>
          <w:rFonts w:hint="eastAsia" w:ascii="宋体" w:hAnsi="宋体" w:eastAsia="宋体"/>
        </w:rPr>
        <w:t>（2）预约规则管理</w:t>
      </w:r>
    </w:p>
    <w:p w14:paraId="6DD0751B">
      <w:pPr>
        <w:shd w:val="clear" w:color="auto" w:fill="FFFFFF"/>
        <w:spacing w:before="150"/>
        <w:ind w:firstLine="480"/>
        <w:rPr>
          <w:rFonts w:ascii="宋体" w:hAnsi="宋体" w:eastAsia="宋体"/>
        </w:rPr>
      </w:pPr>
      <w:r>
        <w:rPr>
          <w:rFonts w:hint="eastAsia" w:ascii="宋体" w:hAnsi="宋体" w:eastAsia="宋体"/>
        </w:rPr>
        <w:t>1）互斥规则管理：须支持检查项目与检查项目之间的互斥设置，避免将多个不能同时进行的项目预约在同一时间段；须支持检查类型与检查类型之间的互斥设置，避免将多个不能同时进行的检查类型预约在同一时间段；须支持检查设备与检查设备之间的互斥设置，避免将多个不能同时进行的检查设备预约在同一时间段。</w:t>
      </w:r>
    </w:p>
    <w:p w14:paraId="2F65D077">
      <w:pPr>
        <w:shd w:val="clear" w:color="auto" w:fill="FFFFFF"/>
        <w:spacing w:before="150"/>
        <w:ind w:firstLine="480"/>
        <w:rPr>
          <w:rFonts w:ascii="宋体" w:hAnsi="宋体" w:eastAsia="宋体"/>
        </w:rPr>
      </w:pPr>
      <w:r>
        <w:rPr>
          <w:rFonts w:hint="eastAsia" w:ascii="宋体" w:hAnsi="宋体" w:eastAsia="宋体"/>
        </w:rPr>
        <w:t>2）优先规则管理：检查项目与检查项目之间的优先级管理，满足某些检查项目必须先于其他检查项目进行检查；检查类型与检查类型之间的优先级管理，满足某些检查类型必须优先于其他检查类型进行检查</w:t>
      </w:r>
    </w:p>
    <w:p w14:paraId="562086AF">
      <w:pPr>
        <w:rPr>
          <w:rFonts w:ascii="宋体" w:hAnsi="宋体" w:eastAsia="宋体"/>
        </w:rPr>
      </w:pPr>
      <w:r>
        <w:rPr>
          <w:rFonts w:hint="eastAsia" w:ascii="宋体" w:hAnsi="宋体" w:eastAsia="宋体"/>
        </w:rPr>
        <w:t>（3）预约管理</w:t>
      </w:r>
    </w:p>
    <w:p w14:paraId="3F206C71">
      <w:pPr>
        <w:shd w:val="clear" w:color="auto" w:fill="FFFFFF"/>
        <w:spacing w:before="150"/>
        <w:ind w:firstLine="480"/>
        <w:rPr>
          <w:rFonts w:ascii="宋体" w:hAnsi="宋体" w:eastAsia="宋体"/>
        </w:rPr>
      </w:pPr>
      <w:r>
        <w:rPr>
          <w:rFonts w:hint="eastAsia" w:ascii="宋体" w:hAnsi="宋体" w:eastAsia="宋体"/>
        </w:rPr>
        <w:t>1）预约登记：不同来源的患者通过扫码或输入患者住院号、卡号、申请单号检索登记预约。支持分时段预约、一键自动预约、强制预约、合并预约，如在线上预约，可查看注意事项告知患者，能通过住院号、门诊号、姓名、申请单号对患者申请单进行查询，查看申请单详情。</w:t>
      </w:r>
    </w:p>
    <w:p w14:paraId="52E70FF5">
      <w:pPr>
        <w:shd w:val="clear" w:color="auto" w:fill="FFFFFF"/>
        <w:spacing w:before="150"/>
        <w:ind w:firstLine="480"/>
        <w:rPr>
          <w:rFonts w:ascii="宋体" w:hAnsi="宋体" w:eastAsia="宋体"/>
        </w:rPr>
      </w:pPr>
      <w:r>
        <w:rPr>
          <w:rFonts w:hint="eastAsia" w:ascii="宋体" w:hAnsi="宋体" w:eastAsia="宋体"/>
        </w:rPr>
        <w:t>2）预约处理：设置取消预约次数，取消预约后可重新预约；改约和取消均支持批量操作，如在机器故障等异常情况下批量筛选改约。预约成功后导引单的补打。</w:t>
      </w:r>
    </w:p>
    <w:p w14:paraId="7127CF2E">
      <w:pPr>
        <w:shd w:val="clear" w:color="auto" w:fill="FFFFFF"/>
        <w:spacing w:before="150"/>
        <w:ind w:firstLine="480"/>
        <w:rPr>
          <w:rFonts w:ascii="宋体" w:hAnsi="宋体" w:eastAsia="宋体"/>
        </w:rPr>
      </w:pPr>
      <w:r>
        <w:rPr>
          <w:rFonts w:hint="eastAsia" w:ascii="宋体" w:hAnsi="宋体" w:eastAsia="宋体"/>
        </w:rPr>
        <w:t>3）黑名单管理：多次爽约患者自动加入黑名单，无法预约，须移除黑名单后恢复预约。</w:t>
      </w:r>
    </w:p>
    <w:p w14:paraId="747143BD">
      <w:pPr>
        <w:rPr>
          <w:rFonts w:ascii="宋体" w:hAnsi="宋体" w:eastAsia="宋体"/>
        </w:rPr>
      </w:pPr>
      <w:r>
        <w:rPr>
          <w:rFonts w:hint="eastAsia" w:ascii="宋体" w:hAnsi="宋体" w:eastAsia="宋体"/>
        </w:rPr>
        <w:t>（4）排班管理</w:t>
      </w:r>
    </w:p>
    <w:p w14:paraId="35CE4C39">
      <w:pPr>
        <w:shd w:val="clear" w:color="auto" w:fill="FFFFFF"/>
        <w:spacing w:before="150"/>
        <w:ind w:firstLine="480"/>
        <w:rPr>
          <w:rFonts w:ascii="宋体" w:hAnsi="宋体" w:eastAsia="宋体"/>
        </w:rPr>
      </w:pPr>
      <w:r>
        <w:rPr>
          <w:rFonts w:hint="eastAsia" w:ascii="宋体" w:hAnsi="宋体" w:eastAsia="宋体"/>
        </w:rPr>
        <w:t>1）排班模板：</w:t>
      </w:r>
    </w:p>
    <w:p w14:paraId="32D2410F">
      <w:pPr>
        <w:shd w:val="clear" w:color="auto" w:fill="FFFFFF"/>
        <w:spacing w:before="150"/>
        <w:ind w:firstLine="480"/>
        <w:rPr>
          <w:rFonts w:ascii="宋体" w:hAnsi="宋体" w:eastAsia="宋体"/>
        </w:rPr>
      </w:pPr>
      <w:r>
        <w:rPr>
          <w:rFonts w:hint="eastAsia" w:ascii="宋体" w:hAnsi="宋体" w:eastAsia="宋体"/>
        </w:rPr>
        <w:t>支持多种排班模式，可提前设置排班模板。</w:t>
      </w:r>
    </w:p>
    <w:p w14:paraId="52416DD0">
      <w:pPr>
        <w:shd w:val="clear" w:color="auto" w:fill="FFFFFF"/>
        <w:spacing w:before="150"/>
        <w:ind w:firstLine="480"/>
        <w:rPr>
          <w:rFonts w:ascii="宋体" w:hAnsi="宋体" w:eastAsia="宋体"/>
        </w:rPr>
      </w:pPr>
      <w:r>
        <w:rPr>
          <w:rFonts w:hint="eastAsia" w:ascii="宋体" w:hAnsi="宋体" w:eastAsia="宋体"/>
        </w:rPr>
        <w:t>总量模式排班：项目按照平均耗时计算，自动计算出在班次时间内号源数。</w:t>
      </w:r>
    </w:p>
    <w:p w14:paraId="4A0392C4">
      <w:pPr>
        <w:shd w:val="clear" w:color="auto" w:fill="FFFFFF"/>
        <w:spacing w:before="150"/>
        <w:ind w:firstLine="480"/>
        <w:rPr>
          <w:rFonts w:ascii="宋体" w:hAnsi="宋体" w:eastAsia="宋体"/>
        </w:rPr>
      </w:pPr>
      <w:r>
        <w:rPr>
          <w:rFonts w:hint="eastAsia" w:ascii="宋体" w:hAnsi="宋体" w:eastAsia="宋体"/>
        </w:rPr>
        <w:t>号源模式排班：设置班次内总号源数，自动计算每个项目平均耗时。</w:t>
      </w:r>
    </w:p>
    <w:p w14:paraId="0E1D5C45">
      <w:pPr>
        <w:shd w:val="clear" w:color="auto" w:fill="FFFFFF"/>
        <w:spacing w:before="150"/>
        <w:ind w:firstLine="480"/>
        <w:rPr>
          <w:rFonts w:ascii="宋体" w:hAnsi="宋体" w:eastAsia="宋体"/>
        </w:rPr>
      </w:pPr>
      <w:r>
        <w:rPr>
          <w:rFonts w:hint="eastAsia" w:ascii="宋体" w:hAnsi="宋体" w:eastAsia="宋体"/>
        </w:rPr>
        <w:t>项目模式排班：预约时按照项目预计时长进行迭加，自动计算班次内剩余时间，进行预约。</w:t>
      </w:r>
    </w:p>
    <w:p w14:paraId="2FAB1EE8">
      <w:pPr>
        <w:shd w:val="clear" w:color="auto" w:fill="FFFFFF"/>
        <w:spacing w:before="150"/>
        <w:ind w:firstLine="480"/>
        <w:rPr>
          <w:rFonts w:ascii="宋体" w:hAnsi="宋体" w:eastAsia="宋体"/>
        </w:rPr>
      </w:pPr>
      <w:r>
        <w:rPr>
          <w:rFonts w:hint="eastAsia" w:ascii="宋体" w:hAnsi="宋体" w:eastAsia="宋体"/>
        </w:rPr>
        <w:t>支持独立分配门诊、住院、急诊号源或时长，也可共享号源或时长。</w:t>
      </w:r>
    </w:p>
    <w:p w14:paraId="7FF2A9E5">
      <w:pPr>
        <w:shd w:val="clear" w:color="auto" w:fill="FFFFFF"/>
        <w:spacing w:before="150"/>
        <w:ind w:firstLine="480"/>
        <w:rPr>
          <w:rFonts w:ascii="宋体" w:hAnsi="宋体" w:eastAsia="宋体"/>
        </w:rPr>
      </w:pPr>
      <w:r>
        <w:rPr>
          <w:rFonts w:hint="eastAsia" w:ascii="宋体" w:hAnsi="宋体" w:eastAsia="宋体"/>
        </w:rPr>
        <w:t>2）设备排班：可预览排班信息、性别能力、号源数或剩余时间，支持通过模板生成排班信息、复制排班。</w:t>
      </w:r>
    </w:p>
    <w:p w14:paraId="6D8E8CA6">
      <w:pPr>
        <w:rPr>
          <w:rFonts w:ascii="宋体" w:hAnsi="宋体" w:eastAsia="宋体"/>
        </w:rPr>
      </w:pPr>
      <w:r>
        <w:rPr>
          <w:rFonts w:hint="eastAsia" w:ascii="宋体" w:hAnsi="宋体" w:eastAsia="宋体"/>
        </w:rPr>
        <w:t>（5）统计分析</w:t>
      </w:r>
    </w:p>
    <w:p w14:paraId="08A9BA6C">
      <w:pPr>
        <w:shd w:val="clear" w:color="auto" w:fill="FFFFFF"/>
        <w:spacing w:before="150"/>
        <w:ind w:firstLine="480"/>
        <w:rPr>
          <w:rFonts w:ascii="宋体" w:hAnsi="宋体" w:eastAsia="宋体"/>
        </w:rPr>
      </w:pPr>
      <w:r>
        <w:rPr>
          <w:rFonts w:hint="eastAsia" w:ascii="宋体" w:hAnsi="宋体" w:eastAsia="宋体"/>
        </w:rPr>
        <w:t>预约人次分布及预约率方面进行统计；预约人次分布从预约趋势，不同来源，不同类型分别统计；预约率统计不同类型的预约率，及不同来源的预约分布情况。</w:t>
      </w:r>
    </w:p>
    <w:p w14:paraId="49F3CBDA">
      <w:pPr>
        <w:rPr>
          <w:rFonts w:ascii="宋体" w:hAnsi="宋体" w:eastAsia="宋体"/>
        </w:rPr>
      </w:pPr>
      <w:r>
        <w:rPr>
          <w:rFonts w:hint="eastAsia" w:ascii="宋体" w:hAnsi="宋体" w:eastAsia="宋体"/>
        </w:rPr>
        <w:t>（6）权限管理</w:t>
      </w:r>
    </w:p>
    <w:p w14:paraId="2DA23FA3">
      <w:pPr>
        <w:shd w:val="clear" w:color="auto" w:fill="FFFFFF"/>
        <w:spacing w:before="150"/>
        <w:ind w:firstLine="480"/>
        <w:rPr>
          <w:rFonts w:ascii="宋体" w:hAnsi="宋体" w:eastAsia="宋体"/>
        </w:rPr>
      </w:pPr>
      <w:r>
        <w:rPr>
          <w:rFonts w:hint="eastAsia" w:ascii="宋体" w:hAnsi="宋体" w:eastAsia="宋体"/>
        </w:rPr>
        <w:t>1）菜单管理支持菜单图标、顺序的自定义。</w:t>
      </w:r>
    </w:p>
    <w:p w14:paraId="46059713">
      <w:pPr>
        <w:shd w:val="clear" w:color="auto" w:fill="FFFFFF"/>
        <w:spacing w:before="150"/>
        <w:ind w:firstLine="480"/>
        <w:rPr>
          <w:rFonts w:ascii="宋体" w:hAnsi="宋体" w:eastAsia="宋体"/>
        </w:rPr>
      </w:pPr>
      <w:r>
        <w:rPr>
          <w:rFonts w:hint="eastAsia" w:ascii="宋体" w:hAnsi="宋体" w:eastAsia="宋体"/>
        </w:rPr>
        <w:t>2）用户管理须与医院HIS系统无缝对接，与同步HIS系统的用户，并支持对同步用户密码进行重置及业务科室的分配。</w:t>
      </w:r>
    </w:p>
    <w:p w14:paraId="2315C265">
      <w:pPr>
        <w:shd w:val="clear" w:color="auto" w:fill="FFFFFF"/>
        <w:spacing w:before="150"/>
        <w:ind w:firstLine="480"/>
        <w:rPr>
          <w:rFonts w:ascii="宋体" w:hAnsi="宋体" w:eastAsia="宋体"/>
        </w:rPr>
      </w:pPr>
      <w:r>
        <w:rPr>
          <w:rFonts w:hint="eastAsia" w:ascii="宋体" w:hAnsi="宋体" w:eastAsia="宋体"/>
        </w:rPr>
        <w:t>3）角色管理包含角色的维护及对角色的批量授权菜单权限。</w:t>
      </w:r>
    </w:p>
    <w:p w14:paraId="4D75F713">
      <w:pPr>
        <w:rPr>
          <w:rFonts w:ascii="宋体" w:hAnsi="宋体" w:eastAsia="宋体"/>
        </w:rPr>
      </w:pPr>
      <w:r>
        <w:rPr>
          <w:rFonts w:hint="eastAsia" w:ascii="宋体" w:hAnsi="宋体" w:eastAsia="宋体"/>
        </w:rPr>
        <w:t>（7）系统管理</w:t>
      </w:r>
    </w:p>
    <w:p w14:paraId="33F979E0">
      <w:pPr>
        <w:shd w:val="clear" w:color="auto" w:fill="FFFFFF"/>
        <w:spacing w:before="150"/>
        <w:ind w:firstLine="480"/>
        <w:rPr>
          <w:rFonts w:ascii="宋体" w:hAnsi="宋体" w:eastAsia="宋体"/>
        </w:rPr>
      </w:pPr>
      <w:r>
        <w:rPr>
          <w:rFonts w:hint="eastAsia" w:ascii="宋体" w:hAnsi="宋体" w:eastAsia="宋体"/>
        </w:rPr>
        <w:t>1）设备管理：支持科室对设备进行维护，包括保养计划，支持设置默认的排班模式，并可设置设备的白名单、黑名单项目及设备的应用范围。</w:t>
      </w:r>
    </w:p>
    <w:p w14:paraId="5F3D7917">
      <w:pPr>
        <w:shd w:val="clear" w:color="auto" w:fill="FFFFFF"/>
        <w:spacing w:before="150"/>
        <w:ind w:firstLine="480"/>
        <w:rPr>
          <w:rFonts w:ascii="宋体" w:hAnsi="宋体" w:eastAsia="宋体"/>
        </w:rPr>
      </w:pPr>
      <w:r>
        <w:rPr>
          <w:rFonts w:hint="eastAsia" w:ascii="宋体" w:hAnsi="宋体" w:eastAsia="宋体"/>
        </w:rPr>
        <w:t>2）项目管理：要求同步HIS系统的项目，并对项目的注意事项及预计时长进行调整，支持设置项目是否启用线上预约。</w:t>
      </w:r>
    </w:p>
    <w:p w14:paraId="228A879F">
      <w:pPr>
        <w:shd w:val="clear" w:color="auto" w:fill="FFFFFF"/>
        <w:spacing w:before="150"/>
        <w:ind w:firstLine="480"/>
        <w:rPr>
          <w:rFonts w:ascii="宋体" w:hAnsi="宋体" w:eastAsia="宋体"/>
        </w:rPr>
      </w:pPr>
      <w:r>
        <w:rPr>
          <w:rFonts w:hint="eastAsia" w:ascii="宋体" w:hAnsi="宋体" w:eastAsia="宋体"/>
        </w:rPr>
        <w:t>3）部门管理：要求同步HIS系统的部门，支持对部门的性质及详细地址进行调整。</w:t>
      </w:r>
    </w:p>
    <w:p w14:paraId="4F75E207">
      <w:pPr>
        <w:shd w:val="clear" w:color="auto" w:fill="FFFFFF"/>
        <w:spacing w:before="150"/>
        <w:ind w:firstLine="480"/>
        <w:rPr>
          <w:rFonts w:ascii="宋体" w:hAnsi="宋体" w:eastAsia="宋体"/>
        </w:rPr>
      </w:pPr>
      <w:r>
        <w:rPr>
          <w:rFonts w:hint="eastAsia" w:ascii="宋体" w:hAnsi="宋体" w:eastAsia="宋体"/>
        </w:rPr>
        <w:t>4）诊室管理：维护检查科室对应的诊室及物理地址。</w:t>
      </w:r>
    </w:p>
    <w:p w14:paraId="71F716AF">
      <w:pPr>
        <w:shd w:val="clear" w:color="auto" w:fill="FFFFFF"/>
        <w:spacing w:before="150"/>
        <w:ind w:firstLine="480"/>
        <w:rPr>
          <w:rFonts w:ascii="宋体" w:hAnsi="宋体" w:eastAsia="宋体"/>
        </w:rPr>
      </w:pPr>
      <w:r>
        <w:rPr>
          <w:rFonts w:hint="eastAsia" w:ascii="宋体" w:hAnsi="宋体" w:eastAsia="宋体"/>
        </w:rPr>
        <w:t>5）科室配置：根据科室设置启用合并。</w:t>
      </w:r>
    </w:p>
    <w:p w14:paraId="60CCE8BF">
      <w:pPr>
        <w:shd w:val="clear" w:color="auto" w:fill="FFFFFF"/>
        <w:spacing w:before="150"/>
        <w:ind w:firstLine="480"/>
        <w:rPr>
          <w:rFonts w:ascii="宋体" w:hAnsi="宋体" w:eastAsia="宋体"/>
        </w:rPr>
      </w:pPr>
      <w:r>
        <w:rPr>
          <w:rFonts w:hint="eastAsia" w:ascii="宋体" w:hAnsi="宋体" w:eastAsia="宋体"/>
        </w:rPr>
        <w:t>6）类型管理：要求同步HIS系统检查类型，并支持根据类型配置预约渠道占比，及类型的注意事项。</w:t>
      </w:r>
      <w:bookmarkEnd w:id="214"/>
    </w:p>
    <w:p w14:paraId="5288E4A5">
      <w:pPr>
        <w:pStyle w:val="3"/>
      </w:pPr>
      <w:r>
        <w:rPr>
          <w:rFonts w:hint="eastAsia"/>
        </w:rPr>
        <w:t>移动医护系统</w:t>
      </w:r>
    </w:p>
    <w:p w14:paraId="7A5927DF">
      <w:pPr>
        <w:pStyle w:val="4"/>
        <w:rPr>
          <w:rFonts w:ascii="宋体" w:hAnsi="宋体"/>
        </w:rPr>
      </w:pPr>
      <w:r>
        <w:rPr>
          <w:rFonts w:hint="eastAsia" w:ascii="宋体" w:hAnsi="宋体"/>
        </w:rPr>
        <w:t>移动医生工作站</w:t>
      </w:r>
    </w:p>
    <w:p w14:paraId="3EEBD857">
      <w:pPr>
        <w:pStyle w:val="5"/>
        <w:rPr>
          <w:rFonts w:ascii="宋体" w:hAnsi="宋体" w:eastAsia="宋体"/>
        </w:rPr>
      </w:pPr>
      <w:r>
        <w:rPr>
          <w:rFonts w:hint="eastAsia" w:ascii="宋体" w:hAnsi="宋体" w:eastAsia="宋体"/>
        </w:rPr>
        <w:t>住院病人统一管理</w:t>
      </w:r>
    </w:p>
    <w:p w14:paraId="7ABBD022">
      <w:pPr>
        <w:ind w:firstLine="480"/>
        <w:rPr>
          <w:rFonts w:ascii="宋体" w:hAnsi="宋体" w:eastAsia="宋体"/>
        </w:rPr>
      </w:pPr>
      <w:r>
        <w:rPr>
          <w:rFonts w:hint="eastAsia" w:ascii="宋体" w:hAnsi="宋体" w:eastAsia="宋体"/>
        </w:rPr>
        <w:t>1）按科室或者病区查询病人基本信息，包括：姓名、床位、性别、年龄、住院号、住院天数、病人类型、主治医生、总费用、预交金额、欠费情况、入院时间、住院诊断、是否危重病人，护理级别。</w:t>
      </w:r>
    </w:p>
    <w:p w14:paraId="450D2AD3">
      <w:pPr>
        <w:ind w:firstLine="480"/>
        <w:rPr>
          <w:rFonts w:ascii="宋体" w:hAnsi="宋体" w:eastAsia="宋体"/>
        </w:rPr>
      </w:pPr>
      <w:r>
        <w:rPr>
          <w:rFonts w:hint="eastAsia" w:ascii="宋体" w:hAnsi="宋体" w:eastAsia="宋体"/>
        </w:rPr>
        <w:t>2）可按照医生、患者姓名、床号、住院号、其他关键信息查找患者住院医嘱查询：查看住院患者的医嘱相关信息及医嘱执行情况。</w:t>
      </w:r>
    </w:p>
    <w:p w14:paraId="19BD3C2C">
      <w:pPr>
        <w:pStyle w:val="5"/>
        <w:rPr>
          <w:rFonts w:ascii="宋体" w:hAnsi="宋体" w:eastAsia="宋体"/>
        </w:rPr>
      </w:pPr>
      <w:r>
        <w:rPr>
          <w:rFonts w:hint="eastAsia" w:ascii="宋体" w:hAnsi="宋体" w:eastAsia="宋体"/>
        </w:rPr>
        <w:t>报告查询</w:t>
      </w:r>
    </w:p>
    <w:p w14:paraId="04524F1B">
      <w:pPr>
        <w:ind w:firstLine="480"/>
        <w:rPr>
          <w:rFonts w:ascii="宋体" w:hAnsi="宋体" w:eastAsia="宋体"/>
        </w:rPr>
      </w:pPr>
      <w:r>
        <w:rPr>
          <w:rFonts w:hint="eastAsia" w:ascii="宋体" w:hAnsi="宋体" w:eastAsia="宋体"/>
        </w:rPr>
        <w:t>1）医生查询病人最新住院检查检验报告结果情况；</w:t>
      </w:r>
    </w:p>
    <w:p w14:paraId="45EB4590">
      <w:pPr>
        <w:ind w:firstLine="480"/>
        <w:rPr>
          <w:rFonts w:ascii="宋体" w:hAnsi="宋体" w:eastAsia="宋体"/>
        </w:rPr>
      </w:pPr>
      <w:r>
        <w:rPr>
          <w:rFonts w:hint="eastAsia" w:ascii="宋体" w:hAnsi="宋体" w:eastAsia="宋体"/>
        </w:rPr>
        <w:t>2）实时查询病人体检报告结果。</w:t>
      </w:r>
    </w:p>
    <w:p w14:paraId="2C2A8FDA">
      <w:pPr>
        <w:pStyle w:val="5"/>
        <w:rPr>
          <w:rFonts w:ascii="宋体" w:hAnsi="宋体" w:eastAsia="宋体"/>
        </w:rPr>
      </w:pPr>
      <w:r>
        <w:rPr>
          <w:rFonts w:hint="eastAsia" w:ascii="宋体" w:hAnsi="宋体" w:eastAsia="宋体"/>
        </w:rPr>
        <w:t>住院医生医嘱处理</w:t>
      </w:r>
    </w:p>
    <w:p w14:paraId="0786B705">
      <w:pPr>
        <w:ind w:firstLine="420" w:firstLineChars="200"/>
        <w:rPr>
          <w:rFonts w:ascii="宋体" w:hAnsi="宋体" w:eastAsia="宋体"/>
        </w:rPr>
      </w:pPr>
      <w:r>
        <w:rPr>
          <w:rFonts w:hint="eastAsia" w:ascii="宋体" w:hAnsi="宋体" w:eastAsia="宋体"/>
        </w:rPr>
        <w:t>支持新开医嘱，显示长期及临时医嘱的开、停日期，避免医生重复开医嘱或未及时停医嘱的情况发生。</w:t>
      </w:r>
    </w:p>
    <w:p w14:paraId="721E2A01">
      <w:pPr>
        <w:pStyle w:val="5"/>
        <w:rPr>
          <w:rFonts w:ascii="宋体" w:hAnsi="宋体" w:eastAsia="宋体"/>
        </w:rPr>
      </w:pPr>
      <w:r>
        <w:rPr>
          <w:rFonts w:hint="eastAsia" w:ascii="宋体" w:hAnsi="宋体" w:eastAsia="宋体"/>
        </w:rPr>
        <w:t>床位查询</w:t>
      </w:r>
    </w:p>
    <w:p w14:paraId="257E8ABF">
      <w:pPr>
        <w:rPr>
          <w:rFonts w:ascii="宋体" w:hAnsi="宋体" w:eastAsia="宋体"/>
        </w:rPr>
      </w:pPr>
      <w:r>
        <w:rPr>
          <w:rFonts w:hint="eastAsia" w:ascii="宋体" w:hAnsi="宋体" w:eastAsia="宋体"/>
        </w:rPr>
        <w:t>实时院内住院科室的所有可用床位，可看到每张床的使用情况。</w:t>
      </w:r>
    </w:p>
    <w:p w14:paraId="179D9F80">
      <w:pPr>
        <w:pStyle w:val="5"/>
        <w:rPr>
          <w:rFonts w:ascii="宋体" w:hAnsi="宋体" w:eastAsia="宋体"/>
        </w:rPr>
      </w:pPr>
      <w:r>
        <w:rPr>
          <w:rFonts w:hint="eastAsia" w:ascii="宋体" w:hAnsi="宋体" w:eastAsia="宋体"/>
        </w:rPr>
        <w:t>门诊、住院病人费用查询</w:t>
      </w:r>
    </w:p>
    <w:p w14:paraId="6C3AA8EC">
      <w:pPr>
        <w:ind w:firstLine="420" w:firstLineChars="200"/>
        <w:rPr>
          <w:rFonts w:ascii="宋体" w:hAnsi="宋体" w:eastAsia="宋体"/>
        </w:rPr>
      </w:pPr>
      <w:r>
        <w:rPr>
          <w:rFonts w:hint="eastAsia" w:ascii="宋体" w:hAnsi="宋体" w:eastAsia="宋体"/>
        </w:rPr>
        <w:t>1）查询我的门诊、住院病人费用明细，根据病人病情关注费用是否合理。</w:t>
      </w:r>
    </w:p>
    <w:p w14:paraId="47C9D012">
      <w:pPr>
        <w:ind w:firstLine="420" w:firstLineChars="200"/>
        <w:rPr>
          <w:rFonts w:ascii="宋体" w:hAnsi="宋体" w:eastAsia="宋体"/>
        </w:rPr>
      </w:pPr>
      <w:r>
        <w:rPr>
          <w:rFonts w:hint="eastAsia" w:ascii="宋体" w:hAnsi="宋体" w:eastAsia="宋体"/>
        </w:rPr>
        <w:t>2）查看病人费用明细，单价、数量、金额等明细。</w:t>
      </w:r>
    </w:p>
    <w:p w14:paraId="1CED392C">
      <w:pPr>
        <w:ind w:firstLine="420" w:firstLineChars="200"/>
        <w:rPr>
          <w:rFonts w:ascii="宋体" w:hAnsi="宋体" w:eastAsia="宋体"/>
        </w:rPr>
      </w:pPr>
      <w:r>
        <w:rPr>
          <w:rFonts w:hint="eastAsia" w:ascii="宋体" w:hAnsi="宋体" w:eastAsia="宋体"/>
        </w:rPr>
        <w:t>3）查看开药项目时间等详细信息。能根据费用类别、计费项目和时间区域进行查询</w:t>
      </w:r>
    </w:p>
    <w:p w14:paraId="7DCBD76B">
      <w:pPr>
        <w:pStyle w:val="5"/>
        <w:rPr>
          <w:rFonts w:ascii="宋体" w:hAnsi="宋体" w:eastAsia="宋体"/>
        </w:rPr>
      </w:pPr>
      <w:r>
        <w:rPr>
          <w:rFonts w:hint="eastAsia" w:ascii="宋体" w:hAnsi="宋体" w:eastAsia="宋体"/>
        </w:rPr>
        <w:t>住院病历管理</w:t>
      </w:r>
    </w:p>
    <w:p w14:paraId="0409DEEA">
      <w:pPr>
        <w:rPr>
          <w:rFonts w:ascii="宋体" w:hAnsi="宋体" w:eastAsia="宋体"/>
        </w:rPr>
      </w:pPr>
      <w:r>
        <w:rPr>
          <w:rFonts w:hint="eastAsia" w:ascii="宋体" w:hAnsi="宋体" w:eastAsia="宋体"/>
        </w:rPr>
        <w:t>实时跟踪查询住院病人病历书写情况。</w:t>
      </w:r>
    </w:p>
    <w:p w14:paraId="76784803">
      <w:pPr>
        <w:pStyle w:val="5"/>
        <w:rPr>
          <w:rFonts w:ascii="宋体" w:hAnsi="宋体" w:eastAsia="宋体"/>
        </w:rPr>
      </w:pPr>
      <w:r>
        <w:rPr>
          <w:rFonts w:hint="eastAsia" w:ascii="宋体" w:hAnsi="宋体" w:eastAsia="宋体"/>
        </w:rPr>
        <w:t>住院病案首页</w:t>
      </w:r>
    </w:p>
    <w:p w14:paraId="10413461">
      <w:pPr>
        <w:ind w:firstLine="420" w:firstLineChars="200"/>
        <w:rPr>
          <w:rFonts w:ascii="宋体" w:hAnsi="宋体" w:eastAsia="宋体"/>
        </w:rPr>
      </w:pPr>
      <w:r>
        <w:rPr>
          <w:rFonts w:hint="eastAsia" w:ascii="宋体" w:hAnsi="宋体" w:eastAsia="宋体"/>
        </w:rPr>
        <w:t>在移动端查看和编辑住院患者完整的病案首页信息，包括住院病案首页、患者基本信息、出入院信息、诊断信息、质控信息、手术信息、检查检验信息、费用信息，保持跟HIS实时同步。</w:t>
      </w:r>
    </w:p>
    <w:p w14:paraId="1B5FA988">
      <w:pPr>
        <w:pStyle w:val="5"/>
        <w:rPr>
          <w:rFonts w:ascii="宋体" w:hAnsi="宋体" w:eastAsia="宋体"/>
        </w:rPr>
      </w:pPr>
      <w:r>
        <w:rPr>
          <w:rFonts w:hint="eastAsia" w:ascii="宋体" w:hAnsi="宋体" w:eastAsia="宋体"/>
        </w:rPr>
        <w:t>门诊病人管理</w:t>
      </w:r>
    </w:p>
    <w:p w14:paraId="26CCFDC0">
      <w:pPr>
        <w:ind w:firstLine="420" w:firstLineChars="200"/>
        <w:rPr>
          <w:rFonts w:ascii="宋体" w:hAnsi="宋体" w:eastAsia="宋体"/>
        </w:rPr>
      </w:pPr>
      <w:r>
        <w:rPr>
          <w:rFonts w:hint="eastAsia" w:ascii="宋体" w:hAnsi="宋体" w:eastAsia="宋体"/>
        </w:rPr>
        <w:t>实时查询我的门诊预约病人及门诊病人治疗情况，查看门诊患者病历、检查检验报告，可对门诊数据进行相关统计</w:t>
      </w:r>
    </w:p>
    <w:p w14:paraId="43359ADA">
      <w:pPr>
        <w:pStyle w:val="5"/>
        <w:rPr>
          <w:rFonts w:ascii="宋体" w:hAnsi="宋体" w:eastAsia="宋体"/>
        </w:rPr>
      </w:pPr>
      <w:r>
        <w:rPr>
          <w:rFonts w:hint="eastAsia" w:ascii="宋体" w:hAnsi="宋体" w:eastAsia="宋体"/>
        </w:rPr>
        <w:t>统计分析</w:t>
      </w:r>
    </w:p>
    <w:p w14:paraId="7DB1453B">
      <w:pPr>
        <w:ind w:firstLine="420" w:firstLineChars="200"/>
        <w:rPr>
          <w:rFonts w:ascii="宋体" w:hAnsi="宋体" w:eastAsia="宋体"/>
        </w:rPr>
      </w:pPr>
      <w:r>
        <w:rPr>
          <w:rFonts w:hint="eastAsia" w:ascii="宋体" w:hAnsi="宋体" w:eastAsia="宋体"/>
        </w:rPr>
        <w:t>医生收治情况统计分析；医生开单量统计分析：包含医生用药比、耗材比等；</w:t>
      </w:r>
      <w:r>
        <w:rPr>
          <w:rFonts w:ascii="宋体" w:hAnsi="宋体" w:eastAsia="宋体"/>
        </w:rPr>
        <w:t xml:space="preserve"> </w:t>
      </w:r>
    </w:p>
    <w:p w14:paraId="7BAF4BD0">
      <w:pPr>
        <w:pStyle w:val="4"/>
        <w:rPr>
          <w:rFonts w:ascii="宋体" w:hAnsi="宋体"/>
        </w:rPr>
      </w:pPr>
      <w:r>
        <w:rPr>
          <w:rFonts w:hint="eastAsia" w:ascii="宋体" w:hAnsi="宋体"/>
        </w:rPr>
        <w:t>移动护士工作站</w:t>
      </w:r>
    </w:p>
    <w:p w14:paraId="7D6F2C4A">
      <w:pPr>
        <w:pStyle w:val="5"/>
        <w:rPr>
          <w:rFonts w:ascii="宋体" w:hAnsi="宋体" w:eastAsia="宋体"/>
        </w:rPr>
      </w:pPr>
      <w:r>
        <w:rPr>
          <w:rFonts w:hint="eastAsia" w:ascii="宋体" w:hAnsi="宋体" w:eastAsia="宋体"/>
        </w:rPr>
        <w:t>床位病人统一管理</w:t>
      </w:r>
    </w:p>
    <w:p w14:paraId="776D8B8B">
      <w:pPr>
        <w:ind w:firstLine="480"/>
        <w:rPr>
          <w:rFonts w:ascii="宋体" w:hAnsi="宋体" w:eastAsia="宋体"/>
        </w:rPr>
      </w:pPr>
      <w:r>
        <w:rPr>
          <w:rFonts w:hint="eastAsia" w:ascii="宋体" w:hAnsi="宋体" w:eastAsia="宋体"/>
        </w:rPr>
        <w:t>展示当前科室或病区内所有病人的信息（床号、姓名、住院号、性别、年龄、住院余额、护理级别等），可以自行设定需要展示的项目及展示顺序，能灵活切换当前患者信息，支持扫腕带切换患者。</w:t>
      </w:r>
    </w:p>
    <w:p w14:paraId="11D2622A">
      <w:pPr>
        <w:pStyle w:val="5"/>
        <w:rPr>
          <w:rFonts w:ascii="宋体" w:hAnsi="宋体" w:eastAsia="宋体"/>
        </w:rPr>
      </w:pPr>
      <w:r>
        <w:rPr>
          <w:rFonts w:hint="eastAsia" w:ascii="宋体" w:hAnsi="宋体" w:eastAsia="宋体"/>
        </w:rPr>
        <w:t>标本管理</w:t>
      </w:r>
    </w:p>
    <w:p w14:paraId="52CD5E87">
      <w:pPr>
        <w:ind w:firstLine="480"/>
        <w:rPr>
          <w:rFonts w:ascii="宋体" w:hAnsi="宋体" w:eastAsia="宋体"/>
        </w:rPr>
      </w:pPr>
      <w:r>
        <w:rPr>
          <w:rFonts w:hint="eastAsia" w:ascii="宋体" w:hAnsi="宋体" w:eastAsia="宋体"/>
        </w:rPr>
        <w:t>1）对当前病人待采集和已采集的标本进行管理，可以通过PDA扫描瓶签条码的方式操作。</w:t>
      </w:r>
    </w:p>
    <w:p w14:paraId="3111FE55">
      <w:pPr>
        <w:ind w:firstLine="480"/>
        <w:rPr>
          <w:rFonts w:ascii="宋体" w:hAnsi="宋体" w:eastAsia="宋体"/>
        </w:rPr>
      </w:pPr>
      <w:r>
        <w:rPr>
          <w:rFonts w:hint="eastAsia" w:ascii="宋体" w:hAnsi="宋体" w:eastAsia="宋体"/>
        </w:rPr>
        <w:t>2）可以对当前科室待离科、已离科的标本进行管理。</w:t>
      </w:r>
    </w:p>
    <w:p w14:paraId="6CF5411A">
      <w:pPr>
        <w:pStyle w:val="5"/>
        <w:rPr>
          <w:rFonts w:ascii="宋体" w:hAnsi="宋体" w:eastAsia="宋体"/>
        </w:rPr>
      </w:pPr>
      <w:r>
        <w:rPr>
          <w:rFonts w:hint="eastAsia" w:ascii="宋体" w:hAnsi="宋体" w:eastAsia="宋体"/>
        </w:rPr>
        <w:t>配液管理</w:t>
      </w:r>
    </w:p>
    <w:p w14:paraId="21634869">
      <w:pPr>
        <w:ind w:firstLine="480"/>
        <w:rPr>
          <w:rFonts w:ascii="宋体" w:hAnsi="宋体" w:eastAsia="宋体"/>
        </w:rPr>
      </w:pPr>
      <w:r>
        <w:rPr>
          <w:rFonts w:hint="eastAsia" w:ascii="宋体" w:hAnsi="宋体" w:eastAsia="宋体"/>
        </w:rPr>
        <w:t>包括配药、审核及撤销模块。每个模块通过扫描药瓶条码的方式进行配药管理。</w:t>
      </w:r>
    </w:p>
    <w:p w14:paraId="32281D58">
      <w:pPr>
        <w:pStyle w:val="5"/>
        <w:rPr>
          <w:rFonts w:ascii="宋体" w:hAnsi="宋体" w:eastAsia="宋体"/>
        </w:rPr>
      </w:pPr>
      <w:r>
        <w:rPr>
          <w:rFonts w:hint="eastAsia" w:ascii="宋体" w:hAnsi="宋体" w:eastAsia="宋体"/>
        </w:rPr>
        <w:t>输液管理</w:t>
      </w:r>
    </w:p>
    <w:p w14:paraId="7F5D48C3">
      <w:pPr>
        <w:ind w:firstLine="480"/>
        <w:rPr>
          <w:rFonts w:ascii="宋体" w:hAnsi="宋体" w:eastAsia="宋体"/>
        </w:rPr>
      </w:pPr>
      <w:r>
        <w:rPr>
          <w:rFonts w:hint="eastAsia" w:ascii="宋体" w:hAnsi="宋体" w:eastAsia="宋体"/>
        </w:rPr>
        <w:t>1）经过配液管理后的信息会在输液管理中显示，针对每一个配液，对输液进行巡视、暂停、结束及查看详细。</w:t>
      </w:r>
    </w:p>
    <w:p w14:paraId="37568B19">
      <w:pPr>
        <w:ind w:firstLine="480"/>
        <w:rPr>
          <w:rFonts w:ascii="宋体" w:hAnsi="宋体" w:eastAsia="宋体"/>
        </w:rPr>
      </w:pPr>
      <w:r>
        <w:rPr>
          <w:rFonts w:hint="eastAsia" w:ascii="宋体" w:hAnsi="宋体" w:eastAsia="宋体"/>
        </w:rPr>
        <w:t xml:space="preserve">2）可通过颜色快速区分液体的状态，同时能看到输液信息的备注，显示药品的摆药、配药、执行、结束的执行人及执行时间，所有业务和数据状态实时同步HIS。      </w:t>
      </w:r>
    </w:p>
    <w:p w14:paraId="4EBD14C6">
      <w:pPr>
        <w:ind w:firstLine="480"/>
        <w:rPr>
          <w:rFonts w:ascii="宋体" w:hAnsi="宋体" w:eastAsia="宋体"/>
        </w:rPr>
      </w:pPr>
      <w:r>
        <w:rPr>
          <w:rFonts w:hint="eastAsia" w:ascii="宋体" w:hAnsi="宋体" w:eastAsia="宋体"/>
        </w:rPr>
        <w:t>3）支持多通道输液，如患者拒绝输液，可以录入拒绝原因。</w:t>
      </w:r>
    </w:p>
    <w:p w14:paraId="3D7334EE">
      <w:pPr>
        <w:ind w:firstLine="480"/>
        <w:rPr>
          <w:rFonts w:ascii="宋体" w:hAnsi="宋体" w:eastAsia="宋体"/>
        </w:rPr>
      </w:pPr>
      <w:r>
        <w:rPr>
          <w:rFonts w:hint="eastAsia" w:ascii="宋体" w:hAnsi="宋体" w:eastAsia="宋体"/>
        </w:rPr>
        <w:t>4）支持PDA扫描患者腕带快速切换，PDA扫描瓶签条码执行输液。</w:t>
      </w:r>
    </w:p>
    <w:p w14:paraId="658DED53">
      <w:pPr>
        <w:pStyle w:val="5"/>
        <w:rPr>
          <w:rFonts w:ascii="宋体" w:hAnsi="宋体" w:eastAsia="宋体"/>
        </w:rPr>
      </w:pPr>
      <w:r>
        <w:rPr>
          <w:rFonts w:hint="eastAsia" w:ascii="宋体" w:hAnsi="宋体" w:eastAsia="宋体"/>
        </w:rPr>
        <w:t>体征录入</w:t>
      </w:r>
    </w:p>
    <w:p w14:paraId="4040074A">
      <w:pPr>
        <w:ind w:firstLine="480"/>
        <w:rPr>
          <w:rFonts w:ascii="宋体" w:hAnsi="宋体" w:eastAsia="宋体"/>
        </w:rPr>
      </w:pPr>
      <w:r>
        <w:rPr>
          <w:rFonts w:hint="eastAsia" w:ascii="宋体" w:hAnsi="宋体" w:eastAsia="宋体"/>
        </w:rPr>
        <w:t>1）针对当前病人进行三测数据、血糖血压、出入量的记录与管理，直接与HIS对接。</w:t>
      </w:r>
    </w:p>
    <w:p w14:paraId="3AE9743F">
      <w:pPr>
        <w:ind w:firstLine="480"/>
        <w:rPr>
          <w:rFonts w:ascii="宋体" w:hAnsi="宋体" w:eastAsia="宋体"/>
        </w:rPr>
      </w:pPr>
      <w:r>
        <w:rPr>
          <w:rFonts w:hint="eastAsia" w:ascii="宋体" w:hAnsi="宋体" w:eastAsia="宋体"/>
        </w:rPr>
        <w:t>2）智能识别当前系统时间，进行三测数据录入时无需手动选择。</w:t>
      </w:r>
    </w:p>
    <w:p w14:paraId="6CE6057C">
      <w:pPr>
        <w:ind w:firstLine="480"/>
        <w:rPr>
          <w:rFonts w:ascii="宋体" w:hAnsi="宋体" w:eastAsia="宋体"/>
        </w:rPr>
      </w:pPr>
      <w:r>
        <w:rPr>
          <w:rFonts w:hint="eastAsia" w:ascii="宋体" w:hAnsi="宋体" w:eastAsia="宋体"/>
        </w:rPr>
        <w:t>3）能够图形化展示三测体温单数据，显示逻辑跟HIS保持一致</w:t>
      </w:r>
    </w:p>
    <w:p w14:paraId="69503E90">
      <w:pPr>
        <w:pStyle w:val="5"/>
        <w:rPr>
          <w:rFonts w:ascii="宋体" w:hAnsi="宋体" w:eastAsia="宋体"/>
        </w:rPr>
      </w:pPr>
      <w:r>
        <w:rPr>
          <w:rFonts w:hint="eastAsia" w:ascii="宋体" w:hAnsi="宋体" w:eastAsia="宋体"/>
        </w:rPr>
        <w:t>医嘱执行管理</w:t>
      </w:r>
    </w:p>
    <w:p w14:paraId="26D00266">
      <w:pPr>
        <w:ind w:firstLine="480"/>
        <w:rPr>
          <w:rFonts w:ascii="宋体" w:hAnsi="宋体" w:eastAsia="宋体"/>
        </w:rPr>
      </w:pPr>
      <w:r>
        <w:rPr>
          <w:rFonts w:hint="eastAsia" w:ascii="宋体" w:hAnsi="宋体" w:eastAsia="宋体"/>
        </w:rPr>
        <w:t>根据筛选条件查询当前病人的医嘱，根据医嘱类型进行查询（长期、临时、变化、未执行），可以查看到医嘱执行明细。</w:t>
      </w:r>
    </w:p>
    <w:p w14:paraId="0B172292">
      <w:pPr>
        <w:pStyle w:val="5"/>
        <w:rPr>
          <w:rFonts w:ascii="宋体" w:hAnsi="宋体" w:eastAsia="宋体"/>
        </w:rPr>
      </w:pPr>
      <w:r>
        <w:rPr>
          <w:rFonts w:hint="eastAsia" w:ascii="宋体" w:hAnsi="宋体" w:eastAsia="宋体"/>
        </w:rPr>
        <w:t>费用管理</w:t>
      </w:r>
    </w:p>
    <w:p w14:paraId="429A1A30">
      <w:pPr>
        <w:ind w:firstLine="480"/>
        <w:rPr>
          <w:rFonts w:ascii="宋体" w:hAnsi="宋体" w:eastAsia="宋体"/>
        </w:rPr>
      </w:pPr>
      <w:r>
        <w:rPr>
          <w:rFonts w:hint="eastAsia" w:ascii="宋体" w:hAnsi="宋体" w:eastAsia="宋体"/>
        </w:rPr>
        <w:t>展示当前科室病人的医疗费用情况。直接与HIS对接，获取医院后台计费信息，通过输入关键字查询计费项目。</w:t>
      </w:r>
    </w:p>
    <w:p w14:paraId="6FD9E0F1">
      <w:pPr>
        <w:pStyle w:val="5"/>
        <w:rPr>
          <w:rFonts w:ascii="宋体" w:hAnsi="宋体" w:eastAsia="宋体"/>
        </w:rPr>
      </w:pPr>
      <w:r>
        <w:rPr>
          <w:rFonts w:hint="eastAsia" w:ascii="宋体" w:hAnsi="宋体" w:eastAsia="宋体"/>
        </w:rPr>
        <w:t>一日清单</w:t>
      </w:r>
    </w:p>
    <w:p w14:paraId="76A8915F">
      <w:pPr>
        <w:ind w:firstLine="480"/>
        <w:rPr>
          <w:rFonts w:ascii="宋体" w:hAnsi="宋体" w:eastAsia="宋体"/>
        </w:rPr>
      </w:pPr>
      <w:r>
        <w:rPr>
          <w:rFonts w:hint="eastAsia" w:ascii="宋体" w:hAnsi="宋体" w:eastAsia="宋体"/>
        </w:rPr>
        <w:t>查询当前病人某一日的医疗费用情况，默认当日，也可以选择日期查询。</w:t>
      </w:r>
    </w:p>
    <w:p w14:paraId="7A13FD16">
      <w:pPr>
        <w:pStyle w:val="5"/>
        <w:rPr>
          <w:rFonts w:ascii="宋体" w:hAnsi="宋体" w:eastAsia="宋体"/>
        </w:rPr>
      </w:pPr>
      <w:r>
        <w:rPr>
          <w:rFonts w:hint="eastAsia" w:ascii="宋体" w:hAnsi="宋体" w:eastAsia="宋体"/>
        </w:rPr>
        <w:t>入科安床</w:t>
      </w:r>
    </w:p>
    <w:p w14:paraId="2E4EFD3F">
      <w:pPr>
        <w:ind w:firstLine="480"/>
        <w:rPr>
          <w:rFonts w:ascii="宋体" w:hAnsi="宋体" w:eastAsia="宋体"/>
        </w:rPr>
      </w:pPr>
      <w:r>
        <w:rPr>
          <w:rFonts w:hint="eastAsia" w:ascii="宋体" w:hAnsi="宋体" w:eastAsia="宋体"/>
        </w:rPr>
        <w:t>1）展示当前科室需要入科的病人，选择某个病人进行安床；</w:t>
      </w:r>
    </w:p>
    <w:p w14:paraId="5CF9921A">
      <w:pPr>
        <w:ind w:firstLine="480"/>
        <w:rPr>
          <w:rFonts w:ascii="宋体" w:hAnsi="宋体" w:eastAsia="宋体"/>
        </w:rPr>
      </w:pPr>
      <w:r>
        <w:rPr>
          <w:rFonts w:hint="eastAsia" w:ascii="宋体" w:hAnsi="宋体" w:eastAsia="宋体"/>
        </w:rPr>
        <w:t>2）输入床号查询病人信息，进行换床；</w:t>
      </w:r>
    </w:p>
    <w:p w14:paraId="7B551110">
      <w:pPr>
        <w:ind w:firstLine="480"/>
        <w:rPr>
          <w:rFonts w:ascii="宋体" w:hAnsi="宋体" w:eastAsia="宋体"/>
        </w:rPr>
      </w:pPr>
      <w:r>
        <w:rPr>
          <w:rFonts w:hint="eastAsia" w:ascii="宋体" w:hAnsi="宋体" w:eastAsia="宋体"/>
        </w:rPr>
        <w:t>3）可快速切换患者，查看当前患者的待执行任务信息（标本、输液、理疗）等医嘱的审核、打印、配药、执行情况，也可以快速查看全科的相关医嘱信息。</w:t>
      </w:r>
    </w:p>
    <w:p w14:paraId="39FCFDB1">
      <w:pPr>
        <w:pStyle w:val="5"/>
        <w:rPr>
          <w:rFonts w:ascii="宋体" w:hAnsi="宋体" w:eastAsia="宋体"/>
        </w:rPr>
      </w:pPr>
      <w:r>
        <w:rPr>
          <w:rFonts w:hint="eastAsia" w:ascii="宋体" w:hAnsi="宋体" w:eastAsia="宋体"/>
        </w:rPr>
        <w:t>皮试管理</w:t>
      </w:r>
    </w:p>
    <w:p w14:paraId="27F01198">
      <w:pPr>
        <w:ind w:firstLine="480"/>
        <w:rPr>
          <w:rFonts w:ascii="宋体" w:hAnsi="宋体" w:eastAsia="宋体"/>
        </w:rPr>
      </w:pPr>
      <w:r>
        <w:rPr>
          <w:rFonts w:hint="eastAsia" w:ascii="宋体" w:hAnsi="宋体" w:eastAsia="宋体"/>
        </w:rPr>
        <w:t>管理当前病人的皮试数据，进行皮试结果的录入。</w:t>
      </w:r>
    </w:p>
    <w:p w14:paraId="06DF1F48">
      <w:pPr>
        <w:pStyle w:val="5"/>
        <w:rPr>
          <w:rFonts w:ascii="宋体" w:hAnsi="宋体" w:eastAsia="宋体"/>
        </w:rPr>
      </w:pPr>
      <w:r>
        <w:rPr>
          <w:rFonts w:hint="eastAsia" w:ascii="宋体" w:hAnsi="宋体" w:eastAsia="宋体"/>
        </w:rPr>
        <w:t>患者巡视</w:t>
      </w:r>
    </w:p>
    <w:p w14:paraId="555C3ED7">
      <w:pPr>
        <w:ind w:firstLine="480"/>
        <w:rPr>
          <w:rFonts w:ascii="宋体" w:hAnsi="宋体" w:eastAsia="宋体"/>
        </w:rPr>
      </w:pPr>
      <w:r>
        <w:rPr>
          <w:rFonts w:hint="eastAsia" w:ascii="宋体" w:hAnsi="宋体" w:eastAsia="宋体"/>
        </w:rPr>
        <w:t>对当前患者进行日常巡视，录入巡视数据（如晨间护理、患者进食）。</w:t>
      </w:r>
    </w:p>
    <w:p w14:paraId="50B7755E">
      <w:pPr>
        <w:pStyle w:val="5"/>
        <w:rPr>
          <w:rFonts w:ascii="宋体" w:hAnsi="宋体" w:eastAsia="宋体"/>
        </w:rPr>
      </w:pPr>
      <w:r>
        <w:rPr>
          <w:rFonts w:hint="eastAsia" w:ascii="宋体" w:hAnsi="宋体" w:eastAsia="宋体"/>
        </w:rPr>
        <w:t>信息查询</w:t>
      </w:r>
    </w:p>
    <w:p w14:paraId="01EF85BF">
      <w:pPr>
        <w:ind w:firstLine="480"/>
        <w:rPr>
          <w:rFonts w:ascii="宋体" w:hAnsi="宋体" w:eastAsia="宋体"/>
        </w:rPr>
      </w:pPr>
      <w:r>
        <w:rPr>
          <w:rFonts w:hint="eastAsia" w:ascii="宋体" w:hAnsi="宋体" w:eastAsia="宋体"/>
        </w:rPr>
        <w:t>1）查看住院患者的电子病历、检查检验报告；</w:t>
      </w:r>
    </w:p>
    <w:p w14:paraId="7FA385D6">
      <w:pPr>
        <w:ind w:firstLine="480"/>
        <w:rPr>
          <w:rFonts w:ascii="宋体" w:hAnsi="宋体" w:eastAsia="宋体"/>
        </w:rPr>
      </w:pPr>
      <w:r>
        <w:rPr>
          <w:rFonts w:hint="eastAsia" w:ascii="宋体" w:hAnsi="宋体" w:eastAsia="宋体"/>
        </w:rPr>
        <w:t>2）查看变化医嘱执行、处置医嘱、口服药医嘱、理疗医嘱，并可使用PDA扫条码执行。</w:t>
      </w:r>
    </w:p>
    <w:p w14:paraId="5EB9CE73">
      <w:pPr>
        <w:pStyle w:val="2"/>
        <w:ind w:left="431" w:hanging="431"/>
        <w:jc w:val="both"/>
        <w:rPr>
          <w:rFonts w:ascii="宋体" w:hAnsi="宋体"/>
          <w:color w:val="FF0000"/>
        </w:rPr>
      </w:pPr>
      <w:r>
        <w:rPr>
          <w:rFonts w:hint="eastAsia" w:hAnsi="宋体"/>
          <w:color w:val="FF0000"/>
          <w:lang w:val="en-US" w:eastAsia="zh-CN"/>
        </w:rPr>
        <w:t>2.</w:t>
      </w:r>
      <w:r>
        <w:rPr>
          <w:rFonts w:hint="eastAsia" w:ascii="宋体" w:hAnsi="宋体"/>
          <w:color w:val="FF0000"/>
        </w:rPr>
        <w:t>系统必要终端设备清单及详细技术参数</w:t>
      </w:r>
    </w:p>
    <w:tbl>
      <w:tblPr>
        <w:tblStyle w:val="2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82"/>
        <w:gridCol w:w="4252"/>
        <w:gridCol w:w="709"/>
        <w:gridCol w:w="850"/>
        <w:gridCol w:w="1134"/>
      </w:tblGrid>
      <w:tr w14:paraId="7696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40" w:type="dxa"/>
            <w:shd w:val="clear" w:color="auto" w:fill="auto"/>
            <w:vAlign w:val="center"/>
          </w:tcPr>
          <w:p w14:paraId="49B04DD0">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序号</w:t>
            </w:r>
          </w:p>
        </w:tc>
        <w:tc>
          <w:tcPr>
            <w:tcW w:w="1382" w:type="dxa"/>
            <w:shd w:val="clear" w:color="auto" w:fill="auto"/>
            <w:vAlign w:val="center"/>
          </w:tcPr>
          <w:p w14:paraId="3C032F4E">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系统名称</w:t>
            </w:r>
          </w:p>
        </w:tc>
        <w:tc>
          <w:tcPr>
            <w:tcW w:w="4252" w:type="dxa"/>
            <w:shd w:val="clear" w:color="auto" w:fill="auto"/>
            <w:vAlign w:val="center"/>
          </w:tcPr>
          <w:p w14:paraId="02D34EEF">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详细技术参数要求</w:t>
            </w:r>
          </w:p>
        </w:tc>
        <w:tc>
          <w:tcPr>
            <w:tcW w:w="709" w:type="dxa"/>
            <w:shd w:val="clear" w:color="auto" w:fill="auto"/>
            <w:vAlign w:val="center"/>
          </w:tcPr>
          <w:p w14:paraId="0D9625D3">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单位</w:t>
            </w:r>
          </w:p>
        </w:tc>
        <w:tc>
          <w:tcPr>
            <w:tcW w:w="850" w:type="dxa"/>
            <w:shd w:val="clear" w:color="auto" w:fill="auto"/>
            <w:vAlign w:val="center"/>
          </w:tcPr>
          <w:p w14:paraId="690A74E8">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数量</w:t>
            </w:r>
          </w:p>
        </w:tc>
        <w:tc>
          <w:tcPr>
            <w:tcW w:w="1134" w:type="dxa"/>
            <w:shd w:val="clear" w:color="auto" w:fill="auto"/>
            <w:vAlign w:val="center"/>
          </w:tcPr>
          <w:p w14:paraId="6C87654F">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备注</w:t>
            </w:r>
          </w:p>
        </w:tc>
      </w:tr>
      <w:tr w14:paraId="2923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40" w:type="dxa"/>
            <w:shd w:val="clear" w:color="auto" w:fill="auto"/>
            <w:noWrap/>
            <w:vAlign w:val="center"/>
          </w:tcPr>
          <w:p w14:paraId="7DE179DA">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382" w:type="dxa"/>
            <w:shd w:val="clear" w:color="auto" w:fill="auto"/>
            <w:vAlign w:val="center"/>
          </w:tcPr>
          <w:p w14:paraId="219C38F4">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护理发布系统终端（护理白板）</w:t>
            </w:r>
          </w:p>
        </w:tc>
        <w:tc>
          <w:tcPr>
            <w:tcW w:w="4252" w:type="dxa"/>
            <w:shd w:val="clear" w:color="auto" w:fill="auto"/>
            <w:vAlign w:val="center"/>
          </w:tcPr>
          <w:p w14:paraId="7BC4A251">
            <w:pPr>
              <w:widowControl/>
              <w:spacing w:line="276" w:lineRule="auto"/>
              <w:jc w:val="left"/>
              <w:rPr>
                <w:rFonts w:ascii="宋体" w:hAnsi="宋体" w:eastAsia="宋体" w:cs="Tahoma"/>
                <w:kern w:val="0"/>
                <w:sz w:val="21"/>
                <w:szCs w:val="21"/>
              </w:rPr>
            </w:pPr>
            <w:r>
              <w:rPr>
                <w:rFonts w:hint="eastAsia" w:ascii="宋体" w:hAnsi="宋体" w:eastAsia="宋体" w:cs="Tahoma"/>
                <w:kern w:val="0"/>
                <w:sz w:val="21"/>
                <w:szCs w:val="21"/>
              </w:rPr>
              <w:t>≥65寸触控屏，分辨率1920*1080，安卓系统，配置2+8G内存，CPU四核，支持HIDMI*1、SD卡槽*1、网口端口*1。</w:t>
            </w:r>
          </w:p>
        </w:tc>
        <w:tc>
          <w:tcPr>
            <w:tcW w:w="709" w:type="dxa"/>
            <w:shd w:val="clear" w:color="auto" w:fill="auto"/>
            <w:vAlign w:val="center"/>
          </w:tcPr>
          <w:p w14:paraId="120EA1C4">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850" w:type="dxa"/>
            <w:shd w:val="clear" w:color="auto" w:fill="auto"/>
            <w:vAlign w:val="center"/>
          </w:tcPr>
          <w:p w14:paraId="4FEF410D">
            <w:pPr>
              <w:widowControl/>
              <w:spacing w:line="276" w:lineRule="auto"/>
              <w:jc w:val="center"/>
              <w:rPr>
                <w:rFonts w:ascii="宋体" w:hAnsi="宋体" w:eastAsia="宋体" w:cs="Tahoma"/>
                <w:color w:val="0070C0"/>
                <w:kern w:val="0"/>
                <w:sz w:val="21"/>
                <w:szCs w:val="21"/>
              </w:rPr>
            </w:pPr>
            <w:r>
              <w:rPr>
                <w:rFonts w:ascii="宋体" w:hAnsi="宋体" w:eastAsia="宋体" w:cs="Tahoma"/>
                <w:color w:val="0070C0"/>
                <w:kern w:val="0"/>
                <w:sz w:val="21"/>
                <w:szCs w:val="21"/>
              </w:rPr>
              <w:t>2</w:t>
            </w:r>
            <w:r>
              <w:rPr>
                <w:rFonts w:hint="eastAsia" w:ascii="宋体" w:hAnsi="宋体" w:eastAsia="宋体" w:cs="Tahoma"/>
                <w:color w:val="0070C0"/>
                <w:kern w:val="0"/>
                <w:sz w:val="21"/>
                <w:szCs w:val="21"/>
              </w:rPr>
              <w:t>5</w:t>
            </w:r>
          </w:p>
        </w:tc>
        <w:tc>
          <w:tcPr>
            <w:tcW w:w="1134" w:type="dxa"/>
            <w:shd w:val="clear" w:color="auto" w:fill="auto"/>
            <w:vAlign w:val="center"/>
          </w:tcPr>
          <w:p w14:paraId="70B21788">
            <w:pPr>
              <w:widowControl/>
              <w:spacing w:line="276" w:lineRule="auto"/>
              <w:jc w:val="center"/>
              <w:rPr>
                <w:rFonts w:ascii="宋体" w:hAnsi="宋体" w:eastAsia="宋体" w:cs="Tahoma"/>
                <w:kern w:val="0"/>
                <w:sz w:val="21"/>
                <w:szCs w:val="21"/>
              </w:rPr>
            </w:pPr>
          </w:p>
        </w:tc>
      </w:tr>
      <w:tr w14:paraId="0A04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40" w:type="dxa"/>
            <w:shd w:val="clear" w:color="auto" w:fill="auto"/>
            <w:noWrap/>
            <w:vAlign w:val="center"/>
          </w:tcPr>
          <w:p w14:paraId="147C6805">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382" w:type="dxa"/>
            <w:shd w:val="clear" w:color="auto" w:fill="auto"/>
            <w:vAlign w:val="center"/>
          </w:tcPr>
          <w:p w14:paraId="70B08A05">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移动护士工作站终端</w:t>
            </w:r>
            <w:r>
              <w:rPr>
                <w:rFonts w:ascii="宋体" w:hAnsi="宋体" w:eastAsia="宋体" w:cs="Tahoma"/>
                <w:color w:val="0070C0"/>
                <w:kern w:val="0"/>
                <w:sz w:val="21"/>
                <w:szCs w:val="21"/>
              </w:rPr>
              <w:t>(PDA)</w:t>
            </w:r>
            <w:r>
              <w:rPr>
                <w:rFonts w:hint="eastAsia" w:ascii="宋体" w:hAnsi="宋体" w:eastAsia="宋体" w:cs="Tahoma"/>
                <w:color w:val="0070C0"/>
                <w:kern w:val="0"/>
                <w:sz w:val="21"/>
                <w:szCs w:val="21"/>
              </w:rPr>
              <w:t xml:space="preserve">  </w:t>
            </w:r>
            <w:r>
              <w:rPr>
                <w:rFonts w:hint="eastAsia" w:ascii="宋体" w:hAnsi="宋体" w:eastAsia="宋体" w:cs="Tahoma"/>
                <w:kern w:val="0"/>
                <w:sz w:val="21"/>
                <w:szCs w:val="21"/>
              </w:rPr>
              <w:t xml:space="preserve">        </w:t>
            </w:r>
          </w:p>
        </w:tc>
        <w:tc>
          <w:tcPr>
            <w:tcW w:w="4252" w:type="dxa"/>
            <w:shd w:val="clear" w:color="auto" w:fill="auto"/>
            <w:vAlign w:val="center"/>
          </w:tcPr>
          <w:p w14:paraId="72C83D48">
            <w:pPr>
              <w:pStyle w:val="58"/>
              <w:spacing w:line="276" w:lineRule="auto"/>
              <w:ind w:firstLine="0" w:firstLineChars="0"/>
              <w:rPr>
                <w:rFonts w:ascii="宋体" w:hAnsi="宋体"/>
                <w:sz w:val="21"/>
              </w:rPr>
            </w:pPr>
            <w:r>
              <w:rPr>
                <w:rFonts w:hint="eastAsia" w:ascii="宋体" w:hAnsi="宋体"/>
                <w:sz w:val="21"/>
              </w:rPr>
              <w:t>用于移动护士执行，八核处理器、主频≥2.0</w:t>
            </w:r>
            <w:r>
              <w:rPr>
                <w:rFonts w:ascii="宋体" w:hAnsi="宋体"/>
                <w:sz w:val="21"/>
              </w:rPr>
              <w:t>GHz</w:t>
            </w:r>
            <w:r>
              <w:rPr>
                <w:rFonts w:hint="eastAsia" w:ascii="宋体" w:hAnsi="宋体"/>
                <w:sz w:val="21"/>
              </w:rPr>
              <w:t>；内存≥4</w:t>
            </w:r>
            <w:r>
              <w:rPr>
                <w:rFonts w:ascii="宋体" w:hAnsi="宋体"/>
                <w:sz w:val="21"/>
              </w:rPr>
              <w:t>GB</w:t>
            </w:r>
            <w:r>
              <w:rPr>
                <w:rFonts w:hint="eastAsia" w:ascii="宋体" w:hAnsi="宋体"/>
                <w:sz w:val="21"/>
              </w:rPr>
              <w:t>；存储≥64GB电池容量≥4900mAh，显示屏</w:t>
            </w:r>
            <w:r>
              <w:rPr>
                <w:rFonts w:hint="eastAsia" w:ascii="宋体" w:hAnsi="宋体"/>
                <w:sz w:val="21"/>
              </w:rPr>
              <w:tab/>
            </w:r>
            <w:r>
              <w:rPr>
                <w:rFonts w:hint="eastAsia" w:ascii="宋体" w:hAnsi="宋体"/>
                <w:sz w:val="21"/>
              </w:rPr>
              <w:t>≥5.0寸多点触控屏；条码扫描引擎支持一维码、二维码扫描，支持屏幕扫描。</w:t>
            </w:r>
          </w:p>
          <w:p w14:paraId="431D11FE">
            <w:pPr>
              <w:widowControl/>
              <w:spacing w:line="276" w:lineRule="auto"/>
              <w:jc w:val="left"/>
              <w:rPr>
                <w:rFonts w:ascii="宋体" w:hAnsi="宋体" w:eastAsia="宋体" w:cs="Tahoma"/>
                <w:kern w:val="0"/>
                <w:sz w:val="21"/>
                <w:szCs w:val="21"/>
              </w:rPr>
            </w:pPr>
          </w:p>
        </w:tc>
        <w:tc>
          <w:tcPr>
            <w:tcW w:w="709" w:type="dxa"/>
            <w:shd w:val="clear" w:color="auto" w:fill="auto"/>
            <w:vAlign w:val="center"/>
          </w:tcPr>
          <w:p w14:paraId="3062AE90">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850" w:type="dxa"/>
            <w:shd w:val="clear" w:color="auto" w:fill="auto"/>
            <w:vAlign w:val="center"/>
          </w:tcPr>
          <w:p w14:paraId="5EAC05F3">
            <w:pPr>
              <w:widowControl/>
              <w:spacing w:line="276"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60</w:t>
            </w:r>
          </w:p>
        </w:tc>
        <w:tc>
          <w:tcPr>
            <w:tcW w:w="1134" w:type="dxa"/>
            <w:shd w:val="clear" w:color="auto" w:fill="auto"/>
            <w:vAlign w:val="center"/>
          </w:tcPr>
          <w:p w14:paraId="61BF4FB7">
            <w:pPr>
              <w:widowControl/>
              <w:spacing w:line="276" w:lineRule="auto"/>
              <w:jc w:val="center"/>
              <w:rPr>
                <w:rFonts w:ascii="宋体" w:hAnsi="宋体" w:eastAsia="宋体" w:cs="Tahoma"/>
                <w:kern w:val="0"/>
                <w:sz w:val="21"/>
                <w:szCs w:val="21"/>
              </w:rPr>
            </w:pPr>
          </w:p>
        </w:tc>
      </w:tr>
      <w:tr w14:paraId="4258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40" w:type="dxa"/>
            <w:shd w:val="clear" w:color="auto" w:fill="auto"/>
            <w:noWrap/>
            <w:vAlign w:val="center"/>
          </w:tcPr>
          <w:p w14:paraId="23408C22">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382" w:type="dxa"/>
            <w:shd w:val="clear" w:color="auto" w:fill="auto"/>
            <w:vAlign w:val="center"/>
          </w:tcPr>
          <w:p w14:paraId="0E283FC4">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移动医生工作站</w:t>
            </w:r>
            <w:r>
              <w:rPr>
                <w:rFonts w:ascii="宋体" w:hAnsi="宋体" w:eastAsia="宋体" w:cs="Tahoma"/>
                <w:color w:val="0070C0"/>
                <w:kern w:val="0"/>
                <w:sz w:val="21"/>
                <w:szCs w:val="21"/>
              </w:rPr>
              <w:t>(</w:t>
            </w:r>
            <w:r>
              <w:rPr>
                <w:rFonts w:hint="eastAsia" w:ascii="宋体" w:hAnsi="宋体" w:eastAsia="宋体" w:cs="Tahoma"/>
                <w:color w:val="0070C0"/>
                <w:kern w:val="0"/>
                <w:sz w:val="21"/>
                <w:szCs w:val="21"/>
              </w:rPr>
              <w:t>平板电脑</w:t>
            </w:r>
            <w:r>
              <w:rPr>
                <w:rFonts w:ascii="宋体" w:hAnsi="宋体" w:eastAsia="宋体" w:cs="Tahoma"/>
                <w:color w:val="0070C0"/>
                <w:kern w:val="0"/>
                <w:sz w:val="21"/>
                <w:szCs w:val="21"/>
              </w:rPr>
              <w:t>)</w:t>
            </w:r>
            <w:r>
              <w:rPr>
                <w:rFonts w:hint="eastAsia" w:ascii="宋体" w:hAnsi="宋体" w:eastAsia="宋体" w:cs="Tahoma"/>
                <w:color w:val="0070C0"/>
                <w:kern w:val="0"/>
                <w:sz w:val="21"/>
                <w:szCs w:val="21"/>
              </w:rPr>
              <w:t xml:space="preserve">   </w:t>
            </w:r>
            <w:r>
              <w:rPr>
                <w:rFonts w:hint="eastAsia" w:ascii="宋体" w:hAnsi="宋体" w:eastAsia="宋体" w:cs="Tahoma"/>
                <w:kern w:val="0"/>
                <w:sz w:val="21"/>
                <w:szCs w:val="21"/>
              </w:rPr>
              <w:t xml:space="preserve">     </w:t>
            </w:r>
          </w:p>
        </w:tc>
        <w:tc>
          <w:tcPr>
            <w:tcW w:w="4252" w:type="dxa"/>
            <w:shd w:val="clear" w:color="auto" w:fill="auto"/>
            <w:vAlign w:val="center"/>
          </w:tcPr>
          <w:p w14:paraId="59CC0B64">
            <w:pPr>
              <w:pStyle w:val="58"/>
              <w:spacing w:line="276" w:lineRule="auto"/>
              <w:ind w:firstLine="0" w:firstLineChars="0"/>
              <w:rPr>
                <w:rFonts w:ascii="宋体" w:hAnsi="宋体"/>
                <w:sz w:val="21"/>
              </w:rPr>
            </w:pPr>
            <w:r>
              <w:rPr>
                <w:rFonts w:hint="eastAsia" w:ascii="宋体" w:hAnsi="宋体"/>
                <w:sz w:val="21"/>
              </w:rPr>
              <w:t>与移动医生系统兼容，电容触摸屏，多点触控。屏幕尺寸≥11.5英寸；内存≥6GB； 内存容量≥128GB,分辨率2200*1440，厚度≤7.0。</w:t>
            </w:r>
          </w:p>
          <w:p w14:paraId="42BFD494">
            <w:pPr>
              <w:widowControl/>
              <w:spacing w:line="276" w:lineRule="auto"/>
              <w:jc w:val="center"/>
              <w:rPr>
                <w:rFonts w:ascii="宋体" w:hAnsi="宋体" w:eastAsia="宋体" w:cs="Tahoma"/>
                <w:kern w:val="0"/>
                <w:sz w:val="21"/>
                <w:szCs w:val="21"/>
              </w:rPr>
            </w:pPr>
          </w:p>
        </w:tc>
        <w:tc>
          <w:tcPr>
            <w:tcW w:w="709" w:type="dxa"/>
            <w:shd w:val="clear" w:color="auto" w:fill="auto"/>
            <w:vAlign w:val="center"/>
          </w:tcPr>
          <w:p w14:paraId="3CC76583">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850" w:type="dxa"/>
            <w:shd w:val="clear" w:color="auto" w:fill="auto"/>
            <w:vAlign w:val="center"/>
          </w:tcPr>
          <w:p w14:paraId="055F581E">
            <w:pPr>
              <w:widowControl/>
              <w:spacing w:line="276"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50</w:t>
            </w:r>
          </w:p>
        </w:tc>
        <w:tc>
          <w:tcPr>
            <w:tcW w:w="1134" w:type="dxa"/>
            <w:shd w:val="clear" w:color="auto" w:fill="auto"/>
            <w:vAlign w:val="center"/>
          </w:tcPr>
          <w:p w14:paraId="2EF9CA63">
            <w:pPr>
              <w:widowControl/>
              <w:spacing w:line="276" w:lineRule="auto"/>
              <w:jc w:val="center"/>
              <w:rPr>
                <w:rFonts w:ascii="宋体" w:hAnsi="宋体" w:eastAsia="宋体" w:cs="Tahoma"/>
                <w:kern w:val="0"/>
                <w:sz w:val="21"/>
                <w:szCs w:val="21"/>
              </w:rPr>
            </w:pPr>
          </w:p>
        </w:tc>
      </w:tr>
    </w:tbl>
    <w:p w14:paraId="7B1B4DD2">
      <w:pPr>
        <w:pStyle w:val="2"/>
        <w:ind w:left="431" w:hanging="431"/>
        <w:jc w:val="both"/>
        <w:rPr>
          <w:rFonts w:ascii="宋体" w:hAnsi="宋体"/>
          <w:color w:val="FF0000"/>
        </w:rPr>
      </w:pPr>
      <w:r>
        <w:rPr>
          <w:rFonts w:hint="eastAsia" w:hAnsi="宋体"/>
          <w:color w:val="FF0000"/>
          <w:lang w:val="en-US" w:eastAsia="zh-CN"/>
        </w:rPr>
        <w:t>3.</w:t>
      </w:r>
      <w:r>
        <w:rPr>
          <w:rFonts w:hint="eastAsia" w:ascii="宋体" w:hAnsi="宋体"/>
          <w:color w:val="FF0000"/>
        </w:rPr>
        <w:t>电子签名患者端建设清单及详细技术参数</w:t>
      </w:r>
    </w:p>
    <w:tbl>
      <w:tblPr>
        <w:tblStyle w:val="20"/>
        <w:tblW w:w="8642" w:type="dxa"/>
        <w:tblInd w:w="0" w:type="dxa"/>
        <w:tblLayout w:type="autofit"/>
        <w:tblCellMar>
          <w:top w:w="0" w:type="dxa"/>
          <w:left w:w="108" w:type="dxa"/>
          <w:bottom w:w="0" w:type="dxa"/>
          <w:right w:w="108" w:type="dxa"/>
        </w:tblCellMar>
      </w:tblPr>
      <w:tblGrid>
        <w:gridCol w:w="562"/>
        <w:gridCol w:w="1276"/>
        <w:gridCol w:w="5387"/>
        <w:gridCol w:w="708"/>
        <w:gridCol w:w="709"/>
      </w:tblGrid>
      <w:tr w14:paraId="4749CF31">
        <w:tblPrEx>
          <w:tblCellMar>
            <w:top w:w="0" w:type="dxa"/>
            <w:left w:w="108" w:type="dxa"/>
            <w:bottom w:w="0" w:type="dxa"/>
            <w:right w:w="108" w:type="dxa"/>
          </w:tblCellMar>
        </w:tblPrEx>
        <w:trPr>
          <w:trHeight w:val="638"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14:paraId="43AB50CD">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558BD21E">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系统/设备名称</w:t>
            </w:r>
          </w:p>
        </w:tc>
        <w:tc>
          <w:tcPr>
            <w:tcW w:w="5387" w:type="dxa"/>
            <w:tcBorders>
              <w:top w:val="single" w:color="auto" w:sz="4" w:space="0"/>
              <w:left w:val="nil"/>
              <w:bottom w:val="single" w:color="auto" w:sz="4" w:space="0"/>
              <w:right w:val="single" w:color="000000" w:sz="4" w:space="0"/>
            </w:tcBorders>
            <w:shd w:val="clear" w:color="auto" w:fill="auto"/>
            <w:vAlign w:val="center"/>
          </w:tcPr>
          <w:p w14:paraId="33F8F743">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详细技术参数要求</w:t>
            </w:r>
          </w:p>
        </w:tc>
        <w:tc>
          <w:tcPr>
            <w:tcW w:w="708" w:type="dxa"/>
            <w:tcBorders>
              <w:top w:val="single" w:color="auto" w:sz="4" w:space="0"/>
              <w:left w:val="nil"/>
              <w:bottom w:val="single" w:color="auto" w:sz="4" w:space="0"/>
              <w:right w:val="single" w:color="auto" w:sz="4" w:space="0"/>
            </w:tcBorders>
            <w:shd w:val="clear" w:color="auto" w:fill="auto"/>
            <w:vAlign w:val="center"/>
          </w:tcPr>
          <w:p w14:paraId="5A9C60E7">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14:paraId="4B9E6623">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数量</w:t>
            </w:r>
          </w:p>
        </w:tc>
      </w:tr>
      <w:tr w14:paraId="7288EB2E">
        <w:tblPrEx>
          <w:tblCellMar>
            <w:top w:w="0" w:type="dxa"/>
            <w:left w:w="108" w:type="dxa"/>
            <w:bottom w:w="0" w:type="dxa"/>
            <w:right w:w="108" w:type="dxa"/>
          </w:tblCellMar>
        </w:tblPrEx>
        <w:trPr>
          <w:trHeight w:val="983"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5DADC2B8">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276" w:type="dxa"/>
            <w:tcBorders>
              <w:top w:val="nil"/>
              <w:left w:val="nil"/>
              <w:bottom w:val="single" w:color="auto" w:sz="4" w:space="0"/>
              <w:right w:val="single" w:color="auto" w:sz="4" w:space="0"/>
            </w:tcBorders>
            <w:shd w:val="clear" w:color="auto" w:fill="auto"/>
            <w:vAlign w:val="center"/>
          </w:tcPr>
          <w:p w14:paraId="177E348D">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手写信息数字签名系统</w:t>
            </w:r>
          </w:p>
        </w:tc>
        <w:tc>
          <w:tcPr>
            <w:tcW w:w="5387" w:type="dxa"/>
            <w:tcBorders>
              <w:top w:val="single" w:color="auto" w:sz="4" w:space="0"/>
              <w:left w:val="nil"/>
              <w:bottom w:val="single" w:color="auto" w:sz="4" w:space="0"/>
              <w:right w:val="single" w:color="000000" w:sz="4" w:space="0"/>
            </w:tcBorders>
            <w:shd w:val="clear" w:color="auto" w:fill="auto"/>
            <w:vAlign w:val="center"/>
          </w:tcPr>
          <w:p w14:paraId="471DC085">
            <w:pPr>
              <w:pStyle w:val="58"/>
              <w:spacing w:line="276" w:lineRule="auto"/>
              <w:ind w:firstLine="0" w:firstLineChars="0"/>
              <w:rPr>
                <w:rFonts w:ascii="宋体" w:hAnsi="宋体"/>
                <w:sz w:val="21"/>
              </w:rPr>
            </w:pPr>
            <w:r>
              <w:rPr>
                <w:rFonts w:hint="eastAsia" w:ascii="宋体" w:hAnsi="宋体"/>
                <w:sz w:val="21"/>
              </w:rPr>
              <w:t>1、设备高度2U，内存≥16G，硬盘≥4T，网络接口≥2*100/1000M自适应网口，电源指标：双电源。</w:t>
            </w:r>
          </w:p>
          <w:p w14:paraId="6D2A6763">
            <w:pPr>
              <w:pStyle w:val="58"/>
              <w:spacing w:line="276" w:lineRule="auto"/>
              <w:ind w:firstLine="0" w:firstLineChars="0"/>
              <w:rPr>
                <w:rFonts w:ascii="宋体" w:hAnsi="宋体"/>
                <w:sz w:val="21"/>
              </w:rPr>
            </w:pPr>
            <w:r>
              <w:rPr>
                <w:rFonts w:hint="eastAsia" w:ascii="宋体" w:hAnsi="宋体"/>
                <w:sz w:val="21"/>
              </w:rPr>
              <w:t>2、手写签名策略：根据大众化的签名应用场景，用户人群数量庞大且分散性的特征，手写数字签名系统设计采用一次性数字证书服务模式，实现对电子文书的可靠电子签名。</w:t>
            </w:r>
          </w:p>
          <w:p w14:paraId="525E45C6">
            <w:pPr>
              <w:pStyle w:val="58"/>
              <w:spacing w:line="276" w:lineRule="auto"/>
              <w:ind w:firstLine="0" w:firstLineChars="0"/>
              <w:rPr>
                <w:rFonts w:ascii="宋体" w:hAnsi="宋体"/>
                <w:sz w:val="21"/>
              </w:rPr>
            </w:pPr>
            <w:r>
              <w:rPr>
                <w:rFonts w:hint="eastAsia" w:ascii="宋体" w:hAnsi="宋体"/>
                <w:sz w:val="21"/>
              </w:rPr>
              <w:t>3、支持通过手写数字签名终端，获取签名人手写签字笔迹，作为数字签名可视化展现效果图示。</w:t>
            </w:r>
          </w:p>
          <w:p w14:paraId="06676177">
            <w:pPr>
              <w:pStyle w:val="58"/>
              <w:spacing w:line="276" w:lineRule="auto"/>
              <w:ind w:firstLine="0" w:firstLineChars="0"/>
              <w:rPr>
                <w:rFonts w:ascii="宋体" w:hAnsi="宋体"/>
                <w:sz w:val="21"/>
              </w:rPr>
            </w:pPr>
            <w:r>
              <w:rPr>
                <w:rFonts w:hint="eastAsia" w:ascii="宋体" w:hAnsi="宋体"/>
                <w:sz w:val="21"/>
              </w:rPr>
              <w:t>4、支持终端用户个人手写签名和服务端单位签章，单位签章支持基于关键字签章和坐标签章。</w:t>
            </w:r>
          </w:p>
          <w:p w14:paraId="26E3EF1D">
            <w:pPr>
              <w:pStyle w:val="58"/>
              <w:spacing w:line="276" w:lineRule="auto"/>
              <w:ind w:firstLine="0" w:firstLineChars="0"/>
              <w:rPr>
                <w:rFonts w:ascii="宋体" w:hAnsi="宋体"/>
                <w:sz w:val="21"/>
              </w:rPr>
            </w:pPr>
            <w:r>
              <w:rPr>
                <w:rFonts w:hint="eastAsia" w:ascii="宋体" w:hAnsi="宋体"/>
                <w:sz w:val="21"/>
              </w:rPr>
              <w:t>5、支持SM2\SM3\SM4密码算法，使用SM2数字签名密码算法，对电子文书进行密码运算，保护电子文书的有效性、合法性。</w:t>
            </w:r>
          </w:p>
          <w:p w14:paraId="0C40C0DE">
            <w:pPr>
              <w:pStyle w:val="58"/>
              <w:spacing w:line="276" w:lineRule="auto"/>
              <w:ind w:firstLine="0" w:firstLineChars="0"/>
              <w:rPr>
                <w:rFonts w:ascii="宋体" w:hAnsi="宋体"/>
                <w:sz w:val="21"/>
              </w:rPr>
            </w:pPr>
            <w:r>
              <w:rPr>
                <w:rFonts w:hint="eastAsia" w:ascii="宋体" w:hAnsi="宋体"/>
                <w:sz w:val="21"/>
              </w:rPr>
              <w:t>6、具备文档保护功能，支持无限制、允许复制、允许打印、允许复印和打印、全部禁止等保护功能。</w:t>
            </w:r>
          </w:p>
          <w:p w14:paraId="35DEFDC9">
            <w:pPr>
              <w:pStyle w:val="58"/>
              <w:spacing w:line="276" w:lineRule="auto"/>
              <w:ind w:firstLine="0" w:firstLineChars="0"/>
              <w:rPr>
                <w:rFonts w:ascii="宋体" w:hAnsi="宋体"/>
                <w:sz w:val="21"/>
              </w:rPr>
            </w:pPr>
            <w:r>
              <w:rPr>
                <w:rFonts w:hint="eastAsia" w:ascii="宋体" w:hAnsi="宋体"/>
                <w:sz w:val="21"/>
              </w:rPr>
              <w:t>7、支持一码一签：一笔业务中，用户进行一次短信挑战码认证，在一份待签名文档上完成一次数字签名；一码多签：一笔业务中，用户进行一次短信挑战码认证，在一份或多份待签名文档上完成多次数字签名。</w:t>
            </w:r>
          </w:p>
          <w:p w14:paraId="67807CE7">
            <w:pPr>
              <w:pStyle w:val="58"/>
              <w:spacing w:line="276" w:lineRule="auto"/>
              <w:ind w:firstLine="0" w:firstLineChars="0"/>
              <w:rPr>
                <w:rFonts w:ascii="宋体" w:hAnsi="宋体"/>
                <w:sz w:val="21"/>
              </w:rPr>
            </w:pPr>
            <w:r>
              <w:rPr>
                <w:rFonts w:hint="eastAsia" w:ascii="宋体" w:hAnsi="宋体"/>
                <w:sz w:val="21"/>
              </w:rPr>
              <w:t>8、基于SM2算法手写签名效率≥108000笔/小时</w:t>
            </w:r>
          </w:p>
          <w:p w14:paraId="584A76E1">
            <w:pPr>
              <w:pStyle w:val="58"/>
              <w:spacing w:line="276" w:lineRule="auto"/>
              <w:ind w:firstLine="0" w:firstLineChars="0"/>
              <w:rPr>
                <w:rFonts w:ascii="宋体" w:hAnsi="宋体"/>
                <w:color w:val="0070C0"/>
                <w:sz w:val="21"/>
              </w:rPr>
            </w:pPr>
            <w:r>
              <w:rPr>
                <w:rFonts w:hint="eastAsia" w:ascii="宋体" w:hAnsi="宋体"/>
                <w:color w:val="0070C0"/>
                <w:sz w:val="21"/>
              </w:rPr>
              <w:t>9、产品具备国家密码管理局颁发的《商用密码产品认证证书》（提供证书证明材料）</w:t>
            </w:r>
          </w:p>
          <w:p w14:paraId="655C7A21">
            <w:pPr>
              <w:pStyle w:val="58"/>
              <w:spacing w:line="276" w:lineRule="auto"/>
              <w:ind w:firstLine="0" w:firstLineChars="0"/>
              <w:rPr>
                <w:rFonts w:ascii="宋体" w:hAnsi="宋体"/>
                <w:sz w:val="21"/>
              </w:rPr>
            </w:pPr>
            <w:r>
              <w:rPr>
                <w:rFonts w:hint="eastAsia" w:ascii="宋体" w:hAnsi="宋体"/>
                <w:sz w:val="21"/>
              </w:rPr>
              <w:t>10、三年原厂售后服务，提供售后服务承诺函。</w:t>
            </w:r>
          </w:p>
          <w:p w14:paraId="1EB095BB">
            <w:pPr>
              <w:pStyle w:val="58"/>
              <w:spacing w:line="276" w:lineRule="auto"/>
              <w:ind w:firstLine="0" w:firstLineChars="0"/>
              <w:rPr>
                <w:rFonts w:ascii="宋体" w:hAnsi="宋体"/>
                <w:sz w:val="21"/>
              </w:rPr>
            </w:pPr>
          </w:p>
        </w:tc>
        <w:tc>
          <w:tcPr>
            <w:tcW w:w="708" w:type="dxa"/>
            <w:tcBorders>
              <w:top w:val="nil"/>
              <w:left w:val="nil"/>
              <w:bottom w:val="single" w:color="auto" w:sz="4" w:space="0"/>
              <w:right w:val="single" w:color="auto" w:sz="4" w:space="0"/>
            </w:tcBorders>
            <w:shd w:val="clear" w:color="auto" w:fill="auto"/>
            <w:vAlign w:val="center"/>
          </w:tcPr>
          <w:p w14:paraId="56B8A55A">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1508FED9">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0C2CA304">
        <w:tblPrEx>
          <w:tblCellMar>
            <w:top w:w="0" w:type="dxa"/>
            <w:left w:w="108" w:type="dxa"/>
            <w:bottom w:w="0" w:type="dxa"/>
            <w:right w:w="108" w:type="dxa"/>
          </w:tblCellMar>
        </w:tblPrEx>
        <w:trPr>
          <w:trHeight w:val="825"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384408D8">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276" w:type="dxa"/>
            <w:tcBorders>
              <w:top w:val="nil"/>
              <w:left w:val="nil"/>
              <w:bottom w:val="single" w:color="auto" w:sz="4" w:space="0"/>
              <w:right w:val="single" w:color="auto" w:sz="4" w:space="0"/>
            </w:tcBorders>
            <w:shd w:val="clear" w:color="auto" w:fill="auto"/>
            <w:vAlign w:val="center"/>
          </w:tcPr>
          <w:p w14:paraId="489006EC">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手写信息数字签名板</w:t>
            </w:r>
          </w:p>
        </w:tc>
        <w:tc>
          <w:tcPr>
            <w:tcW w:w="5387" w:type="dxa"/>
            <w:tcBorders>
              <w:top w:val="single" w:color="auto" w:sz="4" w:space="0"/>
              <w:left w:val="nil"/>
              <w:bottom w:val="single" w:color="auto" w:sz="4" w:space="0"/>
              <w:right w:val="single" w:color="000000" w:sz="4" w:space="0"/>
            </w:tcBorders>
            <w:shd w:val="clear" w:color="auto" w:fill="auto"/>
            <w:vAlign w:val="center"/>
          </w:tcPr>
          <w:p w14:paraId="64E86CB4">
            <w:pPr>
              <w:pStyle w:val="58"/>
              <w:spacing w:line="276" w:lineRule="auto"/>
              <w:ind w:firstLine="0" w:firstLineChars="0"/>
              <w:rPr>
                <w:rFonts w:ascii="宋体" w:hAnsi="宋体"/>
                <w:sz w:val="21"/>
              </w:rPr>
            </w:pPr>
            <w:r>
              <w:rPr>
                <w:rFonts w:hint="eastAsia" w:ascii="宋体" w:hAnsi="宋体"/>
                <w:sz w:val="21"/>
              </w:rPr>
              <w:t>1、LCD有源有线电磁压感手写数字签名板，内置安全密码芯片，实现手写生物特征采集后的数字签名密码运算。</w:t>
            </w:r>
          </w:p>
          <w:p w14:paraId="13E9279C">
            <w:pPr>
              <w:pStyle w:val="58"/>
              <w:spacing w:line="276" w:lineRule="auto"/>
              <w:ind w:firstLine="0" w:firstLineChars="0"/>
              <w:rPr>
                <w:rFonts w:ascii="宋体" w:hAnsi="宋体"/>
                <w:sz w:val="21"/>
              </w:rPr>
            </w:pPr>
            <w:r>
              <w:rPr>
                <w:rFonts w:hint="eastAsia" w:ascii="宋体" w:hAnsi="宋体"/>
                <w:sz w:val="21"/>
              </w:rPr>
              <w:t>2、采集签名人在LCD显示屏上的手写签名笔迹，并实时同步到软件界面上，实现签名人手写签名笔迹数据的可靠采集。</w:t>
            </w:r>
          </w:p>
          <w:p w14:paraId="1807CABB">
            <w:pPr>
              <w:pStyle w:val="58"/>
              <w:spacing w:line="276" w:lineRule="auto"/>
              <w:ind w:firstLine="0" w:firstLineChars="0"/>
              <w:rPr>
                <w:rFonts w:ascii="宋体" w:hAnsi="宋体"/>
                <w:sz w:val="21"/>
              </w:rPr>
            </w:pPr>
            <w:r>
              <w:rPr>
                <w:rFonts w:hint="eastAsia" w:ascii="宋体" w:hAnsi="宋体"/>
                <w:sz w:val="21"/>
              </w:rPr>
              <w:t>3、可以将PC界面在手写签名屏的屏幕上扩展显示，便于签名人查看待签署的电子单据、合同等内容。</w:t>
            </w:r>
          </w:p>
          <w:p w14:paraId="12604200">
            <w:pPr>
              <w:pStyle w:val="58"/>
              <w:spacing w:line="276" w:lineRule="auto"/>
              <w:ind w:firstLine="0" w:firstLineChars="0"/>
              <w:rPr>
                <w:rFonts w:ascii="宋体" w:hAnsi="宋体"/>
                <w:sz w:val="21"/>
              </w:rPr>
            </w:pPr>
            <w:r>
              <w:rPr>
                <w:rFonts w:hint="eastAsia" w:ascii="宋体" w:hAnsi="宋体"/>
                <w:sz w:val="21"/>
              </w:rPr>
              <w:t>4、采用最先进的电磁压感响应技术，可以精准 采用最先进的电磁压感响应技术，可以精准采集手写笔迹每一点的坐标、压力坐标、压力与速度， 实现对签名人手写生物特征指纹的完整采集 。</w:t>
            </w:r>
          </w:p>
          <w:p w14:paraId="17B5572C">
            <w:pPr>
              <w:pStyle w:val="58"/>
              <w:spacing w:line="276" w:lineRule="auto"/>
              <w:ind w:firstLine="0" w:firstLineChars="0"/>
              <w:rPr>
                <w:rFonts w:ascii="宋体" w:hAnsi="宋体"/>
                <w:sz w:val="21"/>
              </w:rPr>
            </w:pPr>
            <w:r>
              <w:rPr>
                <w:rFonts w:hint="eastAsia" w:ascii="宋体" w:hAnsi="宋体"/>
                <w:sz w:val="21"/>
              </w:rPr>
              <w:t>5、整合了指纹采集模块，可在手写签名同时记录签名人指纹数据，从而提高签名身份鉴别能力和应用安全性。</w:t>
            </w:r>
          </w:p>
          <w:p w14:paraId="68241D36">
            <w:pPr>
              <w:pStyle w:val="58"/>
              <w:spacing w:line="276" w:lineRule="auto"/>
              <w:ind w:firstLine="0" w:firstLineChars="0"/>
              <w:rPr>
                <w:rFonts w:ascii="宋体" w:hAnsi="宋体"/>
                <w:sz w:val="21"/>
              </w:rPr>
            </w:pPr>
            <w:r>
              <w:rPr>
                <w:rFonts w:hint="eastAsia" w:ascii="宋体" w:hAnsi="宋体"/>
                <w:sz w:val="21"/>
              </w:rPr>
              <w:t>6、电源：USB总线供电。</w:t>
            </w:r>
          </w:p>
          <w:p w14:paraId="66357060">
            <w:pPr>
              <w:pStyle w:val="58"/>
              <w:spacing w:line="276" w:lineRule="auto"/>
              <w:ind w:firstLine="0" w:firstLineChars="0"/>
              <w:rPr>
                <w:rFonts w:ascii="宋体" w:hAnsi="宋体"/>
                <w:sz w:val="21"/>
              </w:rPr>
            </w:pPr>
            <w:r>
              <w:rPr>
                <w:rFonts w:hint="eastAsia" w:ascii="宋体" w:hAnsi="宋体"/>
                <w:sz w:val="21"/>
              </w:rPr>
              <w:t>7、支持算法：SM2，支持windows XP/vista/win7/Win8/Win10等操作系统</w:t>
            </w:r>
          </w:p>
          <w:p w14:paraId="15FB82C0">
            <w:pPr>
              <w:pStyle w:val="58"/>
              <w:spacing w:line="276" w:lineRule="auto"/>
              <w:ind w:firstLine="0" w:firstLineChars="0"/>
              <w:rPr>
                <w:rFonts w:ascii="宋体" w:hAnsi="宋体"/>
                <w:sz w:val="21"/>
              </w:rPr>
            </w:pPr>
            <w:r>
              <w:rPr>
                <w:rFonts w:hint="eastAsia" w:ascii="宋体" w:hAnsi="宋体"/>
                <w:sz w:val="21"/>
              </w:rPr>
              <w:t>8、显示屏尺寸：手写屏显示效果流畅，屏幕显示≥10.1寸；图像分辨率≥水平1280dpi, 垂直800dpi</w:t>
            </w:r>
          </w:p>
          <w:p w14:paraId="0065E6F0">
            <w:pPr>
              <w:pStyle w:val="58"/>
              <w:spacing w:line="276" w:lineRule="auto"/>
              <w:ind w:firstLine="0" w:firstLineChars="0"/>
              <w:rPr>
                <w:rFonts w:ascii="宋体" w:hAnsi="宋体"/>
                <w:sz w:val="21"/>
              </w:rPr>
            </w:pPr>
            <w:r>
              <w:rPr>
                <w:rFonts w:hint="eastAsia" w:ascii="宋体" w:hAnsi="宋体"/>
                <w:sz w:val="21"/>
              </w:rPr>
              <w:t>9、产品具备国家密码管理局颁发的《商用密码产品认证证书》。</w:t>
            </w:r>
          </w:p>
          <w:p w14:paraId="719CEC15">
            <w:pPr>
              <w:pStyle w:val="58"/>
              <w:spacing w:line="276" w:lineRule="auto"/>
              <w:ind w:firstLine="0" w:firstLineChars="0"/>
              <w:rPr>
                <w:rFonts w:ascii="宋体" w:hAnsi="宋体"/>
                <w:sz w:val="21"/>
              </w:rPr>
            </w:pPr>
          </w:p>
        </w:tc>
        <w:tc>
          <w:tcPr>
            <w:tcW w:w="708" w:type="dxa"/>
            <w:tcBorders>
              <w:top w:val="nil"/>
              <w:left w:val="nil"/>
              <w:bottom w:val="single" w:color="auto" w:sz="4" w:space="0"/>
              <w:right w:val="single" w:color="auto" w:sz="4" w:space="0"/>
            </w:tcBorders>
            <w:shd w:val="clear" w:color="auto" w:fill="auto"/>
            <w:vAlign w:val="center"/>
          </w:tcPr>
          <w:p w14:paraId="1773E5C9">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6C46D43D">
            <w:pPr>
              <w:widowControl/>
              <w:spacing w:line="276"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50</w:t>
            </w:r>
          </w:p>
        </w:tc>
      </w:tr>
      <w:tr w14:paraId="256F5F3B">
        <w:tblPrEx>
          <w:tblCellMar>
            <w:top w:w="0" w:type="dxa"/>
            <w:left w:w="108" w:type="dxa"/>
            <w:bottom w:w="0" w:type="dxa"/>
            <w:right w:w="108" w:type="dxa"/>
          </w:tblCellMar>
        </w:tblPrEx>
        <w:trPr>
          <w:trHeight w:val="915"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14:paraId="1292C00D">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276" w:type="dxa"/>
            <w:tcBorders>
              <w:top w:val="nil"/>
              <w:left w:val="nil"/>
              <w:bottom w:val="single" w:color="auto" w:sz="4" w:space="0"/>
              <w:right w:val="single" w:color="auto" w:sz="4" w:space="0"/>
            </w:tcBorders>
            <w:shd w:val="clear" w:color="auto" w:fill="auto"/>
            <w:vAlign w:val="center"/>
          </w:tcPr>
          <w:p w14:paraId="5D50DFBD">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系统集成接口</w:t>
            </w:r>
          </w:p>
        </w:tc>
        <w:tc>
          <w:tcPr>
            <w:tcW w:w="5387" w:type="dxa"/>
            <w:tcBorders>
              <w:top w:val="single" w:color="auto" w:sz="4" w:space="0"/>
              <w:left w:val="nil"/>
              <w:bottom w:val="single" w:color="auto" w:sz="4" w:space="0"/>
              <w:right w:val="single" w:color="000000" w:sz="4" w:space="0"/>
            </w:tcBorders>
            <w:shd w:val="clear" w:color="auto" w:fill="auto"/>
            <w:vAlign w:val="center"/>
          </w:tcPr>
          <w:p w14:paraId="1800F0F0">
            <w:pPr>
              <w:pStyle w:val="58"/>
              <w:spacing w:line="276" w:lineRule="auto"/>
              <w:ind w:firstLine="0" w:firstLineChars="0"/>
              <w:rPr>
                <w:rFonts w:ascii="宋体" w:hAnsi="宋体" w:cs="Tahoma"/>
                <w:kern w:val="0"/>
                <w:sz w:val="21"/>
              </w:rPr>
            </w:pPr>
            <w:r>
              <w:rPr>
                <w:rFonts w:hint="eastAsia" w:ascii="宋体" w:hAnsi="宋体"/>
                <w:sz w:val="21"/>
              </w:rPr>
              <w:t>实现电子签名系统与医院HIS、LIS、PACS系统集成，包含双方的接口费，如还需第三方系统配合，费用均包含在投标报价内。</w:t>
            </w:r>
          </w:p>
        </w:tc>
        <w:tc>
          <w:tcPr>
            <w:tcW w:w="708" w:type="dxa"/>
            <w:tcBorders>
              <w:top w:val="nil"/>
              <w:left w:val="nil"/>
              <w:bottom w:val="single" w:color="auto" w:sz="4" w:space="0"/>
              <w:right w:val="single" w:color="auto" w:sz="4" w:space="0"/>
            </w:tcBorders>
            <w:shd w:val="clear" w:color="auto" w:fill="auto"/>
            <w:vAlign w:val="center"/>
          </w:tcPr>
          <w:p w14:paraId="4CB2B4B8">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709" w:type="dxa"/>
            <w:tcBorders>
              <w:top w:val="nil"/>
              <w:left w:val="nil"/>
              <w:bottom w:val="single" w:color="auto" w:sz="4" w:space="0"/>
              <w:right w:val="single" w:color="auto" w:sz="4" w:space="0"/>
            </w:tcBorders>
            <w:shd w:val="clear" w:color="auto" w:fill="auto"/>
            <w:vAlign w:val="center"/>
          </w:tcPr>
          <w:p w14:paraId="49D322E0">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bl>
    <w:p w14:paraId="6F6D0782">
      <w:pPr>
        <w:pStyle w:val="2"/>
        <w:ind w:left="431" w:hanging="431"/>
        <w:jc w:val="both"/>
        <w:rPr>
          <w:rFonts w:hint="eastAsia" w:hAnsi="宋体"/>
          <w:color w:val="FF0000"/>
          <w:lang w:val="en-US" w:eastAsia="zh-CN"/>
        </w:rPr>
      </w:pPr>
      <w:r>
        <w:rPr>
          <w:rFonts w:hint="eastAsia" w:hAnsi="宋体"/>
          <w:color w:val="FF0000"/>
          <w:lang w:eastAsia="zh-CN"/>
        </w:rPr>
        <w:t>包</w:t>
      </w:r>
      <w:r>
        <w:rPr>
          <w:rFonts w:hint="eastAsia" w:hAnsi="宋体"/>
          <w:color w:val="FF0000"/>
          <w:lang w:val="en-US" w:eastAsia="zh-CN"/>
        </w:rPr>
        <w:t>2：</w:t>
      </w:r>
    </w:p>
    <w:p w14:paraId="6625E09E">
      <w:pPr>
        <w:pStyle w:val="2"/>
        <w:ind w:left="431" w:hanging="431"/>
        <w:jc w:val="both"/>
        <w:rPr>
          <w:rFonts w:ascii="宋体" w:hAnsi="宋体"/>
          <w:color w:val="FF0000"/>
        </w:rPr>
      </w:pPr>
      <w:r>
        <w:rPr>
          <w:rFonts w:hint="eastAsia" w:hAnsi="宋体"/>
          <w:color w:val="FF0000"/>
          <w:lang w:val="en-US" w:eastAsia="zh-CN"/>
        </w:rPr>
        <w:t>1.</w:t>
      </w:r>
      <w:r>
        <w:rPr>
          <w:rFonts w:hint="eastAsia" w:ascii="宋体" w:hAnsi="宋体"/>
          <w:color w:val="FF0000"/>
        </w:rPr>
        <w:t>模块化机房设备清单及详细技术参数</w:t>
      </w:r>
    </w:p>
    <w:tbl>
      <w:tblPr>
        <w:tblStyle w:val="20"/>
        <w:tblW w:w="8642" w:type="dxa"/>
        <w:tblInd w:w="0" w:type="dxa"/>
        <w:tblLayout w:type="autofit"/>
        <w:tblCellMar>
          <w:top w:w="0" w:type="dxa"/>
          <w:left w:w="108" w:type="dxa"/>
          <w:bottom w:w="0" w:type="dxa"/>
          <w:right w:w="108" w:type="dxa"/>
        </w:tblCellMar>
      </w:tblPr>
      <w:tblGrid>
        <w:gridCol w:w="748"/>
        <w:gridCol w:w="1471"/>
        <w:gridCol w:w="5006"/>
        <w:gridCol w:w="708"/>
        <w:gridCol w:w="709"/>
      </w:tblGrid>
      <w:tr w14:paraId="518F8FD9">
        <w:tblPrEx>
          <w:tblCellMar>
            <w:top w:w="0" w:type="dxa"/>
            <w:left w:w="108" w:type="dxa"/>
            <w:bottom w:w="0" w:type="dxa"/>
            <w:right w:w="108" w:type="dxa"/>
          </w:tblCellMar>
        </w:tblPrEx>
        <w:trPr>
          <w:trHeight w:val="6971" w:hRule="atLeast"/>
        </w:trPr>
        <w:tc>
          <w:tcPr>
            <w:tcW w:w="86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9E7B99">
            <w:pPr>
              <w:rPr>
                <w:rFonts w:asciiTheme="minorEastAsia" w:hAnsiTheme="minorEastAsia"/>
                <w:color w:val="00B0F0"/>
                <w:sz w:val="21"/>
                <w:szCs w:val="21"/>
              </w:rPr>
            </w:pPr>
            <w:r>
              <w:rPr>
                <w:rFonts w:hint="eastAsia" w:asciiTheme="minorEastAsia" w:hAnsiTheme="minorEastAsia"/>
                <w:color w:val="00B0F0"/>
                <w:sz w:val="21"/>
                <w:szCs w:val="21"/>
              </w:rPr>
              <w:t>模块化机房基本情况：</w:t>
            </w:r>
          </w:p>
          <w:p w14:paraId="42AFACF6">
            <w:pPr>
              <w:rPr>
                <w:rFonts w:asciiTheme="minorEastAsia" w:hAnsiTheme="minorEastAsia"/>
                <w:color w:val="00B0F0"/>
                <w:sz w:val="21"/>
                <w:szCs w:val="21"/>
              </w:rPr>
            </w:pPr>
            <w:r>
              <w:rPr>
                <w:rFonts w:hint="eastAsia" w:asciiTheme="minorEastAsia" w:hAnsiTheme="minorEastAsia"/>
                <w:color w:val="00B0F0"/>
                <w:sz w:val="21"/>
                <w:szCs w:val="21"/>
              </w:rPr>
              <w:t>一、建筑面积：500平米。其中机房区域150平米（参观区40平米、工作区110平米，中间用玻璃隔断隔开）；办公区域：350平米（包括主任办公室、值班室、库房、大办公室、互联网医院办公室、远程会诊室等办公室）。</w:t>
            </w:r>
          </w:p>
          <w:p w14:paraId="3FDECC6C">
            <w:pPr>
              <w:rPr>
                <w:rFonts w:asciiTheme="minorEastAsia" w:hAnsiTheme="minorEastAsia"/>
                <w:color w:val="00B0F0"/>
                <w:sz w:val="21"/>
                <w:szCs w:val="21"/>
              </w:rPr>
            </w:pPr>
            <w:r>
              <w:rPr>
                <w:rFonts w:hint="eastAsia" w:asciiTheme="minorEastAsia" w:hAnsiTheme="minorEastAsia"/>
                <w:color w:val="00B0F0"/>
                <w:sz w:val="21"/>
                <w:szCs w:val="21"/>
              </w:rPr>
              <w:t>二、基本要求：</w:t>
            </w:r>
          </w:p>
          <w:p w14:paraId="1ACA500E">
            <w:pPr>
              <w:rPr>
                <w:rFonts w:asciiTheme="minorEastAsia" w:hAnsiTheme="minorEastAsia"/>
                <w:color w:val="00B0F0"/>
                <w:sz w:val="21"/>
                <w:szCs w:val="21"/>
              </w:rPr>
            </w:pPr>
            <w:r>
              <w:rPr>
                <w:rFonts w:hint="eastAsia" w:asciiTheme="minorEastAsia" w:hAnsiTheme="minorEastAsia"/>
                <w:color w:val="00B0F0"/>
                <w:sz w:val="21"/>
                <w:szCs w:val="21"/>
              </w:rPr>
              <w:t>1.医院确定机房建设的具体位置，按照“谁中标谁负责”的原则，中标方在此基础上进行机房的承重检测、承重符合性改造、消防达标以及其他相关的工程建设并提供专业机构的检测、合格证明。</w:t>
            </w:r>
          </w:p>
          <w:p w14:paraId="38FA7391">
            <w:pPr>
              <w:rPr>
                <w:rFonts w:asciiTheme="minorEastAsia" w:hAnsiTheme="minorEastAsia"/>
                <w:color w:val="00B0F0"/>
                <w:sz w:val="21"/>
                <w:szCs w:val="21"/>
              </w:rPr>
            </w:pPr>
            <w:r>
              <w:rPr>
                <w:rFonts w:hint="eastAsia" w:asciiTheme="minorEastAsia" w:hAnsiTheme="minorEastAsia"/>
                <w:color w:val="00B0F0"/>
                <w:sz w:val="21"/>
                <w:szCs w:val="21"/>
              </w:rPr>
              <w:t>2.中标方要对机房改扩建进行整体的设计和装饰装修并提供工作站必要的设施（办公室桌椅、教学设备、音响设备、展示大屏、移动示教屏等）。</w:t>
            </w:r>
          </w:p>
          <w:p w14:paraId="4F824DAA">
            <w:pPr>
              <w:rPr>
                <w:rFonts w:asciiTheme="minorEastAsia" w:hAnsiTheme="minorEastAsia"/>
                <w:color w:val="00B0F0"/>
                <w:sz w:val="21"/>
                <w:szCs w:val="21"/>
              </w:rPr>
            </w:pPr>
            <w:r>
              <w:rPr>
                <w:rFonts w:hint="eastAsia" w:asciiTheme="minorEastAsia" w:hAnsiTheme="minorEastAsia"/>
                <w:color w:val="00B0F0"/>
                <w:sz w:val="21"/>
                <w:szCs w:val="21"/>
              </w:rPr>
              <w:t>3.按照B级机房建设。</w:t>
            </w:r>
          </w:p>
          <w:p w14:paraId="7160A68C">
            <w:pPr>
              <w:rPr>
                <w:rFonts w:asciiTheme="minorEastAsia" w:hAnsiTheme="minorEastAsia"/>
                <w:color w:val="00B0F0"/>
                <w:sz w:val="21"/>
                <w:szCs w:val="21"/>
              </w:rPr>
            </w:pPr>
            <w:r>
              <w:rPr>
                <w:rFonts w:hint="eastAsia" w:asciiTheme="minorEastAsia" w:hAnsiTheme="minorEastAsia"/>
                <w:color w:val="00B0F0"/>
                <w:sz w:val="21"/>
                <w:szCs w:val="21"/>
              </w:rPr>
              <w:t>4.机房的电源电线要专线专用。</w:t>
            </w:r>
          </w:p>
          <w:p w14:paraId="39FC0B6F">
            <w:pPr>
              <w:rPr>
                <w:rFonts w:asciiTheme="minorEastAsia" w:hAnsiTheme="minorEastAsia"/>
                <w:color w:val="00B0F0"/>
                <w:sz w:val="21"/>
                <w:szCs w:val="21"/>
              </w:rPr>
            </w:pPr>
            <w:r>
              <w:rPr>
                <w:rFonts w:hint="eastAsia" w:asciiTheme="minorEastAsia" w:hAnsiTheme="minorEastAsia"/>
                <w:color w:val="00B0F0"/>
                <w:sz w:val="21"/>
                <w:szCs w:val="21"/>
              </w:rPr>
              <w:t>5.要出具消防合格报告；消防建设部分，要与本院消防系统联动；要增加氢气探测仪并与新风系统联动。</w:t>
            </w:r>
          </w:p>
          <w:p w14:paraId="50DD029E">
            <w:pPr>
              <w:rPr>
                <w:rFonts w:asciiTheme="minorEastAsia" w:hAnsiTheme="minorEastAsia"/>
                <w:color w:val="00B0F0"/>
                <w:sz w:val="21"/>
                <w:szCs w:val="21"/>
              </w:rPr>
            </w:pPr>
            <w:r>
              <w:rPr>
                <w:rFonts w:hint="eastAsia" w:asciiTheme="minorEastAsia" w:hAnsiTheme="minorEastAsia"/>
                <w:color w:val="00B0F0"/>
                <w:sz w:val="21"/>
                <w:szCs w:val="21"/>
              </w:rPr>
              <w:t>6.根据医院实际情况进行建设。</w:t>
            </w:r>
          </w:p>
        </w:tc>
      </w:tr>
      <w:tr w14:paraId="29CF4699">
        <w:tblPrEx>
          <w:tblCellMar>
            <w:top w:w="0" w:type="dxa"/>
            <w:left w:w="108" w:type="dxa"/>
            <w:bottom w:w="0" w:type="dxa"/>
            <w:right w:w="108" w:type="dxa"/>
          </w:tblCellMar>
        </w:tblPrEx>
        <w:trPr>
          <w:trHeight w:val="570" w:hRule="atLeast"/>
        </w:trPr>
        <w:tc>
          <w:tcPr>
            <w:tcW w:w="86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9D2483">
            <w:pPr>
              <w:widowControl/>
              <w:spacing w:line="240" w:lineRule="auto"/>
              <w:jc w:val="left"/>
              <w:rPr>
                <w:rFonts w:ascii="宋体" w:hAnsi="宋体" w:eastAsia="宋体" w:cs="Tahoma"/>
                <w:b/>
                <w:bCs/>
                <w:kern w:val="0"/>
                <w:sz w:val="21"/>
                <w:szCs w:val="21"/>
              </w:rPr>
            </w:pPr>
            <w:r>
              <w:rPr>
                <w:rFonts w:hint="eastAsia" w:ascii="宋体" w:hAnsi="宋体" w:eastAsia="宋体" w:cs="Tahoma"/>
                <w:b/>
                <w:bCs/>
                <w:kern w:val="0"/>
                <w:sz w:val="21"/>
                <w:szCs w:val="21"/>
              </w:rPr>
              <w:t>一、微模块供配电</w:t>
            </w:r>
          </w:p>
        </w:tc>
      </w:tr>
      <w:tr w14:paraId="43388801">
        <w:tblPrEx>
          <w:tblCellMar>
            <w:top w:w="0" w:type="dxa"/>
            <w:left w:w="108" w:type="dxa"/>
            <w:bottom w:w="0" w:type="dxa"/>
            <w:right w:w="108" w:type="dxa"/>
          </w:tblCellMar>
        </w:tblPrEx>
        <w:trPr>
          <w:trHeight w:val="39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19F30B06">
            <w:pPr>
              <w:widowControl/>
              <w:spacing w:line="240"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序号</w:t>
            </w:r>
          </w:p>
        </w:tc>
        <w:tc>
          <w:tcPr>
            <w:tcW w:w="1471" w:type="dxa"/>
            <w:tcBorders>
              <w:top w:val="nil"/>
              <w:left w:val="nil"/>
              <w:bottom w:val="single" w:color="auto" w:sz="4" w:space="0"/>
              <w:right w:val="single" w:color="auto" w:sz="4" w:space="0"/>
            </w:tcBorders>
            <w:shd w:val="clear" w:color="auto" w:fill="auto"/>
            <w:vAlign w:val="center"/>
          </w:tcPr>
          <w:p w14:paraId="6094A33C">
            <w:pPr>
              <w:widowControl/>
              <w:spacing w:line="240"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设备名称</w:t>
            </w:r>
          </w:p>
        </w:tc>
        <w:tc>
          <w:tcPr>
            <w:tcW w:w="5006" w:type="dxa"/>
            <w:tcBorders>
              <w:top w:val="nil"/>
              <w:left w:val="nil"/>
              <w:bottom w:val="single" w:color="auto" w:sz="4" w:space="0"/>
              <w:right w:val="single" w:color="auto" w:sz="4" w:space="0"/>
            </w:tcBorders>
            <w:shd w:val="clear" w:color="auto" w:fill="auto"/>
            <w:vAlign w:val="center"/>
          </w:tcPr>
          <w:p w14:paraId="0D55BDB7">
            <w:pPr>
              <w:widowControl/>
              <w:spacing w:line="240"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详细配置参数要求</w:t>
            </w:r>
          </w:p>
        </w:tc>
        <w:tc>
          <w:tcPr>
            <w:tcW w:w="708" w:type="dxa"/>
            <w:tcBorders>
              <w:top w:val="nil"/>
              <w:left w:val="nil"/>
              <w:bottom w:val="single" w:color="auto" w:sz="4" w:space="0"/>
              <w:right w:val="single" w:color="auto" w:sz="4" w:space="0"/>
            </w:tcBorders>
            <w:shd w:val="clear" w:color="auto" w:fill="auto"/>
            <w:vAlign w:val="center"/>
          </w:tcPr>
          <w:p w14:paraId="69314114">
            <w:pPr>
              <w:widowControl/>
              <w:spacing w:line="240"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单位</w:t>
            </w:r>
          </w:p>
        </w:tc>
        <w:tc>
          <w:tcPr>
            <w:tcW w:w="709" w:type="dxa"/>
            <w:tcBorders>
              <w:top w:val="nil"/>
              <w:left w:val="nil"/>
              <w:bottom w:val="single" w:color="auto" w:sz="4" w:space="0"/>
              <w:right w:val="single" w:color="auto" w:sz="4" w:space="0"/>
            </w:tcBorders>
            <w:shd w:val="clear" w:color="auto" w:fill="auto"/>
            <w:vAlign w:val="center"/>
          </w:tcPr>
          <w:p w14:paraId="3B5B7975">
            <w:pPr>
              <w:widowControl/>
              <w:spacing w:line="240"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数量</w:t>
            </w:r>
          </w:p>
        </w:tc>
      </w:tr>
      <w:tr w14:paraId="3B1D8326">
        <w:tblPrEx>
          <w:tblCellMar>
            <w:top w:w="0" w:type="dxa"/>
            <w:left w:w="108" w:type="dxa"/>
            <w:bottom w:w="0" w:type="dxa"/>
            <w:right w:w="108" w:type="dxa"/>
          </w:tblCellMar>
        </w:tblPrEx>
        <w:trPr>
          <w:trHeight w:val="1185"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3AEBEF1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471" w:type="dxa"/>
            <w:tcBorders>
              <w:top w:val="nil"/>
              <w:left w:val="nil"/>
              <w:bottom w:val="single" w:color="auto" w:sz="4" w:space="0"/>
              <w:right w:val="single" w:color="auto" w:sz="4" w:space="0"/>
            </w:tcBorders>
            <w:shd w:val="clear" w:color="auto" w:fill="auto"/>
            <w:vAlign w:val="center"/>
          </w:tcPr>
          <w:p w14:paraId="1866220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综合配电柜</w:t>
            </w:r>
          </w:p>
        </w:tc>
        <w:tc>
          <w:tcPr>
            <w:tcW w:w="5006" w:type="dxa"/>
            <w:tcBorders>
              <w:top w:val="nil"/>
              <w:left w:val="nil"/>
              <w:bottom w:val="single" w:color="auto" w:sz="4" w:space="0"/>
              <w:right w:val="single" w:color="auto" w:sz="4" w:space="0"/>
            </w:tcBorders>
            <w:shd w:val="clear" w:color="auto" w:fill="auto"/>
            <w:vAlign w:val="center"/>
          </w:tcPr>
          <w:p w14:paraId="6A6F1996">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尺寸</w:t>
            </w:r>
            <w:r>
              <w:rPr>
                <w:rFonts w:hint="eastAsia" w:ascii="宋体" w:hAnsi="宋体"/>
                <w:sz w:val="21"/>
              </w:rPr>
              <w:t>≥</w:t>
            </w:r>
            <w:r>
              <w:rPr>
                <w:rFonts w:hint="eastAsia" w:ascii="宋体" w:hAnsi="宋体" w:eastAsia="宋体" w:cs="Tahoma"/>
                <w:kern w:val="0"/>
                <w:sz w:val="21"/>
                <w:szCs w:val="21"/>
              </w:rPr>
              <w:t>400*600*2000；市电输入</w:t>
            </w:r>
            <w:r>
              <w:rPr>
                <w:rFonts w:hint="eastAsia" w:ascii="宋体" w:hAnsi="宋体"/>
                <w:sz w:val="21"/>
              </w:rPr>
              <w:t>≥</w:t>
            </w:r>
            <w:r>
              <w:rPr>
                <w:rFonts w:hint="eastAsia" w:ascii="宋体" w:hAnsi="宋体" w:eastAsia="宋体" w:cs="Tahoma"/>
                <w:kern w:val="0"/>
                <w:sz w:val="21"/>
                <w:szCs w:val="21"/>
              </w:rPr>
              <w:t>1*200A/3P；市电输出</w:t>
            </w:r>
            <w:r>
              <w:rPr>
                <w:rFonts w:hint="eastAsia" w:ascii="宋体" w:hAnsi="宋体"/>
                <w:sz w:val="21"/>
              </w:rPr>
              <w:t>≥</w:t>
            </w:r>
            <w:r>
              <w:rPr>
                <w:rFonts w:hint="eastAsia" w:ascii="宋体" w:hAnsi="宋体" w:eastAsia="宋体" w:cs="Tahoma"/>
                <w:kern w:val="0"/>
                <w:sz w:val="21"/>
                <w:szCs w:val="21"/>
              </w:rPr>
              <w:t>1*125A/3P（主路）； UPS输入</w:t>
            </w:r>
            <w:r>
              <w:rPr>
                <w:rFonts w:hint="eastAsia" w:ascii="宋体" w:hAnsi="宋体"/>
                <w:sz w:val="21"/>
              </w:rPr>
              <w:t>≥</w:t>
            </w:r>
            <w:r>
              <w:rPr>
                <w:rFonts w:hint="eastAsia" w:ascii="宋体" w:hAnsi="宋体" w:eastAsia="宋体" w:cs="Tahoma"/>
                <w:kern w:val="0"/>
                <w:sz w:val="21"/>
                <w:szCs w:val="21"/>
              </w:rPr>
              <w:t>125A/3P，输出 30*32A/P；</w:t>
            </w:r>
          </w:p>
          <w:p w14:paraId="27D972D2">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C级防雷，采用优质断路器，含智能电表。</w:t>
            </w:r>
          </w:p>
        </w:tc>
        <w:tc>
          <w:tcPr>
            <w:tcW w:w="708" w:type="dxa"/>
            <w:tcBorders>
              <w:top w:val="nil"/>
              <w:left w:val="nil"/>
              <w:bottom w:val="single" w:color="auto" w:sz="4" w:space="0"/>
              <w:right w:val="single" w:color="auto" w:sz="4" w:space="0"/>
            </w:tcBorders>
            <w:shd w:val="clear" w:color="auto" w:fill="auto"/>
            <w:vAlign w:val="center"/>
          </w:tcPr>
          <w:p w14:paraId="7CC8485A">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6E60A6C8">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7AB6BD52">
        <w:tblPrEx>
          <w:tblCellMar>
            <w:top w:w="0" w:type="dxa"/>
            <w:left w:w="108" w:type="dxa"/>
            <w:bottom w:w="0" w:type="dxa"/>
            <w:right w:w="108" w:type="dxa"/>
          </w:tblCellMar>
        </w:tblPrEx>
        <w:trPr>
          <w:trHeight w:val="3323"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08E2C54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471" w:type="dxa"/>
            <w:tcBorders>
              <w:top w:val="nil"/>
              <w:left w:val="nil"/>
              <w:bottom w:val="single" w:color="auto" w:sz="4" w:space="0"/>
              <w:right w:val="single" w:color="auto" w:sz="4" w:space="0"/>
            </w:tcBorders>
            <w:shd w:val="clear" w:color="auto" w:fill="auto"/>
            <w:vAlign w:val="center"/>
          </w:tcPr>
          <w:p w14:paraId="781247D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不间断电源UPS</w:t>
            </w:r>
          </w:p>
        </w:tc>
        <w:tc>
          <w:tcPr>
            <w:tcW w:w="5006" w:type="dxa"/>
            <w:tcBorders>
              <w:top w:val="nil"/>
              <w:left w:val="nil"/>
              <w:bottom w:val="single" w:color="auto" w:sz="4" w:space="0"/>
              <w:right w:val="single" w:color="auto" w:sz="4" w:space="0"/>
            </w:tcBorders>
            <w:shd w:val="clear" w:color="auto" w:fill="auto"/>
            <w:vAlign w:val="center"/>
          </w:tcPr>
          <w:p w14:paraId="2A213B81">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1.功率为</w:t>
            </w:r>
            <w:r>
              <w:rPr>
                <w:rFonts w:hint="eastAsia" w:ascii="宋体" w:hAnsi="宋体"/>
                <w:sz w:val="21"/>
              </w:rPr>
              <w:t>≥</w:t>
            </w:r>
            <w:r>
              <w:rPr>
                <w:rFonts w:hint="eastAsia" w:ascii="宋体" w:hAnsi="宋体" w:eastAsia="宋体" w:cs="Tahoma"/>
                <w:kern w:val="0"/>
                <w:sz w:val="21"/>
                <w:szCs w:val="21"/>
              </w:rPr>
              <w:t>60kVA，主机尺寸（宽×深×高）≤400×960×1200。</w:t>
            </w:r>
            <w:r>
              <w:rPr>
                <w:rFonts w:hint="eastAsia" w:ascii="宋体" w:hAnsi="宋体" w:eastAsia="宋体" w:cs="Tahoma"/>
                <w:kern w:val="0"/>
                <w:sz w:val="21"/>
                <w:szCs w:val="21"/>
              </w:rPr>
              <w:br w:type="textWrapping"/>
            </w:r>
            <w:r>
              <w:rPr>
                <w:rFonts w:hint="eastAsia" w:ascii="宋体" w:hAnsi="宋体" w:eastAsia="宋体" w:cs="Tahoma"/>
                <w:kern w:val="0"/>
                <w:sz w:val="21"/>
                <w:szCs w:val="21"/>
              </w:rPr>
              <w:t>2.输入电压范围：线电压（L-L）138Vac~485Vac 或相电压（L-N）80Vac～280Vac。</w:t>
            </w:r>
            <w:r>
              <w:rPr>
                <w:rFonts w:hint="eastAsia" w:ascii="宋体" w:hAnsi="宋体" w:eastAsia="宋体" w:cs="Tahoma"/>
                <w:kern w:val="0"/>
                <w:sz w:val="21"/>
                <w:szCs w:val="21"/>
              </w:rPr>
              <w:br w:type="textWrapping"/>
            </w:r>
            <w:r>
              <w:rPr>
                <w:rFonts w:hint="eastAsia" w:ascii="宋体" w:hAnsi="宋体" w:eastAsia="宋体" w:cs="Tahoma"/>
                <w:kern w:val="0"/>
                <w:sz w:val="21"/>
                <w:szCs w:val="21"/>
              </w:rPr>
              <w:t>3.最高输入功率因数：100%非线性负载≥0.99，整机UPS最高效率≥97%。</w:t>
            </w:r>
            <w:r>
              <w:rPr>
                <w:rFonts w:hint="eastAsia" w:ascii="宋体" w:hAnsi="宋体" w:eastAsia="宋体" w:cs="Tahoma"/>
                <w:kern w:val="0"/>
                <w:sz w:val="21"/>
                <w:szCs w:val="21"/>
              </w:rPr>
              <w:br w:type="textWrapping"/>
            </w:r>
            <w:r>
              <w:rPr>
                <w:rFonts w:hint="eastAsia" w:ascii="宋体" w:hAnsi="宋体" w:eastAsia="宋体" w:cs="Tahoma"/>
                <w:kern w:val="0"/>
                <w:sz w:val="21"/>
                <w:szCs w:val="21"/>
              </w:rPr>
              <w:t>4.电池电压：电池电压可调节范围应满足：±168～±288V。</w:t>
            </w:r>
            <w:r>
              <w:rPr>
                <w:rFonts w:hint="eastAsia" w:ascii="宋体" w:hAnsi="宋体" w:eastAsia="宋体" w:cs="Tahoma"/>
                <w:kern w:val="0"/>
                <w:sz w:val="21"/>
                <w:szCs w:val="21"/>
              </w:rPr>
              <w:br w:type="textWrapping"/>
            </w:r>
            <w:r>
              <w:rPr>
                <w:rFonts w:hint="eastAsia" w:ascii="宋体" w:hAnsi="宋体" w:eastAsia="宋体" w:cs="Tahoma"/>
                <w:kern w:val="0"/>
                <w:sz w:val="21"/>
                <w:szCs w:val="21"/>
              </w:rPr>
              <w:t>5.配LCD触摸屏，具有组合按键及LED指示灯的人机交互功能，操作界面具有双键组合开关机设计，主机开机/关机必须同时按ON双键组合键，确保当触摸屏失效时依然可以进行开关机操作。</w:t>
            </w:r>
          </w:p>
        </w:tc>
        <w:tc>
          <w:tcPr>
            <w:tcW w:w="708" w:type="dxa"/>
            <w:tcBorders>
              <w:top w:val="nil"/>
              <w:left w:val="nil"/>
              <w:bottom w:val="single" w:color="auto" w:sz="4" w:space="0"/>
              <w:right w:val="single" w:color="auto" w:sz="4" w:space="0"/>
            </w:tcBorders>
            <w:shd w:val="clear" w:color="auto" w:fill="auto"/>
            <w:vAlign w:val="center"/>
          </w:tcPr>
          <w:p w14:paraId="3D34A41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13DCA2D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3C5B5D13">
        <w:tblPrEx>
          <w:tblCellMar>
            <w:top w:w="0" w:type="dxa"/>
            <w:left w:w="108" w:type="dxa"/>
            <w:bottom w:w="0" w:type="dxa"/>
            <w:right w:w="108" w:type="dxa"/>
          </w:tblCellMar>
        </w:tblPrEx>
        <w:trPr>
          <w:trHeight w:val="108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31796A6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471" w:type="dxa"/>
            <w:tcBorders>
              <w:top w:val="nil"/>
              <w:left w:val="nil"/>
              <w:bottom w:val="single" w:color="auto" w:sz="4" w:space="0"/>
              <w:right w:val="single" w:color="auto" w:sz="4" w:space="0"/>
            </w:tcBorders>
            <w:shd w:val="clear" w:color="auto" w:fill="auto"/>
            <w:vAlign w:val="center"/>
          </w:tcPr>
          <w:p w14:paraId="6ABAFAFE">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蓄电池</w:t>
            </w:r>
          </w:p>
        </w:tc>
        <w:tc>
          <w:tcPr>
            <w:tcW w:w="5006" w:type="dxa"/>
            <w:tcBorders>
              <w:top w:val="nil"/>
              <w:left w:val="nil"/>
              <w:bottom w:val="single" w:color="auto" w:sz="4" w:space="0"/>
              <w:right w:val="single" w:color="auto" w:sz="4" w:space="0"/>
            </w:tcBorders>
            <w:shd w:val="clear" w:color="auto" w:fill="auto"/>
            <w:vAlign w:val="center"/>
          </w:tcPr>
          <w:p w14:paraId="5C6F30A2">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100AH/12V，铅酸蓄电池；电池类型：阀控式铅酸免维护；采用足量电池，电池重量≥28 KG；</w:t>
            </w:r>
          </w:p>
          <w:p w14:paraId="1812F610">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工作温度范围：放电：-15 ～ 50℃ / 充电：0 ～ 40℃ / 贮存：5 ～ 40℃</w:t>
            </w:r>
          </w:p>
        </w:tc>
        <w:tc>
          <w:tcPr>
            <w:tcW w:w="708" w:type="dxa"/>
            <w:tcBorders>
              <w:top w:val="nil"/>
              <w:left w:val="nil"/>
              <w:bottom w:val="single" w:color="auto" w:sz="4" w:space="0"/>
              <w:right w:val="single" w:color="auto" w:sz="4" w:space="0"/>
            </w:tcBorders>
            <w:shd w:val="clear" w:color="auto" w:fill="auto"/>
            <w:vAlign w:val="center"/>
          </w:tcPr>
          <w:p w14:paraId="087D4D3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节</w:t>
            </w:r>
          </w:p>
        </w:tc>
        <w:tc>
          <w:tcPr>
            <w:tcW w:w="709" w:type="dxa"/>
            <w:tcBorders>
              <w:top w:val="nil"/>
              <w:left w:val="nil"/>
              <w:bottom w:val="single" w:color="auto" w:sz="4" w:space="0"/>
              <w:right w:val="single" w:color="auto" w:sz="4" w:space="0"/>
            </w:tcBorders>
            <w:shd w:val="clear" w:color="auto" w:fill="auto"/>
            <w:vAlign w:val="center"/>
          </w:tcPr>
          <w:p w14:paraId="55544AD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96</w:t>
            </w:r>
          </w:p>
        </w:tc>
      </w:tr>
      <w:tr w14:paraId="2BE945E5">
        <w:tblPrEx>
          <w:tblCellMar>
            <w:top w:w="0" w:type="dxa"/>
            <w:left w:w="108" w:type="dxa"/>
            <w:bottom w:w="0" w:type="dxa"/>
            <w:right w:w="108" w:type="dxa"/>
          </w:tblCellMar>
        </w:tblPrEx>
        <w:trPr>
          <w:trHeight w:val="615"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6D1942A9">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c>
          <w:tcPr>
            <w:tcW w:w="1471" w:type="dxa"/>
            <w:tcBorders>
              <w:top w:val="nil"/>
              <w:left w:val="nil"/>
              <w:bottom w:val="single" w:color="auto" w:sz="4" w:space="0"/>
              <w:right w:val="single" w:color="auto" w:sz="4" w:space="0"/>
            </w:tcBorders>
            <w:shd w:val="clear" w:color="auto" w:fill="auto"/>
            <w:vAlign w:val="center"/>
          </w:tcPr>
          <w:p w14:paraId="4E20692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电池架</w:t>
            </w:r>
          </w:p>
        </w:tc>
        <w:tc>
          <w:tcPr>
            <w:tcW w:w="5006" w:type="dxa"/>
            <w:tcBorders>
              <w:top w:val="nil"/>
              <w:left w:val="nil"/>
              <w:bottom w:val="single" w:color="auto" w:sz="4" w:space="0"/>
              <w:right w:val="single" w:color="auto" w:sz="4" w:space="0"/>
            </w:tcBorders>
            <w:shd w:val="clear" w:color="auto" w:fill="auto"/>
            <w:vAlign w:val="center"/>
          </w:tcPr>
          <w:p w14:paraId="7A3D8AD6">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每组可以放32节12V100Ah电池摆放要求</w:t>
            </w:r>
          </w:p>
        </w:tc>
        <w:tc>
          <w:tcPr>
            <w:tcW w:w="708" w:type="dxa"/>
            <w:tcBorders>
              <w:top w:val="nil"/>
              <w:left w:val="nil"/>
              <w:bottom w:val="single" w:color="auto" w:sz="4" w:space="0"/>
              <w:right w:val="single" w:color="auto" w:sz="4" w:space="0"/>
            </w:tcBorders>
            <w:shd w:val="clear" w:color="auto" w:fill="auto"/>
            <w:vAlign w:val="center"/>
          </w:tcPr>
          <w:p w14:paraId="3E07BD2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709" w:type="dxa"/>
            <w:tcBorders>
              <w:top w:val="nil"/>
              <w:left w:val="nil"/>
              <w:bottom w:val="single" w:color="auto" w:sz="4" w:space="0"/>
              <w:right w:val="single" w:color="auto" w:sz="4" w:space="0"/>
            </w:tcBorders>
            <w:shd w:val="clear" w:color="auto" w:fill="auto"/>
            <w:vAlign w:val="center"/>
          </w:tcPr>
          <w:p w14:paraId="37F93BB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r>
      <w:tr w14:paraId="4CA79A76">
        <w:tblPrEx>
          <w:tblCellMar>
            <w:top w:w="0" w:type="dxa"/>
            <w:left w:w="108" w:type="dxa"/>
            <w:bottom w:w="0" w:type="dxa"/>
            <w:right w:w="108" w:type="dxa"/>
          </w:tblCellMar>
        </w:tblPrEx>
        <w:trPr>
          <w:trHeight w:val="848"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00867B5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5</w:t>
            </w:r>
          </w:p>
        </w:tc>
        <w:tc>
          <w:tcPr>
            <w:tcW w:w="1471" w:type="dxa"/>
            <w:tcBorders>
              <w:top w:val="nil"/>
              <w:left w:val="nil"/>
              <w:bottom w:val="single" w:color="auto" w:sz="4" w:space="0"/>
              <w:right w:val="single" w:color="auto" w:sz="4" w:space="0"/>
            </w:tcBorders>
            <w:shd w:val="clear" w:color="auto" w:fill="auto"/>
            <w:vAlign w:val="center"/>
          </w:tcPr>
          <w:p w14:paraId="3D6710D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电池开关箱</w:t>
            </w:r>
          </w:p>
        </w:tc>
        <w:tc>
          <w:tcPr>
            <w:tcW w:w="5006" w:type="dxa"/>
            <w:tcBorders>
              <w:top w:val="nil"/>
              <w:left w:val="nil"/>
              <w:bottom w:val="single" w:color="auto" w:sz="4" w:space="0"/>
              <w:right w:val="single" w:color="auto" w:sz="4" w:space="0"/>
            </w:tcBorders>
            <w:shd w:val="clear" w:color="auto" w:fill="auto"/>
            <w:vAlign w:val="center"/>
          </w:tcPr>
          <w:p w14:paraId="2BCB9ADB">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UPS直流开关，电池汇流开关，200A/3P 1个直流断路器；电池分组开关，100A/3P 3个直流断路器；</w:t>
            </w:r>
          </w:p>
        </w:tc>
        <w:tc>
          <w:tcPr>
            <w:tcW w:w="708" w:type="dxa"/>
            <w:tcBorders>
              <w:top w:val="nil"/>
              <w:left w:val="nil"/>
              <w:bottom w:val="single" w:color="auto" w:sz="4" w:space="0"/>
              <w:right w:val="single" w:color="auto" w:sz="4" w:space="0"/>
            </w:tcBorders>
            <w:shd w:val="clear" w:color="auto" w:fill="auto"/>
            <w:vAlign w:val="center"/>
          </w:tcPr>
          <w:p w14:paraId="114E0DEA">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4557A70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6913F6F3">
        <w:tblPrEx>
          <w:tblCellMar>
            <w:top w:w="0" w:type="dxa"/>
            <w:left w:w="108" w:type="dxa"/>
            <w:bottom w:w="0" w:type="dxa"/>
            <w:right w:w="108" w:type="dxa"/>
          </w:tblCellMar>
        </w:tblPrEx>
        <w:trPr>
          <w:trHeight w:val="473" w:hRule="atLeast"/>
        </w:trPr>
        <w:tc>
          <w:tcPr>
            <w:tcW w:w="864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75528B08">
            <w:pPr>
              <w:widowControl/>
              <w:spacing w:line="240" w:lineRule="auto"/>
              <w:jc w:val="left"/>
              <w:rPr>
                <w:rFonts w:ascii="宋体" w:hAnsi="宋体" w:eastAsia="宋体" w:cs="Tahoma"/>
                <w:b/>
                <w:bCs/>
                <w:kern w:val="0"/>
                <w:sz w:val="21"/>
                <w:szCs w:val="21"/>
              </w:rPr>
            </w:pPr>
            <w:r>
              <w:rPr>
                <w:rFonts w:hint="eastAsia" w:ascii="宋体" w:hAnsi="宋体" w:eastAsia="宋体" w:cs="Tahoma"/>
                <w:b/>
                <w:bCs/>
                <w:kern w:val="0"/>
                <w:sz w:val="21"/>
                <w:szCs w:val="21"/>
              </w:rPr>
              <w:t>二、空调系统</w:t>
            </w:r>
          </w:p>
        </w:tc>
      </w:tr>
      <w:tr w14:paraId="425EACAD">
        <w:tblPrEx>
          <w:tblCellMar>
            <w:top w:w="0" w:type="dxa"/>
            <w:left w:w="108" w:type="dxa"/>
            <w:bottom w:w="0" w:type="dxa"/>
            <w:right w:w="108" w:type="dxa"/>
          </w:tblCellMar>
        </w:tblPrEx>
        <w:trPr>
          <w:trHeight w:val="459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58E29EB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471" w:type="dxa"/>
            <w:tcBorders>
              <w:top w:val="nil"/>
              <w:left w:val="nil"/>
              <w:bottom w:val="single" w:color="auto" w:sz="4" w:space="0"/>
              <w:right w:val="single" w:color="auto" w:sz="4" w:space="0"/>
            </w:tcBorders>
            <w:shd w:val="clear" w:color="auto" w:fill="auto"/>
            <w:vAlign w:val="center"/>
          </w:tcPr>
          <w:p w14:paraId="2E3B39EA">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列间精密空调</w:t>
            </w:r>
          </w:p>
        </w:tc>
        <w:tc>
          <w:tcPr>
            <w:tcW w:w="5006" w:type="dxa"/>
            <w:tcBorders>
              <w:top w:val="nil"/>
              <w:left w:val="nil"/>
              <w:bottom w:val="single" w:color="auto" w:sz="4" w:space="0"/>
              <w:right w:val="single" w:color="auto" w:sz="4" w:space="0"/>
            </w:tcBorders>
            <w:shd w:val="clear" w:color="auto" w:fill="auto"/>
            <w:vAlign w:val="center"/>
          </w:tcPr>
          <w:p w14:paraId="426AC678">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1、制冷量≥25KW，风量≥5000m3/h，风机数量≥6个；</w:t>
            </w:r>
            <w:r>
              <w:rPr>
                <w:rFonts w:hint="eastAsia" w:ascii="宋体" w:hAnsi="宋体" w:eastAsia="宋体" w:cs="Tahoma"/>
                <w:kern w:val="0"/>
                <w:sz w:val="21"/>
                <w:szCs w:val="21"/>
              </w:rPr>
              <w:br w:type="textWrapping"/>
            </w:r>
            <w:r>
              <w:rPr>
                <w:rFonts w:hint="eastAsia" w:ascii="宋体" w:hAnsi="宋体" w:eastAsia="宋体" w:cs="Tahoma"/>
                <w:kern w:val="0"/>
                <w:sz w:val="21"/>
                <w:szCs w:val="21"/>
              </w:rPr>
              <w:t xml:space="preserve">2、输入电压允许波动范围：380V±15%，频率：50Hz±2Hz；                              </w:t>
            </w:r>
            <w:r>
              <w:rPr>
                <w:rFonts w:hint="eastAsia" w:ascii="宋体" w:hAnsi="宋体" w:eastAsia="宋体" w:cs="Tahoma"/>
                <w:kern w:val="0"/>
                <w:sz w:val="21"/>
                <w:szCs w:val="21"/>
              </w:rPr>
              <w:br w:type="textWrapping"/>
            </w:r>
            <w:r>
              <w:rPr>
                <w:rFonts w:hint="eastAsia" w:ascii="宋体" w:hAnsi="宋体" w:eastAsia="宋体" w:cs="Tahoma"/>
                <w:kern w:val="0"/>
                <w:sz w:val="21"/>
                <w:szCs w:val="21"/>
              </w:rPr>
              <w:t>3、温度调节范围：+18℃~+45℃，度调节精度：±1℃ ，温度变化率&lt;5℃/小时，湿度调节范围：20%~80%RH；</w:t>
            </w:r>
            <w:r>
              <w:rPr>
                <w:rFonts w:hint="eastAsia" w:ascii="宋体" w:hAnsi="宋体" w:eastAsia="宋体" w:cs="Tahoma"/>
                <w:kern w:val="0"/>
                <w:sz w:val="21"/>
                <w:szCs w:val="21"/>
              </w:rPr>
              <w:br w:type="textWrapping"/>
            </w:r>
            <w:r>
              <w:rPr>
                <w:rFonts w:hint="eastAsia" w:ascii="宋体" w:hAnsi="宋体" w:eastAsia="宋体" w:cs="Tahoma"/>
                <w:kern w:val="0"/>
                <w:sz w:val="21"/>
                <w:szCs w:val="21"/>
              </w:rPr>
              <w:t>4、加湿功能，风量需5000m3/h，加湿量需≥3kg/h</w:t>
            </w:r>
            <w:r>
              <w:rPr>
                <w:rFonts w:hint="eastAsia" w:ascii="宋体" w:hAnsi="宋体" w:eastAsia="宋体" w:cs="Tahoma"/>
                <w:kern w:val="0"/>
                <w:sz w:val="21"/>
                <w:szCs w:val="21"/>
              </w:rPr>
              <w:br w:type="textWrapping"/>
            </w:r>
            <w:r>
              <w:rPr>
                <w:rFonts w:hint="eastAsia" w:ascii="宋体" w:hAnsi="宋体" w:eastAsia="宋体" w:cs="Tahoma"/>
                <w:kern w:val="0"/>
                <w:sz w:val="21"/>
                <w:szCs w:val="21"/>
              </w:rPr>
              <w:t xml:space="preserve">5、要求采用直流变频压缩机，要求压缩机具有较高的能效比，且冷量输出可实现20%-100%连续调节。                                                                        </w:t>
            </w:r>
            <w:r>
              <w:rPr>
                <w:rFonts w:hint="eastAsia" w:ascii="宋体" w:hAnsi="宋体" w:eastAsia="宋体" w:cs="Tahoma"/>
                <w:kern w:val="0"/>
                <w:sz w:val="21"/>
                <w:szCs w:val="21"/>
              </w:rPr>
              <w:br w:type="textWrapping"/>
            </w:r>
            <w:r>
              <w:rPr>
                <w:rFonts w:hint="eastAsia" w:ascii="宋体" w:hAnsi="宋体" w:eastAsia="宋体" w:cs="Tahoma"/>
                <w:kern w:val="0"/>
                <w:sz w:val="21"/>
                <w:szCs w:val="21"/>
              </w:rPr>
              <w:t xml:space="preserve">6、 精密空调应具备群控、智能轮询、轻载除湿、掉电记忆、来电重启等功能                                                                           </w:t>
            </w:r>
            <w:r>
              <w:rPr>
                <w:rFonts w:hint="eastAsia" w:ascii="宋体" w:hAnsi="宋体" w:eastAsia="宋体" w:cs="Tahoma"/>
                <w:kern w:val="0"/>
                <w:sz w:val="21"/>
                <w:szCs w:val="21"/>
              </w:rPr>
              <w:br w:type="textWrapping"/>
            </w:r>
            <w:r>
              <w:rPr>
                <w:rFonts w:hint="eastAsia" w:ascii="宋体" w:hAnsi="宋体" w:eastAsia="宋体" w:cs="Tahoma"/>
                <w:kern w:val="0"/>
                <w:sz w:val="21"/>
                <w:szCs w:val="21"/>
              </w:rPr>
              <w:t xml:space="preserve">7、具有7吋LCD大屏幕全触摸中文显示器，能显示温湿度曲线，具有图形显示机组内各组件的运行状态的功能；                 </w:t>
            </w:r>
            <w:r>
              <w:rPr>
                <w:rFonts w:hint="eastAsia" w:ascii="宋体" w:hAnsi="宋体" w:eastAsia="宋体" w:cs="Tahoma"/>
                <w:kern w:val="0"/>
                <w:sz w:val="21"/>
                <w:szCs w:val="21"/>
              </w:rPr>
              <w:br w:type="textWrapping"/>
            </w:r>
            <w:r>
              <w:rPr>
                <w:rFonts w:hint="eastAsia" w:ascii="宋体" w:hAnsi="宋体" w:eastAsia="宋体" w:cs="Tahoma"/>
                <w:kern w:val="0"/>
                <w:sz w:val="21"/>
                <w:szCs w:val="21"/>
              </w:rPr>
              <w:t>8、应具有大容量的故障报警记录储存的功能，存储历史告警信息不小于500条；</w:t>
            </w:r>
          </w:p>
        </w:tc>
        <w:tc>
          <w:tcPr>
            <w:tcW w:w="708" w:type="dxa"/>
            <w:tcBorders>
              <w:top w:val="nil"/>
              <w:left w:val="nil"/>
              <w:bottom w:val="single" w:color="auto" w:sz="4" w:space="0"/>
              <w:right w:val="single" w:color="auto" w:sz="4" w:space="0"/>
            </w:tcBorders>
            <w:shd w:val="clear" w:color="auto" w:fill="auto"/>
            <w:vAlign w:val="center"/>
          </w:tcPr>
          <w:p w14:paraId="791DC6D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4C2C95FD">
            <w:pPr>
              <w:widowControl/>
              <w:spacing w:line="240"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3</w:t>
            </w:r>
          </w:p>
        </w:tc>
      </w:tr>
      <w:tr w14:paraId="6618DAFD">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7801BE54">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471" w:type="dxa"/>
            <w:tcBorders>
              <w:top w:val="nil"/>
              <w:left w:val="nil"/>
              <w:bottom w:val="single" w:color="auto" w:sz="4" w:space="0"/>
              <w:right w:val="single" w:color="auto" w:sz="4" w:space="0"/>
            </w:tcBorders>
            <w:shd w:val="clear" w:color="auto" w:fill="auto"/>
            <w:vAlign w:val="bottom"/>
          </w:tcPr>
          <w:p w14:paraId="6CA612A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延长组件</w:t>
            </w:r>
          </w:p>
        </w:tc>
        <w:tc>
          <w:tcPr>
            <w:tcW w:w="5006" w:type="dxa"/>
            <w:tcBorders>
              <w:top w:val="nil"/>
              <w:left w:val="nil"/>
              <w:bottom w:val="single" w:color="auto" w:sz="4" w:space="0"/>
              <w:right w:val="single" w:color="auto" w:sz="4" w:space="0"/>
            </w:tcBorders>
            <w:shd w:val="clear" w:color="auto" w:fill="auto"/>
            <w:vAlign w:val="bottom"/>
          </w:tcPr>
          <w:p w14:paraId="18819D58">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空调配件、延长组件</w:t>
            </w:r>
          </w:p>
        </w:tc>
        <w:tc>
          <w:tcPr>
            <w:tcW w:w="708" w:type="dxa"/>
            <w:tcBorders>
              <w:top w:val="nil"/>
              <w:left w:val="nil"/>
              <w:bottom w:val="single" w:color="auto" w:sz="4" w:space="0"/>
              <w:right w:val="single" w:color="auto" w:sz="4" w:space="0"/>
            </w:tcBorders>
            <w:shd w:val="clear" w:color="auto" w:fill="auto"/>
            <w:vAlign w:val="bottom"/>
          </w:tcPr>
          <w:p w14:paraId="41BE515C">
            <w:pPr>
              <w:widowControl/>
              <w:spacing w:line="240"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台</w:t>
            </w:r>
          </w:p>
        </w:tc>
        <w:tc>
          <w:tcPr>
            <w:tcW w:w="709" w:type="dxa"/>
            <w:tcBorders>
              <w:top w:val="nil"/>
              <w:left w:val="nil"/>
              <w:bottom w:val="single" w:color="auto" w:sz="4" w:space="0"/>
              <w:right w:val="single" w:color="auto" w:sz="4" w:space="0"/>
            </w:tcBorders>
            <w:shd w:val="clear" w:color="auto" w:fill="auto"/>
            <w:vAlign w:val="bottom"/>
          </w:tcPr>
          <w:p w14:paraId="0411C2BB">
            <w:pPr>
              <w:widowControl/>
              <w:spacing w:line="240"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1</w:t>
            </w:r>
          </w:p>
        </w:tc>
      </w:tr>
      <w:tr w14:paraId="5404786C">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49BC952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471" w:type="dxa"/>
            <w:tcBorders>
              <w:top w:val="nil"/>
              <w:left w:val="nil"/>
              <w:bottom w:val="single" w:color="auto" w:sz="4" w:space="0"/>
              <w:right w:val="single" w:color="auto" w:sz="4" w:space="0"/>
            </w:tcBorders>
            <w:shd w:val="clear" w:color="auto" w:fill="auto"/>
            <w:vAlign w:val="bottom"/>
          </w:tcPr>
          <w:p w14:paraId="024B6249">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低温组件</w:t>
            </w:r>
          </w:p>
        </w:tc>
        <w:tc>
          <w:tcPr>
            <w:tcW w:w="5006" w:type="dxa"/>
            <w:tcBorders>
              <w:top w:val="nil"/>
              <w:left w:val="nil"/>
              <w:bottom w:val="single" w:color="auto" w:sz="4" w:space="0"/>
              <w:right w:val="single" w:color="auto" w:sz="4" w:space="0"/>
            </w:tcBorders>
            <w:shd w:val="clear" w:color="auto" w:fill="auto"/>
            <w:vAlign w:val="bottom"/>
          </w:tcPr>
          <w:p w14:paraId="34CDD58E">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低温组件</w:t>
            </w:r>
          </w:p>
        </w:tc>
        <w:tc>
          <w:tcPr>
            <w:tcW w:w="708" w:type="dxa"/>
            <w:tcBorders>
              <w:top w:val="nil"/>
              <w:left w:val="nil"/>
              <w:bottom w:val="single" w:color="auto" w:sz="4" w:space="0"/>
              <w:right w:val="single" w:color="auto" w:sz="4" w:space="0"/>
            </w:tcBorders>
            <w:shd w:val="clear" w:color="auto" w:fill="auto"/>
            <w:vAlign w:val="bottom"/>
          </w:tcPr>
          <w:p w14:paraId="53C78A1E">
            <w:pPr>
              <w:widowControl/>
              <w:spacing w:line="240"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台</w:t>
            </w:r>
          </w:p>
        </w:tc>
        <w:tc>
          <w:tcPr>
            <w:tcW w:w="709" w:type="dxa"/>
            <w:tcBorders>
              <w:top w:val="nil"/>
              <w:left w:val="nil"/>
              <w:bottom w:val="single" w:color="auto" w:sz="4" w:space="0"/>
              <w:right w:val="single" w:color="auto" w:sz="4" w:space="0"/>
            </w:tcBorders>
            <w:shd w:val="clear" w:color="auto" w:fill="auto"/>
            <w:vAlign w:val="bottom"/>
          </w:tcPr>
          <w:p w14:paraId="3E0E2ED9">
            <w:pPr>
              <w:widowControl/>
              <w:spacing w:line="240"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1</w:t>
            </w:r>
          </w:p>
        </w:tc>
      </w:tr>
      <w:tr w14:paraId="54A723AA">
        <w:tblPrEx>
          <w:tblCellMar>
            <w:top w:w="0" w:type="dxa"/>
            <w:left w:w="108" w:type="dxa"/>
            <w:bottom w:w="0" w:type="dxa"/>
            <w:right w:w="108" w:type="dxa"/>
          </w:tblCellMar>
        </w:tblPrEx>
        <w:trPr>
          <w:trHeight w:val="413" w:hRule="atLeast"/>
        </w:trPr>
        <w:tc>
          <w:tcPr>
            <w:tcW w:w="864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416B297">
            <w:pPr>
              <w:widowControl/>
              <w:spacing w:line="240" w:lineRule="auto"/>
              <w:jc w:val="left"/>
              <w:rPr>
                <w:rFonts w:ascii="宋体" w:hAnsi="宋体" w:eastAsia="宋体" w:cs="Tahoma"/>
                <w:b/>
                <w:bCs/>
                <w:kern w:val="0"/>
                <w:sz w:val="21"/>
                <w:szCs w:val="21"/>
              </w:rPr>
            </w:pPr>
            <w:r>
              <w:rPr>
                <w:rFonts w:hint="eastAsia" w:ascii="宋体" w:hAnsi="宋体" w:eastAsia="宋体" w:cs="Tahoma"/>
                <w:b/>
                <w:bCs/>
                <w:kern w:val="0"/>
                <w:sz w:val="21"/>
                <w:szCs w:val="21"/>
              </w:rPr>
              <w:t xml:space="preserve">三、微模块机柜 </w:t>
            </w:r>
          </w:p>
        </w:tc>
      </w:tr>
      <w:tr w14:paraId="04305AF9">
        <w:tblPrEx>
          <w:tblCellMar>
            <w:top w:w="0" w:type="dxa"/>
            <w:left w:w="108" w:type="dxa"/>
            <w:bottom w:w="0" w:type="dxa"/>
            <w:right w:w="108" w:type="dxa"/>
          </w:tblCellMar>
        </w:tblPrEx>
        <w:trPr>
          <w:trHeight w:val="1365"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44F4FA8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471" w:type="dxa"/>
            <w:tcBorders>
              <w:top w:val="nil"/>
              <w:left w:val="nil"/>
              <w:bottom w:val="single" w:color="auto" w:sz="4" w:space="0"/>
              <w:right w:val="single" w:color="auto" w:sz="4" w:space="0"/>
            </w:tcBorders>
            <w:shd w:val="clear" w:color="auto" w:fill="auto"/>
            <w:vAlign w:val="center"/>
          </w:tcPr>
          <w:p w14:paraId="0B11C0C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600宽机柜</w:t>
            </w:r>
          </w:p>
        </w:tc>
        <w:tc>
          <w:tcPr>
            <w:tcW w:w="5006" w:type="dxa"/>
            <w:tcBorders>
              <w:top w:val="nil"/>
              <w:left w:val="nil"/>
              <w:bottom w:val="single" w:color="auto" w:sz="4" w:space="0"/>
              <w:right w:val="single" w:color="auto" w:sz="4" w:space="0"/>
            </w:tcBorders>
            <w:shd w:val="clear" w:color="auto" w:fill="auto"/>
            <w:vAlign w:val="center"/>
          </w:tcPr>
          <w:p w14:paraId="68B38059">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机柜尺寸(宽*深*高)600*1200*2000mm,平板网孔门，前门单开，后门双开；配套螺钉螺母50套；2、标配2个垂直理线板。</w:t>
            </w:r>
          </w:p>
        </w:tc>
        <w:tc>
          <w:tcPr>
            <w:tcW w:w="708" w:type="dxa"/>
            <w:tcBorders>
              <w:top w:val="nil"/>
              <w:left w:val="nil"/>
              <w:bottom w:val="single" w:color="auto" w:sz="4" w:space="0"/>
              <w:right w:val="single" w:color="auto" w:sz="4" w:space="0"/>
            </w:tcBorders>
            <w:shd w:val="clear" w:color="auto" w:fill="auto"/>
            <w:vAlign w:val="center"/>
          </w:tcPr>
          <w:p w14:paraId="74B71B79">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29061BAA">
            <w:pPr>
              <w:widowControl/>
              <w:spacing w:line="240"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20</w:t>
            </w:r>
          </w:p>
        </w:tc>
      </w:tr>
      <w:tr w14:paraId="2A47FDE2">
        <w:tblPrEx>
          <w:tblCellMar>
            <w:top w:w="0" w:type="dxa"/>
            <w:left w:w="108" w:type="dxa"/>
            <w:bottom w:w="0" w:type="dxa"/>
            <w:right w:w="108" w:type="dxa"/>
          </w:tblCellMar>
        </w:tblPrEx>
        <w:trPr>
          <w:trHeight w:val="54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522CDF0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471" w:type="dxa"/>
            <w:tcBorders>
              <w:top w:val="nil"/>
              <w:left w:val="nil"/>
              <w:bottom w:val="single" w:color="auto" w:sz="4" w:space="0"/>
              <w:right w:val="single" w:color="auto" w:sz="4" w:space="0"/>
            </w:tcBorders>
            <w:shd w:val="clear" w:color="auto" w:fill="auto"/>
            <w:vAlign w:val="center"/>
          </w:tcPr>
          <w:p w14:paraId="789E583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1U封板</w:t>
            </w:r>
          </w:p>
        </w:tc>
        <w:tc>
          <w:tcPr>
            <w:tcW w:w="5006" w:type="dxa"/>
            <w:tcBorders>
              <w:top w:val="nil"/>
              <w:left w:val="nil"/>
              <w:bottom w:val="single" w:color="auto" w:sz="4" w:space="0"/>
              <w:right w:val="single" w:color="auto" w:sz="4" w:space="0"/>
            </w:tcBorders>
            <w:shd w:val="clear" w:color="auto" w:fill="auto"/>
            <w:vAlign w:val="center"/>
          </w:tcPr>
          <w:p w14:paraId="64F532D0">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1U封板，用于机柜冷热风道隔离，免工具、快拆设计</w:t>
            </w:r>
          </w:p>
        </w:tc>
        <w:tc>
          <w:tcPr>
            <w:tcW w:w="708" w:type="dxa"/>
            <w:tcBorders>
              <w:top w:val="nil"/>
              <w:left w:val="nil"/>
              <w:bottom w:val="single" w:color="auto" w:sz="4" w:space="0"/>
              <w:right w:val="single" w:color="auto" w:sz="4" w:space="0"/>
            </w:tcBorders>
            <w:shd w:val="clear" w:color="auto" w:fill="auto"/>
            <w:vAlign w:val="center"/>
          </w:tcPr>
          <w:p w14:paraId="078773B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7118DA0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240</w:t>
            </w:r>
          </w:p>
        </w:tc>
      </w:tr>
      <w:tr w14:paraId="3EC5A937">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674D12E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471" w:type="dxa"/>
            <w:tcBorders>
              <w:top w:val="nil"/>
              <w:left w:val="nil"/>
              <w:bottom w:val="single" w:color="auto" w:sz="4" w:space="0"/>
              <w:right w:val="single" w:color="auto" w:sz="4" w:space="0"/>
            </w:tcBorders>
            <w:shd w:val="clear" w:color="auto" w:fill="auto"/>
            <w:vAlign w:val="center"/>
          </w:tcPr>
          <w:p w14:paraId="693E2AC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侧板</w:t>
            </w:r>
          </w:p>
        </w:tc>
        <w:tc>
          <w:tcPr>
            <w:tcW w:w="5006" w:type="dxa"/>
            <w:tcBorders>
              <w:top w:val="nil"/>
              <w:left w:val="nil"/>
              <w:bottom w:val="single" w:color="auto" w:sz="4" w:space="0"/>
              <w:right w:val="single" w:color="auto" w:sz="4" w:space="0"/>
            </w:tcBorders>
            <w:shd w:val="clear" w:color="auto" w:fill="auto"/>
            <w:vAlign w:val="center"/>
          </w:tcPr>
          <w:p w14:paraId="33A38154">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机柜侧面封板，含上下两块</w:t>
            </w:r>
          </w:p>
        </w:tc>
        <w:tc>
          <w:tcPr>
            <w:tcW w:w="708" w:type="dxa"/>
            <w:tcBorders>
              <w:top w:val="nil"/>
              <w:left w:val="nil"/>
              <w:bottom w:val="single" w:color="auto" w:sz="4" w:space="0"/>
              <w:right w:val="single" w:color="auto" w:sz="4" w:space="0"/>
            </w:tcBorders>
            <w:shd w:val="clear" w:color="auto" w:fill="auto"/>
            <w:vAlign w:val="center"/>
          </w:tcPr>
          <w:p w14:paraId="5F24378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侧</w:t>
            </w:r>
          </w:p>
        </w:tc>
        <w:tc>
          <w:tcPr>
            <w:tcW w:w="709" w:type="dxa"/>
            <w:tcBorders>
              <w:top w:val="nil"/>
              <w:left w:val="nil"/>
              <w:bottom w:val="single" w:color="auto" w:sz="4" w:space="0"/>
              <w:right w:val="single" w:color="auto" w:sz="4" w:space="0"/>
            </w:tcBorders>
            <w:shd w:val="clear" w:color="auto" w:fill="auto"/>
            <w:vAlign w:val="center"/>
          </w:tcPr>
          <w:p w14:paraId="2C5A1EE4">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r>
      <w:tr w14:paraId="227A1E31">
        <w:tblPrEx>
          <w:tblCellMar>
            <w:top w:w="0" w:type="dxa"/>
            <w:left w:w="108" w:type="dxa"/>
            <w:bottom w:w="0" w:type="dxa"/>
            <w:right w:w="108" w:type="dxa"/>
          </w:tblCellMar>
        </w:tblPrEx>
        <w:trPr>
          <w:trHeight w:val="54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2011542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c>
          <w:tcPr>
            <w:tcW w:w="1471" w:type="dxa"/>
            <w:tcBorders>
              <w:top w:val="nil"/>
              <w:left w:val="nil"/>
              <w:bottom w:val="single" w:color="auto" w:sz="4" w:space="0"/>
              <w:right w:val="single" w:color="auto" w:sz="4" w:space="0"/>
            </w:tcBorders>
            <w:shd w:val="clear" w:color="auto" w:fill="auto"/>
            <w:vAlign w:val="center"/>
          </w:tcPr>
          <w:p w14:paraId="20DD4C0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接地铜排</w:t>
            </w:r>
          </w:p>
        </w:tc>
        <w:tc>
          <w:tcPr>
            <w:tcW w:w="5006" w:type="dxa"/>
            <w:tcBorders>
              <w:top w:val="nil"/>
              <w:left w:val="nil"/>
              <w:bottom w:val="single" w:color="auto" w:sz="4" w:space="0"/>
              <w:right w:val="single" w:color="auto" w:sz="4" w:space="0"/>
            </w:tcBorders>
            <w:shd w:val="clear" w:color="auto" w:fill="auto"/>
            <w:vAlign w:val="center"/>
          </w:tcPr>
          <w:p w14:paraId="7035EC68">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接地铜排；T2紫铜/镀镍；后立柱19英寸安装3*15mm；M6*16/M8*2。</w:t>
            </w:r>
          </w:p>
        </w:tc>
        <w:tc>
          <w:tcPr>
            <w:tcW w:w="708" w:type="dxa"/>
            <w:tcBorders>
              <w:top w:val="nil"/>
              <w:left w:val="nil"/>
              <w:bottom w:val="single" w:color="auto" w:sz="4" w:space="0"/>
              <w:right w:val="single" w:color="auto" w:sz="4" w:space="0"/>
            </w:tcBorders>
            <w:shd w:val="clear" w:color="auto" w:fill="auto"/>
            <w:vAlign w:val="center"/>
          </w:tcPr>
          <w:p w14:paraId="221D898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6FF3B74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12</w:t>
            </w:r>
          </w:p>
        </w:tc>
      </w:tr>
      <w:tr w14:paraId="0C352A73">
        <w:tblPrEx>
          <w:tblCellMar>
            <w:top w:w="0" w:type="dxa"/>
            <w:left w:w="108" w:type="dxa"/>
            <w:bottom w:w="0" w:type="dxa"/>
            <w:right w:w="108" w:type="dxa"/>
          </w:tblCellMar>
        </w:tblPrEx>
        <w:trPr>
          <w:trHeight w:val="54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26C72DE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5</w:t>
            </w:r>
          </w:p>
        </w:tc>
        <w:tc>
          <w:tcPr>
            <w:tcW w:w="1471" w:type="dxa"/>
            <w:tcBorders>
              <w:top w:val="nil"/>
              <w:left w:val="nil"/>
              <w:bottom w:val="single" w:color="auto" w:sz="4" w:space="0"/>
              <w:right w:val="single" w:color="auto" w:sz="4" w:space="0"/>
            </w:tcBorders>
            <w:shd w:val="clear" w:color="auto" w:fill="auto"/>
            <w:vAlign w:val="center"/>
          </w:tcPr>
          <w:p w14:paraId="13C2855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20口32A竖装PDU</w:t>
            </w:r>
          </w:p>
        </w:tc>
        <w:tc>
          <w:tcPr>
            <w:tcW w:w="5006" w:type="dxa"/>
            <w:tcBorders>
              <w:top w:val="nil"/>
              <w:left w:val="nil"/>
              <w:bottom w:val="single" w:color="auto" w:sz="4" w:space="0"/>
              <w:right w:val="single" w:color="auto" w:sz="4" w:space="0"/>
            </w:tcBorders>
            <w:shd w:val="clear" w:color="auto" w:fill="auto"/>
            <w:vAlign w:val="center"/>
          </w:tcPr>
          <w:p w14:paraId="76594288">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输入32A，输出16位国标10A+4位国标16A、接线盒、指示灯、左黑色，右蓝色</w:t>
            </w:r>
          </w:p>
        </w:tc>
        <w:tc>
          <w:tcPr>
            <w:tcW w:w="708" w:type="dxa"/>
            <w:tcBorders>
              <w:top w:val="nil"/>
              <w:left w:val="nil"/>
              <w:bottom w:val="single" w:color="auto" w:sz="4" w:space="0"/>
              <w:right w:val="single" w:color="auto" w:sz="4" w:space="0"/>
            </w:tcBorders>
            <w:shd w:val="clear" w:color="auto" w:fill="auto"/>
            <w:vAlign w:val="center"/>
          </w:tcPr>
          <w:p w14:paraId="281F4908">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47566F3A">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24</w:t>
            </w:r>
          </w:p>
        </w:tc>
      </w:tr>
      <w:tr w14:paraId="5CD6E06A">
        <w:tblPrEx>
          <w:tblCellMar>
            <w:top w:w="0" w:type="dxa"/>
            <w:left w:w="108" w:type="dxa"/>
            <w:bottom w:w="0" w:type="dxa"/>
            <w:right w:w="108" w:type="dxa"/>
          </w:tblCellMar>
        </w:tblPrEx>
        <w:trPr>
          <w:trHeight w:val="243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20ACF19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6</w:t>
            </w:r>
          </w:p>
        </w:tc>
        <w:tc>
          <w:tcPr>
            <w:tcW w:w="1471" w:type="dxa"/>
            <w:tcBorders>
              <w:top w:val="nil"/>
              <w:left w:val="nil"/>
              <w:bottom w:val="single" w:color="auto" w:sz="4" w:space="0"/>
              <w:right w:val="single" w:color="auto" w:sz="4" w:space="0"/>
            </w:tcBorders>
            <w:shd w:val="clear" w:color="auto" w:fill="auto"/>
            <w:vAlign w:val="center"/>
          </w:tcPr>
          <w:p w14:paraId="119BAFE4">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自动平移门</w:t>
            </w:r>
          </w:p>
        </w:tc>
        <w:tc>
          <w:tcPr>
            <w:tcW w:w="5006" w:type="dxa"/>
            <w:tcBorders>
              <w:top w:val="nil"/>
              <w:left w:val="nil"/>
              <w:bottom w:val="single" w:color="auto" w:sz="4" w:space="0"/>
              <w:right w:val="single" w:color="auto" w:sz="4" w:space="0"/>
            </w:tcBorders>
            <w:shd w:val="clear" w:color="auto" w:fill="auto"/>
            <w:vAlign w:val="center"/>
          </w:tcPr>
          <w:p w14:paraId="5CDC476C">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1套封闭通道端门，含前后2个自动平移门。每个端门标配LOGO门楣及机柜侧面修饰封板，开放式玻璃门；</w:t>
            </w:r>
            <w:r>
              <w:rPr>
                <w:rFonts w:hint="eastAsia" w:ascii="宋体" w:hAnsi="宋体" w:eastAsia="宋体" w:cs="Tahoma"/>
                <w:kern w:val="0"/>
                <w:sz w:val="21"/>
                <w:szCs w:val="21"/>
              </w:rPr>
              <w:br w:type="textWrapping"/>
            </w:r>
            <w:r>
              <w:rPr>
                <w:rFonts w:hint="eastAsia" w:ascii="宋体" w:hAnsi="宋体" w:eastAsia="宋体" w:cs="Tahoma"/>
                <w:kern w:val="0"/>
                <w:sz w:val="21"/>
                <w:szCs w:val="21"/>
              </w:rPr>
              <w:t>1、自动门采用12mm厚钢化玻璃，端门通道玻璃面积占比98%以上；</w:t>
            </w:r>
            <w:r>
              <w:rPr>
                <w:rFonts w:hint="eastAsia" w:ascii="宋体" w:hAnsi="宋体" w:eastAsia="宋体" w:cs="Tahoma"/>
                <w:kern w:val="0"/>
                <w:sz w:val="21"/>
                <w:szCs w:val="21"/>
              </w:rPr>
              <w:br w:type="textWrapping"/>
            </w:r>
            <w:r>
              <w:rPr>
                <w:rFonts w:hint="eastAsia" w:ascii="宋体" w:hAnsi="宋体" w:eastAsia="宋体" w:cs="Tahoma"/>
                <w:kern w:val="0"/>
                <w:sz w:val="21"/>
                <w:szCs w:val="21"/>
              </w:rPr>
              <w:t>2、自动门具备红外防夹功能；</w:t>
            </w:r>
            <w:r>
              <w:rPr>
                <w:rFonts w:hint="eastAsia" w:ascii="宋体" w:hAnsi="宋体" w:eastAsia="宋体" w:cs="Tahoma"/>
                <w:kern w:val="0"/>
                <w:sz w:val="21"/>
                <w:szCs w:val="21"/>
              </w:rPr>
              <w:br w:type="textWrapping"/>
            </w:r>
            <w:r>
              <w:rPr>
                <w:rFonts w:hint="eastAsia" w:ascii="宋体" w:hAnsi="宋体" w:eastAsia="宋体" w:cs="Tahoma"/>
                <w:kern w:val="0"/>
                <w:sz w:val="21"/>
                <w:szCs w:val="21"/>
              </w:rPr>
              <w:t>3、端门具备出门按钮及紧急开门按钮；</w:t>
            </w:r>
            <w:r>
              <w:rPr>
                <w:rFonts w:hint="eastAsia" w:ascii="宋体" w:hAnsi="宋体" w:eastAsia="宋体" w:cs="Tahoma"/>
                <w:kern w:val="0"/>
                <w:sz w:val="21"/>
                <w:szCs w:val="21"/>
              </w:rPr>
              <w:br w:type="textWrapping"/>
            </w:r>
            <w:r>
              <w:rPr>
                <w:rFonts w:hint="eastAsia" w:ascii="宋体" w:hAnsi="宋体" w:eastAsia="宋体" w:cs="Tahoma"/>
                <w:kern w:val="0"/>
                <w:sz w:val="21"/>
                <w:szCs w:val="21"/>
              </w:rPr>
              <w:t>4、端门具备开关门检测。</w:t>
            </w:r>
          </w:p>
        </w:tc>
        <w:tc>
          <w:tcPr>
            <w:tcW w:w="708" w:type="dxa"/>
            <w:tcBorders>
              <w:top w:val="nil"/>
              <w:left w:val="nil"/>
              <w:bottom w:val="single" w:color="auto" w:sz="4" w:space="0"/>
              <w:right w:val="single" w:color="auto" w:sz="4" w:space="0"/>
            </w:tcBorders>
            <w:shd w:val="clear" w:color="auto" w:fill="auto"/>
            <w:vAlign w:val="center"/>
          </w:tcPr>
          <w:p w14:paraId="162F620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709" w:type="dxa"/>
            <w:tcBorders>
              <w:top w:val="nil"/>
              <w:left w:val="nil"/>
              <w:bottom w:val="single" w:color="auto" w:sz="4" w:space="0"/>
              <w:right w:val="single" w:color="auto" w:sz="4" w:space="0"/>
            </w:tcBorders>
            <w:shd w:val="clear" w:color="auto" w:fill="auto"/>
            <w:vAlign w:val="center"/>
          </w:tcPr>
          <w:p w14:paraId="16EEC5C9">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2343F5BE">
        <w:tblPrEx>
          <w:tblCellMar>
            <w:top w:w="0" w:type="dxa"/>
            <w:left w:w="108" w:type="dxa"/>
            <w:bottom w:w="0" w:type="dxa"/>
            <w:right w:w="108" w:type="dxa"/>
          </w:tblCellMar>
        </w:tblPrEx>
        <w:trPr>
          <w:trHeight w:val="162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636F0D4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7</w:t>
            </w:r>
          </w:p>
        </w:tc>
        <w:tc>
          <w:tcPr>
            <w:tcW w:w="1471" w:type="dxa"/>
            <w:tcBorders>
              <w:top w:val="nil"/>
              <w:left w:val="nil"/>
              <w:bottom w:val="single" w:color="auto" w:sz="4" w:space="0"/>
              <w:right w:val="single" w:color="auto" w:sz="4" w:space="0"/>
            </w:tcBorders>
            <w:shd w:val="clear" w:color="auto" w:fill="auto"/>
            <w:vAlign w:val="center"/>
          </w:tcPr>
          <w:p w14:paraId="087EDA0E">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前门固定天窗</w:t>
            </w:r>
          </w:p>
        </w:tc>
        <w:tc>
          <w:tcPr>
            <w:tcW w:w="5006" w:type="dxa"/>
            <w:tcBorders>
              <w:top w:val="nil"/>
              <w:left w:val="nil"/>
              <w:bottom w:val="single" w:color="auto" w:sz="4" w:space="0"/>
              <w:right w:val="single" w:color="auto" w:sz="4" w:space="0"/>
            </w:tcBorders>
            <w:shd w:val="clear" w:color="auto" w:fill="auto"/>
            <w:vAlign w:val="center"/>
          </w:tcPr>
          <w:p w14:paraId="3DBD296E">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1、普通翻转天窗配置选用，封闭通道前门固定天窗；</w:t>
            </w:r>
            <w:r>
              <w:rPr>
                <w:rFonts w:hint="eastAsia" w:ascii="宋体" w:hAnsi="宋体" w:eastAsia="宋体" w:cs="Tahoma"/>
                <w:kern w:val="0"/>
                <w:sz w:val="21"/>
                <w:szCs w:val="21"/>
              </w:rPr>
              <w:br w:type="textWrapping"/>
            </w:r>
            <w:r>
              <w:rPr>
                <w:rFonts w:hint="eastAsia" w:ascii="宋体" w:hAnsi="宋体" w:eastAsia="宋体" w:cs="Tahoma"/>
                <w:kern w:val="0"/>
                <w:sz w:val="21"/>
                <w:szCs w:val="21"/>
              </w:rPr>
              <w:t>2、用于安装监控设备，选用我司设备可出厂预制；支持烟感、摄像头、温度探测器、压差传感器；</w:t>
            </w:r>
            <w:r>
              <w:rPr>
                <w:rFonts w:hint="eastAsia" w:ascii="宋体" w:hAnsi="宋体" w:eastAsia="宋体" w:cs="Tahoma"/>
                <w:kern w:val="0"/>
                <w:sz w:val="21"/>
                <w:szCs w:val="21"/>
              </w:rPr>
              <w:br w:type="textWrapping"/>
            </w:r>
            <w:r>
              <w:rPr>
                <w:rFonts w:hint="eastAsia" w:ascii="宋体" w:hAnsi="宋体" w:eastAsia="宋体" w:cs="Tahoma"/>
                <w:kern w:val="0"/>
                <w:sz w:val="21"/>
                <w:szCs w:val="21"/>
              </w:rPr>
              <w:t>3、配套封支撑天窗使用，高度200mm；</w:t>
            </w:r>
            <w:r>
              <w:rPr>
                <w:rFonts w:hint="eastAsia" w:ascii="宋体" w:hAnsi="宋体" w:eastAsia="宋体" w:cs="Tahoma"/>
                <w:kern w:val="0"/>
                <w:sz w:val="21"/>
                <w:szCs w:val="21"/>
              </w:rPr>
              <w:br w:type="textWrapping"/>
            </w:r>
            <w:r>
              <w:rPr>
                <w:rFonts w:hint="eastAsia" w:ascii="宋体" w:hAnsi="宋体" w:eastAsia="宋体" w:cs="Tahoma"/>
                <w:kern w:val="0"/>
                <w:sz w:val="21"/>
                <w:szCs w:val="21"/>
              </w:rPr>
              <w:t>4、配套通道外围美观封堵，高度200mm。</w:t>
            </w:r>
          </w:p>
        </w:tc>
        <w:tc>
          <w:tcPr>
            <w:tcW w:w="708" w:type="dxa"/>
            <w:tcBorders>
              <w:top w:val="nil"/>
              <w:left w:val="nil"/>
              <w:bottom w:val="single" w:color="auto" w:sz="4" w:space="0"/>
              <w:right w:val="single" w:color="auto" w:sz="4" w:space="0"/>
            </w:tcBorders>
            <w:shd w:val="clear" w:color="auto" w:fill="auto"/>
            <w:vAlign w:val="center"/>
          </w:tcPr>
          <w:p w14:paraId="23609435">
            <w:pPr>
              <w:widowControl/>
              <w:spacing w:line="240"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套　</w:t>
            </w:r>
          </w:p>
        </w:tc>
        <w:tc>
          <w:tcPr>
            <w:tcW w:w="709" w:type="dxa"/>
            <w:tcBorders>
              <w:top w:val="nil"/>
              <w:left w:val="nil"/>
              <w:bottom w:val="single" w:color="auto" w:sz="4" w:space="0"/>
              <w:right w:val="single" w:color="auto" w:sz="4" w:space="0"/>
            </w:tcBorders>
            <w:shd w:val="clear" w:color="auto" w:fill="auto"/>
            <w:vAlign w:val="center"/>
          </w:tcPr>
          <w:p w14:paraId="0E4042F5">
            <w:pPr>
              <w:widowControl/>
              <w:spacing w:line="240"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1　</w:t>
            </w:r>
          </w:p>
        </w:tc>
      </w:tr>
      <w:tr w14:paraId="258AE036">
        <w:tblPrEx>
          <w:tblCellMar>
            <w:top w:w="0" w:type="dxa"/>
            <w:left w:w="108" w:type="dxa"/>
            <w:bottom w:w="0" w:type="dxa"/>
            <w:right w:w="108" w:type="dxa"/>
          </w:tblCellMar>
        </w:tblPrEx>
        <w:trPr>
          <w:trHeight w:val="144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4CF159F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8</w:t>
            </w:r>
          </w:p>
        </w:tc>
        <w:tc>
          <w:tcPr>
            <w:tcW w:w="1471" w:type="dxa"/>
            <w:tcBorders>
              <w:top w:val="nil"/>
              <w:left w:val="nil"/>
              <w:bottom w:val="single" w:color="auto" w:sz="4" w:space="0"/>
              <w:right w:val="single" w:color="auto" w:sz="4" w:space="0"/>
            </w:tcBorders>
            <w:shd w:val="clear" w:color="auto" w:fill="auto"/>
            <w:vAlign w:val="center"/>
          </w:tcPr>
          <w:p w14:paraId="2B407E95">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后门</w:t>
            </w:r>
            <w:r>
              <w:rPr>
                <w:rFonts w:hint="eastAsia" w:ascii="宋体" w:hAnsi="宋体" w:eastAsia="宋体" w:cs="Tahoma"/>
                <w:kern w:val="0"/>
                <w:sz w:val="21"/>
                <w:szCs w:val="21"/>
              </w:rPr>
              <w:br w:type="textWrapping"/>
            </w:r>
            <w:r>
              <w:rPr>
                <w:rFonts w:hint="eastAsia" w:ascii="宋体" w:hAnsi="宋体" w:eastAsia="宋体" w:cs="Tahoma"/>
                <w:kern w:val="0"/>
                <w:sz w:val="21"/>
                <w:szCs w:val="21"/>
              </w:rPr>
              <w:t>固定天窗</w:t>
            </w:r>
          </w:p>
        </w:tc>
        <w:tc>
          <w:tcPr>
            <w:tcW w:w="5006" w:type="dxa"/>
            <w:tcBorders>
              <w:top w:val="nil"/>
              <w:left w:val="nil"/>
              <w:bottom w:val="single" w:color="auto" w:sz="4" w:space="0"/>
              <w:right w:val="single" w:color="auto" w:sz="4" w:space="0"/>
            </w:tcBorders>
            <w:shd w:val="clear" w:color="auto" w:fill="auto"/>
            <w:vAlign w:val="center"/>
          </w:tcPr>
          <w:p w14:paraId="0C7F3902">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1、封闭通道后门固定天窗；</w:t>
            </w:r>
            <w:r>
              <w:rPr>
                <w:rFonts w:hint="eastAsia" w:ascii="宋体" w:hAnsi="宋体" w:eastAsia="宋体" w:cs="Tahoma"/>
                <w:kern w:val="0"/>
                <w:sz w:val="21"/>
                <w:szCs w:val="21"/>
              </w:rPr>
              <w:br w:type="textWrapping"/>
            </w:r>
            <w:r>
              <w:rPr>
                <w:rFonts w:hint="eastAsia" w:ascii="宋体" w:hAnsi="宋体" w:eastAsia="宋体" w:cs="Tahoma"/>
                <w:kern w:val="0"/>
                <w:sz w:val="21"/>
                <w:szCs w:val="21"/>
              </w:rPr>
              <w:t>2、用于安装监控设备，选用我司设备可出厂预制；支持烟感、摄像头、温度探测器、压差传感器安装；</w:t>
            </w:r>
            <w:r>
              <w:rPr>
                <w:rFonts w:hint="eastAsia" w:ascii="宋体" w:hAnsi="宋体" w:eastAsia="宋体" w:cs="Tahoma"/>
                <w:kern w:val="0"/>
                <w:sz w:val="21"/>
                <w:szCs w:val="21"/>
              </w:rPr>
              <w:br w:type="textWrapping"/>
            </w:r>
            <w:r>
              <w:rPr>
                <w:rFonts w:hint="eastAsia" w:ascii="宋体" w:hAnsi="宋体" w:eastAsia="宋体" w:cs="Tahoma"/>
                <w:kern w:val="0"/>
                <w:sz w:val="21"/>
                <w:szCs w:val="21"/>
              </w:rPr>
              <w:t>3、配套封支撑天窗使用，高度200mm；</w:t>
            </w:r>
            <w:r>
              <w:rPr>
                <w:rFonts w:hint="eastAsia" w:ascii="宋体" w:hAnsi="宋体" w:eastAsia="宋体" w:cs="Tahoma"/>
                <w:kern w:val="0"/>
                <w:sz w:val="21"/>
                <w:szCs w:val="21"/>
              </w:rPr>
              <w:br w:type="textWrapping"/>
            </w:r>
            <w:r>
              <w:rPr>
                <w:rFonts w:hint="eastAsia" w:ascii="宋体" w:hAnsi="宋体" w:eastAsia="宋体" w:cs="Tahoma"/>
                <w:kern w:val="0"/>
                <w:sz w:val="21"/>
                <w:szCs w:val="21"/>
              </w:rPr>
              <w:t>4、配套通道外围美观封堵，高度200mm。</w:t>
            </w:r>
          </w:p>
        </w:tc>
        <w:tc>
          <w:tcPr>
            <w:tcW w:w="708" w:type="dxa"/>
            <w:tcBorders>
              <w:top w:val="nil"/>
              <w:left w:val="nil"/>
              <w:bottom w:val="single" w:color="auto" w:sz="4" w:space="0"/>
              <w:right w:val="single" w:color="auto" w:sz="4" w:space="0"/>
            </w:tcBorders>
            <w:shd w:val="clear" w:color="auto" w:fill="auto"/>
            <w:vAlign w:val="center"/>
          </w:tcPr>
          <w:p w14:paraId="49046840">
            <w:pPr>
              <w:widowControl/>
              <w:spacing w:line="240"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套　</w:t>
            </w:r>
          </w:p>
        </w:tc>
        <w:tc>
          <w:tcPr>
            <w:tcW w:w="709" w:type="dxa"/>
            <w:tcBorders>
              <w:top w:val="nil"/>
              <w:left w:val="nil"/>
              <w:bottom w:val="single" w:color="auto" w:sz="4" w:space="0"/>
              <w:right w:val="single" w:color="auto" w:sz="4" w:space="0"/>
            </w:tcBorders>
            <w:shd w:val="clear" w:color="auto" w:fill="auto"/>
            <w:vAlign w:val="center"/>
          </w:tcPr>
          <w:p w14:paraId="31A58F71">
            <w:pPr>
              <w:widowControl/>
              <w:spacing w:line="240" w:lineRule="auto"/>
              <w:jc w:val="center"/>
              <w:rPr>
                <w:rFonts w:ascii="宋体" w:hAnsi="宋体" w:eastAsia="宋体" w:cs="Tahoma"/>
                <w:color w:val="0070C0"/>
                <w:kern w:val="0"/>
                <w:sz w:val="21"/>
                <w:szCs w:val="21"/>
              </w:rPr>
            </w:pPr>
            <w:r>
              <w:rPr>
                <w:rFonts w:hint="eastAsia" w:ascii="宋体" w:hAnsi="宋体" w:eastAsia="宋体" w:cs="Tahoma"/>
                <w:color w:val="0070C0"/>
                <w:kern w:val="0"/>
                <w:sz w:val="21"/>
                <w:szCs w:val="21"/>
              </w:rPr>
              <w:t>1　</w:t>
            </w:r>
          </w:p>
        </w:tc>
      </w:tr>
      <w:tr w14:paraId="564E3AA6">
        <w:tblPrEx>
          <w:tblCellMar>
            <w:top w:w="0" w:type="dxa"/>
            <w:left w:w="108" w:type="dxa"/>
            <w:bottom w:w="0" w:type="dxa"/>
            <w:right w:w="108" w:type="dxa"/>
          </w:tblCellMar>
        </w:tblPrEx>
        <w:trPr>
          <w:trHeight w:val="216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3A4FD7F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9</w:t>
            </w:r>
          </w:p>
        </w:tc>
        <w:tc>
          <w:tcPr>
            <w:tcW w:w="1471" w:type="dxa"/>
            <w:tcBorders>
              <w:top w:val="nil"/>
              <w:left w:val="nil"/>
              <w:bottom w:val="single" w:color="auto" w:sz="4" w:space="0"/>
              <w:right w:val="single" w:color="auto" w:sz="4" w:space="0"/>
            </w:tcBorders>
            <w:shd w:val="clear" w:color="auto" w:fill="auto"/>
            <w:vAlign w:val="center"/>
          </w:tcPr>
          <w:p w14:paraId="4C23A9F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单翻</w:t>
            </w:r>
            <w:r>
              <w:rPr>
                <w:rFonts w:hint="eastAsia" w:ascii="宋体" w:hAnsi="宋体" w:eastAsia="宋体" w:cs="Tahoma"/>
                <w:kern w:val="0"/>
                <w:sz w:val="21"/>
                <w:szCs w:val="21"/>
              </w:rPr>
              <w:br w:type="textWrapping"/>
            </w:r>
            <w:r>
              <w:rPr>
                <w:rFonts w:hint="eastAsia" w:ascii="宋体" w:hAnsi="宋体" w:eastAsia="宋体" w:cs="Tahoma"/>
                <w:kern w:val="0"/>
                <w:sz w:val="21"/>
                <w:szCs w:val="21"/>
              </w:rPr>
              <w:t>活动天窗</w:t>
            </w:r>
          </w:p>
        </w:tc>
        <w:tc>
          <w:tcPr>
            <w:tcW w:w="5006" w:type="dxa"/>
            <w:tcBorders>
              <w:top w:val="nil"/>
              <w:left w:val="nil"/>
              <w:bottom w:val="single" w:color="auto" w:sz="4" w:space="0"/>
              <w:right w:val="single" w:color="auto" w:sz="4" w:space="0"/>
            </w:tcBorders>
            <w:shd w:val="clear" w:color="auto" w:fill="auto"/>
            <w:vAlign w:val="center"/>
          </w:tcPr>
          <w:p w14:paraId="1AF1B23E">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1、600mm宽普通单翻天窗，5mm厚钢化玻璃带防爆膜，标准配置有：</w:t>
            </w:r>
            <w:r>
              <w:rPr>
                <w:rFonts w:hint="eastAsia" w:ascii="宋体" w:hAnsi="宋体" w:eastAsia="宋体" w:cs="Tahoma"/>
                <w:kern w:val="0"/>
                <w:sz w:val="21"/>
                <w:szCs w:val="21"/>
              </w:rPr>
              <w:br w:type="textWrapping"/>
            </w:r>
            <w:r>
              <w:rPr>
                <w:rFonts w:hint="eastAsia" w:ascii="宋体" w:hAnsi="宋体" w:eastAsia="宋体" w:cs="Tahoma"/>
                <w:kern w:val="0"/>
                <w:sz w:val="21"/>
                <w:szCs w:val="21"/>
              </w:rPr>
              <w:t>2、天窗磁力锁；</w:t>
            </w:r>
            <w:r>
              <w:rPr>
                <w:rFonts w:hint="eastAsia" w:ascii="宋体" w:hAnsi="宋体" w:eastAsia="宋体" w:cs="Tahoma"/>
                <w:kern w:val="0"/>
                <w:sz w:val="21"/>
                <w:szCs w:val="21"/>
              </w:rPr>
              <w:br w:type="textWrapping"/>
            </w:r>
            <w:r>
              <w:rPr>
                <w:rFonts w:hint="eastAsia" w:ascii="宋体" w:hAnsi="宋体" w:eastAsia="宋体" w:cs="Tahoma"/>
                <w:kern w:val="0"/>
                <w:sz w:val="21"/>
                <w:szCs w:val="21"/>
              </w:rPr>
              <w:t>3、天窗开关信号检测；</w:t>
            </w:r>
            <w:r>
              <w:rPr>
                <w:rFonts w:hint="eastAsia" w:ascii="宋体" w:hAnsi="宋体" w:eastAsia="宋体" w:cs="Tahoma"/>
                <w:kern w:val="0"/>
                <w:sz w:val="21"/>
                <w:szCs w:val="21"/>
              </w:rPr>
              <w:br w:type="textWrapping"/>
            </w:r>
            <w:r>
              <w:rPr>
                <w:rFonts w:hint="eastAsia" w:ascii="宋体" w:hAnsi="宋体" w:eastAsia="宋体" w:cs="Tahoma"/>
                <w:kern w:val="0"/>
                <w:sz w:val="21"/>
                <w:szCs w:val="21"/>
              </w:rPr>
              <w:t>4、铝合金窄边框；</w:t>
            </w:r>
            <w:r>
              <w:rPr>
                <w:rFonts w:hint="eastAsia" w:ascii="宋体" w:hAnsi="宋体" w:eastAsia="宋体" w:cs="Tahoma"/>
                <w:kern w:val="0"/>
                <w:sz w:val="21"/>
                <w:szCs w:val="21"/>
              </w:rPr>
              <w:br w:type="textWrapping"/>
            </w:r>
            <w:r>
              <w:rPr>
                <w:rFonts w:hint="eastAsia" w:ascii="宋体" w:hAnsi="宋体" w:eastAsia="宋体" w:cs="Tahoma"/>
                <w:kern w:val="0"/>
                <w:sz w:val="21"/>
                <w:szCs w:val="21"/>
              </w:rPr>
              <w:t>5、配套200mm高天窗支撑板，翻转角度20°；</w:t>
            </w:r>
            <w:r>
              <w:rPr>
                <w:rFonts w:hint="eastAsia" w:ascii="宋体" w:hAnsi="宋体" w:eastAsia="宋体" w:cs="Tahoma"/>
                <w:kern w:val="0"/>
                <w:sz w:val="21"/>
                <w:szCs w:val="21"/>
              </w:rPr>
              <w:br w:type="textWrapping"/>
            </w:r>
            <w:r>
              <w:rPr>
                <w:rFonts w:hint="eastAsia" w:ascii="宋体" w:hAnsi="宋体" w:eastAsia="宋体" w:cs="Tahoma"/>
                <w:kern w:val="0"/>
                <w:sz w:val="21"/>
                <w:szCs w:val="21"/>
              </w:rPr>
              <w:t>6、配套封支撑天窗使用，高度200mm；</w:t>
            </w:r>
            <w:r>
              <w:rPr>
                <w:rFonts w:hint="eastAsia" w:ascii="宋体" w:hAnsi="宋体" w:eastAsia="宋体" w:cs="Tahoma"/>
                <w:kern w:val="0"/>
                <w:sz w:val="21"/>
                <w:szCs w:val="21"/>
              </w:rPr>
              <w:br w:type="textWrapping"/>
            </w:r>
            <w:r>
              <w:rPr>
                <w:rFonts w:hint="eastAsia" w:ascii="宋体" w:hAnsi="宋体" w:eastAsia="宋体" w:cs="Tahoma"/>
                <w:kern w:val="0"/>
                <w:sz w:val="21"/>
                <w:szCs w:val="21"/>
              </w:rPr>
              <w:t>7、配套通道外围美观封堵，高度200mm。</w:t>
            </w:r>
          </w:p>
        </w:tc>
        <w:tc>
          <w:tcPr>
            <w:tcW w:w="708" w:type="dxa"/>
            <w:tcBorders>
              <w:top w:val="nil"/>
              <w:left w:val="nil"/>
              <w:bottom w:val="single" w:color="auto" w:sz="4" w:space="0"/>
              <w:right w:val="single" w:color="auto" w:sz="4" w:space="0"/>
            </w:tcBorders>
            <w:shd w:val="clear" w:color="auto" w:fill="auto"/>
            <w:vAlign w:val="center"/>
          </w:tcPr>
          <w:p w14:paraId="6B0F651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14:paraId="47457ED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r>
      <w:tr w14:paraId="70CC9F52">
        <w:tblPrEx>
          <w:tblCellMar>
            <w:top w:w="0" w:type="dxa"/>
            <w:left w:w="108" w:type="dxa"/>
            <w:bottom w:w="0" w:type="dxa"/>
            <w:right w:w="108" w:type="dxa"/>
          </w:tblCellMar>
        </w:tblPrEx>
        <w:trPr>
          <w:trHeight w:val="135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5AA54D0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10</w:t>
            </w:r>
          </w:p>
        </w:tc>
        <w:tc>
          <w:tcPr>
            <w:tcW w:w="1471" w:type="dxa"/>
            <w:tcBorders>
              <w:top w:val="nil"/>
              <w:left w:val="nil"/>
              <w:bottom w:val="single" w:color="auto" w:sz="4" w:space="0"/>
              <w:right w:val="single" w:color="auto" w:sz="4" w:space="0"/>
            </w:tcBorders>
            <w:shd w:val="clear" w:color="auto" w:fill="auto"/>
            <w:vAlign w:val="center"/>
          </w:tcPr>
          <w:p w14:paraId="7562FC29">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梯型桥架</w:t>
            </w:r>
          </w:p>
        </w:tc>
        <w:tc>
          <w:tcPr>
            <w:tcW w:w="5006" w:type="dxa"/>
            <w:tcBorders>
              <w:top w:val="nil"/>
              <w:left w:val="nil"/>
              <w:bottom w:val="single" w:color="auto" w:sz="4" w:space="0"/>
              <w:right w:val="single" w:color="auto" w:sz="4" w:space="0"/>
            </w:tcBorders>
            <w:shd w:val="clear" w:color="auto" w:fill="auto"/>
            <w:vAlign w:val="center"/>
          </w:tcPr>
          <w:p w14:paraId="0F95035F">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1、宽度300mm，含强/弱电桥架，装在机柜顶部用于强/弱电布线，含中间隔板；按冷通道长度计算，配套安装支架。</w:t>
            </w:r>
            <w:r>
              <w:rPr>
                <w:rFonts w:hint="eastAsia" w:ascii="宋体" w:hAnsi="宋体" w:eastAsia="宋体" w:cs="Tahoma"/>
                <w:kern w:val="0"/>
                <w:sz w:val="21"/>
                <w:szCs w:val="21"/>
              </w:rPr>
              <w:br w:type="textWrapping"/>
            </w:r>
            <w:r>
              <w:rPr>
                <w:rFonts w:hint="eastAsia" w:ascii="宋体" w:hAnsi="宋体" w:eastAsia="宋体" w:cs="Tahoma"/>
                <w:kern w:val="0"/>
                <w:sz w:val="21"/>
                <w:szCs w:val="21"/>
              </w:rPr>
              <w:t>2、最多可放RVV3*6线材100根；最多可放网线650条；</w:t>
            </w:r>
          </w:p>
        </w:tc>
        <w:tc>
          <w:tcPr>
            <w:tcW w:w="708" w:type="dxa"/>
            <w:tcBorders>
              <w:top w:val="nil"/>
              <w:left w:val="nil"/>
              <w:bottom w:val="single" w:color="auto" w:sz="4" w:space="0"/>
              <w:right w:val="single" w:color="auto" w:sz="4" w:space="0"/>
            </w:tcBorders>
            <w:shd w:val="clear" w:color="auto" w:fill="auto"/>
            <w:vAlign w:val="center"/>
          </w:tcPr>
          <w:p w14:paraId="7E9C649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米</w:t>
            </w:r>
          </w:p>
        </w:tc>
        <w:tc>
          <w:tcPr>
            <w:tcW w:w="709" w:type="dxa"/>
            <w:tcBorders>
              <w:top w:val="nil"/>
              <w:left w:val="nil"/>
              <w:bottom w:val="single" w:color="auto" w:sz="4" w:space="0"/>
              <w:right w:val="single" w:color="auto" w:sz="4" w:space="0"/>
            </w:tcBorders>
            <w:shd w:val="clear" w:color="auto" w:fill="auto"/>
            <w:vAlign w:val="center"/>
          </w:tcPr>
          <w:p w14:paraId="0566E1D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3.9</w:t>
            </w:r>
          </w:p>
        </w:tc>
      </w:tr>
      <w:tr w14:paraId="190E8F19">
        <w:tblPrEx>
          <w:tblCellMar>
            <w:top w:w="0" w:type="dxa"/>
            <w:left w:w="108" w:type="dxa"/>
            <w:bottom w:w="0" w:type="dxa"/>
            <w:right w:w="108" w:type="dxa"/>
          </w:tblCellMar>
        </w:tblPrEx>
        <w:trPr>
          <w:trHeight w:val="495" w:hRule="atLeast"/>
        </w:trPr>
        <w:tc>
          <w:tcPr>
            <w:tcW w:w="7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D2C7E4A">
            <w:pPr>
              <w:widowControl/>
              <w:spacing w:line="240" w:lineRule="auto"/>
              <w:jc w:val="left"/>
              <w:rPr>
                <w:rFonts w:ascii="宋体" w:hAnsi="宋体" w:eastAsia="宋体" w:cs="Tahoma"/>
                <w:b/>
                <w:bCs/>
                <w:kern w:val="0"/>
                <w:sz w:val="21"/>
                <w:szCs w:val="21"/>
              </w:rPr>
            </w:pPr>
            <w:r>
              <w:rPr>
                <w:rFonts w:hint="eastAsia" w:ascii="宋体" w:hAnsi="宋体" w:eastAsia="宋体" w:cs="Tahoma"/>
                <w:b/>
                <w:bCs/>
                <w:kern w:val="0"/>
                <w:sz w:val="21"/>
                <w:szCs w:val="21"/>
              </w:rPr>
              <w:t>四、微模块管理系统　</w:t>
            </w:r>
          </w:p>
        </w:tc>
        <w:tc>
          <w:tcPr>
            <w:tcW w:w="708" w:type="dxa"/>
            <w:tcBorders>
              <w:top w:val="nil"/>
              <w:left w:val="nil"/>
              <w:bottom w:val="single" w:color="auto" w:sz="4" w:space="0"/>
              <w:right w:val="single" w:color="auto" w:sz="4" w:space="0"/>
            </w:tcBorders>
            <w:shd w:val="clear" w:color="auto" w:fill="auto"/>
            <w:vAlign w:val="center"/>
          </w:tcPr>
          <w:p w14:paraId="3533A2C7">
            <w:pPr>
              <w:widowControl/>
              <w:spacing w:line="240" w:lineRule="auto"/>
              <w:jc w:val="left"/>
              <w:rPr>
                <w:rFonts w:ascii="宋体" w:hAnsi="宋体" w:eastAsia="宋体" w:cs="Tahoma"/>
                <w:b/>
                <w:bCs/>
                <w:kern w:val="0"/>
                <w:sz w:val="21"/>
                <w:szCs w:val="21"/>
              </w:rPr>
            </w:pPr>
            <w:r>
              <w:rPr>
                <w:rFonts w:hint="eastAsia" w:ascii="宋体" w:hAnsi="宋体" w:eastAsia="宋体" w:cs="Tahoma"/>
                <w:b/>
                <w:bCs/>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14:paraId="4BE940AA">
            <w:pPr>
              <w:widowControl/>
              <w:spacing w:line="240" w:lineRule="auto"/>
              <w:jc w:val="left"/>
              <w:rPr>
                <w:rFonts w:ascii="宋体" w:hAnsi="宋体" w:eastAsia="宋体" w:cs="Tahoma"/>
                <w:b/>
                <w:bCs/>
                <w:kern w:val="0"/>
                <w:sz w:val="21"/>
                <w:szCs w:val="21"/>
              </w:rPr>
            </w:pPr>
            <w:r>
              <w:rPr>
                <w:rFonts w:hint="eastAsia" w:ascii="宋体" w:hAnsi="宋体" w:eastAsia="宋体" w:cs="Tahoma"/>
                <w:b/>
                <w:bCs/>
                <w:kern w:val="0"/>
                <w:sz w:val="21"/>
                <w:szCs w:val="21"/>
              </w:rPr>
              <w:t>　</w:t>
            </w:r>
          </w:p>
        </w:tc>
      </w:tr>
      <w:tr w14:paraId="6510A297">
        <w:tblPrEx>
          <w:tblCellMar>
            <w:top w:w="0" w:type="dxa"/>
            <w:left w:w="108" w:type="dxa"/>
            <w:bottom w:w="0" w:type="dxa"/>
            <w:right w:w="108" w:type="dxa"/>
          </w:tblCellMar>
        </w:tblPrEx>
        <w:trPr>
          <w:trHeight w:val="270" w:hRule="atLeast"/>
        </w:trPr>
        <w:tc>
          <w:tcPr>
            <w:tcW w:w="8642" w:type="dxa"/>
            <w:gridSpan w:val="5"/>
            <w:tcBorders>
              <w:top w:val="nil"/>
              <w:left w:val="single" w:color="auto" w:sz="4" w:space="0"/>
              <w:bottom w:val="single" w:color="auto" w:sz="4" w:space="0"/>
              <w:right w:val="single" w:color="auto" w:sz="4" w:space="0"/>
            </w:tcBorders>
            <w:shd w:val="clear" w:color="auto" w:fill="auto"/>
            <w:vAlign w:val="center"/>
          </w:tcPr>
          <w:p w14:paraId="029C9D4B">
            <w:pPr>
              <w:widowControl/>
              <w:spacing w:line="240" w:lineRule="auto"/>
              <w:jc w:val="left"/>
              <w:rPr>
                <w:rFonts w:ascii="宋体" w:hAnsi="宋体" w:eastAsia="宋体" w:cs="Tahoma"/>
                <w:b/>
                <w:bCs/>
                <w:kern w:val="0"/>
                <w:sz w:val="21"/>
                <w:szCs w:val="21"/>
              </w:rPr>
            </w:pPr>
            <w:r>
              <w:rPr>
                <w:rFonts w:hint="eastAsia" w:ascii="宋体" w:hAnsi="宋体" w:eastAsia="宋体" w:cs="Tahoma"/>
                <w:kern w:val="0"/>
                <w:sz w:val="21"/>
                <w:szCs w:val="21"/>
              </w:rPr>
              <w:t>　</w:t>
            </w:r>
            <w:r>
              <w:rPr>
                <w:rFonts w:hint="eastAsia" w:ascii="宋体" w:hAnsi="宋体" w:eastAsia="宋体" w:cs="Tahoma"/>
                <w:b/>
                <w:bCs/>
                <w:kern w:val="0"/>
                <w:sz w:val="21"/>
                <w:szCs w:val="21"/>
              </w:rPr>
              <w:t>（一）环境监控系统　</w:t>
            </w:r>
          </w:p>
        </w:tc>
      </w:tr>
      <w:tr w14:paraId="45C7D118">
        <w:tblPrEx>
          <w:tblCellMar>
            <w:top w:w="0" w:type="dxa"/>
            <w:left w:w="108" w:type="dxa"/>
            <w:bottom w:w="0" w:type="dxa"/>
            <w:right w:w="108" w:type="dxa"/>
          </w:tblCellMar>
        </w:tblPrEx>
        <w:trPr>
          <w:trHeight w:val="108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1C06672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471" w:type="dxa"/>
            <w:tcBorders>
              <w:top w:val="nil"/>
              <w:left w:val="nil"/>
              <w:bottom w:val="single" w:color="auto" w:sz="4" w:space="0"/>
              <w:right w:val="single" w:color="auto" w:sz="4" w:space="0"/>
            </w:tcBorders>
            <w:shd w:val="clear" w:color="auto" w:fill="auto"/>
            <w:vAlign w:val="center"/>
          </w:tcPr>
          <w:p w14:paraId="4222E3E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温湿度采集器</w:t>
            </w:r>
          </w:p>
        </w:tc>
        <w:tc>
          <w:tcPr>
            <w:tcW w:w="5006" w:type="dxa"/>
            <w:tcBorders>
              <w:top w:val="nil"/>
              <w:left w:val="nil"/>
              <w:bottom w:val="single" w:color="auto" w:sz="4" w:space="0"/>
              <w:right w:val="single" w:color="auto" w:sz="4" w:space="0"/>
            </w:tcBorders>
            <w:shd w:val="clear" w:color="auto" w:fill="auto"/>
            <w:vAlign w:val="center"/>
          </w:tcPr>
          <w:p w14:paraId="0410543E">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机房环境的高精度数字式温湿度传感器，-45℃~+125℃的精度在±0.5℃，±5%RH ,Modbus RTU通讯,抗干扰性强，稳定可靠，OLED显示,双RJ45接口，首尾串接，支持2路干接点采集。</w:t>
            </w:r>
          </w:p>
        </w:tc>
        <w:tc>
          <w:tcPr>
            <w:tcW w:w="708" w:type="dxa"/>
            <w:tcBorders>
              <w:top w:val="nil"/>
              <w:left w:val="nil"/>
              <w:bottom w:val="single" w:color="auto" w:sz="4" w:space="0"/>
              <w:right w:val="single" w:color="auto" w:sz="4" w:space="0"/>
            </w:tcBorders>
            <w:shd w:val="clear" w:color="auto" w:fill="auto"/>
            <w:vAlign w:val="center"/>
          </w:tcPr>
          <w:p w14:paraId="24788E4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6E514F3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r>
      <w:tr w14:paraId="19F1CD61">
        <w:tblPrEx>
          <w:tblCellMar>
            <w:top w:w="0" w:type="dxa"/>
            <w:left w:w="108" w:type="dxa"/>
            <w:bottom w:w="0" w:type="dxa"/>
            <w:right w:w="108" w:type="dxa"/>
          </w:tblCellMar>
        </w:tblPrEx>
        <w:trPr>
          <w:trHeight w:val="81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3D0EAA7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471" w:type="dxa"/>
            <w:tcBorders>
              <w:top w:val="nil"/>
              <w:left w:val="nil"/>
              <w:bottom w:val="single" w:color="auto" w:sz="4" w:space="0"/>
              <w:right w:val="single" w:color="auto" w:sz="4" w:space="0"/>
            </w:tcBorders>
            <w:shd w:val="clear" w:color="auto" w:fill="auto"/>
            <w:vAlign w:val="center"/>
          </w:tcPr>
          <w:p w14:paraId="6AF242E9">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不定位漏水控制器</w:t>
            </w:r>
          </w:p>
        </w:tc>
        <w:tc>
          <w:tcPr>
            <w:tcW w:w="5006" w:type="dxa"/>
            <w:tcBorders>
              <w:top w:val="nil"/>
              <w:left w:val="nil"/>
              <w:bottom w:val="single" w:color="auto" w:sz="4" w:space="0"/>
              <w:right w:val="single" w:color="auto" w:sz="4" w:space="0"/>
            </w:tcBorders>
            <w:shd w:val="clear" w:color="auto" w:fill="auto"/>
            <w:vAlign w:val="center"/>
          </w:tcPr>
          <w:p w14:paraId="12C99FDF">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检测漏水状态，通过漏水感应线检测到漏水后，通过采集器输出一个继电器报警信号，灵敏度可调，报警干接点输出，DC12V供电，支持蜂鸣器告警。</w:t>
            </w:r>
          </w:p>
        </w:tc>
        <w:tc>
          <w:tcPr>
            <w:tcW w:w="708" w:type="dxa"/>
            <w:tcBorders>
              <w:top w:val="nil"/>
              <w:left w:val="nil"/>
              <w:bottom w:val="single" w:color="auto" w:sz="4" w:space="0"/>
              <w:right w:val="single" w:color="auto" w:sz="4" w:space="0"/>
            </w:tcBorders>
            <w:shd w:val="clear" w:color="auto" w:fill="auto"/>
            <w:vAlign w:val="center"/>
          </w:tcPr>
          <w:p w14:paraId="483EE9F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2A5A6E1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r>
      <w:tr w14:paraId="3949D80A">
        <w:tblPrEx>
          <w:tblCellMar>
            <w:top w:w="0" w:type="dxa"/>
            <w:left w:w="108" w:type="dxa"/>
            <w:bottom w:w="0" w:type="dxa"/>
            <w:right w:w="108" w:type="dxa"/>
          </w:tblCellMar>
        </w:tblPrEx>
        <w:trPr>
          <w:trHeight w:val="555"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177A48B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471" w:type="dxa"/>
            <w:tcBorders>
              <w:top w:val="nil"/>
              <w:left w:val="nil"/>
              <w:bottom w:val="single" w:color="auto" w:sz="4" w:space="0"/>
              <w:right w:val="single" w:color="auto" w:sz="4" w:space="0"/>
            </w:tcBorders>
            <w:shd w:val="clear" w:color="auto" w:fill="auto"/>
            <w:vAlign w:val="center"/>
          </w:tcPr>
          <w:p w14:paraId="5EDE0375">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不定位漏水感应线</w:t>
            </w:r>
          </w:p>
        </w:tc>
        <w:tc>
          <w:tcPr>
            <w:tcW w:w="5006" w:type="dxa"/>
            <w:tcBorders>
              <w:top w:val="nil"/>
              <w:left w:val="nil"/>
              <w:bottom w:val="single" w:color="auto" w:sz="4" w:space="0"/>
              <w:right w:val="single" w:color="auto" w:sz="4" w:space="0"/>
            </w:tcBorders>
            <w:shd w:val="clear" w:color="auto" w:fill="auto"/>
            <w:vAlign w:val="center"/>
          </w:tcPr>
          <w:p w14:paraId="05DAF500">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与不定位漏液控制器搭配使用，线长10米，据微模块大小周长选配</w:t>
            </w:r>
          </w:p>
        </w:tc>
        <w:tc>
          <w:tcPr>
            <w:tcW w:w="708" w:type="dxa"/>
            <w:tcBorders>
              <w:top w:val="nil"/>
              <w:left w:val="nil"/>
              <w:bottom w:val="single" w:color="auto" w:sz="4" w:space="0"/>
              <w:right w:val="single" w:color="auto" w:sz="4" w:space="0"/>
            </w:tcBorders>
            <w:shd w:val="clear" w:color="auto" w:fill="auto"/>
            <w:vAlign w:val="center"/>
          </w:tcPr>
          <w:p w14:paraId="6362B7E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条</w:t>
            </w:r>
          </w:p>
        </w:tc>
        <w:tc>
          <w:tcPr>
            <w:tcW w:w="709" w:type="dxa"/>
            <w:tcBorders>
              <w:top w:val="nil"/>
              <w:left w:val="nil"/>
              <w:bottom w:val="single" w:color="auto" w:sz="4" w:space="0"/>
              <w:right w:val="single" w:color="auto" w:sz="4" w:space="0"/>
            </w:tcBorders>
            <w:shd w:val="clear" w:color="auto" w:fill="auto"/>
            <w:vAlign w:val="center"/>
          </w:tcPr>
          <w:p w14:paraId="70FE8295">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r>
      <w:tr w14:paraId="54D147F5">
        <w:tblPrEx>
          <w:tblCellMar>
            <w:top w:w="0" w:type="dxa"/>
            <w:left w:w="108" w:type="dxa"/>
            <w:bottom w:w="0" w:type="dxa"/>
            <w:right w:w="108" w:type="dxa"/>
          </w:tblCellMar>
        </w:tblPrEx>
        <w:trPr>
          <w:trHeight w:val="54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295C8DC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c>
          <w:tcPr>
            <w:tcW w:w="1471" w:type="dxa"/>
            <w:tcBorders>
              <w:top w:val="nil"/>
              <w:left w:val="nil"/>
              <w:bottom w:val="single" w:color="auto" w:sz="4" w:space="0"/>
              <w:right w:val="single" w:color="auto" w:sz="4" w:space="0"/>
            </w:tcBorders>
            <w:shd w:val="clear" w:color="auto" w:fill="auto"/>
            <w:vAlign w:val="center"/>
          </w:tcPr>
          <w:p w14:paraId="1F7392E4">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烟雾传感器</w:t>
            </w:r>
          </w:p>
        </w:tc>
        <w:tc>
          <w:tcPr>
            <w:tcW w:w="5006" w:type="dxa"/>
            <w:tcBorders>
              <w:top w:val="nil"/>
              <w:left w:val="nil"/>
              <w:bottom w:val="single" w:color="auto" w:sz="4" w:space="0"/>
              <w:right w:val="single" w:color="auto" w:sz="4" w:space="0"/>
            </w:tcBorders>
            <w:shd w:val="clear" w:color="auto" w:fill="auto"/>
            <w:vAlign w:val="center"/>
          </w:tcPr>
          <w:p w14:paraId="11BE4648">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红外光电传感器、断电复位、防尘防虫抗白光、金属屏蔽罩，抗射频干扰</w:t>
            </w:r>
          </w:p>
        </w:tc>
        <w:tc>
          <w:tcPr>
            <w:tcW w:w="708" w:type="dxa"/>
            <w:tcBorders>
              <w:top w:val="nil"/>
              <w:left w:val="nil"/>
              <w:bottom w:val="single" w:color="auto" w:sz="4" w:space="0"/>
              <w:right w:val="single" w:color="auto" w:sz="4" w:space="0"/>
            </w:tcBorders>
            <w:shd w:val="clear" w:color="auto" w:fill="auto"/>
            <w:vAlign w:val="center"/>
          </w:tcPr>
          <w:p w14:paraId="090DC234">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5B77B6D9">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r>
      <w:tr w14:paraId="0F63F8E8">
        <w:tblPrEx>
          <w:tblCellMar>
            <w:top w:w="0" w:type="dxa"/>
            <w:left w:w="108" w:type="dxa"/>
            <w:bottom w:w="0" w:type="dxa"/>
            <w:right w:w="108" w:type="dxa"/>
          </w:tblCellMar>
        </w:tblPrEx>
        <w:trPr>
          <w:trHeight w:val="503"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44239EC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5</w:t>
            </w:r>
          </w:p>
        </w:tc>
        <w:tc>
          <w:tcPr>
            <w:tcW w:w="1471" w:type="dxa"/>
            <w:tcBorders>
              <w:top w:val="nil"/>
              <w:left w:val="nil"/>
              <w:bottom w:val="single" w:color="auto" w:sz="4" w:space="0"/>
              <w:right w:val="single" w:color="auto" w:sz="4" w:space="0"/>
            </w:tcBorders>
            <w:shd w:val="clear" w:color="auto" w:fill="auto"/>
            <w:vAlign w:val="center"/>
          </w:tcPr>
          <w:p w14:paraId="609680E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消防报警监测软件</w:t>
            </w:r>
          </w:p>
        </w:tc>
        <w:tc>
          <w:tcPr>
            <w:tcW w:w="5006" w:type="dxa"/>
            <w:tcBorders>
              <w:top w:val="nil"/>
              <w:left w:val="nil"/>
              <w:bottom w:val="single" w:color="auto" w:sz="4" w:space="0"/>
              <w:right w:val="single" w:color="auto" w:sz="4" w:space="0"/>
            </w:tcBorders>
            <w:shd w:val="clear" w:color="auto" w:fill="auto"/>
            <w:vAlign w:val="center"/>
          </w:tcPr>
          <w:p w14:paraId="7EA8D2DF">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消防报警监测接口软件</w:t>
            </w:r>
          </w:p>
        </w:tc>
        <w:tc>
          <w:tcPr>
            <w:tcW w:w="708" w:type="dxa"/>
            <w:tcBorders>
              <w:top w:val="nil"/>
              <w:left w:val="nil"/>
              <w:bottom w:val="single" w:color="auto" w:sz="4" w:space="0"/>
              <w:right w:val="single" w:color="auto" w:sz="4" w:space="0"/>
            </w:tcBorders>
            <w:shd w:val="clear" w:color="auto" w:fill="auto"/>
            <w:vAlign w:val="center"/>
          </w:tcPr>
          <w:p w14:paraId="7941C16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1FB5771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438DC7C4">
        <w:tblPrEx>
          <w:tblCellMar>
            <w:top w:w="0" w:type="dxa"/>
            <w:left w:w="108" w:type="dxa"/>
            <w:bottom w:w="0" w:type="dxa"/>
            <w:right w:w="108" w:type="dxa"/>
          </w:tblCellMar>
        </w:tblPrEx>
        <w:trPr>
          <w:trHeight w:val="435" w:hRule="atLeast"/>
        </w:trPr>
        <w:tc>
          <w:tcPr>
            <w:tcW w:w="864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08C5D170">
            <w:pPr>
              <w:widowControl/>
              <w:spacing w:line="240" w:lineRule="auto"/>
              <w:jc w:val="left"/>
              <w:rPr>
                <w:rFonts w:ascii="宋体" w:hAnsi="宋体" w:eastAsia="宋体" w:cs="Tahoma"/>
                <w:b/>
                <w:bCs/>
                <w:kern w:val="0"/>
                <w:sz w:val="21"/>
                <w:szCs w:val="21"/>
              </w:rPr>
            </w:pPr>
            <w:r>
              <w:rPr>
                <w:rFonts w:hint="eastAsia" w:ascii="宋体" w:hAnsi="宋体" w:eastAsia="宋体" w:cs="Tahoma"/>
                <w:b/>
                <w:bCs/>
                <w:kern w:val="0"/>
                <w:sz w:val="21"/>
                <w:szCs w:val="21"/>
              </w:rPr>
              <w:t>（二）门禁及监控系统</w:t>
            </w:r>
          </w:p>
        </w:tc>
      </w:tr>
      <w:tr w14:paraId="430CA437">
        <w:tblPrEx>
          <w:tblCellMar>
            <w:top w:w="0" w:type="dxa"/>
            <w:left w:w="108" w:type="dxa"/>
            <w:bottom w:w="0" w:type="dxa"/>
            <w:right w:w="108" w:type="dxa"/>
          </w:tblCellMar>
        </w:tblPrEx>
        <w:trPr>
          <w:trHeight w:val="540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2805A74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471" w:type="dxa"/>
            <w:tcBorders>
              <w:top w:val="nil"/>
              <w:left w:val="nil"/>
              <w:bottom w:val="single" w:color="auto" w:sz="4" w:space="0"/>
              <w:right w:val="single" w:color="auto" w:sz="4" w:space="0"/>
            </w:tcBorders>
            <w:shd w:val="clear" w:color="auto" w:fill="auto"/>
            <w:vAlign w:val="center"/>
          </w:tcPr>
          <w:p w14:paraId="6221BBC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人脸识别一体机</w:t>
            </w:r>
          </w:p>
        </w:tc>
        <w:tc>
          <w:tcPr>
            <w:tcW w:w="5006" w:type="dxa"/>
            <w:tcBorders>
              <w:top w:val="nil"/>
              <w:left w:val="nil"/>
              <w:bottom w:val="single" w:color="auto" w:sz="4" w:space="0"/>
              <w:right w:val="single" w:color="auto" w:sz="4" w:space="0"/>
            </w:tcBorders>
            <w:shd w:val="clear" w:color="auto" w:fill="auto"/>
            <w:vAlign w:val="center"/>
          </w:tcPr>
          <w:p w14:paraId="5AEA8B38">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 设备采用≥7英寸触摸显示屏，屏幕分辨率≥1024*600，可显示软件界面及操作提示，设备实时检测最大人脸，具有人脸框提示设计，方便校准。</w:t>
            </w:r>
            <w:r>
              <w:rPr>
                <w:rFonts w:hint="eastAsia" w:ascii="宋体" w:hAnsi="宋体" w:eastAsia="宋体" w:cs="Tahoma"/>
                <w:kern w:val="0"/>
                <w:sz w:val="21"/>
                <w:szCs w:val="21"/>
              </w:rPr>
              <w:br w:type="textWrapping"/>
            </w:r>
            <w:r>
              <w:rPr>
                <w:rFonts w:hint="eastAsia" w:ascii="宋体" w:hAnsi="宋体" w:eastAsia="宋体" w:cs="Tahoma"/>
                <w:kern w:val="0"/>
                <w:sz w:val="21"/>
                <w:szCs w:val="21"/>
              </w:rPr>
              <w:t>2. 不少于2个摄像头（1个可见光摄像头+1个红外摄像头），码流支持≥1920×1080@25帧/秒，适应强光、逆光、弱光等条件下的人脸识别，支持通过人脸及人体测光，快速调节图像亮度</w:t>
            </w:r>
            <w:r>
              <w:rPr>
                <w:rFonts w:hint="eastAsia" w:ascii="宋体" w:hAnsi="宋体" w:eastAsia="宋体" w:cs="Tahoma"/>
                <w:kern w:val="0"/>
                <w:sz w:val="21"/>
                <w:szCs w:val="21"/>
              </w:rPr>
              <w:br w:type="textWrapping"/>
            </w:r>
            <w:r>
              <w:rPr>
                <w:rFonts w:hint="eastAsia" w:ascii="宋体" w:hAnsi="宋体" w:eastAsia="宋体" w:cs="Tahoma"/>
                <w:kern w:val="0"/>
                <w:sz w:val="21"/>
                <w:szCs w:val="21"/>
              </w:rPr>
              <w:t>3. 设备支持≥10000张人脸白名单、≥50000张卡片，≥150000条本地出入记录，支持通过韦根接口外接门禁主机或韦根读卡器；</w:t>
            </w:r>
            <w:r>
              <w:rPr>
                <w:rFonts w:hint="eastAsia" w:ascii="宋体" w:hAnsi="宋体" w:eastAsia="宋体" w:cs="Tahoma"/>
                <w:kern w:val="0"/>
                <w:sz w:val="21"/>
                <w:szCs w:val="21"/>
              </w:rPr>
              <w:br w:type="textWrapping"/>
            </w:r>
            <w:r>
              <w:rPr>
                <w:rFonts w:hint="eastAsia" w:ascii="宋体" w:hAnsi="宋体" w:eastAsia="宋体" w:cs="Tahoma"/>
                <w:kern w:val="0"/>
                <w:sz w:val="21"/>
                <w:szCs w:val="21"/>
              </w:rPr>
              <w:t>4. 屏幕采用不低于水滴屏全贴合工艺，玻璃屏占比≥90%，屏幕流明度≥600cd/m2，具有指示灯支持固定频率的亮起和熄灭（呼吸状态）及识别状态提示；</w:t>
            </w:r>
            <w:r>
              <w:rPr>
                <w:rFonts w:hint="eastAsia" w:ascii="宋体" w:hAnsi="宋体" w:eastAsia="宋体" w:cs="Tahoma"/>
                <w:kern w:val="0"/>
                <w:sz w:val="21"/>
                <w:szCs w:val="21"/>
              </w:rPr>
              <w:br w:type="textWrapping"/>
            </w:r>
            <w:r>
              <w:rPr>
                <w:rFonts w:hint="eastAsia" w:ascii="宋体" w:hAnsi="宋体" w:eastAsia="宋体" w:cs="Tahoma"/>
                <w:kern w:val="0"/>
                <w:sz w:val="21"/>
                <w:szCs w:val="21"/>
              </w:rPr>
              <w:t>5. 支持刷卡+密码、指纹+密码、指纹+刷卡、人脸+指纹、人脸+密码、人脸+刷卡、指纹+刷卡+密码、人脸+指纹+刷卡、人脸+密码+指纹等复合认证；</w:t>
            </w:r>
            <w:r>
              <w:rPr>
                <w:rFonts w:hint="eastAsia" w:ascii="宋体" w:hAnsi="宋体" w:eastAsia="宋体" w:cs="Tahoma"/>
                <w:kern w:val="0"/>
                <w:sz w:val="21"/>
                <w:szCs w:val="21"/>
              </w:rPr>
              <w:br w:type="textWrapping"/>
            </w:r>
            <w:r>
              <w:rPr>
                <w:rFonts w:hint="eastAsia" w:ascii="宋体" w:hAnsi="宋体" w:eastAsia="宋体" w:cs="Tahoma"/>
                <w:kern w:val="0"/>
                <w:sz w:val="21"/>
                <w:szCs w:val="21"/>
              </w:rPr>
              <w:t>6. 具有≥1个RS485、≥1个wiegand 、≥1个typeC、≥1个门磁、≥2个报警输入、≥1个防拆、≥1个开门按钮、≥1个电锁、≥1个报警输出，内置扬声器，工作温度范围不低于-30℃～60℃。</w:t>
            </w:r>
          </w:p>
        </w:tc>
        <w:tc>
          <w:tcPr>
            <w:tcW w:w="708" w:type="dxa"/>
            <w:tcBorders>
              <w:top w:val="nil"/>
              <w:left w:val="nil"/>
              <w:bottom w:val="single" w:color="auto" w:sz="4" w:space="0"/>
              <w:right w:val="single" w:color="auto" w:sz="4" w:space="0"/>
            </w:tcBorders>
            <w:shd w:val="clear" w:color="auto" w:fill="auto"/>
            <w:vAlign w:val="center"/>
          </w:tcPr>
          <w:p w14:paraId="366B754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5E16FAB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r>
      <w:tr w14:paraId="0F003564">
        <w:tblPrEx>
          <w:tblCellMar>
            <w:top w:w="0" w:type="dxa"/>
            <w:left w:w="108" w:type="dxa"/>
            <w:bottom w:w="0" w:type="dxa"/>
            <w:right w:w="108" w:type="dxa"/>
          </w:tblCellMar>
        </w:tblPrEx>
        <w:trPr>
          <w:trHeight w:val="567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7927EE58">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471" w:type="dxa"/>
            <w:tcBorders>
              <w:top w:val="nil"/>
              <w:left w:val="nil"/>
              <w:bottom w:val="single" w:color="auto" w:sz="4" w:space="0"/>
              <w:right w:val="single" w:color="auto" w:sz="4" w:space="0"/>
            </w:tcBorders>
            <w:shd w:val="clear" w:color="auto" w:fill="auto"/>
            <w:vAlign w:val="center"/>
          </w:tcPr>
          <w:p w14:paraId="28C2B6C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红外半球型网络摄像机</w:t>
            </w:r>
          </w:p>
        </w:tc>
        <w:tc>
          <w:tcPr>
            <w:tcW w:w="5006" w:type="dxa"/>
            <w:tcBorders>
              <w:top w:val="nil"/>
              <w:left w:val="nil"/>
              <w:bottom w:val="single" w:color="auto" w:sz="4" w:space="0"/>
              <w:right w:val="single" w:color="auto" w:sz="4" w:space="0"/>
            </w:tcBorders>
            <w:shd w:val="clear" w:color="auto" w:fill="auto"/>
            <w:vAlign w:val="center"/>
          </w:tcPr>
          <w:p w14:paraId="44F093A2">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1、智能高清半球摄像机，视频分辨率和帧率≥2560x1440、25帧/秒，支持水平、垂直、旋转三轴调节，最低照度彩色≤0.005 lx，视频压缩标准需支持H.265和H.264；</w:t>
            </w:r>
            <w:r>
              <w:rPr>
                <w:rFonts w:hint="eastAsia" w:ascii="宋体" w:hAnsi="宋体" w:eastAsia="宋体" w:cs="Tahoma"/>
                <w:kern w:val="0"/>
                <w:sz w:val="21"/>
                <w:szCs w:val="21"/>
              </w:rPr>
              <w:br w:type="textWrapping"/>
            </w:r>
            <w:r>
              <w:rPr>
                <w:rFonts w:hint="eastAsia" w:ascii="宋体" w:hAnsi="宋体" w:eastAsia="宋体" w:cs="Tahoma"/>
                <w:kern w:val="0"/>
                <w:sz w:val="21"/>
                <w:szCs w:val="21"/>
              </w:rPr>
              <w:t>2. 内置≥1颗GPU芯片，具备区域入侵、越界侦测、进入区域、离开区域等智能分析功能。</w:t>
            </w:r>
            <w:r>
              <w:rPr>
                <w:rFonts w:hint="eastAsia" w:ascii="宋体" w:hAnsi="宋体" w:eastAsia="宋体" w:cs="Tahoma"/>
                <w:kern w:val="0"/>
                <w:sz w:val="21"/>
                <w:szCs w:val="21"/>
              </w:rPr>
              <w:br w:type="textWrapping"/>
            </w:r>
            <w:r>
              <w:rPr>
                <w:rFonts w:hint="eastAsia" w:ascii="宋体" w:hAnsi="宋体" w:eastAsia="宋体" w:cs="Tahoma"/>
                <w:kern w:val="0"/>
                <w:sz w:val="21"/>
                <w:szCs w:val="21"/>
              </w:rPr>
              <w:t>3. 支持白光补光、混合补光模式，支持自动和手动亮度调节模式，当在自动模式下补光灯开启时，可跟据被摄物的距离自动调节补光灯亮度，在开启白光灯进行补光时，可输出彩色视频图像；</w:t>
            </w:r>
            <w:r>
              <w:rPr>
                <w:rFonts w:hint="eastAsia" w:ascii="宋体" w:hAnsi="宋体" w:eastAsia="宋体" w:cs="Tahoma"/>
                <w:kern w:val="0"/>
                <w:sz w:val="21"/>
                <w:szCs w:val="21"/>
              </w:rPr>
              <w:br w:type="textWrapping"/>
            </w:r>
            <w:r>
              <w:rPr>
                <w:rFonts w:hint="eastAsia" w:ascii="宋体" w:hAnsi="宋体" w:eastAsia="宋体" w:cs="Tahoma"/>
                <w:kern w:val="0"/>
                <w:sz w:val="21"/>
                <w:szCs w:val="21"/>
              </w:rPr>
              <w:t>4. 支持快捷配置功能，可在预览画面开启/关闭快捷配置页面，支持配置常用图像参数、OSD配置、视音频参数、智能资源分配模式、智能参数配置等，并支持恢复默认操作；支持声光报警功能，报警声音类型≥12种并支持自定义语音，报警音量及重复次数可设置；</w:t>
            </w:r>
            <w:r>
              <w:rPr>
                <w:rFonts w:hint="eastAsia" w:ascii="宋体" w:hAnsi="宋体" w:eastAsia="宋体" w:cs="Tahoma"/>
                <w:kern w:val="0"/>
                <w:sz w:val="21"/>
                <w:szCs w:val="21"/>
              </w:rPr>
              <w:br w:type="textWrapping"/>
            </w:r>
            <w:r>
              <w:rPr>
                <w:rFonts w:hint="eastAsia" w:ascii="宋体" w:hAnsi="宋体" w:eastAsia="宋体" w:cs="Tahoma"/>
                <w:kern w:val="0"/>
                <w:sz w:val="21"/>
                <w:szCs w:val="21"/>
              </w:rPr>
              <w:t>5. 支持POE供电，具有≥1个DC12V电源输出接口，≥1个存储卡接口，≥1对音频输入/输出接口、≥1对报警输入输出接口、≥1个麦克风、≥1个扬声器，白光补光距离≥20米、混合补光距离≥30米，防护等级IP66或以上。</w:t>
            </w:r>
          </w:p>
        </w:tc>
        <w:tc>
          <w:tcPr>
            <w:tcW w:w="708" w:type="dxa"/>
            <w:tcBorders>
              <w:top w:val="nil"/>
              <w:left w:val="nil"/>
              <w:bottom w:val="single" w:color="auto" w:sz="4" w:space="0"/>
              <w:right w:val="single" w:color="auto" w:sz="4" w:space="0"/>
            </w:tcBorders>
            <w:shd w:val="clear" w:color="auto" w:fill="auto"/>
            <w:vAlign w:val="center"/>
          </w:tcPr>
          <w:p w14:paraId="2F0F31B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265BEC70">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r>
      <w:tr w14:paraId="44542DF6">
        <w:tblPrEx>
          <w:tblCellMar>
            <w:top w:w="0" w:type="dxa"/>
            <w:left w:w="108" w:type="dxa"/>
            <w:bottom w:w="0" w:type="dxa"/>
            <w:right w:w="108" w:type="dxa"/>
          </w:tblCellMar>
        </w:tblPrEx>
        <w:trPr>
          <w:trHeight w:val="243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474ACED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471" w:type="dxa"/>
            <w:tcBorders>
              <w:top w:val="nil"/>
              <w:left w:val="nil"/>
              <w:bottom w:val="single" w:color="auto" w:sz="4" w:space="0"/>
              <w:right w:val="single" w:color="auto" w:sz="4" w:space="0"/>
            </w:tcBorders>
            <w:shd w:val="clear" w:color="auto" w:fill="auto"/>
            <w:vAlign w:val="center"/>
          </w:tcPr>
          <w:p w14:paraId="4638094A">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网络硬盘录像机（含硬盘）</w:t>
            </w:r>
          </w:p>
        </w:tc>
        <w:tc>
          <w:tcPr>
            <w:tcW w:w="5006" w:type="dxa"/>
            <w:tcBorders>
              <w:top w:val="nil"/>
              <w:left w:val="nil"/>
              <w:bottom w:val="single" w:color="auto" w:sz="4" w:space="0"/>
              <w:right w:val="single" w:color="auto" w:sz="4" w:space="0"/>
            </w:tcBorders>
            <w:shd w:val="clear" w:color="auto" w:fill="auto"/>
            <w:vAlign w:val="center"/>
          </w:tcPr>
          <w:p w14:paraId="06F773F1">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1、2*8T硬盘，集成高性能GPU模块，内嵌深度学习算法，集IPC接入、存储、管理、控制、智能分析于一体，实现精确的人脸分析，包括人脸图片抓拍、建模、比对、检索等。</w:t>
            </w:r>
            <w:r>
              <w:rPr>
                <w:rFonts w:hint="eastAsia" w:ascii="宋体" w:hAnsi="宋体" w:eastAsia="宋体" w:cs="Tahoma"/>
                <w:kern w:val="0"/>
                <w:sz w:val="21"/>
                <w:szCs w:val="21"/>
              </w:rPr>
              <w:br w:type="textWrapping"/>
            </w:r>
            <w:r>
              <w:rPr>
                <w:rFonts w:hint="eastAsia" w:ascii="宋体" w:hAnsi="宋体" w:eastAsia="宋体" w:cs="Tahoma"/>
                <w:kern w:val="0"/>
                <w:sz w:val="21"/>
                <w:szCs w:val="21"/>
              </w:rPr>
              <w:t>2、支持Smart265/H.265/Smart264/H.264编码前端自适应接入</w:t>
            </w:r>
            <w:r>
              <w:rPr>
                <w:rFonts w:hint="eastAsia" w:ascii="宋体" w:hAnsi="宋体" w:eastAsia="宋体" w:cs="Tahoma"/>
                <w:kern w:val="0"/>
                <w:sz w:val="21"/>
                <w:szCs w:val="21"/>
              </w:rPr>
              <w:br w:type="textWrapping"/>
            </w:r>
            <w:r>
              <w:rPr>
                <w:rFonts w:hint="eastAsia" w:ascii="宋体" w:hAnsi="宋体" w:eastAsia="宋体" w:cs="Tahoma"/>
                <w:kern w:val="0"/>
                <w:sz w:val="21"/>
                <w:szCs w:val="21"/>
              </w:rPr>
              <w:t xml:space="preserve"> 3、最高支持4路视频流人脸抓拍和16路图片流人脸比对</w:t>
            </w:r>
            <w:r>
              <w:rPr>
                <w:rFonts w:hint="eastAsia" w:ascii="宋体" w:hAnsi="宋体" w:eastAsia="宋体" w:cs="Tahoma"/>
                <w:kern w:val="0"/>
                <w:sz w:val="21"/>
                <w:szCs w:val="21"/>
              </w:rPr>
              <w:br w:type="textWrapping"/>
            </w:r>
            <w:r>
              <w:rPr>
                <w:rFonts w:hint="eastAsia" w:ascii="宋体" w:hAnsi="宋体" w:eastAsia="宋体" w:cs="Tahoma"/>
                <w:kern w:val="0"/>
                <w:sz w:val="21"/>
                <w:szCs w:val="21"/>
              </w:rPr>
              <w:t xml:space="preserve"> 4、支持2个SATA接口，可用于录像和备份</w:t>
            </w:r>
          </w:p>
        </w:tc>
        <w:tc>
          <w:tcPr>
            <w:tcW w:w="708" w:type="dxa"/>
            <w:tcBorders>
              <w:top w:val="nil"/>
              <w:left w:val="nil"/>
              <w:bottom w:val="single" w:color="auto" w:sz="4" w:space="0"/>
              <w:right w:val="single" w:color="auto" w:sz="4" w:space="0"/>
            </w:tcBorders>
            <w:shd w:val="clear" w:color="auto" w:fill="auto"/>
            <w:vAlign w:val="center"/>
          </w:tcPr>
          <w:p w14:paraId="6F03B149">
            <w:pPr>
              <w:widowControl/>
              <w:spacing w:line="240" w:lineRule="auto"/>
              <w:jc w:val="center"/>
              <w:rPr>
                <w:rFonts w:ascii="宋体" w:hAnsi="宋体" w:eastAsia="宋体" w:cs="Tahoma"/>
                <w:kern w:val="0"/>
                <w:sz w:val="21"/>
                <w:szCs w:val="21"/>
              </w:rPr>
            </w:pPr>
            <w:r>
              <w:rPr>
                <w:rFonts w:hint="eastAsia" w:ascii="宋体" w:hAnsi="宋体" w:eastAsia="宋体" w:cs="Tahoma"/>
                <w:color w:val="FF0000"/>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7CEA3950">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2252E7DF">
        <w:tblPrEx>
          <w:tblCellMar>
            <w:top w:w="0" w:type="dxa"/>
            <w:left w:w="108" w:type="dxa"/>
            <w:bottom w:w="0" w:type="dxa"/>
            <w:right w:w="108" w:type="dxa"/>
          </w:tblCellMar>
        </w:tblPrEx>
        <w:trPr>
          <w:trHeight w:val="39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4BB7BAC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c>
          <w:tcPr>
            <w:tcW w:w="1471" w:type="dxa"/>
            <w:tcBorders>
              <w:top w:val="nil"/>
              <w:left w:val="nil"/>
              <w:bottom w:val="single" w:color="auto" w:sz="4" w:space="0"/>
              <w:right w:val="single" w:color="auto" w:sz="4" w:space="0"/>
            </w:tcBorders>
            <w:shd w:val="clear" w:color="auto" w:fill="auto"/>
            <w:vAlign w:val="center"/>
          </w:tcPr>
          <w:p w14:paraId="2C5A608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软件系统</w:t>
            </w:r>
          </w:p>
        </w:tc>
        <w:tc>
          <w:tcPr>
            <w:tcW w:w="5006" w:type="dxa"/>
            <w:tcBorders>
              <w:top w:val="nil"/>
              <w:left w:val="nil"/>
              <w:bottom w:val="single" w:color="auto" w:sz="4" w:space="0"/>
              <w:right w:val="single" w:color="auto" w:sz="4" w:space="0"/>
            </w:tcBorders>
            <w:shd w:val="clear" w:color="auto" w:fill="auto"/>
            <w:vAlign w:val="center"/>
          </w:tcPr>
          <w:p w14:paraId="777D3DE9">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门禁及监控系统接口软件</w:t>
            </w:r>
          </w:p>
        </w:tc>
        <w:tc>
          <w:tcPr>
            <w:tcW w:w="708" w:type="dxa"/>
            <w:tcBorders>
              <w:top w:val="nil"/>
              <w:left w:val="nil"/>
              <w:bottom w:val="single" w:color="auto" w:sz="4" w:space="0"/>
              <w:right w:val="single" w:color="auto" w:sz="4" w:space="0"/>
            </w:tcBorders>
            <w:shd w:val="clear" w:color="auto" w:fill="auto"/>
            <w:vAlign w:val="center"/>
          </w:tcPr>
          <w:p w14:paraId="49FD8C48">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709" w:type="dxa"/>
            <w:tcBorders>
              <w:top w:val="nil"/>
              <w:left w:val="nil"/>
              <w:bottom w:val="single" w:color="auto" w:sz="4" w:space="0"/>
              <w:right w:val="single" w:color="auto" w:sz="4" w:space="0"/>
            </w:tcBorders>
            <w:shd w:val="clear" w:color="auto" w:fill="auto"/>
            <w:vAlign w:val="center"/>
          </w:tcPr>
          <w:p w14:paraId="6E4999D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27DF16AC">
        <w:tblPrEx>
          <w:tblCellMar>
            <w:top w:w="0" w:type="dxa"/>
            <w:left w:w="108" w:type="dxa"/>
            <w:bottom w:w="0" w:type="dxa"/>
            <w:right w:w="108" w:type="dxa"/>
          </w:tblCellMar>
        </w:tblPrEx>
        <w:trPr>
          <w:trHeight w:val="702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2734780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5</w:t>
            </w:r>
          </w:p>
        </w:tc>
        <w:tc>
          <w:tcPr>
            <w:tcW w:w="1471" w:type="dxa"/>
            <w:tcBorders>
              <w:top w:val="nil"/>
              <w:left w:val="nil"/>
              <w:bottom w:val="single" w:color="auto" w:sz="4" w:space="0"/>
              <w:right w:val="single" w:color="auto" w:sz="4" w:space="0"/>
            </w:tcBorders>
            <w:shd w:val="clear" w:color="auto" w:fill="auto"/>
            <w:vAlign w:val="center"/>
          </w:tcPr>
          <w:p w14:paraId="4C4A41A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一体化监控主机</w:t>
            </w:r>
          </w:p>
        </w:tc>
        <w:tc>
          <w:tcPr>
            <w:tcW w:w="5006" w:type="dxa"/>
            <w:tcBorders>
              <w:top w:val="nil"/>
              <w:left w:val="nil"/>
              <w:bottom w:val="single" w:color="auto" w:sz="4" w:space="0"/>
              <w:right w:val="single" w:color="auto" w:sz="4" w:space="0"/>
            </w:tcBorders>
            <w:shd w:val="clear" w:color="auto" w:fill="auto"/>
            <w:vAlign w:val="center"/>
          </w:tcPr>
          <w:p w14:paraId="62CCFD80">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1、1U机架式，≥4个RS232/RS485串口，≥6个RS485串口，12路输入干接点，4路输出干接点，双网口设计，支持12V直流电源输出，双电源供电。</w:t>
            </w:r>
            <w:r>
              <w:rPr>
                <w:rFonts w:hint="eastAsia" w:ascii="宋体" w:hAnsi="宋体" w:eastAsia="宋体" w:cs="Tahoma"/>
                <w:kern w:val="0"/>
                <w:sz w:val="21"/>
                <w:szCs w:val="21"/>
              </w:rPr>
              <w:br w:type="textWrapping"/>
            </w:r>
            <w:r>
              <w:rPr>
                <w:rFonts w:hint="eastAsia" w:ascii="宋体" w:hAnsi="宋体" w:eastAsia="宋体" w:cs="Tahoma"/>
                <w:kern w:val="0"/>
                <w:sz w:val="21"/>
                <w:szCs w:val="21"/>
              </w:rPr>
              <w:t>2、本地监控系统具备基于B/S架构的WEB访问功能，授权用户可以通过浏览器远程访问监控系统；</w:t>
            </w:r>
            <w:r>
              <w:rPr>
                <w:rFonts w:hint="eastAsia" w:ascii="宋体" w:hAnsi="宋体" w:eastAsia="宋体" w:cs="Tahoma"/>
                <w:kern w:val="0"/>
                <w:sz w:val="21"/>
                <w:szCs w:val="21"/>
              </w:rPr>
              <w:br w:type="textWrapping"/>
            </w:r>
            <w:r>
              <w:rPr>
                <w:rFonts w:hint="eastAsia" w:ascii="宋体" w:hAnsi="宋体" w:eastAsia="宋体" w:cs="Tahoma"/>
                <w:kern w:val="0"/>
                <w:sz w:val="21"/>
                <w:szCs w:val="21"/>
              </w:rPr>
              <w:t>3、支持10寸（1280*800)或49寸(1920*1080）触摸屏界面展示；</w:t>
            </w:r>
            <w:r>
              <w:rPr>
                <w:rFonts w:hint="eastAsia" w:ascii="宋体" w:hAnsi="宋体" w:eastAsia="宋体" w:cs="Tahoma"/>
                <w:kern w:val="0"/>
                <w:sz w:val="21"/>
                <w:szCs w:val="21"/>
              </w:rPr>
              <w:br w:type="textWrapping"/>
            </w:r>
            <w:r>
              <w:rPr>
                <w:rFonts w:hint="eastAsia" w:ascii="宋体" w:hAnsi="宋体" w:eastAsia="宋体" w:cs="Tahoma"/>
                <w:kern w:val="0"/>
                <w:sz w:val="21"/>
                <w:szCs w:val="21"/>
              </w:rPr>
              <w:t>4、支持设备监控实时状态，系统日志查询，设备管理、用户管理，系统设置、时间设置等相关系统参数配置，以及系统升级功能；</w:t>
            </w:r>
            <w:r>
              <w:rPr>
                <w:rFonts w:hint="eastAsia" w:ascii="宋体" w:hAnsi="宋体" w:eastAsia="宋体" w:cs="Tahoma"/>
                <w:kern w:val="0"/>
                <w:sz w:val="21"/>
                <w:szCs w:val="21"/>
              </w:rPr>
              <w:br w:type="textWrapping"/>
            </w:r>
            <w:r>
              <w:rPr>
                <w:rFonts w:hint="eastAsia" w:ascii="宋体" w:hAnsi="宋体" w:eastAsia="宋体" w:cs="Tahoma"/>
                <w:kern w:val="0"/>
                <w:sz w:val="21"/>
                <w:szCs w:val="21"/>
              </w:rPr>
              <w:t>5、支持通过配置SNMP北向协议接口访问微模块监控系统；</w:t>
            </w:r>
            <w:r>
              <w:rPr>
                <w:rFonts w:hint="eastAsia" w:ascii="宋体" w:hAnsi="宋体" w:eastAsia="宋体" w:cs="Tahoma"/>
                <w:kern w:val="0"/>
                <w:sz w:val="21"/>
                <w:szCs w:val="21"/>
              </w:rPr>
              <w:br w:type="textWrapping"/>
            </w:r>
            <w:r>
              <w:rPr>
                <w:rFonts w:hint="eastAsia" w:ascii="宋体" w:hAnsi="宋体" w:eastAsia="宋体" w:cs="Tahoma"/>
                <w:kern w:val="0"/>
                <w:sz w:val="21"/>
                <w:szCs w:val="21"/>
              </w:rPr>
              <w:t>6、支持自定义计划任务实现制冷调节，UPS关机，UPS放电，支持任务提醒，并可通过短信、邮件等方式提前通知用户；</w:t>
            </w:r>
            <w:r>
              <w:rPr>
                <w:rFonts w:hint="eastAsia" w:ascii="宋体" w:hAnsi="宋体" w:eastAsia="宋体" w:cs="Tahoma"/>
                <w:kern w:val="0"/>
                <w:sz w:val="21"/>
                <w:szCs w:val="21"/>
              </w:rPr>
              <w:br w:type="textWrapping"/>
            </w:r>
            <w:r>
              <w:rPr>
                <w:rFonts w:hint="eastAsia" w:ascii="宋体" w:hAnsi="宋体" w:eastAsia="宋体" w:cs="Tahoma"/>
                <w:kern w:val="0"/>
                <w:sz w:val="21"/>
                <w:szCs w:val="21"/>
              </w:rPr>
              <w:t>7、支持设备历史事件图表、历史数据的图表展示，事件列表查询、历史数据列表查询，并可以excel表格导出；</w:t>
            </w:r>
            <w:r>
              <w:rPr>
                <w:rFonts w:hint="eastAsia" w:ascii="宋体" w:hAnsi="宋体" w:eastAsia="宋体" w:cs="Tahoma"/>
                <w:kern w:val="0"/>
                <w:sz w:val="21"/>
                <w:szCs w:val="21"/>
              </w:rPr>
              <w:br w:type="textWrapping"/>
            </w:r>
            <w:r>
              <w:rPr>
                <w:rFonts w:hint="eastAsia" w:ascii="宋体" w:hAnsi="宋体" w:eastAsia="宋体" w:cs="Tahoma"/>
                <w:kern w:val="0"/>
                <w:sz w:val="21"/>
                <w:szCs w:val="21"/>
              </w:rPr>
              <w:t>8、实现告警等级管理、告警事件管理、告警通知方式、用户告警设置、告警通知记录、告警联动管理、告警通知模板设置、告警屏蔽管理、告警收敛管理等功能。可自定义告警等级，自定义告警通知模板，自定义告警屏蔽策略以及告警收敛策略软件；</w:t>
            </w:r>
            <w:r>
              <w:rPr>
                <w:rFonts w:hint="eastAsia" w:ascii="宋体" w:hAnsi="宋体" w:eastAsia="宋体" w:cs="Tahoma"/>
                <w:kern w:val="0"/>
                <w:sz w:val="21"/>
                <w:szCs w:val="21"/>
              </w:rPr>
              <w:br w:type="textWrapping"/>
            </w:r>
            <w:r>
              <w:rPr>
                <w:rFonts w:hint="eastAsia" w:ascii="宋体" w:hAnsi="宋体" w:eastAsia="宋体" w:cs="Tahoma"/>
                <w:kern w:val="0"/>
                <w:sz w:val="21"/>
                <w:szCs w:val="21"/>
              </w:rPr>
              <w:t>9、支持微模块内配电容量，制冷容量，U位容量的手动配置管理与展示；</w:t>
            </w:r>
          </w:p>
        </w:tc>
        <w:tc>
          <w:tcPr>
            <w:tcW w:w="708" w:type="dxa"/>
            <w:tcBorders>
              <w:top w:val="nil"/>
              <w:left w:val="nil"/>
              <w:bottom w:val="single" w:color="auto" w:sz="4" w:space="0"/>
              <w:right w:val="single" w:color="auto" w:sz="4" w:space="0"/>
            </w:tcBorders>
            <w:shd w:val="clear" w:color="auto" w:fill="auto"/>
            <w:vAlign w:val="center"/>
          </w:tcPr>
          <w:p w14:paraId="09F6591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3E2DC0E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355F8744">
        <w:tblPrEx>
          <w:tblCellMar>
            <w:top w:w="0" w:type="dxa"/>
            <w:left w:w="108" w:type="dxa"/>
            <w:bottom w:w="0" w:type="dxa"/>
            <w:right w:w="108" w:type="dxa"/>
          </w:tblCellMar>
        </w:tblPrEx>
        <w:trPr>
          <w:trHeight w:val="54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396EFA5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6</w:t>
            </w:r>
          </w:p>
        </w:tc>
        <w:tc>
          <w:tcPr>
            <w:tcW w:w="1471" w:type="dxa"/>
            <w:tcBorders>
              <w:top w:val="nil"/>
              <w:left w:val="nil"/>
              <w:bottom w:val="single" w:color="auto" w:sz="4" w:space="0"/>
              <w:right w:val="single" w:color="auto" w:sz="4" w:space="0"/>
            </w:tcBorders>
            <w:shd w:val="clear" w:color="auto" w:fill="auto"/>
            <w:vAlign w:val="center"/>
          </w:tcPr>
          <w:p w14:paraId="7D696C6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智能设备接入</w:t>
            </w:r>
          </w:p>
        </w:tc>
        <w:tc>
          <w:tcPr>
            <w:tcW w:w="5006" w:type="dxa"/>
            <w:tcBorders>
              <w:top w:val="nil"/>
              <w:left w:val="nil"/>
              <w:bottom w:val="single" w:color="auto" w:sz="4" w:space="0"/>
              <w:right w:val="single" w:color="auto" w:sz="4" w:space="0"/>
            </w:tcBorders>
            <w:shd w:val="clear" w:color="auto" w:fill="auto"/>
            <w:vAlign w:val="center"/>
          </w:tcPr>
          <w:p w14:paraId="4D5555E9">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智能设备接入，包含UPS主机，精密空调等智能设备与传感器接入。</w:t>
            </w:r>
          </w:p>
        </w:tc>
        <w:tc>
          <w:tcPr>
            <w:tcW w:w="708" w:type="dxa"/>
            <w:tcBorders>
              <w:top w:val="nil"/>
              <w:left w:val="nil"/>
              <w:bottom w:val="single" w:color="auto" w:sz="4" w:space="0"/>
              <w:right w:val="single" w:color="auto" w:sz="4" w:space="0"/>
            </w:tcBorders>
            <w:shd w:val="clear" w:color="auto" w:fill="auto"/>
            <w:vAlign w:val="center"/>
          </w:tcPr>
          <w:p w14:paraId="15FE948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项</w:t>
            </w:r>
          </w:p>
        </w:tc>
        <w:tc>
          <w:tcPr>
            <w:tcW w:w="709" w:type="dxa"/>
            <w:tcBorders>
              <w:top w:val="nil"/>
              <w:left w:val="nil"/>
              <w:bottom w:val="single" w:color="auto" w:sz="4" w:space="0"/>
              <w:right w:val="single" w:color="auto" w:sz="4" w:space="0"/>
            </w:tcBorders>
            <w:shd w:val="clear" w:color="auto" w:fill="auto"/>
            <w:vAlign w:val="center"/>
          </w:tcPr>
          <w:p w14:paraId="42C9899E">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2A1CAB18">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2D8FEEC4">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7</w:t>
            </w:r>
          </w:p>
        </w:tc>
        <w:tc>
          <w:tcPr>
            <w:tcW w:w="1471" w:type="dxa"/>
            <w:tcBorders>
              <w:top w:val="nil"/>
              <w:left w:val="nil"/>
              <w:bottom w:val="single" w:color="auto" w:sz="4" w:space="0"/>
              <w:right w:val="single" w:color="auto" w:sz="4" w:space="0"/>
            </w:tcBorders>
            <w:shd w:val="clear" w:color="auto" w:fill="auto"/>
            <w:vAlign w:val="center"/>
          </w:tcPr>
          <w:p w14:paraId="60D2F9DA">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4G通讯模块</w:t>
            </w:r>
          </w:p>
        </w:tc>
        <w:tc>
          <w:tcPr>
            <w:tcW w:w="5006" w:type="dxa"/>
            <w:tcBorders>
              <w:top w:val="nil"/>
              <w:left w:val="nil"/>
              <w:bottom w:val="single" w:color="auto" w:sz="4" w:space="0"/>
              <w:right w:val="single" w:color="auto" w:sz="4" w:space="0"/>
            </w:tcBorders>
            <w:shd w:val="clear" w:color="auto" w:fill="auto"/>
            <w:vAlign w:val="center"/>
          </w:tcPr>
          <w:p w14:paraId="5A23EEC6">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内置卡，LTE模块，支持移动\联通\电信模块</w:t>
            </w:r>
          </w:p>
        </w:tc>
        <w:tc>
          <w:tcPr>
            <w:tcW w:w="708" w:type="dxa"/>
            <w:tcBorders>
              <w:top w:val="nil"/>
              <w:left w:val="nil"/>
              <w:bottom w:val="single" w:color="auto" w:sz="4" w:space="0"/>
              <w:right w:val="single" w:color="auto" w:sz="4" w:space="0"/>
            </w:tcBorders>
            <w:shd w:val="clear" w:color="auto" w:fill="auto"/>
            <w:vAlign w:val="center"/>
          </w:tcPr>
          <w:p w14:paraId="62378EC4">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4458D26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7C27A878">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5A8D77CE">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8</w:t>
            </w:r>
          </w:p>
        </w:tc>
        <w:tc>
          <w:tcPr>
            <w:tcW w:w="1471" w:type="dxa"/>
            <w:tcBorders>
              <w:top w:val="nil"/>
              <w:left w:val="nil"/>
              <w:bottom w:val="single" w:color="auto" w:sz="4" w:space="0"/>
              <w:right w:val="single" w:color="auto" w:sz="4" w:space="0"/>
            </w:tcBorders>
            <w:shd w:val="clear" w:color="auto" w:fill="auto"/>
            <w:vAlign w:val="center"/>
          </w:tcPr>
          <w:p w14:paraId="0DC71C4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声光报警器</w:t>
            </w:r>
          </w:p>
        </w:tc>
        <w:tc>
          <w:tcPr>
            <w:tcW w:w="5006" w:type="dxa"/>
            <w:tcBorders>
              <w:top w:val="nil"/>
              <w:left w:val="nil"/>
              <w:bottom w:val="single" w:color="auto" w:sz="4" w:space="0"/>
              <w:right w:val="single" w:color="auto" w:sz="4" w:space="0"/>
            </w:tcBorders>
            <w:shd w:val="clear" w:color="auto" w:fill="auto"/>
            <w:vAlign w:val="center"/>
          </w:tcPr>
          <w:p w14:paraId="082A200F">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全红色塑料壳，装在冷通道前门右上方</w:t>
            </w:r>
          </w:p>
        </w:tc>
        <w:tc>
          <w:tcPr>
            <w:tcW w:w="708" w:type="dxa"/>
            <w:tcBorders>
              <w:top w:val="nil"/>
              <w:left w:val="nil"/>
              <w:bottom w:val="single" w:color="auto" w:sz="4" w:space="0"/>
              <w:right w:val="single" w:color="auto" w:sz="4" w:space="0"/>
            </w:tcBorders>
            <w:shd w:val="clear" w:color="auto" w:fill="auto"/>
            <w:vAlign w:val="center"/>
          </w:tcPr>
          <w:p w14:paraId="360C0F90">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个</w:t>
            </w:r>
          </w:p>
        </w:tc>
        <w:tc>
          <w:tcPr>
            <w:tcW w:w="709" w:type="dxa"/>
            <w:tcBorders>
              <w:top w:val="nil"/>
              <w:left w:val="nil"/>
              <w:bottom w:val="single" w:color="auto" w:sz="4" w:space="0"/>
              <w:right w:val="single" w:color="auto" w:sz="4" w:space="0"/>
            </w:tcBorders>
            <w:shd w:val="clear" w:color="auto" w:fill="auto"/>
            <w:vAlign w:val="center"/>
          </w:tcPr>
          <w:p w14:paraId="3E4A7EB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3627A630">
        <w:tblPrEx>
          <w:tblCellMar>
            <w:top w:w="0" w:type="dxa"/>
            <w:left w:w="108" w:type="dxa"/>
            <w:bottom w:w="0" w:type="dxa"/>
            <w:right w:w="108" w:type="dxa"/>
          </w:tblCellMar>
        </w:tblPrEx>
        <w:trPr>
          <w:trHeight w:val="81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221C08C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9</w:t>
            </w:r>
          </w:p>
        </w:tc>
        <w:tc>
          <w:tcPr>
            <w:tcW w:w="1471" w:type="dxa"/>
            <w:tcBorders>
              <w:top w:val="nil"/>
              <w:left w:val="nil"/>
              <w:bottom w:val="single" w:color="auto" w:sz="4" w:space="0"/>
              <w:right w:val="single" w:color="auto" w:sz="4" w:space="0"/>
            </w:tcBorders>
            <w:shd w:val="clear" w:color="auto" w:fill="auto"/>
            <w:vAlign w:val="center"/>
          </w:tcPr>
          <w:p w14:paraId="048FAB8A">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触摸屏</w:t>
            </w:r>
          </w:p>
        </w:tc>
        <w:tc>
          <w:tcPr>
            <w:tcW w:w="5006" w:type="dxa"/>
            <w:tcBorders>
              <w:top w:val="nil"/>
              <w:left w:val="nil"/>
              <w:bottom w:val="single" w:color="auto" w:sz="4" w:space="0"/>
              <w:right w:val="single" w:color="auto" w:sz="4" w:space="0"/>
            </w:tcBorders>
            <w:shd w:val="clear" w:color="auto" w:fill="auto"/>
            <w:vAlign w:val="center"/>
          </w:tcPr>
          <w:p w14:paraId="3E4A6DA9">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10寸触摸屏、自带处理器，linux操作系统，1280*800分辨率 网络接口通讯，主要实现监控设备的实时信息展示，告警展示。</w:t>
            </w:r>
          </w:p>
        </w:tc>
        <w:tc>
          <w:tcPr>
            <w:tcW w:w="708" w:type="dxa"/>
            <w:tcBorders>
              <w:top w:val="nil"/>
              <w:left w:val="nil"/>
              <w:bottom w:val="single" w:color="auto" w:sz="4" w:space="0"/>
              <w:right w:val="single" w:color="auto" w:sz="4" w:space="0"/>
            </w:tcBorders>
            <w:shd w:val="clear" w:color="auto" w:fill="auto"/>
            <w:vAlign w:val="center"/>
          </w:tcPr>
          <w:p w14:paraId="12A06F5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150C7B9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2C974880">
        <w:tblPrEx>
          <w:tblCellMar>
            <w:top w:w="0" w:type="dxa"/>
            <w:left w:w="108" w:type="dxa"/>
            <w:bottom w:w="0" w:type="dxa"/>
            <w:right w:w="108" w:type="dxa"/>
          </w:tblCellMar>
        </w:tblPrEx>
        <w:trPr>
          <w:trHeight w:val="216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6ACF1D88">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10</w:t>
            </w:r>
          </w:p>
        </w:tc>
        <w:tc>
          <w:tcPr>
            <w:tcW w:w="1471" w:type="dxa"/>
            <w:tcBorders>
              <w:top w:val="nil"/>
              <w:left w:val="nil"/>
              <w:bottom w:val="single" w:color="auto" w:sz="4" w:space="0"/>
              <w:right w:val="single" w:color="auto" w:sz="4" w:space="0"/>
            </w:tcBorders>
            <w:shd w:val="clear" w:color="auto" w:fill="auto"/>
            <w:vAlign w:val="center"/>
          </w:tcPr>
          <w:p w14:paraId="07F7F6A8">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24口PoE交换机</w:t>
            </w:r>
          </w:p>
        </w:tc>
        <w:tc>
          <w:tcPr>
            <w:tcW w:w="5006" w:type="dxa"/>
            <w:tcBorders>
              <w:top w:val="nil"/>
              <w:left w:val="nil"/>
              <w:bottom w:val="single" w:color="auto" w:sz="4" w:space="0"/>
              <w:right w:val="single" w:color="auto" w:sz="4" w:space="0"/>
            </w:tcBorders>
            <w:shd w:val="clear" w:color="auto" w:fill="auto"/>
            <w:vAlign w:val="center"/>
          </w:tcPr>
          <w:p w14:paraId="453972C7">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提供24个千兆PoE电口，1个千兆电口，1个千兆光口；交换容量≥ 52 Gbps；包转发率≥ 38.688 Mpps。</w:t>
            </w:r>
            <w:r>
              <w:rPr>
                <w:rFonts w:hint="eastAsia" w:ascii="宋体" w:hAnsi="宋体" w:eastAsia="宋体" w:cs="Tahoma"/>
                <w:kern w:val="0"/>
                <w:sz w:val="21"/>
                <w:szCs w:val="21"/>
              </w:rPr>
              <w:br w:type="textWrapping"/>
            </w:r>
            <w:r>
              <w:rPr>
                <w:rFonts w:hint="eastAsia" w:ascii="宋体" w:hAnsi="宋体" w:eastAsia="宋体" w:cs="Tahoma"/>
                <w:kern w:val="0"/>
                <w:sz w:val="21"/>
                <w:szCs w:val="21"/>
              </w:rPr>
              <w:t>支持IEEE 802.3at/af</w:t>
            </w:r>
            <w:r>
              <w:rPr>
                <w:rFonts w:hint="eastAsia" w:ascii="宋体" w:hAnsi="宋体" w:eastAsia="宋体" w:cs="Tahoma"/>
                <w:kern w:val="0"/>
                <w:sz w:val="21"/>
                <w:szCs w:val="21"/>
              </w:rPr>
              <w:br w:type="textWrapping"/>
            </w:r>
            <w:r>
              <w:rPr>
                <w:rFonts w:hint="eastAsia" w:ascii="宋体" w:hAnsi="宋体" w:eastAsia="宋体" w:cs="Tahoma"/>
                <w:kern w:val="0"/>
                <w:sz w:val="21"/>
                <w:szCs w:val="21"/>
              </w:rPr>
              <w:t>支持IEEE 802.3、IEEE 802.3u、IEEE 802.3x、IEEE802.3ab、IEEE802.3z</w:t>
            </w:r>
            <w:r>
              <w:rPr>
                <w:rFonts w:hint="eastAsia" w:ascii="宋体" w:hAnsi="宋体" w:eastAsia="宋体" w:cs="Tahoma"/>
                <w:kern w:val="0"/>
                <w:sz w:val="21"/>
                <w:szCs w:val="21"/>
              </w:rPr>
              <w:br w:type="textWrapping"/>
            </w:r>
            <w:r>
              <w:rPr>
                <w:rFonts w:hint="eastAsia" w:ascii="宋体" w:hAnsi="宋体" w:eastAsia="宋体" w:cs="Tahoma"/>
                <w:kern w:val="0"/>
                <w:sz w:val="21"/>
                <w:szCs w:val="21"/>
              </w:rPr>
              <w:t>支持6KV防浪涌（PoE口）</w:t>
            </w:r>
            <w:r>
              <w:rPr>
                <w:rFonts w:hint="eastAsia" w:ascii="宋体" w:hAnsi="宋体" w:eastAsia="宋体" w:cs="Tahoma"/>
                <w:kern w:val="0"/>
                <w:sz w:val="21"/>
                <w:szCs w:val="21"/>
              </w:rPr>
              <w:br w:type="textWrapping"/>
            </w:r>
            <w:r>
              <w:rPr>
                <w:rFonts w:hint="eastAsia" w:ascii="宋体" w:hAnsi="宋体" w:eastAsia="宋体" w:cs="Tahoma"/>
                <w:kern w:val="0"/>
                <w:sz w:val="21"/>
                <w:szCs w:val="21"/>
              </w:rPr>
              <w:t>支持PoE输出功率管理</w:t>
            </w:r>
          </w:p>
        </w:tc>
        <w:tc>
          <w:tcPr>
            <w:tcW w:w="708" w:type="dxa"/>
            <w:tcBorders>
              <w:top w:val="nil"/>
              <w:left w:val="nil"/>
              <w:bottom w:val="single" w:color="auto" w:sz="4" w:space="0"/>
              <w:right w:val="single" w:color="auto" w:sz="4" w:space="0"/>
            </w:tcBorders>
            <w:shd w:val="clear" w:color="auto" w:fill="auto"/>
            <w:vAlign w:val="center"/>
          </w:tcPr>
          <w:p w14:paraId="262A550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709" w:type="dxa"/>
            <w:tcBorders>
              <w:top w:val="nil"/>
              <w:left w:val="nil"/>
              <w:bottom w:val="single" w:color="auto" w:sz="4" w:space="0"/>
              <w:right w:val="single" w:color="auto" w:sz="4" w:space="0"/>
            </w:tcBorders>
            <w:shd w:val="clear" w:color="auto" w:fill="auto"/>
            <w:vAlign w:val="center"/>
          </w:tcPr>
          <w:p w14:paraId="500883E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5BA6B8CF">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66CF9564">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11</w:t>
            </w:r>
          </w:p>
        </w:tc>
        <w:tc>
          <w:tcPr>
            <w:tcW w:w="1471" w:type="dxa"/>
            <w:tcBorders>
              <w:top w:val="nil"/>
              <w:left w:val="nil"/>
              <w:bottom w:val="single" w:color="auto" w:sz="4" w:space="0"/>
              <w:right w:val="single" w:color="auto" w:sz="4" w:space="0"/>
            </w:tcBorders>
            <w:shd w:val="clear" w:color="auto" w:fill="auto"/>
            <w:vAlign w:val="center"/>
          </w:tcPr>
          <w:p w14:paraId="069AF1FE">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安装实施</w:t>
            </w:r>
          </w:p>
        </w:tc>
        <w:tc>
          <w:tcPr>
            <w:tcW w:w="5006" w:type="dxa"/>
            <w:tcBorders>
              <w:top w:val="nil"/>
              <w:left w:val="nil"/>
              <w:bottom w:val="single" w:color="auto" w:sz="4" w:space="0"/>
              <w:right w:val="single" w:color="auto" w:sz="4" w:space="0"/>
            </w:tcBorders>
            <w:shd w:val="clear" w:color="auto" w:fill="auto"/>
            <w:vAlign w:val="center"/>
          </w:tcPr>
          <w:p w14:paraId="1DC513D3">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微模块搭建安装，并提供指导服务。</w:t>
            </w:r>
          </w:p>
        </w:tc>
        <w:tc>
          <w:tcPr>
            <w:tcW w:w="708" w:type="dxa"/>
            <w:tcBorders>
              <w:top w:val="nil"/>
              <w:left w:val="nil"/>
              <w:bottom w:val="single" w:color="auto" w:sz="4" w:space="0"/>
              <w:right w:val="single" w:color="auto" w:sz="4" w:space="0"/>
            </w:tcBorders>
            <w:shd w:val="clear" w:color="auto" w:fill="auto"/>
            <w:vAlign w:val="center"/>
          </w:tcPr>
          <w:p w14:paraId="7B1409C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项</w:t>
            </w:r>
          </w:p>
        </w:tc>
        <w:tc>
          <w:tcPr>
            <w:tcW w:w="709" w:type="dxa"/>
            <w:tcBorders>
              <w:top w:val="nil"/>
              <w:left w:val="nil"/>
              <w:bottom w:val="single" w:color="auto" w:sz="4" w:space="0"/>
              <w:right w:val="single" w:color="auto" w:sz="4" w:space="0"/>
            </w:tcBorders>
            <w:shd w:val="clear" w:color="auto" w:fill="auto"/>
            <w:vAlign w:val="center"/>
          </w:tcPr>
          <w:p w14:paraId="51CE74F9">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277869F2">
        <w:tblPrEx>
          <w:tblCellMar>
            <w:top w:w="0" w:type="dxa"/>
            <w:left w:w="108" w:type="dxa"/>
            <w:bottom w:w="0" w:type="dxa"/>
            <w:right w:w="108" w:type="dxa"/>
          </w:tblCellMar>
        </w:tblPrEx>
        <w:trPr>
          <w:trHeight w:val="420" w:hRule="atLeast"/>
        </w:trPr>
        <w:tc>
          <w:tcPr>
            <w:tcW w:w="864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3F967D3">
            <w:pPr>
              <w:widowControl/>
              <w:spacing w:line="240" w:lineRule="auto"/>
              <w:jc w:val="left"/>
              <w:rPr>
                <w:rFonts w:ascii="宋体" w:hAnsi="宋体" w:eastAsia="宋体" w:cs="Tahoma"/>
                <w:b/>
                <w:bCs/>
                <w:kern w:val="0"/>
                <w:sz w:val="21"/>
                <w:szCs w:val="21"/>
              </w:rPr>
            </w:pPr>
            <w:r>
              <w:rPr>
                <w:rFonts w:hint="eastAsia" w:ascii="宋体" w:hAnsi="宋体" w:eastAsia="宋体" w:cs="Tahoma"/>
                <w:b/>
                <w:bCs/>
                <w:kern w:val="0"/>
                <w:sz w:val="21"/>
                <w:szCs w:val="21"/>
              </w:rPr>
              <w:t>五、施工辅材</w:t>
            </w:r>
          </w:p>
        </w:tc>
      </w:tr>
      <w:tr w14:paraId="1F3BBE26">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bottom"/>
          </w:tcPr>
          <w:p w14:paraId="04C6D3E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471" w:type="dxa"/>
            <w:tcBorders>
              <w:top w:val="nil"/>
              <w:left w:val="nil"/>
              <w:bottom w:val="single" w:color="auto" w:sz="4" w:space="0"/>
              <w:right w:val="single" w:color="auto" w:sz="4" w:space="0"/>
            </w:tcBorders>
            <w:shd w:val="clear" w:color="auto" w:fill="auto"/>
            <w:vAlign w:val="center"/>
          </w:tcPr>
          <w:p w14:paraId="17F7E0C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设备支架1</w:t>
            </w:r>
          </w:p>
        </w:tc>
        <w:tc>
          <w:tcPr>
            <w:tcW w:w="5006" w:type="dxa"/>
            <w:tcBorders>
              <w:top w:val="nil"/>
              <w:left w:val="nil"/>
              <w:bottom w:val="single" w:color="auto" w:sz="4" w:space="0"/>
              <w:right w:val="single" w:color="auto" w:sz="4" w:space="0"/>
            </w:tcBorders>
            <w:shd w:val="clear" w:color="auto" w:fill="auto"/>
            <w:vAlign w:val="center"/>
          </w:tcPr>
          <w:p w14:paraId="22C1F1E5">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电池角钢/槽钢支架</w:t>
            </w:r>
          </w:p>
        </w:tc>
        <w:tc>
          <w:tcPr>
            <w:tcW w:w="708" w:type="dxa"/>
            <w:tcBorders>
              <w:top w:val="nil"/>
              <w:left w:val="nil"/>
              <w:bottom w:val="single" w:color="auto" w:sz="4" w:space="0"/>
              <w:right w:val="single" w:color="auto" w:sz="4" w:space="0"/>
            </w:tcBorders>
            <w:shd w:val="clear" w:color="auto" w:fill="auto"/>
            <w:vAlign w:val="center"/>
          </w:tcPr>
          <w:p w14:paraId="698268AA">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项</w:t>
            </w:r>
          </w:p>
        </w:tc>
        <w:tc>
          <w:tcPr>
            <w:tcW w:w="709" w:type="dxa"/>
            <w:tcBorders>
              <w:top w:val="nil"/>
              <w:left w:val="nil"/>
              <w:bottom w:val="single" w:color="auto" w:sz="4" w:space="0"/>
              <w:right w:val="single" w:color="auto" w:sz="4" w:space="0"/>
            </w:tcBorders>
            <w:shd w:val="clear" w:color="auto" w:fill="auto"/>
            <w:vAlign w:val="center"/>
          </w:tcPr>
          <w:p w14:paraId="4147C3D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6B592ED4">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bottom"/>
          </w:tcPr>
          <w:p w14:paraId="4CF5A8F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471" w:type="dxa"/>
            <w:tcBorders>
              <w:top w:val="nil"/>
              <w:left w:val="nil"/>
              <w:bottom w:val="single" w:color="auto" w:sz="4" w:space="0"/>
              <w:right w:val="single" w:color="auto" w:sz="4" w:space="0"/>
            </w:tcBorders>
            <w:shd w:val="clear" w:color="auto" w:fill="auto"/>
            <w:vAlign w:val="center"/>
          </w:tcPr>
          <w:p w14:paraId="0787DE9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设备支架2</w:t>
            </w:r>
          </w:p>
        </w:tc>
        <w:tc>
          <w:tcPr>
            <w:tcW w:w="5006" w:type="dxa"/>
            <w:tcBorders>
              <w:top w:val="nil"/>
              <w:left w:val="nil"/>
              <w:bottom w:val="single" w:color="auto" w:sz="4" w:space="0"/>
              <w:right w:val="single" w:color="auto" w:sz="4" w:space="0"/>
            </w:tcBorders>
            <w:shd w:val="clear" w:color="auto" w:fill="auto"/>
            <w:vAlign w:val="center"/>
          </w:tcPr>
          <w:p w14:paraId="72318307">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室外机支架或者室外机基础</w:t>
            </w:r>
          </w:p>
        </w:tc>
        <w:tc>
          <w:tcPr>
            <w:tcW w:w="708" w:type="dxa"/>
            <w:tcBorders>
              <w:top w:val="nil"/>
              <w:left w:val="nil"/>
              <w:bottom w:val="single" w:color="auto" w:sz="4" w:space="0"/>
              <w:right w:val="single" w:color="auto" w:sz="4" w:space="0"/>
            </w:tcBorders>
            <w:shd w:val="clear" w:color="auto" w:fill="auto"/>
            <w:vAlign w:val="center"/>
          </w:tcPr>
          <w:p w14:paraId="7E32010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709" w:type="dxa"/>
            <w:tcBorders>
              <w:top w:val="nil"/>
              <w:left w:val="nil"/>
              <w:bottom w:val="single" w:color="auto" w:sz="4" w:space="0"/>
              <w:right w:val="single" w:color="auto" w:sz="4" w:space="0"/>
            </w:tcBorders>
            <w:shd w:val="clear" w:color="auto" w:fill="auto"/>
            <w:vAlign w:val="center"/>
          </w:tcPr>
          <w:p w14:paraId="2AA692B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r>
      <w:tr w14:paraId="7FC80C2F">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bottom"/>
          </w:tcPr>
          <w:p w14:paraId="5DEC0A70">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471" w:type="dxa"/>
            <w:tcBorders>
              <w:top w:val="nil"/>
              <w:left w:val="nil"/>
              <w:bottom w:val="single" w:color="auto" w:sz="4" w:space="0"/>
              <w:right w:val="single" w:color="auto" w:sz="4" w:space="0"/>
            </w:tcBorders>
            <w:shd w:val="clear" w:color="auto" w:fill="auto"/>
            <w:vAlign w:val="center"/>
          </w:tcPr>
          <w:p w14:paraId="543C500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设备支架3</w:t>
            </w:r>
          </w:p>
        </w:tc>
        <w:tc>
          <w:tcPr>
            <w:tcW w:w="5006" w:type="dxa"/>
            <w:tcBorders>
              <w:top w:val="nil"/>
              <w:left w:val="nil"/>
              <w:bottom w:val="single" w:color="auto" w:sz="4" w:space="0"/>
              <w:right w:val="single" w:color="auto" w:sz="4" w:space="0"/>
            </w:tcBorders>
            <w:shd w:val="clear" w:color="auto" w:fill="auto"/>
            <w:vAlign w:val="center"/>
          </w:tcPr>
          <w:p w14:paraId="1C6AF2A6">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整体微模块底座采用5号角钢</w:t>
            </w:r>
          </w:p>
        </w:tc>
        <w:tc>
          <w:tcPr>
            <w:tcW w:w="708" w:type="dxa"/>
            <w:tcBorders>
              <w:top w:val="nil"/>
              <w:left w:val="nil"/>
              <w:bottom w:val="single" w:color="auto" w:sz="4" w:space="0"/>
              <w:right w:val="single" w:color="auto" w:sz="4" w:space="0"/>
            </w:tcBorders>
            <w:shd w:val="clear" w:color="auto" w:fill="auto"/>
            <w:vAlign w:val="center"/>
          </w:tcPr>
          <w:p w14:paraId="39AC4505">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709" w:type="dxa"/>
            <w:tcBorders>
              <w:top w:val="nil"/>
              <w:left w:val="nil"/>
              <w:bottom w:val="single" w:color="auto" w:sz="4" w:space="0"/>
              <w:right w:val="single" w:color="auto" w:sz="4" w:space="0"/>
            </w:tcBorders>
            <w:shd w:val="clear" w:color="auto" w:fill="auto"/>
            <w:vAlign w:val="center"/>
          </w:tcPr>
          <w:p w14:paraId="4A55FA6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13</w:t>
            </w:r>
          </w:p>
        </w:tc>
      </w:tr>
      <w:tr w14:paraId="4986D482">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bottom"/>
          </w:tcPr>
          <w:p w14:paraId="40EDA43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c>
          <w:tcPr>
            <w:tcW w:w="1471" w:type="dxa"/>
            <w:tcBorders>
              <w:top w:val="nil"/>
              <w:left w:val="nil"/>
              <w:bottom w:val="single" w:color="auto" w:sz="4" w:space="0"/>
              <w:right w:val="single" w:color="auto" w:sz="4" w:space="0"/>
            </w:tcBorders>
            <w:shd w:val="clear" w:color="auto" w:fill="auto"/>
            <w:vAlign w:val="center"/>
          </w:tcPr>
          <w:p w14:paraId="559F483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市电进线电缆</w:t>
            </w:r>
          </w:p>
        </w:tc>
        <w:tc>
          <w:tcPr>
            <w:tcW w:w="5006" w:type="dxa"/>
            <w:tcBorders>
              <w:top w:val="nil"/>
              <w:left w:val="nil"/>
              <w:bottom w:val="single" w:color="auto" w:sz="4" w:space="0"/>
              <w:right w:val="single" w:color="auto" w:sz="4" w:space="0"/>
            </w:tcBorders>
            <w:shd w:val="clear" w:color="auto" w:fill="auto"/>
            <w:vAlign w:val="center"/>
          </w:tcPr>
          <w:p w14:paraId="192F7393">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国标</w:t>
            </w:r>
          </w:p>
        </w:tc>
        <w:tc>
          <w:tcPr>
            <w:tcW w:w="708" w:type="dxa"/>
            <w:tcBorders>
              <w:top w:val="nil"/>
              <w:left w:val="nil"/>
              <w:bottom w:val="single" w:color="auto" w:sz="4" w:space="0"/>
              <w:right w:val="single" w:color="auto" w:sz="4" w:space="0"/>
            </w:tcBorders>
            <w:shd w:val="clear" w:color="auto" w:fill="auto"/>
            <w:vAlign w:val="center"/>
          </w:tcPr>
          <w:p w14:paraId="1AD3541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M</w:t>
            </w:r>
          </w:p>
        </w:tc>
        <w:tc>
          <w:tcPr>
            <w:tcW w:w="709" w:type="dxa"/>
            <w:tcBorders>
              <w:top w:val="nil"/>
              <w:left w:val="nil"/>
              <w:bottom w:val="single" w:color="auto" w:sz="4" w:space="0"/>
              <w:right w:val="single" w:color="auto" w:sz="4" w:space="0"/>
            </w:tcBorders>
            <w:shd w:val="clear" w:color="auto" w:fill="auto"/>
            <w:vAlign w:val="center"/>
          </w:tcPr>
          <w:p w14:paraId="2B0992E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5000</w:t>
            </w:r>
          </w:p>
        </w:tc>
      </w:tr>
      <w:tr w14:paraId="7C7278FB">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bottom"/>
          </w:tcPr>
          <w:p w14:paraId="7FCBA16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5</w:t>
            </w:r>
          </w:p>
        </w:tc>
        <w:tc>
          <w:tcPr>
            <w:tcW w:w="1471" w:type="dxa"/>
            <w:tcBorders>
              <w:top w:val="nil"/>
              <w:left w:val="nil"/>
              <w:bottom w:val="single" w:color="auto" w:sz="4" w:space="0"/>
              <w:right w:val="single" w:color="auto" w:sz="4" w:space="0"/>
            </w:tcBorders>
            <w:shd w:val="clear" w:color="auto" w:fill="auto"/>
            <w:vAlign w:val="center"/>
          </w:tcPr>
          <w:p w14:paraId="1CE8E86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PDU连接电缆</w:t>
            </w:r>
          </w:p>
        </w:tc>
        <w:tc>
          <w:tcPr>
            <w:tcW w:w="5006" w:type="dxa"/>
            <w:tcBorders>
              <w:top w:val="nil"/>
              <w:left w:val="nil"/>
              <w:bottom w:val="single" w:color="auto" w:sz="4" w:space="0"/>
              <w:right w:val="single" w:color="auto" w:sz="4" w:space="0"/>
            </w:tcBorders>
            <w:shd w:val="clear" w:color="auto" w:fill="auto"/>
            <w:vAlign w:val="center"/>
          </w:tcPr>
          <w:p w14:paraId="5C6A12E0">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PDU连接电缆RVV3*6</w:t>
            </w:r>
          </w:p>
        </w:tc>
        <w:tc>
          <w:tcPr>
            <w:tcW w:w="708" w:type="dxa"/>
            <w:tcBorders>
              <w:top w:val="nil"/>
              <w:left w:val="nil"/>
              <w:bottom w:val="single" w:color="auto" w:sz="4" w:space="0"/>
              <w:right w:val="single" w:color="auto" w:sz="4" w:space="0"/>
            </w:tcBorders>
            <w:shd w:val="clear" w:color="auto" w:fill="auto"/>
            <w:vAlign w:val="center"/>
          </w:tcPr>
          <w:p w14:paraId="2005C00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M</w:t>
            </w:r>
          </w:p>
        </w:tc>
        <w:tc>
          <w:tcPr>
            <w:tcW w:w="709" w:type="dxa"/>
            <w:tcBorders>
              <w:top w:val="nil"/>
              <w:left w:val="nil"/>
              <w:bottom w:val="single" w:color="auto" w:sz="4" w:space="0"/>
              <w:right w:val="single" w:color="auto" w:sz="4" w:space="0"/>
            </w:tcBorders>
            <w:shd w:val="clear" w:color="auto" w:fill="auto"/>
            <w:vAlign w:val="center"/>
          </w:tcPr>
          <w:p w14:paraId="7615CA2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150</w:t>
            </w:r>
          </w:p>
        </w:tc>
      </w:tr>
      <w:tr w14:paraId="7B1296A0">
        <w:tblPrEx>
          <w:tblCellMar>
            <w:top w:w="0" w:type="dxa"/>
            <w:left w:w="108" w:type="dxa"/>
            <w:bottom w:w="0" w:type="dxa"/>
            <w:right w:w="108" w:type="dxa"/>
          </w:tblCellMar>
        </w:tblPrEx>
        <w:trPr>
          <w:trHeight w:val="420" w:hRule="atLeast"/>
        </w:trPr>
        <w:tc>
          <w:tcPr>
            <w:tcW w:w="7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67BF4C3">
            <w:pPr>
              <w:widowControl/>
              <w:spacing w:line="240" w:lineRule="auto"/>
              <w:jc w:val="left"/>
              <w:rPr>
                <w:rFonts w:ascii="宋体" w:hAnsi="宋体" w:eastAsia="宋体" w:cs="Tahoma"/>
                <w:b/>
                <w:bCs/>
                <w:kern w:val="0"/>
                <w:sz w:val="21"/>
                <w:szCs w:val="21"/>
              </w:rPr>
            </w:pPr>
            <w:r>
              <w:rPr>
                <w:rFonts w:hint="eastAsia" w:ascii="宋体" w:hAnsi="宋体" w:eastAsia="宋体" w:cs="Tahoma"/>
                <w:b/>
                <w:bCs/>
                <w:kern w:val="0"/>
                <w:sz w:val="21"/>
                <w:szCs w:val="21"/>
              </w:rPr>
              <w:t>六、精密空调实施</w:t>
            </w:r>
          </w:p>
        </w:tc>
        <w:tc>
          <w:tcPr>
            <w:tcW w:w="708" w:type="dxa"/>
            <w:tcBorders>
              <w:top w:val="nil"/>
              <w:left w:val="nil"/>
              <w:bottom w:val="single" w:color="auto" w:sz="4" w:space="0"/>
              <w:right w:val="single" w:color="auto" w:sz="4" w:space="0"/>
            </w:tcBorders>
            <w:shd w:val="clear" w:color="auto" w:fill="auto"/>
            <w:vAlign w:val="center"/>
          </w:tcPr>
          <w:p w14:paraId="2209CD8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14:paraId="0549B16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r>
      <w:tr w14:paraId="314E6BDC">
        <w:tblPrEx>
          <w:tblCellMar>
            <w:top w:w="0" w:type="dxa"/>
            <w:left w:w="108" w:type="dxa"/>
            <w:bottom w:w="0" w:type="dxa"/>
            <w:right w:w="108" w:type="dxa"/>
          </w:tblCellMar>
        </w:tblPrEx>
        <w:trPr>
          <w:trHeight w:val="525" w:hRule="atLeast"/>
        </w:trPr>
        <w:tc>
          <w:tcPr>
            <w:tcW w:w="748" w:type="dxa"/>
            <w:tcBorders>
              <w:top w:val="nil"/>
              <w:left w:val="single" w:color="auto" w:sz="4" w:space="0"/>
              <w:bottom w:val="single" w:color="auto" w:sz="4" w:space="0"/>
              <w:right w:val="single" w:color="auto" w:sz="4" w:space="0"/>
            </w:tcBorders>
            <w:shd w:val="clear" w:color="auto" w:fill="auto"/>
            <w:vAlign w:val="bottom"/>
          </w:tcPr>
          <w:p w14:paraId="5047530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471" w:type="dxa"/>
            <w:tcBorders>
              <w:top w:val="nil"/>
              <w:left w:val="nil"/>
              <w:bottom w:val="single" w:color="auto" w:sz="4" w:space="0"/>
              <w:right w:val="single" w:color="auto" w:sz="4" w:space="0"/>
            </w:tcBorders>
            <w:shd w:val="clear" w:color="auto" w:fill="auto"/>
            <w:vAlign w:val="center"/>
          </w:tcPr>
          <w:p w14:paraId="7759E2F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空调铜管</w:t>
            </w:r>
          </w:p>
        </w:tc>
        <w:tc>
          <w:tcPr>
            <w:tcW w:w="5006" w:type="dxa"/>
            <w:tcBorders>
              <w:top w:val="nil"/>
              <w:left w:val="nil"/>
              <w:bottom w:val="single" w:color="auto" w:sz="4" w:space="0"/>
              <w:right w:val="single" w:color="auto" w:sz="4" w:space="0"/>
            </w:tcBorders>
            <w:shd w:val="clear" w:color="auto" w:fill="auto"/>
            <w:vAlign w:val="center"/>
          </w:tcPr>
          <w:p w14:paraId="01005B04">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空调铜管配套铜管，单台空调配置30米铜管、铜管保温。</w:t>
            </w:r>
          </w:p>
        </w:tc>
        <w:tc>
          <w:tcPr>
            <w:tcW w:w="708" w:type="dxa"/>
            <w:tcBorders>
              <w:top w:val="nil"/>
              <w:left w:val="nil"/>
              <w:bottom w:val="single" w:color="auto" w:sz="4" w:space="0"/>
              <w:right w:val="single" w:color="auto" w:sz="4" w:space="0"/>
            </w:tcBorders>
            <w:shd w:val="clear" w:color="auto" w:fill="auto"/>
            <w:vAlign w:val="center"/>
          </w:tcPr>
          <w:p w14:paraId="05F7165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M</w:t>
            </w:r>
          </w:p>
        </w:tc>
        <w:tc>
          <w:tcPr>
            <w:tcW w:w="709" w:type="dxa"/>
            <w:tcBorders>
              <w:top w:val="nil"/>
              <w:left w:val="nil"/>
              <w:bottom w:val="single" w:color="auto" w:sz="4" w:space="0"/>
              <w:right w:val="single" w:color="auto" w:sz="4" w:space="0"/>
            </w:tcBorders>
            <w:shd w:val="clear" w:color="auto" w:fill="auto"/>
            <w:vAlign w:val="center"/>
          </w:tcPr>
          <w:p w14:paraId="042DCB8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60</w:t>
            </w:r>
          </w:p>
        </w:tc>
      </w:tr>
      <w:tr w14:paraId="0B2ADBD7">
        <w:tblPrEx>
          <w:tblCellMar>
            <w:top w:w="0" w:type="dxa"/>
            <w:left w:w="108" w:type="dxa"/>
            <w:bottom w:w="0" w:type="dxa"/>
            <w:right w:w="108" w:type="dxa"/>
          </w:tblCellMar>
        </w:tblPrEx>
        <w:trPr>
          <w:trHeight w:val="368" w:hRule="atLeast"/>
        </w:trPr>
        <w:tc>
          <w:tcPr>
            <w:tcW w:w="748" w:type="dxa"/>
            <w:tcBorders>
              <w:top w:val="nil"/>
              <w:left w:val="single" w:color="auto" w:sz="4" w:space="0"/>
              <w:bottom w:val="single" w:color="auto" w:sz="4" w:space="0"/>
              <w:right w:val="single" w:color="auto" w:sz="4" w:space="0"/>
            </w:tcBorders>
            <w:shd w:val="clear" w:color="auto" w:fill="auto"/>
            <w:vAlign w:val="bottom"/>
          </w:tcPr>
          <w:p w14:paraId="20AA3685">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471" w:type="dxa"/>
            <w:tcBorders>
              <w:top w:val="nil"/>
              <w:left w:val="nil"/>
              <w:bottom w:val="single" w:color="auto" w:sz="4" w:space="0"/>
              <w:right w:val="single" w:color="auto" w:sz="4" w:space="0"/>
            </w:tcBorders>
            <w:shd w:val="clear" w:color="auto" w:fill="auto"/>
            <w:vAlign w:val="center"/>
          </w:tcPr>
          <w:p w14:paraId="493DA0C0">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空调安装制冷剂</w:t>
            </w:r>
          </w:p>
        </w:tc>
        <w:tc>
          <w:tcPr>
            <w:tcW w:w="5006" w:type="dxa"/>
            <w:tcBorders>
              <w:top w:val="nil"/>
              <w:left w:val="nil"/>
              <w:bottom w:val="single" w:color="auto" w:sz="4" w:space="0"/>
              <w:right w:val="single" w:color="auto" w:sz="4" w:space="0"/>
            </w:tcBorders>
            <w:shd w:val="clear" w:color="auto" w:fill="auto"/>
            <w:vAlign w:val="center"/>
          </w:tcPr>
          <w:p w14:paraId="25A2E02D">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空调制冷剂R410</w:t>
            </w:r>
          </w:p>
        </w:tc>
        <w:tc>
          <w:tcPr>
            <w:tcW w:w="708" w:type="dxa"/>
            <w:tcBorders>
              <w:top w:val="nil"/>
              <w:left w:val="nil"/>
              <w:bottom w:val="single" w:color="auto" w:sz="4" w:space="0"/>
              <w:right w:val="single" w:color="auto" w:sz="4" w:space="0"/>
            </w:tcBorders>
            <w:shd w:val="clear" w:color="auto" w:fill="auto"/>
            <w:vAlign w:val="center"/>
          </w:tcPr>
          <w:p w14:paraId="032FC46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709" w:type="dxa"/>
            <w:tcBorders>
              <w:top w:val="nil"/>
              <w:left w:val="nil"/>
              <w:bottom w:val="single" w:color="auto" w:sz="4" w:space="0"/>
              <w:right w:val="single" w:color="auto" w:sz="4" w:space="0"/>
            </w:tcBorders>
            <w:shd w:val="clear" w:color="auto" w:fill="auto"/>
            <w:vAlign w:val="center"/>
          </w:tcPr>
          <w:p w14:paraId="582EFC10">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r>
      <w:tr w14:paraId="134F10A2">
        <w:tblPrEx>
          <w:tblCellMar>
            <w:top w:w="0" w:type="dxa"/>
            <w:left w:w="108" w:type="dxa"/>
            <w:bottom w:w="0" w:type="dxa"/>
            <w:right w:w="108" w:type="dxa"/>
          </w:tblCellMar>
        </w:tblPrEx>
        <w:trPr>
          <w:trHeight w:val="135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07D8D749">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471" w:type="dxa"/>
            <w:tcBorders>
              <w:top w:val="nil"/>
              <w:left w:val="nil"/>
              <w:bottom w:val="single" w:color="auto" w:sz="4" w:space="0"/>
              <w:right w:val="single" w:color="auto" w:sz="4" w:space="0"/>
            </w:tcBorders>
            <w:shd w:val="clear" w:color="auto" w:fill="auto"/>
            <w:vAlign w:val="center"/>
          </w:tcPr>
          <w:p w14:paraId="1BAF867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精密空调给排水系统</w:t>
            </w:r>
          </w:p>
        </w:tc>
        <w:tc>
          <w:tcPr>
            <w:tcW w:w="5006" w:type="dxa"/>
            <w:tcBorders>
              <w:top w:val="nil"/>
              <w:left w:val="nil"/>
              <w:bottom w:val="single" w:color="auto" w:sz="4" w:space="0"/>
              <w:right w:val="single" w:color="auto" w:sz="4" w:space="0"/>
            </w:tcBorders>
            <w:shd w:val="clear" w:color="auto" w:fill="auto"/>
            <w:vAlign w:val="center"/>
          </w:tcPr>
          <w:p w14:paraId="4D21345D">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精密空调给排水系统，包含空调进水，排水，冷凝水排水，进水管螺纹接头，支路管道规格为G1/2〞母螺纹，20管，给水主管32管；室内机的冷凝排水管支路管道规格为：外径 26mm，内径 19mm，排水主管32管</w:t>
            </w:r>
          </w:p>
        </w:tc>
        <w:tc>
          <w:tcPr>
            <w:tcW w:w="708" w:type="dxa"/>
            <w:tcBorders>
              <w:top w:val="nil"/>
              <w:left w:val="nil"/>
              <w:bottom w:val="single" w:color="auto" w:sz="4" w:space="0"/>
              <w:right w:val="single" w:color="auto" w:sz="4" w:space="0"/>
            </w:tcBorders>
            <w:shd w:val="clear" w:color="auto" w:fill="auto"/>
            <w:vAlign w:val="center"/>
          </w:tcPr>
          <w:p w14:paraId="59E2E2C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709" w:type="dxa"/>
            <w:tcBorders>
              <w:top w:val="nil"/>
              <w:left w:val="nil"/>
              <w:bottom w:val="single" w:color="auto" w:sz="4" w:space="0"/>
              <w:right w:val="single" w:color="auto" w:sz="4" w:space="0"/>
            </w:tcBorders>
            <w:shd w:val="clear" w:color="auto" w:fill="auto"/>
            <w:vAlign w:val="center"/>
          </w:tcPr>
          <w:p w14:paraId="1B899515">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6D4AECC0">
        <w:tblPrEx>
          <w:tblCellMar>
            <w:top w:w="0" w:type="dxa"/>
            <w:left w:w="108" w:type="dxa"/>
            <w:bottom w:w="0" w:type="dxa"/>
            <w:right w:w="108" w:type="dxa"/>
          </w:tblCellMar>
        </w:tblPrEx>
        <w:trPr>
          <w:trHeight w:val="54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0FF10E4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c>
          <w:tcPr>
            <w:tcW w:w="1471" w:type="dxa"/>
            <w:tcBorders>
              <w:top w:val="nil"/>
              <w:left w:val="nil"/>
              <w:bottom w:val="single" w:color="auto" w:sz="4" w:space="0"/>
              <w:right w:val="single" w:color="auto" w:sz="4" w:space="0"/>
            </w:tcBorders>
            <w:shd w:val="clear" w:color="auto" w:fill="auto"/>
            <w:vAlign w:val="center"/>
          </w:tcPr>
          <w:p w14:paraId="5108D776">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空调市电输入电缆</w:t>
            </w:r>
          </w:p>
        </w:tc>
        <w:tc>
          <w:tcPr>
            <w:tcW w:w="5006" w:type="dxa"/>
            <w:tcBorders>
              <w:top w:val="nil"/>
              <w:left w:val="nil"/>
              <w:bottom w:val="single" w:color="auto" w:sz="4" w:space="0"/>
              <w:right w:val="single" w:color="auto" w:sz="4" w:space="0"/>
            </w:tcBorders>
            <w:shd w:val="clear" w:color="auto" w:fill="auto"/>
            <w:vAlign w:val="center"/>
          </w:tcPr>
          <w:p w14:paraId="5EEF2ED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YJV5*6 室内机与室外机连接线采用YJV-5*2.5+ 屏蔽双绞线信号线RVS-2*0.5</w:t>
            </w:r>
          </w:p>
        </w:tc>
        <w:tc>
          <w:tcPr>
            <w:tcW w:w="708" w:type="dxa"/>
            <w:tcBorders>
              <w:top w:val="nil"/>
              <w:left w:val="nil"/>
              <w:bottom w:val="single" w:color="auto" w:sz="4" w:space="0"/>
              <w:right w:val="single" w:color="auto" w:sz="4" w:space="0"/>
            </w:tcBorders>
            <w:shd w:val="clear" w:color="auto" w:fill="auto"/>
            <w:vAlign w:val="center"/>
          </w:tcPr>
          <w:p w14:paraId="7F94948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M</w:t>
            </w:r>
          </w:p>
        </w:tc>
        <w:tc>
          <w:tcPr>
            <w:tcW w:w="709" w:type="dxa"/>
            <w:tcBorders>
              <w:top w:val="nil"/>
              <w:left w:val="nil"/>
              <w:bottom w:val="single" w:color="auto" w:sz="4" w:space="0"/>
              <w:right w:val="single" w:color="auto" w:sz="4" w:space="0"/>
            </w:tcBorders>
            <w:shd w:val="clear" w:color="auto" w:fill="auto"/>
            <w:vAlign w:val="center"/>
          </w:tcPr>
          <w:p w14:paraId="521F3CD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40</w:t>
            </w:r>
          </w:p>
        </w:tc>
      </w:tr>
      <w:tr w14:paraId="3781B9CF">
        <w:tblPrEx>
          <w:tblCellMar>
            <w:top w:w="0" w:type="dxa"/>
            <w:left w:w="108" w:type="dxa"/>
            <w:bottom w:w="0" w:type="dxa"/>
            <w:right w:w="108" w:type="dxa"/>
          </w:tblCellMar>
        </w:tblPrEx>
        <w:trPr>
          <w:trHeight w:val="645"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241FEBD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5</w:t>
            </w:r>
          </w:p>
        </w:tc>
        <w:tc>
          <w:tcPr>
            <w:tcW w:w="1471" w:type="dxa"/>
            <w:tcBorders>
              <w:top w:val="nil"/>
              <w:left w:val="nil"/>
              <w:bottom w:val="single" w:color="auto" w:sz="4" w:space="0"/>
              <w:right w:val="single" w:color="auto" w:sz="4" w:space="0"/>
            </w:tcBorders>
            <w:shd w:val="clear" w:color="auto" w:fill="auto"/>
            <w:vAlign w:val="center"/>
          </w:tcPr>
          <w:p w14:paraId="46F70B0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防水围堰</w:t>
            </w:r>
          </w:p>
        </w:tc>
        <w:tc>
          <w:tcPr>
            <w:tcW w:w="5006" w:type="dxa"/>
            <w:tcBorders>
              <w:top w:val="nil"/>
              <w:left w:val="nil"/>
              <w:bottom w:val="single" w:color="auto" w:sz="4" w:space="0"/>
              <w:right w:val="single" w:color="auto" w:sz="4" w:space="0"/>
            </w:tcBorders>
            <w:shd w:val="clear" w:color="auto" w:fill="auto"/>
            <w:vAlign w:val="center"/>
          </w:tcPr>
          <w:p w14:paraId="6528D377">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防水围堰、与地漏处理；空调周围做高100mm的防水堰</w:t>
            </w:r>
          </w:p>
        </w:tc>
        <w:tc>
          <w:tcPr>
            <w:tcW w:w="708" w:type="dxa"/>
            <w:tcBorders>
              <w:top w:val="nil"/>
              <w:left w:val="nil"/>
              <w:bottom w:val="single" w:color="auto" w:sz="4" w:space="0"/>
              <w:right w:val="single" w:color="auto" w:sz="4" w:space="0"/>
            </w:tcBorders>
            <w:shd w:val="clear" w:color="auto" w:fill="auto"/>
            <w:vAlign w:val="center"/>
          </w:tcPr>
          <w:p w14:paraId="18C75B7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709" w:type="dxa"/>
            <w:tcBorders>
              <w:top w:val="nil"/>
              <w:left w:val="nil"/>
              <w:bottom w:val="single" w:color="auto" w:sz="4" w:space="0"/>
              <w:right w:val="single" w:color="auto" w:sz="4" w:space="0"/>
            </w:tcBorders>
            <w:shd w:val="clear" w:color="auto" w:fill="auto"/>
            <w:vAlign w:val="center"/>
          </w:tcPr>
          <w:p w14:paraId="4ADF11F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r>
      <w:tr w14:paraId="7F086F4E">
        <w:tblPrEx>
          <w:tblCellMar>
            <w:top w:w="0" w:type="dxa"/>
            <w:left w:w="108" w:type="dxa"/>
            <w:bottom w:w="0" w:type="dxa"/>
            <w:right w:w="108" w:type="dxa"/>
          </w:tblCellMar>
        </w:tblPrEx>
        <w:trPr>
          <w:trHeight w:val="375"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5205F3C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6</w:t>
            </w:r>
          </w:p>
        </w:tc>
        <w:tc>
          <w:tcPr>
            <w:tcW w:w="1471" w:type="dxa"/>
            <w:tcBorders>
              <w:top w:val="nil"/>
              <w:left w:val="nil"/>
              <w:bottom w:val="single" w:color="auto" w:sz="4" w:space="0"/>
              <w:right w:val="single" w:color="auto" w:sz="4" w:space="0"/>
            </w:tcBorders>
            <w:shd w:val="clear" w:color="auto" w:fill="auto"/>
            <w:vAlign w:val="center"/>
          </w:tcPr>
          <w:p w14:paraId="13D48AA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空调管道桥架</w:t>
            </w:r>
          </w:p>
        </w:tc>
        <w:tc>
          <w:tcPr>
            <w:tcW w:w="5006" w:type="dxa"/>
            <w:tcBorders>
              <w:top w:val="nil"/>
              <w:left w:val="nil"/>
              <w:bottom w:val="single" w:color="auto" w:sz="4" w:space="0"/>
              <w:right w:val="single" w:color="auto" w:sz="4" w:space="0"/>
            </w:tcBorders>
            <w:shd w:val="clear" w:color="auto" w:fill="auto"/>
            <w:vAlign w:val="center"/>
          </w:tcPr>
          <w:p w14:paraId="05B35EA7">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空调铜管室外走线配套支架与桥架，按需定制；</w:t>
            </w:r>
          </w:p>
        </w:tc>
        <w:tc>
          <w:tcPr>
            <w:tcW w:w="708" w:type="dxa"/>
            <w:tcBorders>
              <w:top w:val="nil"/>
              <w:left w:val="nil"/>
              <w:bottom w:val="single" w:color="auto" w:sz="4" w:space="0"/>
              <w:right w:val="single" w:color="auto" w:sz="4" w:space="0"/>
            </w:tcBorders>
            <w:shd w:val="clear" w:color="auto" w:fill="auto"/>
            <w:vAlign w:val="center"/>
          </w:tcPr>
          <w:p w14:paraId="097ADAC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M</w:t>
            </w:r>
          </w:p>
        </w:tc>
        <w:tc>
          <w:tcPr>
            <w:tcW w:w="709" w:type="dxa"/>
            <w:tcBorders>
              <w:top w:val="nil"/>
              <w:left w:val="nil"/>
              <w:bottom w:val="single" w:color="auto" w:sz="4" w:space="0"/>
              <w:right w:val="single" w:color="auto" w:sz="4" w:space="0"/>
            </w:tcBorders>
            <w:shd w:val="clear" w:color="auto" w:fill="auto"/>
            <w:vAlign w:val="center"/>
          </w:tcPr>
          <w:p w14:paraId="18B07F8E">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30</w:t>
            </w:r>
          </w:p>
        </w:tc>
      </w:tr>
      <w:tr w14:paraId="067AF0A4">
        <w:tblPrEx>
          <w:tblCellMar>
            <w:top w:w="0" w:type="dxa"/>
            <w:left w:w="108" w:type="dxa"/>
            <w:bottom w:w="0" w:type="dxa"/>
            <w:right w:w="108" w:type="dxa"/>
          </w:tblCellMar>
        </w:tblPrEx>
        <w:trPr>
          <w:trHeight w:val="270" w:hRule="atLeast"/>
        </w:trPr>
        <w:tc>
          <w:tcPr>
            <w:tcW w:w="8642" w:type="dxa"/>
            <w:gridSpan w:val="5"/>
            <w:tcBorders>
              <w:top w:val="nil"/>
              <w:left w:val="single" w:color="auto" w:sz="4" w:space="0"/>
              <w:bottom w:val="single" w:color="auto" w:sz="4" w:space="0"/>
              <w:right w:val="single" w:color="auto" w:sz="4" w:space="0"/>
            </w:tcBorders>
            <w:shd w:val="clear" w:color="auto" w:fill="auto"/>
            <w:vAlign w:val="bottom"/>
          </w:tcPr>
          <w:p w14:paraId="7711BD16">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　</w:t>
            </w:r>
            <w:r>
              <w:rPr>
                <w:rFonts w:hint="eastAsia" w:ascii="宋体" w:hAnsi="宋体" w:eastAsia="宋体" w:cs="Tahoma"/>
                <w:b/>
                <w:bCs/>
                <w:kern w:val="0"/>
                <w:sz w:val="21"/>
                <w:szCs w:val="21"/>
              </w:rPr>
              <w:t>七、其他</w:t>
            </w:r>
          </w:p>
        </w:tc>
      </w:tr>
      <w:tr w14:paraId="73074302">
        <w:tblPrEx>
          <w:tblCellMar>
            <w:top w:w="0" w:type="dxa"/>
            <w:left w:w="108" w:type="dxa"/>
            <w:bottom w:w="0" w:type="dxa"/>
            <w:right w:w="108" w:type="dxa"/>
          </w:tblCellMar>
        </w:tblPrEx>
        <w:trPr>
          <w:trHeight w:val="353"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4BD35028">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471" w:type="dxa"/>
            <w:tcBorders>
              <w:top w:val="nil"/>
              <w:left w:val="nil"/>
              <w:bottom w:val="single" w:color="auto" w:sz="4" w:space="0"/>
              <w:right w:val="single" w:color="auto" w:sz="4" w:space="0"/>
            </w:tcBorders>
            <w:shd w:val="clear" w:color="auto" w:fill="auto"/>
            <w:vAlign w:val="center"/>
          </w:tcPr>
          <w:p w14:paraId="77BF21AC">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机房布线</w:t>
            </w:r>
          </w:p>
        </w:tc>
        <w:tc>
          <w:tcPr>
            <w:tcW w:w="5006" w:type="dxa"/>
            <w:tcBorders>
              <w:top w:val="nil"/>
              <w:left w:val="nil"/>
              <w:bottom w:val="single" w:color="auto" w:sz="4" w:space="0"/>
              <w:right w:val="single" w:color="auto" w:sz="4" w:space="0"/>
            </w:tcBorders>
            <w:shd w:val="clear" w:color="auto" w:fill="auto"/>
            <w:vAlign w:val="center"/>
          </w:tcPr>
          <w:p w14:paraId="7F0ED8C1">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旧机房到新机房弱电综合布线，线材实施等。</w:t>
            </w:r>
          </w:p>
        </w:tc>
        <w:tc>
          <w:tcPr>
            <w:tcW w:w="708" w:type="dxa"/>
            <w:tcBorders>
              <w:top w:val="nil"/>
              <w:left w:val="nil"/>
              <w:bottom w:val="single" w:color="auto" w:sz="4" w:space="0"/>
              <w:right w:val="single" w:color="auto" w:sz="4" w:space="0"/>
            </w:tcBorders>
            <w:shd w:val="clear" w:color="auto" w:fill="auto"/>
            <w:vAlign w:val="center"/>
          </w:tcPr>
          <w:p w14:paraId="5BA3952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批</w:t>
            </w:r>
          </w:p>
        </w:tc>
        <w:tc>
          <w:tcPr>
            <w:tcW w:w="709" w:type="dxa"/>
            <w:tcBorders>
              <w:top w:val="nil"/>
              <w:left w:val="nil"/>
              <w:bottom w:val="single" w:color="auto" w:sz="4" w:space="0"/>
              <w:right w:val="single" w:color="auto" w:sz="4" w:space="0"/>
            </w:tcBorders>
            <w:shd w:val="clear" w:color="auto" w:fill="auto"/>
            <w:vAlign w:val="center"/>
          </w:tcPr>
          <w:p w14:paraId="716D609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31761754">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6A76E1BA">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471" w:type="dxa"/>
            <w:tcBorders>
              <w:top w:val="nil"/>
              <w:left w:val="nil"/>
              <w:bottom w:val="single" w:color="auto" w:sz="4" w:space="0"/>
              <w:right w:val="single" w:color="auto" w:sz="4" w:space="0"/>
            </w:tcBorders>
            <w:shd w:val="clear" w:color="auto" w:fill="auto"/>
            <w:vAlign w:val="center"/>
          </w:tcPr>
          <w:p w14:paraId="1B2D3F58">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集成实施费用</w:t>
            </w:r>
          </w:p>
        </w:tc>
        <w:tc>
          <w:tcPr>
            <w:tcW w:w="5006" w:type="dxa"/>
            <w:tcBorders>
              <w:top w:val="nil"/>
              <w:left w:val="nil"/>
              <w:bottom w:val="single" w:color="auto" w:sz="4" w:space="0"/>
              <w:right w:val="single" w:color="auto" w:sz="4" w:space="0"/>
            </w:tcBorders>
            <w:shd w:val="clear" w:color="auto" w:fill="auto"/>
            <w:vAlign w:val="center"/>
          </w:tcPr>
          <w:p w14:paraId="47D4A037">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系统集成实施安装、人工、辅材、实施调零部件等。</w:t>
            </w:r>
          </w:p>
        </w:tc>
        <w:tc>
          <w:tcPr>
            <w:tcW w:w="708" w:type="dxa"/>
            <w:tcBorders>
              <w:top w:val="nil"/>
              <w:left w:val="nil"/>
              <w:bottom w:val="single" w:color="auto" w:sz="4" w:space="0"/>
              <w:right w:val="single" w:color="auto" w:sz="4" w:space="0"/>
            </w:tcBorders>
            <w:shd w:val="clear" w:color="auto" w:fill="auto"/>
            <w:vAlign w:val="center"/>
          </w:tcPr>
          <w:p w14:paraId="6441866B">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项</w:t>
            </w:r>
          </w:p>
        </w:tc>
        <w:tc>
          <w:tcPr>
            <w:tcW w:w="709" w:type="dxa"/>
            <w:tcBorders>
              <w:top w:val="nil"/>
              <w:left w:val="nil"/>
              <w:bottom w:val="single" w:color="auto" w:sz="4" w:space="0"/>
              <w:right w:val="single" w:color="auto" w:sz="4" w:space="0"/>
            </w:tcBorders>
            <w:shd w:val="clear" w:color="auto" w:fill="auto"/>
            <w:vAlign w:val="center"/>
          </w:tcPr>
          <w:p w14:paraId="6FDF08A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749CC57C">
        <w:tblPrEx>
          <w:tblCellMar>
            <w:top w:w="0" w:type="dxa"/>
            <w:left w:w="108" w:type="dxa"/>
            <w:bottom w:w="0" w:type="dxa"/>
            <w:right w:w="108" w:type="dxa"/>
          </w:tblCellMar>
        </w:tblPrEx>
        <w:trPr>
          <w:trHeight w:val="270" w:hRule="atLeast"/>
        </w:trPr>
        <w:tc>
          <w:tcPr>
            <w:tcW w:w="8642" w:type="dxa"/>
            <w:gridSpan w:val="5"/>
            <w:tcBorders>
              <w:top w:val="nil"/>
              <w:left w:val="single" w:color="auto" w:sz="4" w:space="0"/>
              <w:bottom w:val="single" w:color="auto" w:sz="4" w:space="0"/>
              <w:right w:val="single" w:color="auto" w:sz="4" w:space="0"/>
            </w:tcBorders>
            <w:shd w:val="clear" w:color="auto" w:fill="auto"/>
            <w:vAlign w:val="bottom"/>
          </w:tcPr>
          <w:p w14:paraId="26BE8A30">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　</w:t>
            </w:r>
            <w:r>
              <w:rPr>
                <w:rFonts w:hint="eastAsia" w:ascii="宋体" w:hAnsi="宋体" w:eastAsia="宋体" w:cs="Tahoma"/>
                <w:b/>
                <w:bCs/>
                <w:kern w:val="0"/>
                <w:sz w:val="21"/>
                <w:szCs w:val="21"/>
              </w:rPr>
              <w:t>八、室内全彩LED显示屏</w:t>
            </w:r>
          </w:p>
        </w:tc>
      </w:tr>
      <w:tr w14:paraId="63D820C6">
        <w:tblPrEx>
          <w:tblCellMar>
            <w:top w:w="0" w:type="dxa"/>
            <w:left w:w="108" w:type="dxa"/>
            <w:bottom w:w="0" w:type="dxa"/>
            <w:right w:w="108" w:type="dxa"/>
          </w:tblCellMar>
        </w:tblPrEx>
        <w:trPr>
          <w:trHeight w:val="108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78B3652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471" w:type="dxa"/>
            <w:tcBorders>
              <w:top w:val="nil"/>
              <w:left w:val="nil"/>
              <w:bottom w:val="single" w:color="auto" w:sz="4" w:space="0"/>
              <w:right w:val="single" w:color="auto" w:sz="4" w:space="0"/>
            </w:tcBorders>
            <w:shd w:val="clear" w:color="auto" w:fill="auto"/>
            <w:vAlign w:val="center"/>
          </w:tcPr>
          <w:p w14:paraId="0801619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机房LED显示系统</w:t>
            </w:r>
          </w:p>
        </w:tc>
        <w:tc>
          <w:tcPr>
            <w:tcW w:w="5006" w:type="dxa"/>
            <w:tcBorders>
              <w:top w:val="nil"/>
              <w:left w:val="nil"/>
              <w:bottom w:val="single" w:color="auto" w:sz="4" w:space="0"/>
              <w:right w:val="single" w:color="auto" w:sz="4" w:space="0"/>
            </w:tcBorders>
            <w:shd w:val="clear" w:color="auto" w:fill="auto"/>
            <w:vAlign w:val="center"/>
          </w:tcPr>
          <w:p w14:paraId="53E7567A">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点间距为≤1.5mm的室内全彩LED ，尺寸为≥5.1*2.5m。</w:t>
            </w:r>
            <w:r>
              <w:rPr>
                <w:rFonts w:hint="eastAsia" w:ascii="宋体" w:hAnsi="宋体" w:eastAsia="宋体" w:cs="Tahoma"/>
                <w:kern w:val="0"/>
                <w:sz w:val="21"/>
                <w:szCs w:val="21"/>
              </w:rPr>
              <w:br w:type="textWrapping"/>
            </w:r>
            <w:r>
              <w:rPr>
                <w:rFonts w:hint="eastAsia" w:ascii="宋体" w:hAnsi="宋体" w:eastAsia="宋体" w:cs="Tahoma"/>
                <w:kern w:val="0"/>
                <w:sz w:val="21"/>
                <w:szCs w:val="21"/>
              </w:rPr>
              <w:t>含处理器、发送卡、配电柜、视频线、一体化支架、配套辅材、安装调试、包边等。</w:t>
            </w:r>
          </w:p>
        </w:tc>
        <w:tc>
          <w:tcPr>
            <w:tcW w:w="708" w:type="dxa"/>
            <w:tcBorders>
              <w:top w:val="nil"/>
              <w:left w:val="nil"/>
              <w:bottom w:val="single" w:color="auto" w:sz="4" w:space="0"/>
              <w:right w:val="single" w:color="auto" w:sz="4" w:space="0"/>
            </w:tcBorders>
            <w:shd w:val="clear" w:color="auto" w:fill="auto"/>
            <w:vAlign w:val="center"/>
          </w:tcPr>
          <w:p w14:paraId="11456D2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项</w:t>
            </w:r>
          </w:p>
        </w:tc>
        <w:tc>
          <w:tcPr>
            <w:tcW w:w="709" w:type="dxa"/>
            <w:tcBorders>
              <w:top w:val="nil"/>
              <w:left w:val="nil"/>
              <w:bottom w:val="single" w:color="auto" w:sz="4" w:space="0"/>
              <w:right w:val="single" w:color="auto" w:sz="4" w:space="0"/>
            </w:tcBorders>
            <w:shd w:val="clear" w:color="auto" w:fill="auto"/>
            <w:vAlign w:val="center"/>
          </w:tcPr>
          <w:p w14:paraId="4A366BAD">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4A77C024">
        <w:tblPrEx>
          <w:tblCellMar>
            <w:top w:w="0" w:type="dxa"/>
            <w:left w:w="108" w:type="dxa"/>
            <w:bottom w:w="0" w:type="dxa"/>
            <w:right w:w="108" w:type="dxa"/>
          </w:tblCellMar>
        </w:tblPrEx>
        <w:trPr>
          <w:trHeight w:val="270" w:hRule="atLeast"/>
        </w:trPr>
        <w:tc>
          <w:tcPr>
            <w:tcW w:w="748" w:type="dxa"/>
            <w:tcBorders>
              <w:top w:val="nil"/>
              <w:left w:val="single" w:color="auto" w:sz="4" w:space="0"/>
              <w:bottom w:val="single" w:color="auto" w:sz="4" w:space="0"/>
              <w:right w:val="single" w:color="auto" w:sz="4" w:space="0"/>
            </w:tcBorders>
            <w:shd w:val="clear" w:color="auto" w:fill="auto"/>
            <w:vAlign w:val="bottom"/>
          </w:tcPr>
          <w:p w14:paraId="2FBD00D4">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471" w:type="dxa"/>
            <w:tcBorders>
              <w:top w:val="nil"/>
              <w:left w:val="nil"/>
              <w:bottom w:val="single" w:color="auto" w:sz="4" w:space="0"/>
              <w:right w:val="single" w:color="auto" w:sz="4" w:space="0"/>
            </w:tcBorders>
            <w:shd w:val="clear" w:color="auto" w:fill="auto"/>
            <w:vAlign w:val="center"/>
          </w:tcPr>
          <w:p w14:paraId="484569EF">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操作台</w:t>
            </w:r>
          </w:p>
        </w:tc>
        <w:tc>
          <w:tcPr>
            <w:tcW w:w="5006" w:type="dxa"/>
            <w:tcBorders>
              <w:top w:val="nil"/>
              <w:left w:val="nil"/>
              <w:bottom w:val="single" w:color="auto" w:sz="4" w:space="0"/>
              <w:right w:val="single" w:color="auto" w:sz="4" w:space="0"/>
            </w:tcBorders>
            <w:shd w:val="clear" w:color="auto" w:fill="auto"/>
            <w:vAlign w:val="center"/>
          </w:tcPr>
          <w:p w14:paraId="33A941AA">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四人位，含四把椅子。</w:t>
            </w:r>
          </w:p>
        </w:tc>
        <w:tc>
          <w:tcPr>
            <w:tcW w:w="708" w:type="dxa"/>
            <w:tcBorders>
              <w:top w:val="nil"/>
              <w:left w:val="nil"/>
              <w:bottom w:val="single" w:color="auto" w:sz="4" w:space="0"/>
              <w:right w:val="single" w:color="auto" w:sz="4" w:space="0"/>
            </w:tcBorders>
            <w:shd w:val="clear" w:color="auto" w:fill="auto"/>
            <w:vAlign w:val="center"/>
          </w:tcPr>
          <w:p w14:paraId="5C41FAC2">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709" w:type="dxa"/>
            <w:tcBorders>
              <w:top w:val="nil"/>
              <w:left w:val="nil"/>
              <w:bottom w:val="single" w:color="auto" w:sz="4" w:space="0"/>
              <w:right w:val="single" w:color="auto" w:sz="4" w:space="0"/>
            </w:tcBorders>
            <w:shd w:val="clear" w:color="auto" w:fill="auto"/>
            <w:vAlign w:val="center"/>
          </w:tcPr>
          <w:p w14:paraId="6507E42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07BB337F">
        <w:tblPrEx>
          <w:tblCellMar>
            <w:top w:w="0" w:type="dxa"/>
            <w:left w:w="108" w:type="dxa"/>
            <w:bottom w:w="0" w:type="dxa"/>
            <w:right w:w="108" w:type="dxa"/>
          </w:tblCellMar>
        </w:tblPrEx>
        <w:trPr>
          <w:trHeight w:val="495" w:hRule="atLeast"/>
        </w:trPr>
        <w:tc>
          <w:tcPr>
            <w:tcW w:w="8642" w:type="dxa"/>
            <w:gridSpan w:val="5"/>
            <w:tcBorders>
              <w:top w:val="nil"/>
              <w:left w:val="single" w:color="auto" w:sz="4" w:space="0"/>
              <w:bottom w:val="single" w:color="auto" w:sz="4" w:space="0"/>
              <w:right w:val="single" w:color="auto" w:sz="4" w:space="0"/>
            </w:tcBorders>
            <w:shd w:val="clear" w:color="auto" w:fill="auto"/>
            <w:vAlign w:val="bottom"/>
          </w:tcPr>
          <w:p w14:paraId="7D70814B">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　</w:t>
            </w:r>
            <w:r>
              <w:rPr>
                <w:rFonts w:hint="eastAsia" w:ascii="宋体" w:hAnsi="宋体" w:eastAsia="宋体" w:cs="Tahoma"/>
                <w:b/>
                <w:bCs/>
                <w:kern w:val="0"/>
                <w:sz w:val="21"/>
                <w:szCs w:val="21"/>
              </w:rPr>
              <w:t>九、数据中心机房装修</w:t>
            </w:r>
          </w:p>
        </w:tc>
      </w:tr>
      <w:tr w14:paraId="728EA955">
        <w:tblPrEx>
          <w:tblCellMar>
            <w:top w:w="0" w:type="dxa"/>
            <w:left w:w="108" w:type="dxa"/>
            <w:bottom w:w="0" w:type="dxa"/>
            <w:right w:w="108" w:type="dxa"/>
          </w:tblCellMar>
        </w:tblPrEx>
        <w:trPr>
          <w:trHeight w:val="274"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43DA2BE3">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471" w:type="dxa"/>
            <w:tcBorders>
              <w:top w:val="nil"/>
              <w:left w:val="nil"/>
              <w:bottom w:val="single" w:color="auto" w:sz="4" w:space="0"/>
              <w:right w:val="single" w:color="auto" w:sz="4" w:space="0"/>
            </w:tcBorders>
            <w:shd w:val="clear" w:color="auto" w:fill="auto"/>
            <w:vAlign w:val="center"/>
          </w:tcPr>
          <w:p w14:paraId="6201964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拆除工程</w:t>
            </w:r>
          </w:p>
        </w:tc>
        <w:tc>
          <w:tcPr>
            <w:tcW w:w="5006" w:type="dxa"/>
            <w:tcBorders>
              <w:top w:val="nil"/>
              <w:left w:val="nil"/>
              <w:bottom w:val="single" w:color="auto" w:sz="4" w:space="0"/>
              <w:right w:val="single" w:color="auto" w:sz="4" w:space="0"/>
            </w:tcBorders>
            <w:shd w:val="clear" w:color="auto" w:fill="auto"/>
            <w:vAlign w:val="center"/>
          </w:tcPr>
          <w:p w14:paraId="42241223">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机房房间隔墙拆除75㎡、机房矿棉板吊顶拆除112㎡、机房原有门拆除4樘、机房暖气片拆除4组、走廊原有墙面瓷砖拆除100㎡、走廊矿棉板吊顶拆除100㎡、办公室及远程会诊室隔墙拆除45㎡、办公区卫生间隔墙拆除84㎡、办公区原有卫生间墙面瓷砖拆除84㎡、办公区矿棉板吊顶拆除207㎡、办公区门拆除7樘、办公区原有水路管件拆解及封堵1项、办公区原有卫生间地面瓷砖拆除54㎡、办公区及中心机房家具1项、卫浴洁具及杂物清理1项、垃圾外运1项，含人工+清运下楼。</w:t>
            </w:r>
            <w:r>
              <w:rPr>
                <w:rFonts w:hint="eastAsia" w:ascii="宋体" w:hAnsi="宋体" w:eastAsia="宋体" w:cs="Tahoma"/>
                <w:color w:val="0070C0"/>
                <w:kern w:val="0"/>
                <w:sz w:val="21"/>
                <w:szCs w:val="21"/>
              </w:rPr>
              <w:t xml:space="preserve">互联网医院办公室74㎡、拆除2个卫生间，远程会诊室101㎡、拆除3个卫生间。以实际情况为准。  </w:t>
            </w:r>
            <w:r>
              <w:rPr>
                <w:rFonts w:hint="eastAsia" w:ascii="宋体" w:hAnsi="宋体" w:eastAsia="宋体" w:cs="Tahoma"/>
                <w:color w:val="FF0000"/>
                <w:kern w:val="0"/>
                <w:sz w:val="21"/>
                <w:szCs w:val="21"/>
                <w:lang w:val="en-US" w:eastAsia="zh-CN"/>
              </w:rPr>
              <w:t>建议根据要求现场勘查为准。</w:t>
            </w:r>
            <w:r>
              <w:rPr>
                <w:rFonts w:hint="eastAsia" w:ascii="宋体" w:hAnsi="宋体" w:eastAsia="宋体" w:cs="Tahoma"/>
                <w:color w:val="0070C0"/>
                <w:kern w:val="0"/>
                <w:sz w:val="21"/>
                <w:szCs w:val="21"/>
              </w:rPr>
              <w:t xml:space="preserve">     </w:t>
            </w:r>
          </w:p>
        </w:tc>
        <w:tc>
          <w:tcPr>
            <w:tcW w:w="708" w:type="dxa"/>
            <w:tcBorders>
              <w:top w:val="nil"/>
              <w:left w:val="nil"/>
              <w:bottom w:val="single" w:color="auto" w:sz="4" w:space="0"/>
              <w:right w:val="single" w:color="auto" w:sz="4" w:space="0"/>
            </w:tcBorders>
            <w:shd w:val="clear" w:color="auto" w:fill="auto"/>
            <w:vAlign w:val="center"/>
          </w:tcPr>
          <w:p w14:paraId="34701349">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项</w:t>
            </w:r>
          </w:p>
        </w:tc>
        <w:tc>
          <w:tcPr>
            <w:tcW w:w="709" w:type="dxa"/>
            <w:tcBorders>
              <w:top w:val="nil"/>
              <w:left w:val="nil"/>
              <w:bottom w:val="single" w:color="auto" w:sz="4" w:space="0"/>
              <w:right w:val="single" w:color="auto" w:sz="4" w:space="0"/>
            </w:tcBorders>
            <w:shd w:val="clear" w:color="auto" w:fill="auto"/>
            <w:vAlign w:val="center"/>
          </w:tcPr>
          <w:p w14:paraId="21BAAA6E">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51FC232F">
        <w:tblPrEx>
          <w:tblCellMar>
            <w:top w:w="0" w:type="dxa"/>
            <w:left w:w="108" w:type="dxa"/>
            <w:bottom w:w="0" w:type="dxa"/>
            <w:right w:w="108" w:type="dxa"/>
          </w:tblCellMar>
        </w:tblPrEx>
        <w:trPr>
          <w:trHeight w:val="561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1CE67E48">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471" w:type="dxa"/>
            <w:tcBorders>
              <w:top w:val="nil"/>
              <w:left w:val="nil"/>
              <w:bottom w:val="single" w:color="auto" w:sz="4" w:space="0"/>
              <w:right w:val="single" w:color="auto" w:sz="4" w:space="0"/>
            </w:tcBorders>
            <w:shd w:val="clear" w:color="auto" w:fill="auto"/>
            <w:vAlign w:val="center"/>
          </w:tcPr>
          <w:p w14:paraId="5F75960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新建工程</w:t>
            </w:r>
          </w:p>
        </w:tc>
        <w:tc>
          <w:tcPr>
            <w:tcW w:w="5006" w:type="dxa"/>
            <w:tcBorders>
              <w:top w:val="nil"/>
              <w:left w:val="nil"/>
              <w:bottom w:val="single" w:color="auto" w:sz="4" w:space="0"/>
              <w:right w:val="single" w:color="auto" w:sz="4" w:space="0"/>
            </w:tcBorders>
            <w:shd w:val="clear" w:color="auto" w:fill="auto"/>
            <w:vAlign w:val="center"/>
          </w:tcPr>
          <w:p w14:paraId="3E56F5B7">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应门吊眉及立柱3.5㎡、走廊感应门8.6㎡、走廊感应门感应器一台、走廊墙面乳胶漆152㎡、走廊顶面矿棉板100㎡，走廊600*600LED吸顶灯12盏，走廊踢脚线61m、机房隔墙地面拆除后抹灰修复1项、机房窗帘槽14.4m、机房600*600铝扣板吊顶112㎡，机房LED600*600吸顶灯24盏、机房顶面原有局部基层打磨修补及防尘处理135㎡、机房专用墙板铺设130㎡、机房抗静电地板铺设112㎡、机房实木踢脚线铺设45m、机房断桥中空玻璃隔断+平开门24㎡、机房门及设备间门禁3套、机房门1樘、机房窗套21.6m、机房窗台板7.2m、机房窗帘29m、机房精密空调进排水管道铺设1项、机房精密空调下方防水及挡水处理+岗石1项、办公区矿棉板吊顶207㎡、办公区窗帘槽28m、办公区墙面乳胶漆355㎡、办公区地面瓷砖修补铺贴54㎡、办公区地砖54㎡、办公区实木踢脚线127m、办公区窗套42m、办公区人造大理石窗台板15m、办公区窗帘56m、值班室卫生间地砖铺贴4.4㎡、值班室卫生间墙砖铺贴21㎡、值班室卫生间墙面找平21㎡、值班室卫生间地砖4.4㎡、值班室卫生间墙砖21㎡、 值班室卫生间防水12㎡、值班室卫生间铝扣板4.4㎡、吊顶值班室卫生间浴霸1个、值班室卫生间钛镁合金平开门1樘、值班室卫生间地漏2个、值班室卫生间花洒1套、值班室卫生间马桶1个、 值班室卫生间洗脸盆+镜柜1套 。</w:t>
            </w:r>
            <w:r>
              <w:rPr>
                <w:rFonts w:hint="eastAsia" w:ascii="宋体" w:hAnsi="宋体" w:eastAsia="宋体" w:cs="Tahoma"/>
                <w:color w:val="0070C0"/>
                <w:kern w:val="0"/>
                <w:sz w:val="21"/>
                <w:szCs w:val="21"/>
              </w:rPr>
              <w:t>互联网医院办公室74㎡，远程会诊室101㎡，提供必要的设施（办公室桌椅</w:t>
            </w:r>
            <w:r>
              <w:rPr>
                <w:rFonts w:hint="eastAsia" w:ascii="宋体" w:hAnsi="宋体" w:eastAsia="宋体" w:cs="Tahoma"/>
                <w:color w:val="FF0000"/>
                <w:kern w:val="0"/>
                <w:sz w:val="21"/>
                <w:szCs w:val="21"/>
                <w:lang w:val="en-US" w:eastAsia="zh-CN"/>
              </w:rPr>
              <w:t>具体尺寸材质及数量</w:t>
            </w:r>
            <w:r>
              <w:rPr>
                <w:rFonts w:hint="eastAsia" w:ascii="宋体" w:hAnsi="宋体" w:eastAsia="宋体" w:cs="Tahoma"/>
                <w:color w:val="0070C0"/>
                <w:kern w:val="0"/>
                <w:sz w:val="21"/>
                <w:szCs w:val="21"/>
              </w:rPr>
              <w:t>、教学设备</w:t>
            </w:r>
            <w:r>
              <w:rPr>
                <w:rFonts w:hint="eastAsia" w:ascii="宋体" w:hAnsi="宋体" w:eastAsia="宋体" w:cs="Tahoma"/>
                <w:color w:val="FF0000"/>
                <w:kern w:val="0"/>
                <w:sz w:val="21"/>
                <w:szCs w:val="21"/>
                <w:lang w:val="en-US" w:eastAsia="zh-CN"/>
              </w:rPr>
              <w:t>具体要求及数量</w:t>
            </w:r>
            <w:r>
              <w:rPr>
                <w:rFonts w:hint="eastAsia" w:ascii="宋体" w:hAnsi="宋体" w:eastAsia="宋体" w:cs="Tahoma"/>
                <w:color w:val="0070C0"/>
                <w:kern w:val="0"/>
                <w:sz w:val="21"/>
                <w:szCs w:val="21"/>
              </w:rPr>
              <w:t>、音响设备</w:t>
            </w:r>
            <w:r>
              <w:rPr>
                <w:rFonts w:hint="eastAsia" w:ascii="宋体" w:hAnsi="宋体" w:eastAsia="宋体" w:cs="Tahoma"/>
                <w:color w:val="FF0000"/>
                <w:kern w:val="0"/>
                <w:sz w:val="21"/>
                <w:szCs w:val="21"/>
                <w:lang w:val="en-US" w:eastAsia="zh-CN"/>
              </w:rPr>
              <w:t>具体数量</w:t>
            </w:r>
            <w:r>
              <w:rPr>
                <w:rFonts w:hint="eastAsia" w:ascii="宋体" w:hAnsi="宋体" w:eastAsia="宋体" w:cs="Tahoma"/>
                <w:color w:val="0070C0"/>
                <w:kern w:val="0"/>
                <w:sz w:val="21"/>
                <w:szCs w:val="21"/>
              </w:rPr>
              <w:t>、展示大屏</w:t>
            </w:r>
            <w:r>
              <w:rPr>
                <w:rFonts w:hint="eastAsia" w:ascii="宋体" w:hAnsi="宋体" w:eastAsia="宋体" w:cs="Tahoma"/>
                <w:color w:val="FF0000"/>
                <w:kern w:val="0"/>
                <w:sz w:val="21"/>
                <w:szCs w:val="21"/>
                <w:lang w:val="en-US" w:eastAsia="zh-CN"/>
              </w:rPr>
              <w:t>具体尺寸及数量</w:t>
            </w:r>
            <w:r>
              <w:rPr>
                <w:rFonts w:hint="eastAsia" w:ascii="宋体" w:hAnsi="宋体" w:eastAsia="宋体" w:cs="Tahoma"/>
                <w:color w:val="0070C0"/>
                <w:kern w:val="0"/>
                <w:sz w:val="21"/>
                <w:szCs w:val="21"/>
              </w:rPr>
              <w:t>、移动示教屏</w:t>
            </w:r>
            <w:r>
              <w:rPr>
                <w:rFonts w:hint="eastAsia" w:ascii="宋体" w:hAnsi="宋体" w:eastAsia="宋体" w:cs="Tahoma"/>
                <w:color w:val="FF0000"/>
                <w:kern w:val="0"/>
                <w:sz w:val="21"/>
                <w:szCs w:val="21"/>
                <w:lang w:val="en-US" w:eastAsia="zh-CN"/>
              </w:rPr>
              <w:t>具体尺寸及数量</w:t>
            </w:r>
            <w:r>
              <w:rPr>
                <w:rFonts w:hint="eastAsia" w:ascii="宋体" w:hAnsi="宋体" w:eastAsia="宋体" w:cs="Tahoma"/>
                <w:color w:val="0070C0"/>
                <w:kern w:val="0"/>
                <w:sz w:val="21"/>
                <w:szCs w:val="21"/>
              </w:rPr>
              <w:t xml:space="preserve">等）。 </w:t>
            </w:r>
            <w:r>
              <w:rPr>
                <w:rFonts w:hint="eastAsia" w:ascii="宋体" w:hAnsi="宋体" w:eastAsia="宋体" w:cs="Tahoma"/>
                <w:color w:val="FF0000"/>
                <w:kern w:val="0"/>
                <w:sz w:val="21"/>
                <w:szCs w:val="21"/>
                <w:lang w:val="en-US" w:eastAsia="zh-CN"/>
              </w:rPr>
              <w:t>建议根据要求现场勘查为准。</w:t>
            </w:r>
            <w:r>
              <w:rPr>
                <w:rFonts w:hint="eastAsia" w:ascii="宋体" w:hAnsi="宋体" w:eastAsia="宋体" w:cs="Tahoma"/>
                <w:color w:val="0070C0"/>
                <w:kern w:val="0"/>
                <w:sz w:val="21"/>
                <w:szCs w:val="21"/>
              </w:rPr>
              <w:t xml:space="preserve">     </w:t>
            </w:r>
          </w:p>
        </w:tc>
        <w:tc>
          <w:tcPr>
            <w:tcW w:w="708" w:type="dxa"/>
            <w:tcBorders>
              <w:top w:val="nil"/>
              <w:left w:val="nil"/>
              <w:bottom w:val="single" w:color="auto" w:sz="4" w:space="0"/>
              <w:right w:val="single" w:color="auto" w:sz="4" w:space="0"/>
            </w:tcBorders>
            <w:shd w:val="clear" w:color="auto" w:fill="auto"/>
            <w:vAlign w:val="center"/>
          </w:tcPr>
          <w:p w14:paraId="27BBD90A">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项</w:t>
            </w:r>
          </w:p>
        </w:tc>
        <w:tc>
          <w:tcPr>
            <w:tcW w:w="709" w:type="dxa"/>
            <w:tcBorders>
              <w:top w:val="nil"/>
              <w:left w:val="nil"/>
              <w:bottom w:val="single" w:color="auto" w:sz="4" w:space="0"/>
              <w:right w:val="single" w:color="auto" w:sz="4" w:space="0"/>
            </w:tcBorders>
            <w:shd w:val="clear" w:color="auto" w:fill="auto"/>
            <w:vAlign w:val="center"/>
          </w:tcPr>
          <w:p w14:paraId="4FBB31A0">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r w14:paraId="5602EE53">
        <w:tblPrEx>
          <w:tblCellMar>
            <w:top w:w="0" w:type="dxa"/>
            <w:left w:w="108" w:type="dxa"/>
            <w:bottom w:w="0" w:type="dxa"/>
            <w:right w:w="108" w:type="dxa"/>
          </w:tblCellMar>
        </w:tblPrEx>
        <w:trPr>
          <w:trHeight w:val="1380" w:hRule="atLeast"/>
        </w:trPr>
        <w:tc>
          <w:tcPr>
            <w:tcW w:w="748" w:type="dxa"/>
            <w:tcBorders>
              <w:top w:val="nil"/>
              <w:left w:val="single" w:color="auto" w:sz="4" w:space="0"/>
              <w:bottom w:val="single" w:color="auto" w:sz="4" w:space="0"/>
              <w:right w:val="single" w:color="auto" w:sz="4" w:space="0"/>
            </w:tcBorders>
            <w:shd w:val="clear" w:color="auto" w:fill="auto"/>
            <w:vAlign w:val="center"/>
          </w:tcPr>
          <w:p w14:paraId="3ABD2485">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471" w:type="dxa"/>
            <w:tcBorders>
              <w:top w:val="nil"/>
              <w:left w:val="nil"/>
              <w:bottom w:val="single" w:color="auto" w:sz="4" w:space="0"/>
              <w:right w:val="single" w:color="auto" w:sz="4" w:space="0"/>
            </w:tcBorders>
            <w:shd w:val="clear" w:color="auto" w:fill="auto"/>
            <w:vAlign w:val="center"/>
          </w:tcPr>
          <w:p w14:paraId="45E83327">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其他</w:t>
            </w:r>
          </w:p>
        </w:tc>
        <w:tc>
          <w:tcPr>
            <w:tcW w:w="5006" w:type="dxa"/>
            <w:tcBorders>
              <w:top w:val="nil"/>
              <w:left w:val="nil"/>
              <w:bottom w:val="single" w:color="auto" w:sz="4" w:space="0"/>
              <w:right w:val="single" w:color="auto" w:sz="4" w:space="0"/>
            </w:tcBorders>
            <w:shd w:val="clear" w:color="auto" w:fill="auto"/>
            <w:vAlign w:val="center"/>
          </w:tcPr>
          <w:p w14:paraId="006AF703">
            <w:pPr>
              <w:widowControl/>
              <w:spacing w:line="240" w:lineRule="auto"/>
              <w:jc w:val="left"/>
              <w:rPr>
                <w:rFonts w:ascii="宋体" w:hAnsi="宋体" w:eastAsia="宋体" w:cs="Tahoma"/>
                <w:kern w:val="0"/>
                <w:sz w:val="21"/>
                <w:szCs w:val="21"/>
              </w:rPr>
            </w:pPr>
            <w:r>
              <w:rPr>
                <w:rFonts w:hint="eastAsia" w:ascii="宋体" w:hAnsi="宋体" w:eastAsia="宋体" w:cs="Tahoma"/>
                <w:kern w:val="0"/>
                <w:sz w:val="21"/>
                <w:szCs w:val="21"/>
              </w:rPr>
              <w:t>垃圾清运1项、电路改造（强电）</w:t>
            </w:r>
            <w:r>
              <w:rPr>
                <w:rFonts w:hint="eastAsia" w:ascii="宋体" w:hAnsi="宋体" w:eastAsia="宋体" w:cs="Tahoma"/>
                <w:color w:val="FF0000"/>
                <w:kern w:val="0"/>
                <w:sz w:val="21"/>
                <w:szCs w:val="21"/>
                <w:lang w:val="en-US" w:eastAsia="zh-CN"/>
              </w:rPr>
              <w:t>500</w:t>
            </w:r>
            <w:r>
              <w:rPr>
                <w:rFonts w:hint="eastAsia" w:ascii="宋体" w:hAnsi="宋体" w:eastAsia="宋体" w:cs="Tahoma"/>
                <w:color w:val="FF0000"/>
                <w:kern w:val="0"/>
                <w:sz w:val="21"/>
                <w:szCs w:val="21"/>
              </w:rPr>
              <w:t>㎡</w:t>
            </w:r>
            <w:r>
              <w:rPr>
                <w:rFonts w:hint="eastAsia" w:ascii="宋体" w:hAnsi="宋体" w:eastAsia="宋体" w:cs="Tahoma"/>
                <w:kern w:val="0"/>
                <w:sz w:val="21"/>
                <w:szCs w:val="21"/>
              </w:rPr>
              <w:t>、机房暖气管路改造（避开机房）1项、开关插座1项、材料搬运费1项、保洁</w:t>
            </w:r>
            <w:r>
              <w:rPr>
                <w:rFonts w:hint="eastAsia" w:ascii="宋体" w:hAnsi="宋体" w:eastAsia="宋体" w:cs="Tahoma"/>
                <w:color w:val="FF0000"/>
                <w:kern w:val="0"/>
                <w:sz w:val="21"/>
                <w:szCs w:val="21"/>
                <w:lang w:val="en-US" w:eastAsia="zh-CN"/>
              </w:rPr>
              <w:t>500</w:t>
            </w:r>
            <w:r>
              <w:rPr>
                <w:rFonts w:hint="eastAsia" w:ascii="宋体" w:hAnsi="宋体" w:eastAsia="宋体" w:cs="Tahoma"/>
                <w:color w:val="FF0000"/>
                <w:kern w:val="0"/>
                <w:sz w:val="21"/>
                <w:szCs w:val="21"/>
              </w:rPr>
              <w:t>㎡</w:t>
            </w:r>
            <w:r>
              <w:rPr>
                <w:rFonts w:hint="eastAsia" w:ascii="宋体" w:hAnsi="宋体" w:eastAsia="宋体" w:cs="Tahoma"/>
                <w:kern w:val="0"/>
                <w:sz w:val="21"/>
                <w:szCs w:val="21"/>
              </w:rPr>
              <w:t>、七氟丙烷气体灭火系统1项等过程无可预估的费用。</w:t>
            </w:r>
          </w:p>
        </w:tc>
        <w:tc>
          <w:tcPr>
            <w:tcW w:w="708" w:type="dxa"/>
            <w:tcBorders>
              <w:top w:val="nil"/>
              <w:left w:val="nil"/>
              <w:bottom w:val="single" w:color="auto" w:sz="4" w:space="0"/>
              <w:right w:val="single" w:color="auto" w:sz="4" w:space="0"/>
            </w:tcBorders>
            <w:shd w:val="clear" w:color="auto" w:fill="auto"/>
            <w:vAlign w:val="center"/>
          </w:tcPr>
          <w:p w14:paraId="2BE0F35C">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项</w:t>
            </w:r>
          </w:p>
        </w:tc>
        <w:tc>
          <w:tcPr>
            <w:tcW w:w="709" w:type="dxa"/>
            <w:tcBorders>
              <w:top w:val="nil"/>
              <w:left w:val="nil"/>
              <w:bottom w:val="single" w:color="auto" w:sz="4" w:space="0"/>
              <w:right w:val="single" w:color="auto" w:sz="4" w:space="0"/>
            </w:tcBorders>
            <w:shd w:val="clear" w:color="auto" w:fill="auto"/>
            <w:vAlign w:val="center"/>
          </w:tcPr>
          <w:p w14:paraId="7E106831">
            <w:pPr>
              <w:widowControl/>
              <w:spacing w:line="240"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r>
    </w:tbl>
    <w:p w14:paraId="5D450BE0">
      <w:pPr>
        <w:pStyle w:val="2"/>
        <w:ind w:left="431" w:hanging="431"/>
        <w:jc w:val="both"/>
        <w:rPr>
          <w:rFonts w:ascii="宋体" w:hAnsi="宋体"/>
          <w:color w:val="FF0000"/>
        </w:rPr>
      </w:pPr>
      <w:r>
        <w:rPr>
          <w:rFonts w:hint="eastAsia" w:hAnsi="宋体"/>
          <w:color w:val="FF0000"/>
          <w:lang w:val="en-US" w:eastAsia="zh-CN"/>
        </w:rPr>
        <w:t>2.</w:t>
      </w:r>
      <w:r>
        <w:rPr>
          <w:rFonts w:hint="eastAsia" w:ascii="宋体" w:hAnsi="宋体"/>
          <w:color w:val="FF0000"/>
        </w:rPr>
        <w:t>数据中心设备清单及详细技术参数</w:t>
      </w:r>
    </w:p>
    <w:tbl>
      <w:tblPr>
        <w:tblStyle w:val="2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620"/>
        <w:gridCol w:w="4236"/>
        <w:gridCol w:w="709"/>
        <w:gridCol w:w="850"/>
        <w:gridCol w:w="851"/>
      </w:tblGrid>
      <w:tr w14:paraId="46A2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0" w:type="dxa"/>
            <w:shd w:val="clear" w:color="auto" w:fill="auto"/>
            <w:vAlign w:val="center"/>
          </w:tcPr>
          <w:p w14:paraId="47713D5B">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序号</w:t>
            </w:r>
          </w:p>
        </w:tc>
        <w:tc>
          <w:tcPr>
            <w:tcW w:w="1620" w:type="dxa"/>
            <w:shd w:val="clear" w:color="auto" w:fill="auto"/>
            <w:vAlign w:val="center"/>
          </w:tcPr>
          <w:p w14:paraId="0287DA82">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设备名称</w:t>
            </w:r>
          </w:p>
        </w:tc>
        <w:tc>
          <w:tcPr>
            <w:tcW w:w="4236" w:type="dxa"/>
            <w:shd w:val="clear" w:color="auto" w:fill="auto"/>
            <w:vAlign w:val="center"/>
          </w:tcPr>
          <w:p w14:paraId="4371FD51">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技术要求</w:t>
            </w:r>
          </w:p>
        </w:tc>
        <w:tc>
          <w:tcPr>
            <w:tcW w:w="709" w:type="dxa"/>
            <w:shd w:val="clear" w:color="auto" w:fill="auto"/>
            <w:vAlign w:val="center"/>
          </w:tcPr>
          <w:p w14:paraId="7380AB50">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单位</w:t>
            </w:r>
          </w:p>
        </w:tc>
        <w:tc>
          <w:tcPr>
            <w:tcW w:w="850" w:type="dxa"/>
            <w:shd w:val="clear" w:color="auto" w:fill="auto"/>
            <w:vAlign w:val="center"/>
          </w:tcPr>
          <w:p w14:paraId="406BFA01">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数量</w:t>
            </w:r>
          </w:p>
        </w:tc>
        <w:tc>
          <w:tcPr>
            <w:tcW w:w="851" w:type="dxa"/>
            <w:shd w:val="clear" w:color="auto" w:fill="auto"/>
            <w:vAlign w:val="center"/>
          </w:tcPr>
          <w:p w14:paraId="1E24D72D">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备注</w:t>
            </w:r>
          </w:p>
        </w:tc>
      </w:tr>
      <w:tr w14:paraId="1883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60" w:type="dxa"/>
            <w:shd w:val="clear" w:color="auto" w:fill="auto"/>
            <w:vAlign w:val="center"/>
          </w:tcPr>
          <w:p w14:paraId="2193F493">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1</w:t>
            </w:r>
          </w:p>
        </w:tc>
        <w:tc>
          <w:tcPr>
            <w:tcW w:w="1620" w:type="dxa"/>
            <w:shd w:val="clear" w:color="auto" w:fill="auto"/>
            <w:vAlign w:val="center"/>
          </w:tcPr>
          <w:p w14:paraId="3C7E71F7">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数据库服务器</w:t>
            </w:r>
          </w:p>
        </w:tc>
        <w:tc>
          <w:tcPr>
            <w:tcW w:w="4236" w:type="dxa"/>
            <w:shd w:val="clear" w:color="auto" w:fill="auto"/>
            <w:vAlign w:val="center"/>
          </w:tcPr>
          <w:p w14:paraId="44BCAA3D">
            <w:pPr>
              <w:spacing w:line="276" w:lineRule="auto"/>
              <w:rPr>
                <w:rFonts w:ascii="宋体" w:hAnsi="宋体" w:eastAsia="宋体"/>
                <w:sz w:val="21"/>
                <w:szCs w:val="21"/>
              </w:rPr>
            </w:pPr>
            <w:r>
              <w:rPr>
                <w:rFonts w:hint="eastAsia" w:ascii="宋体" w:hAnsi="宋体" w:eastAsia="宋体"/>
                <w:sz w:val="21"/>
                <w:szCs w:val="21"/>
              </w:rPr>
              <w:t>1、CPU：颗数≥2，单颗 CPU配置（≥24核心、≥48线程、≥2.80GHZ）；</w:t>
            </w:r>
          </w:p>
          <w:p w14:paraId="76DA57EE">
            <w:pPr>
              <w:spacing w:line="276" w:lineRule="auto"/>
              <w:rPr>
                <w:rFonts w:ascii="宋体" w:hAnsi="宋体" w:eastAsia="宋体"/>
                <w:color w:val="0070C0"/>
                <w:sz w:val="21"/>
                <w:szCs w:val="21"/>
              </w:rPr>
            </w:pPr>
            <w:r>
              <w:rPr>
                <w:rFonts w:hint="eastAsia" w:ascii="宋体" w:hAnsi="宋体" w:eastAsia="宋体"/>
                <w:color w:val="0070C0"/>
                <w:sz w:val="21"/>
                <w:szCs w:val="21"/>
              </w:rPr>
              <w:t>2、内存：≥1T;</w:t>
            </w:r>
          </w:p>
          <w:p w14:paraId="5D3AAA31">
            <w:pPr>
              <w:spacing w:line="276" w:lineRule="auto"/>
              <w:rPr>
                <w:rFonts w:ascii="宋体" w:hAnsi="宋体" w:eastAsia="宋体"/>
                <w:sz w:val="21"/>
                <w:szCs w:val="21"/>
              </w:rPr>
            </w:pPr>
            <w:r>
              <w:rPr>
                <w:rFonts w:hint="eastAsia" w:ascii="宋体" w:hAnsi="宋体" w:eastAsia="宋体"/>
                <w:sz w:val="21"/>
                <w:szCs w:val="21"/>
              </w:rPr>
              <w:t xml:space="preserve"> 3、硬盘：≥2*960G SATA SSD，硬盘插槽≥12；</w:t>
            </w:r>
          </w:p>
          <w:p w14:paraId="68F3C2E3">
            <w:pPr>
              <w:spacing w:line="276" w:lineRule="auto"/>
              <w:rPr>
                <w:rFonts w:ascii="宋体" w:hAnsi="宋体" w:eastAsia="宋体"/>
                <w:sz w:val="21"/>
                <w:szCs w:val="21"/>
              </w:rPr>
            </w:pPr>
            <w:r>
              <w:rPr>
                <w:rFonts w:hint="eastAsia" w:ascii="宋体" w:hAnsi="宋体" w:eastAsia="宋体"/>
                <w:sz w:val="21"/>
                <w:szCs w:val="21"/>
              </w:rPr>
              <w:t>4、网卡：千兆电口≥ 4 个，万兆光口 4 个（满配万兆多模光模块）；</w:t>
            </w:r>
          </w:p>
          <w:p w14:paraId="268FD483">
            <w:pPr>
              <w:spacing w:line="276" w:lineRule="auto"/>
              <w:rPr>
                <w:rFonts w:ascii="宋体" w:hAnsi="宋体" w:eastAsia="宋体"/>
                <w:sz w:val="21"/>
                <w:szCs w:val="21"/>
              </w:rPr>
            </w:pPr>
            <w:r>
              <w:rPr>
                <w:rFonts w:hint="eastAsia" w:ascii="宋体" w:hAnsi="宋体" w:eastAsia="宋体"/>
                <w:sz w:val="21"/>
                <w:szCs w:val="21"/>
              </w:rPr>
              <w:t>5、电源：冗余电源，白金；</w:t>
            </w:r>
          </w:p>
          <w:p w14:paraId="1B057F1E">
            <w:pPr>
              <w:spacing w:line="276" w:lineRule="auto"/>
              <w:rPr>
                <w:rFonts w:ascii="宋体" w:hAnsi="宋体" w:eastAsia="宋体"/>
                <w:sz w:val="21"/>
                <w:szCs w:val="21"/>
              </w:rPr>
            </w:pPr>
            <w:r>
              <w:rPr>
                <w:rFonts w:hint="eastAsia" w:ascii="宋体" w:hAnsi="宋体" w:eastAsia="宋体"/>
                <w:sz w:val="21"/>
                <w:szCs w:val="21"/>
              </w:rPr>
              <w:t>6、BMC功能：标配BMC诊断模块，可实现对CPU/内存/硬盘/网卡/风扇/温度/电源等关键部件的故障诊断；</w:t>
            </w:r>
          </w:p>
          <w:p w14:paraId="6684A21B">
            <w:pPr>
              <w:spacing w:line="276" w:lineRule="auto"/>
              <w:rPr>
                <w:rFonts w:ascii="宋体" w:hAnsi="宋体" w:eastAsia="宋体"/>
                <w:sz w:val="21"/>
                <w:szCs w:val="21"/>
              </w:rPr>
            </w:pPr>
            <w:r>
              <w:rPr>
                <w:rFonts w:hint="eastAsia" w:ascii="宋体" w:hAnsi="宋体" w:eastAsia="宋体"/>
                <w:sz w:val="21"/>
                <w:szCs w:val="21"/>
              </w:rPr>
              <w:t>7、服务：提供3年原厂整机保修服务；</w:t>
            </w:r>
          </w:p>
        </w:tc>
        <w:tc>
          <w:tcPr>
            <w:tcW w:w="709" w:type="dxa"/>
            <w:shd w:val="clear" w:color="auto" w:fill="auto"/>
            <w:vAlign w:val="center"/>
          </w:tcPr>
          <w:p w14:paraId="6C925E69">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台</w:t>
            </w:r>
          </w:p>
        </w:tc>
        <w:tc>
          <w:tcPr>
            <w:tcW w:w="850" w:type="dxa"/>
            <w:shd w:val="clear" w:color="auto" w:fill="auto"/>
            <w:vAlign w:val="center"/>
          </w:tcPr>
          <w:p w14:paraId="6BFBAEAA">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2</w:t>
            </w:r>
          </w:p>
        </w:tc>
        <w:tc>
          <w:tcPr>
            <w:tcW w:w="851" w:type="dxa"/>
            <w:shd w:val="clear" w:color="auto" w:fill="auto"/>
            <w:vAlign w:val="center"/>
          </w:tcPr>
          <w:p w14:paraId="3ED89B71">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　</w:t>
            </w:r>
          </w:p>
        </w:tc>
      </w:tr>
      <w:tr w14:paraId="46F1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0" w:type="dxa"/>
            <w:shd w:val="clear" w:color="auto" w:fill="auto"/>
            <w:noWrap/>
            <w:vAlign w:val="center"/>
          </w:tcPr>
          <w:p w14:paraId="399EA33B">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620" w:type="dxa"/>
            <w:shd w:val="clear" w:color="000000" w:fill="FFFFFF"/>
            <w:vAlign w:val="center"/>
          </w:tcPr>
          <w:p w14:paraId="451FD055">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应用服务器</w:t>
            </w:r>
          </w:p>
        </w:tc>
        <w:tc>
          <w:tcPr>
            <w:tcW w:w="4236" w:type="dxa"/>
            <w:shd w:val="clear" w:color="000000" w:fill="FFFFFF"/>
            <w:vAlign w:val="center"/>
          </w:tcPr>
          <w:p w14:paraId="647C4A1A">
            <w:pPr>
              <w:spacing w:line="276" w:lineRule="auto"/>
              <w:rPr>
                <w:rFonts w:ascii="宋体" w:hAnsi="宋体" w:eastAsia="宋体"/>
                <w:color w:val="0070C0"/>
                <w:sz w:val="21"/>
                <w:szCs w:val="21"/>
              </w:rPr>
            </w:pPr>
            <w:r>
              <w:rPr>
                <w:rFonts w:hint="eastAsia" w:ascii="宋体" w:hAnsi="宋体" w:eastAsia="宋体"/>
                <w:color w:val="0070C0"/>
                <w:sz w:val="21"/>
                <w:szCs w:val="21"/>
              </w:rPr>
              <w:t>1、1、CPU：颗数≥2，单颗 CPU配置（≥24核心、≥48线程、≥2.80GHZ）；</w:t>
            </w:r>
          </w:p>
          <w:p w14:paraId="34FD7D71">
            <w:pPr>
              <w:spacing w:line="276" w:lineRule="auto"/>
              <w:rPr>
                <w:rFonts w:ascii="宋体" w:hAnsi="宋体" w:eastAsia="宋体"/>
                <w:color w:val="0070C0"/>
                <w:sz w:val="21"/>
                <w:szCs w:val="21"/>
              </w:rPr>
            </w:pPr>
            <w:r>
              <w:rPr>
                <w:rFonts w:hint="eastAsia" w:ascii="宋体" w:hAnsi="宋体" w:eastAsia="宋体"/>
                <w:color w:val="0070C0"/>
                <w:sz w:val="21"/>
                <w:szCs w:val="21"/>
              </w:rPr>
              <w:t>2、内存：≥1T;</w:t>
            </w:r>
          </w:p>
          <w:p w14:paraId="2F37E5D9">
            <w:pPr>
              <w:spacing w:line="276" w:lineRule="auto"/>
              <w:rPr>
                <w:rFonts w:ascii="宋体" w:hAnsi="宋体" w:eastAsia="宋体"/>
                <w:sz w:val="21"/>
                <w:szCs w:val="21"/>
              </w:rPr>
            </w:pPr>
            <w:r>
              <w:rPr>
                <w:rFonts w:hint="eastAsia" w:ascii="宋体" w:hAnsi="宋体" w:eastAsia="宋体"/>
                <w:sz w:val="21"/>
                <w:szCs w:val="21"/>
              </w:rPr>
              <w:t>3、硬盘：≥2*240G SATA SSD，硬盘插槽≥12；</w:t>
            </w:r>
          </w:p>
          <w:p w14:paraId="67FE6E23">
            <w:pPr>
              <w:spacing w:line="276" w:lineRule="auto"/>
              <w:rPr>
                <w:rFonts w:ascii="宋体" w:hAnsi="宋体" w:eastAsia="宋体"/>
                <w:sz w:val="21"/>
                <w:szCs w:val="21"/>
              </w:rPr>
            </w:pPr>
            <w:r>
              <w:rPr>
                <w:rFonts w:hint="eastAsia" w:ascii="宋体" w:hAnsi="宋体" w:eastAsia="宋体"/>
                <w:sz w:val="21"/>
                <w:szCs w:val="21"/>
              </w:rPr>
              <w:t>4、网卡：千兆电口≥ 4 个，万兆光口 4 个（满配万兆多模光模块）；</w:t>
            </w:r>
          </w:p>
          <w:p w14:paraId="6256F6D0">
            <w:pPr>
              <w:spacing w:line="276" w:lineRule="auto"/>
              <w:rPr>
                <w:rFonts w:ascii="宋体" w:hAnsi="宋体" w:eastAsia="宋体"/>
                <w:sz w:val="21"/>
                <w:szCs w:val="21"/>
              </w:rPr>
            </w:pPr>
            <w:r>
              <w:rPr>
                <w:rFonts w:hint="eastAsia" w:ascii="宋体" w:hAnsi="宋体" w:eastAsia="宋体"/>
                <w:sz w:val="21"/>
                <w:szCs w:val="21"/>
              </w:rPr>
              <w:t>5、电源：冗余电源，白金；</w:t>
            </w:r>
          </w:p>
          <w:p w14:paraId="11138483">
            <w:pPr>
              <w:spacing w:line="276" w:lineRule="auto"/>
              <w:rPr>
                <w:rFonts w:ascii="宋体" w:hAnsi="宋体" w:eastAsia="宋体"/>
                <w:sz w:val="21"/>
                <w:szCs w:val="21"/>
              </w:rPr>
            </w:pPr>
            <w:r>
              <w:rPr>
                <w:rFonts w:hint="eastAsia" w:ascii="宋体" w:hAnsi="宋体" w:eastAsia="宋体"/>
                <w:sz w:val="21"/>
                <w:szCs w:val="21"/>
              </w:rPr>
              <w:t>6、BMC功能：标配BMC诊断模块，可实现对CPU/内存/硬盘/网卡/风扇/温度/电源等关键部件的故障诊断；</w:t>
            </w:r>
          </w:p>
          <w:p w14:paraId="1822C81F">
            <w:pPr>
              <w:spacing w:line="276" w:lineRule="auto"/>
              <w:rPr>
                <w:rFonts w:ascii="宋体" w:hAnsi="宋体" w:eastAsia="宋体"/>
                <w:sz w:val="21"/>
                <w:szCs w:val="21"/>
              </w:rPr>
            </w:pPr>
            <w:r>
              <w:rPr>
                <w:rFonts w:hint="eastAsia" w:ascii="宋体" w:hAnsi="宋体" w:eastAsia="宋体"/>
                <w:sz w:val="21"/>
                <w:szCs w:val="21"/>
              </w:rPr>
              <w:t>7、维保：提供3年原厂整机保修服务；</w:t>
            </w:r>
          </w:p>
          <w:p w14:paraId="3119B32C">
            <w:pPr>
              <w:spacing w:line="276" w:lineRule="auto"/>
              <w:rPr>
                <w:rFonts w:ascii="宋体" w:hAnsi="宋体" w:eastAsia="宋体"/>
                <w:sz w:val="21"/>
                <w:szCs w:val="21"/>
              </w:rPr>
            </w:pPr>
            <w:r>
              <w:rPr>
                <w:rFonts w:hint="eastAsia" w:ascii="宋体" w:hAnsi="宋体" w:eastAsia="宋体"/>
                <w:sz w:val="21"/>
                <w:szCs w:val="21"/>
              </w:rPr>
              <w:t>8、本次数据中心底层平台搭建采用虚拟化技术，虚拟机可以实现物理机的全部功能，如具有自己的资源（内存、CPU、网卡、存储），可以指定单独的IP地址、MAC地址等；</w:t>
            </w:r>
          </w:p>
          <w:p w14:paraId="10D5D54C">
            <w:pPr>
              <w:spacing w:line="276" w:lineRule="auto"/>
              <w:rPr>
                <w:rFonts w:ascii="宋体" w:hAnsi="宋体" w:eastAsia="宋体"/>
                <w:sz w:val="21"/>
                <w:szCs w:val="21"/>
              </w:rPr>
            </w:pPr>
            <w:r>
              <w:rPr>
                <w:rFonts w:hint="eastAsia" w:ascii="宋体" w:hAnsi="宋体" w:eastAsia="宋体"/>
                <w:sz w:val="21"/>
                <w:szCs w:val="21"/>
              </w:rPr>
              <w:t>9、支持主流的winserver/linuxserver/麒麟/统信/欧拉等操作系统部署，用于承载本次建设的软件系统；</w:t>
            </w:r>
          </w:p>
          <w:p w14:paraId="5983485B">
            <w:pPr>
              <w:spacing w:line="276" w:lineRule="auto"/>
              <w:rPr>
                <w:rFonts w:ascii="宋体" w:hAnsi="宋体" w:eastAsia="宋体"/>
                <w:sz w:val="21"/>
                <w:szCs w:val="21"/>
              </w:rPr>
            </w:pPr>
            <w:r>
              <w:rPr>
                <w:rFonts w:hint="eastAsia" w:ascii="宋体" w:hAnsi="宋体" w:eastAsia="宋体"/>
                <w:sz w:val="21"/>
                <w:szCs w:val="21"/>
              </w:rPr>
              <w:t>10、支持在虚拟化统一管理平台上可对虚拟机进行删除、开机、关机、挂起、重启、关闭电源、克隆、迁移、备份、模板导出、快照、标签管理等操作（单一或者批量均可）；</w:t>
            </w:r>
          </w:p>
          <w:p w14:paraId="74FE2B73">
            <w:pPr>
              <w:spacing w:line="276" w:lineRule="auto"/>
              <w:rPr>
                <w:rFonts w:ascii="宋体" w:hAnsi="宋体" w:eastAsia="宋体"/>
                <w:sz w:val="21"/>
                <w:szCs w:val="21"/>
              </w:rPr>
            </w:pPr>
            <w:r>
              <w:rPr>
                <w:rFonts w:hint="eastAsia" w:ascii="宋体" w:hAnsi="宋体" w:eastAsia="宋体"/>
                <w:sz w:val="21"/>
                <w:szCs w:val="21"/>
              </w:rPr>
              <w:t>11、为保障核心业务的稳定运行，支持虚拟机动态资源添加操作，可以对虚拟机的CPU和内存使用不足时进行自动为虚拟机添加CPU 和内存资源；</w:t>
            </w:r>
          </w:p>
          <w:p w14:paraId="60D50908">
            <w:pPr>
              <w:spacing w:line="276" w:lineRule="auto"/>
              <w:rPr>
                <w:rFonts w:ascii="宋体" w:hAnsi="宋体" w:eastAsia="宋体"/>
                <w:sz w:val="21"/>
                <w:szCs w:val="21"/>
              </w:rPr>
            </w:pPr>
            <w:r>
              <w:rPr>
                <w:rFonts w:hint="eastAsia" w:ascii="宋体" w:hAnsi="宋体" w:eastAsia="宋体"/>
                <w:sz w:val="21"/>
                <w:szCs w:val="21"/>
              </w:rPr>
              <w:t>12、虚拟化平台支持为虚拟机热添加CPU、内存、磁盘、网卡的功能，无需中断或停机即可实现；</w:t>
            </w:r>
          </w:p>
          <w:p w14:paraId="3502A00F">
            <w:pPr>
              <w:spacing w:line="276" w:lineRule="auto"/>
              <w:rPr>
                <w:rFonts w:ascii="宋体" w:hAnsi="宋体" w:eastAsia="宋体"/>
                <w:sz w:val="21"/>
                <w:szCs w:val="21"/>
              </w:rPr>
            </w:pPr>
            <w:r>
              <w:rPr>
                <w:rFonts w:hint="eastAsia" w:ascii="宋体" w:hAnsi="宋体" w:eastAsia="宋体"/>
                <w:sz w:val="21"/>
                <w:szCs w:val="21"/>
              </w:rPr>
              <w:t>13、虚拟化平台支持无代理备份功能，提供定时备份能力，定时备份支持按小时/天/周备份；</w:t>
            </w:r>
          </w:p>
          <w:p w14:paraId="4C5C00C7">
            <w:pPr>
              <w:spacing w:line="276" w:lineRule="auto"/>
              <w:rPr>
                <w:rFonts w:ascii="宋体" w:hAnsi="宋体" w:eastAsia="宋体"/>
                <w:sz w:val="21"/>
                <w:szCs w:val="21"/>
              </w:rPr>
            </w:pPr>
            <w:r>
              <w:rPr>
                <w:rFonts w:hint="eastAsia" w:ascii="宋体" w:hAnsi="宋体" w:eastAsia="宋体"/>
                <w:sz w:val="21"/>
                <w:szCs w:val="21"/>
              </w:rPr>
              <w:t>14、售后服务要求：提供3年硬件质保，原厂3年软件升级服务；</w:t>
            </w:r>
          </w:p>
        </w:tc>
        <w:tc>
          <w:tcPr>
            <w:tcW w:w="709" w:type="dxa"/>
            <w:shd w:val="clear" w:color="000000" w:fill="FFFFFF"/>
            <w:vAlign w:val="center"/>
          </w:tcPr>
          <w:p w14:paraId="2AF921EC">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850" w:type="dxa"/>
            <w:shd w:val="clear" w:color="000000" w:fill="FFFFFF"/>
            <w:vAlign w:val="center"/>
          </w:tcPr>
          <w:p w14:paraId="010F9C34">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c>
          <w:tcPr>
            <w:tcW w:w="851" w:type="dxa"/>
            <w:shd w:val="clear" w:color="000000" w:fill="FFFFFF"/>
            <w:vAlign w:val="center"/>
          </w:tcPr>
          <w:p w14:paraId="247DE517">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r>
      <w:tr w14:paraId="6B58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shd w:val="clear" w:color="auto" w:fill="auto"/>
            <w:vAlign w:val="center"/>
          </w:tcPr>
          <w:p w14:paraId="6D66269E">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3</w:t>
            </w:r>
          </w:p>
        </w:tc>
        <w:tc>
          <w:tcPr>
            <w:tcW w:w="1620" w:type="dxa"/>
            <w:shd w:val="clear" w:color="000000" w:fill="FFFFFF"/>
            <w:vAlign w:val="center"/>
          </w:tcPr>
          <w:p w14:paraId="6295533E">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磁盘阵列</w:t>
            </w:r>
          </w:p>
        </w:tc>
        <w:tc>
          <w:tcPr>
            <w:tcW w:w="4236" w:type="dxa"/>
            <w:shd w:val="clear" w:color="000000" w:fill="FFFFFF"/>
            <w:vAlign w:val="center"/>
          </w:tcPr>
          <w:p w14:paraId="4B15C32A">
            <w:pPr>
              <w:spacing w:line="276" w:lineRule="auto"/>
              <w:rPr>
                <w:rFonts w:ascii="宋体" w:hAnsi="宋体" w:eastAsia="宋体"/>
                <w:sz w:val="21"/>
                <w:szCs w:val="21"/>
              </w:rPr>
            </w:pPr>
            <w:r>
              <w:rPr>
                <w:rFonts w:hint="eastAsia" w:ascii="宋体" w:hAnsi="宋体" w:eastAsia="宋体"/>
                <w:sz w:val="21"/>
                <w:szCs w:val="21"/>
              </w:rPr>
              <w:t>1、采用多控制架构盘控一体化方案，本次配备3台控制器；</w:t>
            </w:r>
          </w:p>
          <w:p w14:paraId="23DDEAFF">
            <w:pPr>
              <w:spacing w:line="276" w:lineRule="auto"/>
              <w:rPr>
                <w:rFonts w:ascii="宋体" w:hAnsi="宋体" w:eastAsia="宋体"/>
                <w:sz w:val="21"/>
                <w:szCs w:val="21"/>
              </w:rPr>
            </w:pPr>
            <w:r>
              <w:rPr>
                <w:rFonts w:hint="eastAsia" w:ascii="宋体" w:hAnsi="宋体" w:eastAsia="宋体"/>
                <w:sz w:val="21"/>
                <w:szCs w:val="21"/>
              </w:rPr>
              <w:t>2、CPU：单台控制器CPU颗数≥2，单颗CPU核数≥10，单颗CPU主频≥2.4GHZ；</w:t>
            </w:r>
          </w:p>
          <w:p w14:paraId="5D63F2A9">
            <w:pPr>
              <w:spacing w:line="276" w:lineRule="auto"/>
              <w:rPr>
                <w:rFonts w:ascii="宋体" w:hAnsi="宋体" w:eastAsia="宋体"/>
                <w:sz w:val="21"/>
                <w:szCs w:val="21"/>
              </w:rPr>
            </w:pPr>
            <w:r>
              <w:rPr>
                <w:rFonts w:hint="eastAsia" w:ascii="宋体" w:hAnsi="宋体" w:eastAsia="宋体"/>
                <w:sz w:val="21"/>
                <w:szCs w:val="21"/>
              </w:rPr>
              <w:t>3、内存：≥128G DDR4 2933；</w:t>
            </w:r>
          </w:p>
          <w:p w14:paraId="77177491">
            <w:pPr>
              <w:spacing w:line="276" w:lineRule="auto"/>
              <w:rPr>
                <w:rFonts w:ascii="宋体" w:hAnsi="宋体" w:eastAsia="宋体"/>
                <w:sz w:val="21"/>
                <w:szCs w:val="21"/>
              </w:rPr>
            </w:pPr>
            <w:r>
              <w:rPr>
                <w:rFonts w:hint="eastAsia" w:ascii="宋体" w:hAnsi="宋体" w:eastAsia="宋体"/>
                <w:sz w:val="21"/>
                <w:szCs w:val="21"/>
              </w:rPr>
              <w:t>4、硬盘：≥2*240G SATA SSD+2*7.68TU.2 NVME SSD+18*12T SATA HDD,硬盘槽位剩余可用≥6；</w:t>
            </w:r>
          </w:p>
          <w:p w14:paraId="5578C7AF">
            <w:pPr>
              <w:spacing w:line="276" w:lineRule="auto"/>
              <w:rPr>
                <w:rFonts w:ascii="宋体" w:hAnsi="宋体" w:eastAsia="宋体"/>
                <w:sz w:val="21"/>
                <w:szCs w:val="21"/>
              </w:rPr>
            </w:pPr>
            <w:r>
              <w:rPr>
                <w:rFonts w:hint="eastAsia" w:ascii="宋体" w:hAnsi="宋体" w:eastAsia="宋体"/>
                <w:sz w:val="21"/>
                <w:szCs w:val="21"/>
              </w:rPr>
              <w:t>5、网卡：千兆电口≥ 4 个，万兆光口 4 个（满配万兆多模光模块）；</w:t>
            </w:r>
          </w:p>
          <w:p w14:paraId="45932E87">
            <w:pPr>
              <w:spacing w:line="276" w:lineRule="auto"/>
              <w:rPr>
                <w:rFonts w:ascii="宋体" w:hAnsi="宋体" w:eastAsia="宋体"/>
                <w:sz w:val="21"/>
                <w:szCs w:val="21"/>
              </w:rPr>
            </w:pPr>
            <w:r>
              <w:rPr>
                <w:rFonts w:hint="eastAsia" w:ascii="宋体" w:hAnsi="宋体" w:eastAsia="宋体"/>
                <w:sz w:val="21"/>
                <w:szCs w:val="21"/>
              </w:rPr>
              <w:t>6、授权：软件部分按裸容量进行统一授权，本次提供200T授权，块、文件、对象、快照、缓存加速池等高级功能全部开通；</w:t>
            </w:r>
          </w:p>
          <w:p w14:paraId="04A4C587">
            <w:pPr>
              <w:spacing w:line="276" w:lineRule="auto"/>
              <w:rPr>
                <w:rFonts w:ascii="宋体" w:hAnsi="宋体" w:eastAsia="宋体"/>
                <w:sz w:val="21"/>
                <w:szCs w:val="21"/>
              </w:rPr>
            </w:pPr>
            <w:r>
              <w:rPr>
                <w:rFonts w:hint="eastAsia" w:ascii="宋体" w:hAnsi="宋体" w:eastAsia="宋体"/>
                <w:sz w:val="21"/>
                <w:szCs w:val="21"/>
              </w:rPr>
              <w:t>7、对象存储：提供Amazon S3标准接口，兼容S3生态体系；</w:t>
            </w:r>
          </w:p>
          <w:p w14:paraId="55D470C6">
            <w:pPr>
              <w:spacing w:line="276" w:lineRule="auto"/>
              <w:rPr>
                <w:rFonts w:ascii="宋体" w:hAnsi="宋体" w:eastAsia="宋体"/>
                <w:sz w:val="21"/>
                <w:szCs w:val="21"/>
              </w:rPr>
            </w:pPr>
            <w:r>
              <w:rPr>
                <w:rFonts w:hint="eastAsia" w:ascii="宋体" w:hAnsi="宋体" w:eastAsia="宋体"/>
                <w:sz w:val="21"/>
                <w:szCs w:val="21"/>
              </w:rPr>
              <w:t>8、</w:t>
            </w:r>
            <w:r>
              <w:rPr>
                <w:rFonts w:ascii="宋体" w:hAnsi="宋体" w:eastAsia="宋体"/>
                <w:sz w:val="21"/>
                <w:szCs w:val="21"/>
              </w:rPr>
              <w:t>文件存储</w:t>
            </w:r>
            <w:r>
              <w:rPr>
                <w:rFonts w:hint="eastAsia" w:ascii="宋体" w:hAnsi="宋体" w:eastAsia="宋体"/>
                <w:sz w:val="21"/>
                <w:szCs w:val="21"/>
              </w:rPr>
              <w:t>：同时提供NFS、CIFS、FTP以及三种存储接口，满足不同应用系统对存储接口的要求；</w:t>
            </w:r>
          </w:p>
          <w:p w14:paraId="401EC2FF">
            <w:pPr>
              <w:spacing w:line="276" w:lineRule="auto"/>
              <w:rPr>
                <w:rFonts w:ascii="宋体" w:hAnsi="宋体" w:eastAsia="宋体"/>
                <w:sz w:val="21"/>
                <w:szCs w:val="21"/>
              </w:rPr>
            </w:pPr>
            <w:r>
              <w:rPr>
                <w:rFonts w:hint="eastAsia" w:ascii="宋体" w:hAnsi="宋体" w:eastAsia="宋体"/>
                <w:sz w:val="21"/>
                <w:szCs w:val="21"/>
              </w:rPr>
              <w:t>9、</w:t>
            </w:r>
            <w:r>
              <w:rPr>
                <w:rFonts w:ascii="宋体" w:hAnsi="宋体" w:eastAsia="宋体"/>
                <w:sz w:val="21"/>
                <w:szCs w:val="21"/>
              </w:rPr>
              <w:t>块存储</w:t>
            </w:r>
            <w:r>
              <w:rPr>
                <w:rFonts w:hint="eastAsia" w:ascii="宋体" w:hAnsi="宋体" w:eastAsia="宋体"/>
                <w:sz w:val="21"/>
                <w:szCs w:val="21"/>
              </w:rPr>
              <w:t>：支持iSCSI块存储接口、支持定时快照保护，支持按照时间点、时间段为LUN或一致性组设置定时快照策略，实现数据的本地定时备份；</w:t>
            </w:r>
          </w:p>
          <w:p w14:paraId="5DA415CD">
            <w:pPr>
              <w:spacing w:line="276" w:lineRule="auto"/>
              <w:rPr>
                <w:rFonts w:ascii="宋体" w:hAnsi="宋体" w:eastAsia="宋体" w:cs="Tahoma"/>
                <w:kern w:val="0"/>
                <w:sz w:val="21"/>
                <w:szCs w:val="21"/>
              </w:rPr>
            </w:pPr>
            <w:r>
              <w:rPr>
                <w:rFonts w:hint="eastAsia" w:ascii="宋体" w:hAnsi="宋体" w:eastAsia="宋体"/>
                <w:sz w:val="21"/>
                <w:szCs w:val="21"/>
              </w:rPr>
              <w:t>10、售后服务：提供3年原厂硬件质保服务，提供3年软件升级服务。</w:t>
            </w:r>
          </w:p>
        </w:tc>
        <w:tc>
          <w:tcPr>
            <w:tcW w:w="709" w:type="dxa"/>
            <w:shd w:val="clear" w:color="000000" w:fill="FFFFFF"/>
            <w:vAlign w:val="center"/>
          </w:tcPr>
          <w:p w14:paraId="4B52F309">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850" w:type="dxa"/>
            <w:shd w:val="clear" w:color="000000" w:fill="FFFFFF"/>
            <w:vAlign w:val="center"/>
          </w:tcPr>
          <w:p w14:paraId="739F40CC">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851" w:type="dxa"/>
            <w:shd w:val="clear" w:color="000000" w:fill="FFFFFF"/>
            <w:vAlign w:val="center"/>
          </w:tcPr>
          <w:p w14:paraId="5BE672DF">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r>
      <w:tr w14:paraId="1B64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660" w:type="dxa"/>
            <w:shd w:val="clear" w:color="auto" w:fill="auto"/>
            <w:noWrap/>
            <w:vAlign w:val="center"/>
          </w:tcPr>
          <w:p w14:paraId="2124EE10">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c>
          <w:tcPr>
            <w:tcW w:w="1620" w:type="dxa"/>
            <w:shd w:val="clear" w:color="000000" w:fill="FFFFFF"/>
            <w:vAlign w:val="center"/>
          </w:tcPr>
          <w:p w14:paraId="0D587BB7">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备份一体机</w:t>
            </w:r>
          </w:p>
        </w:tc>
        <w:tc>
          <w:tcPr>
            <w:tcW w:w="4236" w:type="dxa"/>
            <w:shd w:val="clear" w:color="000000" w:fill="FFFFFF"/>
            <w:vAlign w:val="center"/>
          </w:tcPr>
          <w:p w14:paraId="0C09628C">
            <w:pPr>
              <w:spacing w:line="276" w:lineRule="auto"/>
              <w:rPr>
                <w:rFonts w:ascii="宋体" w:hAnsi="宋体" w:eastAsia="宋体"/>
                <w:sz w:val="21"/>
                <w:szCs w:val="21"/>
              </w:rPr>
            </w:pPr>
            <w:r>
              <w:rPr>
                <w:rFonts w:hint="eastAsia" w:ascii="宋体" w:hAnsi="宋体" w:eastAsia="宋体"/>
                <w:sz w:val="21"/>
                <w:szCs w:val="21"/>
              </w:rPr>
              <w:t>1、提供50T备份容量授权；</w:t>
            </w:r>
          </w:p>
          <w:p w14:paraId="5E3CED71">
            <w:pPr>
              <w:spacing w:line="276" w:lineRule="auto"/>
              <w:rPr>
                <w:rFonts w:ascii="宋体" w:hAnsi="宋体" w:eastAsia="宋体"/>
                <w:sz w:val="21"/>
                <w:szCs w:val="21"/>
              </w:rPr>
            </w:pPr>
            <w:r>
              <w:rPr>
                <w:rFonts w:hint="eastAsia" w:ascii="宋体" w:hAnsi="宋体" w:eastAsia="宋体"/>
                <w:sz w:val="21"/>
                <w:szCs w:val="21"/>
              </w:rPr>
              <w:t>2、支持文件备份代理分组功能，提高创建批量文件备份任务的效率；</w:t>
            </w:r>
          </w:p>
          <w:p w14:paraId="6E297F87">
            <w:pPr>
              <w:spacing w:line="276" w:lineRule="auto"/>
              <w:rPr>
                <w:rFonts w:ascii="宋体" w:hAnsi="宋体" w:eastAsia="宋体"/>
                <w:sz w:val="21"/>
                <w:szCs w:val="21"/>
              </w:rPr>
            </w:pPr>
            <w:r>
              <w:rPr>
                <w:rFonts w:hint="eastAsia" w:ascii="宋体" w:hAnsi="宋体" w:eastAsia="宋体"/>
                <w:sz w:val="21"/>
                <w:szCs w:val="21"/>
              </w:rPr>
              <w:t>3、支持Windows、Linux下全量、增量、差异等文件备份方式，支持加密传输，提高传输的安全性；</w:t>
            </w:r>
          </w:p>
          <w:p w14:paraId="7C639EF9">
            <w:pPr>
              <w:spacing w:line="276" w:lineRule="auto"/>
              <w:rPr>
                <w:rFonts w:ascii="宋体" w:hAnsi="宋体" w:eastAsia="宋体"/>
                <w:sz w:val="21"/>
                <w:szCs w:val="21"/>
              </w:rPr>
            </w:pPr>
            <w:r>
              <w:rPr>
                <w:rFonts w:hint="eastAsia" w:ascii="宋体" w:hAnsi="宋体" w:eastAsia="宋体"/>
                <w:sz w:val="21"/>
                <w:szCs w:val="21"/>
              </w:rPr>
              <w:t>4、支持Oracle、SQL Server、MySQL、达梦等主流数据库的在线备份，支持全量、增量、差异或日志备份，支持数据库原机或异机恢复；支持Oracle数据库多通道备份策略，提高数据库备份效率；</w:t>
            </w:r>
          </w:p>
          <w:p w14:paraId="132BD348">
            <w:pPr>
              <w:spacing w:line="276" w:lineRule="auto"/>
              <w:rPr>
                <w:rFonts w:ascii="宋体" w:hAnsi="宋体" w:eastAsia="宋体" w:cs="Tahoma"/>
                <w:kern w:val="0"/>
                <w:sz w:val="21"/>
                <w:szCs w:val="21"/>
              </w:rPr>
            </w:pPr>
            <w:r>
              <w:rPr>
                <w:rFonts w:hint="eastAsia" w:ascii="宋体" w:hAnsi="宋体" w:eastAsia="宋体"/>
                <w:sz w:val="21"/>
                <w:szCs w:val="21"/>
              </w:rPr>
              <w:t>5、售后服务：提供3年原厂硬件质保服务，提供3年软件升级服务；</w:t>
            </w:r>
          </w:p>
        </w:tc>
        <w:tc>
          <w:tcPr>
            <w:tcW w:w="709" w:type="dxa"/>
            <w:shd w:val="clear" w:color="000000" w:fill="FFFFFF"/>
            <w:vAlign w:val="center"/>
          </w:tcPr>
          <w:p w14:paraId="5824D8C7">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850" w:type="dxa"/>
            <w:shd w:val="clear" w:color="000000" w:fill="FFFFFF"/>
            <w:vAlign w:val="center"/>
          </w:tcPr>
          <w:p w14:paraId="0B12A487">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851" w:type="dxa"/>
            <w:shd w:val="clear" w:color="000000" w:fill="FFFFFF"/>
            <w:vAlign w:val="center"/>
          </w:tcPr>
          <w:p w14:paraId="7C89EA77">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r>
      <w:tr w14:paraId="7138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shd w:val="clear" w:color="auto" w:fill="auto"/>
            <w:vAlign w:val="center"/>
          </w:tcPr>
          <w:p w14:paraId="689E1C51">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5</w:t>
            </w:r>
          </w:p>
        </w:tc>
        <w:tc>
          <w:tcPr>
            <w:tcW w:w="1620" w:type="dxa"/>
            <w:shd w:val="clear" w:color="auto" w:fill="auto"/>
            <w:vAlign w:val="center"/>
          </w:tcPr>
          <w:p w14:paraId="0CF7B61C">
            <w:pPr>
              <w:spacing w:line="276" w:lineRule="auto"/>
              <w:rPr>
                <w:rFonts w:ascii="宋体" w:hAnsi="宋体" w:eastAsia="宋体"/>
                <w:sz w:val="21"/>
                <w:szCs w:val="21"/>
              </w:rPr>
            </w:pPr>
            <w:r>
              <w:rPr>
                <w:rFonts w:hint="eastAsia" w:ascii="宋体" w:hAnsi="宋体" w:eastAsia="宋体"/>
                <w:sz w:val="21"/>
                <w:szCs w:val="21"/>
              </w:rPr>
              <w:t>万兆交换机</w:t>
            </w:r>
          </w:p>
        </w:tc>
        <w:tc>
          <w:tcPr>
            <w:tcW w:w="4236" w:type="dxa"/>
            <w:shd w:val="clear" w:color="000000" w:fill="FFFFFF"/>
            <w:vAlign w:val="center"/>
          </w:tcPr>
          <w:p w14:paraId="2A62B8F2">
            <w:pPr>
              <w:spacing w:line="276" w:lineRule="auto"/>
              <w:rPr>
                <w:rFonts w:ascii="宋体" w:hAnsi="宋体" w:eastAsia="宋体"/>
                <w:sz w:val="21"/>
                <w:szCs w:val="21"/>
              </w:rPr>
            </w:pPr>
            <w:r>
              <w:rPr>
                <w:rFonts w:hint="eastAsia" w:ascii="宋体" w:hAnsi="宋体" w:eastAsia="宋体"/>
                <w:sz w:val="21"/>
                <w:szCs w:val="21"/>
              </w:rPr>
              <w:t>1、≥24个1G/2.5G/10G SFP+光口，≥2个40GE QSFP+光口；</w:t>
            </w:r>
          </w:p>
          <w:p w14:paraId="44A32F0F">
            <w:pPr>
              <w:spacing w:line="276" w:lineRule="auto"/>
              <w:rPr>
                <w:rFonts w:ascii="宋体" w:hAnsi="宋体" w:eastAsia="宋体"/>
                <w:sz w:val="21"/>
                <w:szCs w:val="21"/>
              </w:rPr>
            </w:pPr>
            <w:r>
              <w:rPr>
                <w:rFonts w:hint="eastAsia" w:ascii="宋体" w:hAnsi="宋体" w:eastAsia="宋体"/>
                <w:sz w:val="21"/>
                <w:szCs w:val="21"/>
              </w:rPr>
              <w:t>2、交换容量≥2.56Tbps/23.04Tbps</w:t>
            </w:r>
          </w:p>
          <w:p w14:paraId="5B016E66">
            <w:pPr>
              <w:spacing w:line="276" w:lineRule="auto"/>
              <w:rPr>
                <w:rFonts w:ascii="宋体" w:hAnsi="宋体" w:eastAsia="宋体"/>
                <w:sz w:val="21"/>
                <w:szCs w:val="21"/>
              </w:rPr>
            </w:pPr>
            <w:r>
              <w:rPr>
                <w:rFonts w:hint="eastAsia" w:ascii="宋体" w:hAnsi="宋体" w:eastAsia="宋体"/>
                <w:sz w:val="21"/>
                <w:szCs w:val="21"/>
              </w:rPr>
              <w:t>3、包转发率≥1260Mpps；</w:t>
            </w:r>
          </w:p>
          <w:p w14:paraId="70C7AA40">
            <w:pPr>
              <w:spacing w:line="276" w:lineRule="auto"/>
              <w:rPr>
                <w:rFonts w:ascii="宋体" w:hAnsi="宋体" w:eastAsia="宋体"/>
                <w:sz w:val="21"/>
                <w:szCs w:val="21"/>
              </w:rPr>
            </w:pPr>
            <w:r>
              <w:rPr>
                <w:rFonts w:hint="eastAsia" w:ascii="宋体" w:hAnsi="宋体" w:eastAsia="宋体"/>
                <w:sz w:val="21"/>
                <w:szCs w:val="21"/>
              </w:rPr>
              <w:t>4、售后服务：提供3年原厂维保服务;</w:t>
            </w:r>
          </w:p>
        </w:tc>
        <w:tc>
          <w:tcPr>
            <w:tcW w:w="709" w:type="dxa"/>
            <w:shd w:val="clear" w:color="000000" w:fill="FFFFFF"/>
            <w:vAlign w:val="center"/>
          </w:tcPr>
          <w:p w14:paraId="2B0CDB87">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850" w:type="dxa"/>
            <w:shd w:val="clear" w:color="000000" w:fill="FFFFFF"/>
            <w:vAlign w:val="center"/>
          </w:tcPr>
          <w:p w14:paraId="1BF21AA1">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851" w:type="dxa"/>
            <w:shd w:val="clear" w:color="000000" w:fill="FFFFFF"/>
            <w:vAlign w:val="center"/>
          </w:tcPr>
          <w:p w14:paraId="0BE0A657">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r>
      <w:tr w14:paraId="5946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shd w:val="clear" w:color="auto" w:fill="auto"/>
            <w:noWrap/>
            <w:vAlign w:val="center"/>
          </w:tcPr>
          <w:p w14:paraId="0FD7A45D">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6</w:t>
            </w:r>
          </w:p>
        </w:tc>
        <w:tc>
          <w:tcPr>
            <w:tcW w:w="1620" w:type="dxa"/>
            <w:shd w:val="clear" w:color="auto" w:fill="auto"/>
            <w:vAlign w:val="center"/>
          </w:tcPr>
          <w:p w14:paraId="1ADC8928">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光纤交换机</w:t>
            </w:r>
          </w:p>
        </w:tc>
        <w:tc>
          <w:tcPr>
            <w:tcW w:w="4236" w:type="dxa"/>
            <w:shd w:val="clear" w:color="000000" w:fill="FFFFFF"/>
            <w:vAlign w:val="center"/>
          </w:tcPr>
          <w:p w14:paraId="1D123AF1">
            <w:pPr>
              <w:spacing w:line="276" w:lineRule="auto"/>
              <w:rPr>
                <w:rFonts w:ascii="宋体" w:hAnsi="宋体" w:eastAsia="宋体"/>
                <w:sz w:val="21"/>
                <w:szCs w:val="21"/>
              </w:rPr>
            </w:pPr>
            <w:r>
              <w:rPr>
                <w:rFonts w:hint="eastAsia" w:ascii="宋体" w:hAnsi="宋体" w:eastAsia="宋体"/>
                <w:sz w:val="21"/>
                <w:szCs w:val="21"/>
              </w:rPr>
              <w:t>1、≥24个10G SFP+光口；</w:t>
            </w:r>
          </w:p>
          <w:p w14:paraId="1A198F60">
            <w:pPr>
              <w:spacing w:line="276" w:lineRule="auto"/>
              <w:rPr>
                <w:rFonts w:ascii="宋体" w:hAnsi="宋体" w:eastAsia="宋体"/>
                <w:sz w:val="21"/>
                <w:szCs w:val="21"/>
              </w:rPr>
            </w:pPr>
            <w:r>
              <w:rPr>
                <w:rFonts w:hint="eastAsia" w:ascii="宋体" w:hAnsi="宋体" w:eastAsia="宋体"/>
                <w:sz w:val="21"/>
                <w:szCs w:val="21"/>
              </w:rPr>
              <w:t>2、交换容量≥2.56Tbps/23.04Tbps</w:t>
            </w:r>
          </w:p>
          <w:p w14:paraId="4D883A95">
            <w:pPr>
              <w:spacing w:line="276" w:lineRule="auto"/>
              <w:rPr>
                <w:rFonts w:ascii="宋体" w:hAnsi="宋体" w:eastAsia="宋体"/>
                <w:sz w:val="21"/>
                <w:szCs w:val="21"/>
              </w:rPr>
            </w:pPr>
            <w:r>
              <w:rPr>
                <w:rFonts w:hint="eastAsia" w:ascii="宋体" w:hAnsi="宋体" w:eastAsia="宋体"/>
                <w:sz w:val="21"/>
                <w:szCs w:val="21"/>
              </w:rPr>
              <w:t>3、包转发率≥1260Mpps；</w:t>
            </w:r>
          </w:p>
          <w:p w14:paraId="7C230A25">
            <w:pPr>
              <w:spacing w:line="276" w:lineRule="auto"/>
              <w:rPr>
                <w:rFonts w:ascii="宋体" w:hAnsi="宋体" w:eastAsia="宋体" w:cs="Tahoma"/>
                <w:kern w:val="0"/>
                <w:sz w:val="21"/>
                <w:szCs w:val="21"/>
              </w:rPr>
            </w:pPr>
            <w:r>
              <w:rPr>
                <w:rFonts w:hint="eastAsia" w:ascii="宋体" w:hAnsi="宋体" w:eastAsia="宋体"/>
                <w:sz w:val="21"/>
                <w:szCs w:val="21"/>
              </w:rPr>
              <w:t>4、售后服务：提供3年原厂维保服务;</w:t>
            </w:r>
          </w:p>
        </w:tc>
        <w:tc>
          <w:tcPr>
            <w:tcW w:w="709" w:type="dxa"/>
            <w:shd w:val="clear" w:color="000000" w:fill="FFFFFF"/>
            <w:vAlign w:val="center"/>
          </w:tcPr>
          <w:p w14:paraId="4C481B7A">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850" w:type="dxa"/>
            <w:shd w:val="clear" w:color="000000" w:fill="FFFFFF"/>
            <w:vAlign w:val="center"/>
          </w:tcPr>
          <w:p w14:paraId="22B3BEEF">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851" w:type="dxa"/>
            <w:shd w:val="clear" w:color="000000" w:fill="FFFFFF"/>
            <w:vAlign w:val="center"/>
          </w:tcPr>
          <w:p w14:paraId="0E90598B">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r>
      <w:tr w14:paraId="73DF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60" w:type="dxa"/>
            <w:shd w:val="clear" w:color="auto" w:fill="auto"/>
            <w:vAlign w:val="center"/>
          </w:tcPr>
          <w:p w14:paraId="71E790B3">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7</w:t>
            </w:r>
          </w:p>
        </w:tc>
        <w:tc>
          <w:tcPr>
            <w:tcW w:w="1620" w:type="dxa"/>
            <w:shd w:val="clear" w:color="000000" w:fill="FFFFFF"/>
            <w:vAlign w:val="center"/>
          </w:tcPr>
          <w:p w14:paraId="7388E675">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操作系统</w:t>
            </w:r>
          </w:p>
        </w:tc>
        <w:tc>
          <w:tcPr>
            <w:tcW w:w="4236" w:type="dxa"/>
            <w:shd w:val="clear" w:color="000000" w:fill="FFFFFF"/>
            <w:vAlign w:val="center"/>
          </w:tcPr>
          <w:p w14:paraId="556784C4">
            <w:pPr>
              <w:widowControl/>
              <w:spacing w:line="276" w:lineRule="auto"/>
              <w:jc w:val="left"/>
              <w:rPr>
                <w:rFonts w:ascii="宋体" w:hAnsi="宋体" w:eastAsia="宋体" w:cs="Tahoma"/>
                <w:kern w:val="0"/>
                <w:sz w:val="21"/>
                <w:szCs w:val="21"/>
              </w:rPr>
            </w:pPr>
            <w:r>
              <w:rPr>
                <w:rFonts w:hint="eastAsia" w:ascii="宋体" w:hAnsi="宋体" w:eastAsia="宋体" w:cs="Tahoma"/>
                <w:kern w:val="0"/>
                <w:sz w:val="21"/>
                <w:szCs w:val="21"/>
              </w:rPr>
              <w:t>根据医院业务软件适配正版服务器操作系统。</w:t>
            </w:r>
          </w:p>
        </w:tc>
        <w:tc>
          <w:tcPr>
            <w:tcW w:w="709" w:type="dxa"/>
            <w:shd w:val="clear" w:color="000000" w:fill="FFFFFF"/>
            <w:vAlign w:val="center"/>
          </w:tcPr>
          <w:p w14:paraId="542A1C5B">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套</w:t>
            </w:r>
          </w:p>
        </w:tc>
        <w:tc>
          <w:tcPr>
            <w:tcW w:w="850" w:type="dxa"/>
            <w:shd w:val="clear" w:color="000000" w:fill="FFFFFF"/>
            <w:vAlign w:val="center"/>
          </w:tcPr>
          <w:p w14:paraId="291537E9">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6</w:t>
            </w:r>
          </w:p>
        </w:tc>
        <w:tc>
          <w:tcPr>
            <w:tcW w:w="851" w:type="dxa"/>
            <w:shd w:val="clear" w:color="000000" w:fill="FFFFFF"/>
            <w:vAlign w:val="center"/>
          </w:tcPr>
          <w:p w14:paraId="418D5D64">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r>
      <w:tr w14:paraId="120C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0" w:type="dxa"/>
            <w:shd w:val="clear" w:color="auto" w:fill="auto"/>
            <w:noWrap/>
            <w:vAlign w:val="center"/>
          </w:tcPr>
          <w:p w14:paraId="38D83CAB">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8</w:t>
            </w:r>
          </w:p>
        </w:tc>
        <w:tc>
          <w:tcPr>
            <w:tcW w:w="1620" w:type="dxa"/>
            <w:shd w:val="clear" w:color="000000" w:fill="FFFFFF"/>
            <w:vAlign w:val="center"/>
          </w:tcPr>
          <w:p w14:paraId="2353B0B3">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管理交换机</w:t>
            </w:r>
          </w:p>
        </w:tc>
        <w:tc>
          <w:tcPr>
            <w:tcW w:w="4236" w:type="dxa"/>
            <w:shd w:val="clear" w:color="000000" w:fill="FFFFFF"/>
            <w:vAlign w:val="center"/>
          </w:tcPr>
          <w:p w14:paraId="34850DB2">
            <w:pPr>
              <w:spacing w:line="276" w:lineRule="auto"/>
              <w:rPr>
                <w:rFonts w:ascii="宋体" w:hAnsi="宋体" w:eastAsia="宋体"/>
                <w:sz w:val="21"/>
                <w:szCs w:val="21"/>
              </w:rPr>
            </w:pPr>
            <w:r>
              <w:rPr>
                <w:rFonts w:hint="eastAsia" w:ascii="宋体" w:hAnsi="宋体" w:eastAsia="宋体"/>
                <w:sz w:val="21"/>
                <w:szCs w:val="21"/>
              </w:rPr>
              <w:t>1、24个10/100/1000Base-T以太网端口，4个1G/2.5G SFP光口；</w:t>
            </w:r>
          </w:p>
          <w:p w14:paraId="5BCC89F7">
            <w:pPr>
              <w:spacing w:line="276" w:lineRule="auto"/>
              <w:rPr>
                <w:rFonts w:ascii="宋体" w:hAnsi="宋体" w:eastAsia="宋体"/>
                <w:sz w:val="21"/>
                <w:szCs w:val="21"/>
              </w:rPr>
            </w:pPr>
            <w:r>
              <w:rPr>
                <w:rFonts w:hint="eastAsia" w:ascii="宋体" w:hAnsi="宋体" w:eastAsia="宋体"/>
                <w:sz w:val="21"/>
                <w:szCs w:val="21"/>
              </w:rPr>
              <w:t>2、交换容量≥336Gbps/3.36Tbps；</w:t>
            </w:r>
          </w:p>
          <w:p w14:paraId="472AAF28">
            <w:pPr>
              <w:spacing w:line="276" w:lineRule="auto"/>
              <w:rPr>
                <w:rFonts w:ascii="宋体" w:hAnsi="宋体" w:eastAsia="宋体"/>
                <w:sz w:val="21"/>
                <w:szCs w:val="21"/>
              </w:rPr>
            </w:pPr>
            <w:r>
              <w:rPr>
                <w:rFonts w:hint="eastAsia" w:ascii="宋体" w:hAnsi="宋体" w:eastAsia="宋体"/>
                <w:sz w:val="21"/>
                <w:szCs w:val="21"/>
              </w:rPr>
              <w:t>3、包转发率≥108Mpps/126Mpps；</w:t>
            </w:r>
          </w:p>
          <w:p w14:paraId="4E054D11">
            <w:pPr>
              <w:spacing w:line="276" w:lineRule="auto"/>
              <w:rPr>
                <w:rFonts w:ascii="宋体" w:hAnsi="宋体" w:eastAsia="宋体" w:cs="Tahoma"/>
                <w:kern w:val="0"/>
                <w:sz w:val="21"/>
                <w:szCs w:val="21"/>
              </w:rPr>
            </w:pPr>
            <w:r>
              <w:rPr>
                <w:rFonts w:hint="eastAsia" w:ascii="宋体" w:hAnsi="宋体" w:eastAsia="宋体"/>
                <w:sz w:val="21"/>
                <w:szCs w:val="21"/>
              </w:rPr>
              <w:t>4、售后服务：提供3年原厂维保服务;</w:t>
            </w:r>
          </w:p>
        </w:tc>
        <w:tc>
          <w:tcPr>
            <w:tcW w:w="709" w:type="dxa"/>
            <w:shd w:val="clear" w:color="000000" w:fill="FFFFFF"/>
            <w:vAlign w:val="center"/>
          </w:tcPr>
          <w:p w14:paraId="3CAD4D52">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台</w:t>
            </w:r>
          </w:p>
        </w:tc>
        <w:tc>
          <w:tcPr>
            <w:tcW w:w="850" w:type="dxa"/>
            <w:shd w:val="clear" w:color="000000" w:fill="FFFFFF"/>
            <w:vAlign w:val="center"/>
          </w:tcPr>
          <w:p w14:paraId="0B34027C">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7</w:t>
            </w:r>
          </w:p>
        </w:tc>
        <w:tc>
          <w:tcPr>
            <w:tcW w:w="851" w:type="dxa"/>
            <w:shd w:val="clear" w:color="000000" w:fill="FFFFFF"/>
            <w:vAlign w:val="center"/>
          </w:tcPr>
          <w:p w14:paraId="5C5FD5E3">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r>
      <w:tr w14:paraId="285C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0" w:type="dxa"/>
            <w:shd w:val="clear" w:color="auto" w:fill="auto"/>
            <w:vAlign w:val="center"/>
          </w:tcPr>
          <w:p w14:paraId="62296FA9">
            <w:pPr>
              <w:widowControl/>
              <w:spacing w:line="276" w:lineRule="auto"/>
              <w:jc w:val="center"/>
              <w:rPr>
                <w:rFonts w:ascii="宋体" w:hAnsi="宋体" w:eastAsia="宋体" w:cs="Tahoma"/>
                <w:b/>
                <w:bCs/>
                <w:kern w:val="0"/>
                <w:sz w:val="21"/>
                <w:szCs w:val="21"/>
              </w:rPr>
            </w:pPr>
            <w:r>
              <w:rPr>
                <w:rFonts w:hint="eastAsia" w:ascii="宋体" w:hAnsi="宋体" w:eastAsia="宋体" w:cs="Tahoma"/>
                <w:b/>
                <w:bCs/>
                <w:kern w:val="0"/>
                <w:sz w:val="21"/>
                <w:szCs w:val="21"/>
              </w:rPr>
              <w:t>9</w:t>
            </w:r>
          </w:p>
        </w:tc>
        <w:tc>
          <w:tcPr>
            <w:tcW w:w="1620" w:type="dxa"/>
            <w:shd w:val="clear" w:color="000000" w:fill="FFFFFF"/>
            <w:vAlign w:val="center"/>
          </w:tcPr>
          <w:p w14:paraId="036C07F9">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系统集成</w:t>
            </w:r>
          </w:p>
        </w:tc>
        <w:tc>
          <w:tcPr>
            <w:tcW w:w="4236" w:type="dxa"/>
            <w:shd w:val="clear" w:color="000000" w:fill="FFFFFF"/>
            <w:vAlign w:val="center"/>
          </w:tcPr>
          <w:p w14:paraId="2AF35FCC">
            <w:pPr>
              <w:widowControl/>
              <w:spacing w:line="276" w:lineRule="auto"/>
              <w:jc w:val="left"/>
              <w:rPr>
                <w:rFonts w:ascii="宋体" w:hAnsi="宋体" w:eastAsia="宋体" w:cs="Tahoma"/>
                <w:kern w:val="0"/>
                <w:sz w:val="21"/>
                <w:szCs w:val="21"/>
              </w:rPr>
            </w:pPr>
            <w:r>
              <w:rPr>
                <w:rFonts w:hint="eastAsia" w:ascii="宋体" w:hAnsi="宋体" w:eastAsia="宋体" w:cs="Tahoma"/>
                <w:kern w:val="0"/>
                <w:sz w:val="21"/>
                <w:szCs w:val="21"/>
              </w:rPr>
              <w:t>系统集成实施，包含域控、虚拟化环境搭建、培训测试环境搭建、现有机房设施设备及系统迁移实施，所有费用均包含在投标报价中。</w:t>
            </w:r>
          </w:p>
        </w:tc>
        <w:tc>
          <w:tcPr>
            <w:tcW w:w="709" w:type="dxa"/>
            <w:shd w:val="clear" w:color="000000" w:fill="FFFFFF"/>
            <w:vAlign w:val="center"/>
          </w:tcPr>
          <w:p w14:paraId="52F9D80D">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项</w:t>
            </w:r>
          </w:p>
        </w:tc>
        <w:tc>
          <w:tcPr>
            <w:tcW w:w="850" w:type="dxa"/>
            <w:shd w:val="clear" w:color="000000" w:fill="FFFFFF"/>
            <w:vAlign w:val="center"/>
          </w:tcPr>
          <w:p w14:paraId="02F7115E">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851" w:type="dxa"/>
            <w:shd w:val="clear" w:color="000000" w:fill="FFFFFF"/>
            <w:vAlign w:val="center"/>
          </w:tcPr>
          <w:p w14:paraId="29870405">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　</w:t>
            </w:r>
          </w:p>
        </w:tc>
      </w:tr>
    </w:tbl>
    <w:p w14:paraId="59ACF87A">
      <w:pPr>
        <w:pStyle w:val="2"/>
        <w:ind w:left="431" w:hanging="431"/>
        <w:jc w:val="both"/>
        <w:rPr>
          <w:rFonts w:ascii="宋体" w:hAnsi="宋体"/>
          <w:color w:val="FF0000"/>
        </w:rPr>
      </w:pPr>
      <w:r>
        <w:rPr>
          <w:rFonts w:hint="eastAsia" w:hAnsi="宋体"/>
          <w:color w:val="FF0000"/>
          <w:lang w:val="en-US" w:eastAsia="zh-CN"/>
        </w:rPr>
        <w:t>3.</w:t>
      </w:r>
      <w:r>
        <w:rPr>
          <w:rFonts w:hint="eastAsia" w:ascii="宋体" w:hAnsi="宋体"/>
          <w:color w:val="FF0000"/>
        </w:rPr>
        <w:t>新建大楼综合布线清单及详细技术参数</w:t>
      </w:r>
    </w:p>
    <w:tbl>
      <w:tblPr>
        <w:tblStyle w:val="2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860"/>
        <w:gridCol w:w="3996"/>
        <w:gridCol w:w="850"/>
        <w:gridCol w:w="1418"/>
      </w:tblGrid>
      <w:tr w14:paraId="4147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0" w:type="dxa"/>
            <w:shd w:val="clear" w:color="auto" w:fill="auto"/>
            <w:vAlign w:val="center"/>
          </w:tcPr>
          <w:p w14:paraId="2FCBE801">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序号</w:t>
            </w:r>
          </w:p>
        </w:tc>
        <w:tc>
          <w:tcPr>
            <w:tcW w:w="1860" w:type="dxa"/>
            <w:shd w:val="clear" w:color="auto" w:fill="auto"/>
            <w:vAlign w:val="center"/>
          </w:tcPr>
          <w:p w14:paraId="63D9BEB9">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设备名称</w:t>
            </w:r>
          </w:p>
        </w:tc>
        <w:tc>
          <w:tcPr>
            <w:tcW w:w="3996" w:type="dxa"/>
            <w:shd w:val="clear" w:color="auto" w:fill="auto"/>
            <w:vAlign w:val="center"/>
          </w:tcPr>
          <w:p w14:paraId="3CB8FC4F">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详细配置参数要求</w:t>
            </w:r>
          </w:p>
        </w:tc>
        <w:tc>
          <w:tcPr>
            <w:tcW w:w="850" w:type="dxa"/>
            <w:shd w:val="clear" w:color="auto" w:fill="auto"/>
            <w:vAlign w:val="center"/>
          </w:tcPr>
          <w:p w14:paraId="6A69CB5F">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单位</w:t>
            </w:r>
          </w:p>
        </w:tc>
        <w:tc>
          <w:tcPr>
            <w:tcW w:w="1418" w:type="dxa"/>
            <w:shd w:val="clear" w:color="auto" w:fill="auto"/>
            <w:vAlign w:val="center"/>
          </w:tcPr>
          <w:p w14:paraId="28BF60AD">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数量</w:t>
            </w:r>
          </w:p>
        </w:tc>
      </w:tr>
      <w:tr w14:paraId="4F22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66" w:type="dxa"/>
            <w:gridSpan w:val="4"/>
            <w:shd w:val="clear" w:color="auto" w:fill="auto"/>
            <w:vAlign w:val="bottom"/>
          </w:tcPr>
          <w:p w14:paraId="5C7388C2">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　</w:t>
            </w:r>
            <w:r>
              <w:rPr>
                <w:rFonts w:hint="eastAsia" w:ascii="宋体" w:hAnsi="宋体" w:eastAsia="宋体" w:cs="Tahoma"/>
                <w:b/>
                <w:bCs/>
                <w:kern w:val="0"/>
                <w:sz w:val="22"/>
                <w:szCs w:val="22"/>
              </w:rPr>
              <w:t>一、工作区子系统</w:t>
            </w:r>
          </w:p>
        </w:tc>
        <w:tc>
          <w:tcPr>
            <w:tcW w:w="1418" w:type="dxa"/>
            <w:shd w:val="clear" w:color="auto" w:fill="auto"/>
            <w:vAlign w:val="center"/>
          </w:tcPr>
          <w:p w14:paraId="6119912E">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　</w:t>
            </w:r>
          </w:p>
        </w:tc>
      </w:tr>
      <w:tr w14:paraId="794E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vAlign w:val="center"/>
          </w:tcPr>
          <w:p w14:paraId="47BF6363">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w:t>
            </w:r>
          </w:p>
        </w:tc>
        <w:tc>
          <w:tcPr>
            <w:tcW w:w="1860" w:type="dxa"/>
            <w:shd w:val="clear" w:color="auto" w:fill="auto"/>
            <w:vAlign w:val="center"/>
          </w:tcPr>
          <w:p w14:paraId="47FEC524">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单口平口面板</w:t>
            </w:r>
          </w:p>
        </w:tc>
        <w:tc>
          <w:tcPr>
            <w:tcW w:w="3996" w:type="dxa"/>
            <w:shd w:val="clear" w:color="auto" w:fill="auto"/>
            <w:vAlign w:val="center"/>
          </w:tcPr>
          <w:p w14:paraId="46DDACBC">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86mm×86mm ；采用优质PC料；颜色：象牙白</w:t>
            </w:r>
          </w:p>
        </w:tc>
        <w:tc>
          <w:tcPr>
            <w:tcW w:w="850" w:type="dxa"/>
            <w:shd w:val="clear" w:color="auto" w:fill="auto"/>
            <w:vAlign w:val="center"/>
          </w:tcPr>
          <w:p w14:paraId="14D716EB">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64FDF6B1">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500</w:t>
            </w:r>
          </w:p>
        </w:tc>
      </w:tr>
      <w:tr w14:paraId="6B56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0" w:type="dxa"/>
            <w:shd w:val="clear" w:color="auto" w:fill="auto"/>
            <w:vAlign w:val="center"/>
          </w:tcPr>
          <w:p w14:paraId="06851320">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2</w:t>
            </w:r>
          </w:p>
        </w:tc>
        <w:tc>
          <w:tcPr>
            <w:tcW w:w="1860" w:type="dxa"/>
            <w:shd w:val="clear" w:color="auto" w:fill="auto"/>
            <w:vAlign w:val="center"/>
          </w:tcPr>
          <w:p w14:paraId="06B9589E">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双口平口面板</w:t>
            </w:r>
          </w:p>
        </w:tc>
        <w:tc>
          <w:tcPr>
            <w:tcW w:w="3996" w:type="dxa"/>
            <w:shd w:val="clear" w:color="auto" w:fill="auto"/>
            <w:vAlign w:val="center"/>
          </w:tcPr>
          <w:p w14:paraId="71FD1ACC">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86mm×86mm ；采用优质PC料；颜色：象牙白</w:t>
            </w:r>
          </w:p>
        </w:tc>
        <w:tc>
          <w:tcPr>
            <w:tcW w:w="850" w:type="dxa"/>
            <w:shd w:val="clear" w:color="auto" w:fill="auto"/>
            <w:vAlign w:val="center"/>
          </w:tcPr>
          <w:p w14:paraId="4BD9D0B0">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1FE3F2C2">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251</w:t>
            </w:r>
          </w:p>
        </w:tc>
      </w:tr>
      <w:tr w14:paraId="6949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60" w:type="dxa"/>
            <w:shd w:val="clear" w:color="auto" w:fill="auto"/>
            <w:vAlign w:val="center"/>
          </w:tcPr>
          <w:p w14:paraId="5EFF4D9B">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3</w:t>
            </w:r>
          </w:p>
        </w:tc>
        <w:tc>
          <w:tcPr>
            <w:tcW w:w="1860" w:type="dxa"/>
            <w:shd w:val="clear" w:color="auto" w:fill="auto"/>
            <w:vAlign w:val="center"/>
          </w:tcPr>
          <w:p w14:paraId="67CEA94D">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2米六类多股跳线</w:t>
            </w:r>
          </w:p>
        </w:tc>
        <w:tc>
          <w:tcPr>
            <w:tcW w:w="3996" w:type="dxa"/>
            <w:shd w:val="clear" w:color="auto" w:fill="auto"/>
            <w:vAlign w:val="center"/>
          </w:tcPr>
          <w:p w14:paraId="52FC56E7">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br w:type="textWrapping"/>
            </w:r>
            <w:r>
              <w:rPr>
                <w:rFonts w:hint="eastAsia" w:ascii="宋体" w:hAnsi="宋体" w:eastAsia="宋体" w:cs="Tahoma"/>
                <w:kern w:val="0"/>
                <w:sz w:val="22"/>
                <w:szCs w:val="22"/>
              </w:rPr>
              <w:t>聚碳酸酯（PC），簧片表面镀金；接头类型：注塑RJ45端子-注塑RJ45端子；采用多股双绞线软导体电缆，柔韧性能好，不易弯折。</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护套颜色：蓝色、灰色、橙色</w:t>
            </w:r>
          </w:p>
        </w:tc>
        <w:tc>
          <w:tcPr>
            <w:tcW w:w="850" w:type="dxa"/>
            <w:shd w:val="clear" w:color="auto" w:fill="auto"/>
            <w:vAlign w:val="center"/>
          </w:tcPr>
          <w:p w14:paraId="03673C5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条</w:t>
            </w:r>
          </w:p>
        </w:tc>
        <w:tc>
          <w:tcPr>
            <w:tcW w:w="1418" w:type="dxa"/>
            <w:shd w:val="clear" w:color="auto" w:fill="auto"/>
            <w:vAlign w:val="center"/>
          </w:tcPr>
          <w:p w14:paraId="507F0DFB">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1002</w:t>
            </w:r>
          </w:p>
        </w:tc>
      </w:tr>
      <w:tr w14:paraId="4B2D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60" w:type="dxa"/>
            <w:shd w:val="clear" w:color="auto" w:fill="auto"/>
            <w:vAlign w:val="center"/>
          </w:tcPr>
          <w:p w14:paraId="46DF67A3">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4</w:t>
            </w:r>
          </w:p>
        </w:tc>
        <w:tc>
          <w:tcPr>
            <w:tcW w:w="1860" w:type="dxa"/>
            <w:shd w:val="clear" w:color="auto" w:fill="auto"/>
            <w:vAlign w:val="center"/>
          </w:tcPr>
          <w:p w14:paraId="7E0319AF">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六类屏蔽模块</w:t>
            </w:r>
          </w:p>
        </w:tc>
        <w:tc>
          <w:tcPr>
            <w:tcW w:w="3996" w:type="dxa"/>
            <w:shd w:val="clear" w:color="auto" w:fill="auto"/>
            <w:vAlign w:val="center"/>
          </w:tcPr>
          <w:p w14:paraId="31EF19B9">
            <w:pPr>
              <w:widowControl/>
              <w:spacing w:after="240" w:line="240" w:lineRule="auto"/>
              <w:jc w:val="left"/>
              <w:rPr>
                <w:rFonts w:ascii="宋体" w:hAnsi="宋体" w:eastAsia="宋体" w:cs="Tahoma"/>
                <w:kern w:val="0"/>
                <w:sz w:val="22"/>
                <w:szCs w:val="22"/>
              </w:rPr>
            </w:pPr>
            <w:r>
              <w:rPr>
                <w:rFonts w:hint="eastAsia" w:ascii="宋体" w:hAnsi="宋体" w:eastAsia="宋体" w:cs="Tahoma"/>
                <w:kern w:val="0"/>
                <w:sz w:val="22"/>
                <w:szCs w:val="22"/>
              </w:rPr>
              <w:t>主体材料采用PC全新料，插头插座可重复插拔次数≥1000次，IDC卡接次数≥250次；插拨力：≤20N；簧片磷青铜镀金,保证性能及使用寿命；触针采用磷青铜，高硬度，高弹性，工作寿命长。</w:t>
            </w:r>
          </w:p>
        </w:tc>
        <w:tc>
          <w:tcPr>
            <w:tcW w:w="850" w:type="dxa"/>
            <w:shd w:val="clear" w:color="auto" w:fill="auto"/>
            <w:vAlign w:val="center"/>
          </w:tcPr>
          <w:p w14:paraId="3E5438F6">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0558141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1002</w:t>
            </w:r>
          </w:p>
        </w:tc>
      </w:tr>
      <w:tr w14:paraId="1C61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trPr>
        <w:tc>
          <w:tcPr>
            <w:tcW w:w="660" w:type="dxa"/>
            <w:shd w:val="clear" w:color="auto" w:fill="auto"/>
            <w:vAlign w:val="center"/>
          </w:tcPr>
          <w:p w14:paraId="6C62B034">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5</w:t>
            </w:r>
          </w:p>
        </w:tc>
        <w:tc>
          <w:tcPr>
            <w:tcW w:w="1860" w:type="dxa"/>
            <w:shd w:val="clear" w:color="auto" w:fill="auto"/>
            <w:vAlign w:val="center"/>
          </w:tcPr>
          <w:p w14:paraId="7F2CADDD">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六类非屏蔽线</w:t>
            </w:r>
          </w:p>
        </w:tc>
        <w:tc>
          <w:tcPr>
            <w:tcW w:w="3996" w:type="dxa"/>
            <w:shd w:val="clear" w:color="auto" w:fill="auto"/>
            <w:vAlign w:val="center"/>
          </w:tcPr>
          <w:p w14:paraId="762E6BC8">
            <w:pPr>
              <w:widowControl/>
              <w:spacing w:after="240" w:line="240" w:lineRule="auto"/>
              <w:jc w:val="left"/>
              <w:rPr>
                <w:rFonts w:ascii="宋体" w:hAnsi="宋体" w:eastAsia="宋体" w:cs="Tahoma"/>
                <w:kern w:val="0"/>
                <w:sz w:val="22"/>
                <w:szCs w:val="22"/>
              </w:rPr>
            </w:pPr>
            <w:r>
              <w:rPr>
                <w:rFonts w:hint="eastAsia" w:ascii="宋体" w:hAnsi="宋体" w:eastAsia="宋体" w:cs="Tahoma"/>
                <w:kern w:val="0"/>
                <w:sz w:val="22"/>
                <w:szCs w:val="22"/>
              </w:rPr>
              <w:t>通过标准最高传输频率250MHz测试</w:t>
            </w:r>
            <w:r>
              <w:rPr>
                <w:rFonts w:hint="eastAsia" w:ascii="宋体" w:hAnsi="宋体" w:eastAsia="宋体" w:cs="Tahoma"/>
                <w:kern w:val="0"/>
                <w:sz w:val="22"/>
                <w:szCs w:val="22"/>
              </w:rPr>
              <w:br w:type="textWrapping"/>
            </w:r>
            <w:r>
              <w:rPr>
                <w:rFonts w:hint="eastAsia" w:ascii="宋体" w:hAnsi="宋体" w:eastAsia="宋体" w:cs="Tahoma"/>
                <w:kern w:val="0"/>
                <w:sz w:val="22"/>
                <w:szCs w:val="22"/>
              </w:rPr>
              <w:t>额定传输速率(NVP)：69%</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单根导体直流电阻：≤8.5</w:t>
            </w:r>
            <w:r>
              <w:rPr>
                <w:rFonts w:ascii="Calibri" w:hAnsi="Calibri" w:eastAsia="宋体" w:cs="Calibri"/>
                <w:kern w:val="0"/>
                <w:sz w:val="22"/>
                <w:szCs w:val="22"/>
              </w:rPr>
              <w:t>Ω</w:t>
            </w:r>
            <w:r>
              <w:rPr>
                <w:rFonts w:hint="eastAsia" w:ascii="宋体" w:hAnsi="宋体" w:eastAsia="宋体" w:cs="Tahoma"/>
                <w:kern w:val="0"/>
                <w:sz w:val="22"/>
                <w:szCs w:val="22"/>
              </w:rPr>
              <w:t>/100m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导体规格：4×2×0.57±0.02</w:t>
            </w:r>
            <w:r>
              <w:rPr>
                <w:rFonts w:hint="eastAsia" w:ascii="宋体" w:hAnsi="宋体" w:eastAsia="宋体" w:cs="Tahoma"/>
                <w:kern w:val="0"/>
                <w:sz w:val="22"/>
                <w:szCs w:val="22"/>
              </w:rPr>
              <w:br w:type="textWrapping"/>
            </w:r>
            <w:r>
              <w:rPr>
                <w:rFonts w:hint="eastAsia" w:ascii="宋体" w:hAnsi="宋体" w:eastAsia="宋体" w:cs="Tahoma"/>
                <w:kern w:val="0"/>
                <w:sz w:val="22"/>
                <w:szCs w:val="22"/>
              </w:rPr>
              <w:t>绝缘：HDPE ,绝缘外径1.0±0.05mm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护套材料：PVC，护套外径：6.0±0.4mm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护套常规颜色：灰色、蓝色、橙色</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导体间介电强度，DC，1min：1Kv/1min 传播时延差≤45nF/100m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最小内弯曲半径：建议敷设弯曲半径&gt;8倍线缆外径，使用拉力：建议使用时长期拉力&lt;20N。</w:t>
            </w:r>
          </w:p>
        </w:tc>
        <w:tc>
          <w:tcPr>
            <w:tcW w:w="850" w:type="dxa"/>
            <w:shd w:val="clear" w:color="auto" w:fill="auto"/>
            <w:vAlign w:val="center"/>
          </w:tcPr>
          <w:p w14:paraId="50F7F7D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箱</w:t>
            </w:r>
          </w:p>
        </w:tc>
        <w:tc>
          <w:tcPr>
            <w:tcW w:w="1418" w:type="dxa"/>
            <w:shd w:val="clear" w:color="auto" w:fill="auto"/>
            <w:vAlign w:val="center"/>
          </w:tcPr>
          <w:p w14:paraId="6DC63AE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430</w:t>
            </w:r>
          </w:p>
        </w:tc>
      </w:tr>
      <w:tr w14:paraId="2E69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shd w:val="clear" w:color="auto" w:fill="auto"/>
            <w:vAlign w:val="center"/>
          </w:tcPr>
          <w:p w14:paraId="063E2EFE">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6</w:t>
            </w:r>
          </w:p>
        </w:tc>
        <w:tc>
          <w:tcPr>
            <w:tcW w:w="1860" w:type="dxa"/>
            <w:shd w:val="clear" w:color="auto" w:fill="auto"/>
            <w:vAlign w:val="center"/>
          </w:tcPr>
          <w:p w14:paraId="7B6B4CB8">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12芯室内单模光纤</w:t>
            </w:r>
          </w:p>
        </w:tc>
        <w:tc>
          <w:tcPr>
            <w:tcW w:w="3996" w:type="dxa"/>
            <w:shd w:val="clear" w:color="auto" w:fill="auto"/>
            <w:vAlign w:val="center"/>
          </w:tcPr>
          <w:p w14:paraId="56CFA2B8">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 xml:space="preserve"> 光纤芯数：12芯 护套颜色：黄色 光纤类型：B1.3；光缆衰减：1310波长≤0.4dB/km，1550波长≤0.3dB/km</w:t>
            </w:r>
          </w:p>
        </w:tc>
        <w:tc>
          <w:tcPr>
            <w:tcW w:w="850" w:type="dxa"/>
            <w:shd w:val="clear" w:color="auto" w:fill="auto"/>
            <w:vAlign w:val="center"/>
          </w:tcPr>
          <w:p w14:paraId="7F1509B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米</w:t>
            </w:r>
          </w:p>
        </w:tc>
        <w:tc>
          <w:tcPr>
            <w:tcW w:w="1418" w:type="dxa"/>
            <w:shd w:val="clear" w:color="auto" w:fill="auto"/>
            <w:vAlign w:val="center"/>
          </w:tcPr>
          <w:p w14:paraId="5914564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1300</w:t>
            </w:r>
          </w:p>
        </w:tc>
      </w:tr>
      <w:tr w14:paraId="4FAB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0" w:type="dxa"/>
            <w:shd w:val="clear" w:color="auto" w:fill="auto"/>
            <w:vAlign w:val="center"/>
          </w:tcPr>
          <w:p w14:paraId="5BB8B6F7">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7</w:t>
            </w:r>
          </w:p>
        </w:tc>
        <w:tc>
          <w:tcPr>
            <w:tcW w:w="1860" w:type="dxa"/>
            <w:shd w:val="clear" w:color="auto" w:fill="auto"/>
            <w:vAlign w:val="center"/>
          </w:tcPr>
          <w:p w14:paraId="499B8F86">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3类50对大对数电缆</w:t>
            </w:r>
          </w:p>
        </w:tc>
        <w:tc>
          <w:tcPr>
            <w:tcW w:w="3996" w:type="dxa"/>
            <w:shd w:val="clear" w:color="auto" w:fill="auto"/>
            <w:vAlign w:val="center"/>
          </w:tcPr>
          <w:p w14:paraId="24FA654A">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3类50对大对数,Cat3 50对大对数线缆,LSZH防火等级,24AWG,工作温度为-20~60℃；标准装轴长度:305m±1.5m；线缆颜色:灰色；芯线规格:24AWG,无氧铜；</w:t>
            </w:r>
          </w:p>
        </w:tc>
        <w:tc>
          <w:tcPr>
            <w:tcW w:w="850" w:type="dxa"/>
            <w:shd w:val="clear" w:color="auto" w:fill="auto"/>
            <w:vAlign w:val="center"/>
          </w:tcPr>
          <w:p w14:paraId="1467E5FF">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米</w:t>
            </w:r>
          </w:p>
        </w:tc>
        <w:tc>
          <w:tcPr>
            <w:tcW w:w="1418" w:type="dxa"/>
            <w:shd w:val="clear" w:color="auto" w:fill="auto"/>
            <w:vAlign w:val="center"/>
          </w:tcPr>
          <w:p w14:paraId="34A87FCD">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540</w:t>
            </w:r>
          </w:p>
        </w:tc>
      </w:tr>
      <w:tr w14:paraId="3FCC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60" w:type="dxa"/>
            <w:shd w:val="clear" w:color="auto" w:fill="auto"/>
            <w:vAlign w:val="center"/>
          </w:tcPr>
          <w:p w14:paraId="5DAF4815">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8</w:t>
            </w:r>
          </w:p>
        </w:tc>
        <w:tc>
          <w:tcPr>
            <w:tcW w:w="1860" w:type="dxa"/>
            <w:shd w:val="clear" w:color="auto" w:fill="auto"/>
            <w:vAlign w:val="center"/>
          </w:tcPr>
          <w:p w14:paraId="44171CE4">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24口光纤终端盒</w:t>
            </w:r>
          </w:p>
        </w:tc>
        <w:tc>
          <w:tcPr>
            <w:tcW w:w="3996" w:type="dxa"/>
            <w:shd w:val="clear" w:color="auto" w:fill="auto"/>
            <w:vAlign w:val="center"/>
          </w:tcPr>
          <w:p w14:paraId="52C447B9">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材质：冷轧钢板+喷塑；板材厚度：1.0mm；抽屉式开启，颜色： 灰白色；适配器接口：LC</w:t>
            </w:r>
          </w:p>
        </w:tc>
        <w:tc>
          <w:tcPr>
            <w:tcW w:w="850" w:type="dxa"/>
            <w:shd w:val="clear" w:color="auto" w:fill="auto"/>
            <w:vAlign w:val="center"/>
          </w:tcPr>
          <w:p w14:paraId="052993C9">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　</w:t>
            </w:r>
          </w:p>
        </w:tc>
        <w:tc>
          <w:tcPr>
            <w:tcW w:w="1418" w:type="dxa"/>
            <w:shd w:val="clear" w:color="auto" w:fill="auto"/>
            <w:vAlign w:val="center"/>
          </w:tcPr>
          <w:p w14:paraId="39A444C0">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8</w:t>
            </w:r>
          </w:p>
        </w:tc>
      </w:tr>
      <w:tr w14:paraId="7BA5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60" w:type="dxa"/>
            <w:shd w:val="clear" w:color="auto" w:fill="auto"/>
            <w:vAlign w:val="center"/>
          </w:tcPr>
          <w:p w14:paraId="2A435425">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9</w:t>
            </w:r>
          </w:p>
        </w:tc>
        <w:tc>
          <w:tcPr>
            <w:tcW w:w="1860" w:type="dxa"/>
            <w:shd w:val="clear" w:color="auto" w:fill="auto"/>
            <w:vAlign w:val="center"/>
          </w:tcPr>
          <w:p w14:paraId="37E7B058">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LC双工单模适配器(匹配光纤终端盒)</w:t>
            </w:r>
          </w:p>
        </w:tc>
        <w:tc>
          <w:tcPr>
            <w:tcW w:w="3996" w:type="dxa"/>
            <w:shd w:val="clear" w:color="auto" w:fill="auto"/>
            <w:vAlign w:val="center"/>
          </w:tcPr>
          <w:p w14:paraId="6B66CBDE">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采用精密陶瓷套筒将连接器的插芯与插芯之间进行精确对准，保证了光信号在经过连接器与连接器相互连接之后的超小损耗传输；低插入损耗，具有良好互换性与重复性；</w:t>
            </w:r>
          </w:p>
        </w:tc>
        <w:tc>
          <w:tcPr>
            <w:tcW w:w="850" w:type="dxa"/>
            <w:shd w:val="clear" w:color="auto" w:fill="auto"/>
            <w:vAlign w:val="center"/>
          </w:tcPr>
          <w:p w14:paraId="5C2F4082">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　个</w:t>
            </w:r>
          </w:p>
        </w:tc>
        <w:tc>
          <w:tcPr>
            <w:tcW w:w="1418" w:type="dxa"/>
            <w:shd w:val="clear" w:color="auto" w:fill="auto"/>
            <w:vAlign w:val="center"/>
          </w:tcPr>
          <w:p w14:paraId="20EB8921">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140</w:t>
            </w:r>
          </w:p>
        </w:tc>
      </w:tr>
      <w:tr w14:paraId="266B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60" w:type="dxa"/>
            <w:shd w:val="clear" w:color="auto" w:fill="auto"/>
            <w:vAlign w:val="center"/>
          </w:tcPr>
          <w:p w14:paraId="4D406131">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10</w:t>
            </w:r>
          </w:p>
        </w:tc>
        <w:tc>
          <w:tcPr>
            <w:tcW w:w="1860" w:type="dxa"/>
            <w:shd w:val="clear" w:color="auto" w:fill="auto"/>
            <w:vAlign w:val="center"/>
          </w:tcPr>
          <w:p w14:paraId="68B96835">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LC-LC单模光纤跳线，2米</w:t>
            </w:r>
          </w:p>
        </w:tc>
        <w:tc>
          <w:tcPr>
            <w:tcW w:w="3996" w:type="dxa"/>
            <w:shd w:val="clear" w:color="auto" w:fill="auto"/>
            <w:vAlign w:val="center"/>
          </w:tcPr>
          <w:p w14:paraId="4A13C9B0">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陶瓷插芯；单模：G.652.D 黄色，插入损耗（含重复性）：≤0.3dB；光缆芯数与护套外径：单芯：3.0mm</w:t>
            </w:r>
          </w:p>
        </w:tc>
        <w:tc>
          <w:tcPr>
            <w:tcW w:w="850" w:type="dxa"/>
            <w:shd w:val="clear" w:color="auto" w:fill="auto"/>
            <w:vAlign w:val="center"/>
          </w:tcPr>
          <w:p w14:paraId="2C347D7F">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条　</w:t>
            </w:r>
          </w:p>
        </w:tc>
        <w:tc>
          <w:tcPr>
            <w:tcW w:w="1418" w:type="dxa"/>
            <w:shd w:val="clear" w:color="auto" w:fill="auto"/>
            <w:vAlign w:val="center"/>
          </w:tcPr>
          <w:p w14:paraId="6BA3B33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140</w:t>
            </w:r>
          </w:p>
        </w:tc>
      </w:tr>
      <w:tr w14:paraId="5EFE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60" w:type="dxa"/>
            <w:shd w:val="clear" w:color="auto" w:fill="auto"/>
            <w:vAlign w:val="center"/>
          </w:tcPr>
          <w:p w14:paraId="1219FA99">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11</w:t>
            </w:r>
          </w:p>
        </w:tc>
        <w:tc>
          <w:tcPr>
            <w:tcW w:w="1860" w:type="dxa"/>
            <w:shd w:val="clear" w:color="auto" w:fill="auto"/>
            <w:vAlign w:val="center"/>
          </w:tcPr>
          <w:p w14:paraId="4C77D782">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LC单模光纤尾纤，2米</w:t>
            </w:r>
          </w:p>
        </w:tc>
        <w:tc>
          <w:tcPr>
            <w:tcW w:w="3996" w:type="dxa"/>
            <w:shd w:val="clear" w:color="auto" w:fill="auto"/>
            <w:vAlign w:val="center"/>
          </w:tcPr>
          <w:p w14:paraId="4546EE79">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陶瓷插芯，尾纤直径：0.9mm 插针体端面结构：UPC 插入损耗（含重复性）：≤0.3dB；</w:t>
            </w:r>
          </w:p>
        </w:tc>
        <w:tc>
          <w:tcPr>
            <w:tcW w:w="850" w:type="dxa"/>
            <w:shd w:val="clear" w:color="auto" w:fill="auto"/>
            <w:vAlign w:val="center"/>
          </w:tcPr>
          <w:p w14:paraId="16C3546D">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条　</w:t>
            </w:r>
          </w:p>
        </w:tc>
        <w:tc>
          <w:tcPr>
            <w:tcW w:w="1418" w:type="dxa"/>
            <w:shd w:val="clear" w:color="auto" w:fill="auto"/>
            <w:vAlign w:val="center"/>
          </w:tcPr>
          <w:p w14:paraId="45E71A6E">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280</w:t>
            </w:r>
          </w:p>
        </w:tc>
      </w:tr>
      <w:tr w14:paraId="2A3C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60" w:type="dxa"/>
            <w:shd w:val="clear" w:color="auto" w:fill="auto"/>
            <w:vAlign w:val="center"/>
          </w:tcPr>
          <w:p w14:paraId="345082DD">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12</w:t>
            </w:r>
          </w:p>
        </w:tc>
        <w:tc>
          <w:tcPr>
            <w:tcW w:w="1860" w:type="dxa"/>
            <w:shd w:val="clear" w:color="auto" w:fill="auto"/>
            <w:vAlign w:val="center"/>
          </w:tcPr>
          <w:p w14:paraId="60961166">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 xml:space="preserve">24口六类非屏蔽配线架（满配模块） </w:t>
            </w:r>
          </w:p>
        </w:tc>
        <w:tc>
          <w:tcPr>
            <w:tcW w:w="3996" w:type="dxa"/>
            <w:shd w:val="clear" w:color="auto" w:fill="auto"/>
            <w:vAlign w:val="center"/>
          </w:tcPr>
          <w:p w14:paraId="6B87F2A5">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金属材质：全钢架结构+黑色喷塑；IDC卡接 /直通模块；支持线径：卡接22-26AWG线缆</w:t>
            </w:r>
          </w:p>
        </w:tc>
        <w:tc>
          <w:tcPr>
            <w:tcW w:w="850" w:type="dxa"/>
            <w:shd w:val="clear" w:color="auto" w:fill="auto"/>
            <w:vAlign w:val="center"/>
          </w:tcPr>
          <w:p w14:paraId="3D89762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43168CC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80</w:t>
            </w:r>
          </w:p>
        </w:tc>
      </w:tr>
      <w:tr w14:paraId="7B58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0" w:type="dxa"/>
            <w:shd w:val="clear" w:color="auto" w:fill="auto"/>
            <w:vAlign w:val="center"/>
          </w:tcPr>
          <w:p w14:paraId="49FB9549">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13</w:t>
            </w:r>
          </w:p>
        </w:tc>
        <w:tc>
          <w:tcPr>
            <w:tcW w:w="1860" w:type="dxa"/>
            <w:shd w:val="clear" w:color="auto" w:fill="auto"/>
            <w:vAlign w:val="center"/>
          </w:tcPr>
          <w:p w14:paraId="313BD6C2">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六类跳线，3米</w:t>
            </w:r>
          </w:p>
        </w:tc>
        <w:tc>
          <w:tcPr>
            <w:tcW w:w="3996" w:type="dxa"/>
            <w:shd w:val="clear" w:color="auto" w:fill="auto"/>
            <w:vAlign w:val="center"/>
          </w:tcPr>
          <w:p w14:paraId="09A19033">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水晶头塑料材质：聚碳酸酯（PC），簧片表面镀金</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接头类型：注塑RJ45端子-注塑RJ45端子</w:t>
            </w:r>
            <w:r>
              <w:rPr>
                <w:rFonts w:hint="eastAsia" w:ascii="宋体" w:hAnsi="宋体" w:eastAsia="宋体" w:cs="Tahoma"/>
                <w:kern w:val="0"/>
                <w:sz w:val="22"/>
                <w:szCs w:val="22"/>
              </w:rPr>
              <w:br w:type="textWrapping"/>
            </w:r>
            <w:r>
              <w:rPr>
                <w:rFonts w:hint="eastAsia" w:ascii="宋体" w:hAnsi="宋体" w:eastAsia="宋体" w:cs="Tahoma"/>
                <w:kern w:val="0"/>
                <w:sz w:val="22"/>
                <w:szCs w:val="22"/>
              </w:rPr>
              <w:t>采用多股双绞线软导体电缆</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护套颜色：蓝色、灰色、橙色</w:t>
            </w:r>
          </w:p>
        </w:tc>
        <w:tc>
          <w:tcPr>
            <w:tcW w:w="850" w:type="dxa"/>
            <w:shd w:val="clear" w:color="auto" w:fill="auto"/>
            <w:vAlign w:val="center"/>
          </w:tcPr>
          <w:p w14:paraId="1779DEDA">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条</w:t>
            </w:r>
          </w:p>
        </w:tc>
        <w:tc>
          <w:tcPr>
            <w:tcW w:w="1418" w:type="dxa"/>
            <w:shd w:val="clear" w:color="auto" w:fill="auto"/>
            <w:vAlign w:val="center"/>
          </w:tcPr>
          <w:p w14:paraId="52D4D71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1920</w:t>
            </w:r>
          </w:p>
        </w:tc>
      </w:tr>
      <w:tr w14:paraId="6343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shd w:val="clear" w:color="auto" w:fill="auto"/>
            <w:vAlign w:val="center"/>
          </w:tcPr>
          <w:p w14:paraId="1959A829">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14</w:t>
            </w:r>
          </w:p>
        </w:tc>
        <w:tc>
          <w:tcPr>
            <w:tcW w:w="1860" w:type="dxa"/>
            <w:shd w:val="clear" w:color="auto" w:fill="auto"/>
            <w:vAlign w:val="center"/>
          </w:tcPr>
          <w:p w14:paraId="0F36EC1F">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金属理线器</w:t>
            </w:r>
          </w:p>
        </w:tc>
        <w:tc>
          <w:tcPr>
            <w:tcW w:w="3996" w:type="dxa"/>
            <w:shd w:val="clear" w:color="auto" w:fill="auto"/>
            <w:vAlign w:val="center"/>
          </w:tcPr>
          <w:p w14:paraId="71304BF3">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全钢架结构+黑色喷塑；标准1U19”机架安装；12档24口</w:t>
            </w:r>
          </w:p>
        </w:tc>
        <w:tc>
          <w:tcPr>
            <w:tcW w:w="850" w:type="dxa"/>
            <w:shd w:val="clear" w:color="auto" w:fill="auto"/>
            <w:vAlign w:val="center"/>
          </w:tcPr>
          <w:p w14:paraId="37631E19">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0C4D8C91">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80</w:t>
            </w:r>
          </w:p>
        </w:tc>
      </w:tr>
      <w:tr w14:paraId="51C6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0" w:type="dxa"/>
            <w:shd w:val="clear" w:color="auto" w:fill="auto"/>
            <w:vAlign w:val="center"/>
          </w:tcPr>
          <w:p w14:paraId="3B62113E">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15</w:t>
            </w:r>
          </w:p>
        </w:tc>
        <w:tc>
          <w:tcPr>
            <w:tcW w:w="1860" w:type="dxa"/>
            <w:shd w:val="clear" w:color="auto" w:fill="auto"/>
            <w:vAlign w:val="center"/>
          </w:tcPr>
          <w:p w14:paraId="58960592">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100对110配线架</w:t>
            </w:r>
          </w:p>
        </w:tc>
        <w:tc>
          <w:tcPr>
            <w:tcW w:w="3996" w:type="dxa"/>
            <w:shd w:val="clear" w:color="auto" w:fill="auto"/>
            <w:vAlign w:val="center"/>
          </w:tcPr>
          <w:p w14:paraId="24754AEA">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 xml:space="preserve">IDC打线柱子夹采用磷青铜、耐用性高达250次插拔；配备20*4对和4*5对连接块、标签固定夹和白色标签条；机架式安装、适用于19英寸标准机柜、占用1U机柜高度.可适配25对，50对，100对大对数线缆。   </w:t>
            </w:r>
          </w:p>
        </w:tc>
        <w:tc>
          <w:tcPr>
            <w:tcW w:w="850" w:type="dxa"/>
            <w:shd w:val="clear" w:color="auto" w:fill="auto"/>
            <w:vAlign w:val="center"/>
          </w:tcPr>
          <w:p w14:paraId="079A6D0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4E63F1F6">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6</w:t>
            </w:r>
          </w:p>
        </w:tc>
      </w:tr>
      <w:tr w14:paraId="4DC0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0" w:type="dxa"/>
            <w:shd w:val="clear" w:color="auto" w:fill="auto"/>
            <w:vAlign w:val="center"/>
          </w:tcPr>
          <w:p w14:paraId="0464F258">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16</w:t>
            </w:r>
          </w:p>
        </w:tc>
        <w:tc>
          <w:tcPr>
            <w:tcW w:w="1860" w:type="dxa"/>
            <w:shd w:val="clear" w:color="auto" w:fill="auto"/>
            <w:vAlign w:val="center"/>
          </w:tcPr>
          <w:p w14:paraId="02C64ADF">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110型理线器</w:t>
            </w:r>
          </w:p>
        </w:tc>
        <w:tc>
          <w:tcPr>
            <w:tcW w:w="3996" w:type="dxa"/>
            <w:shd w:val="clear" w:color="auto" w:fill="auto"/>
            <w:vAlign w:val="center"/>
          </w:tcPr>
          <w:p w14:paraId="3538DAFC">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金属材质：全钢架结构+黑色喷塑</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安装高度：标准1U19”机架安装</w:t>
            </w:r>
            <w:r>
              <w:rPr>
                <w:rFonts w:hint="eastAsia" w:ascii="宋体" w:hAnsi="宋体" w:eastAsia="宋体" w:cs="Tahoma"/>
                <w:kern w:val="0"/>
                <w:sz w:val="22"/>
                <w:szCs w:val="22"/>
              </w:rPr>
              <w:br w:type="textWrapping"/>
            </w:r>
            <w:r>
              <w:rPr>
                <w:rFonts w:hint="eastAsia" w:ascii="宋体" w:hAnsi="宋体" w:eastAsia="宋体" w:cs="Tahoma"/>
                <w:kern w:val="0"/>
                <w:sz w:val="22"/>
                <w:szCs w:val="22"/>
              </w:rPr>
              <w:t>产品规格：12档24口</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安装方式：机柜螺丝安装</w:t>
            </w:r>
          </w:p>
        </w:tc>
        <w:tc>
          <w:tcPr>
            <w:tcW w:w="850" w:type="dxa"/>
            <w:shd w:val="clear" w:color="auto" w:fill="auto"/>
            <w:vAlign w:val="center"/>
          </w:tcPr>
          <w:p w14:paraId="069BD06D">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017F6884">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6</w:t>
            </w:r>
          </w:p>
        </w:tc>
      </w:tr>
      <w:tr w14:paraId="106E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660" w:type="dxa"/>
            <w:shd w:val="clear" w:color="auto" w:fill="auto"/>
            <w:vAlign w:val="center"/>
          </w:tcPr>
          <w:p w14:paraId="64135E42">
            <w:pPr>
              <w:widowControl/>
              <w:spacing w:line="276" w:lineRule="auto"/>
              <w:jc w:val="center"/>
              <w:rPr>
                <w:rFonts w:ascii="宋体" w:hAnsi="宋体" w:eastAsia="宋体" w:cs="Tahoma"/>
                <w:kern w:val="0"/>
                <w:sz w:val="21"/>
                <w:szCs w:val="21"/>
              </w:rPr>
            </w:pPr>
            <w:r>
              <w:rPr>
                <w:rFonts w:hint="eastAsia" w:ascii="宋体" w:hAnsi="宋体" w:eastAsia="宋体" w:cs="Tahoma"/>
                <w:kern w:val="0"/>
                <w:sz w:val="21"/>
                <w:szCs w:val="21"/>
              </w:rPr>
              <w:t>17</w:t>
            </w:r>
          </w:p>
        </w:tc>
        <w:tc>
          <w:tcPr>
            <w:tcW w:w="1860" w:type="dxa"/>
            <w:shd w:val="clear" w:color="auto" w:fill="auto"/>
            <w:vAlign w:val="center"/>
          </w:tcPr>
          <w:p w14:paraId="7274A54C">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RJ45-110非屏蔽跳线,2米</w:t>
            </w:r>
          </w:p>
        </w:tc>
        <w:tc>
          <w:tcPr>
            <w:tcW w:w="3996" w:type="dxa"/>
            <w:shd w:val="clear" w:color="auto" w:fill="auto"/>
            <w:vAlign w:val="center"/>
          </w:tcPr>
          <w:p w14:paraId="7FEF4C14">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规格：3M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110型跳线是由鸭嘴插头，水晶头和软线组成；</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所有塑料采用聚碳酸酯材料；</w:t>
            </w:r>
            <w:r>
              <w:rPr>
                <w:rFonts w:hint="eastAsia" w:ascii="宋体" w:hAnsi="宋体" w:eastAsia="宋体" w:cs="Tahoma"/>
                <w:kern w:val="0"/>
                <w:sz w:val="22"/>
                <w:szCs w:val="22"/>
              </w:rPr>
              <w:br w:type="textWrapping"/>
            </w:r>
            <w:r>
              <w:rPr>
                <w:rFonts w:hint="eastAsia" w:ascii="宋体" w:hAnsi="宋体" w:eastAsia="宋体" w:cs="Tahoma"/>
                <w:kern w:val="0"/>
                <w:sz w:val="22"/>
                <w:szCs w:val="22"/>
              </w:rPr>
              <w:t>采用多股芯电缆，柔韧性能好，不易弯折；</w:t>
            </w:r>
            <w:r>
              <w:rPr>
                <w:rFonts w:hint="eastAsia" w:ascii="宋体" w:hAnsi="宋体" w:eastAsia="宋体" w:cs="Tahoma"/>
                <w:kern w:val="0"/>
                <w:sz w:val="22"/>
                <w:szCs w:val="22"/>
              </w:rPr>
              <w:br w:type="textWrapping"/>
            </w:r>
            <w:r>
              <w:rPr>
                <w:rFonts w:hint="eastAsia" w:ascii="宋体" w:hAnsi="宋体" w:eastAsia="宋体" w:cs="Tahoma"/>
                <w:kern w:val="0"/>
                <w:sz w:val="22"/>
                <w:szCs w:val="22"/>
              </w:rPr>
              <w:t>IDC卡接次数≥250次；</w:t>
            </w:r>
            <w:r>
              <w:rPr>
                <w:rFonts w:hint="eastAsia" w:ascii="宋体" w:hAnsi="宋体" w:eastAsia="宋体" w:cs="Tahoma"/>
                <w:kern w:val="0"/>
                <w:sz w:val="22"/>
                <w:szCs w:val="22"/>
              </w:rPr>
              <w:br w:type="textWrapping"/>
            </w:r>
            <w:r>
              <w:rPr>
                <w:rFonts w:hint="eastAsia" w:ascii="宋体" w:hAnsi="宋体" w:eastAsia="宋体" w:cs="Tahoma"/>
                <w:kern w:val="0"/>
                <w:sz w:val="22"/>
                <w:szCs w:val="22"/>
              </w:rPr>
              <w:t>绝缘电阻≥500M</w:t>
            </w:r>
            <w:r>
              <w:rPr>
                <w:rFonts w:ascii="Calibri" w:hAnsi="Calibri" w:eastAsia="宋体" w:cs="Calibri"/>
                <w:kern w:val="0"/>
                <w:sz w:val="22"/>
                <w:szCs w:val="22"/>
              </w:rPr>
              <w:t>Ω</w:t>
            </w:r>
            <w:r>
              <w:rPr>
                <w:rFonts w:hint="eastAsia" w:ascii="宋体" w:hAnsi="宋体" w:eastAsia="宋体" w:cs="Tahoma"/>
                <w:kern w:val="0"/>
                <w:sz w:val="22"/>
                <w:szCs w:val="22"/>
              </w:rPr>
              <w:t xml:space="preserve">；    </w:t>
            </w:r>
            <w:r>
              <w:rPr>
                <w:rFonts w:hint="eastAsia" w:ascii="宋体" w:hAnsi="宋体" w:eastAsia="宋体" w:cs="Tahoma"/>
                <w:kern w:val="0"/>
                <w:sz w:val="22"/>
                <w:szCs w:val="22"/>
              </w:rPr>
              <w:br w:type="textWrapping"/>
            </w:r>
            <w:r>
              <w:rPr>
                <w:rFonts w:hint="eastAsia" w:ascii="宋体" w:hAnsi="宋体" w:eastAsia="宋体" w:cs="Tahoma"/>
                <w:kern w:val="0"/>
                <w:sz w:val="22"/>
                <w:szCs w:val="22"/>
              </w:rPr>
              <w:t>耐压强度DC:1000V AC 1分钟 漏电流1mA未击穿</w:t>
            </w:r>
            <w:r>
              <w:rPr>
                <w:rFonts w:hint="eastAsia" w:ascii="宋体" w:hAnsi="宋体" w:eastAsia="宋体" w:cs="Tahoma"/>
                <w:kern w:val="0"/>
                <w:sz w:val="22"/>
                <w:szCs w:val="22"/>
              </w:rPr>
              <w:br w:type="textWrapping"/>
            </w:r>
            <w:r>
              <w:rPr>
                <w:rFonts w:hint="eastAsia" w:ascii="宋体" w:hAnsi="宋体" w:eastAsia="宋体" w:cs="Tahoma"/>
                <w:kern w:val="0"/>
                <w:sz w:val="22"/>
                <w:szCs w:val="22"/>
              </w:rPr>
              <w:t>传输性能满足TIA/EIA 568 和ISO/IEC11801标准</w:t>
            </w:r>
          </w:p>
        </w:tc>
        <w:tc>
          <w:tcPr>
            <w:tcW w:w="850" w:type="dxa"/>
            <w:shd w:val="clear" w:color="auto" w:fill="auto"/>
            <w:vAlign w:val="center"/>
          </w:tcPr>
          <w:p w14:paraId="2BBF3034">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条</w:t>
            </w:r>
          </w:p>
        </w:tc>
        <w:tc>
          <w:tcPr>
            <w:tcW w:w="1418" w:type="dxa"/>
            <w:shd w:val="clear" w:color="auto" w:fill="auto"/>
            <w:vAlign w:val="center"/>
          </w:tcPr>
          <w:p w14:paraId="6A8B126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240</w:t>
            </w:r>
          </w:p>
        </w:tc>
      </w:tr>
      <w:tr w14:paraId="0506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84" w:type="dxa"/>
            <w:gridSpan w:val="5"/>
            <w:shd w:val="clear" w:color="auto" w:fill="auto"/>
            <w:vAlign w:val="center"/>
          </w:tcPr>
          <w:p w14:paraId="11D5C483">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二、设备间子系统</w:t>
            </w:r>
          </w:p>
        </w:tc>
      </w:tr>
      <w:tr w14:paraId="21F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shd w:val="clear" w:color="auto" w:fill="auto"/>
            <w:vAlign w:val="center"/>
          </w:tcPr>
          <w:p w14:paraId="2EAC461B">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w:t>
            </w:r>
          </w:p>
        </w:tc>
        <w:tc>
          <w:tcPr>
            <w:tcW w:w="1860" w:type="dxa"/>
            <w:shd w:val="clear" w:color="auto" w:fill="auto"/>
            <w:vAlign w:val="center"/>
          </w:tcPr>
          <w:p w14:paraId="306C8DC5">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24口光纤终端盒</w:t>
            </w:r>
          </w:p>
        </w:tc>
        <w:tc>
          <w:tcPr>
            <w:tcW w:w="3996" w:type="dxa"/>
            <w:shd w:val="clear" w:color="auto" w:fill="auto"/>
            <w:vAlign w:val="center"/>
          </w:tcPr>
          <w:p w14:paraId="63712FF2">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材质：冷轧钢板+喷塑；板材厚度：1.0mm；抽屉式开启，颜色： 灰白色；适配器接口：LC</w:t>
            </w:r>
          </w:p>
        </w:tc>
        <w:tc>
          <w:tcPr>
            <w:tcW w:w="850" w:type="dxa"/>
            <w:shd w:val="clear" w:color="auto" w:fill="auto"/>
            <w:vAlign w:val="center"/>
          </w:tcPr>
          <w:p w14:paraId="582E5634">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1B5C33D2">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6</w:t>
            </w:r>
          </w:p>
        </w:tc>
      </w:tr>
      <w:tr w14:paraId="07D9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60" w:type="dxa"/>
            <w:shd w:val="clear" w:color="auto" w:fill="auto"/>
            <w:vAlign w:val="center"/>
          </w:tcPr>
          <w:p w14:paraId="5F0E4ADB">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w:t>
            </w:r>
          </w:p>
        </w:tc>
        <w:tc>
          <w:tcPr>
            <w:tcW w:w="1860" w:type="dxa"/>
            <w:shd w:val="clear" w:color="auto" w:fill="auto"/>
            <w:vAlign w:val="center"/>
          </w:tcPr>
          <w:p w14:paraId="5B06360D">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LC双工单模适配器(匹配光纤终端盒)</w:t>
            </w:r>
          </w:p>
        </w:tc>
        <w:tc>
          <w:tcPr>
            <w:tcW w:w="3996" w:type="dxa"/>
            <w:shd w:val="clear" w:color="auto" w:fill="auto"/>
            <w:vAlign w:val="center"/>
          </w:tcPr>
          <w:p w14:paraId="27FEFFD9">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采用精密陶瓷套筒将连接器的插芯与插芯之间进行精确对准，保证了光信号在经过连接器与连接器相互连接之后的超小损耗传输；</w:t>
            </w:r>
            <w:r>
              <w:rPr>
                <w:rFonts w:hint="eastAsia" w:ascii="宋体" w:hAnsi="宋体" w:eastAsia="宋体" w:cs="Tahoma"/>
                <w:kern w:val="0"/>
                <w:sz w:val="22"/>
                <w:szCs w:val="22"/>
              </w:rPr>
              <w:br w:type="textWrapping"/>
            </w:r>
            <w:r>
              <w:rPr>
                <w:rFonts w:hint="eastAsia" w:ascii="宋体" w:hAnsi="宋体" w:eastAsia="宋体" w:cs="Tahoma"/>
                <w:kern w:val="0"/>
                <w:sz w:val="22"/>
                <w:szCs w:val="22"/>
              </w:rPr>
              <w:t>低插入损耗，具有良好互换性与重复性；</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工作波长：1200nm-1600n</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插入损耗（含重复性）：≤0.2dB</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插拔次数≥500次</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抗张力（g） 200-600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工作温度：-30℃~+70℃</w:t>
            </w:r>
          </w:p>
        </w:tc>
        <w:tc>
          <w:tcPr>
            <w:tcW w:w="850" w:type="dxa"/>
            <w:shd w:val="clear" w:color="auto" w:fill="auto"/>
            <w:vAlign w:val="center"/>
          </w:tcPr>
          <w:p w14:paraId="0BA0997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54D0D3C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144</w:t>
            </w:r>
          </w:p>
        </w:tc>
      </w:tr>
      <w:tr w14:paraId="08CC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60" w:type="dxa"/>
            <w:shd w:val="clear" w:color="auto" w:fill="auto"/>
            <w:vAlign w:val="center"/>
          </w:tcPr>
          <w:p w14:paraId="2824E1B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3</w:t>
            </w:r>
          </w:p>
        </w:tc>
        <w:tc>
          <w:tcPr>
            <w:tcW w:w="1860" w:type="dxa"/>
            <w:shd w:val="clear" w:color="auto" w:fill="auto"/>
            <w:vAlign w:val="center"/>
          </w:tcPr>
          <w:p w14:paraId="56DC8A6D">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LC-LC单模光纤跳线，2米</w:t>
            </w:r>
          </w:p>
        </w:tc>
        <w:tc>
          <w:tcPr>
            <w:tcW w:w="3996" w:type="dxa"/>
            <w:shd w:val="clear" w:color="auto" w:fill="auto"/>
            <w:vAlign w:val="center"/>
          </w:tcPr>
          <w:p w14:paraId="451444AF">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陶瓷插芯；单模：G.652.D 黄色，插入损耗（含重复性）：≤0.3dB；光缆芯数与护套外径：单芯：3.0mm</w:t>
            </w:r>
          </w:p>
        </w:tc>
        <w:tc>
          <w:tcPr>
            <w:tcW w:w="850" w:type="dxa"/>
            <w:shd w:val="clear" w:color="auto" w:fill="auto"/>
            <w:vAlign w:val="center"/>
          </w:tcPr>
          <w:p w14:paraId="5D34755E">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条</w:t>
            </w:r>
          </w:p>
        </w:tc>
        <w:tc>
          <w:tcPr>
            <w:tcW w:w="1418" w:type="dxa"/>
            <w:shd w:val="clear" w:color="auto" w:fill="auto"/>
            <w:vAlign w:val="center"/>
          </w:tcPr>
          <w:p w14:paraId="49F43200">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144</w:t>
            </w:r>
          </w:p>
        </w:tc>
      </w:tr>
      <w:tr w14:paraId="774C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shd w:val="clear" w:color="auto" w:fill="auto"/>
            <w:vAlign w:val="center"/>
          </w:tcPr>
          <w:p w14:paraId="5188F5E2">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4</w:t>
            </w:r>
          </w:p>
        </w:tc>
        <w:tc>
          <w:tcPr>
            <w:tcW w:w="1860" w:type="dxa"/>
            <w:shd w:val="clear" w:color="auto" w:fill="auto"/>
            <w:vAlign w:val="center"/>
          </w:tcPr>
          <w:p w14:paraId="63DE006A">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LC单模光纤尾纤，2米</w:t>
            </w:r>
          </w:p>
        </w:tc>
        <w:tc>
          <w:tcPr>
            <w:tcW w:w="3996" w:type="dxa"/>
            <w:shd w:val="clear" w:color="auto" w:fill="auto"/>
            <w:vAlign w:val="center"/>
          </w:tcPr>
          <w:p w14:paraId="22C28477">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陶瓷插芯，尾纤直径：0.9mm 插针体端面结构：UPC 插入损耗（含重复性）：≤0.3dB；</w:t>
            </w:r>
          </w:p>
        </w:tc>
        <w:tc>
          <w:tcPr>
            <w:tcW w:w="850" w:type="dxa"/>
            <w:shd w:val="clear" w:color="auto" w:fill="auto"/>
            <w:vAlign w:val="center"/>
          </w:tcPr>
          <w:p w14:paraId="7EBA5C47">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条</w:t>
            </w:r>
          </w:p>
        </w:tc>
        <w:tc>
          <w:tcPr>
            <w:tcW w:w="1418" w:type="dxa"/>
            <w:shd w:val="clear" w:color="auto" w:fill="auto"/>
            <w:vAlign w:val="center"/>
          </w:tcPr>
          <w:p w14:paraId="577590DE">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288</w:t>
            </w:r>
          </w:p>
        </w:tc>
      </w:tr>
      <w:tr w14:paraId="06CB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0" w:type="dxa"/>
            <w:shd w:val="clear" w:color="auto" w:fill="auto"/>
            <w:vAlign w:val="center"/>
          </w:tcPr>
          <w:p w14:paraId="14E613D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5</w:t>
            </w:r>
          </w:p>
        </w:tc>
        <w:tc>
          <w:tcPr>
            <w:tcW w:w="1860" w:type="dxa"/>
            <w:shd w:val="clear" w:color="auto" w:fill="auto"/>
            <w:vAlign w:val="center"/>
          </w:tcPr>
          <w:p w14:paraId="117904E3">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100对110配线架</w:t>
            </w:r>
          </w:p>
        </w:tc>
        <w:tc>
          <w:tcPr>
            <w:tcW w:w="3996" w:type="dxa"/>
            <w:shd w:val="clear" w:color="auto" w:fill="auto"/>
            <w:vAlign w:val="center"/>
          </w:tcPr>
          <w:p w14:paraId="74BC37F2">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 xml:space="preserve">IDC打线柱子夹采用磷青铜、耐用性高达250次插拔；配备20*4对和4*5对连接块、标签固定夹和白色标签条；机架式安装、适用于19英寸标准机柜、占用1U机柜高度.可适配25对，50对，100对大对数线缆。   </w:t>
            </w:r>
          </w:p>
        </w:tc>
        <w:tc>
          <w:tcPr>
            <w:tcW w:w="850" w:type="dxa"/>
            <w:shd w:val="clear" w:color="auto" w:fill="auto"/>
            <w:vAlign w:val="center"/>
          </w:tcPr>
          <w:p w14:paraId="63344EFD">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5B6C9F6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6</w:t>
            </w:r>
          </w:p>
        </w:tc>
      </w:tr>
      <w:tr w14:paraId="1EE5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shd w:val="clear" w:color="auto" w:fill="auto"/>
            <w:vAlign w:val="center"/>
          </w:tcPr>
          <w:p w14:paraId="7FF22273">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6</w:t>
            </w:r>
          </w:p>
        </w:tc>
        <w:tc>
          <w:tcPr>
            <w:tcW w:w="1860" w:type="dxa"/>
            <w:shd w:val="clear" w:color="auto" w:fill="auto"/>
            <w:vAlign w:val="center"/>
          </w:tcPr>
          <w:p w14:paraId="13850114">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110型理线器</w:t>
            </w:r>
          </w:p>
        </w:tc>
        <w:tc>
          <w:tcPr>
            <w:tcW w:w="3996" w:type="dxa"/>
            <w:shd w:val="clear" w:color="auto" w:fill="auto"/>
            <w:vAlign w:val="center"/>
          </w:tcPr>
          <w:p w14:paraId="213F1B2B">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全钢架结构+黑色喷塑；标准1U19”机架安装；12档24口</w:t>
            </w:r>
          </w:p>
        </w:tc>
        <w:tc>
          <w:tcPr>
            <w:tcW w:w="850" w:type="dxa"/>
            <w:shd w:val="clear" w:color="auto" w:fill="auto"/>
            <w:vAlign w:val="center"/>
          </w:tcPr>
          <w:p w14:paraId="0C2D4F7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1A159F5E">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6</w:t>
            </w:r>
          </w:p>
        </w:tc>
      </w:tr>
      <w:tr w14:paraId="2279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60" w:type="dxa"/>
            <w:shd w:val="clear" w:color="auto" w:fill="auto"/>
            <w:vAlign w:val="center"/>
          </w:tcPr>
          <w:p w14:paraId="2A70154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7</w:t>
            </w:r>
          </w:p>
        </w:tc>
        <w:tc>
          <w:tcPr>
            <w:tcW w:w="1860" w:type="dxa"/>
            <w:shd w:val="clear" w:color="auto" w:fill="auto"/>
            <w:vAlign w:val="center"/>
          </w:tcPr>
          <w:p w14:paraId="738BBBA1">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110-110非屏蔽跳线,2米</w:t>
            </w:r>
          </w:p>
        </w:tc>
        <w:tc>
          <w:tcPr>
            <w:tcW w:w="3996" w:type="dxa"/>
            <w:shd w:val="clear" w:color="auto" w:fill="auto"/>
            <w:vAlign w:val="center"/>
          </w:tcPr>
          <w:p w14:paraId="723AFBDD">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2M110型跳线是由鸭嘴插头，水晶头和软线组成；所有塑料采用聚碳酸酯材料；采用多股芯电缆，柔韧性能好，不易弯折；IDC卡接次数≥250次；绝缘电阻≥500M</w:t>
            </w:r>
            <w:r>
              <w:rPr>
                <w:rFonts w:ascii="Calibri" w:hAnsi="Calibri" w:eastAsia="宋体" w:cs="Calibri"/>
                <w:kern w:val="0"/>
                <w:sz w:val="22"/>
                <w:szCs w:val="22"/>
              </w:rPr>
              <w:t>Ω</w:t>
            </w:r>
            <w:r>
              <w:rPr>
                <w:rFonts w:hint="eastAsia" w:ascii="宋体" w:hAnsi="宋体" w:eastAsia="宋体" w:cs="Tahoma"/>
                <w:kern w:val="0"/>
                <w:sz w:val="22"/>
                <w:szCs w:val="22"/>
              </w:rPr>
              <w:t>；</w:t>
            </w:r>
          </w:p>
        </w:tc>
        <w:tc>
          <w:tcPr>
            <w:tcW w:w="850" w:type="dxa"/>
            <w:shd w:val="clear" w:color="auto" w:fill="auto"/>
            <w:vAlign w:val="center"/>
          </w:tcPr>
          <w:p w14:paraId="1BABBB97">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条</w:t>
            </w:r>
          </w:p>
        </w:tc>
        <w:tc>
          <w:tcPr>
            <w:tcW w:w="1418" w:type="dxa"/>
            <w:shd w:val="clear" w:color="auto" w:fill="auto"/>
            <w:vAlign w:val="center"/>
          </w:tcPr>
          <w:p w14:paraId="65282A83">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240</w:t>
            </w:r>
          </w:p>
        </w:tc>
      </w:tr>
      <w:tr w14:paraId="6153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84" w:type="dxa"/>
            <w:gridSpan w:val="5"/>
            <w:shd w:val="clear" w:color="auto" w:fill="auto"/>
            <w:vAlign w:val="center"/>
          </w:tcPr>
          <w:p w14:paraId="34E3A7E9">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三、集成实施</w:t>
            </w:r>
          </w:p>
        </w:tc>
      </w:tr>
      <w:tr w14:paraId="3304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60" w:type="dxa"/>
            <w:shd w:val="clear" w:color="auto" w:fill="auto"/>
            <w:vAlign w:val="center"/>
          </w:tcPr>
          <w:p w14:paraId="625E466E">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w:t>
            </w:r>
          </w:p>
        </w:tc>
        <w:tc>
          <w:tcPr>
            <w:tcW w:w="1860" w:type="dxa"/>
            <w:shd w:val="clear" w:color="auto" w:fill="auto"/>
            <w:vAlign w:val="center"/>
          </w:tcPr>
          <w:p w14:paraId="76644793">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机柜</w:t>
            </w:r>
          </w:p>
        </w:tc>
        <w:tc>
          <w:tcPr>
            <w:tcW w:w="3996" w:type="dxa"/>
            <w:shd w:val="clear" w:color="auto" w:fill="auto"/>
            <w:vAlign w:val="center"/>
          </w:tcPr>
          <w:p w14:paraId="35C1E737">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材质：SPCC优质冷轧钢板</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材料厚度：立柱2.0，横梁1.2，门板1.0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通风系统：置顶式风机散热单元，底部活动进线孔</w:t>
            </w:r>
            <w:r>
              <w:rPr>
                <w:rFonts w:hint="eastAsia" w:ascii="宋体" w:hAnsi="宋体" w:eastAsia="宋体" w:cs="Tahoma"/>
                <w:kern w:val="0"/>
                <w:sz w:val="22"/>
                <w:szCs w:val="22"/>
              </w:rPr>
              <w:br w:type="textWrapping"/>
            </w:r>
            <w:r>
              <w:rPr>
                <w:rFonts w:hint="eastAsia" w:ascii="宋体" w:hAnsi="宋体" w:eastAsia="宋体" w:cs="Tahoma"/>
                <w:kern w:val="0"/>
                <w:sz w:val="22"/>
                <w:szCs w:val="22"/>
              </w:rPr>
              <w:t>立柱间距：≥19英寸</w:t>
            </w:r>
            <w:r>
              <w:rPr>
                <w:rFonts w:hint="eastAsia" w:ascii="宋体" w:hAnsi="宋体" w:eastAsia="宋体" w:cs="Tahoma"/>
                <w:kern w:val="0"/>
                <w:sz w:val="22"/>
                <w:szCs w:val="22"/>
              </w:rPr>
              <w:br w:type="textWrapping"/>
            </w:r>
            <w:r>
              <w:rPr>
                <w:rFonts w:hint="eastAsia" w:ascii="宋体" w:hAnsi="宋体" w:eastAsia="宋体" w:cs="Tahoma"/>
                <w:kern w:val="0"/>
                <w:sz w:val="22"/>
                <w:szCs w:val="22"/>
              </w:rPr>
              <w:t>配置：3个层板，5MM钢化玻璃前门+冷轧钢网孔后门，20套哈姆螺丝</w:t>
            </w:r>
            <w:r>
              <w:rPr>
                <w:rFonts w:hint="eastAsia" w:ascii="宋体" w:hAnsi="宋体" w:eastAsia="宋体" w:cs="Tahoma"/>
                <w:kern w:val="0"/>
                <w:sz w:val="22"/>
                <w:szCs w:val="22"/>
              </w:rPr>
              <w:br w:type="textWrapping"/>
            </w:r>
            <w:r>
              <w:rPr>
                <w:rFonts w:hint="eastAsia" w:ascii="宋体" w:hAnsi="宋体" w:eastAsia="宋体" w:cs="Tahoma"/>
                <w:kern w:val="0"/>
                <w:sz w:val="22"/>
                <w:szCs w:val="22"/>
              </w:rPr>
              <w:t>防护等级：IP20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用途：装载网络设备及配件等</w:t>
            </w:r>
          </w:p>
        </w:tc>
        <w:tc>
          <w:tcPr>
            <w:tcW w:w="850" w:type="dxa"/>
            <w:shd w:val="clear" w:color="auto" w:fill="auto"/>
            <w:vAlign w:val="center"/>
          </w:tcPr>
          <w:p w14:paraId="0D62703A">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个</w:t>
            </w:r>
          </w:p>
        </w:tc>
        <w:tc>
          <w:tcPr>
            <w:tcW w:w="1418" w:type="dxa"/>
            <w:shd w:val="clear" w:color="auto" w:fill="auto"/>
            <w:vAlign w:val="center"/>
          </w:tcPr>
          <w:p w14:paraId="17982EC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25</w:t>
            </w:r>
          </w:p>
        </w:tc>
      </w:tr>
      <w:tr w14:paraId="6CF1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shd w:val="clear" w:color="auto" w:fill="auto"/>
            <w:vAlign w:val="center"/>
          </w:tcPr>
          <w:p w14:paraId="6A2D6FE1">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w:t>
            </w:r>
          </w:p>
        </w:tc>
        <w:tc>
          <w:tcPr>
            <w:tcW w:w="1860" w:type="dxa"/>
            <w:shd w:val="clear" w:color="auto" w:fill="auto"/>
            <w:vAlign w:val="center"/>
          </w:tcPr>
          <w:p w14:paraId="54219125">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系统集成</w:t>
            </w:r>
          </w:p>
        </w:tc>
        <w:tc>
          <w:tcPr>
            <w:tcW w:w="3996" w:type="dxa"/>
            <w:shd w:val="clear" w:color="auto" w:fill="auto"/>
            <w:vAlign w:val="center"/>
          </w:tcPr>
          <w:p w14:paraId="4DEF111B">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包含人工、辅材以及因具体实施方案过程必要增加的上述设备数量等</w:t>
            </w:r>
          </w:p>
        </w:tc>
        <w:tc>
          <w:tcPr>
            <w:tcW w:w="850" w:type="dxa"/>
            <w:shd w:val="clear" w:color="auto" w:fill="auto"/>
            <w:vAlign w:val="center"/>
          </w:tcPr>
          <w:p w14:paraId="1FECFB8E">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项</w:t>
            </w:r>
          </w:p>
        </w:tc>
        <w:tc>
          <w:tcPr>
            <w:tcW w:w="1418" w:type="dxa"/>
            <w:shd w:val="clear" w:color="auto" w:fill="auto"/>
            <w:vAlign w:val="center"/>
          </w:tcPr>
          <w:p w14:paraId="01504E52">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w:t>
            </w:r>
          </w:p>
        </w:tc>
      </w:tr>
    </w:tbl>
    <w:p w14:paraId="3AF620FA">
      <w:pPr>
        <w:pStyle w:val="2"/>
        <w:ind w:left="431" w:hanging="431"/>
        <w:jc w:val="both"/>
        <w:rPr>
          <w:rFonts w:ascii="宋体" w:hAnsi="宋体"/>
          <w:color w:val="FF0000"/>
        </w:rPr>
      </w:pPr>
      <w:r>
        <w:rPr>
          <w:rFonts w:hint="eastAsia" w:hAnsi="宋体"/>
          <w:color w:val="FF0000"/>
          <w:lang w:val="en-US" w:eastAsia="zh-CN"/>
        </w:rPr>
        <w:t>4.</w:t>
      </w:r>
      <w:r>
        <w:rPr>
          <w:rFonts w:hint="eastAsia" w:ascii="宋体" w:hAnsi="宋体"/>
          <w:color w:val="FF0000"/>
        </w:rPr>
        <w:t>新建大楼网络设备清单及详细技术参数</w:t>
      </w:r>
    </w:p>
    <w:tbl>
      <w:tblPr>
        <w:tblStyle w:val="20"/>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60"/>
        <w:gridCol w:w="4960"/>
        <w:gridCol w:w="920"/>
        <w:gridCol w:w="900"/>
      </w:tblGrid>
      <w:tr w14:paraId="4F75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0" w:type="dxa"/>
            <w:shd w:val="clear" w:color="auto" w:fill="auto"/>
            <w:vAlign w:val="center"/>
          </w:tcPr>
          <w:p w14:paraId="78B72FA0">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序号</w:t>
            </w:r>
          </w:p>
        </w:tc>
        <w:tc>
          <w:tcPr>
            <w:tcW w:w="1560" w:type="dxa"/>
            <w:shd w:val="clear" w:color="auto" w:fill="auto"/>
            <w:vAlign w:val="center"/>
          </w:tcPr>
          <w:p w14:paraId="0E155972">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设备名称</w:t>
            </w:r>
          </w:p>
        </w:tc>
        <w:tc>
          <w:tcPr>
            <w:tcW w:w="4960" w:type="dxa"/>
            <w:shd w:val="clear" w:color="auto" w:fill="auto"/>
            <w:vAlign w:val="center"/>
          </w:tcPr>
          <w:p w14:paraId="06A41273">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详细配置参数要求</w:t>
            </w:r>
          </w:p>
        </w:tc>
        <w:tc>
          <w:tcPr>
            <w:tcW w:w="920" w:type="dxa"/>
            <w:shd w:val="clear" w:color="auto" w:fill="auto"/>
            <w:vAlign w:val="center"/>
          </w:tcPr>
          <w:p w14:paraId="4B033B36">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单位</w:t>
            </w:r>
          </w:p>
        </w:tc>
        <w:tc>
          <w:tcPr>
            <w:tcW w:w="900" w:type="dxa"/>
            <w:shd w:val="clear" w:color="auto" w:fill="auto"/>
            <w:vAlign w:val="center"/>
          </w:tcPr>
          <w:p w14:paraId="7012CE17">
            <w:pPr>
              <w:widowControl/>
              <w:spacing w:line="240" w:lineRule="auto"/>
              <w:jc w:val="center"/>
              <w:rPr>
                <w:rFonts w:ascii="宋体" w:hAnsi="宋体" w:eastAsia="宋体" w:cs="Tahoma"/>
                <w:b/>
                <w:bCs/>
                <w:kern w:val="0"/>
                <w:sz w:val="22"/>
                <w:szCs w:val="22"/>
              </w:rPr>
            </w:pPr>
            <w:r>
              <w:rPr>
                <w:rFonts w:hint="eastAsia" w:ascii="宋体" w:hAnsi="宋体" w:eastAsia="宋体" w:cs="Tahoma"/>
                <w:b/>
                <w:bCs/>
                <w:kern w:val="0"/>
                <w:sz w:val="22"/>
                <w:szCs w:val="22"/>
              </w:rPr>
              <w:t>数量</w:t>
            </w:r>
          </w:p>
        </w:tc>
      </w:tr>
      <w:tr w14:paraId="7B02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040" w:type="dxa"/>
            <w:gridSpan w:val="5"/>
            <w:shd w:val="clear" w:color="auto" w:fill="auto"/>
            <w:vAlign w:val="center"/>
          </w:tcPr>
          <w:p w14:paraId="271BA507">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一、新建大楼内网外网有线部分</w:t>
            </w:r>
          </w:p>
        </w:tc>
      </w:tr>
      <w:tr w14:paraId="5571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0" w:hRule="atLeast"/>
        </w:trPr>
        <w:tc>
          <w:tcPr>
            <w:tcW w:w="700" w:type="dxa"/>
            <w:shd w:val="clear" w:color="auto" w:fill="auto"/>
            <w:vAlign w:val="center"/>
          </w:tcPr>
          <w:p w14:paraId="0929F7CA">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w:t>
            </w:r>
          </w:p>
        </w:tc>
        <w:tc>
          <w:tcPr>
            <w:tcW w:w="1560" w:type="dxa"/>
            <w:shd w:val="clear" w:color="auto" w:fill="auto"/>
            <w:vAlign w:val="center"/>
          </w:tcPr>
          <w:p w14:paraId="4F4F2C2F">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内网核心交换机</w:t>
            </w:r>
          </w:p>
        </w:tc>
        <w:tc>
          <w:tcPr>
            <w:tcW w:w="4960" w:type="dxa"/>
            <w:shd w:val="clear" w:color="auto" w:fill="auto"/>
            <w:vAlign w:val="center"/>
          </w:tcPr>
          <w:p w14:paraId="37FF6855">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（1）设备交换容量≥37Tbps，包转发率≥7050Mpps；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（2）符合主流机柜尺寸规范，设备高度≤4U，设备深度不超过600mm。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（3）保证设备散热效果和可靠性，风扇插槽冗余设计，设备自带≥2个风扇可热插拔风扇模块。</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（4）提高设备面板空间利用率采用高密度端口设计，单个物理业务卡最大可聚合8条千兆光纤链路，设备整机物理业务卡插槽数≥18个。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（5）N:1虚拟化：可将2台物理设备虚拟化为1台逻辑设备，虚拟组内设备具备统一的二层及三层转发表项，统一的管理界面，并可实现跨设备链路聚合。</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（6）支持静态路由、RIP、RIPng、OSPF、OSPFv3、BGP、BGP4+、ISIS、ISISv6，支持路由协议多实例，支持GR for OSPF/IS-IS/BGP，支持策略路由。</w:t>
            </w:r>
            <w:r>
              <w:rPr>
                <w:rFonts w:hint="eastAsia" w:ascii="宋体" w:hAnsi="宋体" w:eastAsia="宋体" w:cs="Tahoma"/>
                <w:kern w:val="0"/>
                <w:sz w:val="22"/>
                <w:szCs w:val="22"/>
              </w:rPr>
              <w:br w:type="textWrapping"/>
            </w:r>
            <w:r>
              <w:rPr>
                <w:rFonts w:hint="eastAsia" w:ascii="宋体" w:hAnsi="宋体" w:eastAsia="宋体" w:cs="Tahoma"/>
                <w:kern w:val="0"/>
                <w:sz w:val="22"/>
                <w:szCs w:val="22"/>
              </w:rPr>
              <w:t>（7）支持IGMPv1/v2/v3、IGMP Snooping 、PIM DM、PIM SM、PIM SSM；支持组播流量控制、支持组播查询器。</w:t>
            </w:r>
            <w:r>
              <w:rPr>
                <w:rFonts w:hint="eastAsia" w:ascii="宋体" w:hAnsi="宋体" w:eastAsia="宋体" w:cs="Tahoma"/>
                <w:kern w:val="0"/>
                <w:sz w:val="22"/>
                <w:szCs w:val="22"/>
              </w:rPr>
              <w:br w:type="textWrapping"/>
            </w:r>
            <w:r>
              <w:rPr>
                <w:rFonts w:hint="eastAsia" w:ascii="宋体" w:hAnsi="宋体" w:eastAsia="宋体" w:cs="Tahoma"/>
                <w:kern w:val="0"/>
                <w:sz w:val="22"/>
                <w:szCs w:val="22"/>
              </w:rPr>
              <w:t>（8）支持IPv6过渡技术，IPv4/IPv6双栈；</w:t>
            </w:r>
            <w:r>
              <w:rPr>
                <w:rFonts w:hint="eastAsia" w:ascii="宋体" w:hAnsi="宋体" w:eastAsia="宋体" w:cs="Tahoma"/>
                <w:kern w:val="0"/>
                <w:sz w:val="22"/>
                <w:szCs w:val="22"/>
              </w:rPr>
              <w:br w:type="textWrapping"/>
            </w:r>
            <w:r>
              <w:rPr>
                <w:rFonts w:hint="eastAsia" w:ascii="宋体" w:hAnsi="宋体" w:eastAsia="宋体" w:cs="Tahoma"/>
                <w:kern w:val="0"/>
                <w:sz w:val="22"/>
                <w:szCs w:val="22"/>
              </w:rPr>
              <w:t>（9）配置≥4个千兆电口、≥4个万兆/25G光纤链路端口，≥1块交流电源模块，≥2个万兆850nm多模光纤LC接口模块；</w:t>
            </w:r>
          </w:p>
        </w:tc>
        <w:tc>
          <w:tcPr>
            <w:tcW w:w="920" w:type="dxa"/>
            <w:shd w:val="clear" w:color="auto" w:fill="auto"/>
            <w:vAlign w:val="center"/>
          </w:tcPr>
          <w:p w14:paraId="573B6DF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6057301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w:t>
            </w:r>
          </w:p>
        </w:tc>
      </w:tr>
      <w:tr w14:paraId="2616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00" w:type="dxa"/>
            <w:shd w:val="clear" w:color="auto" w:fill="auto"/>
            <w:vAlign w:val="center"/>
          </w:tcPr>
          <w:p w14:paraId="3F3574EF">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w:t>
            </w:r>
          </w:p>
        </w:tc>
        <w:tc>
          <w:tcPr>
            <w:tcW w:w="1560" w:type="dxa"/>
            <w:shd w:val="clear" w:color="auto" w:fill="auto"/>
            <w:vAlign w:val="center"/>
          </w:tcPr>
          <w:p w14:paraId="0B554974">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外网核心交换机</w:t>
            </w:r>
          </w:p>
        </w:tc>
        <w:tc>
          <w:tcPr>
            <w:tcW w:w="4960" w:type="dxa"/>
            <w:shd w:val="clear" w:color="auto" w:fill="auto"/>
            <w:vAlign w:val="center"/>
          </w:tcPr>
          <w:p w14:paraId="40C66F7E">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（1）交换容量≥19T，包转发速率≥3600Mpps。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（2）产品尺寸适应业界主流机柜安装，要求设备高度≤2U，设备深度≤420mm。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（3）支持并实配1G物理/逻辑接口数≥80个，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（4）支持100G上联，实配QSFP28光接口≥2个 ，兼容40G/25G/10G速率。</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（5）支持具备至少80间房间的千兆入室交换机通过1G以太网光口独享带宽上行到互联接口。</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（6）支持工作波长在1271nm~1571nm范围内的光模块，且各波长之间相互隔离，互不干扰。</w:t>
            </w:r>
            <w:r>
              <w:rPr>
                <w:rFonts w:hint="eastAsia" w:ascii="宋体" w:hAnsi="宋体" w:eastAsia="宋体" w:cs="Tahoma"/>
                <w:kern w:val="0"/>
                <w:sz w:val="22"/>
                <w:szCs w:val="22"/>
              </w:rPr>
              <w:br w:type="textWrapping"/>
            </w:r>
            <w:r>
              <w:rPr>
                <w:rFonts w:hint="eastAsia" w:ascii="宋体" w:hAnsi="宋体" w:eastAsia="宋体" w:cs="Tahoma"/>
                <w:kern w:val="0"/>
                <w:sz w:val="22"/>
                <w:szCs w:val="22"/>
              </w:rPr>
              <w:t>（7）支持支持同时开启802.1X或WEB认证，CPP、ACL、防ARP欺骗等功能不会相互冲突、制约。</w:t>
            </w:r>
            <w:r>
              <w:rPr>
                <w:rFonts w:hint="eastAsia" w:ascii="宋体" w:hAnsi="宋体" w:eastAsia="宋体" w:cs="Tahoma"/>
                <w:kern w:val="0"/>
                <w:sz w:val="22"/>
                <w:szCs w:val="22"/>
              </w:rPr>
              <w:br w:type="textWrapping"/>
            </w:r>
            <w:r>
              <w:rPr>
                <w:rFonts w:hint="eastAsia" w:ascii="宋体" w:hAnsi="宋体" w:eastAsia="宋体" w:cs="Tahoma"/>
                <w:kern w:val="0"/>
                <w:sz w:val="22"/>
                <w:szCs w:val="22"/>
              </w:rPr>
              <w:t>（8）配置：≥4个千兆电口、≥4个万兆/25G光纤链路端口，≥1块交流电源模块，≥2个万兆850nm多模光纤LC接口模块；</w:t>
            </w:r>
          </w:p>
        </w:tc>
        <w:tc>
          <w:tcPr>
            <w:tcW w:w="920" w:type="dxa"/>
            <w:shd w:val="clear" w:color="auto" w:fill="auto"/>
            <w:vAlign w:val="center"/>
          </w:tcPr>
          <w:p w14:paraId="6A2D9B11">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2F937534">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3</w:t>
            </w:r>
          </w:p>
        </w:tc>
      </w:tr>
      <w:tr w14:paraId="5668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00" w:type="dxa"/>
            <w:shd w:val="clear" w:color="auto" w:fill="auto"/>
            <w:vAlign w:val="center"/>
          </w:tcPr>
          <w:p w14:paraId="49A338A4">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3</w:t>
            </w:r>
          </w:p>
        </w:tc>
        <w:tc>
          <w:tcPr>
            <w:tcW w:w="1560" w:type="dxa"/>
            <w:shd w:val="clear" w:color="auto" w:fill="auto"/>
            <w:vAlign w:val="center"/>
          </w:tcPr>
          <w:p w14:paraId="0A207A34">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运维管理组件</w:t>
            </w:r>
          </w:p>
        </w:tc>
        <w:tc>
          <w:tcPr>
            <w:tcW w:w="4960" w:type="dxa"/>
            <w:shd w:val="clear" w:color="auto" w:fill="auto"/>
            <w:vAlign w:val="center"/>
          </w:tcPr>
          <w:p w14:paraId="24E9AD52">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（1）支持整网接入层光纤盒式交换机管理，授权实际可管理设备数≥300；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（2）支持接入层光纤盒式交换机的光纤链路通断检测；</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（3）支持接入层光纤盒式交换机上各类终端的盲插可用；</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（4）支持接入层光纤盒式交换机上各类终端的网络准入审批认证；</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（5）支持接入层光纤盒式交换机环路检测；</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（6）支持接入层光纤盒式交换机新机零配置替换。</w:t>
            </w:r>
          </w:p>
        </w:tc>
        <w:tc>
          <w:tcPr>
            <w:tcW w:w="920" w:type="dxa"/>
            <w:shd w:val="clear" w:color="auto" w:fill="auto"/>
            <w:vAlign w:val="center"/>
          </w:tcPr>
          <w:p w14:paraId="78127FA7">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件</w:t>
            </w:r>
          </w:p>
        </w:tc>
        <w:tc>
          <w:tcPr>
            <w:tcW w:w="900" w:type="dxa"/>
            <w:shd w:val="clear" w:color="auto" w:fill="auto"/>
            <w:vAlign w:val="center"/>
          </w:tcPr>
          <w:p w14:paraId="4DC6397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w:t>
            </w:r>
          </w:p>
        </w:tc>
      </w:tr>
      <w:tr w14:paraId="62A5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0" w:type="dxa"/>
            <w:shd w:val="clear" w:color="auto" w:fill="auto"/>
            <w:vAlign w:val="center"/>
          </w:tcPr>
          <w:p w14:paraId="2AF0D3E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4</w:t>
            </w:r>
          </w:p>
        </w:tc>
        <w:tc>
          <w:tcPr>
            <w:tcW w:w="1560" w:type="dxa"/>
            <w:shd w:val="clear" w:color="auto" w:fill="auto"/>
            <w:vAlign w:val="center"/>
          </w:tcPr>
          <w:p w14:paraId="13B12F98">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无源汇聚设备</w:t>
            </w:r>
          </w:p>
        </w:tc>
        <w:tc>
          <w:tcPr>
            <w:tcW w:w="4960" w:type="dxa"/>
            <w:shd w:val="clear" w:color="auto" w:fill="auto"/>
            <w:vAlign w:val="center"/>
          </w:tcPr>
          <w:p w14:paraId="64B79B90">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（1）提供≥6个波分复用板卡槽位；</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（2）设备完全无源，不需插电即可正常工作；</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（3）支持集中机柜安装、交换设备线槽安装、壁挂等安装方式；</w:t>
            </w:r>
          </w:p>
        </w:tc>
        <w:tc>
          <w:tcPr>
            <w:tcW w:w="920" w:type="dxa"/>
            <w:shd w:val="clear" w:color="auto" w:fill="auto"/>
            <w:vAlign w:val="center"/>
          </w:tcPr>
          <w:p w14:paraId="268E4B72">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4D577861">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9</w:t>
            </w:r>
          </w:p>
        </w:tc>
      </w:tr>
      <w:tr w14:paraId="6571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0" w:type="dxa"/>
            <w:shd w:val="clear" w:color="auto" w:fill="auto"/>
            <w:vAlign w:val="center"/>
          </w:tcPr>
          <w:p w14:paraId="3A287F5F">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5</w:t>
            </w:r>
          </w:p>
        </w:tc>
        <w:tc>
          <w:tcPr>
            <w:tcW w:w="1560" w:type="dxa"/>
            <w:shd w:val="clear" w:color="auto" w:fill="auto"/>
            <w:vAlign w:val="center"/>
          </w:tcPr>
          <w:p w14:paraId="31ADAF7C">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无源光汇聚</w:t>
            </w:r>
          </w:p>
        </w:tc>
        <w:tc>
          <w:tcPr>
            <w:tcW w:w="4960" w:type="dxa"/>
            <w:shd w:val="clear" w:color="auto" w:fill="auto"/>
            <w:vAlign w:val="center"/>
          </w:tcPr>
          <w:p w14:paraId="10DBE429">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（1）各光链路通道应实现物理隔离，无分光。</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（2）支持集中机柜安装、壁挂等安装方式。</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（3）汇聚器件完全无源，无需插电即可正常工作。</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（4）通过服务器可实现设备管理:显示拓扑、端口占用情况、识别设备故障等功能</w:t>
            </w:r>
          </w:p>
        </w:tc>
        <w:tc>
          <w:tcPr>
            <w:tcW w:w="920" w:type="dxa"/>
            <w:shd w:val="clear" w:color="auto" w:fill="auto"/>
            <w:vAlign w:val="center"/>
          </w:tcPr>
          <w:p w14:paraId="5F5D07A9">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项　</w:t>
            </w:r>
          </w:p>
        </w:tc>
        <w:tc>
          <w:tcPr>
            <w:tcW w:w="900" w:type="dxa"/>
            <w:shd w:val="clear" w:color="auto" w:fill="auto"/>
            <w:vAlign w:val="center"/>
          </w:tcPr>
          <w:p w14:paraId="3BB63DC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　1</w:t>
            </w:r>
          </w:p>
        </w:tc>
      </w:tr>
      <w:tr w14:paraId="0CEB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0" w:type="dxa"/>
            <w:shd w:val="clear" w:color="auto" w:fill="auto"/>
            <w:vAlign w:val="center"/>
          </w:tcPr>
          <w:p w14:paraId="60F95C70">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6</w:t>
            </w:r>
          </w:p>
        </w:tc>
        <w:tc>
          <w:tcPr>
            <w:tcW w:w="1560" w:type="dxa"/>
            <w:shd w:val="clear" w:color="auto" w:fill="auto"/>
            <w:vAlign w:val="center"/>
          </w:tcPr>
          <w:p w14:paraId="6A1950B8">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核心侧光模块</w:t>
            </w:r>
          </w:p>
        </w:tc>
        <w:tc>
          <w:tcPr>
            <w:tcW w:w="4960" w:type="dxa"/>
            <w:shd w:val="clear" w:color="auto" w:fill="auto"/>
            <w:vAlign w:val="center"/>
          </w:tcPr>
          <w:p w14:paraId="0A9B8E74">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根据设备数量按需配齐模块。</w:t>
            </w:r>
          </w:p>
          <w:p w14:paraId="16CEEA1B">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传输数率:1.25G~2.5G/s。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传输波长:1271nm~1571nm。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传输距离: ≥10km。端口类型:LC。单块模块可满足≥8个1G速率光模块的逻辑通道接入，其他配置方式可以按照8块千兆单模光模块进行配置。</w:t>
            </w:r>
          </w:p>
        </w:tc>
        <w:tc>
          <w:tcPr>
            <w:tcW w:w="920" w:type="dxa"/>
            <w:shd w:val="clear" w:color="auto" w:fill="auto"/>
            <w:vAlign w:val="center"/>
          </w:tcPr>
          <w:p w14:paraId="5698F1C7">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项　</w:t>
            </w:r>
          </w:p>
        </w:tc>
        <w:tc>
          <w:tcPr>
            <w:tcW w:w="900" w:type="dxa"/>
            <w:shd w:val="clear" w:color="auto" w:fill="auto"/>
            <w:vAlign w:val="center"/>
          </w:tcPr>
          <w:p w14:paraId="56AD76EB">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　1</w:t>
            </w:r>
          </w:p>
        </w:tc>
      </w:tr>
      <w:tr w14:paraId="5A99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700" w:type="dxa"/>
            <w:shd w:val="clear" w:color="auto" w:fill="auto"/>
            <w:vAlign w:val="center"/>
          </w:tcPr>
          <w:p w14:paraId="0FEE0832">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7</w:t>
            </w:r>
          </w:p>
        </w:tc>
        <w:tc>
          <w:tcPr>
            <w:tcW w:w="1560" w:type="dxa"/>
            <w:shd w:val="clear" w:color="auto" w:fill="auto"/>
            <w:vAlign w:val="center"/>
          </w:tcPr>
          <w:p w14:paraId="412B81C8">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接入侧光模块</w:t>
            </w:r>
          </w:p>
        </w:tc>
        <w:tc>
          <w:tcPr>
            <w:tcW w:w="4960" w:type="dxa"/>
            <w:shd w:val="clear" w:color="auto" w:fill="auto"/>
            <w:vAlign w:val="center"/>
          </w:tcPr>
          <w:p w14:paraId="6059B1DD">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根据设备数量按需配齐模块。</w:t>
            </w:r>
          </w:p>
          <w:p w14:paraId="2B5149B2">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传输数率:1.25G~2.5G/s。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传输波长:1271nm~1571nm。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传输距离: ≥10km。端口类型:LC。单块模块可将1271nm~1571nm波长中的两组波长分离为固定的两个传输通道。</w:t>
            </w:r>
          </w:p>
        </w:tc>
        <w:tc>
          <w:tcPr>
            <w:tcW w:w="920" w:type="dxa"/>
            <w:shd w:val="clear" w:color="auto" w:fill="auto"/>
            <w:vAlign w:val="center"/>
          </w:tcPr>
          <w:p w14:paraId="675BA21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项　</w:t>
            </w:r>
          </w:p>
        </w:tc>
        <w:tc>
          <w:tcPr>
            <w:tcW w:w="900" w:type="dxa"/>
            <w:shd w:val="clear" w:color="auto" w:fill="auto"/>
            <w:vAlign w:val="center"/>
          </w:tcPr>
          <w:p w14:paraId="517BB9FE">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　1</w:t>
            </w:r>
          </w:p>
        </w:tc>
      </w:tr>
      <w:tr w14:paraId="7209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700" w:type="dxa"/>
            <w:shd w:val="clear" w:color="auto" w:fill="auto"/>
            <w:vAlign w:val="center"/>
          </w:tcPr>
          <w:p w14:paraId="2FFD4886">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8</w:t>
            </w:r>
          </w:p>
        </w:tc>
        <w:tc>
          <w:tcPr>
            <w:tcW w:w="1560" w:type="dxa"/>
            <w:shd w:val="clear" w:color="auto" w:fill="auto"/>
            <w:vAlign w:val="center"/>
          </w:tcPr>
          <w:p w14:paraId="5F07EE1D">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4口交换机</w:t>
            </w:r>
          </w:p>
        </w:tc>
        <w:tc>
          <w:tcPr>
            <w:tcW w:w="4960" w:type="dxa"/>
            <w:shd w:val="clear" w:color="auto" w:fill="auto"/>
            <w:vAlign w:val="center"/>
          </w:tcPr>
          <w:p w14:paraId="280057C2">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（1）设备自带固化10/100/1000M以太网电口≥4个，1G/2.5G SFP光端口≥1个。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（2）可采用物理隔离的方式进行以太网端口的拓展，实现最大4+2端口拓展，做到双网转发和管理。</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（3）走廊房间房门口上方桥接安放固定，尺寸小需要支持放入400*300*100的标准弱电箱中部署。</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（4）交换容量≥430Gbps，包转发率≥75Mpps。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（5）设备端口具备8KV的防雷能力。</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（6）设备如果出现故障，替换用的新设备支持智能零替换。支持自适应不同型号间的设备替换，以及替换后新设备支持终端在任意端口接入；</w:t>
            </w:r>
          </w:p>
        </w:tc>
        <w:tc>
          <w:tcPr>
            <w:tcW w:w="920" w:type="dxa"/>
            <w:shd w:val="clear" w:color="auto" w:fill="auto"/>
            <w:vAlign w:val="center"/>
          </w:tcPr>
          <w:p w14:paraId="7C1AE896">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0592FAC3">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　372　</w:t>
            </w:r>
          </w:p>
        </w:tc>
      </w:tr>
      <w:tr w14:paraId="75FE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700" w:type="dxa"/>
            <w:shd w:val="clear" w:color="auto" w:fill="auto"/>
            <w:vAlign w:val="center"/>
          </w:tcPr>
          <w:p w14:paraId="2C9B2A86">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9</w:t>
            </w:r>
          </w:p>
        </w:tc>
        <w:tc>
          <w:tcPr>
            <w:tcW w:w="1560" w:type="dxa"/>
            <w:shd w:val="clear" w:color="auto" w:fill="auto"/>
            <w:vAlign w:val="center"/>
          </w:tcPr>
          <w:p w14:paraId="011674C7">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8口交换机</w:t>
            </w:r>
          </w:p>
        </w:tc>
        <w:tc>
          <w:tcPr>
            <w:tcW w:w="4960" w:type="dxa"/>
            <w:shd w:val="clear" w:color="auto" w:fill="auto"/>
            <w:vAlign w:val="center"/>
          </w:tcPr>
          <w:p w14:paraId="3C0EFD20">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（1）固化10/100/1000M以太网电口8个，1G/2.5G SFP光接口1个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（2）交换容量≥429Gbps，包转发率≥79Mpps；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（3）设备采用金属外壳和金属网口设计。</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（4）支持端口浪涌抗扰度≥8KV（即具备8KV的防雷能力）。</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（5）支持针对CPU的保护机制，能够针对发往CPU处理的各种报文进行流区分和优先级队列分级处理，保护交换机在各种环境下稳定工作</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（6）支持通过WEB可视化界面配置交换机</w:t>
            </w:r>
            <w:r>
              <w:rPr>
                <w:rFonts w:hint="eastAsia" w:ascii="宋体" w:hAnsi="宋体" w:eastAsia="宋体" w:cs="Tahoma"/>
                <w:kern w:val="0"/>
                <w:sz w:val="22"/>
                <w:szCs w:val="22"/>
              </w:rPr>
              <w:br w:type="textWrapping"/>
            </w:r>
            <w:r>
              <w:rPr>
                <w:rFonts w:hint="eastAsia" w:ascii="宋体" w:hAnsi="宋体" w:eastAsia="宋体" w:cs="Tahoma"/>
                <w:kern w:val="0"/>
                <w:sz w:val="22"/>
                <w:szCs w:val="22"/>
              </w:rPr>
              <w:t>（7）室内交换机支持零配置上线。根据不同区域的业务创建相应业务模板后，绑定设备区域位置信息，设备开箱上电后配置即可自动从软件下发，无需在接入设备端刷入配置；</w:t>
            </w:r>
          </w:p>
        </w:tc>
        <w:tc>
          <w:tcPr>
            <w:tcW w:w="920" w:type="dxa"/>
            <w:shd w:val="clear" w:color="auto" w:fill="auto"/>
            <w:vAlign w:val="center"/>
          </w:tcPr>
          <w:p w14:paraId="69DE74A2">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40374297">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　22</w:t>
            </w:r>
          </w:p>
        </w:tc>
      </w:tr>
      <w:tr w14:paraId="36D2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trPr>
        <w:tc>
          <w:tcPr>
            <w:tcW w:w="700" w:type="dxa"/>
            <w:shd w:val="clear" w:color="auto" w:fill="auto"/>
            <w:vAlign w:val="center"/>
          </w:tcPr>
          <w:p w14:paraId="283B96BF">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10</w:t>
            </w:r>
          </w:p>
        </w:tc>
        <w:tc>
          <w:tcPr>
            <w:tcW w:w="1560" w:type="dxa"/>
            <w:shd w:val="clear" w:color="auto" w:fill="auto"/>
            <w:vAlign w:val="center"/>
          </w:tcPr>
          <w:p w14:paraId="62C4C82B">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16口交换机</w:t>
            </w:r>
          </w:p>
        </w:tc>
        <w:tc>
          <w:tcPr>
            <w:tcW w:w="4960" w:type="dxa"/>
            <w:shd w:val="clear" w:color="auto" w:fill="auto"/>
            <w:vAlign w:val="center"/>
          </w:tcPr>
          <w:p w14:paraId="160D6AE4">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（1）设备自带固化10/100/1000M以太网电口≥16个，100M/1Gbps SFP光端口≥2个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（2）尺寸支持放入400*300*100的标准弱电箱中部署。</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（3）交换容量≥430Gbps，包转发率≥80Mpps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（4）设备是金属外壳和金属网口设计避免外界无线电磁干扰。</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（5）方便更换部署，设备需要支持零配置上线，可根据不同区域的业务创建相应业务模板后，绑定设备区域位置信息，设备开箱上电后配置即可自动从软件下发，无需在接入设备端刷入配置。</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（6）支持替换用的新设备的零配置替换，新设备上电后配置自动下发，无需手动配置。</w:t>
            </w:r>
            <w:r>
              <w:rPr>
                <w:rFonts w:hint="eastAsia" w:ascii="宋体" w:hAnsi="宋体" w:eastAsia="宋体" w:cs="Tahoma"/>
                <w:kern w:val="0"/>
                <w:sz w:val="22"/>
                <w:szCs w:val="22"/>
              </w:rPr>
              <w:br w:type="textWrapping"/>
            </w:r>
            <w:r>
              <w:rPr>
                <w:rFonts w:hint="eastAsia" w:ascii="宋体" w:hAnsi="宋体" w:eastAsia="宋体" w:cs="Tahoma"/>
                <w:kern w:val="0"/>
                <w:sz w:val="22"/>
                <w:szCs w:val="22"/>
              </w:rPr>
              <w:t>（7）具有光模块与光链路运维检测与故障告警，拓扑中可呈现并查看详细信息。</w:t>
            </w:r>
          </w:p>
        </w:tc>
        <w:tc>
          <w:tcPr>
            <w:tcW w:w="920" w:type="dxa"/>
            <w:shd w:val="clear" w:color="auto" w:fill="auto"/>
            <w:vAlign w:val="center"/>
          </w:tcPr>
          <w:p w14:paraId="45950B4E">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0D1459F9">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4</w:t>
            </w:r>
          </w:p>
        </w:tc>
      </w:tr>
      <w:tr w14:paraId="7C91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40" w:type="dxa"/>
            <w:gridSpan w:val="5"/>
            <w:shd w:val="clear" w:color="auto" w:fill="auto"/>
            <w:vAlign w:val="center"/>
          </w:tcPr>
          <w:p w14:paraId="4A53BB48">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二、新建大楼内网无线部分</w:t>
            </w:r>
          </w:p>
        </w:tc>
      </w:tr>
      <w:tr w14:paraId="4A771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00" w:type="dxa"/>
            <w:shd w:val="clear" w:color="auto" w:fill="auto"/>
            <w:vAlign w:val="center"/>
          </w:tcPr>
          <w:p w14:paraId="61455B67">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w:t>
            </w:r>
          </w:p>
        </w:tc>
        <w:tc>
          <w:tcPr>
            <w:tcW w:w="1560" w:type="dxa"/>
            <w:shd w:val="clear" w:color="auto" w:fill="auto"/>
            <w:vAlign w:val="center"/>
          </w:tcPr>
          <w:p w14:paraId="59536439">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汇聚交换机</w:t>
            </w:r>
          </w:p>
        </w:tc>
        <w:tc>
          <w:tcPr>
            <w:tcW w:w="4960" w:type="dxa"/>
            <w:shd w:val="clear" w:color="auto" w:fill="auto"/>
            <w:vAlign w:val="center"/>
          </w:tcPr>
          <w:p w14:paraId="78C59678">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（1）固化100/1000M SFP光接口≥24，10G/1G SFP+光接口≥4个。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（2）交换容量≥670Gbps。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（3）转发性能≥170Mpps。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（4）支持并实配可拔插双模块化电源实现1+1冗余，单电源功率≥70W。</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（5）设备支持抗电网波动能力。</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（6）支持RIP/RIPng、OSPFv2/OSPFv3等三层路由协议。</w:t>
            </w:r>
          </w:p>
        </w:tc>
        <w:tc>
          <w:tcPr>
            <w:tcW w:w="920" w:type="dxa"/>
            <w:shd w:val="clear" w:color="auto" w:fill="auto"/>
            <w:vAlign w:val="center"/>
          </w:tcPr>
          <w:p w14:paraId="6E34D090">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20FA1AAF">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5</w:t>
            </w:r>
          </w:p>
        </w:tc>
      </w:tr>
      <w:tr w14:paraId="5AAC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700" w:type="dxa"/>
            <w:shd w:val="clear" w:color="auto" w:fill="auto"/>
            <w:vAlign w:val="center"/>
          </w:tcPr>
          <w:p w14:paraId="3534914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w:t>
            </w:r>
          </w:p>
        </w:tc>
        <w:tc>
          <w:tcPr>
            <w:tcW w:w="1560" w:type="dxa"/>
            <w:shd w:val="clear" w:color="auto" w:fill="auto"/>
            <w:vAlign w:val="center"/>
          </w:tcPr>
          <w:p w14:paraId="7BFC7B47">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24口POE交换机</w:t>
            </w:r>
          </w:p>
        </w:tc>
        <w:tc>
          <w:tcPr>
            <w:tcW w:w="4960" w:type="dxa"/>
            <w:shd w:val="clear" w:color="auto" w:fill="auto"/>
            <w:vAlign w:val="center"/>
          </w:tcPr>
          <w:p w14:paraId="5C67F374">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（1）固化10/100/1000M以太网端口≥24个，固化1G SFP光接口≥4个。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（2）支持POE和POE+,同时可POE供电端口≥24个，POE最大输出功率≥370W。</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（3）交换容量≥333G。</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（4）包转发率≥50Mpps。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（5）设备MAC地址≥16K。</w:t>
            </w:r>
          </w:p>
        </w:tc>
        <w:tc>
          <w:tcPr>
            <w:tcW w:w="920" w:type="dxa"/>
            <w:shd w:val="clear" w:color="auto" w:fill="auto"/>
            <w:vAlign w:val="center"/>
          </w:tcPr>
          <w:p w14:paraId="6B502707">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27FA97CB">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7</w:t>
            </w:r>
          </w:p>
        </w:tc>
      </w:tr>
      <w:tr w14:paraId="1E8B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0" w:type="dxa"/>
            <w:shd w:val="clear" w:color="auto" w:fill="auto"/>
            <w:vAlign w:val="center"/>
          </w:tcPr>
          <w:p w14:paraId="41703B3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3</w:t>
            </w:r>
          </w:p>
        </w:tc>
        <w:tc>
          <w:tcPr>
            <w:tcW w:w="1560" w:type="dxa"/>
            <w:shd w:val="clear" w:color="auto" w:fill="auto"/>
            <w:vAlign w:val="center"/>
          </w:tcPr>
          <w:p w14:paraId="2818EA14">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8口POE交换机</w:t>
            </w:r>
          </w:p>
        </w:tc>
        <w:tc>
          <w:tcPr>
            <w:tcW w:w="4960" w:type="dxa"/>
            <w:shd w:val="clear" w:color="auto" w:fill="auto"/>
            <w:vAlign w:val="center"/>
          </w:tcPr>
          <w:p w14:paraId="714914E2">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（1）设备固化10/100/1000M以太网电口≥10，1000M/2.5G SFP千兆光接口≥2个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（2）交换容量≥335Gbps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（3）包转发率≥30Mpps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（4）支持POE和POE+同时可POE供电端口≥8个，POE最大输出功率≥125W，PoE满载下整机最大功耗141W。</w:t>
            </w:r>
          </w:p>
        </w:tc>
        <w:tc>
          <w:tcPr>
            <w:tcW w:w="920" w:type="dxa"/>
            <w:shd w:val="clear" w:color="auto" w:fill="auto"/>
            <w:vAlign w:val="center"/>
          </w:tcPr>
          <w:p w14:paraId="25E65F6D">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5C9A4851">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4</w:t>
            </w:r>
          </w:p>
        </w:tc>
      </w:tr>
      <w:tr w14:paraId="21ED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700" w:type="dxa"/>
            <w:shd w:val="clear" w:color="auto" w:fill="auto"/>
            <w:vAlign w:val="center"/>
          </w:tcPr>
          <w:p w14:paraId="4B774F21">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4</w:t>
            </w:r>
          </w:p>
        </w:tc>
        <w:tc>
          <w:tcPr>
            <w:tcW w:w="1560" w:type="dxa"/>
            <w:shd w:val="clear" w:color="auto" w:fill="auto"/>
            <w:vAlign w:val="center"/>
          </w:tcPr>
          <w:p w14:paraId="4B4FA06E">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放装AP</w:t>
            </w:r>
          </w:p>
        </w:tc>
        <w:tc>
          <w:tcPr>
            <w:tcW w:w="4960" w:type="dxa"/>
            <w:shd w:val="clear" w:color="auto" w:fill="auto"/>
            <w:vAlign w:val="center"/>
          </w:tcPr>
          <w:p w14:paraId="216503E9">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（1）支持802.11ax协议；整机支持≥4条空间流；整机最大无线速率≥2.97Gbps。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（2）内置蓝牙。</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（3）至少支持1个1000M自适应以太网端口；至少支持1个2.5G SFP光口。</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（4）为快速建立高度隔离的安全网络，设备应支持实现AP虚拟化功能，实现一台AP虚拟为多台AP，分别受不同AC设备独立管理，互不影响。不同虚拟AP之间数据隔离，虚拟AP在AC上不占用AP License。</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（5）为避免无线网络中私接非法AP，所投AP应支持非法AP检测及反制功能。</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（6）为避免无线网络中私接非法AP的影响，设备应支持802.11w防御Deauth攻击功能，保证终端正常关联使用。</w:t>
            </w:r>
          </w:p>
        </w:tc>
        <w:tc>
          <w:tcPr>
            <w:tcW w:w="920" w:type="dxa"/>
            <w:shd w:val="clear" w:color="auto" w:fill="auto"/>
            <w:vAlign w:val="center"/>
          </w:tcPr>
          <w:p w14:paraId="565AB93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4DFA5B2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64</w:t>
            </w:r>
          </w:p>
        </w:tc>
      </w:tr>
      <w:tr w14:paraId="22B4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700" w:type="dxa"/>
            <w:shd w:val="clear" w:color="auto" w:fill="auto"/>
            <w:vAlign w:val="center"/>
          </w:tcPr>
          <w:p w14:paraId="3275D293">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5</w:t>
            </w:r>
          </w:p>
        </w:tc>
        <w:tc>
          <w:tcPr>
            <w:tcW w:w="1560" w:type="dxa"/>
            <w:shd w:val="clear" w:color="auto" w:fill="auto"/>
            <w:vAlign w:val="center"/>
          </w:tcPr>
          <w:p w14:paraId="6083E210">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室内信号分布基站系统</w:t>
            </w:r>
          </w:p>
        </w:tc>
        <w:tc>
          <w:tcPr>
            <w:tcW w:w="4960" w:type="dxa"/>
            <w:shd w:val="clear" w:color="auto" w:fill="auto"/>
            <w:vAlign w:val="center"/>
          </w:tcPr>
          <w:p w14:paraId="5D6E05F9">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（1）10/100/1000Base-T自适应以太网接口≥1个，10/100/1000Base-T自适应以太网电口≥1个，RJ45的Console接口≥1个。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（2）支持IEEE802.11 a/b/g/n/ac/ax协议。</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（3）部署方式：基于射频天馈技术，单基站AP通过链接其他配件可至少为40个独立的20平米左右的房间提供信号覆盖，确保无线网络具备较高的覆盖能力。</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（4）WiFi射频信号输出接口：≥8个。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（5）支持天馈链路检测。</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（6）无线信号强度≥-65dBm。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（7）为保障医院移动医护业务不中断，设备需支持冗余备份，负载均衡，sta接入设备后，设备重启，sta可以快速切换关联到备份，网络通信丢包≤1个。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（10）支持802.11i，WEP, Dynamic WEP, WPA-PSK，WPA2-PSK，WPA, WPA2。</w:t>
            </w:r>
            <w:r>
              <w:rPr>
                <w:rFonts w:hint="eastAsia" w:ascii="宋体" w:hAnsi="宋体" w:eastAsia="宋体" w:cs="Tahoma"/>
                <w:kern w:val="0"/>
                <w:sz w:val="22"/>
                <w:szCs w:val="22"/>
              </w:rPr>
              <w:br w:type="textWrapping"/>
            </w:r>
            <w:r>
              <w:rPr>
                <w:rFonts w:hint="eastAsia" w:ascii="宋体" w:hAnsi="宋体" w:eastAsia="宋体" w:cs="Tahoma"/>
                <w:kern w:val="0"/>
                <w:sz w:val="22"/>
                <w:szCs w:val="22"/>
              </w:rPr>
              <w:t>（11）整机最大无线接入速率≥3.576Gbps。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（12）天线配置：每个病房及医护办公室至少安装1个无线天线，整体目标区域应铺设至少168个无线天线，楼层基站和天线设备数量及汇总数量按照招标清单设备数量要求。</w:t>
            </w:r>
            <w:r>
              <w:rPr>
                <w:rFonts w:hint="eastAsia" w:ascii="宋体" w:hAnsi="宋体" w:eastAsia="宋体" w:cs="Tahoma"/>
                <w:kern w:val="0"/>
                <w:sz w:val="22"/>
                <w:szCs w:val="22"/>
              </w:rPr>
              <w:br w:type="textWrapping"/>
            </w:r>
            <w:r>
              <w:rPr>
                <w:rFonts w:hint="eastAsia" w:ascii="宋体" w:hAnsi="宋体" w:eastAsia="宋体" w:cs="Tahoma"/>
                <w:kern w:val="0"/>
                <w:sz w:val="22"/>
                <w:szCs w:val="22"/>
              </w:rPr>
              <w:t>（13）室内信号分布基站信号稳定性：STA在同一病区病房之间移动中测试ping 10000字节的包，丢包率为≤0.1%。</w:t>
            </w:r>
          </w:p>
        </w:tc>
        <w:tc>
          <w:tcPr>
            <w:tcW w:w="920" w:type="dxa"/>
            <w:shd w:val="clear" w:color="auto" w:fill="auto"/>
            <w:vAlign w:val="center"/>
          </w:tcPr>
          <w:p w14:paraId="107DBC2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772C2114">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4</w:t>
            </w:r>
          </w:p>
        </w:tc>
      </w:tr>
      <w:tr w14:paraId="5B67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700" w:type="dxa"/>
            <w:shd w:val="clear" w:color="auto" w:fill="auto"/>
            <w:vAlign w:val="center"/>
          </w:tcPr>
          <w:p w14:paraId="639B9524">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6</w:t>
            </w:r>
          </w:p>
        </w:tc>
        <w:tc>
          <w:tcPr>
            <w:tcW w:w="1560" w:type="dxa"/>
            <w:shd w:val="clear" w:color="auto" w:fill="auto"/>
            <w:vAlign w:val="center"/>
          </w:tcPr>
          <w:p w14:paraId="015FC565">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射频信号分配系统</w:t>
            </w:r>
          </w:p>
        </w:tc>
        <w:tc>
          <w:tcPr>
            <w:tcW w:w="4960" w:type="dxa"/>
            <w:shd w:val="clear" w:color="auto" w:fill="auto"/>
            <w:vAlign w:val="center"/>
          </w:tcPr>
          <w:p w14:paraId="1B2EDC05">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（1）上行接口：5G电口≥1个，千兆光口≥1个，千兆电口≥1个；下行接口：IOT物联网接口≥6个。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（2）内置AP工作频段2.4G/5G，支持2.4G 11ax，5G 11ax 。</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（3）整机最大无线接入速率≥2.6885Gbps。</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（5）接口形式：SMA型射频输入接口≥1个，SMA型射频输出接口≥12个。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（6）射频信号接口具备天馈链路检测功能。</w:t>
            </w:r>
            <w:r>
              <w:rPr>
                <w:rFonts w:hint="eastAsia" w:ascii="宋体" w:hAnsi="宋体" w:eastAsia="宋体" w:cs="Tahoma"/>
                <w:kern w:val="0"/>
                <w:sz w:val="22"/>
                <w:szCs w:val="22"/>
              </w:rPr>
              <w:br w:type="textWrapping"/>
            </w:r>
            <w:r>
              <w:rPr>
                <w:rFonts w:hint="eastAsia" w:ascii="宋体" w:hAnsi="宋体" w:eastAsia="宋体" w:cs="Tahoma"/>
                <w:kern w:val="0"/>
                <w:sz w:val="22"/>
                <w:szCs w:val="22"/>
              </w:rPr>
              <w:t>（7）内置AP功能可不依赖基站通过馈线天线实现双频802.11ax信号覆盖。</w:t>
            </w:r>
          </w:p>
        </w:tc>
        <w:tc>
          <w:tcPr>
            <w:tcW w:w="920" w:type="dxa"/>
            <w:shd w:val="clear" w:color="auto" w:fill="auto"/>
            <w:vAlign w:val="center"/>
          </w:tcPr>
          <w:p w14:paraId="43988536">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7993E06E">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28</w:t>
            </w:r>
          </w:p>
        </w:tc>
      </w:tr>
      <w:tr w14:paraId="7095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0" w:type="dxa"/>
            <w:shd w:val="clear" w:color="auto" w:fill="auto"/>
            <w:vAlign w:val="center"/>
          </w:tcPr>
          <w:p w14:paraId="7F671D4A">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7</w:t>
            </w:r>
          </w:p>
        </w:tc>
        <w:tc>
          <w:tcPr>
            <w:tcW w:w="1560" w:type="dxa"/>
            <w:shd w:val="clear" w:color="auto" w:fill="auto"/>
            <w:vAlign w:val="center"/>
          </w:tcPr>
          <w:p w14:paraId="2B32AA15">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美化天线</w:t>
            </w:r>
          </w:p>
        </w:tc>
        <w:tc>
          <w:tcPr>
            <w:tcW w:w="4960" w:type="dxa"/>
            <w:shd w:val="clear" w:color="auto" w:fill="auto"/>
            <w:vAlign w:val="center"/>
          </w:tcPr>
          <w:p w14:paraId="7EBD5727">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外观圆形。吊顶安装。</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尺寸（直径×高，毫米）≤150×40。工作频段（MHz）：2400-2500MHz&amp;5150-5850MHz。</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工作温度：-10°C～45°C。</w:t>
            </w:r>
          </w:p>
        </w:tc>
        <w:tc>
          <w:tcPr>
            <w:tcW w:w="920" w:type="dxa"/>
            <w:shd w:val="clear" w:color="auto" w:fill="auto"/>
            <w:vAlign w:val="center"/>
          </w:tcPr>
          <w:p w14:paraId="1A073C3B">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台</w:t>
            </w:r>
          </w:p>
        </w:tc>
        <w:tc>
          <w:tcPr>
            <w:tcW w:w="900" w:type="dxa"/>
            <w:shd w:val="clear" w:color="auto" w:fill="auto"/>
            <w:vAlign w:val="center"/>
          </w:tcPr>
          <w:p w14:paraId="7A2B95ED">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168</w:t>
            </w:r>
          </w:p>
        </w:tc>
      </w:tr>
      <w:tr w14:paraId="297C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0" w:type="dxa"/>
            <w:shd w:val="clear" w:color="auto" w:fill="auto"/>
            <w:vAlign w:val="center"/>
          </w:tcPr>
          <w:p w14:paraId="74C296E4">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8</w:t>
            </w:r>
          </w:p>
        </w:tc>
        <w:tc>
          <w:tcPr>
            <w:tcW w:w="1560" w:type="dxa"/>
            <w:shd w:val="clear" w:color="auto" w:fill="auto"/>
            <w:vAlign w:val="center"/>
          </w:tcPr>
          <w:p w14:paraId="31079E1C">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干路馈线-18米</w:t>
            </w:r>
          </w:p>
        </w:tc>
        <w:tc>
          <w:tcPr>
            <w:tcW w:w="4960" w:type="dxa"/>
            <w:shd w:val="clear" w:color="auto" w:fill="auto"/>
            <w:vAlign w:val="center"/>
          </w:tcPr>
          <w:p w14:paraId="13BFDDE8">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阻抗≥50欧姆。</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接口：SMA-J(反）&amp;SMA-J（反）。</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弯曲半径≥50MM。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工作频段(MHz)：0~6000。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工作温度：-10℃~+55℃。</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存储温度：-40℃~+70℃。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长度≥18米</w:t>
            </w:r>
          </w:p>
        </w:tc>
        <w:tc>
          <w:tcPr>
            <w:tcW w:w="920" w:type="dxa"/>
            <w:shd w:val="clear" w:color="auto" w:fill="auto"/>
            <w:vAlign w:val="center"/>
          </w:tcPr>
          <w:p w14:paraId="06588960">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套</w:t>
            </w:r>
          </w:p>
        </w:tc>
        <w:tc>
          <w:tcPr>
            <w:tcW w:w="900" w:type="dxa"/>
            <w:shd w:val="clear" w:color="auto" w:fill="auto"/>
            <w:vAlign w:val="center"/>
          </w:tcPr>
          <w:p w14:paraId="60388F6F">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12</w:t>
            </w:r>
          </w:p>
        </w:tc>
      </w:tr>
      <w:tr w14:paraId="5459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0" w:type="dxa"/>
            <w:shd w:val="clear" w:color="auto" w:fill="auto"/>
            <w:vAlign w:val="center"/>
          </w:tcPr>
          <w:p w14:paraId="19043A9A">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9</w:t>
            </w:r>
          </w:p>
        </w:tc>
        <w:tc>
          <w:tcPr>
            <w:tcW w:w="1560" w:type="dxa"/>
            <w:shd w:val="clear" w:color="auto" w:fill="auto"/>
            <w:vAlign w:val="center"/>
          </w:tcPr>
          <w:p w14:paraId="2BD36490">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干路馈线-35米</w:t>
            </w:r>
          </w:p>
        </w:tc>
        <w:tc>
          <w:tcPr>
            <w:tcW w:w="4960" w:type="dxa"/>
            <w:shd w:val="clear" w:color="auto" w:fill="auto"/>
            <w:vAlign w:val="center"/>
          </w:tcPr>
          <w:p w14:paraId="472528E1">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阻抗≥50欧姆。</w:t>
            </w:r>
            <w:r>
              <w:rPr>
                <w:rFonts w:hint="eastAsia" w:ascii="宋体" w:hAnsi="宋体" w:eastAsia="宋体" w:cs="Tahoma"/>
                <w:kern w:val="0"/>
                <w:sz w:val="22"/>
                <w:szCs w:val="22"/>
              </w:rPr>
              <w:br w:type="textWrapping"/>
            </w:r>
            <w:r>
              <w:rPr>
                <w:rFonts w:hint="eastAsia" w:ascii="宋体" w:hAnsi="宋体" w:eastAsia="宋体" w:cs="Tahoma"/>
                <w:kern w:val="0"/>
                <w:sz w:val="22"/>
                <w:szCs w:val="22"/>
              </w:rPr>
              <w:t>接口：SMA-J(反）&amp;SMA-J（反）。</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弯曲半径≥50MM。</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工作频段(MHz)：0~6000。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工作温度：-10℃~+55℃。</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存储温度：-40℃~+70℃。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长度≥35米</w:t>
            </w:r>
          </w:p>
        </w:tc>
        <w:tc>
          <w:tcPr>
            <w:tcW w:w="920" w:type="dxa"/>
            <w:shd w:val="clear" w:color="auto" w:fill="auto"/>
            <w:vAlign w:val="center"/>
          </w:tcPr>
          <w:p w14:paraId="0FF53B3A">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套</w:t>
            </w:r>
          </w:p>
        </w:tc>
        <w:tc>
          <w:tcPr>
            <w:tcW w:w="900" w:type="dxa"/>
            <w:shd w:val="clear" w:color="auto" w:fill="auto"/>
            <w:vAlign w:val="center"/>
          </w:tcPr>
          <w:p w14:paraId="03AB4B58">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16</w:t>
            </w:r>
          </w:p>
        </w:tc>
      </w:tr>
      <w:tr w14:paraId="2E33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0" w:type="dxa"/>
            <w:shd w:val="clear" w:color="auto" w:fill="auto"/>
            <w:vAlign w:val="center"/>
          </w:tcPr>
          <w:p w14:paraId="30C3B5AF">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10</w:t>
            </w:r>
          </w:p>
        </w:tc>
        <w:tc>
          <w:tcPr>
            <w:tcW w:w="1560" w:type="dxa"/>
            <w:shd w:val="clear" w:color="auto" w:fill="auto"/>
            <w:vAlign w:val="center"/>
          </w:tcPr>
          <w:p w14:paraId="2E17F87A">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支路馈线-10米</w:t>
            </w:r>
          </w:p>
        </w:tc>
        <w:tc>
          <w:tcPr>
            <w:tcW w:w="4960" w:type="dxa"/>
            <w:shd w:val="clear" w:color="auto" w:fill="auto"/>
            <w:vAlign w:val="center"/>
          </w:tcPr>
          <w:p w14:paraId="29E786FA">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接口：RP-SMA-J&amp;RP-SMA-K。</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工作频段(MHz)：0~6000。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工作温度：-10℃~+55℃。</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存储温度：-40℃~+70℃。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长度≥10米</w:t>
            </w:r>
          </w:p>
        </w:tc>
        <w:tc>
          <w:tcPr>
            <w:tcW w:w="920" w:type="dxa"/>
            <w:shd w:val="clear" w:color="auto" w:fill="auto"/>
            <w:vAlign w:val="center"/>
          </w:tcPr>
          <w:p w14:paraId="6EB2D52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套</w:t>
            </w:r>
          </w:p>
        </w:tc>
        <w:tc>
          <w:tcPr>
            <w:tcW w:w="900" w:type="dxa"/>
            <w:shd w:val="clear" w:color="auto" w:fill="auto"/>
            <w:vAlign w:val="center"/>
          </w:tcPr>
          <w:p w14:paraId="7AFAFD8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84</w:t>
            </w:r>
          </w:p>
        </w:tc>
      </w:tr>
      <w:tr w14:paraId="239C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0" w:type="dxa"/>
            <w:shd w:val="clear" w:color="auto" w:fill="auto"/>
            <w:vAlign w:val="center"/>
          </w:tcPr>
          <w:p w14:paraId="6EC52ABD">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11</w:t>
            </w:r>
          </w:p>
        </w:tc>
        <w:tc>
          <w:tcPr>
            <w:tcW w:w="1560" w:type="dxa"/>
            <w:shd w:val="clear" w:color="auto" w:fill="auto"/>
            <w:vAlign w:val="center"/>
          </w:tcPr>
          <w:p w14:paraId="4594DB58">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支路馈线-15米</w:t>
            </w:r>
          </w:p>
        </w:tc>
        <w:tc>
          <w:tcPr>
            <w:tcW w:w="4960" w:type="dxa"/>
            <w:shd w:val="clear" w:color="auto" w:fill="auto"/>
            <w:vAlign w:val="center"/>
          </w:tcPr>
          <w:p w14:paraId="6E737406">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接口：RP-SMA-J&amp;RP-SMA-K。</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工作频段(MHz)：0~6000。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工作温度：-10℃~+55℃。</w:t>
            </w:r>
            <w:r>
              <w:rPr>
                <w:rFonts w:hint="eastAsia" w:ascii="宋体" w:hAnsi="宋体" w:eastAsia="宋体" w:cs="Tahoma"/>
                <w:kern w:val="0"/>
                <w:sz w:val="22"/>
                <w:szCs w:val="22"/>
              </w:rPr>
              <w:br w:type="textWrapping"/>
            </w:r>
            <w:r>
              <w:rPr>
                <w:rFonts w:hint="eastAsia" w:ascii="宋体" w:hAnsi="宋体" w:eastAsia="宋体" w:cs="Tahoma"/>
                <w:kern w:val="0"/>
                <w:sz w:val="22"/>
                <w:szCs w:val="22"/>
              </w:rPr>
              <w:t>存储温度：-40℃~+70℃。</w:t>
            </w:r>
            <w:r>
              <w:rPr>
                <w:rFonts w:hint="eastAsia" w:ascii="宋体" w:hAnsi="宋体" w:eastAsia="宋体" w:cs="Tahoma"/>
                <w:kern w:val="0"/>
                <w:sz w:val="22"/>
                <w:szCs w:val="22"/>
              </w:rPr>
              <w:br w:type="textWrapping"/>
            </w:r>
            <w:r>
              <w:rPr>
                <w:rFonts w:hint="eastAsia" w:ascii="宋体" w:hAnsi="宋体" w:eastAsia="宋体" w:cs="Tahoma"/>
                <w:kern w:val="0"/>
                <w:sz w:val="22"/>
                <w:szCs w:val="22"/>
              </w:rPr>
              <w:t>长度≥15米</w:t>
            </w:r>
          </w:p>
        </w:tc>
        <w:tc>
          <w:tcPr>
            <w:tcW w:w="920" w:type="dxa"/>
            <w:shd w:val="clear" w:color="auto" w:fill="auto"/>
            <w:vAlign w:val="center"/>
          </w:tcPr>
          <w:p w14:paraId="513126AF">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套</w:t>
            </w:r>
          </w:p>
        </w:tc>
        <w:tc>
          <w:tcPr>
            <w:tcW w:w="900" w:type="dxa"/>
            <w:shd w:val="clear" w:color="auto" w:fill="auto"/>
            <w:vAlign w:val="center"/>
          </w:tcPr>
          <w:p w14:paraId="2AD73D85">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84</w:t>
            </w:r>
          </w:p>
        </w:tc>
      </w:tr>
      <w:tr w14:paraId="77E1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700" w:type="dxa"/>
            <w:shd w:val="clear" w:color="auto" w:fill="auto"/>
            <w:vAlign w:val="center"/>
          </w:tcPr>
          <w:p w14:paraId="23F2FBA1">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12</w:t>
            </w:r>
          </w:p>
        </w:tc>
        <w:tc>
          <w:tcPr>
            <w:tcW w:w="1560" w:type="dxa"/>
            <w:shd w:val="clear" w:color="auto" w:fill="auto"/>
            <w:vAlign w:val="center"/>
          </w:tcPr>
          <w:p w14:paraId="1D772DEF">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无线AC</w:t>
            </w:r>
          </w:p>
        </w:tc>
        <w:tc>
          <w:tcPr>
            <w:tcW w:w="4960" w:type="dxa"/>
            <w:shd w:val="clear" w:color="auto" w:fill="auto"/>
            <w:vAlign w:val="center"/>
          </w:tcPr>
          <w:p w14:paraId="24B7BCB7">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（1）默认可管理AP数≥32个，最大可支持管理320个AP。</w:t>
            </w:r>
            <w:r>
              <w:rPr>
                <w:rFonts w:hint="eastAsia" w:ascii="宋体" w:hAnsi="宋体" w:eastAsia="宋体" w:cs="Tahoma"/>
                <w:kern w:val="0"/>
                <w:sz w:val="22"/>
                <w:szCs w:val="22"/>
              </w:rPr>
              <w:br w:type="textWrapping"/>
            </w:r>
            <w:r>
              <w:rPr>
                <w:rFonts w:hint="eastAsia" w:ascii="宋体" w:hAnsi="宋体" w:eastAsia="宋体" w:cs="Tahoma"/>
                <w:kern w:val="0"/>
                <w:sz w:val="22"/>
                <w:szCs w:val="22"/>
              </w:rPr>
              <w:t>（2）802.11转发性能≥8G 。</w:t>
            </w:r>
            <w:r>
              <w:rPr>
                <w:rFonts w:hint="eastAsia" w:ascii="宋体" w:hAnsi="宋体" w:eastAsia="宋体" w:cs="Tahoma"/>
                <w:kern w:val="0"/>
                <w:sz w:val="22"/>
                <w:szCs w:val="22"/>
              </w:rPr>
              <w:br w:type="textWrapping"/>
            </w:r>
            <w:r>
              <w:rPr>
                <w:rFonts w:hint="eastAsia" w:ascii="宋体" w:hAnsi="宋体" w:eastAsia="宋体" w:cs="Tahoma"/>
                <w:kern w:val="0"/>
                <w:sz w:val="22"/>
                <w:szCs w:val="22"/>
              </w:rPr>
              <w:t>（3）固化千兆电口数≥8；固化千兆光口数≥2个。</w:t>
            </w:r>
            <w:r>
              <w:rPr>
                <w:rFonts w:hint="eastAsia" w:ascii="宋体" w:hAnsi="宋体" w:eastAsia="宋体" w:cs="Tahoma"/>
                <w:kern w:val="0"/>
                <w:sz w:val="22"/>
                <w:szCs w:val="22"/>
              </w:rPr>
              <w:br w:type="textWrapping"/>
            </w:r>
            <w:r>
              <w:rPr>
                <w:rFonts w:hint="eastAsia" w:ascii="宋体" w:hAnsi="宋体" w:eastAsia="宋体" w:cs="Tahoma"/>
                <w:kern w:val="0"/>
                <w:sz w:val="22"/>
                <w:szCs w:val="22"/>
              </w:rPr>
              <w:t>（4）为保障无线网络的可靠性，单台设备最大可配置AP数目≥2048。</w:t>
            </w:r>
            <w:r>
              <w:rPr>
                <w:rFonts w:hint="eastAsia" w:ascii="宋体" w:hAnsi="宋体" w:eastAsia="宋体" w:cs="Tahoma"/>
                <w:kern w:val="0"/>
                <w:sz w:val="22"/>
                <w:szCs w:val="22"/>
              </w:rPr>
              <w:br w:type="textWrapping"/>
            </w:r>
            <w:r>
              <w:rPr>
                <w:rFonts w:hint="eastAsia" w:ascii="宋体" w:hAnsi="宋体" w:eastAsia="宋体" w:cs="Tahoma"/>
                <w:kern w:val="0"/>
                <w:sz w:val="22"/>
                <w:szCs w:val="22"/>
              </w:rPr>
              <w:t>（5）支持本地认证功能，无需通过外置Portal服务器和Radius服务器认证。</w:t>
            </w:r>
            <w:r>
              <w:rPr>
                <w:rFonts w:hint="eastAsia" w:ascii="宋体" w:hAnsi="宋体" w:eastAsia="宋体" w:cs="Tahoma"/>
                <w:kern w:val="0"/>
                <w:sz w:val="22"/>
                <w:szCs w:val="22"/>
              </w:rPr>
              <w:br w:type="textWrapping"/>
            </w:r>
            <w:r>
              <w:rPr>
                <w:rFonts w:hint="eastAsia" w:ascii="宋体" w:hAnsi="宋体" w:eastAsia="宋体" w:cs="Tahoma"/>
                <w:kern w:val="0"/>
                <w:sz w:val="22"/>
                <w:szCs w:val="22"/>
              </w:rPr>
              <w:t>（6）单台设备最大可管理用户数≥10K。</w:t>
            </w:r>
            <w:r>
              <w:rPr>
                <w:rFonts w:hint="eastAsia" w:ascii="宋体" w:hAnsi="宋体" w:eastAsia="宋体" w:cs="Tahoma"/>
                <w:kern w:val="0"/>
                <w:sz w:val="22"/>
                <w:szCs w:val="22"/>
              </w:rPr>
              <w:br w:type="textWrapping"/>
            </w:r>
            <w:r>
              <w:rPr>
                <w:rFonts w:hint="eastAsia" w:ascii="宋体" w:hAnsi="宋体" w:eastAsia="宋体" w:cs="Tahoma"/>
                <w:kern w:val="0"/>
                <w:sz w:val="22"/>
                <w:szCs w:val="22"/>
              </w:rPr>
              <w:t>（7）设备应支持 802.11R快速漫游，提升漫游体验。</w:t>
            </w:r>
            <w:r>
              <w:rPr>
                <w:rFonts w:hint="eastAsia" w:ascii="宋体" w:hAnsi="宋体" w:eastAsia="宋体" w:cs="Tahoma"/>
                <w:kern w:val="0"/>
                <w:sz w:val="22"/>
                <w:szCs w:val="22"/>
              </w:rPr>
              <w:br w:type="textWrapping"/>
            </w:r>
            <w:r>
              <w:rPr>
                <w:rFonts w:hint="eastAsia" w:ascii="宋体" w:hAnsi="宋体" w:eastAsia="宋体" w:cs="Tahoma"/>
                <w:kern w:val="0"/>
                <w:sz w:val="22"/>
                <w:szCs w:val="22"/>
              </w:rPr>
              <w:t>（8）支持MAC认证、WEB认证、802.1X认证，认证后能实现IP、MAC、WLAN等元素的绑定信息，保证只有合法的用户才能进入网络，保留测试权利。</w:t>
            </w:r>
            <w:r>
              <w:rPr>
                <w:rFonts w:hint="eastAsia" w:ascii="宋体" w:hAnsi="宋体" w:eastAsia="宋体" w:cs="Tahoma"/>
                <w:kern w:val="0"/>
                <w:sz w:val="22"/>
                <w:szCs w:val="22"/>
              </w:rPr>
              <w:br w:type="textWrapping"/>
            </w:r>
            <w:r>
              <w:rPr>
                <w:rFonts w:hint="eastAsia" w:ascii="宋体" w:hAnsi="宋体" w:eastAsia="宋体" w:cs="Tahoma"/>
                <w:kern w:val="0"/>
                <w:sz w:val="22"/>
                <w:szCs w:val="22"/>
              </w:rPr>
              <w:t>（9）支持根据用户需求定制化设计认证页面及用户自定义设计。</w:t>
            </w:r>
            <w:r>
              <w:rPr>
                <w:rFonts w:hint="eastAsia" w:ascii="宋体" w:hAnsi="宋体" w:eastAsia="宋体" w:cs="Tahoma"/>
                <w:kern w:val="0"/>
                <w:sz w:val="22"/>
                <w:szCs w:val="22"/>
              </w:rPr>
              <w:br w:type="textWrapping"/>
            </w:r>
            <w:r>
              <w:rPr>
                <w:rFonts w:hint="eastAsia" w:ascii="宋体" w:hAnsi="宋体" w:eastAsia="宋体" w:cs="Tahoma"/>
                <w:kern w:val="0"/>
                <w:sz w:val="22"/>
                <w:szCs w:val="22"/>
              </w:rPr>
              <w:t>（10）实配≥128个无线AP管理授权。</w:t>
            </w:r>
          </w:p>
        </w:tc>
        <w:tc>
          <w:tcPr>
            <w:tcW w:w="920" w:type="dxa"/>
            <w:shd w:val="clear" w:color="auto" w:fill="auto"/>
            <w:vAlign w:val="center"/>
          </w:tcPr>
          <w:p w14:paraId="54E36F77">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　台</w:t>
            </w:r>
          </w:p>
        </w:tc>
        <w:tc>
          <w:tcPr>
            <w:tcW w:w="900" w:type="dxa"/>
            <w:shd w:val="clear" w:color="auto" w:fill="auto"/>
            <w:vAlign w:val="center"/>
          </w:tcPr>
          <w:p w14:paraId="36B1980C">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　</w:t>
            </w:r>
          </w:p>
        </w:tc>
      </w:tr>
      <w:tr w14:paraId="647A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40" w:type="dxa"/>
            <w:gridSpan w:val="5"/>
            <w:shd w:val="clear" w:color="auto" w:fill="auto"/>
            <w:vAlign w:val="center"/>
          </w:tcPr>
          <w:p w14:paraId="51059854">
            <w:pPr>
              <w:widowControl/>
              <w:spacing w:line="240" w:lineRule="auto"/>
              <w:jc w:val="left"/>
              <w:rPr>
                <w:rFonts w:ascii="宋体" w:hAnsi="宋体" w:eastAsia="宋体" w:cs="Tahoma"/>
                <w:b/>
                <w:bCs/>
                <w:kern w:val="0"/>
                <w:sz w:val="22"/>
                <w:szCs w:val="22"/>
              </w:rPr>
            </w:pPr>
            <w:r>
              <w:rPr>
                <w:rFonts w:hint="eastAsia" w:ascii="宋体" w:hAnsi="宋体" w:eastAsia="宋体" w:cs="Tahoma"/>
                <w:b/>
                <w:bCs/>
                <w:kern w:val="0"/>
                <w:sz w:val="22"/>
                <w:szCs w:val="22"/>
              </w:rPr>
              <w:t>三、施工辅材</w:t>
            </w:r>
          </w:p>
        </w:tc>
      </w:tr>
      <w:tr w14:paraId="4F19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00" w:type="dxa"/>
            <w:shd w:val="clear" w:color="auto" w:fill="auto"/>
            <w:vAlign w:val="center"/>
          </w:tcPr>
          <w:p w14:paraId="7271DC46">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w:t>
            </w:r>
          </w:p>
        </w:tc>
        <w:tc>
          <w:tcPr>
            <w:tcW w:w="1560" w:type="dxa"/>
            <w:shd w:val="clear" w:color="auto" w:fill="auto"/>
            <w:vAlign w:val="center"/>
          </w:tcPr>
          <w:p w14:paraId="731F1722">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辅材</w:t>
            </w:r>
          </w:p>
        </w:tc>
        <w:tc>
          <w:tcPr>
            <w:tcW w:w="4960" w:type="dxa"/>
            <w:shd w:val="clear" w:color="auto" w:fill="auto"/>
            <w:vAlign w:val="center"/>
          </w:tcPr>
          <w:p w14:paraId="038D8D84">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含线材及设备所有辅材。</w:t>
            </w:r>
          </w:p>
        </w:tc>
        <w:tc>
          <w:tcPr>
            <w:tcW w:w="920" w:type="dxa"/>
            <w:shd w:val="clear" w:color="auto" w:fill="auto"/>
            <w:vAlign w:val="center"/>
          </w:tcPr>
          <w:p w14:paraId="51BB4686">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批</w:t>
            </w:r>
          </w:p>
        </w:tc>
        <w:tc>
          <w:tcPr>
            <w:tcW w:w="900" w:type="dxa"/>
            <w:shd w:val="clear" w:color="auto" w:fill="auto"/>
            <w:vAlign w:val="center"/>
          </w:tcPr>
          <w:p w14:paraId="2704F70A">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w:t>
            </w:r>
          </w:p>
        </w:tc>
      </w:tr>
      <w:tr w14:paraId="528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0" w:type="dxa"/>
            <w:shd w:val="clear" w:color="auto" w:fill="auto"/>
            <w:vAlign w:val="center"/>
          </w:tcPr>
          <w:p w14:paraId="439E627A">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2</w:t>
            </w:r>
          </w:p>
        </w:tc>
        <w:tc>
          <w:tcPr>
            <w:tcW w:w="1560" w:type="dxa"/>
            <w:shd w:val="clear" w:color="auto" w:fill="auto"/>
            <w:vAlign w:val="center"/>
          </w:tcPr>
          <w:p w14:paraId="0F236953">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系统集成</w:t>
            </w:r>
          </w:p>
        </w:tc>
        <w:tc>
          <w:tcPr>
            <w:tcW w:w="4960" w:type="dxa"/>
            <w:shd w:val="clear" w:color="auto" w:fill="auto"/>
            <w:vAlign w:val="center"/>
          </w:tcPr>
          <w:p w14:paraId="6CDB5871">
            <w:pPr>
              <w:widowControl/>
              <w:spacing w:line="240" w:lineRule="auto"/>
              <w:jc w:val="left"/>
              <w:rPr>
                <w:rFonts w:ascii="宋体" w:hAnsi="宋体" w:eastAsia="宋体" w:cs="Tahoma"/>
                <w:kern w:val="0"/>
                <w:sz w:val="22"/>
                <w:szCs w:val="22"/>
              </w:rPr>
            </w:pPr>
            <w:r>
              <w:rPr>
                <w:rFonts w:hint="eastAsia" w:ascii="宋体" w:hAnsi="宋体" w:eastAsia="宋体" w:cs="Tahoma"/>
                <w:kern w:val="0"/>
                <w:sz w:val="22"/>
                <w:szCs w:val="22"/>
              </w:rPr>
              <w:t>包含人工、安装，包含具体实施方案中如有增加的上述设备数量。</w:t>
            </w:r>
          </w:p>
        </w:tc>
        <w:tc>
          <w:tcPr>
            <w:tcW w:w="920" w:type="dxa"/>
            <w:shd w:val="clear" w:color="auto" w:fill="auto"/>
            <w:vAlign w:val="center"/>
          </w:tcPr>
          <w:p w14:paraId="27838E62">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项</w:t>
            </w:r>
          </w:p>
        </w:tc>
        <w:tc>
          <w:tcPr>
            <w:tcW w:w="900" w:type="dxa"/>
            <w:shd w:val="clear" w:color="auto" w:fill="auto"/>
            <w:vAlign w:val="center"/>
          </w:tcPr>
          <w:p w14:paraId="72008554">
            <w:pPr>
              <w:widowControl/>
              <w:spacing w:line="240" w:lineRule="auto"/>
              <w:jc w:val="center"/>
              <w:rPr>
                <w:rFonts w:ascii="宋体" w:hAnsi="宋体" w:eastAsia="宋体" w:cs="Tahoma"/>
                <w:kern w:val="0"/>
                <w:sz w:val="22"/>
                <w:szCs w:val="22"/>
              </w:rPr>
            </w:pPr>
            <w:r>
              <w:rPr>
                <w:rFonts w:hint="eastAsia" w:ascii="宋体" w:hAnsi="宋体" w:eastAsia="宋体" w:cs="Tahoma"/>
                <w:kern w:val="0"/>
                <w:sz w:val="22"/>
                <w:szCs w:val="22"/>
              </w:rPr>
              <w:t>1</w:t>
            </w:r>
          </w:p>
        </w:tc>
      </w:tr>
    </w:tbl>
    <w:p w14:paraId="722CC0D7"/>
    <w:p w14:paraId="175F3D44">
      <w:pPr>
        <w:pStyle w:val="36"/>
        <w:ind w:left="0"/>
        <w:rPr>
          <w:color w:val="000000" w:themeColor="text1"/>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bookmarkEnd w:id="198"/>
    <w:bookmarkEnd w:id="199"/>
    <w:bookmarkEnd w:id="200"/>
    <w:p w14:paraId="3EE886DC">
      <w:pPr>
        <w:pStyle w:val="13"/>
        <w:rPr>
          <w:color w:val="000000" w:themeColor="text1"/>
          <w14:textFill>
            <w14:solidFill>
              <w14:schemeClr w14:val="tx1"/>
            </w14:solidFill>
          </w14:textFill>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3B5E">
    <w:pPr>
      <w:pStyle w:val="13"/>
      <w:ind w:firstLine="360"/>
      <w:jc w:val="center"/>
    </w:pPr>
    <w:r>
      <w:fldChar w:fldCharType="begin"/>
    </w:r>
    <w:r>
      <w:instrText xml:space="preserve"> PAGE   \* MERGEFORMAT </w:instrText>
    </w:r>
    <w:r>
      <w:fldChar w:fldCharType="separate"/>
    </w:r>
    <w:r>
      <w:t>57</w:t>
    </w:r>
    <w:r>
      <w:fldChar w:fldCharType="end"/>
    </w:r>
  </w:p>
  <w:p w14:paraId="3908366C">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E37F2">
    <w:pPr>
      <w:pStyle w:val="14"/>
      <w:pBdr>
        <w:bottom w:val="none" w:color="auto" w:sz="0" w:space="0"/>
      </w:pBdr>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4F016"/>
    <w:multiLevelType w:val="multilevel"/>
    <w:tmpl w:val="A0B4F016"/>
    <w:lvl w:ilvl="0" w:tentative="0">
      <w:start w:val="1"/>
      <w:numFmt w:val="decimal"/>
      <w:suff w:val="space"/>
      <w:lvlText w:val="%1."/>
      <w:lvlJc w:val="left"/>
      <w:pPr>
        <w:tabs>
          <w:tab w:val="left" w:pos="2351"/>
        </w:tabs>
        <w:ind w:left="2363" w:hanging="432"/>
      </w:pPr>
      <w:rPr>
        <w:rFonts w:hint="default"/>
      </w:rPr>
    </w:lvl>
    <w:lvl w:ilvl="1" w:tentative="0">
      <w:start w:val="1"/>
      <w:numFmt w:val="decimal"/>
      <w:isLgl/>
      <w:suff w:val="space"/>
      <w:lvlText w:val="%1.%2."/>
      <w:lvlJc w:val="left"/>
      <w:pPr>
        <w:tabs>
          <w:tab w:val="left" w:pos="2351"/>
        </w:tabs>
        <w:ind w:left="2506" w:hanging="575"/>
      </w:pPr>
      <w:rPr>
        <w:rFonts w:hint="eastAsia"/>
      </w:rPr>
    </w:lvl>
    <w:lvl w:ilvl="2" w:tentative="0">
      <w:start w:val="1"/>
      <w:numFmt w:val="decimal"/>
      <w:isLgl/>
      <w:suff w:val="space"/>
      <w:lvlText w:val="%1.%2.%3."/>
      <w:lvlJc w:val="left"/>
      <w:pPr>
        <w:tabs>
          <w:tab w:val="left" w:pos="2351"/>
        </w:tabs>
        <w:ind w:left="2651" w:hanging="720"/>
      </w:pPr>
      <w:rPr>
        <w:rFonts w:hint="eastAsia"/>
      </w:rPr>
    </w:lvl>
    <w:lvl w:ilvl="3" w:tentative="0">
      <w:start w:val="1"/>
      <w:numFmt w:val="decimal"/>
      <w:pStyle w:val="5"/>
      <w:isLgl/>
      <w:lvlText w:val="%1.%2.%3.%4."/>
      <w:lvlJc w:val="left"/>
      <w:pPr>
        <w:ind w:left="2795" w:hanging="864"/>
      </w:pPr>
      <w:rPr>
        <w:rFonts w:hint="eastAsia"/>
      </w:rPr>
    </w:lvl>
    <w:lvl w:ilvl="4" w:tentative="0">
      <w:start w:val="1"/>
      <w:numFmt w:val="decimal"/>
      <w:pStyle w:val="6"/>
      <w:isLgl/>
      <w:lvlText w:val="%1.%2.%3.%4.%5."/>
      <w:lvlJc w:val="left"/>
      <w:pPr>
        <w:ind w:left="2939" w:hanging="1008"/>
      </w:pPr>
      <w:rPr>
        <w:rFonts w:hint="eastAsia"/>
      </w:rPr>
    </w:lvl>
    <w:lvl w:ilvl="5" w:tentative="0">
      <w:start w:val="1"/>
      <w:numFmt w:val="decimal"/>
      <w:isLgl/>
      <w:lvlText w:val="%1.%2.%3.%4.%5.%6."/>
      <w:lvlJc w:val="left"/>
      <w:pPr>
        <w:ind w:left="3082" w:hanging="1151"/>
      </w:pPr>
      <w:rPr>
        <w:rFonts w:hint="eastAsia"/>
      </w:rPr>
    </w:lvl>
    <w:lvl w:ilvl="6" w:tentative="0">
      <w:start w:val="1"/>
      <w:numFmt w:val="decimal"/>
      <w:isLgl/>
      <w:lvlText w:val="%1.%2.%3.%4.%5.%6.%7."/>
      <w:lvlJc w:val="left"/>
      <w:pPr>
        <w:ind w:left="3227" w:hanging="1296"/>
      </w:pPr>
      <w:rPr>
        <w:rFonts w:hint="eastAsia"/>
      </w:rPr>
    </w:lvl>
    <w:lvl w:ilvl="7" w:tentative="0">
      <w:start w:val="1"/>
      <w:numFmt w:val="decimal"/>
      <w:isLgl/>
      <w:lvlText w:val="%1.%2.%3.%4.%5.%6.%7.%8."/>
      <w:lvlJc w:val="left"/>
      <w:pPr>
        <w:ind w:left="3371" w:hanging="1440"/>
      </w:pPr>
      <w:rPr>
        <w:rFonts w:hint="eastAsia"/>
      </w:rPr>
    </w:lvl>
    <w:lvl w:ilvl="8" w:tentative="0">
      <w:start w:val="1"/>
      <w:numFmt w:val="decimal"/>
      <w:isLgl/>
      <w:lvlText w:val="%1.%2.%3.%4.%5.%6.%7.%8.%9."/>
      <w:lvlJc w:val="left"/>
      <w:pPr>
        <w:ind w:left="3514" w:hanging="1583"/>
      </w:pPr>
      <w:rPr>
        <w:rFonts w:hint="eastAsia"/>
      </w:rPr>
    </w:lvl>
  </w:abstractNum>
  <w:abstractNum w:abstractNumId="1">
    <w:nsid w:val="BCF31483"/>
    <w:multiLevelType w:val="singleLevel"/>
    <w:tmpl w:val="BCF31483"/>
    <w:lvl w:ilvl="0" w:tentative="0">
      <w:start w:val="2"/>
      <w:numFmt w:val="decimal"/>
      <w:lvlText w:val="%1."/>
      <w:lvlJc w:val="left"/>
      <w:pPr>
        <w:tabs>
          <w:tab w:val="left" w:pos="312"/>
        </w:tabs>
      </w:pPr>
    </w:lvl>
  </w:abstractNum>
  <w:abstractNum w:abstractNumId="2">
    <w:nsid w:val="CC480EE9"/>
    <w:multiLevelType w:val="singleLevel"/>
    <w:tmpl w:val="CC480EE9"/>
    <w:lvl w:ilvl="0" w:tentative="0">
      <w:start w:val="1"/>
      <w:numFmt w:val="decimal"/>
      <w:suff w:val="nothing"/>
      <w:lvlText w:val="（%1）"/>
      <w:lvlJc w:val="left"/>
    </w:lvl>
  </w:abstractNum>
  <w:abstractNum w:abstractNumId="3">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7A902B08"/>
    <w:multiLevelType w:val="multilevel"/>
    <w:tmpl w:val="7A902B0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MGM0ZGU5NjU2ZTQzMTA1OGU4NjhkNTYzZDk0ZmEifQ=="/>
  </w:docVars>
  <w:rsids>
    <w:rsidRoot w:val="165C3B5C"/>
    <w:rsid w:val="00002BB8"/>
    <w:rsid w:val="00080B94"/>
    <w:rsid w:val="00085D71"/>
    <w:rsid w:val="000D1BC9"/>
    <w:rsid w:val="000E0175"/>
    <w:rsid w:val="000E0CEF"/>
    <w:rsid w:val="000E25FA"/>
    <w:rsid w:val="000E3DE0"/>
    <w:rsid w:val="000E5F38"/>
    <w:rsid w:val="000E6587"/>
    <w:rsid w:val="000E7159"/>
    <w:rsid w:val="000F7210"/>
    <w:rsid w:val="00100221"/>
    <w:rsid w:val="001441BF"/>
    <w:rsid w:val="00150758"/>
    <w:rsid w:val="00152383"/>
    <w:rsid w:val="00154A5D"/>
    <w:rsid w:val="00161629"/>
    <w:rsid w:val="001622AA"/>
    <w:rsid w:val="00165AA0"/>
    <w:rsid w:val="001C290B"/>
    <w:rsid w:val="001E0CD5"/>
    <w:rsid w:val="001E407E"/>
    <w:rsid w:val="002046A2"/>
    <w:rsid w:val="00226937"/>
    <w:rsid w:val="002369AC"/>
    <w:rsid w:val="002411CA"/>
    <w:rsid w:val="0024567C"/>
    <w:rsid w:val="0025395F"/>
    <w:rsid w:val="00270660"/>
    <w:rsid w:val="0027149A"/>
    <w:rsid w:val="00280997"/>
    <w:rsid w:val="00285684"/>
    <w:rsid w:val="002870B5"/>
    <w:rsid w:val="00287B80"/>
    <w:rsid w:val="002B14F8"/>
    <w:rsid w:val="002B2E4A"/>
    <w:rsid w:val="002D558E"/>
    <w:rsid w:val="002E7BEE"/>
    <w:rsid w:val="00303D64"/>
    <w:rsid w:val="00306BC1"/>
    <w:rsid w:val="00310E48"/>
    <w:rsid w:val="003211C6"/>
    <w:rsid w:val="0032417B"/>
    <w:rsid w:val="00372445"/>
    <w:rsid w:val="00375A2A"/>
    <w:rsid w:val="00377D11"/>
    <w:rsid w:val="00384E07"/>
    <w:rsid w:val="003A039B"/>
    <w:rsid w:val="003A48DA"/>
    <w:rsid w:val="003D02E8"/>
    <w:rsid w:val="003D6434"/>
    <w:rsid w:val="003E6573"/>
    <w:rsid w:val="003E6920"/>
    <w:rsid w:val="003F7BDE"/>
    <w:rsid w:val="00411784"/>
    <w:rsid w:val="0041488F"/>
    <w:rsid w:val="00421D00"/>
    <w:rsid w:val="00426E0C"/>
    <w:rsid w:val="00435965"/>
    <w:rsid w:val="00455002"/>
    <w:rsid w:val="00460F8F"/>
    <w:rsid w:val="004B17AB"/>
    <w:rsid w:val="004B2016"/>
    <w:rsid w:val="004B5081"/>
    <w:rsid w:val="004C3795"/>
    <w:rsid w:val="004E2EC8"/>
    <w:rsid w:val="004E4B9C"/>
    <w:rsid w:val="004F3259"/>
    <w:rsid w:val="004F5FFF"/>
    <w:rsid w:val="0050196D"/>
    <w:rsid w:val="00525349"/>
    <w:rsid w:val="005459FB"/>
    <w:rsid w:val="00554A16"/>
    <w:rsid w:val="005749F2"/>
    <w:rsid w:val="00586C3F"/>
    <w:rsid w:val="005B2C7A"/>
    <w:rsid w:val="005B6CB6"/>
    <w:rsid w:val="005B75F8"/>
    <w:rsid w:val="005F1AC5"/>
    <w:rsid w:val="005F35D7"/>
    <w:rsid w:val="005F35EC"/>
    <w:rsid w:val="0061252F"/>
    <w:rsid w:val="006265D5"/>
    <w:rsid w:val="006371ED"/>
    <w:rsid w:val="006414FA"/>
    <w:rsid w:val="00641F35"/>
    <w:rsid w:val="00651F99"/>
    <w:rsid w:val="0065443A"/>
    <w:rsid w:val="006606C0"/>
    <w:rsid w:val="00680A84"/>
    <w:rsid w:val="00680C8F"/>
    <w:rsid w:val="006A1A6B"/>
    <w:rsid w:val="006C6332"/>
    <w:rsid w:val="006C72D0"/>
    <w:rsid w:val="006E66A5"/>
    <w:rsid w:val="006F160E"/>
    <w:rsid w:val="006F3498"/>
    <w:rsid w:val="006F503A"/>
    <w:rsid w:val="007006E6"/>
    <w:rsid w:val="007270E5"/>
    <w:rsid w:val="00744C1E"/>
    <w:rsid w:val="00744C9B"/>
    <w:rsid w:val="00744E12"/>
    <w:rsid w:val="00784D1E"/>
    <w:rsid w:val="00793F25"/>
    <w:rsid w:val="007A39A4"/>
    <w:rsid w:val="0080027D"/>
    <w:rsid w:val="00801FD1"/>
    <w:rsid w:val="00820A87"/>
    <w:rsid w:val="00894219"/>
    <w:rsid w:val="008D1221"/>
    <w:rsid w:val="008D1813"/>
    <w:rsid w:val="008F1328"/>
    <w:rsid w:val="008F2AB6"/>
    <w:rsid w:val="008F59EB"/>
    <w:rsid w:val="009346CA"/>
    <w:rsid w:val="009376EE"/>
    <w:rsid w:val="0094072B"/>
    <w:rsid w:val="00957D65"/>
    <w:rsid w:val="00961DDB"/>
    <w:rsid w:val="00966669"/>
    <w:rsid w:val="00974939"/>
    <w:rsid w:val="0099566D"/>
    <w:rsid w:val="009A4689"/>
    <w:rsid w:val="009A57D3"/>
    <w:rsid w:val="009B7322"/>
    <w:rsid w:val="00A0126B"/>
    <w:rsid w:val="00A02746"/>
    <w:rsid w:val="00A1733D"/>
    <w:rsid w:val="00A27411"/>
    <w:rsid w:val="00A40C07"/>
    <w:rsid w:val="00A67BC6"/>
    <w:rsid w:val="00A738E1"/>
    <w:rsid w:val="00A93EE5"/>
    <w:rsid w:val="00AC32D1"/>
    <w:rsid w:val="00AD08E8"/>
    <w:rsid w:val="00AE0E92"/>
    <w:rsid w:val="00AE7808"/>
    <w:rsid w:val="00AF30CF"/>
    <w:rsid w:val="00B11C19"/>
    <w:rsid w:val="00B2543D"/>
    <w:rsid w:val="00B32223"/>
    <w:rsid w:val="00B65A06"/>
    <w:rsid w:val="00BA00A9"/>
    <w:rsid w:val="00BD24C9"/>
    <w:rsid w:val="00BD2885"/>
    <w:rsid w:val="00BD28F2"/>
    <w:rsid w:val="00BF5559"/>
    <w:rsid w:val="00C05023"/>
    <w:rsid w:val="00C52AAE"/>
    <w:rsid w:val="00C657B1"/>
    <w:rsid w:val="00C710FF"/>
    <w:rsid w:val="00C82EE3"/>
    <w:rsid w:val="00C847EF"/>
    <w:rsid w:val="00C9170C"/>
    <w:rsid w:val="00C92A0D"/>
    <w:rsid w:val="00C93B88"/>
    <w:rsid w:val="00CA2136"/>
    <w:rsid w:val="00CB4C64"/>
    <w:rsid w:val="00CC4B62"/>
    <w:rsid w:val="00CC5B25"/>
    <w:rsid w:val="00D03A09"/>
    <w:rsid w:val="00D03B0D"/>
    <w:rsid w:val="00D1746E"/>
    <w:rsid w:val="00D333B3"/>
    <w:rsid w:val="00D343A4"/>
    <w:rsid w:val="00D361A2"/>
    <w:rsid w:val="00D61064"/>
    <w:rsid w:val="00DB224F"/>
    <w:rsid w:val="00DB2D17"/>
    <w:rsid w:val="00DC2666"/>
    <w:rsid w:val="00E04766"/>
    <w:rsid w:val="00E13FC9"/>
    <w:rsid w:val="00E140F9"/>
    <w:rsid w:val="00E15DCF"/>
    <w:rsid w:val="00E2282B"/>
    <w:rsid w:val="00E36930"/>
    <w:rsid w:val="00E4444E"/>
    <w:rsid w:val="00E52358"/>
    <w:rsid w:val="00E56292"/>
    <w:rsid w:val="00E63AD5"/>
    <w:rsid w:val="00E64375"/>
    <w:rsid w:val="00E66475"/>
    <w:rsid w:val="00E81035"/>
    <w:rsid w:val="00EB7D28"/>
    <w:rsid w:val="00EC0213"/>
    <w:rsid w:val="00ED733F"/>
    <w:rsid w:val="00EF0E7B"/>
    <w:rsid w:val="00EF6E74"/>
    <w:rsid w:val="00F47CE9"/>
    <w:rsid w:val="00F566E5"/>
    <w:rsid w:val="00F77C07"/>
    <w:rsid w:val="00F91B7E"/>
    <w:rsid w:val="00F96AB0"/>
    <w:rsid w:val="00FB066A"/>
    <w:rsid w:val="00FE42DB"/>
    <w:rsid w:val="00FE7979"/>
    <w:rsid w:val="01141FAF"/>
    <w:rsid w:val="01303AC5"/>
    <w:rsid w:val="0147778C"/>
    <w:rsid w:val="014D1F33"/>
    <w:rsid w:val="016216F7"/>
    <w:rsid w:val="016F0A91"/>
    <w:rsid w:val="01A544B3"/>
    <w:rsid w:val="01BB3CD7"/>
    <w:rsid w:val="01CE24AB"/>
    <w:rsid w:val="01F3521E"/>
    <w:rsid w:val="02046676"/>
    <w:rsid w:val="02301FCF"/>
    <w:rsid w:val="023669AE"/>
    <w:rsid w:val="024C6860"/>
    <w:rsid w:val="0252602D"/>
    <w:rsid w:val="032D29B2"/>
    <w:rsid w:val="038E0F41"/>
    <w:rsid w:val="03BA6DC1"/>
    <w:rsid w:val="04053E59"/>
    <w:rsid w:val="044E63BA"/>
    <w:rsid w:val="04984128"/>
    <w:rsid w:val="05047743"/>
    <w:rsid w:val="05793C8D"/>
    <w:rsid w:val="05A36F5B"/>
    <w:rsid w:val="05B22460"/>
    <w:rsid w:val="05EF03F3"/>
    <w:rsid w:val="05F2173D"/>
    <w:rsid w:val="06756D13"/>
    <w:rsid w:val="06930D7E"/>
    <w:rsid w:val="07035F04"/>
    <w:rsid w:val="07290B50"/>
    <w:rsid w:val="0768045D"/>
    <w:rsid w:val="07794418"/>
    <w:rsid w:val="079C1EB4"/>
    <w:rsid w:val="08123F24"/>
    <w:rsid w:val="089B6610"/>
    <w:rsid w:val="08AE712F"/>
    <w:rsid w:val="08AF222B"/>
    <w:rsid w:val="08D35DAA"/>
    <w:rsid w:val="09475D3E"/>
    <w:rsid w:val="09BE25B6"/>
    <w:rsid w:val="0A0D2C62"/>
    <w:rsid w:val="0A740EC6"/>
    <w:rsid w:val="0A801376"/>
    <w:rsid w:val="0ADD4CBE"/>
    <w:rsid w:val="0AE24082"/>
    <w:rsid w:val="0B3C7C36"/>
    <w:rsid w:val="0B664CB3"/>
    <w:rsid w:val="0B6B22C9"/>
    <w:rsid w:val="0C1935AD"/>
    <w:rsid w:val="0CB375CF"/>
    <w:rsid w:val="0D193127"/>
    <w:rsid w:val="0D576FA9"/>
    <w:rsid w:val="0D991A7F"/>
    <w:rsid w:val="0DEB5944"/>
    <w:rsid w:val="0E4F1A2E"/>
    <w:rsid w:val="0E5C53BC"/>
    <w:rsid w:val="0E794CFD"/>
    <w:rsid w:val="0EA854F2"/>
    <w:rsid w:val="0EF7477F"/>
    <w:rsid w:val="0F00541F"/>
    <w:rsid w:val="0F783207"/>
    <w:rsid w:val="0F847DFE"/>
    <w:rsid w:val="0F953DB9"/>
    <w:rsid w:val="0FA67D74"/>
    <w:rsid w:val="0FB145AE"/>
    <w:rsid w:val="0FB26719"/>
    <w:rsid w:val="0FED14FF"/>
    <w:rsid w:val="106B4B1A"/>
    <w:rsid w:val="109776BD"/>
    <w:rsid w:val="10F040B0"/>
    <w:rsid w:val="1110752E"/>
    <w:rsid w:val="119028A6"/>
    <w:rsid w:val="11C36E98"/>
    <w:rsid w:val="12814D69"/>
    <w:rsid w:val="12F26E2C"/>
    <w:rsid w:val="137D1973"/>
    <w:rsid w:val="13AB3BAB"/>
    <w:rsid w:val="13E7095B"/>
    <w:rsid w:val="140F7BE3"/>
    <w:rsid w:val="14293155"/>
    <w:rsid w:val="15B64A89"/>
    <w:rsid w:val="15F82971"/>
    <w:rsid w:val="161865F8"/>
    <w:rsid w:val="16497CCE"/>
    <w:rsid w:val="165C3B5C"/>
    <w:rsid w:val="16E605C5"/>
    <w:rsid w:val="1718017A"/>
    <w:rsid w:val="173D7210"/>
    <w:rsid w:val="175058F1"/>
    <w:rsid w:val="17777003"/>
    <w:rsid w:val="17BE663D"/>
    <w:rsid w:val="180A6356"/>
    <w:rsid w:val="184037E8"/>
    <w:rsid w:val="186668BF"/>
    <w:rsid w:val="18972D09"/>
    <w:rsid w:val="194E38F1"/>
    <w:rsid w:val="19DD0836"/>
    <w:rsid w:val="19F17807"/>
    <w:rsid w:val="1A196A7D"/>
    <w:rsid w:val="1A1B310D"/>
    <w:rsid w:val="1A711802"/>
    <w:rsid w:val="1AB05F4B"/>
    <w:rsid w:val="1B012302"/>
    <w:rsid w:val="1B7F852C"/>
    <w:rsid w:val="1BBA6173"/>
    <w:rsid w:val="1C2A3ADB"/>
    <w:rsid w:val="1C646FED"/>
    <w:rsid w:val="1C9452C2"/>
    <w:rsid w:val="1CB94315"/>
    <w:rsid w:val="1D676D70"/>
    <w:rsid w:val="1D6C1818"/>
    <w:rsid w:val="1D7D9EEC"/>
    <w:rsid w:val="1DC72423"/>
    <w:rsid w:val="1DD70CFA"/>
    <w:rsid w:val="1DF10FAB"/>
    <w:rsid w:val="1E4F7829"/>
    <w:rsid w:val="1E684D7E"/>
    <w:rsid w:val="1EA77665"/>
    <w:rsid w:val="1EBB4EBE"/>
    <w:rsid w:val="1EED1B9C"/>
    <w:rsid w:val="1EFA6128"/>
    <w:rsid w:val="1F43738D"/>
    <w:rsid w:val="1F8D00E4"/>
    <w:rsid w:val="1F9C4CF0"/>
    <w:rsid w:val="1FB72C4C"/>
    <w:rsid w:val="1FBA5176"/>
    <w:rsid w:val="200A1C59"/>
    <w:rsid w:val="2020322B"/>
    <w:rsid w:val="207812B9"/>
    <w:rsid w:val="20967991"/>
    <w:rsid w:val="21130FE1"/>
    <w:rsid w:val="214B2529"/>
    <w:rsid w:val="216F5562"/>
    <w:rsid w:val="217C0935"/>
    <w:rsid w:val="22405E06"/>
    <w:rsid w:val="228E7022"/>
    <w:rsid w:val="22A00653"/>
    <w:rsid w:val="22D447A0"/>
    <w:rsid w:val="22D93B65"/>
    <w:rsid w:val="232946DA"/>
    <w:rsid w:val="233C481F"/>
    <w:rsid w:val="234C2589"/>
    <w:rsid w:val="23843AD1"/>
    <w:rsid w:val="239F4DAE"/>
    <w:rsid w:val="2423778D"/>
    <w:rsid w:val="24443260"/>
    <w:rsid w:val="24547A4B"/>
    <w:rsid w:val="246F459B"/>
    <w:rsid w:val="24AD7AF4"/>
    <w:rsid w:val="24D13DCD"/>
    <w:rsid w:val="24E0567E"/>
    <w:rsid w:val="25235D9C"/>
    <w:rsid w:val="252D4D9F"/>
    <w:rsid w:val="25553977"/>
    <w:rsid w:val="257D04DC"/>
    <w:rsid w:val="25D074C1"/>
    <w:rsid w:val="26220C12"/>
    <w:rsid w:val="26B1137B"/>
    <w:rsid w:val="26DB434F"/>
    <w:rsid w:val="27443319"/>
    <w:rsid w:val="275A1718"/>
    <w:rsid w:val="27E94FC7"/>
    <w:rsid w:val="2850574D"/>
    <w:rsid w:val="285831B1"/>
    <w:rsid w:val="28667C49"/>
    <w:rsid w:val="28770D9A"/>
    <w:rsid w:val="28E74C7E"/>
    <w:rsid w:val="29C63095"/>
    <w:rsid w:val="29DA269C"/>
    <w:rsid w:val="2A671934"/>
    <w:rsid w:val="2AB70C30"/>
    <w:rsid w:val="2B287563"/>
    <w:rsid w:val="2B471FB3"/>
    <w:rsid w:val="2B681F2A"/>
    <w:rsid w:val="2B703EF5"/>
    <w:rsid w:val="2B7D6614"/>
    <w:rsid w:val="2B7E76BE"/>
    <w:rsid w:val="2BCE023C"/>
    <w:rsid w:val="2BE35D47"/>
    <w:rsid w:val="2BEA416F"/>
    <w:rsid w:val="2C534988"/>
    <w:rsid w:val="2CED69F5"/>
    <w:rsid w:val="2D6E33C1"/>
    <w:rsid w:val="2D7B7CF2"/>
    <w:rsid w:val="2DCC01E1"/>
    <w:rsid w:val="2E7806D6"/>
    <w:rsid w:val="2EEB0EA8"/>
    <w:rsid w:val="2F0D2607"/>
    <w:rsid w:val="30142680"/>
    <w:rsid w:val="30186411"/>
    <w:rsid w:val="307355F9"/>
    <w:rsid w:val="30CC51A9"/>
    <w:rsid w:val="310A6874"/>
    <w:rsid w:val="310E78E4"/>
    <w:rsid w:val="311A6E3E"/>
    <w:rsid w:val="31857392"/>
    <w:rsid w:val="318F02D1"/>
    <w:rsid w:val="31FB7E64"/>
    <w:rsid w:val="323808A8"/>
    <w:rsid w:val="32843AED"/>
    <w:rsid w:val="328517B5"/>
    <w:rsid w:val="32DC7485"/>
    <w:rsid w:val="332130EA"/>
    <w:rsid w:val="3344327C"/>
    <w:rsid w:val="3351175F"/>
    <w:rsid w:val="33550FE6"/>
    <w:rsid w:val="33955811"/>
    <w:rsid w:val="339E40FC"/>
    <w:rsid w:val="340E1055"/>
    <w:rsid w:val="346A6D13"/>
    <w:rsid w:val="34A417A5"/>
    <w:rsid w:val="34D7764C"/>
    <w:rsid w:val="34FA3E85"/>
    <w:rsid w:val="351A1832"/>
    <w:rsid w:val="35926521"/>
    <w:rsid w:val="35BE10C4"/>
    <w:rsid w:val="35D06154"/>
    <w:rsid w:val="367A7B78"/>
    <w:rsid w:val="367B5207"/>
    <w:rsid w:val="36EE59D9"/>
    <w:rsid w:val="3706498E"/>
    <w:rsid w:val="37114FDB"/>
    <w:rsid w:val="377E4FAF"/>
    <w:rsid w:val="37CA01F4"/>
    <w:rsid w:val="37E61460"/>
    <w:rsid w:val="382A0C93"/>
    <w:rsid w:val="385E40CF"/>
    <w:rsid w:val="38621630"/>
    <w:rsid w:val="3885411B"/>
    <w:rsid w:val="38B13162"/>
    <w:rsid w:val="38CD682C"/>
    <w:rsid w:val="38FB73DB"/>
    <w:rsid w:val="39033292"/>
    <w:rsid w:val="39047A4B"/>
    <w:rsid w:val="393B3584"/>
    <w:rsid w:val="39953A8F"/>
    <w:rsid w:val="39A64349"/>
    <w:rsid w:val="39B851CF"/>
    <w:rsid w:val="39C46EC5"/>
    <w:rsid w:val="39CB446A"/>
    <w:rsid w:val="39F23A32"/>
    <w:rsid w:val="3A310E1D"/>
    <w:rsid w:val="3A502507"/>
    <w:rsid w:val="3A8D375B"/>
    <w:rsid w:val="3AD01FF6"/>
    <w:rsid w:val="3B091033"/>
    <w:rsid w:val="3B6B3A9C"/>
    <w:rsid w:val="3B707B46"/>
    <w:rsid w:val="3BC211E2"/>
    <w:rsid w:val="3BEB698B"/>
    <w:rsid w:val="3C12216A"/>
    <w:rsid w:val="3C4936B2"/>
    <w:rsid w:val="3C5502A8"/>
    <w:rsid w:val="3C5F6A31"/>
    <w:rsid w:val="3CB274A9"/>
    <w:rsid w:val="3CB63F34"/>
    <w:rsid w:val="3D1303B5"/>
    <w:rsid w:val="3D22462E"/>
    <w:rsid w:val="3D3360DF"/>
    <w:rsid w:val="3D881D51"/>
    <w:rsid w:val="3E073249"/>
    <w:rsid w:val="3E496DDE"/>
    <w:rsid w:val="3E9E5F37"/>
    <w:rsid w:val="3EAD1CD6"/>
    <w:rsid w:val="3EDC080D"/>
    <w:rsid w:val="3F3F66D9"/>
    <w:rsid w:val="3F422D66"/>
    <w:rsid w:val="3F56236D"/>
    <w:rsid w:val="3F6F78D3"/>
    <w:rsid w:val="3F961B94"/>
    <w:rsid w:val="3FA80A13"/>
    <w:rsid w:val="3FC27A03"/>
    <w:rsid w:val="403E282D"/>
    <w:rsid w:val="40425F7B"/>
    <w:rsid w:val="407231D7"/>
    <w:rsid w:val="40932815"/>
    <w:rsid w:val="40A23390"/>
    <w:rsid w:val="40A807F1"/>
    <w:rsid w:val="414C1C7A"/>
    <w:rsid w:val="41C31810"/>
    <w:rsid w:val="42D627D5"/>
    <w:rsid w:val="42FE06D0"/>
    <w:rsid w:val="43CB1CC4"/>
    <w:rsid w:val="43CF0940"/>
    <w:rsid w:val="443A2BDC"/>
    <w:rsid w:val="446217B4"/>
    <w:rsid w:val="458563B0"/>
    <w:rsid w:val="459736E0"/>
    <w:rsid w:val="46252A99"/>
    <w:rsid w:val="468463D3"/>
    <w:rsid w:val="468C0D6B"/>
    <w:rsid w:val="471F1BDF"/>
    <w:rsid w:val="47356B05"/>
    <w:rsid w:val="47507FEA"/>
    <w:rsid w:val="477912EF"/>
    <w:rsid w:val="47961EA1"/>
    <w:rsid w:val="47D76015"/>
    <w:rsid w:val="47EB4732"/>
    <w:rsid w:val="480E00CC"/>
    <w:rsid w:val="4873378B"/>
    <w:rsid w:val="48B76708"/>
    <w:rsid w:val="49742FF3"/>
    <w:rsid w:val="49A168DB"/>
    <w:rsid w:val="49AD5BED"/>
    <w:rsid w:val="49CA4084"/>
    <w:rsid w:val="49F47487"/>
    <w:rsid w:val="4A353E64"/>
    <w:rsid w:val="4A7702CF"/>
    <w:rsid w:val="4A95206B"/>
    <w:rsid w:val="4AC00FE3"/>
    <w:rsid w:val="4AF60EA8"/>
    <w:rsid w:val="4B0E5F1A"/>
    <w:rsid w:val="4B3D6AD7"/>
    <w:rsid w:val="4B7345A2"/>
    <w:rsid w:val="4BE427D6"/>
    <w:rsid w:val="4BF929FE"/>
    <w:rsid w:val="4CAC7A71"/>
    <w:rsid w:val="4CC36695"/>
    <w:rsid w:val="4D0470DF"/>
    <w:rsid w:val="4D072861"/>
    <w:rsid w:val="4D225F85"/>
    <w:rsid w:val="4D341814"/>
    <w:rsid w:val="4D4C550D"/>
    <w:rsid w:val="4D637695"/>
    <w:rsid w:val="4D651E96"/>
    <w:rsid w:val="4D84680C"/>
    <w:rsid w:val="4DC32BE1"/>
    <w:rsid w:val="4E772F1B"/>
    <w:rsid w:val="4E9B5FEF"/>
    <w:rsid w:val="4F732AC8"/>
    <w:rsid w:val="50160B0D"/>
    <w:rsid w:val="50412BC6"/>
    <w:rsid w:val="50A019DC"/>
    <w:rsid w:val="50B11AF9"/>
    <w:rsid w:val="518E5997"/>
    <w:rsid w:val="519531C9"/>
    <w:rsid w:val="51BB7745"/>
    <w:rsid w:val="51DF2696"/>
    <w:rsid w:val="52173BDE"/>
    <w:rsid w:val="522E480F"/>
    <w:rsid w:val="524B7D2C"/>
    <w:rsid w:val="524D058D"/>
    <w:rsid w:val="52733A14"/>
    <w:rsid w:val="52D970E6"/>
    <w:rsid w:val="53F87A3F"/>
    <w:rsid w:val="5406215C"/>
    <w:rsid w:val="54324CFF"/>
    <w:rsid w:val="543505B5"/>
    <w:rsid w:val="54617393"/>
    <w:rsid w:val="54983203"/>
    <w:rsid w:val="54B716A8"/>
    <w:rsid w:val="54C16083"/>
    <w:rsid w:val="54F00716"/>
    <w:rsid w:val="54F10CF7"/>
    <w:rsid w:val="551562AB"/>
    <w:rsid w:val="553E5926"/>
    <w:rsid w:val="55913271"/>
    <w:rsid w:val="56105181"/>
    <w:rsid w:val="5611120D"/>
    <w:rsid w:val="569577C7"/>
    <w:rsid w:val="56A96DCF"/>
    <w:rsid w:val="56B66F7F"/>
    <w:rsid w:val="57346FE0"/>
    <w:rsid w:val="574B7E86"/>
    <w:rsid w:val="579E26AC"/>
    <w:rsid w:val="57C540DC"/>
    <w:rsid w:val="57D0303B"/>
    <w:rsid w:val="57DD1426"/>
    <w:rsid w:val="57E5652D"/>
    <w:rsid w:val="58C83E84"/>
    <w:rsid w:val="590D1897"/>
    <w:rsid w:val="59121BBE"/>
    <w:rsid w:val="592F5CB1"/>
    <w:rsid w:val="5997329F"/>
    <w:rsid w:val="59C10F72"/>
    <w:rsid w:val="5A025174"/>
    <w:rsid w:val="5A315A59"/>
    <w:rsid w:val="5A360908"/>
    <w:rsid w:val="5A7A577C"/>
    <w:rsid w:val="5AAC1A46"/>
    <w:rsid w:val="5B296730"/>
    <w:rsid w:val="5B475739"/>
    <w:rsid w:val="5B6B47E0"/>
    <w:rsid w:val="5D415FB3"/>
    <w:rsid w:val="5DCA41FA"/>
    <w:rsid w:val="5DCD3CEB"/>
    <w:rsid w:val="5DE27796"/>
    <w:rsid w:val="5DEB789F"/>
    <w:rsid w:val="5E5166CA"/>
    <w:rsid w:val="5F13572D"/>
    <w:rsid w:val="5FE61094"/>
    <w:rsid w:val="5FF82CFA"/>
    <w:rsid w:val="60480B7C"/>
    <w:rsid w:val="60C70EC5"/>
    <w:rsid w:val="61403446"/>
    <w:rsid w:val="61587D6F"/>
    <w:rsid w:val="616137A3"/>
    <w:rsid w:val="62AA57CF"/>
    <w:rsid w:val="62B45479"/>
    <w:rsid w:val="632223E3"/>
    <w:rsid w:val="63367C3C"/>
    <w:rsid w:val="6370314E"/>
    <w:rsid w:val="6502071E"/>
    <w:rsid w:val="65085608"/>
    <w:rsid w:val="657871BD"/>
    <w:rsid w:val="658C7FE7"/>
    <w:rsid w:val="65DE652D"/>
    <w:rsid w:val="65F75DA9"/>
    <w:rsid w:val="66074996"/>
    <w:rsid w:val="664B7EA3"/>
    <w:rsid w:val="66546D57"/>
    <w:rsid w:val="666F0E0F"/>
    <w:rsid w:val="66D954AE"/>
    <w:rsid w:val="66E3632D"/>
    <w:rsid w:val="66ED7316"/>
    <w:rsid w:val="67065B78"/>
    <w:rsid w:val="67A07D7A"/>
    <w:rsid w:val="68195C28"/>
    <w:rsid w:val="683A33C3"/>
    <w:rsid w:val="685968A7"/>
    <w:rsid w:val="689C4889"/>
    <w:rsid w:val="69230C63"/>
    <w:rsid w:val="69287815"/>
    <w:rsid w:val="693D7F76"/>
    <w:rsid w:val="69603C65"/>
    <w:rsid w:val="696073DC"/>
    <w:rsid w:val="696F20FA"/>
    <w:rsid w:val="699029A4"/>
    <w:rsid w:val="69A67200"/>
    <w:rsid w:val="69BF098B"/>
    <w:rsid w:val="69DF2DDC"/>
    <w:rsid w:val="6A093E3B"/>
    <w:rsid w:val="6A2829D5"/>
    <w:rsid w:val="6A2B4273"/>
    <w:rsid w:val="6A8120E5"/>
    <w:rsid w:val="6AA858C3"/>
    <w:rsid w:val="6B001A20"/>
    <w:rsid w:val="6B5E2426"/>
    <w:rsid w:val="6BF07522"/>
    <w:rsid w:val="6C1256EA"/>
    <w:rsid w:val="6C731F01"/>
    <w:rsid w:val="6CED5810"/>
    <w:rsid w:val="6D0D7BDF"/>
    <w:rsid w:val="6D77ABF2"/>
    <w:rsid w:val="6D9FD6B3"/>
    <w:rsid w:val="6DC353B5"/>
    <w:rsid w:val="6DC90AF1"/>
    <w:rsid w:val="6E281337"/>
    <w:rsid w:val="6E7D027E"/>
    <w:rsid w:val="6E873A42"/>
    <w:rsid w:val="6E9C573F"/>
    <w:rsid w:val="6ECD2434"/>
    <w:rsid w:val="6EF47329"/>
    <w:rsid w:val="6F457B85"/>
    <w:rsid w:val="6F5F3876"/>
    <w:rsid w:val="6F72024E"/>
    <w:rsid w:val="6F745D74"/>
    <w:rsid w:val="6FB865A9"/>
    <w:rsid w:val="6FE23626"/>
    <w:rsid w:val="70022BE6"/>
    <w:rsid w:val="7003234B"/>
    <w:rsid w:val="70252A2E"/>
    <w:rsid w:val="70310109"/>
    <w:rsid w:val="70562548"/>
    <w:rsid w:val="70981F36"/>
    <w:rsid w:val="727B1B10"/>
    <w:rsid w:val="729130E1"/>
    <w:rsid w:val="730833A3"/>
    <w:rsid w:val="731C6E4F"/>
    <w:rsid w:val="734B0C60"/>
    <w:rsid w:val="73FF1BF8"/>
    <w:rsid w:val="74017DF2"/>
    <w:rsid w:val="74650038"/>
    <w:rsid w:val="747700FF"/>
    <w:rsid w:val="75357D54"/>
    <w:rsid w:val="75DC4673"/>
    <w:rsid w:val="760075B9"/>
    <w:rsid w:val="767553EF"/>
    <w:rsid w:val="76B80C3C"/>
    <w:rsid w:val="76CF41D8"/>
    <w:rsid w:val="771340C5"/>
    <w:rsid w:val="77906251"/>
    <w:rsid w:val="78030C0D"/>
    <w:rsid w:val="78063C29"/>
    <w:rsid w:val="780D6D66"/>
    <w:rsid w:val="7820319C"/>
    <w:rsid w:val="786D5795"/>
    <w:rsid w:val="78C80F3C"/>
    <w:rsid w:val="79112F30"/>
    <w:rsid w:val="79132AA2"/>
    <w:rsid w:val="79305402"/>
    <w:rsid w:val="798E2128"/>
    <w:rsid w:val="79EE2BC7"/>
    <w:rsid w:val="79F774AC"/>
    <w:rsid w:val="7A170370"/>
    <w:rsid w:val="7A41719B"/>
    <w:rsid w:val="7A5E3D83"/>
    <w:rsid w:val="7AE2272C"/>
    <w:rsid w:val="7AF133F5"/>
    <w:rsid w:val="7B6C6499"/>
    <w:rsid w:val="7B7FBC96"/>
    <w:rsid w:val="7BBC11CF"/>
    <w:rsid w:val="7C4453CC"/>
    <w:rsid w:val="7C5702FB"/>
    <w:rsid w:val="7C7CBA55"/>
    <w:rsid w:val="7CC40889"/>
    <w:rsid w:val="7CD24A22"/>
    <w:rsid w:val="7CFB253F"/>
    <w:rsid w:val="7D075449"/>
    <w:rsid w:val="7D2232B3"/>
    <w:rsid w:val="7D423956"/>
    <w:rsid w:val="7D7F368B"/>
    <w:rsid w:val="7EBFECB9"/>
    <w:rsid w:val="7F8C0EB8"/>
    <w:rsid w:val="7FB56661"/>
    <w:rsid w:val="7FC809A3"/>
    <w:rsid w:val="F9FA2018"/>
    <w:rsid w:val="FFEDA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numPr>
        <w:ilvl w:val="3"/>
        <w:numId w:val="1"/>
      </w:numPr>
      <w:tabs>
        <w:tab w:val="left" w:pos="2351"/>
      </w:tabs>
      <w:spacing w:before="280" w:after="290" w:line="372" w:lineRule="auto"/>
      <w:outlineLvl w:val="3"/>
    </w:pPr>
    <w:rPr>
      <w:rFonts w:ascii="Arial" w:hAnsi="Arial" w:eastAsia="黑体"/>
    </w:rPr>
  </w:style>
  <w:style w:type="paragraph" w:styleId="6">
    <w:name w:val="heading 5"/>
    <w:basedOn w:val="1"/>
    <w:next w:val="1"/>
    <w:unhideWhenUsed/>
    <w:qFormat/>
    <w:uiPriority w:val="0"/>
    <w:pPr>
      <w:keepNext/>
      <w:keepLines/>
      <w:numPr>
        <w:ilvl w:val="4"/>
        <w:numId w:val="1"/>
      </w:numPr>
      <w:spacing w:before="280" w:after="290" w:line="372" w:lineRule="auto"/>
      <w:outlineLvl w:val="4"/>
    </w:pPr>
    <w:rPr>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next w:val="1"/>
    <w:qFormat/>
    <w:uiPriority w:val="0"/>
    <w:pPr>
      <w:tabs>
        <w:tab w:val="left" w:pos="2160"/>
      </w:tabs>
      <w:ind w:left="2159" w:leftChars="1028" w:firstLine="1"/>
    </w:pPr>
    <w:rPr>
      <w:rFonts w:ascii="宋体" w:hAnsi="宋体"/>
      <w:sz w:val="21"/>
      <w:szCs w:val="21"/>
    </w:rPr>
  </w:style>
  <w:style w:type="paragraph" w:styleId="1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kern w:val="0"/>
      <w:sz w:val="20"/>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szCs w:val="20"/>
    </w:rPr>
  </w:style>
  <w:style w:type="paragraph" w:styleId="16">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9">
    <w:name w:val="Body Text First Indent"/>
    <w:basedOn w:val="9"/>
    <w:next w:val="1"/>
    <w:unhideWhenUsed/>
    <w:qFormat/>
    <w:uiPriority w:val="99"/>
    <w:pPr>
      <w:tabs>
        <w:tab w:val="left" w:pos="360"/>
      </w:tabs>
      <w:adjustRightInd w:val="0"/>
      <w:spacing w:after="0" w:line="312" w:lineRule="atLeast"/>
      <w:ind w:firstLine="482"/>
      <w:textAlignment w:val="baseline"/>
    </w:pPr>
    <w:rPr>
      <w:rFonts w:ascii="宋体" w:hAnsi="宋体" w:cs="宋体"/>
      <w:kern w:val="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99"/>
    <w:rPr>
      <w:color w:val="800080"/>
      <w:u w:val="none"/>
    </w:rPr>
  </w:style>
  <w:style w:type="character" w:styleId="26">
    <w:name w:val="Emphasis"/>
    <w:basedOn w:val="22"/>
    <w:qFormat/>
    <w:uiPriority w:val="0"/>
    <w:rPr>
      <w:b/>
      <w:bCs/>
    </w:rPr>
  </w:style>
  <w:style w:type="character" w:styleId="27">
    <w:name w:val="HTML Definition"/>
    <w:basedOn w:val="22"/>
    <w:qFormat/>
    <w:uiPriority w:val="0"/>
  </w:style>
  <w:style w:type="character" w:styleId="28">
    <w:name w:val="HTML Typewriter"/>
    <w:basedOn w:val="22"/>
    <w:qFormat/>
    <w:uiPriority w:val="0"/>
    <w:rPr>
      <w:rFonts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qFormat/>
    <w:uiPriority w:val="99"/>
    <w:rPr>
      <w:color w:val="000099"/>
      <w:u w:val="none"/>
    </w:rPr>
  </w:style>
  <w:style w:type="character" w:styleId="32">
    <w:name w:val="HTML Code"/>
    <w:basedOn w:val="22"/>
    <w:qFormat/>
    <w:uiPriority w:val="0"/>
    <w:rPr>
      <w:rFonts w:hint="default" w:ascii="monospace" w:hAnsi="monospace" w:eastAsia="monospace" w:cs="monospace"/>
      <w:sz w:val="20"/>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paragraph" w:customStyle="1" w:styleId="36">
    <w:name w:val="一级条标题"/>
    <w:basedOn w:val="37"/>
    <w:next w:val="38"/>
    <w:qFormat/>
    <w:uiPriority w:val="99"/>
    <w:pPr>
      <w:spacing w:line="240" w:lineRule="auto"/>
      <w:ind w:left="420"/>
      <w:outlineLvl w:val="2"/>
    </w:pPr>
  </w:style>
  <w:style w:type="paragraph" w:customStyle="1" w:styleId="37">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8">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9">
    <w:name w:val="纯文本1"/>
    <w:basedOn w:val="1"/>
    <w:qFormat/>
    <w:uiPriority w:val="0"/>
    <w:rPr>
      <w:rFonts w:ascii="宋体" w:hAnsi="Courier New"/>
      <w:szCs w:val="21"/>
    </w:rPr>
  </w:style>
  <w:style w:type="paragraph" w:customStyle="1" w:styleId="4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1">
    <w:name w:val="List Paragraph"/>
    <w:basedOn w:val="1"/>
    <w:unhideWhenUsed/>
    <w:qFormat/>
    <w:uiPriority w:val="99"/>
    <w:pPr>
      <w:ind w:firstLine="420" w:firstLineChars="200"/>
    </w:pPr>
  </w:style>
  <w:style w:type="paragraph" w:customStyle="1" w:styleId="4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43">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font112"/>
    <w:basedOn w:val="22"/>
    <w:qFormat/>
    <w:uiPriority w:val="0"/>
    <w:rPr>
      <w:rFonts w:ascii="Symbol" w:hAnsi="Symbol" w:cs="Symbol"/>
      <w:color w:val="000000"/>
      <w:sz w:val="24"/>
      <w:szCs w:val="24"/>
      <w:u w:val="none"/>
    </w:rPr>
  </w:style>
  <w:style w:type="character" w:customStyle="1" w:styleId="45">
    <w:name w:val="font61"/>
    <w:basedOn w:val="22"/>
    <w:qFormat/>
    <w:uiPriority w:val="0"/>
    <w:rPr>
      <w:rFonts w:hint="eastAsia" w:ascii="宋体" w:hAnsi="宋体" w:eastAsia="宋体" w:cs="宋体"/>
      <w:color w:val="000000"/>
      <w:sz w:val="24"/>
      <w:szCs w:val="24"/>
      <w:u w:val="none"/>
    </w:rPr>
  </w:style>
  <w:style w:type="paragraph" w:customStyle="1" w:styleId="46">
    <w:name w:val="TOC 标题1"/>
    <w:basedOn w:val="2"/>
    <w:next w:val="1"/>
    <w:qFormat/>
    <w:uiPriority w:val="39"/>
    <w:pPr>
      <w:spacing w:before="480" w:line="276" w:lineRule="auto"/>
      <w:outlineLvl w:val="9"/>
    </w:pPr>
    <w:rPr>
      <w:rFonts w:ascii="仿宋" w:hAnsi="仿宋" w:eastAsia="仿宋"/>
      <w:color w:val="000000"/>
      <w:kern w:val="0"/>
      <w:sz w:val="32"/>
      <w:szCs w:val="32"/>
    </w:rPr>
  </w:style>
  <w:style w:type="paragraph" w:customStyle="1" w:styleId="47">
    <w:name w:val="标题 5（有编号）（绿盟科技）"/>
    <w:basedOn w:val="1"/>
    <w:next w:val="48"/>
    <w:qFormat/>
    <w:uiPriority w:val="0"/>
    <w:pPr>
      <w:keepNext/>
      <w:keepLines/>
      <w:numPr>
        <w:ilvl w:val="4"/>
        <w:numId w:val="2"/>
      </w:numPr>
      <w:spacing w:before="280" w:after="156" w:line="377" w:lineRule="auto"/>
      <w:outlineLvl w:val="4"/>
    </w:pPr>
    <w:rPr>
      <w:rFonts w:eastAsia="黑体"/>
      <w:b/>
      <w:szCs w:val="28"/>
    </w:rPr>
  </w:style>
  <w:style w:type="paragraph" w:customStyle="1" w:styleId="48">
    <w:name w:val="正文（绿盟科技）"/>
    <w:next w:val="47"/>
    <w:qFormat/>
    <w:uiPriority w:val="0"/>
    <w:pPr>
      <w:spacing w:line="300" w:lineRule="auto"/>
    </w:pPr>
    <w:rPr>
      <w:rFonts w:ascii="Times New Roman" w:hAnsi="Times New Roman" w:eastAsia="宋体" w:cs="黑体"/>
      <w:sz w:val="21"/>
      <w:szCs w:val="21"/>
      <w:lang w:val="en-US" w:eastAsia="zh-CN" w:bidi="ar-SA"/>
    </w:rPr>
  </w:style>
  <w:style w:type="table" w:customStyle="1" w:styleId="49">
    <w:name w:val="网格型4"/>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51">
    <w:name w:val="1级"/>
    <w:basedOn w:val="2"/>
    <w:qFormat/>
    <w:uiPriority w:val="0"/>
    <w:pPr>
      <w:autoSpaceDE w:val="0"/>
      <w:autoSpaceDN w:val="0"/>
      <w:adjustRightInd w:val="0"/>
      <w:spacing w:before="240" w:after="120" w:line="240" w:lineRule="auto"/>
      <w:ind w:left="432"/>
      <w:jc w:val="left"/>
    </w:pPr>
    <w:rPr>
      <w:rFonts w:ascii="Copperplate Gothic Bold" w:hAnsi="Copperplate Gothic Bold"/>
      <w:kern w:val="32"/>
      <w:sz w:val="28"/>
    </w:rPr>
  </w:style>
  <w:style w:type="paragraph" w:customStyle="1" w:styleId="52">
    <w:name w:val="表格"/>
    <w:basedOn w:val="1"/>
    <w:qFormat/>
    <w:uiPriority w:val="0"/>
    <w:pPr>
      <w:widowControl/>
      <w:jc w:val="center"/>
    </w:pPr>
    <w:rPr>
      <w:rFonts w:ascii="宋体" w:hAnsi="宋体" w:eastAsia="宋体" w:cs="Tahoma"/>
      <w:kern w:val="0"/>
      <w:sz w:val="24"/>
      <w:szCs w:val="20"/>
    </w:rPr>
  </w:style>
  <w:style w:type="character" w:customStyle="1" w:styleId="53">
    <w:name w:val="font21"/>
    <w:basedOn w:val="22"/>
    <w:qFormat/>
    <w:uiPriority w:val="0"/>
    <w:rPr>
      <w:rFonts w:hint="default" w:ascii="Times New Roman" w:hAnsi="Times New Roman" w:cs="Times New Roman"/>
      <w:color w:val="000000"/>
      <w:sz w:val="21"/>
      <w:szCs w:val="21"/>
      <w:u w:val="none"/>
    </w:rPr>
  </w:style>
  <w:style w:type="character" w:customStyle="1" w:styleId="54">
    <w:name w:val="font51"/>
    <w:basedOn w:val="22"/>
    <w:qFormat/>
    <w:uiPriority w:val="0"/>
    <w:rPr>
      <w:rFonts w:hint="eastAsia" w:ascii="宋体" w:hAnsi="宋体" w:eastAsia="宋体" w:cs="宋体"/>
      <w:color w:val="000000"/>
      <w:sz w:val="21"/>
      <w:szCs w:val="21"/>
      <w:u w:val="none"/>
    </w:rPr>
  </w:style>
  <w:style w:type="paragraph" w:customStyle="1" w:styleId="55">
    <w:name w:val="正文文本缩进 21"/>
    <w:qFormat/>
    <w:uiPriority w:val="0"/>
    <w:pPr>
      <w:widowControl w:val="0"/>
      <w:suppressAutoHyphens/>
      <w:spacing w:after="120" w:line="480" w:lineRule="auto"/>
      <w:ind w:left="420" w:firstLine="420"/>
      <w:jc w:val="both"/>
    </w:pPr>
    <w:rPr>
      <w:rFonts w:ascii="Arial" w:hAnsi="Arial" w:eastAsia="宋体" w:cs="Times New Roman"/>
      <w:kern w:val="1"/>
      <w:sz w:val="24"/>
      <w:szCs w:val="24"/>
      <w:lang w:val="en-US" w:eastAsia="ar-SA" w:bidi="ar-SA"/>
    </w:rPr>
  </w:style>
  <w:style w:type="character" w:customStyle="1" w:styleId="56">
    <w:name w:val="标题 3 Char"/>
    <w:link w:val="4"/>
    <w:qFormat/>
    <w:uiPriority w:val="0"/>
    <w:rPr>
      <w:b/>
      <w:sz w:val="32"/>
    </w:rPr>
  </w:style>
  <w:style w:type="paragraph" w:customStyle="1" w:styleId="57">
    <w:name w:val="UserStyle_0"/>
    <w:basedOn w:val="1"/>
    <w:qFormat/>
    <w:uiPriority w:val="0"/>
    <w:pPr>
      <w:ind w:firstLine="420"/>
    </w:pPr>
    <w:rPr>
      <w:rFonts w:ascii="Calibri" w:hAnsi="Calibri"/>
      <w:szCs w:val="22"/>
    </w:rPr>
  </w:style>
  <w:style w:type="paragraph" w:customStyle="1" w:styleId="58">
    <w:name w:val="d正文"/>
    <w:basedOn w:val="1"/>
    <w:qFormat/>
    <w:uiPriority w:val="0"/>
    <w:pPr>
      <w:ind w:firstLine="480" w:firstLineChars="200"/>
    </w:pPr>
    <w:rPr>
      <w:rFonts w:ascii="Times New Roman" w:hAnsi="Times New Roman" w:eastAsia="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172</Pages>
  <Words>124789</Words>
  <Characters>130416</Characters>
  <Lines>516</Lines>
  <Paragraphs>145</Paragraphs>
  <TotalTime>49</TotalTime>
  <ScaleCrop>false</ScaleCrop>
  <LinksUpToDate>false</LinksUpToDate>
  <CharactersWithSpaces>133705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2024-04-08T15:10:00Z</dcterms:created>
  <dc:creator>一切都好</dc:creator>
  <cp:lastModifiedBy>青</cp:lastModifiedBy>
  <cp:lastPrinted>2024-10-12T08:56:00Z</cp:lastPrinted>
  <dcterms:modified xsi:type="dcterms:W3CDTF">2024-10-14T08:47:16Z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1D4DCAC739BC4747BE715631AB5A63F0_13</vt:lpwstr>
  </property>
</Properties>
</file>