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48FE14">
      <w:pPr>
        <w:spacing w:line="360" w:lineRule="auto"/>
        <w:ind w:firstLine="2349"/>
        <w:rPr>
          <w:rFonts w:ascii="宋体" w:hAnsi="宋体"/>
          <w:b/>
          <w:sz w:val="52"/>
          <w:szCs w:val="52"/>
        </w:rPr>
      </w:pPr>
    </w:p>
    <w:p w14:paraId="1ED017B9">
      <w:pPr>
        <w:spacing w:line="360" w:lineRule="auto"/>
        <w:rPr>
          <w:rFonts w:hint="eastAsia" w:ascii="方正楷体_GBK" w:hAnsi="宋体" w:eastAsia="方正楷体_GBK" w:cs="华文中宋"/>
          <w:b/>
          <w:color w:val="000000"/>
          <w:sz w:val="36"/>
          <w:szCs w:val="36"/>
          <w:lang w:val="zh-CN"/>
        </w:rPr>
      </w:pPr>
    </w:p>
    <w:p w14:paraId="6F6AA52D">
      <w:pPr>
        <w:spacing w:line="360" w:lineRule="auto"/>
        <w:ind w:firstLine="723"/>
        <w:rPr>
          <w:rFonts w:hint="eastAsia" w:ascii="方正楷体_GBK" w:hAnsi="宋体" w:eastAsia="方正楷体_GBK" w:cs="华文中宋"/>
          <w:b/>
          <w:color w:val="000000"/>
          <w:sz w:val="36"/>
          <w:szCs w:val="36"/>
          <w:lang w:val="zh-CN"/>
        </w:rPr>
      </w:pPr>
    </w:p>
    <w:p w14:paraId="7B6356C8">
      <w:pPr>
        <w:spacing w:line="360" w:lineRule="auto"/>
        <w:jc w:val="center"/>
        <w:rPr>
          <w:rFonts w:hint="eastAsia" w:ascii="方正楷体_GBK" w:hAnsi="宋体" w:eastAsia="方正楷体_GBK" w:cs="华文中宋"/>
          <w:b/>
          <w:color w:val="000000"/>
          <w:sz w:val="90"/>
          <w:szCs w:val="90"/>
          <w:lang w:val="zh-CN"/>
        </w:rPr>
      </w:pPr>
      <w:r>
        <w:rPr>
          <w:rFonts w:hint="eastAsia" w:ascii="宋体" w:hAnsi="宋体" w:cs="华文行楷"/>
          <w:b/>
          <w:sz w:val="90"/>
          <w:szCs w:val="90"/>
          <w:lang w:val="zh-CN"/>
        </w:rPr>
        <w:t>刚察县政府采购</w:t>
      </w:r>
    </w:p>
    <w:p w14:paraId="1B14A1F4">
      <w:pPr>
        <w:spacing w:line="360" w:lineRule="auto"/>
        <w:jc w:val="center"/>
        <w:rPr>
          <w:rFonts w:hint="eastAsia" w:ascii="华文楷体" w:hAnsi="华文楷体" w:eastAsia="华文楷体" w:cs="华文楷体"/>
          <w:b/>
          <w:color w:val="000000"/>
          <w:sz w:val="84"/>
          <w:szCs w:val="84"/>
          <w:lang w:val="zh-CN"/>
        </w:rPr>
      </w:pPr>
      <w:r>
        <w:rPr>
          <w:rFonts w:hint="eastAsia" w:ascii="宋体" w:hAnsi="宋体" w:cs="华文行楷"/>
          <w:b/>
          <w:sz w:val="90"/>
          <w:szCs w:val="90"/>
          <w:lang w:val="zh-CN"/>
        </w:rPr>
        <w:t>招标文件</w:t>
      </w:r>
    </w:p>
    <w:p w14:paraId="5A2CA996">
      <w:pPr>
        <w:spacing w:line="360" w:lineRule="auto"/>
        <w:jc w:val="center"/>
        <w:rPr>
          <w:rFonts w:hint="eastAsia" w:ascii="华文楷体" w:hAnsi="华文楷体" w:eastAsia="华文楷体" w:cs="华文楷体"/>
        </w:rPr>
      </w:pPr>
    </w:p>
    <w:p w14:paraId="572307E5">
      <w:pPr>
        <w:spacing w:line="360" w:lineRule="auto"/>
        <w:rPr>
          <w:rFonts w:hint="eastAsia" w:ascii="宋体" w:hAnsi="宋体" w:cs="宋体"/>
          <w:color w:val="000000"/>
          <w:sz w:val="36"/>
          <w:szCs w:val="36"/>
        </w:rPr>
      </w:pPr>
      <w:r>
        <w:rPr>
          <w:rFonts w:hint="eastAsia" w:ascii="宋体" w:hAnsi="宋体" w:cs="宋体"/>
          <w:color w:val="000000"/>
          <w:sz w:val="36"/>
          <w:szCs w:val="36"/>
        </w:rPr>
        <w:t xml:space="preserve"> </w:t>
      </w:r>
    </w:p>
    <w:p w14:paraId="64540D16">
      <w:pPr>
        <w:spacing w:line="360" w:lineRule="auto"/>
        <w:jc w:val="left"/>
        <w:rPr>
          <w:rFonts w:hint="eastAsia" w:ascii="宋体" w:hAnsi="宋体" w:cs="宋体"/>
          <w:color w:val="000000"/>
          <w:sz w:val="36"/>
          <w:szCs w:val="36"/>
          <w:u w:val="single"/>
        </w:rPr>
      </w:pPr>
    </w:p>
    <w:p w14:paraId="4D597FE7">
      <w:pPr>
        <w:spacing w:line="360" w:lineRule="auto"/>
        <w:jc w:val="left"/>
        <w:rPr>
          <w:rFonts w:hint="eastAsia" w:ascii="宋体" w:hAnsi="宋体" w:cs="宋体"/>
          <w:color w:val="000000"/>
          <w:sz w:val="36"/>
          <w:szCs w:val="36"/>
          <w:u w:val="single"/>
        </w:rPr>
      </w:pPr>
    </w:p>
    <w:p w14:paraId="7CD23482">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采购项目编号：刚政采公招（货物）2024-001L号</w:t>
      </w:r>
    </w:p>
    <w:p w14:paraId="18CF589C">
      <w:pPr>
        <w:spacing w:line="360" w:lineRule="auto"/>
        <w:ind w:left="3308" w:hanging="2108"/>
        <w:jc w:val="left"/>
        <w:rPr>
          <w:rFonts w:hint="eastAsia" w:ascii="宋体" w:hAnsi="宋体" w:cs="宋体"/>
          <w:b/>
          <w:bCs/>
          <w:color w:val="000000"/>
          <w:sz w:val="30"/>
          <w:szCs w:val="30"/>
        </w:rPr>
      </w:pPr>
      <w:r>
        <w:rPr>
          <w:rFonts w:hint="eastAsia" w:ascii="宋体" w:hAnsi="宋体" w:cs="宋体"/>
          <w:b/>
          <w:bCs/>
          <w:color w:val="000000"/>
          <w:sz w:val="30"/>
          <w:szCs w:val="30"/>
          <w:lang w:val="zh-CN"/>
        </w:rPr>
        <w:t>采购项目名称：刚察县公安局执法办案管理中心信息化建设项目</w:t>
      </w:r>
    </w:p>
    <w:p w14:paraId="275B2B87">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单</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位</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：刚察县公安局</w:t>
      </w:r>
    </w:p>
    <w:p w14:paraId="62D876D4">
      <w:pPr>
        <w:spacing w:line="360" w:lineRule="auto"/>
        <w:jc w:val="center"/>
        <w:rPr>
          <w:rFonts w:hint="eastAsia" w:ascii="宋体" w:hAnsi="宋体" w:cs="宋体"/>
          <w:b/>
          <w:bCs/>
          <w:color w:val="000000"/>
          <w:sz w:val="30"/>
          <w:szCs w:val="30"/>
          <w:lang w:val="zh-CN"/>
        </w:rPr>
      </w:pPr>
    </w:p>
    <w:p w14:paraId="6D288AC4">
      <w:pPr>
        <w:spacing w:line="360" w:lineRule="auto"/>
        <w:ind w:firstLine="1205"/>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机</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构：刚察县政府采购中心</w:t>
      </w:r>
    </w:p>
    <w:p w14:paraId="6F24FC03">
      <w:pPr>
        <w:spacing w:line="360" w:lineRule="auto"/>
        <w:jc w:val="center"/>
        <w:rPr>
          <w:rFonts w:hint="eastAsia" w:ascii="宋体" w:hAnsi="宋体" w:cs="宋体"/>
          <w:b/>
          <w:bCs/>
          <w:color w:val="000000"/>
          <w:sz w:val="30"/>
          <w:szCs w:val="30"/>
          <w:lang w:val="zh-CN"/>
        </w:rPr>
      </w:pPr>
    </w:p>
    <w:p w14:paraId="10A6159F">
      <w:pPr>
        <w:spacing w:line="360" w:lineRule="auto"/>
        <w:jc w:val="center"/>
        <w:rPr>
          <w:rFonts w:hint="eastAsia" w:ascii="宋体" w:hAnsi="宋体" w:cs="宋体"/>
          <w:b/>
          <w:bCs/>
          <w:color w:val="000000"/>
          <w:sz w:val="30"/>
          <w:szCs w:val="30"/>
          <w:lang w:val="zh-CN"/>
        </w:rPr>
      </w:pPr>
      <w:r>
        <w:rPr>
          <w:rFonts w:hint="eastAsia" w:ascii="宋体" w:hAnsi="宋体" w:cs="宋体"/>
          <w:b/>
          <w:bCs/>
          <w:color w:val="000000"/>
          <w:sz w:val="30"/>
          <w:szCs w:val="30"/>
          <w:lang w:val="zh-CN"/>
        </w:rPr>
        <w:t>20</w:t>
      </w:r>
      <w:r>
        <w:rPr>
          <w:rFonts w:hint="eastAsia" w:ascii="宋体" w:hAnsi="宋体" w:cs="宋体"/>
          <w:b/>
          <w:bCs/>
          <w:color w:val="000000"/>
          <w:sz w:val="30"/>
          <w:szCs w:val="30"/>
        </w:rPr>
        <w:t>2</w:t>
      </w:r>
      <w:r>
        <w:rPr>
          <w:rFonts w:hint="eastAsia" w:ascii="宋体" w:hAnsi="宋体" w:cs="宋体"/>
          <w:b/>
          <w:bCs/>
          <w:color w:val="000000"/>
          <w:sz w:val="30"/>
          <w:szCs w:val="30"/>
          <w:lang w:val="en-US" w:eastAsia="zh-CN"/>
        </w:rPr>
        <w:t>4</w:t>
      </w:r>
      <w:r>
        <w:rPr>
          <w:rFonts w:hint="eastAsia" w:ascii="宋体" w:hAnsi="宋体" w:cs="宋体"/>
          <w:b/>
          <w:bCs/>
          <w:color w:val="000000"/>
          <w:sz w:val="30"/>
          <w:szCs w:val="30"/>
          <w:lang w:val="zh-CN"/>
        </w:rPr>
        <w:t>年</w:t>
      </w:r>
      <w:r>
        <w:rPr>
          <w:rFonts w:hint="eastAsia" w:ascii="宋体" w:hAnsi="宋体" w:cs="宋体"/>
          <w:b/>
          <w:bCs/>
          <w:color w:val="000000"/>
          <w:sz w:val="30"/>
          <w:szCs w:val="30"/>
          <w:lang w:val="en-US" w:eastAsia="zh-CN"/>
        </w:rPr>
        <w:t>11</w:t>
      </w:r>
      <w:r>
        <w:rPr>
          <w:rFonts w:hint="eastAsia" w:ascii="宋体" w:hAnsi="宋体" w:cs="宋体"/>
          <w:b/>
          <w:bCs/>
          <w:color w:val="000000"/>
          <w:sz w:val="30"/>
          <w:szCs w:val="30"/>
          <w:lang w:val="zh-CN"/>
        </w:rPr>
        <w:t>月</w:t>
      </w:r>
    </w:p>
    <w:p w14:paraId="6E60B27C">
      <w:pPr>
        <w:spacing w:line="360" w:lineRule="auto"/>
        <w:jc w:val="center"/>
        <w:rPr>
          <w:rFonts w:hint="eastAsia" w:ascii="宋体" w:hAnsi="宋体" w:cs="宋体"/>
          <w:color w:val="000000"/>
          <w:sz w:val="40"/>
          <w:szCs w:val="30"/>
        </w:rPr>
      </w:pPr>
      <w:r>
        <w:rPr>
          <w:rFonts w:hint="eastAsia" w:ascii="宋体" w:hAnsi="宋体" w:cs="宋体"/>
          <w:color w:val="000000"/>
          <w:sz w:val="36"/>
          <w:szCs w:val="36"/>
        </w:rPr>
        <w:br w:type="page"/>
      </w:r>
      <w:r>
        <w:rPr>
          <w:rFonts w:hint="eastAsia" w:ascii="宋体" w:hAnsi="宋体" w:cs="宋体"/>
          <w:color w:val="000000"/>
          <w:sz w:val="40"/>
          <w:szCs w:val="30"/>
        </w:rPr>
        <w:t>目  录</w:t>
      </w:r>
    </w:p>
    <w:p w14:paraId="78F7F35A">
      <w:pPr>
        <w:pStyle w:val="227"/>
        <w:tabs>
          <w:tab w:val="right" w:leader="dot" w:pos="8306"/>
        </w:tabs>
      </w:pPr>
      <w:r>
        <w:rPr>
          <w:rFonts w:hint="eastAsia" w:ascii="宋体" w:hAnsi="宋体" w:cs="宋体"/>
          <w:b w:val="0"/>
          <w:bCs w:val="0"/>
          <w:color w:val="000000"/>
          <w:szCs w:val="24"/>
        </w:rPr>
        <w:fldChar w:fldCharType="begin"/>
      </w:r>
      <w:r>
        <w:rPr>
          <w:rStyle w:val="246"/>
          <w:rFonts w:hint="eastAsia" w:ascii="宋体" w:hAnsi="宋体" w:cs="宋体"/>
          <w:szCs w:val="24"/>
        </w:rPr>
        <w:instrText xml:space="preserve"> TOC \o "3-3" \h \z \t "标题 1,2,标题 2,3,标题,1" </w:instrText>
      </w:r>
      <w:r>
        <w:rPr>
          <w:rFonts w:hint="eastAsia" w:ascii="宋体" w:hAnsi="宋体" w:cs="宋体"/>
          <w:b w:val="0"/>
          <w:bCs w:val="0"/>
          <w:color w:val="000000"/>
          <w:szCs w:val="24"/>
        </w:rPr>
        <w:fldChar w:fldCharType="separate"/>
      </w:r>
      <w:r>
        <w:rPr>
          <w:rFonts w:hint="eastAsia" w:ascii="宋体" w:hAnsi="宋体" w:cs="宋体"/>
          <w:bCs w:val="0"/>
          <w:color w:val="000000"/>
          <w:szCs w:val="24"/>
        </w:rPr>
        <w:fldChar w:fldCharType="begin"/>
      </w:r>
      <w:r>
        <w:rPr>
          <w:rFonts w:hint="eastAsia" w:ascii="宋体" w:hAnsi="宋体" w:cs="宋体"/>
          <w:bCs w:val="0"/>
          <w:szCs w:val="24"/>
        </w:rPr>
        <w:instrText xml:space="preserve"> HYPERLINK \l _Toc25415 </w:instrText>
      </w:r>
      <w:r>
        <w:rPr>
          <w:rFonts w:hint="eastAsia" w:ascii="宋体" w:hAnsi="宋体" w:cs="宋体"/>
          <w:bCs w:val="0"/>
          <w:szCs w:val="24"/>
        </w:rPr>
        <w:fldChar w:fldCharType="separate"/>
      </w:r>
      <w:r>
        <w:rPr>
          <w:rFonts w:hint="eastAsia" w:ascii="宋体" w:hAnsi="宋体" w:cs="宋体"/>
          <w:szCs w:val="36"/>
          <w:lang w:val="zh-CN"/>
        </w:rPr>
        <w:t>第一部分  投标邀请</w:t>
      </w:r>
      <w:r>
        <w:tab/>
      </w:r>
      <w:r>
        <w:fldChar w:fldCharType="begin"/>
      </w:r>
      <w:r>
        <w:instrText xml:space="preserve"> PAGEREF _Toc25415 \h </w:instrText>
      </w:r>
      <w:r>
        <w:fldChar w:fldCharType="separate"/>
      </w:r>
      <w:r>
        <w:t>5</w:t>
      </w:r>
      <w:r>
        <w:fldChar w:fldCharType="end"/>
      </w:r>
      <w:r>
        <w:rPr>
          <w:rFonts w:hint="eastAsia" w:ascii="宋体" w:hAnsi="宋体" w:cs="宋体"/>
          <w:bCs w:val="0"/>
          <w:color w:val="000000"/>
          <w:szCs w:val="24"/>
        </w:rPr>
        <w:fldChar w:fldCharType="end"/>
      </w:r>
    </w:p>
    <w:p w14:paraId="04BE832B">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_Toc6896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_Toc6896 \h </w:instrText>
      </w:r>
      <w:r>
        <w:fldChar w:fldCharType="separate"/>
      </w:r>
      <w:r>
        <w:t>8</w:t>
      </w:r>
      <w:r>
        <w:fldChar w:fldCharType="end"/>
      </w:r>
      <w:r>
        <w:rPr>
          <w:rFonts w:hint="eastAsia" w:ascii="宋体" w:hAnsi="宋体" w:cs="宋体"/>
          <w:color w:val="000000"/>
        </w:rPr>
        <w:fldChar w:fldCharType="end"/>
      </w:r>
    </w:p>
    <w:p w14:paraId="187AFA2B">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_Toc27414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_Toc27414 \h </w:instrText>
      </w:r>
      <w:r>
        <w:fldChar w:fldCharType="separate"/>
      </w:r>
      <w:r>
        <w:t>8</w:t>
      </w:r>
      <w:r>
        <w:fldChar w:fldCharType="end"/>
      </w:r>
      <w:r>
        <w:rPr>
          <w:rFonts w:hint="eastAsia" w:ascii="宋体" w:hAnsi="宋体" w:cs="宋体"/>
          <w:color w:val="000000"/>
        </w:rPr>
        <w:fldChar w:fldCharType="end"/>
      </w:r>
    </w:p>
    <w:p w14:paraId="7F82982F">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_Toc4785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_Toc4785 \h </w:instrText>
      </w:r>
      <w:r>
        <w:fldChar w:fldCharType="separate"/>
      </w:r>
      <w:r>
        <w:t>8</w:t>
      </w:r>
      <w:r>
        <w:fldChar w:fldCharType="end"/>
      </w:r>
      <w:r>
        <w:rPr>
          <w:rFonts w:hint="eastAsia" w:ascii="宋体" w:hAnsi="宋体" w:cs="宋体"/>
          <w:color w:val="000000"/>
        </w:rPr>
        <w:fldChar w:fldCharType="end"/>
      </w:r>
    </w:p>
    <w:p w14:paraId="74639318">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_Toc7014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_Toc7014 \h </w:instrText>
      </w:r>
      <w:r>
        <w:fldChar w:fldCharType="separate"/>
      </w:r>
      <w:r>
        <w:t>8</w:t>
      </w:r>
      <w:r>
        <w:fldChar w:fldCharType="end"/>
      </w:r>
      <w:r>
        <w:rPr>
          <w:rFonts w:hint="eastAsia" w:ascii="宋体" w:hAnsi="宋体" w:cs="宋体"/>
          <w:color w:val="000000"/>
        </w:rPr>
        <w:fldChar w:fldCharType="end"/>
      </w:r>
    </w:p>
    <w:p w14:paraId="4AD5DED8">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_Toc27559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_Toc27559 \h </w:instrText>
      </w:r>
      <w:r>
        <w:fldChar w:fldCharType="separate"/>
      </w:r>
      <w:r>
        <w:t>8</w:t>
      </w:r>
      <w:r>
        <w:fldChar w:fldCharType="end"/>
      </w:r>
      <w:r>
        <w:rPr>
          <w:rFonts w:hint="eastAsia" w:ascii="宋体" w:hAnsi="宋体" w:cs="宋体"/>
          <w:color w:val="000000"/>
        </w:rPr>
        <w:fldChar w:fldCharType="end"/>
      </w:r>
    </w:p>
    <w:p w14:paraId="0CB5656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_Toc16631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_Toc16631 \h </w:instrText>
      </w:r>
      <w:r>
        <w:fldChar w:fldCharType="separate"/>
      </w:r>
      <w:r>
        <w:t>8</w:t>
      </w:r>
      <w:r>
        <w:fldChar w:fldCharType="end"/>
      </w:r>
      <w:r>
        <w:rPr>
          <w:rFonts w:hint="eastAsia" w:ascii="宋体" w:hAnsi="宋体" w:cs="宋体"/>
          <w:color w:val="000000"/>
        </w:rPr>
        <w:fldChar w:fldCharType="end"/>
      </w:r>
    </w:p>
    <w:p w14:paraId="44D0F729">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_Toc8001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_Toc8001 \h </w:instrText>
      </w:r>
      <w:r>
        <w:fldChar w:fldCharType="separate"/>
      </w:r>
      <w:r>
        <w:t>8</w:t>
      </w:r>
      <w:r>
        <w:fldChar w:fldCharType="end"/>
      </w:r>
      <w:r>
        <w:rPr>
          <w:rFonts w:hint="eastAsia" w:ascii="宋体" w:hAnsi="宋体" w:cs="宋体"/>
          <w:color w:val="000000"/>
        </w:rPr>
        <w:fldChar w:fldCharType="end"/>
      </w:r>
    </w:p>
    <w:p w14:paraId="52EE27F0">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_Toc6239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_Toc6239 \h </w:instrText>
      </w:r>
      <w:r>
        <w:fldChar w:fldCharType="separate"/>
      </w:r>
      <w:r>
        <w:t>8</w:t>
      </w:r>
      <w:r>
        <w:fldChar w:fldCharType="end"/>
      </w:r>
      <w:r>
        <w:rPr>
          <w:rFonts w:hint="eastAsia" w:ascii="宋体" w:hAnsi="宋体" w:cs="宋体"/>
          <w:color w:val="000000"/>
        </w:rPr>
        <w:fldChar w:fldCharType="end"/>
      </w:r>
    </w:p>
    <w:p w14:paraId="39D2A9F7">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_Toc9472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_Toc9472 \h </w:instrText>
      </w:r>
      <w:r>
        <w:fldChar w:fldCharType="separate"/>
      </w:r>
      <w:r>
        <w:t>9</w:t>
      </w:r>
      <w:r>
        <w:fldChar w:fldCharType="end"/>
      </w:r>
      <w:r>
        <w:rPr>
          <w:rFonts w:hint="eastAsia" w:ascii="宋体" w:hAnsi="宋体" w:cs="宋体"/>
          <w:color w:val="000000"/>
        </w:rPr>
        <w:fldChar w:fldCharType="end"/>
      </w:r>
    </w:p>
    <w:p w14:paraId="0BB240C0">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_Toc15197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_Toc15197 \h </w:instrText>
      </w:r>
      <w:r>
        <w:fldChar w:fldCharType="separate"/>
      </w:r>
      <w:r>
        <w:t>9</w:t>
      </w:r>
      <w:r>
        <w:fldChar w:fldCharType="end"/>
      </w:r>
      <w:r>
        <w:rPr>
          <w:rFonts w:hint="eastAsia" w:ascii="宋体" w:hAnsi="宋体" w:cs="宋体"/>
          <w:color w:val="000000"/>
        </w:rPr>
        <w:fldChar w:fldCharType="end"/>
      </w:r>
    </w:p>
    <w:p w14:paraId="67143F9F">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_Toc5884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_Toc5884 \h </w:instrText>
      </w:r>
      <w:r>
        <w:fldChar w:fldCharType="separate"/>
      </w:r>
      <w:r>
        <w:t>9</w:t>
      </w:r>
      <w:r>
        <w:fldChar w:fldCharType="end"/>
      </w:r>
      <w:r>
        <w:rPr>
          <w:rFonts w:hint="eastAsia" w:ascii="宋体" w:hAnsi="宋体" w:cs="宋体"/>
          <w:color w:val="000000"/>
        </w:rPr>
        <w:fldChar w:fldCharType="end"/>
      </w:r>
    </w:p>
    <w:p w14:paraId="53EBF4A3">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_Toc28078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_Toc28078 \h </w:instrText>
      </w:r>
      <w:r>
        <w:fldChar w:fldCharType="separate"/>
      </w:r>
      <w:r>
        <w:t>10</w:t>
      </w:r>
      <w:r>
        <w:fldChar w:fldCharType="end"/>
      </w:r>
      <w:r>
        <w:rPr>
          <w:rFonts w:hint="eastAsia" w:ascii="宋体" w:hAnsi="宋体" w:cs="宋体"/>
          <w:color w:val="000000"/>
        </w:rPr>
        <w:fldChar w:fldCharType="end"/>
      </w:r>
    </w:p>
    <w:p w14:paraId="5450C478">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_Toc7129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_Toc7129 \h </w:instrText>
      </w:r>
      <w:r>
        <w:fldChar w:fldCharType="separate"/>
      </w:r>
      <w:r>
        <w:t>10</w:t>
      </w:r>
      <w:r>
        <w:fldChar w:fldCharType="end"/>
      </w:r>
      <w:r>
        <w:rPr>
          <w:rFonts w:hint="eastAsia" w:ascii="宋体" w:hAnsi="宋体" w:cs="宋体"/>
          <w:color w:val="000000"/>
        </w:rPr>
        <w:fldChar w:fldCharType="end"/>
      </w:r>
    </w:p>
    <w:p w14:paraId="4AB6F6B4">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_Toc28096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_Toc28096 \h </w:instrText>
      </w:r>
      <w:r>
        <w:fldChar w:fldCharType="separate"/>
      </w:r>
      <w:r>
        <w:t>10</w:t>
      </w:r>
      <w:r>
        <w:fldChar w:fldCharType="end"/>
      </w:r>
      <w:r>
        <w:rPr>
          <w:rFonts w:hint="eastAsia" w:ascii="宋体" w:hAnsi="宋体" w:cs="宋体"/>
          <w:color w:val="000000"/>
        </w:rPr>
        <w:fldChar w:fldCharType="end"/>
      </w:r>
    </w:p>
    <w:p w14:paraId="1CADFD63">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_Toc18760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_Toc18760 \h </w:instrText>
      </w:r>
      <w:r>
        <w:fldChar w:fldCharType="separate"/>
      </w:r>
      <w:r>
        <w:t>11</w:t>
      </w:r>
      <w:r>
        <w:fldChar w:fldCharType="end"/>
      </w:r>
      <w:r>
        <w:rPr>
          <w:rFonts w:hint="eastAsia" w:ascii="宋体" w:hAnsi="宋体" w:cs="宋体"/>
          <w:color w:val="000000"/>
        </w:rPr>
        <w:fldChar w:fldCharType="end"/>
      </w:r>
    </w:p>
    <w:p w14:paraId="5E7A140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_Toc20397 </w:instrText>
      </w:r>
      <w:r>
        <w:rPr>
          <w:rFonts w:hint="eastAsia" w:ascii="宋体" w:hAnsi="宋体" w:cs="宋体"/>
        </w:rPr>
        <w:fldChar w:fldCharType="separate"/>
      </w:r>
      <w:r>
        <w:rPr>
          <w:rFonts w:hint="eastAsia" w:ascii="宋体" w:hAnsi="宋体" w:cs="宋体"/>
          <w:lang w:val="zh-CN"/>
        </w:rPr>
        <w:t>四、电子投标文件的上传</w:t>
      </w:r>
      <w:r>
        <w:tab/>
      </w:r>
      <w:r>
        <w:fldChar w:fldCharType="begin"/>
      </w:r>
      <w:r>
        <w:instrText xml:space="preserve"> PAGEREF _Toc20397 \h </w:instrText>
      </w:r>
      <w:r>
        <w:fldChar w:fldCharType="separate"/>
      </w:r>
      <w:r>
        <w:t>11</w:t>
      </w:r>
      <w:r>
        <w:fldChar w:fldCharType="end"/>
      </w:r>
      <w:r>
        <w:rPr>
          <w:rFonts w:hint="eastAsia" w:ascii="宋体" w:hAnsi="宋体" w:cs="宋体"/>
          <w:color w:val="000000"/>
        </w:rPr>
        <w:fldChar w:fldCharType="end"/>
      </w:r>
    </w:p>
    <w:p w14:paraId="401AC290">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lang w:val="zh-CN"/>
        </w:rPr>
        <w:t xml:space="preserve"> </w:t>
      </w:r>
      <w:r>
        <w:rPr>
          <w:rFonts w:hint="eastAsia" w:ascii="宋体" w:hAnsi="宋体" w:cs="宋体"/>
          <w:szCs w:val="28"/>
          <w:lang w:val="zh-CN"/>
        </w:rPr>
        <w:t>电子投标文件上传</w:t>
      </w:r>
      <w:r>
        <w:tab/>
      </w:r>
      <w:r>
        <w:fldChar w:fldCharType="begin"/>
      </w:r>
      <w:r>
        <w:instrText xml:space="preserve"> PAGEREF _Toc2933 \h </w:instrText>
      </w:r>
      <w:r>
        <w:fldChar w:fldCharType="separate"/>
      </w:r>
      <w:r>
        <w:t>11</w:t>
      </w:r>
      <w:r>
        <w:fldChar w:fldCharType="end"/>
      </w:r>
      <w:r>
        <w:rPr>
          <w:rFonts w:hint="eastAsia" w:ascii="宋体" w:hAnsi="宋体" w:cs="宋体"/>
          <w:color w:val="000000"/>
        </w:rPr>
        <w:fldChar w:fldCharType="end"/>
      </w:r>
    </w:p>
    <w:p w14:paraId="4E047C09">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_Toc23912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_Toc23912 \h </w:instrText>
      </w:r>
      <w:r>
        <w:fldChar w:fldCharType="separate"/>
      </w:r>
      <w:r>
        <w:t>11</w:t>
      </w:r>
      <w:r>
        <w:fldChar w:fldCharType="end"/>
      </w:r>
      <w:r>
        <w:rPr>
          <w:rFonts w:hint="eastAsia" w:ascii="宋体" w:hAnsi="宋体" w:cs="宋体"/>
          <w:color w:val="000000"/>
        </w:rPr>
        <w:fldChar w:fldCharType="end"/>
      </w:r>
    </w:p>
    <w:p w14:paraId="76B12960">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_Toc16669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_Toc16669 \h </w:instrText>
      </w:r>
      <w:r>
        <w:fldChar w:fldCharType="separate"/>
      </w:r>
      <w:r>
        <w:t>11</w:t>
      </w:r>
      <w:r>
        <w:fldChar w:fldCharType="end"/>
      </w:r>
      <w:r>
        <w:rPr>
          <w:rFonts w:hint="eastAsia" w:ascii="宋体" w:hAnsi="宋体" w:cs="宋体"/>
          <w:color w:val="000000"/>
        </w:rPr>
        <w:fldChar w:fldCharType="end"/>
      </w:r>
    </w:p>
    <w:p w14:paraId="539C2CC6">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_Toc3335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_Toc3335 \h </w:instrText>
      </w:r>
      <w:r>
        <w:fldChar w:fldCharType="separate"/>
      </w:r>
      <w:r>
        <w:t>12</w:t>
      </w:r>
      <w:r>
        <w:fldChar w:fldCharType="end"/>
      </w:r>
      <w:r>
        <w:rPr>
          <w:rFonts w:hint="eastAsia" w:ascii="宋体" w:hAnsi="宋体" w:cs="宋体"/>
          <w:color w:val="000000"/>
        </w:rPr>
        <w:fldChar w:fldCharType="end"/>
      </w:r>
    </w:p>
    <w:p w14:paraId="037F44F9">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_Toc31007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_Toc31007 \h </w:instrText>
      </w:r>
      <w:r>
        <w:fldChar w:fldCharType="separate"/>
      </w:r>
      <w:r>
        <w:t>12</w:t>
      </w:r>
      <w:r>
        <w:fldChar w:fldCharType="end"/>
      </w:r>
      <w:r>
        <w:rPr>
          <w:rFonts w:hint="eastAsia" w:ascii="宋体" w:hAnsi="宋体" w:cs="宋体"/>
          <w:color w:val="000000"/>
        </w:rPr>
        <w:fldChar w:fldCharType="end"/>
      </w:r>
    </w:p>
    <w:p w14:paraId="322DA81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_Toc26242 </w:instrText>
      </w:r>
      <w:r>
        <w:rPr>
          <w:rFonts w:hint="eastAsia" w:ascii="宋体" w:hAnsi="宋体" w:cs="宋体"/>
        </w:rPr>
        <w:fldChar w:fldCharType="separate"/>
      </w:r>
      <w:r>
        <w:rPr>
          <w:rFonts w:hint="eastAsia" w:ascii="宋体" w:hAnsi="宋体" w:cs="宋体"/>
          <w:szCs w:val="36"/>
        </w:rPr>
        <w:t>六、资格</w:t>
      </w:r>
      <w:r>
        <w:rPr>
          <w:rFonts w:hint="eastAsia" w:ascii="宋体" w:hAnsi="宋体" w:cs="宋体"/>
          <w:lang w:val="zh-CN"/>
        </w:rPr>
        <w:t>审查</w:t>
      </w:r>
      <w:r>
        <w:rPr>
          <w:rFonts w:hint="eastAsia" w:ascii="宋体" w:hAnsi="宋体" w:cs="宋体"/>
          <w:szCs w:val="36"/>
        </w:rPr>
        <w:t>程序</w:t>
      </w:r>
      <w:r>
        <w:tab/>
      </w:r>
      <w:r>
        <w:fldChar w:fldCharType="begin"/>
      </w:r>
      <w:r>
        <w:instrText xml:space="preserve"> PAGEREF _Toc26242 \h </w:instrText>
      </w:r>
      <w:r>
        <w:fldChar w:fldCharType="separate"/>
      </w:r>
      <w:r>
        <w:t>12</w:t>
      </w:r>
      <w:r>
        <w:fldChar w:fldCharType="end"/>
      </w:r>
      <w:r>
        <w:rPr>
          <w:rFonts w:hint="eastAsia" w:ascii="宋体" w:hAnsi="宋体" w:cs="宋体"/>
          <w:color w:val="000000"/>
        </w:rPr>
        <w:fldChar w:fldCharType="end"/>
      </w:r>
    </w:p>
    <w:p w14:paraId="26458DC8">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_Toc26052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_Toc26052 \h </w:instrText>
      </w:r>
      <w:r>
        <w:fldChar w:fldCharType="separate"/>
      </w:r>
      <w:r>
        <w:t>12</w:t>
      </w:r>
      <w:r>
        <w:fldChar w:fldCharType="end"/>
      </w:r>
      <w:r>
        <w:rPr>
          <w:rFonts w:hint="eastAsia" w:ascii="宋体" w:hAnsi="宋体" w:cs="宋体"/>
          <w:color w:val="000000"/>
        </w:rPr>
        <w:fldChar w:fldCharType="end"/>
      </w:r>
    </w:p>
    <w:p w14:paraId="514E9694">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_Toc15470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_Toc15470 \h </w:instrText>
      </w:r>
      <w:r>
        <w:fldChar w:fldCharType="separate"/>
      </w:r>
      <w:r>
        <w:t>12</w:t>
      </w:r>
      <w:r>
        <w:fldChar w:fldCharType="end"/>
      </w:r>
      <w:r>
        <w:rPr>
          <w:rFonts w:hint="eastAsia" w:ascii="宋体" w:hAnsi="宋体" w:cs="宋体"/>
          <w:color w:val="000000"/>
        </w:rPr>
        <w:fldChar w:fldCharType="end"/>
      </w:r>
    </w:p>
    <w:p w14:paraId="118C17D6">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_Toc31504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_Toc31504 \h </w:instrText>
      </w:r>
      <w:r>
        <w:fldChar w:fldCharType="separate"/>
      </w:r>
      <w:r>
        <w:t>12</w:t>
      </w:r>
      <w:r>
        <w:fldChar w:fldCharType="end"/>
      </w:r>
      <w:r>
        <w:rPr>
          <w:rFonts w:hint="eastAsia" w:ascii="宋体" w:hAnsi="宋体" w:cs="宋体"/>
          <w:color w:val="000000"/>
        </w:rPr>
        <w:fldChar w:fldCharType="end"/>
      </w:r>
    </w:p>
    <w:p w14:paraId="3B578CEB">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_Toc30580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_Toc30580 \h </w:instrText>
      </w:r>
      <w:r>
        <w:fldChar w:fldCharType="separate"/>
      </w:r>
      <w:r>
        <w:t>14</w:t>
      </w:r>
      <w:r>
        <w:fldChar w:fldCharType="end"/>
      </w:r>
      <w:r>
        <w:rPr>
          <w:rFonts w:hint="eastAsia" w:ascii="宋体" w:hAnsi="宋体" w:cs="宋体"/>
          <w:color w:val="000000"/>
        </w:rPr>
        <w:fldChar w:fldCharType="end"/>
      </w:r>
    </w:p>
    <w:p w14:paraId="7988E208">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_Toc6366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_Toc6366 \h </w:instrText>
      </w:r>
      <w:r>
        <w:fldChar w:fldCharType="separate"/>
      </w:r>
      <w:r>
        <w:t>16</w:t>
      </w:r>
      <w:r>
        <w:fldChar w:fldCharType="end"/>
      </w:r>
      <w:r>
        <w:rPr>
          <w:rFonts w:hint="eastAsia" w:ascii="宋体" w:hAnsi="宋体" w:cs="宋体"/>
          <w:color w:val="000000"/>
        </w:rPr>
        <w:fldChar w:fldCharType="end"/>
      </w:r>
    </w:p>
    <w:p w14:paraId="678F9EFC">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_Toc29329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_Toc29329 \h </w:instrText>
      </w:r>
      <w:r>
        <w:fldChar w:fldCharType="separate"/>
      </w:r>
      <w:r>
        <w:t>18</w:t>
      </w:r>
      <w:r>
        <w:fldChar w:fldCharType="end"/>
      </w:r>
      <w:r>
        <w:rPr>
          <w:rFonts w:hint="eastAsia" w:ascii="宋体" w:hAnsi="宋体" w:cs="宋体"/>
          <w:color w:val="000000"/>
        </w:rPr>
        <w:fldChar w:fldCharType="end"/>
      </w:r>
    </w:p>
    <w:p w14:paraId="0EA6CFAE">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_Toc26259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_Toc26259 \h </w:instrText>
      </w:r>
      <w:r>
        <w:fldChar w:fldCharType="separate"/>
      </w:r>
      <w:r>
        <w:t>18</w:t>
      </w:r>
      <w:r>
        <w:fldChar w:fldCharType="end"/>
      </w:r>
      <w:r>
        <w:rPr>
          <w:rFonts w:hint="eastAsia" w:ascii="宋体" w:hAnsi="宋体" w:cs="宋体"/>
          <w:color w:val="000000"/>
        </w:rPr>
        <w:fldChar w:fldCharType="end"/>
      </w:r>
    </w:p>
    <w:p w14:paraId="17224F3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_Toc5742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_Toc5742 \h </w:instrText>
      </w:r>
      <w:r>
        <w:fldChar w:fldCharType="separate"/>
      </w:r>
      <w:r>
        <w:t>18</w:t>
      </w:r>
      <w:r>
        <w:fldChar w:fldCharType="end"/>
      </w:r>
      <w:r>
        <w:rPr>
          <w:rFonts w:hint="eastAsia" w:ascii="宋体" w:hAnsi="宋体" w:cs="宋体"/>
          <w:color w:val="000000"/>
        </w:rPr>
        <w:fldChar w:fldCharType="end"/>
      </w:r>
    </w:p>
    <w:p w14:paraId="14C4A15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_Toc30121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_Toc30121 \h </w:instrText>
      </w:r>
      <w:r>
        <w:fldChar w:fldCharType="separate"/>
      </w:r>
      <w:r>
        <w:t>19</w:t>
      </w:r>
      <w:r>
        <w:fldChar w:fldCharType="end"/>
      </w:r>
      <w:r>
        <w:rPr>
          <w:rFonts w:hint="eastAsia" w:ascii="宋体" w:hAnsi="宋体" w:cs="宋体"/>
          <w:color w:val="000000"/>
        </w:rPr>
        <w:fldChar w:fldCharType="end"/>
      </w:r>
    </w:p>
    <w:p w14:paraId="35216001">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_Toc5192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_Toc5192 \h </w:instrText>
      </w:r>
      <w:r>
        <w:fldChar w:fldCharType="separate"/>
      </w:r>
      <w:r>
        <w:t>19</w:t>
      </w:r>
      <w:r>
        <w:fldChar w:fldCharType="end"/>
      </w:r>
      <w:r>
        <w:rPr>
          <w:rFonts w:hint="eastAsia" w:ascii="宋体" w:hAnsi="宋体" w:cs="宋体"/>
          <w:color w:val="000000"/>
        </w:rPr>
        <w:fldChar w:fldCharType="end"/>
      </w:r>
    </w:p>
    <w:p w14:paraId="2F4BEBD1">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_Toc10599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_Toc10599 \h </w:instrText>
      </w:r>
      <w:r>
        <w:fldChar w:fldCharType="separate"/>
      </w:r>
      <w:r>
        <w:t>20</w:t>
      </w:r>
      <w:r>
        <w:fldChar w:fldCharType="end"/>
      </w:r>
      <w:r>
        <w:rPr>
          <w:rFonts w:hint="eastAsia" w:ascii="宋体" w:hAnsi="宋体" w:cs="宋体"/>
          <w:color w:val="000000"/>
        </w:rPr>
        <w:fldChar w:fldCharType="end"/>
      </w:r>
    </w:p>
    <w:p w14:paraId="7C198E45">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_Toc25921 </w:instrText>
      </w:r>
      <w:r>
        <w:rPr>
          <w:rFonts w:hint="eastAsia" w:ascii="宋体" w:hAnsi="宋体" w:cs="宋体"/>
        </w:rPr>
        <w:fldChar w:fldCharType="separate"/>
      </w:r>
      <w:r>
        <w:rPr>
          <w:rFonts w:hint="eastAsia" w:ascii="宋体" w:hAnsi="宋体" w:cs="宋体"/>
          <w:szCs w:val="28"/>
        </w:rPr>
        <w:t>23. 串通投标的情形</w:t>
      </w:r>
      <w:r>
        <w:tab/>
      </w:r>
      <w:r>
        <w:fldChar w:fldCharType="begin"/>
      </w:r>
      <w:r>
        <w:instrText xml:space="preserve"> PAGEREF _Toc25921 \h </w:instrText>
      </w:r>
      <w:r>
        <w:fldChar w:fldCharType="separate"/>
      </w:r>
      <w:r>
        <w:t>20</w:t>
      </w:r>
      <w:r>
        <w:fldChar w:fldCharType="end"/>
      </w:r>
      <w:r>
        <w:rPr>
          <w:rFonts w:hint="eastAsia" w:ascii="宋体" w:hAnsi="宋体" w:cs="宋体"/>
          <w:color w:val="000000"/>
        </w:rPr>
        <w:fldChar w:fldCharType="end"/>
      </w:r>
    </w:p>
    <w:p w14:paraId="028E9BF7">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_Toc5503 </w:instrText>
      </w:r>
      <w:r>
        <w:rPr>
          <w:rFonts w:hint="eastAsia" w:ascii="宋体" w:hAnsi="宋体" w:cs="宋体"/>
        </w:rPr>
        <w:fldChar w:fldCharType="separate"/>
      </w:r>
      <w:r>
        <w:rPr>
          <w:rFonts w:hint="eastAsia" w:ascii="宋体" w:hAnsi="宋体" w:cs="宋体"/>
          <w:szCs w:val="28"/>
        </w:rPr>
        <w:t>24. 废标</w:t>
      </w:r>
      <w:r>
        <w:tab/>
      </w:r>
      <w:r>
        <w:fldChar w:fldCharType="begin"/>
      </w:r>
      <w:r>
        <w:instrText xml:space="preserve"> PAGEREF _Toc5503 \h </w:instrText>
      </w:r>
      <w:r>
        <w:fldChar w:fldCharType="separate"/>
      </w:r>
      <w:r>
        <w:t>20</w:t>
      </w:r>
      <w:r>
        <w:fldChar w:fldCharType="end"/>
      </w:r>
      <w:r>
        <w:rPr>
          <w:rFonts w:hint="eastAsia" w:ascii="宋体" w:hAnsi="宋体" w:cs="宋体"/>
          <w:color w:val="000000"/>
        </w:rPr>
        <w:fldChar w:fldCharType="end"/>
      </w:r>
    </w:p>
    <w:p w14:paraId="2EC9F4D6">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_Toc6418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刚察县政府采购项目合同书范本</w:t>
      </w:r>
      <w:r>
        <w:tab/>
      </w:r>
      <w:r>
        <w:fldChar w:fldCharType="begin"/>
      </w:r>
      <w:r>
        <w:instrText xml:space="preserve"> PAGEREF _Toc6418 \h </w:instrText>
      </w:r>
      <w:r>
        <w:fldChar w:fldCharType="separate"/>
      </w:r>
      <w:r>
        <w:t>22</w:t>
      </w:r>
      <w:r>
        <w:fldChar w:fldCharType="end"/>
      </w:r>
      <w:r>
        <w:rPr>
          <w:rFonts w:hint="eastAsia" w:ascii="宋体" w:hAnsi="宋体" w:cs="宋体"/>
          <w:color w:val="000000"/>
        </w:rPr>
        <w:fldChar w:fldCharType="end"/>
      </w:r>
    </w:p>
    <w:p w14:paraId="0EC88320">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_Toc6005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_Toc6005 \h </w:instrText>
      </w:r>
      <w:r>
        <w:fldChar w:fldCharType="separate"/>
      </w:r>
      <w:r>
        <w:t>35</w:t>
      </w:r>
      <w:r>
        <w:fldChar w:fldCharType="end"/>
      </w:r>
      <w:r>
        <w:rPr>
          <w:rFonts w:hint="eastAsia" w:ascii="宋体" w:hAnsi="宋体" w:cs="宋体"/>
          <w:color w:val="000000"/>
        </w:rPr>
        <w:fldChar w:fldCharType="end"/>
      </w:r>
    </w:p>
    <w:p w14:paraId="2433DA1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_Toc32159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_Toc32159 \h </w:instrText>
      </w:r>
      <w:r>
        <w:fldChar w:fldCharType="separate"/>
      </w:r>
      <w:r>
        <w:t>35</w:t>
      </w:r>
      <w:r>
        <w:fldChar w:fldCharType="end"/>
      </w:r>
      <w:r>
        <w:rPr>
          <w:rFonts w:hint="eastAsia" w:ascii="宋体" w:hAnsi="宋体" w:cs="宋体"/>
          <w:color w:val="000000"/>
        </w:rPr>
        <w:fldChar w:fldCharType="end"/>
      </w:r>
    </w:p>
    <w:p w14:paraId="4A66613D">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_Toc20930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_Toc20930 \h </w:instrText>
      </w:r>
      <w:r>
        <w:fldChar w:fldCharType="separate"/>
      </w:r>
      <w:r>
        <w:t>36</w:t>
      </w:r>
      <w:r>
        <w:fldChar w:fldCharType="end"/>
      </w:r>
      <w:r>
        <w:rPr>
          <w:rFonts w:hint="eastAsia" w:ascii="宋体" w:hAnsi="宋体" w:cs="宋体"/>
          <w:color w:val="000000"/>
        </w:rPr>
        <w:fldChar w:fldCharType="end"/>
      </w:r>
    </w:p>
    <w:p w14:paraId="6DDC97F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_Toc3426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_Toc3426 \h </w:instrText>
      </w:r>
      <w:r>
        <w:fldChar w:fldCharType="separate"/>
      </w:r>
      <w:r>
        <w:t>37</w:t>
      </w:r>
      <w:r>
        <w:fldChar w:fldCharType="end"/>
      </w:r>
      <w:r>
        <w:rPr>
          <w:rFonts w:hint="eastAsia" w:ascii="宋体" w:hAnsi="宋体" w:cs="宋体"/>
          <w:color w:val="000000"/>
        </w:rPr>
        <w:fldChar w:fldCharType="end"/>
      </w:r>
    </w:p>
    <w:p w14:paraId="72C5533C">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_Toc3733 </w:instrText>
      </w:r>
      <w:r>
        <w:rPr>
          <w:rFonts w:hint="eastAsia" w:ascii="宋体" w:hAnsi="宋体" w:cs="宋体"/>
        </w:rPr>
        <w:fldChar w:fldCharType="separate"/>
      </w:r>
      <w:r>
        <w:rPr>
          <w:rFonts w:hint="eastAsia" w:ascii="宋体" w:hAnsi="宋体" w:cs="宋体"/>
          <w:szCs w:val="30"/>
          <w:lang w:val="zh-CN"/>
        </w:rPr>
        <w:t>（</w:t>
      </w:r>
      <w:r>
        <w:rPr>
          <w:rFonts w:hint="eastAsia" w:ascii="宋体" w:hAnsi="宋体" w:cs="宋体"/>
          <w:szCs w:val="30"/>
        </w:rPr>
        <w:t>2</w:t>
      </w:r>
      <w:r>
        <w:rPr>
          <w:rFonts w:hint="eastAsia" w:ascii="宋体" w:hAnsi="宋体" w:cs="宋体"/>
          <w:szCs w:val="30"/>
          <w:lang w:val="zh-CN"/>
        </w:rPr>
        <w:t>）</w:t>
      </w:r>
      <w:r>
        <w:rPr>
          <w:rFonts w:hint="eastAsia" w:ascii="宋体" w:hAnsi="宋体" w:cs="宋体"/>
          <w:szCs w:val="30"/>
        </w:rPr>
        <w:t>法定代表人证明书</w:t>
      </w:r>
      <w:r>
        <w:tab/>
      </w:r>
      <w:r>
        <w:fldChar w:fldCharType="begin"/>
      </w:r>
      <w:r>
        <w:instrText xml:space="preserve"> PAGEREF _Toc3733 \h </w:instrText>
      </w:r>
      <w:r>
        <w:fldChar w:fldCharType="separate"/>
      </w:r>
      <w:r>
        <w:t>38</w:t>
      </w:r>
      <w:r>
        <w:fldChar w:fldCharType="end"/>
      </w:r>
      <w:r>
        <w:rPr>
          <w:rFonts w:hint="eastAsia" w:ascii="宋体" w:hAnsi="宋体" w:cs="宋体"/>
          <w:color w:val="000000"/>
        </w:rPr>
        <w:fldChar w:fldCharType="end"/>
      </w:r>
    </w:p>
    <w:p w14:paraId="0BCEFCF6">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_Toc6704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_Toc6704 \h </w:instrText>
      </w:r>
      <w:r>
        <w:fldChar w:fldCharType="separate"/>
      </w:r>
      <w:r>
        <w:t>39</w:t>
      </w:r>
      <w:r>
        <w:fldChar w:fldCharType="end"/>
      </w:r>
      <w:r>
        <w:rPr>
          <w:rFonts w:hint="eastAsia" w:ascii="宋体" w:hAnsi="宋体" w:cs="宋体"/>
          <w:color w:val="000000"/>
        </w:rPr>
        <w:fldChar w:fldCharType="end"/>
      </w:r>
    </w:p>
    <w:p w14:paraId="4BD5474E">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_Toc1909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_Toc1909 \h </w:instrText>
      </w:r>
      <w:r>
        <w:fldChar w:fldCharType="separate"/>
      </w:r>
      <w:r>
        <w:t>40</w:t>
      </w:r>
      <w:r>
        <w:fldChar w:fldCharType="end"/>
      </w:r>
      <w:r>
        <w:rPr>
          <w:rFonts w:hint="eastAsia" w:ascii="宋体" w:hAnsi="宋体" w:cs="宋体"/>
          <w:color w:val="000000"/>
        </w:rPr>
        <w:fldChar w:fldCharType="end"/>
      </w:r>
    </w:p>
    <w:p w14:paraId="41CB2D32">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_Toc5719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_Toc5719 \h </w:instrText>
      </w:r>
      <w:r>
        <w:fldChar w:fldCharType="separate"/>
      </w:r>
      <w:r>
        <w:t>41</w:t>
      </w:r>
      <w:r>
        <w:fldChar w:fldCharType="end"/>
      </w:r>
      <w:r>
        <w:rPr>
          <w:rFonts w:hint="eastAsia" w:ascii="宋体" w:hAnsi="宋体" w:cs="宋体"/>
          <w:color w:val="000000"/>
        </w:rPr>
        <w:fldChar w:fldCharType="end"/>
      </w:r>
    </w:p>
    <w:p w14:paraId="4CC73895">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_Toc4302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_Toc4302 \h </w:instrText>
      </w:r>
      <w:r>
        <w:fldChar w:fldCharType="separate"/>
      </w:r>
      <w:r>
        <w:t>42</w:t>
      </w:r>
      <w:r>
        <w:fldChar w:fldCharType="end"/>
      </w:r>
      <w:r>
        <w:rPr>
          <w:rFonts w:hint="eastAsia" w:ascii="宋体" w:hAnsi="宋体" w:cs="宋体"/>
          <w:color w:val="000000"/>
        </w:rPr>
        <w:fldChar w:fldCharType="end"/>
      </w:r>
    </w:p>
    <w:p w14:paraId="1C01085C">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_Toc27267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_Toc27267 \h </w:instrText>
      </w:r>
      <w:r>
        <w:fldChar w:fldCharType="separate"/>
      </w:r>
      <w:r>
        <w:t>43</w:t>
      </w:r>
      <w:r>
        <w:fldChar w:fldCharType="end"/>
      </w:r>
      <w:r>
        <w:rPr>
          <w:rFonts w:hint="eastAsia" w:ascii="宋体" w:hAnsi="宋体" w:cs="宋体"/>
          <w:color w:val="000000"/>
        </w:rPr>
        <w:fldChar w:fldCharType="end"/>
      </w:r>
    </w:p>
    <w:p w14:paraId="524564F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_Toc1735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_Toc1735 \h </w:instrText>
      </w:r>
      <w:r>
        <w:fldChar w:fldCharType="separate"/>
      </w:r>
      <w:r>
        <w:t>44</w:t>
      </w:r>
      <w:r>
        <w:fldChar w:fldCharType="end"/>
      </w:r>
      <w:r>
        <w:rPr>
          <w:rFonts w:hint="eastAsia" w:ascii="宋体" w:hAnsi="宋体" w:cs="宋体"/>
          <w:color w:val="000000"/>
        </w:rPr>
        <w:fldChar w:fldCharType="end"/>
      </w:r>
    </w:p>
    <w:p w14:paraId="2D22C80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_Toc26560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_Toc26560 \h </w:instrText>
      </w:r>
      <w:r>
        <w:fldChar w:fldCharType="separate"/>
      </w:r>
      <w:r>
        <w:t>45</w:t>
      </w:r>
      <w:r>
        <w:fldChar w:fldCharType="end"/>
      </w:r>
      <w:r>
        <w:rPr>
          <w:rFonts w:hint="eastAsia" w:ascii="宋体" w:hAnsi="宋体" w:cs="宋体"/>
          <w:color w:val="000000"/>
        </w:rPr>
        <w:fldChar w:fldCharType="end"/>
      </w:r>
    </w:p>
    <w:p w14:paraId="7F9EF523">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_Toc19897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_Toc19897 \h </w:instrText>
      </w:r>
      <w:r>
        <w:fldChar w:fldCharType="separate"/>
      </w:r>
      <w:r>
        <w:t>47</w:t>
      </w:r>
      <w:r>
        <w:fldChar w:fldCharType="end"/>
      </w:r>
      <w:r>
        <w:rPr>
          <w:rFonts w:hint="eastAsia" w:ascii="宋体" w:hAnsi="宋体" w:cs="宋体"/>
          <w:color w:val="000000"/>
        </w:rPr>
        <w:fldChar w:fldCharType="end"/>
      </w:r>
    </w:p>
    <w:p w14:paraId="4BB61DD2">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_Toc17049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_Toc17049 \h </w:instrText>
      </w:r>
      <w:r>
        <w:fldChar w:fldCharType="separate"/>
      </w:r>
      <w:r>
        <w:t>48</w:t>
      </w:r>
      <w:r>
        <w:fldChar w:fldCharType="end"/>
      </w:r>
      <w:r>
        <w:rPr>
          <w:rFonts w:hint="eastAsia" w:ascii="宋体" w:hAnsi="宋体" w:cs="宋体"/>
          <w:color w:val="000000"/>
        </w:rPr>
        <w:fldChar w:fldCharType="end"/>
      </w:r>
    </w:p>
    <w:p w14:paraId="76AE9431">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_Toc27463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_Toc27463 \h </w:instrText>
      </w:r>
      <w:r>
        <w:fldChar w:fldCharType="separate"/>
      </w:r>
      <w:r>
        <w:t>48</w:t>
      </w:r>
      <w:r>
        <w:fldChar w:fldCharType="end"/>
      </w:r>
      <w:r>
        <w:rPr>
          <w:rFonts w:hint="eastAsia" w:ascii="宋体" w:hAnsi="宋体" w:cs="宋体"/>
          <w:color w:val="000000"/>
        </w:rPr>
        <w:fldChar w:fldCharType="end"/>
      </w:r>
    </w:p>
    <w:p w14:paraId="249211F3">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_Toc10305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分项报价表</w:t>
      </w:r>
      <w:r>
        <w:tab/>
      </w:r>
      <w:r>
        <w:fldChar w:fldCharType="begin"/>
      </w:r>
      <w:r>
        <w:instrText xml:space="preserve"> PAGEREF _Toc10305 \h </w:instrText>
      </w:r>
      <w:r>
        <w:fldChar w:fldCharType="separate"/>
      </w:r>
      <w:r>
        <w:t>50</w:t>
      </w:r>
      <w:r>
        <w:fldChar w:fldCharType="end"/>
      </w:r>
      <w:r>
        <w:rPr>
          <w:rFonts w:hint="eastAsia" w:ascii="宋体" w:hAnsi="宋体" w:cs="宋体"/>
          <w:color w:val="000000"/>
        </w:rPr>
        <w:fldChar w:fldCharType="end"/>
      </w:r>
    </w:p>
    <w:p w14:paraId="3BB73CAA">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_Toc9588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技术规格响应表</w:t>
      </w:r>
      <w:r>
        <w:tab/>
      </w:r>
      <w:r>
        <w:fldChar w:fldCharType="begin"/>
      </w:r>
      <w:r>
        <w:instrText xml:space="preserve"> PAGEREF _Toc9588 \h </w:instrText>
      </w:r>
      <w:r>
        <w:fldChar w:fldCharType="separate"/>
      </w:r>
      <w:r>
        <w:t>51</w:t>
      </w:r>
      <w:r>
        <w:fldChar w:fldCharType="end"/>
      </w:r>
      <w:r>
        <w:rPr>
          <w:rFonts w:hint="eastAsia" w:ascii="宋体" w:hAnsi="宋体" w:cs="宋体"/>
          <w:color w:val="000000"/>
        </w:rPr>
        <w:fldChar w:fldCharType="end"/>
      </w:r>
    </w:p>
    <w:p w14:paraId="01478A2E">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_Toc17893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投标产品相关资料</w:t>
      </w:r>
      <w:r>
        <w:tab/>
      </w:r>
      <w:r>
        <w:fldChar w:fldCharType="begin"/>
      </w:r>
      <w:r>
        <w:instrText xml:space="preserve"> PAGEREF _Toc17893 \h </w:instrText>
      </w:r>
      <w:r>
        <w:fldChar w:fldCharType="separate"/>
      </w:r>
      <w:r>
        <w:t>52</w:t>
      </w:r>
      <w:r>
        <w:fldChar w:fldCharType="end"/>
      </w:r>
      <w:r>
        <w:rPr>
          <w:rFonts w:hint="eastAsia" w:ascii="宋体" w:hAnsi="宋体" w:cs="宋体"/>
          <w:color w:val="000000"/>
        </w:rPr>
        <w:fldChar w:fldCharType="end"/>
      </w:r>
    </w:p>
    <w:p w14:paraId="7898B090">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_Toc16168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投标人的类似业绩证明材料</w:t>
      </w:r>
      <w:r>
        <w:tab/>
      </w:r>
      <w:r>
        <w:fldChar w:fldCharType="begin"/>
      </w:r>
      <w:r>
        <w:instrText xml:space="preserve"> PAGEREF _Toc16168 \h </w:instrText>
      </w:r>
      <w:r>
        <w:fldChar w:fldCharType="separate"/>
      </w:r>
      <w:r>
        <w:t>53</w:t>
      </w:r>
      <w:r>
        <w:fldChar w:fldCharType="end"/>
      </w:r>
      <w:r>
        <w:rPr>
          <w:rFonts w:hint="eastAsia" w:ascii="宋体" w:hAnsi="宋体" w:cs="宋体"/>
          <w:color w:val="000000"/>
        </w:rPr>
        <w:fldChar w:fldCharType="end"/>
      </w:r>
    </w:p>
    <w:p w14:paraId="18922825">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_Toc26103 </w:instrText>
      </w:r>
      <w:r>
        <w:rPr>
          <w:rFonts w:hint="eastAsia" w:ascii="宋体" w:hAnsi="宋体" w:cs="宋体"/>
        </w:rPr>
        <w:fldChar w:fldCharType="separate"/>
      </w:r>
      <w:r>
        <w:rPr>
          <w:rFonts w:hint="eastAsia" w:ascii="宋体" w:hAnsi="宋体" w:cs="宋体"/>
          <w:szCs w:val="30"/>
        </w:rPr>
        <w:t>（16.1）</w:t>
      </w:r>
      <w:r>
        <w:rPr>
          <w:rFonts w:hint="eastAsia" w:ascii="宋体" w:hAnsi="宋体" w:cs="宋体"/>
          <w:szCs w:val="30"/>
          <w:lang w:val="zh-CN"/>
        </w:rPr>
        <w:t>制造（生产）企业小型、微型企业声明函</w:t>
      </w:r>
      <w:r>
        <w:tab/>
      </w:r>
      <w:r>
        <w:fldChar w:fldCharType="begin"/>
      </w:r>
      <w:r>
        <w:instrText xml:space="preserve"> PAGEREF _Toc26103 \h </w:instrText>
      </w:r>
      <w:r>
        <w:fldChar w:fldCharType="separate"/>
      </w:r>
      <w:r>
        <w:t>54</w:t>
      </w:r>
      <w:r>
        <w:fldChar w:fldCharType="end"/>
      </w:r>
      <w:r>
        <w:rPr>
          <w:rFonts w:hint="eastAsia" w:ascii="宋体" w:hAnsi="宋体" w:cs="宋体"/>
          <w:color w:val="000000"/>
        </w:rPr>
        <w:fldChar w:fldCharType="end"/>
      </w:r>
    </w:p>
    <w:p w14:paraId="6B2B8FBB">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_Toc32594 </w:instrText>
      </w:r>
      <w:r>
        <w:rPr>
          <w:rFonts w:hint="eastAsia" w:ascii="宋体" w:hAnsi="宋体" w:cs="宋体"/>
        </w:rPr>
        <w:fldChar w:fldCharType="separate"/>
      </w:r>
      <w:r>
        <w:rPr>
          <w:rFonts w:hint="eastAsia" w:ascii="宋体" w:hAnsi="宋体" w:cs="宋体"/>
          <w:szCs w:val="30"/>
        </w:rPr>
        <w:t>（16.2）</w:t>
      </w:r>
      <w:r>
        <w:rPr>
          <w:rFonts w:hint="eastAsia" w:ascii="宋体" w:hAnsi="宋体" w:cs="宋体"/>
          <w:szCs w:val="30"/>
          <w:lang w:val="zh-CN"/>
        </w:rPr>
        <w:t>从业人员声明函</w:t>
      </w:r>
      <w:r>
        <w:tab/>
      </w:r>
      <w:r>
        <w:fldChar w:fldCharType="begin"/>
      </w:r>
      <w:r>
        <w:instrText xml:space="preserve"> PAGEREF _Toc32594 \h </w:instrText>
      </w:r>
      <w:r>
        <w:fldChar w:fldCharType="separate"/>
      </w:r>
      <w:r>
        <w:t>55</w:t>
      </w:r>
      <w:r>
        <w:fldChar w:fldCharType="end"/>
      </w:r>
      <w:r>
        <w:rPr>
          <w:rFonts w:hint="eastAsia" w:ascii="宋体" w:hAnsi="宋体" w:cs="宋体"/>
          <w:color w:val="000000"/>
        </w:rPr>
        <w:fldChar w:fldCharType="end"/>
      </w:r>
    </w:p>
    <w:p w14:paraId="3F1DE53C">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_Toc17209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_Toc17209 \h </w:instrText>
      </w:r>
      <w:r>
        <w:fldChar w:fldCharType="separate"/>
      </w:r>
      <w:r>
        <w:t>56</w:t>
      </w:r>
      <w:r>
        <w:fldChar w:fldCharType="end"/>
      </w:r>
      <w:r>
        <w:rPr>
          <w:rFonts w:hint="eastAsia" w:ascii="宋体" w:hAnsi="宋体" w:cs="宋体"/>
          <w:color w:val="000000"/>
        </w:rPr>
        <w:fldChar w:fldCharType="end"/>
      </w:r>
    </w:p>
    <w:p w14:paraId="165C0CEB">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_Toc6798 </w:instrText>
      </w:r>
      <w:r>
        <w:rPr>
          <w:rFonts w:hint="eastAsia" w:ascii="宋体" w:hAnsi="宋体" w:cs="宋体"/>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_Toc6798 \h </w:instrText>
      </w:r>
      <w:r>
        <w:fldChar w:fldCharType="separate"/>
      </w:r>
      <w:r>
        <w:t>57</w:t>
      </w:r>
      <w:r>
        <w:fldChar w:fldCharType="end"/>
      </w:r>
      <w:r>
        <w:rPr>
          <w:rFonts w:hint="eastAsia" w:ascii="宋体" w:hAnsi="宋体" w:cs="宋体"/>
          <w:color w:val="000000"/>
        </w:rPr>
        <w:fldChar w:fldCharType="end"/>
      </w:r>
    </w:p>
    <w:p w14:paraId="15BDBA59">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_Toc29349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_Toc29349 \h </w:instrText>
      </w:r>
      <w:r>
        <w:fldChar w:fldCharType="separate"/>
      </w:r>
      <w:r>
        <w:t>58</w:t>
      </w:r>
      <w:r>
        <w:fldChar w:fldCharType="end"/>
      </w:r>
      <w:r>
        <w:rPr>
          <w:rFonts w:hint="eastAsia" w:ascii="宋体" w:hAnsi="宋体" w:cs="宋体"/>
          <w:color w:val="000000"/>
        </w:rPr>
        <w:fldChar w:fldCharType="end"/>
      </w:r>
    </w:p>
    <w:p w14:paraId="4D3C5627">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_Toc14984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_Toc14984 \h </w:instrText>
      </w:r>
      <w:r>
        <w:fldChar w:fldCharType="separate"/>
      </w:r>
      <w:r>
        <w:t>58</w:t>
      </w:r>
      <w:r>
        <w:fldChar w:fldCharType="end"/>
      </w:r>
      <w:r>
        <w:rPr>
          <w:rFonts w:hint="eastAsia" w:ascii="宋体" w:hAnsi="宋体" w:cs="宋体"/>
          <w:color w:val="000000"/>
        </w:rPr>
        <w:fldChar w:fldCharType="end"/>
      </w:r>
    </w:p>
    <w:p w14:paraId="6ACDC83D">
      <w:pPr>
        <w:pStyle w:val="227"/>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_Toc29463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_Toc29463 \h </w:instrText>
      </w:r>
      <w:r>
        <w:fldChar w:fldCharType="separate"/>
      </w:r>
      <w:r>
        <w:t>58</w:t>
      </w:r>
      <w:r>
        <w:fldChar w:fldCharType="end"/>
      </w:r>
      <w:r>
        <w:rPr>
          <w:rFonts w:hint="eastAsia" w:ascii="宋体" w:hAnsi="宋体" w:cs="宋体"/>
          <w:color w:val="000000"/>
        </w:rPr>
        <w:fldChar w:fldCharType="end"/>
      </w:r>
    </w:p>
    <w:p w14:paraId="765EC409">
      <w:pPr>
        <w:spacing w:line="400" w:lineRule="exact"/>
        <w:rPr>
          <w:rFonts w:ascii="宋体" w:hAnsi="宋体" w:cs="宋体"/>
          <w:color w:val="000000"/>
        </w:rPr>
      </w:pPr>
      <w:r>
        <w:rPr>
          <w:rFonts w:hint="eastAsia" w:ascii="宋体" w:hAnsi="宋体" w:cs="宋体"/>
          <w:color w:val="000000"/>
        </w:rPr>
        <w:fldChar w:fldCharType="end"/>
      </w:r>
      <w:r>
        <w:rPr>
          <w:rFonts w:hint="eastAsia" w:ascii="宋体" w:hAnsi="宋体" w:cs="宋体"/>
          <w:color w:val="000000"/>
        </w:rPr>
        <w:t xml:space="preserve">    </w:t>
      </w:r>
    </w:p>
    <w:p w14:paraId="23A464C9">
      <w:pPr>
        <w:pStyle w:val="234"/>
        <w:spacing w:before="0" w:after="0" w:line="360" w:lineRule="auto"/>
        <w:rPr>
          <w:rFonts w:hint="eastAsia" w:ascii="宋体" w:hAnsi="宋体" w:cs="宋体"/>
          <w:color w:val="000000"/>
          <w:szCs w:val="36"/>
          <w:lang w:val="zh-CN"/>
        </w:rPr>
      </w:pPr>
      <w:r>
        <w:rPr>
          <w:rFonts w:hint="eastAsia" w:ascii="宋体" w:hAnsi="宋体" w:cs="宋体"/>
          <w:color w:val="000000"/>
        </w:rPr>
        <w:br w:type="page" w:clear="all"/>
      </w:r>
      <w:bookmarkStart w:id="0" w:name="_Toc25415"/>
      <w:r>
        <w:rPr>
          <w:rFonts w:hint="eastAsia" w:ascii="宋体" w:hAnsi="宋体" w:cs="宋体"/>
          <w:color w:val="000000"/>
          <w:szCs w:val="36"/>
          <w:lang w:val="zh-CN"/>
        </w:rPr>
        <w:t>第一部分  投标邀请</w:t>
      </w:r>
      <w:bookmarkEnd w:id="0"/>
    </w:p>
    <w:p w14:paraId="73EFE735">
      <w:pPr>
        <w:jc w:val="center"/>
        <w:rPr>
          <w:rFonts w:hint="eastAsia"/>
          <w:sz w:val="44"/>
        </w:rPr>
      </w:pPr>
      <w:r>
        <w:rPr>
          <w:rFonts w:hint="eastAsia"/>
          <w:sz w:val="44"/>
        </w:rPr>
        <w:t>公开招标公告</w:t>
      </w:r>
    </w:p>
    <w:p w14:paraId="011A1F5A">
      <w:pPr>
        <w:rPr>
          <w:rFonts w:hint="eastAsia"/>
          <w:lang w:val="zh-CN"/>
        </w:rPr>
      </w:pPr>
    </w:p>
    <w:tbl>
      <w:tblPr>
        <w:tblStyle w:val="30"/>
        <w:tblW w:w="9921" w:type="dxa"/>
        <w:jc w:val="center"/>
        <w:tblLayout w:type="fixed"/>
        <w:tblCellMar>
          <w:top w:w="0" w:type="dxa"/>
          <w:left w:w="108" w:type="dxa"/>
          <w:bottom w:w="0" w:type="dxa"/>
          <w:right w:w="108" w:type="dxa"/>
        </w:tblCellMar>
      </w:tblPr>
      <w:tblGrid>
        <w:gridCol w:w="2459"/>
        <w:gridCol w:w="7462"/>
      </w:tblGrid>
      <w:tr w14:paraId="406CA3A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8B52A1D">
            <w:pPr>
              <w:spacing w:line="360" w:lineRule="auto"/>
              <w:jc w:val="both"/>
              <w:rPr>
                <w:rFonts w:hint="eastAsia" w:ascii="宋体" w:hAnsi="宋体" w:cs="宋体"/>
                <w:color w:val="000000"/>
                <w:lang w:val="zh-CN"/>
              </w:rPr>
            </w:pPr>
            <w:bookmarkStart w:id="1" w:name="OLE_LINK1"/>
            <w:r>
              <w:rPr>
                <w:rFonts w:hint="eastAsia" w:ascii="宋体" w:hAnsi="宋体" w:cs="宋体"/>
                <w:color w:val="00000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B0599B9">
            <w:pPr>
              <w:spacing w:line="360" w:lineRule="auto"/>
              <w:jc w:val="both"/>
              <w:rPr>
                <w:rFonts w:hint="eastAsia" w:ascii="宋体" w:hAnsi="宋体" w:eastAsia="宋体" w:cs="宋体"/>
                <w:color w:val="000000"/>
                <w:lang w:val="zh-CN" w:eastAsia="zh-CN"/>
              </w:rPr>
            </w:pPr>
            <w:r>
              <w:rPr>
                <w:rFonts w:hint="eastAsia" w:ascii="宋体" w:hAnsi="宋体"/>
                <w:color w:val="000000"/>
                <w:spacing w:val="-2"/>
                <w:lang w:eastAsia="zh-CN"/>
              </w:rPr>
              <w:t>刚政采公招（货物）2024-001L号</w:t>
            </w:r>
          </w:p>
        </w:tc>
      </w:tr>
      <w:tr w14:paraId="487336F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7DB3958">
            <w:pPr>
              <w:spacing w:line="360" w:lineRule="auto"/>
              <w:jc w:val="both"/>
              <w:rPr>
                <w:rFonts w:hint="eastAsia" w:ascii="宋体" w:hAnsi="宋体" w:cs="宋体"/>
                <w:color w:val="000000"/>
                <w:lang w:val="zh-CN"/>
              </w:rPr>
            </w:pPr>
            <w:r>
              <w:rPr>
                <w:rFonts w:hint="eastAsia" w:ascii="宋体" w:hAnsi="宋体" w:cs="宋体"/>
                <w:color w:val="00000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219B13D">
            <w:pPr>
              <w:spacing w:line="360" w:lineRule="auto"/>
              <w:jc w:val="both"/>
              <w:rPr>
                <w:rFonts w:hint="eastAsia" w:ascii="宋体" w:hAnsi="宋体" w:cs="宋体"/>
                <w:color w:val="000000"/>
                <w:lang w:val="zh-CN"/>
              </w:rPr>
            </w:pPr>
            <w:r>
              <w:rPr>
                <w:rFonts w:hint="eastAsia" w:ascii="宋体" w:hAnsi="宋体"/>
                <w:color w:val="000000"/>
                <w:spacing w:val="-2"/>
                <w:lang w:val="zh-CN" w:eastAsia="zh-CN"/>
              </w:rPr>
              <w:t>刚察县公安局执法办案管理中心信息化建设项目</w:t>
            </w:r>
          </w:p>
        </w:tc>
      </w:tr>
      <w:tr w14:paraId="523F5572">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00B235">
            <w:pPr>
              <w:widowControl/>
              <w:spacing w:line="320" w:lineRule="exact"/>
              <w:ind w:firstLine="0" w:firstLineChars="0"/>
              <w:jc w:val="left"/>
              <w:rPr>
                <w:rFonts w:hint="eastAsia" w:ascii="宋体" w:hAnsi="宋体" w:eastAsia="宋体" w:cs="宋体"/>
                <w:kern w:val="0"/>
                <w:sz w:val="24"/>
                <w:szCs w:val="24"/>
                <w:lang w:val="zh-CN" w:eastAsia="zh-CN" w:bidi="ar-SA"/>
              </w:rPr>
            </w:pPr>
            <w:r>
              <w:rPr>
                <w:rFonts w:hint="eastAsia" w:ascii="宋体" w:hAnsi="宋体" w:cs="Arial"/>
                <w:kern w:val="0"/>
                <w:lang w:eastAsia="zh-CN"/>
              </w:rPr>
              <w:t>集采机构</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42F2642">
            <w:pPr>
              <w:widowControl/>
              <w:spacing w:line="320" w:lineRule="exact"/>
              <w:ind w:firstLine="0" w:firstLineChars="0"/>
              <w:jc w:val="left"/>
              <w:rPr>
                <w:rFonts w:hint="default" w:ascii="宋体" w:hAnsi="宋体" w:eastAsia="宋体" w:cs="Arial"/>
                <w:kern w:val="0"/>
                <w:sz w:val="24"/>
                <w:szCs w:val="24"/>
                <w:lang w:val="en-US" w:eastAsia="zh-CN" w:bidi="ar-SA"/>
              </w:rPr>
            </w:pPr>
            <w:r>
              <w:rPr>
                <w:rFonts w:hint="eastAsia" w:ascii="宋体" w:hAnsi="宋体" w:cs="Arial"/>
                <w:kern w:val="0"/>
                <w:lang w:val="en-US" w:eastAsia="zh-CN"/>
              </w:rPr>
              <w:t>刚察县政府采购中心</w:t>
            </w:r>
          </w:p>
        </w:tc>
      </w:tr>
      <w:tr w14:paraId="4C8EC86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64259B3">
            <w:pPr>
              <w:spacing w:line="360" w:lineRule="auto"/>
              <w:jc w:val="both"/>
              <w:rPr>
                <w:rFonts w:hint="eastAsia" w:ascii="宋体" w:hAnsi="宋体" w:cs="宋体"/>
                <w:color w:val="000000"/>
                <w:lang w:val="zh-CN"/>
              </w:rPr>
            </w:pPr>
            <w:r>
              <w:rPr>
                <w:rFonts w:hint="eastAsia" w:ascii="宋体" w:hAnsi="宋体" w:cs="宋体"/>
                <w:color w:val="00000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E960CA5">
            <w:pPr>
              <w:spacing w:line="360" w:lineRule="auto"/>
              <w:jc w:val="both"/>
              <w:rPr>
                <w:rFonts w:hint="eastAsia" w:ascii="宋体" w:hAnsi="宋体" w:cs="宋体"/>
                <w:color w:val="000000"/>
                <w:lang w:val="zh-CN"/>
              </w:rPr>
            </w:pPr>
            <w:r>
              <w:rPr>
                <w:rFonts w:hint="eastAsia" w:ascii="宋体" w:hAnsi="宋体" w:cs="宋体"/>
                <w:color w:val="000000"/>
                <w:lang w:val="zh-CN"/>
              </w:rPr>
              <w:t>公开招标</w:t>
            </w:r>
          </w:p>
        </w:tc>
      </w:tr>
      <w:tr w14:paraId="48B2DA39">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6E330D">
            <w:pPr>
              <w:widowControl/>
              <w:spacing w:line="320" w:lineRule="exact"/>
              <w:ind w:left="0" w:leftChars="0" w:firstLine="0" w:firstLineChars="0"/>
              <w:jc w:val="left"/>
              <w:rPr>
                <w:rFonts w:hint="eastAsia" w:ascii="宋体" w:hAnsi="宋体" w:cs="宋体"/>
                <w:color w:val="000000"/>
                <w:lang w:val="zh-CN"/>
              </w:rPr>
            </w:pPr>
            <w:r>
              <w:rPr>
                <w:rFonts w:hint="eastAsia" w:ascii="宋体" w:hAnsi="宋体" w:cs="Arial"/>
                <w:kern w:val="0"/>
                <w:lang w:eastAsia="zh-CN"/>
              </w:rPr>
              <w:t>评分办法</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CFE915F">
            <w:pPr>
              <w:widowControl/>
              <w:spacing w:line="320" w:lineRule="exact"/>
              <w:ind w:firstLine="0" w:firstLineChars="0"/>
              <w:jc w:val="left"/>
              <w:rPr>
                <w:rFonts w:hint="eastAsia" w:ascii="宋体" w:hAnsi="宋体" w:cs="宋体"/>
                <w:color w:val="000000"/>
                <w:lang w:val="zh-CN"/>
              </w:rPr>
            </w:pPr>
            <w:r>
              <w:rPr>
                <w:rFonts w:hint="eastAsia" w:ascii="宋体" w:hAnsi="宋体" w:eastAsia="宋体" w:cs="Arial"/>
                <w:kern w:val="0"/>
                <w:lang w:eastAsia="zh-CN"/>
              </w:rPr>
              <w:t>综合评分法</w:t>
            </w:r>
          </w:p>
        </w:tc>
      </w:tr>
      <w:tr w14:paraId="6EF4D5B1">
        <w:tblPrEx>
          <w:tblCellMar>
            <w:top w:w="0" w:type="dxa"/>
            <w:left w:w="108" w:type="dxa"/>
            <w:bottom w:w="0" w:type="dxa"/>
            <w:right w:w="108" w:type="dxa"/>
          </w:tblCellMar>
        </w:tblPrEx>
        <w:trPr>
          <w:trHeight w:val="628"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4B195AB">
            <w:pPr>
              <w:spacing w:line="360" w:lineRule="auto"/>
              <w:jc w:val="both"/>
              <w:rPr>
                <w:rFonts w:hint="eastAsia" w:ascii="宋体" w:hAnsi="宋体" w:cs="宋体"/>
                <w:color w:val="000000"/>
                <w:lang w:val="zh-CN"/>
              </w:rPr>
            </w:pPr>
            <w:r>
              <w:rPr>
                <w:rFonts w:hint="eastAsia" w:ascii="宋体" w:hAnsi="宋体" w:cs="宋体"/>
                <w:color w:val="00000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46F9AE0">
            <w:pPr>
              <w:widowControl/>
              <w:spacing w:line="620" w:lineRule="exact"/>
              <w:jc w:val="both"/>
              <w:outlineLvl w:val="2"/>
              <w:rPr>
                <w:rFonts w:hint="default" w:ascii="宋体" w:hAnsi="宋体" w:eastAsia="宋体"/>
                <w:bCs/>
                <w:lang w:val="en-US" w:eastAsia="zh-CN"/>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30B3CE0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2506F05B">
            <w:pPr>
              <w:spacing w:line="360" w:lineRule="auto"/>
              <w:jc w:val="both"/>
              <w:rPr>
                <w:rFonts w:hint="eastAsia" w:ascii="宋体" w:hAnsi="宋体" w:cs="宋体"/>
                <w:color w:val="000000"/>
              </w:rPr>
            </w:pPr>
            <w:r>
              <w:rPr>
                <w:rFonts w:hint="eastAsia" w:ascii="宋体" w:hAnsi="宋体" w:cs="宋体"/>
                <w:color w:val="00000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FD51B93">
            <w:pPr>
              <w:widowControl/>
              <w:spacing w:line="620" w:lineRule="exact"/>
              <w:jc w:val="both"/>
              <w:outlineLvl w:val="2"/>
              <w:rPr>
                <w:rFonts w:hint="eastAsia" w:ascii="宋体" w:hAnsi="宋体"/>
                <w:bCs/>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2BE0987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8FBCF8">
            <w:pPr>
              <w:spacing w:line="360" w:lineRule="auto"/>
              <w:jc w:val="both"/>
              <w:rPr>
                <w:rFonts w:hint="eastAsia" w:ascii="宋体" w:hAnsi="宋体" w:cs="宋体"/>
                <w:color w:val="000000"/>
                <w:lang w:val="zh-CN"/>
              </w:rPr>
            </w:pPr>
            <w:r>
              <w:rPr>
                <w:rFonts w:hint="eastAsia" w:ascii="宋体" w:hAnsi="宋体" w:cs="宋体"/>
                <w:color w:val="00000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025F106">
            <w:pPr>
              <w:spacing w:line="360" w:lineRule="auto"/>
              <w:jc w:val="both"/>
              <w:rPr>
                <w:rFonts w:hint="eastAsia" w:ascii="宋体" w:hAnsi="宋体" w:eastAsia="宋体" w:cs="宋体"/>
                <w:color w:val="000000"/>
                <w:lang w:val="en-US" w:eastAsia="zh-CN"/>
              </w:rPr>
            </w:pPr>
            <w:r>
              <w:rPr>
                <w:rFonts w:hint="eastAsia" w:ascii="宋体" w:hAnsi="宋体" w:cs="宋体"/>
                <w:color w:val="FF0000"/>
                <w:lang w:val="en-US" w:eastAsia="zh-CN"/>
              </w:rPr>
              <w:t>1</w:t>
            </w:r>
          </w:p>
        </w:tc>
      </w:tr>
      <w:tr w14:paraId="25B9A6D6">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62463AC">
            <w:pPr>
              <w:spacing w:line="360" w:lineRule="auto"/>
              <w:jc w:val="both"/>
              <w:rPr>
                <w:rFonts w:hint="default" w:ascii="宋体" w:hAnsi="宋体" w:cs="宋体"/>
                <w:color w:val="000000"/>
                <w:lang w:val="en-US" w:eastAsia="zh-CN"/>
              </w:rPr>
            </w:pPr>
            <w:r>
              <w:rPr>
                <w:rFonts w:hint="eastAsia" w:ascii="宋体" w:hAnsi="宋体" w:cs="宋体"/>
                <w:color w:val="000000"/>
                <w:lang w:val="en-US" w:eastAsia="zh-CN"/>
              </w:rPr>
              <w:t>是否面向中小微企业</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427BB45">
            <w:pPr>
              <w:spacing w:line="360" w:lineRule="auto"/>
              <w:jc w:val="both"/>
              <w:rPr>
                <w:rFonts w:hint="default" w:ascii="宋体"/>
                <w:b w:val="0"/>
                <w:bCs/>
                <w:sz w:val="24"/>
                <w:szCs w:val="24"/>
                <w:lang w:val="en-US" w:eastAsia="zh-CN"/>
              </w:rPr>
            </w:pPr>
            <w:r>
              <w:rPr>
                <w:rFonts w:hint="eastAsia" w:ascii="宋体"/>
                <w:b w:val="0"/>
                <w:bCs/>
                <w:sz w:val="24"/>
                <w:szCs w:val="24"/>
                <w:lang w:val="en-US" w:eastAsia="zh-CN"/>
              </w:rPr>
              <w:t>本项目不面向中小微企业</w:t>
            </w:r>
          </w:p>
        </w:tc>
      </w:tr>
      <w:tr w14:paraId="79525DE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73AB54EC">
            <w:pPr>
              <w:spacing w:line="360" w:lineRule="auto"/>
              <w:jc w:val="both"/>
              <w:rPr>
                <w:rFonts w:hint="eastAsia" w:ascii="宋体" w:hAnsi="宋体" w:cs="宋体"/>
                <w:color w:val="000000"/>
                <w:lang w:val="en-US" w:eastAsia="zh-CN"/>
              </w:rPr>
            </w:pPr>
            <w:r>
              <w:rPr>
                <w:rFonts w:hint="eastAsia" w:ascii="宋体" w:hAnsi="宋体" w:cs="宋体"/>
                <w:color w:val="000000"/>
                <w:lang w:val="en-US" w:eastAsia="zh-CN"/>
              </w:rPr>
              <w:t>投标保证金</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F79514">
            <w:pPr>
              <w:spacing w:line="360" w:lineRule="auto"/>
              <w:jc w:val="both"/>
              <w:rPr>
                <w:rFonts w:hint="eastAsia" w:ascii="宋体" w:hAnsi="宋体" w:cs="宋体"/>
                <w:color w:val="FF0000"/>
                <w:lang w:val="en-US" w:eastAsia="zh-CN"/>
              </w:rPr>
            </w:pPr>
            <w:r>
              <w:rPr>
                <w:rFonts w:hint="eastAsia" w:ascii="宋体" w:hAnsi="宋体" w:cs="宋体"/>
                <w:kern w:val="0"/>
              </w:rPr>
              <w:t>不收取投标保证金</w:t>
            </w:r>
          </w:p>
        </w:tc>
      </w:tr>
      <w:tr w14:paraId="203E75CE">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854E6A6">
            <w:pPr>
              <w:spacing w:line="360" w:lineRule="auto"/>
              <w:jc w:val="both"/>
              <w:rPr>
                <w:rFonts w:hint="eastAsia" w:ascii="宋体" w:hAnsi="宋体" w:cs="宋体"/>
                <w:color w:val="000000"/>
                <w:lang w:val="zh-CN"/>
              </w:rPr>
            </w:pPr>
            <w:r>
              <w:rPr>
                <w:rFonts w:hint="eastAsia" w:ascii="宋体" w:hAnsi="宋体" w:cs="宋体"/>
                <w:color w:val="00000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3EC8002">
            <w:pPr>
              <w:spacing w:line="360" w:lineRule="auto"/>
              <w:jc w:val="both"/>
              <w:rPr>
                <w:rFonts w:hint="eastAsia" w:ascii="宋体" w:hAnsi="宋体" w:cs="宋体"/>
                <w:color w:val="000000"/>
                <w:lang w:val="zh-CN"/>
              </w:rPr>
            </w:pPr>
            <w:r>
              <w:rPr>
                <w:rFonts w:hint="eastAsia" w:ascii="宋体" w:hAnsi="宋体" w:cs="宋体"/>
                <w:color w:val="000000"/>
                <w:lang w:val="zh-CN"/>
              </w:rPr>
              <w:t>具体内容详见《招标文件》</w:t>
            </w:r>
          </w:p>
        </w:tc>
      </w:tr>
      <w:tr w14:paraId="3A01F206">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19A328D">
            <w:pPr>
              <w:spacing w:line="360" w:lineRule="auto"/>
              <w:jc w:val="both"/>
              <w:rPr>
                <w:rFonts w:hint="eastAsia" w:ascii="宋体" w:hAnsi="宋体" w:cs="宋体"/>
                <w:color w:val="000000"/>
                <w:lang w:val="zh-CN"/>
              </w:rPr>
            </w:pPr>
            <w:r>
              <w:rPr>
                <w:rFonts w:hint="eastAsia" w:ascii="宋体" w:hAnsi="宋体" w:cs="宋体"/>
                <w:color w:val="00000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D67C9F4">
            <w:pPr>
              <w:widowControl/>
              <w:spacing w:line="320" w:lineRule="exact"/>
              <w:ind w:left="0" w:leftChars="0" w:firstLine="0" w:firstLineChars="0"/>
              <w:rPr>
                <w:rFonts w:hint="eastAsia"/>
              </w:rPr>
            </w:pPr>
            <w:r>
              <w:t>1</w:t>
            </w:r>
            <w:r>
              <w:rPr>
                <w:rFonts w:hint="eastAsia"/>
              </w:rPr>
              <w:t>、应具备《政府采购法》第</w:t>
            </w:r>
            <w:r>
              <w:t>22</w:t>
            </w:r>
            <w:r>
              <w:rPr>
                <w:rFonts w:hint="eastAsia"/>
              </w:rPr>
              <w:t>条所规</w:t>
            </w:r>
            <w:r>
              <w:rPr>
                <w:rFonts w:hint="eastAsia"/>
                <w:lang w:eastAsia="zh-CN"/>
              </w:rPr>
              <w:t>定</w:t>
            </w:r>
            <w:r>
              <w:rPr>
                <w:rFonts w:hint="eastAsia"/>
              </w:rPr>
              <w:t>的条件：</w:t>
            </w:r>
          </w:p>
          <w:p w14:paraId="7E2E16B3">
            <w:pPr>
              <w:widowControl/>
              <w:spacing w:line="320" w:lineRule="exact"/>
              <w:ind w:left="0" w:leftChars="0" w:firstLine="0" w:firstLineChars="0"/>
              <w:rPr>
                <w:rFonts w:hint="eastAsia"/>
              </w:rPr>
            </w:pPr>
            <w:r>
              <w:t>(1</w:t>
            </w:r>
            <w:r>
              <w:rPr>
                <w:rFonts w:hint="eastAsia"/>
              </w:rPr>
              <w:t>）投标人的营业执照等证明文件，自然人的身份证明；</w:t>
            </w:r>
          </w:p>
          <w:p w14:paraId="3EC9CEC5">
            <w:pPr>
              <w:widowControl/>
              <w:spacing w:line="320" w:lineRule="exact"/>
              <w:ind w:left="0" w:leftChars="0" w:firstLine="0" w:firstLineChars="0"/>
              <w:rPr>
                <w:rFonts w:hint="eastAsia"/>
              </w:rPr>
            </w:pPr>
            <w:r>
              <w:t>(2</w:t>
            </w:r>
            <w:r>
              <w:rPr>
                <w:rFonts w:hint="eastAsia"/>
              </w:rPr>
              <w:t>）财务状况报告和依法缴纳税收和社会保障资金的相关材料；</w:t>
            </w:r>
          </w:p>
          <w:p w14:paraId="5EB40680">
            <w:pPr>
              <w:widowControl/>
              <w:spacing w:line="320" w:lineRule="exact"/>
              <w:ind w:left="0" w:leftChars="0" w:firstLine="0" w:firstLineChars="0"/>
              <w:rPr>
                <w:rFonts w:hint="eastAsia"/>
              </w:rPr>
            </w:pPr>
            <w:r>
              <w:t>(3</w:t>
            </w:r>
            <w:r>
              <w:rPr>
                <w:rFonts w:hint="eastAsia"/>
              </w:rPr>
              <w:t>）具备履行合同所必须的设备和专业技术能力的证明材料；</w:t>
            </w:r>
          </w:p>
          <w:p w14:paraId="3ED65AE7">
            <w:pPr>
              <w:widowControl/>
              <w:spacing w:line="320" w:lineRule="exact"/>
              <w:ind w:left="0" w:leftChars="0" w:firstLine="0" w:firstLineChars="0"/>
              <w:rPr>
                <w:rFonts w:hint="eastAsia"/>
              </w:rPr>
            </w:pPr>
            <w:r>
              <w:t>(4</w:t>
            </w:r>
            <w:r>
              <w:rPr>
                <w:rFonts w:hint="eastAsia"/>
              </w:rPr>
              <w:t>）参加政府采购活动前</w:t>
            </w:r>
            <w:r>
              <w:t>3</w:t>
            </w:r>
            <w:r>
              <w:rPr>
                <w:rFonts w:hint="eastAsia"/>
              </w:rPr>
              <w:t>年内在经营活动中没有重大违法记录的书面声明；</w:t>
            </w:r>
          </w:p>
          <w:p w14:paraId="1837AB67">
            <w:pPr>
              <w:widowControl/>
              <w:spacing w:line="320" w:lineRule="exact"/>
              <w:ind w:left="0" w:leftChars="0" w:firstLine="0" w:firstLineChars="0"/>
            </w:pPr>
            <w:r>
              <w:t>(5</w:t>
            </w:r>
            <w:r>
              <w:rPr>
                <w:rFonts w:hint="eastAsia"/>
              </w:rPr>
              <w:t>）具备法律、行政法规规定的其他条件的证明材料。</w:t>
            </w:r>
          </w:p>
          <w:p w14:paraId="363DED1E">
            <w:pPr>
              <w:widowControl/>
              <w:spacing w:line="320" w:lineRule="exact"/>
              <w:ind w:left="0" w:leftChars="0" w:firstLine="0" w:firstLineChars="0"/>
            </w:pPr>
            <w:r>
              <w:t>2</w:t>
            </w:r>
            <w:r>
              <w:rPr>
                <w:rFonts w:hint="eastAsia"/>
              </w:rPr>
              <w:t>、经信用中国（</w:t>
            </w:r>
            <w:r>
              <w:t xml:space="preserve"> www</w:t>
            </w:r>
            <w:r>
              <w:rPr>
                <w:rFonts w:hint="eastAsia"/>
              </w:rPr>
              <w:t>.</w:t>
            </w:r>
            <w:r>
              <w:t>creditchina</w:t>
            </w:r>
            <w:r>
              <w:rPr>
                <w:rFonts w:hint="eastAsia"/>
              </w:rPr>
              <w:t>.</w:t>
            </w:r>
            <w:r>
              <w:t>gov</w:t>
            </w:r>
            <w:r>
              <w:rPr>
                <w:rFonts w:hint="eastAsia"/>
              </w:rPr>
              <w:t>.</w:t>
            </w:r>
            <w:r>
              <w:t>cn )</w:t>
            </w:r>
            <w:r>
              <w:rPr>
                <w:rFonts w:hint="eastAsia"/>
              </w:rPr>
              <w:t>、中国政府采购网（</w:t>
            </w:r>
            <w:r>
              <w:t xml:space="preserve"> www</w:t>
            </w:r>
            <w:r>
              <w:rPr>
                <w:rFonts w:hint="eastAsia"/>
              </w:rPr>
              <w:t>.</w:t>
            </w:r>
            <w:r>
              <w:t>c</w:t>
            </w:r>
            <w:r>
              <w:rPr>
                <w:rFonts w:hint="eastAsia"/>
              </w:rPr>
              <w:t>c</w:t>
            </w:r>
            <w:r>
              <w:t>gp</w:t>
            </w:r>
            <w:r>
              <w:rPr>
                <w:rFonts w:hint="eastAsia"/>
              </w:rPr>
              <w:t>.</w:t>
            </w:r>
            <w:r>
              <w:t>gov</w:t>
            </w:r>
            <w:r>
              <w:rPr>
                <w:rFonts w:hint="eastAsia"/>
              </w:rPr>
              <w:t>.</w:t>
            </w:r>
            <w:r>
              <w:t xml:space="preserve">cn </w:t>
            </w:r>
            <w:r>
              <w:rPr>
                <w:rFonts w:hint="eastAsia"/>
              </w:rPr>
              <w:t>）等渠道查询后，列入失信被执行人、重大税收违法案件当事人名单、政府采购严重违法失信行为记录名单的，取消投标资格。</w:t>
            </w:r>
          </w:p>
          <w:p w14:paraId="5DC57FEF">
            <w:pPr>
              <w:widowControl/>
              <w:spacing w:line="320" w:lineRule="exact"/>
              <w:ind w:left="0" w:leftChars="0" w:firstLine="0" w:firstLineChars="0"/>
            </w:pPr>
            <w:r>
              <w:t>3</w:t>
            </w:r>
            <w:r>
              <w:rPr>
                <w:rFonts w:hint="eastAsia"/>
              </w:rPr>
              <w:t>、单位负责人为同一人或者存在直接控股、管理关系的不同供应商，不得参加同一合同项下的政府采购活动。否则，皆取消投标资格。</w:t>
            </w:r>
          </w:p>
          <w:p w14:paraId="5B352F7A">
            <w:pPr>
              <w:widowControl/>
              <w:spacing w:line="320" w:lineRule="exact"/>
              <w:ind w:left="0" w:leftChars="0" w:firstLine="0" w:firstLineChars="0"/>
              <w:rPr>
                <w:rFonts w:hint="eastAsia"/>
              </w:rPr>
            </w:pPr>
            <w:r>
              <w:t>4</w:t>
            </w:r>
            <w:r>
              <w:rPr>
                <w:rFonts w:hint="eastAsia"/>
              </w:rPr>
              <w:t>、为本采购项目提供整体设计、规范编制等服务的供应商，不得再参加该采购项目的其他采购活动。</w:t>
            </w:r>
          </w:p>
          <w:p w14:paraId="33403684">
            <w:pPr>
              <w:widowControl/>
              <w:spacing w:line="320" w:lineRule="exact"/>
              <w:ind w:left="0" w:leftChars="0" w:firstLine="0" w:firstLineChars="0"/>
            </w:pPr>
            <w:r>
              <w:t>5</w:t>
            </w:r>
            <w:r>
              <w:rPr>
                <w:rFonts w:hint="eastAsia"/>
              </w:rPr>
              <w:t>、本项目不接受供应商以联合体方式进行投标。</w:t>
            </w:r>
          </w:p>
          <w:p w14:paraId="59218201">
            <w:pPr>
              <w:spacing w:line="360" w:lineRule="auto"/>
              <w:jc w:val="both"/>
              <w:rPr>
                <w:rFonts w:hint="eastAsia" w:ascii="宋体" w:hAnsi="宋体" w:cs="宋体"/>
                <w:color w:val="000000"/>
                <w:lang w:val="zh-CN"/>
              </w:rPr>
            </w:pPr>
            <w:r>
              <w:t>6</w:t>
            </w:r>
            <w:r>
              <w:rPr>
                <w:rFonts w:hint="eastAsia"/>
              </w:rPr>
              <w:t>、</w:t>
            </w:r>
            <w:r>
              <w:rPr>
                <w:rFonts w:hint="eastAsia"/>
                <w:lang w:eastAsia="zh-CN"/>
              </w:rPr>
              <w:t>招标文件</w:t>
            </w:r>
            <w:r>
              <w:rPr>
                <w:rFonts w:hint="eastAsia"/>
              </w:rPr>
              <w:t>中规定的其他资质条件。</w:t>
            </w:r>
          </w:p>
        </w:tc>
      </w:tr>
      <w:tr w14:paraId="4902872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1D14CCB">
            <w:pPr>
              <w:spacing w:line="360" w:lineRule="auto"/>
              <w:jc w:val="both"/>
              <w:rPr>
                <w:rFonts w:hint="eastAsia" w:ascii="宋体" w:hAnsi="宋体" w:cs="宋体"/>
                <w:color w:val="000000"/>
                <w:lang w:val="zh-CN"/>
              </w:rPr>
            </w:pPr>
            <w:r>
              <w:rPr>
                <w:rFonts w:hint="eastAsia" w:ascii="宋体" w:hAnsi="宋体" w:cs="宋体"/>
                <w:color w:val="00000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FD1714">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4</w:t>
            </w:r>
            <w:r>
              <w:rPr>
                <w:rFonts w:hint="eastAsia" w:ascii="宋体" w:hAnsi="宋体" w:cs="宋体"/>
                <w:b/>
                <w:bCs/>
                <w:color w:val="FF0000"/>
                <w:lang w:val="zh-CN"/>
              </w:rPr>
              <w:t>年</w:t>
            </w:r>
            <w:r>
              <w:rPr>
                <w:rFonts w:hint="eastAsia" w:ascii="宋体" w:hAnsi="宋体" w:cs="宋体"/>
                <w:b/>
                <w:bCs/>
                <w:color w:val="FF0000"/>
                <w:lang w:val="en-US" w:eastAsia="zh-CN"/>
              </w:rPr>
              <w:t>11</w:t>
            </w:r>
            <w:r>
              <w:rPr>
                <w:rFonts w:hint="eastAsia" w:ascii="宋体" w:hAnsi="宋体" w:cs="宋体"/>
                <w:b/>
                <w:bCs/>
                <w:color w:val="FF0000"/>
                <w:lang w:val="zh-CN"/>
              </w:rPr>
              <w:t>月</w:t>
            </w:r>
            <w:r>
              <w:rPr>
                <w:rFonts w:hint="eastAsia" w:ascii="宋体" w:hAnsi="宋体" w:cs="宋体"/>
                <w:b/>
                <w:bCs/>
                <w:color w:val="FF0000"/>
                <w:lang w:val="en-US" w:eastAsia="zh-CN"/>
              </w:rPr>
              <w:t>13</w:t>
            </w:r>
            <w:r>
              <w:rPr>
                <w:rFonts w:hint="eastAsia" w:ascii="宋体" w:hAnsi="宋体" w:cs="宋体"/>
                <w:b/>
                <w:bCs/>
                <w:color w:val="FF0000"/>
                <w:lang w:val="zh-CN"/>
              </w:rPr>
              <w:t>日</w:t>
            </w:r>
          </w:p>
        </w:tc>
      </w:tr>
      <w:tr w14:paraId="1FAFFBF1">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21EAFBF">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AA3CE21">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4</w:t>
            </w:r>
            <w:r>
              <w:rPr>
                <w:rFonts w:hint="eastAsia" w:ascii="宋体" w:hAnsi="宋体" w:cs="宋体"/>
                <w:b/>
                <w:bCs/>
                <w:color w:val="FF0000"/>
                <w:lang w:val="zh-CN"/>
              </w:rPr>
              <w:t>年11月</w:t>
            </w:r>
            <w:r>
              <w:rPr>
                <w:rFonts w:hint="eastAsia" w:ascii="宋体" w:hAnsi="宋体" w:cs="宋体"/>
                <w:b/>
                <w:bCs/>
                <w:color w:val="FF0000"/>
                <w:lang w:val="en-US" w:eastAsia="zh-CN"/>
              </w:rPr>
              <w:t>13</w:t>
            </w:r>
            <w:r>
              <w:rPr>
                <w:rFonts w:hint="eastAsia" w:ascii="宋体" w:hAnsi="宋体" w:cs="宋体"/>
                <w:b/>
                <w:bCs/>
                <w:color w:val="FF0000"/>
                <w:lang w:val="zh-CN"/>
              </w:rPr>
              <w:t>日至</w:t>
            </w:r>
            <w:r>
              <w:rPr>
                <w:rFonts w:hint="eastAsia" w:ascii="宋体" w:hAnsi="宋体" w:cs="宋体"/>
                <w:b/>
                <w:bCs/>
                <w:color w:val="FF0000"/>
              </w:rPr>
              <w:t>202</w:t>
            </w:r>
            <w:r>
              <w:rPr>
                <w:rFonts w:hint="eastAsia" w:ascii="宋体" w:hAnsi="宋体" w:cs="宋体"/>
                <w:b/>
                <w:bCs/>
                <w:color w:val="FF0000"/>
                <w:lang w:val="en-US" w:eastAsia="zh-CN"/>
              </w:rPr>
              <w:t>4</w:t>
            </w:r>
            <w:r>
              <w:rPr>
                <w:rFonts w:hint="eastAsia" w:ascii="宋体" w:hAnsi="宋体" w:cs="宋体"/>
                <w:b/>
                <w:bCs/>
                <w:color w:val="FF0000"/>
              </w:rPr>
              <w:t>年</w:t>
            </w:r>
            <w:r>
              <w:rPr>
                <w:rFonts w:hint="eastAsia" w:ascii="宋体" w:hAnsi="宋体" w:cs="宋体"/>
                <w:b/>
                <w:bCs/>
                <w:color w:val="FF0000"/>
                <w:lang w:val="en-US" w:eastAsia="zh-CN"/>
              </w:rPr>
              <w:t>12</w:t>
            </w:r>
            <w:r>
              <w:rPr>
                <w:rFonts w:hint="eastAsia" w:ascii="宋体" w:hAnsi="宋体" w:cs="宋体"/>
                <w:b/>
                <w:bCs/>
                <w:color w:val="FF0000"/>
                <w:lang w:val="zh-CN"/>
              </w:rPr>
              <w:t>月</w:t>
            </w:r>
            <w:r>
              <w:rPr>
                <w:rFonts w:hint="eastAsia" w:ascii="宋体" w:hAnsi="宋体" w:cs="宋体"/>
                <w:b/>
                <w:bCs/>
                <w:color w:val="FF0000"/>
                <w:lang w:val="en-US" w:eastAsia="zh-CN"/>
              </w:rPr>
              <w:t>2</w:t>
            </w:r>
            <w:r>
              <w:rPr>
                <w:rFonts w:hint="eastAsia" w:ascii="宋体" w:hAnsi="宋体" w:cs="宋体"/>
                <w:b/>
                <w:bCs/>
                <w:color w:val="FF0000"/>
                <w:lang w:val="zh-CN"/>
              </w:rPr>
              <w:t>日（节假日除外），上午</w:t>
            </w:r>
            <w:r>
              <w:rPr>
                <w:rFonts w:hint="eastAsia" w:ascii="宋体" w:hAnsi="宋体" w:cs="宋体"/>
                <w:b/>
                <w:bCs/>
                <w:color w:val="FF0000"/>
              </w:rPr>
              <w:t>9</w:t>
            </w:r>
            <w:r>
              <w:rPr>
                <w:rFonts w:hint="eastAsia" w:ascii="宋体" w:hAnsi="宋体" w:cs="宋体"/>
                <w:b/>
                <w:bCs/>
                <w:color w:val="FF0000"/>
                <w:lang w:val="zh-CN"/>
              </w:rPr>
              <w:t>:</w:t>
            </w:r>
            <w:r>
              <w:rPr>
                <w:rFonts w:hint="eastAsia" w:ascii="宋体" w:hAnsi="宋体" w:cs="宋体"/>
                <w:b/>
                <w:bCs/>
                <w:color w:val="FF0000"/>
              </w:rPr>
              <w:t>00</w:t>
            </w:r>
            <w:r>
              <w:rPr>
                <w:rFonts w:hint="eastAsia" w:ascii="宋体" w:hAnsi="宋体" w:cs="宋体"/>
                <w:b/>
                <w:bCs/>
                <w:color w:val="FF0000"/>
                <w:lang w:val="zh-CN"/>
              </w:rPr>
              <w:t>-12:00,下午12:00-</w:t>
            </w:r>
            <w:r>
              <w:rPr>
                <w:rFonts w:hint="eastAsia" w:ascii="宋体" w:hAnsi="宋体" w:cs="宋体"/>
                <w:b/>
                <w:bCs/>
                <w:color w:val="FF0000"/>
              </w:rPr>
              <w:t>17</w:t>
            </w:r>
            <w:r>
              <w:rPr>
                <w:rFonts w:hint="eastAsia" w:ascii="宋体" w:hAnsi="宋体" w:cs="宋体"/>
                <w:b/>
                <w:bCs/>
                <w:color w:val="FF0000"/>
                <w:lang w:val="zh-CN"/>
              </w:rPr>
              <w:t>:</w:t>
            </w:r>
            <w:r>
              <w:rPr>
                <w:rFonts w:hint="eastAsia" w:ascii="宋体" w:hAnsi="宋体" w:cs="宋体"/>
                <w:b/>
                <w:bCs/>
                <w:color w:val="FF0000"/>
              </w:rPr>
              <w:t>0</w:t>
            </w:r>
            <w:r>
              <w:rPr>
                <w:rFonts w:hint="eastAsia" w:ascii="宋体" w:hAnsi="宋体" w:cs="宋体"/>
                <w:b/>
                <w:bCs/>
                <w:color w:val="FF0000"/>
                <w:lang w:val="zh-CN"/>
              </w:rPr>
              <w:t>0（节假日除外）</w:t>
            </w:r>
          </w:p>
        </w:tc>
      </w:tr>
      <w:tr w14:paraId="661ECDC4">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D6C90B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81A34DE">
            <w:pPr>
              <w:spacing w:line="360" w:lineRule="auto"/>
              <w:jc w:val="both"/>
              <w:rPr>
                <w:rFonts w:hint="eastAsia" w:ascii="宋体" w:hAnsi="宋体" w:cs="宋体"/>
                <w:color w:val="auto"/>
                <w:lang w:val="zh-CN"/>
              </w:rPr>
            </w:pPr>
            <w:r>
              <w:rPr>
                <w:rFonts w:hint="eastAsia" w:ascii="宋体" w:hAnsi="宋体" w:cs="Tahoma"/>
                <w:color w:val="auto"/>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1E6F281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6719DA">
            <w:pPr>
              <w:spacing w:line="360" w:lineRule="auto"/>
              <w:jc w:val="both"/>
              <w:rPr>
                <w:rFonts w:hint="eastAsia" w:ascii="宋体" w:hAnsi="宋体" w:cs="宋体"/>
                <w:color w:val="000000"/>
                <w:lang w:val="zh-CN"/>
              </w:rPr>
            </w:pPr>
            <w:r>
              <w:rPr>
                <w:rFonts w:hint="eastAsia" w:ascii="宋体" w:hAnsi="宋体" w:cs="宋体"/>
                <w:color w:val="000000"/>
                <w:lang w:val="zh-CN"/>
              </w:rPr>
              <w:t>招标文件售价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5B8CEC8">
            <w:pPr>
              <w:pStyle w:val="208"/>
              <w:spacing w:line="360" w:lineRule="auto"/>
              <w:jc w:val="both"/>
              <w:rPr>
                <w:rFonts w:hint="eastAsia" w:ascii="宋体" w:hAnsi="宋体" w:cs="宋体"/>
                <w:color w:val="000000"/>
                <w:lang w:val="zh-CN" w:eastAsia="zh-CN"/>
              </w:rPr>
            </w:pPr>
            <w:r>
              <w:rPr>
                <w:rFonts w:hint="eastAsia" w:ascii="宋体" w:hAnsi="宋体" w:cs="宋体"/>
                <w:color w:val="000000"/>
                <w:lang w:val="zh-CN" w:eastAsia="zh-CN"/>
              </w:rPr>
              <w:t>0.00</w:t>
            </w:r>
          </w:p>
        </w:tc>
      </w:tr>
      <w:tr w14:paraId="1F113DC9">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4D0C25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3AD8421">
            <w:pPr>
              <w:pStyle w:val="208"/>
              <w:spacing w:line="360" w:lineRule="auto"/>
              <w:jc w:val="both"/>
              <w:rPr>
                <w:rFonts w:hint="eastAsia" w:ascii="宋体" w:hAnsi="宋体"/>
                <w:lang w:val="en-US" w:eastAsia="zh-CN"/>
              </w:rPr>
            </w:pPr>
            <w:r>
              <w:rPr>
                <w:rFonts w:hint="eastAsia"/>
                <w:lang w:val="en-US" w:eastAsia="zh-CN"/>
              </w:rPr>
              <w:t>《政采云平台》免费下载招标文件。</w:t>
            </w:r>
          </w:p>
        </w:tc>
      </w:tr>
      <w:tr w14:paraId="24365033">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BFF3636">
            <w:pPr>
              <w:spacing w:line="360" w:lineRule="auto"/>
              <w:jc w:val="both"/>
              <w:rPr>
                <w:rFonts w:hint="eastAsia" w:ascii="宋体" w:hAnsi="宋体" w:cs="宋体"/>
                <w:color w:val="000000"/>
                <w:lang w:val="zh-CN"/>
              </w:rPr>
            </w:pPr>
            <w:r>
              <w:rPr>
                <w:rFonts w:hint="eastAsia" w:ascii="宋体" w:hAnsi="宋体" w:cs="宋体"/>
                <w:color w:val="000000"/>
                <w:lang w:val="zh-CN"/>
              </w:rPr>
              <w:t>电子签到</w:t>
            </w:r>
            <w:r>
              <w:rPr>
                <w:rFonts w:hint="eastAsia" w:ascii="宋体" w:hAnsi="宋体" w:cs="宋体"/>
                <w:color w:val="000000"/>
              </w:rPr>
              <w:t>及</w:t>
            </w:r>
            <w:r>
              <w:rPr>
                <w:rFonts w:hint="eastAsia" w:ascii="宋体" w:hAnsi="宋体" w:cs="宋体"/>
                <w:color w:val="00000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E871509">
            <w:pPr>
              <w:spacing w:line="360" w:lineRule="auto"/>
              <w:jc w:val="both"/>
              <w:rPr>
                <w:rFonts w:hint="eastAsia" w:ascii="宋体" w:hAnsi="宋体" w:cs="宋体"/>
                <w:lang w:val="zh-CN"/>
              </w:rPr>
            </w:pPr>
            <w:r>
              <w:rPr>
                <w:rFonts w:hint="eastAsia" w:ascii="宋体" w:hAnsi="宋体" w:cs="宋体"/>
                <w:b/>
                <w:bCs/>
                <w:color w:val="FF0000"/>
                <w:lang w:val="zh-CN"/>
              </w:rPr>
              <w:t>202</w:t>
            </w:r>
            <w:r>
              <w:rPr>
                <w:rFonts w:hint="eastAsia" w:ascii="宋体" w:hAnsi="宋体" w:cs="宋体"/>
                <w:b/>
                <w:bCs/>
                <w:color w:val="FF0000"/>
                <w:lang w:val="en-US" w:eastAsia="zh-CN"/>
              </w:rPr>
              <w:t>4</w:t>
            </w:r>
            <w:r>
              <w:rPr>
                <w:rFonts w:hint="eastAsia" w:ascii="宋体" w:hAnsi="宋体" w:cs="宋体"/>
                <w:b/>
                <w:bCs/>
                <w:color w:val="FF0000"/>
                <w:lang w:val="zh-CN"/>
              </w:rPr>
              <w:t>年</w:t>
            </w:r>
            <w:r>
              <w:rPr>
                <w:rFonts w:hint="eastAsia" w:ascii="宋体" w:hAnsi="宋体" w:cs="宋体"/>
                <w:b/>
                <w:bCs/>
                <w:color w:val="FF0000"/>
                <w:lang w:val="en-US" w:eastAsia="zh-CN"/>
              </w:rPr>
              <w:t>12</w:t>
            </w:r>
            <w:r>
              <w:rPr>
                <w:rFonts w:hint="eastAsia" w:ascii="宋体" w:hAnsi="宋体" w:cs="宋体"/>
                <w:b/>
                <w:bCs/>
                <w:color w:val="FF0000"/>
                <w:lang w:val="zh-CN"/>
              </w:rPr>
              <w:t>月</w:t>
            </w:r>
            <w:r>
              <w:rPr>
                <w:rFonts w:hint="eastAsia" w:ascii="宋体" w:hAnsi="宋体" w:cs="宋体"/>
                <w:b/>
                <w:bCs/>
                <w:color w:val="FF0000"/>
                <w:lang w:val="en-US" w:eastAsia="zh-CN"/>
              </w:rPr>
              <w:t>3</w:t>
            </w:r>
            <w:r>
              <w:rPr>
                <w:rFonts w:hint="eastAsia" w:ascii="宋体" w:hAnsi="宋体" w:cs="宋体"/>
                <w:b/>
                <w:bCs/>
                <w:color w:val="FF0000"/>
                <w:lang w:val="zh-CN"/>
              </w:rPr>
              <w:t>日上午9:</w:t>
            </w:r>
            <w:r>
              <w:rPr>
                <w:rFonts w:hint="eastAsia" w:ascii="宋体" w:hAnsi="宋体" w:cs="宋体"/>
                <w:b/>
                <w:bCs/>
                <w:color w:val="FF0000"/>
                <w:lang w:val="en-US" w:eastAsia="zh-CN"/>
              </w:rPr>
              <w:t>00</w:t>
            </w:r>
            <w:r>
              <w:rPr>
                <w:rFonts w:hint="eastAsia" w:ascii="宋体" w:hAnsi="宋体" w:cs="宋体"/>
                <w:b/>
                <w:bCs/>
                <w:color w:val="FF0000"/>
                <w:lang w:val="zh-CN"/>
              </w:rPr>
              <w:t>:00时（北京时间）</w:t>
            </w:r>
          </w:p>
        </w:tc>
      </w:tr>
      <w:tr w14:paraId="74545777">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57914B4">
            <w:pPr>
              <w:spacing w:line="360" w:lineRule="auto"/>
              <w:jc w:val="both"/>
              <w:rPr>
                <w:rFonts w:hint="eastAsia" w:ascii="宋体" w:hAnsi="宋体" w:cs="宋体"/>
                <w:color w:val="000000"/>
                <w:lang w:val="zh-CN"/>
              </w:rPr>
            </w:pPr>
            <w:r>
              <w:rPr>
                <w:rFonts w:hint="eastAsia" w:ascii="宋体" w:hAnsi="宋体" w:cs="宋体"/>
                <w:color w:val="00000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187177B">
            <w:pPr>
              <w:pStyle w:val="238"/>
              <w:ind w:firstLine="0"/>
              <w:jc w:val="both"/>
              <w:rPr>
                <w:rFonts w:hint="eastAsia"/>
                <w:lang w:val="zh-CN"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w:t>
            </w:r>
          </w:p>
        </w:tc>
      </w:tr>
      <w:tr w14:paraId="464BAA31">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955B6CC">
            <w:pPr>
              <w:spacing w:line="360" w:lineRule="auto"/>
              <w:jc w:val="both"/>
              <w:rPr>
                <w:rFonts w:hint="eastAsia" w:ascii="宋体" w:hAnsi="宋体" w:cs="宋体"/>
                <w:color w:val="000000"/>
                <w:lang w:val="zh-CN"/>
              </w:rPr>
            </w:pPr>
            <w:r>
              <w:rPr>
                <w:rFonts w:hint="eastAsia" w:ascii="宋体" w:hAnsi="Cambria" w:cs="宋体"/>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B52E663">
            <w:pPr>
              <w:spacing w:line="360" w:lineRule="auto"/>
              <w:ind w:left="240" w:hanging="240"/>
              <w:jc w:val="both"/>
              <w:rPr>
                <w:rFonts w:hint="eastAsia" w:ascii="宋体" w:hAnsi="宋体" w:cs="宋体"/>
                <w:color w:val="000000"/>
                <w:lang w:val="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4844141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21BC58">
            <w:pPr>
              <w:spacing w:line="360" w:lineRule="auto"/>
              <w:jc w:val="both"/>
              <w:rPr>
                <w:rFonts w:hint="eastAsia" w:ascii="宋体" w:hAnsi="宋体" w:cs="宋体"/>
                <w:color w:val="000000"/>
                <w:lang w:val="zh-CN"/>
              </w:rPr>
            </w:pPr>
            <w:r>
              <w:rPr>
                <w:rFonts w:hint="eastAsia" w:ascii="宋体" w:hAnsi="宋体" w:cs="宋体"/>
                <w:color w:val="000000"/>
                <w:lang w:val="zh-CN"/>
              </w:rPr>
              <w:t>采购人联系</w:t>
            </w:r>
            <w:r>
              <w:rPr>
                <w:rFonts w:hint="eastAsia" w:ascii="宋体" w:hAnsi="宋体" w:cs="宋体"/>
                <w:color w:val="00000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13906BD">
            <w:pPr>
              <w:spacing w:line="360" w:lineRule="auto"/>
              <w:jc w:val="both"/>
              <w:rPr>
                <w:rFonts w:hint="eastAsia" w:ascii="宋体" w:hAnsi="宋体" w:cs="宋体"/>
                <w:color w:val="000000"/>
              </w:rPr>
            </w:pPr>
            <w:r>
              <w:rPr>
                <w:rFonts w:hint="eastAsia" w:ascii="宋体" w:hAnsi="宋体" w:cs="宋体"/>
                <w:color w:val="000000"/>
                <w:lang w:val="zh-CN"/>
              </w:rPr>
              <w:t>刚察县公安局</w:t>
            </w:r>
            <w:r>
              <w:rPr>
                <w:rFonts w:hint="eastAsia" w:ascii="宋体" w:hAnsi="宋体" w:cs="宋体"/>
                <w:color w:val="000000"/>
              </w:rPr>
              <w:t xml:space="preserve">  </w:t>
            </w:r>
          </w:p>
          <w:p w14:paraId="5F2E874F">
            <w:pPr>
              <w:spacing w:line="360" w:lineRule="auto"/>
              <w:ind w:left="240" w:hanging="240"/>
              <w:jc w:val="both"/>
              <w:rPr>
                <w:rFonts w:ascii="宋体" w:hAnsi="宋体" w:cs="宋体"/>
                <w:color w:val="000000"/>
              </w:rPr>
            </w:pPr>
            <w:r>
              <w:rPr>
                <w:rFonts w:hint="eastAsia" w:ascii="宋体" w:hAnsi="宋体" w:cs="宋体"/>
                <w:color w:val="000000"/>
                <w:lang w:val="zh-CN"/>
              </w:rPr>
              <w:t>联系人：王警官</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lang w:val="zh-CN"/>
              </w:rPr>
              <w:t>0970-8652523</w:t>
            </w:r>
          </w:p>
        </w:tc>
      </w:tr>
      <w:tr w14:paraId="17754E96">
        <w:tblPrEx>
          <w:tblCellMar>
            <w:top w:w="0" w:type="dxa"/>
            <w:left w:w="108" w:type="dxa"/>
            <w:bottom w:w="0" w:type="dxa"/>
            <w:right w:w="108" w:type="dxa"/>
          </w:tblCellMar>
        </w:tblPrEx>
        <w:trPr>
          <w:trHeight w:val="80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0844C81">
            <w:pPr>
              <w:spacing w:line="360" w:lineRule="auto"/>
              <w:jc w:val="both"/>
              <w:rPr>
                <w:rFonts w:hint="eastAsia" w:ascii="宋体" w:hAnsi="宋体" w:cs="宋体"/>
                <w:color w:val="000000"/>
                <w:sz w:val="21"/>
                <w:szCs w:val="21"/>
              </w:rPr>
            </w:pPr>
            <w:r>
              <w:rPr>
                <w:rFonts w:hint="eastAsia" w:ascii="宋体" w:hAnsi="宋体" w:cs="宋体"/>
                <w:sz w:val="21"/>
                <w:szCs w:val="21"/>
              </w:rPr>
              <w:t>集中</w:t>
            </w:r>
            <w:r>
              <w:rPr>
                <w:rFonts w:ascii="宋体" w:hAnsi="宋体" w:cs="宋体"/>
                <w:sz w:val="21"/>
                <w:szCs w:val="21"/>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5DE90FF">
            <w:pPr>
              <w:spacing w:line="360" w:lineRule="auto"/>
              <w:jc w:val="both"/>
              <w:rPr>
                <w:rFonts w:hint="eastAsia" w:ascii="宋体" w:hAnsi="宋体" w:cs="宋体"/>
                <w:color w:val="000000"/>
                <w:lang w:val="zh-CN"/>
              </w:rPr>
            </w:pPr>
            <w:r>
              <w:rPr>
                <w:rFonts w:hint="eastAsia" w:ascii="宋体" w:hAnsi="宋体" w:cs="宋体"/>
                <w:szCs w:val="21"/>
              </w:rPr>
              <w:t>刚察县政府采购中心      徐先生   联系电话：0970-8659329</w:t>
            </w:r>
          </w:p>
        </w:tc>
      </w:tr>
      <w:tr w14:paraId="01B1722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676FF7">
            <w:pPr>
              <w:spacing w:line="360" w:lineRule="auto"/>
              <w:jc w:val="both"/>
              <w:rPr>
                <w:rFonts w:hint="eastAsia" w:ascii="宋体" w:hAnsi="宋体" w:cs="宋体"/>
                <w:color w:val="000000"/>
                <w:lang w:val="zh-CN"/>
              </w:rPr>
            </w:pPr>
            <w:r>
              <w:rPr>
                <w:rFonts w:hint="eastAsia" w:ascii="宋体" w:hAnsi="宋体" w:cs="宋体"/>
                <w:color w:val="00000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C76C14">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6E9304D0">
            <w:pPr>
              <w:widowControl/>
              <w:numPr>
                <w:ilvl w:val="0"/>
                <w:numId w:val="0"/>
              </w:numPr>
              <w:spacing w:line="320" w:lineRule="exact"/>
              <w:jc w:val="left"/>
              <w:rPr>
                <w:rFonts w:hint="eastAsia"/>
              </w:rPr>
            </w:pPr>
            <w:r>
              <w:rPr>
                <w:rFonts w:hint="eastAsia"/>
              </w:rPr>
              <w:t>2、线上电子化开评标系统操作及办理CA锁等相关事宜请咨询政采云</w:t>
            </w:r>
          </w:p>
          <w:p w14:paraId="1340252B">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4C57BD0A">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4E7426DB">
            <w:pPr>
              <w:widowControl/>
              <w:spacing w:line="320" w:lineRule="exact"/>
              <w:jc w:val="both"/>
              <w:rPr>
                <w:rFonts w:hint="eastAsia"/>
              </w:rPr>
            </w:pPr>
            <w:r>
              <w:rPr>
                <w:rFonts w:hint="eastAsia"/>
                <w:lang w:val="en-US" w:eastAsia="zh-CN"/>
              </w:rPr>
              <w:t>5</w:t>
            </w:r>
            <w:r>
              <w:rPr>
                <w:rFonts w:hint="eastAsia" w:ascii="Calibri" w:hAnsi="Calibri" w:eastAsia="宋体" w:cs="Times New Roman"/>
                <w:kern w:val="2"/>
                <w:sz w:val="24"/>
                <w:szCs w:val="24"/>
                <w:lang w:val="en-US" w:eastAsia="zh-CN" w:bidi="ar-SA"/>
              </w:rPr>
              <w:t>、本公告及变更信息以青海省政府采购网发布的公告信息为准。</w:t>
            </w:r>
          </w:p>
        </w:tc>
      </w:tr>
      <w:tr w14:paraId="20AC66FC">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A84638">
            <w:pPr>
              <w:spacing w:line="360" w:lineRule="auto"/>
              <w:jc w:val="both"/>
              <w:rPr>
                <w:rFonts w:hint="eastAsia" w:ascii="宋体" w:hAnsi="宋体" w:cs="宋体"/>
                <w:color w:val="000000"/>
                <w:lang w:val="zh-CN"/>
              </w:rPr>
            </w:pPr>
            <w:r>
              <w:rPr>
                <w:rFonts w:hint="eastAsia" w:ascii="宋体" w:hAnsi="宋体" w:cs="宋体"/>
                <w:color w:val="00000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140974C">
            <w:pPr>
              <w:spacing w:line="360" w:lineRule="auto"/>
              <w:jc w:val="both"/>
              <w:rPr>
                <w:rFonts w:hint="eastAsia" w:ascii="宋体" w:hAnsi="宋体" w:cs="宋体"/>
                <w:color w:val="000000"/>
                <w:lang w:val="zh-CN"/>
              </w:rPr>
            </w:pPr>
            <w:r>
              <w:rPr>
                <w:rFonts w:hint="eastAsia" w:ascii="宋体" w:hAnsi="宋体" w:cs="宋体"/>
                <w:color w:val="000000"/>
                <w:lang w:val="zh-CN"/>
              </w:rPr>
              <w:t xml:space="preserve">刚察县财政局           </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szCs w:val="21"/>
              </w:rPr>
              <w:t>0970-8659329</w:t>
            </w:r>
          </w:p>
        </w:tc>
      </w:tr>
      <w:bookmarkEnd w:id="1"/>
    </w:tbl>
    <w:p w14:paraId="3127559E">
      <w:pPr>
        <w:shd w:val="clear"/>
        <w:rPr>
          <w:rFonts w:hint="eastAsia" w:ascii="宋体" w:hAnsi="宋体" w:cs="宋体"/>
          <w:color w:val="000000"/>
          <w:lang w:val="zh-CN"/>
        </w:rPr>
      </w:pPr>
      <w:bookmarkStart w:id="2" w:name="_Toc24554913"/>
      <w:r>
        <w:rPr>
          <w:rFonts w:hint="eastAsia" w:ascii="宋体" w:hAnsi="宋体" w:cs="宋体"/>
          <w:color w:val="000000"/>
          <w:szCs w:val="36"/>
          <w:lang w:val="zh-CN"/>
        </w:rPr>
        <w:br w:type="page" w:clear="all"/>
      </w:r>
    </w:p>
    <w:p w14:paraId="10E2C5FD">
      <w:pPr>
        <w:pStyle w:val="234"/>
        <w:spacing w:before="0" w:after="0" w:line="360" w:lineRule="auto"/>
        <w:rPr>
          <w:rFonts w:hint="eastAsia" w:ascii="宋体" w:hAnsi="宋体" w:cs="宋体"/>
          <w:color w:val="000000"/>
          <w:szCs w:val="36"/>
        </w:rPr>
      </w:pPr>
      <w:bookmarkStart w:id="3" w:name="_Toc6896"/>
      <w:r>
        <w:rPr>
          <w:rFonts w:hint="eastAsia" w:ascii="宋体" w:hAnsi="宋体" w:cs="宋体"/>
          <w:color w:val="000000"/>
          <w:szCs w:val="36"/>
          <w:lang w:val="zh-CN"/>
        </w:rPr>
        <w:t>第二部分  投标人须知</w:t>
      </w:r>
      <w:bookmarkEnd w:id="2"/>
      <w:bookmarkEnd w:id="3"/>
    </w:p>
    <w:p w14:paraId="58A3DC6C">
      <w:pPr>
        <w:pStyle w:val="234"/>
        <w:spacing w:before="0" w:after="0" w:line="360" w:lineRule="auto"/>
        <w:rPr>
          <w:rFonts w:hint="eastAsia" w:ascii="宋体" w:hAnsi="宋体" w:cs="宋体"/>
          <w:color w:val="000000"/>
        </w:rPr>
      </w:pPr>
      <w:bookmarkStart w:id="4" w:name="_Toc27414"/>
      <w:r>
        <w:rPr>
          <w:rFonts w:hint="eastAsia" w:ascii="宋体" w:hAnsi="宋体" w:cs="宋体"/>
          <w:color w:val="000000"/>
          <w:lang w:val="zh-CN"/>
        </w:rPr>
        <w:t>一、说明</w:t>
      </w:r>
      <w:bookmarkEnd w:id="4"/>
    </w:p>
    <w:p w14:paraId="1840DC91">
      <w:pPr>
        <w:pStyle w:val="234"/>
        <w:spacing w:before="0" w:after="0" w:line="360" w:lineRule="auto"/>
        <w:jc w:val="left"/>
        <w:rPr>
          <w:rFonts w:hint="eastAsia" w:ascii="宋体" w:hAnsi="宋体" w:cs="宋体"/>
          <w:color w:val="000000"/>
          <w:lang w:val="zh-CN"/>
        </w:rPr>
      </w:pPr>
      <w:bookmarkStart w:id="5" w:name="_Toc4785"/>
      <w:r>
        <w:rPr>
          <w:rFonts w:hint="eastAsia" w:ascii="宋体" w:hAnsi="宋体" w:cs="宋体"/>
          <w:color w:val="000000"/>
          <w:sz w:val="28"/>
          <w:szCs w:val="28"/>
          <w:lang w:val="zh-CN"/>
        </w:rPr>
        <w:t>1.适用范围</w:t>
      </w:r>
      <w:bookmarkEnd w:id="5"/>
    </w:p>
    <w:p w14:paraId="44E3D373">
      <w:pPr>
        <w:spacing w:line="360" w:lineRule="auto"/>
        <w:ind w:firstLine="360"/>
        <w:rPr>
          <w:rFonts w:hint="eastAsia" w:ascii="宋体" w:hAnsi="宋体" w:cs="宋体"/>
          <w:color w:val="000000"/>
          <w:lang w:val="zh-CN"/>
        </w:rPr>
      </w:pPr>
      <w:r>
        <w:rPr>
          <w:rFonts w:hint="eastAsia" w:ascii="宋体" w:hAnsi="宋体" w:cs="宋体"/>
          <w:color w:val="000000"/>
          <w:lang w:val="zh-CN"/>
        </w:rPr>
        <w:t>本次招标依据采购人的采购计划，仅适用于本招标文件中所叙述的项目。</w:t>
      </w:r>
    </w:p>
    <w:p w14:paraId="5DB39F5E">
      <w:pPr>
        <w:pStyle w:val="234"/>
        <w:spacing w:before="0" w:after="0" w:line="360" w:lineRule="auto"/>
        <w:jc w:val="left"/>
        <w:rPr>
          <w:rFonts w:hint="eastAsia" w:ascii="宋体" w:hAnsi="宋体" w:cs="宋体"/>
          <w:color w:val="000000"/>
          <w:lang w:val="zh-CN"/>
        </w:rPr>
      </w:pPr>
      <w:bookmarkStart w:id="6" w:name="_Toc7014"/>
      <w:r>
        <w:rPr>
          <w:rFonts w:hint="eastAsia" w:ascii="宋体" w:hAnsi="宋体" w:cs="宋体"/>
          <w:color w:val="000000"/>
          <w:sz w:val="28"/>
          <w:szCs w:val="28"/>
          <w:lang w:val="zh-CN"/>
        </w:rPr>
        <w:t>2.采购方式、合格的投标人</w:t>
      </w:r>
      <w:bookmarkEnd w:id="6"/>
    </w:p>
    <w:p w14:paraId="3EECACF6">
      <w:pPr>
        <w:spacing w:line="360" w:lineRule="auto"/>
        <w:ind w:firstLine="360"/>
        <w:rPr>
          <w:rFonts w:hint="eastAsia" w:ascii="宋体" w:hAnsi="宋体" w:cs="宋体"/>
          <w:b/>
          <w:bCs/>
          <w:color w:val="000000"/>
          <w:lang w:val="zh-CN"/>
        </w:rPr>
      </w:pPr>
      <w:r>
        <w:rPr>
          <w:rFonts w:hint="eastAsia" w:ascii="宋体" w:hAnsi="宋体" w:cs="宋体"/>
          <w:color w:val="000000"/>
          <w:lang w:val="zh-CN"/>
        </w:rPr>
        <w:t>2.1</w:t>
      </w:r>
      <w:r>
        <w:rPr>
          <w:rFonts w:hint="eastAsia" w:ascii="宋体" w:hAnsi="宋体" w:cs="宋体"/>
          <w:color w:val="000000"/>
        </w:rPr>
        <w:t xml:space="preserve"> </w:t>
      </w:r>
      <w:r>
        <w:rPr>
          <w:rFonts w:hint="eastAsia" w:ascii="宋体" w:hAnsi="宋体" w:cs="宋体"/>
          <w:color w:val="000000"/>
          <w:lang w:val="zh-CN"/>
        </w:rPr>
        <w:t>本次招标采取公开招标方式。</w:t>
      </w:r>
    </w:p>
    <w:p w14:paraId="081E3483">
      <w:pPr>
        <w:spacing w:line="360" w:lineRule="auto"/>
        <w:ind w:firstLine="360"/>
        <w:rPr>
          <w:rFonts w:hint="eastAsia" w:ascii="宋体" w:hAnsi="宋体" w:cs="宋体"/>
          <w:color w:val="000000"/>
          <w:lang w:val="zh-CN"/>
        </w:rPr>
      </w:pPr>
      <w:r>
        <w:rPr>
          <w:rFonts w:hint="eastAsia" w:ascii="宋体" w:hAnsi="宋体" w:cs="宋体"/>
          <w:color w:val="000000"/>
          <w:lang w:val="zh-CN"/>
        </w:rPr>
        <w:t>2.2</w:t>
      </w:r>
      <w:r>
        <w:rPr>
          <w:rFonts w:hint="eastAsia" w:ascii="宋体" w:hAnsi="宋体" w:cs="宋体"/>
          <w:color w:val="000000"/>
        </w:rPr>
        <w:t xml:space="preserve"> </w:t>
      </w:r>
      <w:r>
        <w:rPr>
          <w:rFonts w:hint="eastAsia" w:ascii="宋体" w:hAnsi="宋体" w:cs="宋体"/>
          <w:color w:val="000000"/>
          <w:lang w:val="zh-CN"/>
        </w:rPr>
        <w:t>合格的投标人：详见第一部分</w:t>
      </w:r>
      <w:r>
        <w:rPr>
          <w:rFonts w:hint="eastAsia" w:ascii="宋体" w:hAnsi="宋体" w:cs="宋体"/>
          <w:color w:val="000000"/>
        </w:rPr>
        <w:t>“</w:t>
      </w:r>
      <w:r>
        <w:rPr>
          <w:rFonts w:hint="eastAsia" w:ascii="宋体" w:hAnsi="宋体" w:cs="宋体"/>
          <w:color w:val="000000"/>
          <w:lang w:val="zh-CN"/>
        </w:rPr>
        <w:t>各包投标人资格要求</w:t>
      </w:r>
      <w:r>
        <w:rPr>
          <w:rFonts w:hint="eastAsia" w:ascii="宋体" w:hAnsi="宋体" w:cs="宋体"/>
          <w:color w:val="000000"/>
        </w:rPr>
        <w:t>”。</w:t>
      </w:r>
    </w:p>
    <w:p w14:paraId="634F669F">
      <w:pPr>
        <w:pStyle w:val="234"/>
        <w:spacing w:before="0" w:after="0" w:line="360" w:lineRule="auto"/>
        <w:jc w:val="left"/>
        <w:rPr>
          <w:rFonts w:hint="eastAsia" w:ascii="宋体" w:hAnsi="宋体" w:cs="宋体"/>
          <w:color w:val="000000"/>
          <w:lang w:val="zh-CN"/>
        </w:rPr>
      </w:pPr>
      <w:bookmarkStart w:id="7" w:name="_Toc27559"/>
      <w:r>
        <w:rPr>
          <w:rFonts w:hint="eastAsia" w:ascii="宋体" w:hAnsi="宋体" w:cs="宋体"/>
          <w:color w:val="000000"/>
          <w:sz w:val="28"/>
          <w:szCs w:val="28"/>
          <w:lang w:val="zh-CN"/>
        </w:rPr>
        <w:t>3.投标费用</w:t>
      </w:r>
      <w:bookmarkEnd w:id="7"/>
    </w:p>
    <w:p w14:paraId="1B3410F9">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投标人应自愿承担与参加本次投标有关的费用。采购中心对投标人发生的费用不承担任何责任。</w:t>
      </w:r>
    </w:p>
    <w:p w14:paraId="09A77B0A">
      <w:pPr>
        <w:pStyle w:val="234"/>
        <w:spacing w:before="0" w:after="0" w:line="360" w:lineRule="auto"/>
        <w:rPr>
          <w:rFonts w:hint="eastAsia" w:ascii="宋体" w:hAnsi="宋体" w:cs="宋体"/>
          <w:color w:val="000000"/>
        </w:rPr>
      </w:pPr>
      <w:bookmarkStart w:id="8" w:name="_Toc16631"/>
      <w:r>
        <w:rPr>
          <w:rFonts w:hint="eastAsia" w:ascii="宋体" w:hAnsi="宋体" w:cs="宋体"/>
          <w:color w:val="000000"/>
          <w:lang w:val="zh-CN"/>
        </w:rPr>
        <w:t>二、招标文件说明</w:t>
      </w:r>
      <w:bookmarkEnd w:id="8"/>
    </w:p>
    <w:p w14:paraId="5572A455">
      <w:pPr>
        <w:pStyle w:val="234"/>
        <w:spacing w:before="0" w:after="0" w:line="360" w:lineRule="auto"/>
        <w:jc w:val="left"/>
        <w:rPr>
          <w:rFonts w:hint="eastAsia" w:ascii="宋体" w:hAnsi="宋体" w:cs="宋体"/>
          <w:color w:val="000000"/>
          <w:lang w:val="zh-CN"/>
        </w:rPr>
      </w:pPr>
      <w:bookmarkStart w:id="9" w:name="_Toc8001"/>
      <w:r>
        <w:rPr>
          <w:rFonts w:hint="eastAsia" w:ascii="宋体" w:hAnsi="宋体" w:cs="宋体"/>
          <w:color w:val="000000"/>
          <w:sz w:val="28"/>
          <w:szCs w:val="28"/>
          <w:lang w:val="zh-CN"/>
        </w:rPr>
        <w:t>4.招标文件的构成</w:t>
      </w:r>
      <w:bookmarkEnd w:id="9"/>
    </w:p>
    <w:p w14:paraId="0B122CF7">
      <w:pPr>
        <w:spacing w:line="360" w:lineRule="auto"/>
        <w:ind w:firstLine="360"/>
        <w:rPr>
          <w:rFonts w:hint="eastAsia" w:ascii="宋体" w:hAnsi="宋体" w:cs="宋体"/>
          <w:color w:val="000000"/>
          <w:lang w:val="zh-CN"/>
        </w:rPr>
      </w:pPr>
      <w:r>
        <w:rPr>
          <w:rFonts w:hint="eastAsia" w:ascii="宋体" w:hAnsi="宋体" w:cs="宋体"/>
          <w:color w:val="000000"/>
          <w:lang w:val="zh-CN"/>
        </w:rPr>
        <w:t>4.1</w:t>
      </w:r>
      <w:r>
        <w:rPr>
          <w:rFonts w:hint="eastAsia" w:ascii="宋体" w:hAnsi="宋体" w:cs="宋体"/>
          <w:color w:val="000000"/>
        </w:rPr>
        <w:t xml:space="preserve"> </w:t>
      </w:r>
      <w:r>
        <w:rPr>
          <w:rFonts w:hint="eastAsia" w:ascii="宋体" w:hAnsi="宋体" w:cs="宋体"/>
          <w:color w:val="000000"/>
          <w:lang w:val="zh-CN"/>
        </w:rPr>
        <w:t>招标文件包括：</w:t>
      </w:r>
    </w:p>
    <w:p w14:paraId="7DBC303D">
      <w:pPr>
        <w:spacing w:line="360" w:lineRule="auto"/>
        <w:ind w:firstLine="480"/>
        <w:rPr>
          <w:rFonts w:hint="eastAsia" w:ascii="宋体" w:hAnsi="宋体" w:cs="宋体"/>
          <w:color w:val="000000"/>
          <w:lang w:val="zh-CN"/>
        </w:rPr>
      </w:pPr>
      <w:r>
        <w:rPr>
          <w:rFonts w:hint="eastAsia" w:ascii="宋体" w:hAnsi="宋体" w:cs="宋体"/>
          <w:color w:val="000000"/>
          <w:lang w:val="zh-CN"/>
        </w:rPr>
        <w:t>（1）投标邀请</w:t>
      </w:r>
    </w:p>
    <w:p w14:paraId="2251499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）投标人须知</w:t>
      </w:r>
    </w:p>
    <w:p w14:paraId="184F622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）刚察县政府采购项目合同书范本</w:t>
      </w:r>
    </w:p>
    <w:p w14:paraId="06725D6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）投标文件格式</w:t>
      </w:r>
    </w:p>
    <w:p w14:paraId="08E54A5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）采购项目要求及技术参数</w:t>
      </w:r>
    </w:p>
    <w:p w14:paraId="2B35D465">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）采购过程中发生的澄清、变更和补充文件</w:t>
      </w:r>
    </w:p>
    <w:p w14:paraId="67EC291E">
      <w:pPr>
        <w:spacing w:line="360" w:lineRule="auto"/>
        <w:ind w:firstLine="480"/>
        <w:rPr>
          <w:rFonts w:hint="eastAsia" w:ascii="宋体" w:hAnsi="宋体" w:cs="宋体"/>
          <w:color w:val="000000"/>
          <w:lang w:val="zh-CN"/>
        </w:rPr>
      </w:pPr>
      <w:r>
        <w:rPr>
          <w:rFonts w:hint="eastAsia" w:ascii="宋体" w:hAnsi="宋体" w:cs="宋体"/>
          <w:color w:val="000000"/>
          <w:lang w:val="zh-CN"/>
        </w:rPr>
        <w:t xml:space="preserve">4.2 </w:t>
      </w:r>
      <w:r>
        <w:rPr>
          <w:rFonts w:hint="eastAsia" w:ascii="宋体" w:hAnsi="宋体" w:cs="宋体"/>
        </w:rPr>
        <w:t>投标人按照招标文件的要求编制投标文件。投标文件对招标文件提出的要求和条件作出明确响应。</w:t>
      </w:r>
    </w:p>
    <w:p w14:paraId="3F2DE60C">
      <w:pPr>
        <w:pStyle w:val="234"/>
        <w:spacing w:before="0" w:after="0" w:line="360" w:lineRule="auto"/>
        <w:jc w:val="left"/>
        <w:rPr>
          <w:rFonts w:hint="eastAsia" w:ascii="宋体" w:hAnsi="宋体" w:cs="宋体"/>
          <w:color w:val="000000"/>
          <w:sz w:val="28"/>
          <w:szCs w:val="28"/>
          <w:lang w:val="zh-CN"/>
        </w:rPr>
      </w:pPr>
      <w:bookmarkStart w:id="10" w:name="_Toc6239"/>
      <w:r>
        <w:rPr>
          <w:rFonts w:hint="eastAsia" w:ascii="宋体" w:hAnsi="宋体" w:cs="宋体"/>
          <w:color w:val="000000"/>
          <w:sz w:val="28"/>
          <w:szCs w:val="28"/>
          <w:lang w:val="zh-CN"/>
        </w:rPr>
        <w:t>5.招标文件、采购活动和中标结果的质疑</w:t>
      </w:r>
      <w:bookmarkEnd w:id="10"/>
    </w:p>
    <w:p w14:paraId="1EBDC46E">
      <w:p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投标人认为招标文件使自己的权益受到损害的，可以在知道或者应知其权益受到损害之日起7个工作日内以书面形式（如信件、传真等）向采购人或刚察县政府采购中心提出质疑，不接受匿名质疑。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lang w:val="zh-CN"/>
        </w:rPr>
        <w:t>。</w:t>
      </w:r>
    </w:p>
    <w:p w14:paraId="74641550">
      <w:pPr>
        <w:spacing w:line="360" w:lineRule="auto"/>
        <w:ind w:firstLine="480"/>
        <w:rPr>
          <w:rFonts w:hint="eastAsia" w:ascii="宋体" w:hAnsi="宋体" w:cs="宋体"/>
          <w:color w:val="000000"/>
          <w:lang w:val="zh-CN"/>
        </w:rPr>
      </w:pPr>
      <w:r>
        <w:rPr>
          <w:rFonts w:hint="eastAsia" w:ascii="宋体" w:hAnsi="宋体" w:cs="宋体"/>
          <w:color w:val="000000"/>
          <w:lang w:val="zh-CN"/>
        </w:rPr>
        <w:t>参与采购活动的投标人对评审过程或者结果提出质疑的，采购人、采购中心可以组织原评审委员会协助答复质疑。质疑事项处理完成后，刚察县政府采购中心应按照规定填写《刚察县政府采购投标人质疑处理情况表》，并在15日内报同级政府采购监督管理部门备案。</w:t>
      </w:r>
    </w:p>
    <w:p w14:paraId="698BF1BC">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投标人应知其权益受到损害之日，是指：</w:t>
      </w:r>
    </w:p>
    <w:p w14:paraId="0BFCB942">
      <w:pPr>
        <w:spacing w:line="360" w:lineRule="auto"/>
        <w:ind w:firstLine="480"/>
        <w:rPr>
          <w:rFonts w:hint="eastAsia" w:ascii="宋体" w:hAnsi="宋体" w:cs="宋体"/>
          <w:color w:val="000000"/>
          <w:lang w:val="zh-CN"/>
        </w:rPr>
      </w:pPr>
      <w:r>
        <w:rPr>
          <w:rFonts w:hint="eastAsia" w:ascii="宋体" w:hAnsi="宋体" w:cs="宋体"/>
          <w:color w:val="000000"/>
          <w:lang w:val="zh-CN"/>
        </w:rPr>
        <w:t>（一）对可以质疑的招标文件提出质疑的，为收到招标文件之日或者招标文件公告期限届满之日；</w:t>
      </w:r>
    </w:p>
    <w:p w14:paraId="3ECC3108">
      <w:pPr>
        <w:spacing w:line="360" w:lineRule="auto"/>
        <w:ind w:firstLine="480"/>
        <w:rPr>
          <w:rFonts w:hint="eastAsia" w:ascii="宋体" w:hAnsi="宋体" w:cs="宋体"/>
          <w:color w:val="000000"/>
          <w:lang w:val="zh-CN"/>
        </w:rPr>
      </w:pPr>
      <w:r>
        <w:rPr>
          <w:rFonts w:hint="eastAsia" w:ascii="宋体" w:hAnsi="宋体" w:cs="宋体"/>
          <w:color w:val="000000"/>
          <w:lang w:val="zh-CN"/>
        </w:rPr>
        <w:t>（二）对采购过程提出质疑的，为各采购程序环节结束之日；</w:t>
      </w:r>
    </w:p>
    <w:p w14:paraId="777711B4">
      <w:pPr>
        <w:spacing w:line="360" w:lineRule="auto"/>
        <w:ind w:firstLine="480"/>
        <w:rPr>
          <w:rFonts w:hint="eastAsia" w:ascii="宋体" w:hAnsi="宋体" w:cs="宋体"/>
          <w:color w:val="000000"/>
          <w:lang w:val="zh-CN"/>
        </w:rPr>
      </w:pPr>
      <w:r>
        <w:rPr>
          <w:rFonts w:hint="eastAsia" w:ascii="宋体" w:hAnsi="宋体" w:cs="宋体"/>
          <w:color w:val="000000"/>
          <w:lang w:val="zh-CN"/>
        </w:rPr>
        <w:t>（三）对中标结果提出质疑的，为中标结果公告期限届满之日。</w:t>
      </w:r>
    </w:p>
    <w:p w14:paraId="4EA18F5A">
      <w:pPr>
        <w:pStyle w:val="234"/>
        <w:spacing w:before="0" w:after="0" w:line="360" w:lineRule="auto"/>
        <w:jc w:val="left"/>
        <w:rPr>
          <w:rFonts w:hint="eastAsia" w:ascii="宋体" w:hAnsi="宋体" w:cs="宋体"/>
          <w:color w:val="000000"/>
          <w:lang w:val="zh-CN"/>
        </w:rPr>
      </w:pPr>
      <w:bookmarkStart w:id="11" w:name="_Toc9472"/>
      <w:r>
        <w:rPr>
          <w:rFonts w:hint="eastAsia" w:ascii="宋体" w:hAnsi="宋体" w:cs="宋体"/>
          <w:color w:val="000000"/>
          <w:sz w:val="28"/>
          <w:szCs w:val="28"/>
          <w:lang w:val="zh-CN"/>
        </w:rPr>
        <w:t>6.澄清或修改</w:t>
      </w:r>
      <w:bookmarkEnd w:id="11"/>
    </w:p>
    <w:p w14:paraId="612E7CA4">
      <w:pPr>
        <w:spacing w:line="360" w:lineRule="auto"/>
        <w:ind w:firstLine="480"/>
        <w:rPr>
          <w:rFonts w:hint="eastAsia" w:ascii="宋体" w:hAnsi="宋体" w:cs="宋体"/>
          <w:color w:val="000000"/>
          <w:lang w:val="zh-CN"/>
        </w:rPr>
      </w:pPr>
      <w:r>
        <w:rPr>
          <w:rFonts w:hint="eastAsia" w:ascii="宋体" w:hAnsi="宋体" w:cs="宋体"/>
          <w:color w:val="00000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14:paraId="233887D6">
      <w:pPr>
        <w:spacing w:line="360" w:lineRule="auto"/>
        <w:ind w:firstLine="480"/>
        <w:rPr>
          <w:rFonts w:hint="eastAsia" w:ascii="宋体" w:hAnsi="宋体" w:cs="宋体"/>
          <w:color w:val="000000"/>
          <w:lang w:val="zh-CN"/>
        </w:rPr>
      </w:pPr>
      <w:r>
        <w:rPr>
          <w:rFonts w:ascii="宋体" w:hAnsi="宋体" w:cs="宋体"/>
          <w:color w:val="000000"/>
          <w:lang w:val="zh-CN"/>
        </w:rPr>
        <w:t xml:space="preserve">6.2 </w:t>
      </w:r>
      <w:r>
        <w:rPr>
          <w:rFonts w:hint="eastAsia" w:ascii="宋体" w:hAnsi="宋体" w:cs="宋体"/>
          <w:color w:val="000000"/>
          <w:lang w:val="zh-CN"/>
        </w:rPr>
        <w:t>澄清或者修改的内容可能影响投标文件编制的，采购中心在投标截止时间至少15日前，以书面形式通知所有获取招标文件的潜在投标人，</w:t>
      </w:r>
      <w:r>
        <w:rPr>
          <w:rFonts w:ascii="宋体" w:hAnsi="宋体" w:cs="宋体"/>
          <w:color w:val="000000"/>
          <w:lang w:val="zh-CN"/>
        </w:rPr>
        <w:t>并在发布本次招标公告的网站上发布变更公告</w:t>
      </w:r>
      <w:r>
        <w:rPr>
          <w:rFonts w:hint="eastAsia" w:ascii="宋体" w:hAnsi="宋体" w:cs="宋体"/>
          <w:color w:val="000000"/>
          <w:lang w:val="zh-CN"/>
        </w:rPr>
        <w:t>；不足15日的，采购中心顺延提交投标文件的截止时间。</w:t>
      </w:r>
    </w:p>
    <w:p w14:paraId="19E37F17">
      <w:pPr>
        <w:spacing w:line="360" w:lineRule="auto"/>
        <w:ind w:firstLine="482"/>
        <w:rPr>
          <w:rFonts w:hint="eastAsia" w:ascii="宋体" w:hAnsi="宋体" w:cs="宋体"/>
          <w:b/>
          <w:color w:val="000000"/>
          <w:lang w:val="zh-CN"/>
        </w:rPr>
      </w:pPr>
      <w:r>
        <w:rPr>
          <w:rFonts w:hint="eastAsia" w:ascii="宋体" w:hAnsi="宋体" w:cs="宋体"/>
          <w:b/>
          <w:color w:val="00000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4AACEC64">
      <w:pPr>
        <w:pStyle w:val="234"/>
        <w:spacing w:before="0" w:after="0" w:line="360" w:lineRule="auto"/>
        <w:rPr>
          <w:rFonts w:hint="eastAsia" w:ascii="宋体" w:hAnsi="宋体" w:cs="宋体"/>
          <w:color w:val="000000"/>
        </w:rPr>
      </w:pPr>
      <w:bookmarkStart w:id="12" w:name="_Toc15197"/>
      <w:r>
        <w:rPr>
          <w:rFonts w:hint="eastAsia" w:ascii="宋体" w:hAnsi="宋体" w:cs="宋体"/>
          <w:color w:val="000000"/>
          <w:lang w:val="zh-CN"/>
        </w:rPr>
        <w:t>三、投标文件的编制</w:t>
      </w:r>
      <w:bookmarkEnd w:id="12"/>
    </w:p>
    <w:p w14:paraId="079930CA">
      <w:pPr>
        <w:pStyle w:val="234"/>
        <w:spacing w:before="0" w:after="0" w:line="360" w:lineRule="auto"/>
        <w:jc w:val="left"/>
        <w:rPr>
          <w:rFonts w:hint="eastAsia" w:ascii="宋体" w:hAnsi="宋体" w:cs="宋体"/>
          <w:color w:val="000000"/>
          <w:lang w:val="zh-CN"/>
        </w:rPr>
      </w:pPr>
      <w:bookmarkStart w:id="13" w:name="_Toc5884"/>
      <w:r>
        <w:rPr>
          <w:rFonts w:hint="eastAsia" w:ascii="宋体" w:hAnsi="宋体" w:cs="宋体"/>
          <w:color w:val="000000"/>
          <w:sz w:val="28"/>
          <w:szCs w:val="28"/>
          <w:lang w:val="zh-CN"/>
        </w:rPr>
        <w:t>7.投标文件的语言及度量衡单位</w:t>
      </w:r>
      <w:bookmarkEnd w:id="13"/>
    </w:p>
    <w:p w14:paraId="4130F135">
      <w:pPr>
        <w:spacing w:line="360" w:lineRule="auto"/>
        <w:ind w:firstLine="480"/>
        <w:rPr>
          <w:rFonts w:hint="eastAsia" w:ascii="宋体" w:hAnsi="宋体" w:cs="宋体"/>
          <w:color w:val="000000"/>
          <w:lang w:val="zh-CN"/>
        </w:rPr>
      </w:pPr>
      <w:r>
        <w:rPr>
          <w:rFonts w:hint="eastAsia" w:ascii="宋体" w:hAnsi="宋体" w:cs="宋体"/>
          <w:color w:val="000000"/>
          <w:lang w:val="zh-CN"/>
        </w:rPr>
        <w:t>7.1</w:t>
      </w:r>
      <w:r>
        <w:rPr>
          <w:rFonts w:hint="eastAsia" w:ascii="宋体" w:hAnsi="宋体" w:cs="宋体"/>
          <w:color w:val="000000"/>
        </w:rPr>
        <w:t xml:space="preserve"> </w:t>
      </w:r>
      <w:r>
        <w:rPr>
          <w:rFonts w:hint="eastAsia" w:ascii="宋体" w:hAnsi="宋体" w:cs="宋体"/>
          <w:color w:val="00000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0691F9AF">
      <w:pPr>
        <w:spacing w:line="360" w:lineRule="auto"/>
        <w:ind w:firstLine="480"/>
        <w:rPr>
          <w:rFonts w:hint="eastAsia" w:ascii="宋体" w:hAnsi="宋体" w:cs="宋体"/>
          <w:color w:val="000000"/>
          <w:lang w:val="zh-CN"/>
        </w:rPr>
      </w:pPr>
      <w:r>
        <w:rPr>
          <w:rFonts w:hint="eastAsia" w:ascii="宋体" w:hAnsi="宋体" w:cs="宋体"/>
          <w:color w:val="000000"/>
          <w:lang w:val="zh-CN"/>
        </w:rPr>
        <w:t>7.2 除招标文件中另有规定外，投标文件所使用的度量衡单位，均须采用国家法定计量单位。</w:t>
      </w:r>
    </w:p>
    <w:p w14:paraId="1BFA1FA0">
      <w:pPr>
        <w:spacing w:line="360" w:lineRule="auto"/>
        <w:ind w:firstLine="480"/>
        <w:rPr>
          <w:rFonts w:hint="eastAsia" w:ascii="宋体" w:hAnsi="宋体" w:cs="宋体"/>
          <w:color w:val="000000"/>
          <w:lang w:val="zh-CN"/>
        </w:rPr>
      </w:pPr>
      <w:r>
        <w:rPr>
          <w:rFonts w:hint="eastAsia" w:ascii="宋体" w:hAnsi="宋体" w:cs="宋体"/>
          <w:color w:val="000000"/>
          <w:lang w:val="zh-CN"/>
        </w:rPr>
        <w:t>7.3 附有外文资料的须翻译成中文，并加盖投标人公章，如果翻译的中文资料与外文资料出现差异与矛盾时，以中文为准，其准确性由投标人负责。</w:t>
      </w:r>
    </w:p>
    <w:p w14:paraId="654A0E48">
      <w:pPr>
        <w:pStyle w:val="234"/>
        <w:spacing w:before="0" w:after="0" w:line="360" w:lineRule="auto"/>
        <w:jc w:val="left"/>
        <w:rPr>
          <w:rFonts w:hint="eastAsia" w:ascii="宋体" w:hAnsi="宋体" w:cs="宋体"/>
          <w:color w:val="000000"/>
          <w:lang w:val="zh-CN"/>
        </w:rPr>
      </w:pPr>
      <w:bookmarkStart w:id="14" w:name="_Toc28078"/>
      <w:r>
        <w:rPr>
          <w:rFonts w:hint="eastAsia" w:ascii="宋体" w:hAnsi="宋体" w:cs="宋体"/>
          <w:color w:val="000000"/>
          <w:sz w:val="28"/>
          <w:szCs w:val="28"/>
          <w:lang w:val="zh-CN"/>
        </w:rPr>
        <w:t>8.投标报价及币种</w:t>
      </w:r>
      <w:bookmarkEnd w:id="14"/>
    </w:p>
    <w:p w14:paraId="1DED2022">
      <w:pPr>
        <w:spacing w:line="360" w:lineRule="auto"/>
        <w:ind w:firstLine="480"/>
        <w:rPr>
          <w:rFonts w:hint="eastAsia" w:ascii="宋体" w:hAnsi="宋体" w:cs="宋体"/>
          <w:color w:val="000000"/>
          <w:lang w:val="zh-CN"/>
        </w:rPr>
      </w:pPr>
      <w:r>
        <w:rPr>
          <w:rFonts w:hint="eastAsia" w:ascii="宋体" w:hAnsi="宋体" w:cs="宋体"/>
          <w:color w:val="000000"/>
          <w:lang w:val="zh-CN"/>
        </w:rPr>
        <w:t>8.1</w:t>
      </w:r>
      <w:r>
        <w:rPr>
          <w:rFonts w:hint="eastAsia" w:ascii="宋体" w:hAnsi="宋体" w:cs="宋体"/>
          <w:color w:val="000000"/>
        </w:rPr>
        <w:t xml:space="preserve"> </w:t>
      </w:r>
      <w:r>
        <w:rPr>
          <w:rFonts w:hint="eastAsia" w:ascii="宋体" w:hAnsi="宋体" w:cs="宋体"/>
          <w:color w:val="000000"/>
          <w:lang w:val="zh-CN"/>
        </w:rPr>
        <w:t>投标报价为投标总价。投标报价必须包括：保险费、安装费、调试费、培训费、税金及不可预见费等全部费用。</w:t>
      </w:r>
    </w:p>
    <w:p w14:paraId="4FF26FD1">
      <w:pPr>
        <w:spacing w:line="360" w:lineRule="auto"/>
        <w:ind w:firstLine="480"/>
        <w:rPr>
          <w:rFonts w:hint="eastAsia" w:ascii="宋体" w:hAnsi="宋体" w:cs="宋体"/>
          <w:color w:val="000000"/>
          <w:lang w:val="zh-CN"/>
        </w:rPr>
      </w:pPr>
      <w:r>
        <w:rPr>
          <w:rFonts w:hint="eastAsia" w:ascii="宋体" w:hAnsi="宋体" w:cs="宋体"/>
          <w:color w:val="000000"/>
          <w:lang w:val="zh-CN"/>
        </w:rPr>
        <w:t>8.2</w:t>
      </w:r>
      <w:r>
        <w:rPr>
          <w:rFonts w:hint="eastAsia" w:ascii="宋体" w:hAnsi="宋体" w:cs="宋体"/>
          <w:color w:val="000000"/>
        </w:rPr>
        <w:t xml:space="preserve"> </w:t>
      </w:r>
      <w:r>
        <w:rPr>
          <w:rFonts w:hint="eastAsia" w:ascii="宋体" w:hAnsi="宋体" w:cs="宋体"/>
          <w:color w:val="000000"/>
          <w:lang w:val="zh-CN"/>
        </w:rPr>
        <w:t>投标报价有效期与投标有效期一致。</w:t>
      </w:r>
    </w:p>
    <w:p w14:paraId="3010F7AC">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3 </w:t>
      </w:r>
      <w:r>
        <w:rPr>
          <w:rFonts w:hint="eastAsia" w:ascii="宋体" w:hAnsi="宋体" w:cs="宋体"/>
          <w:color w:val="000000"/>
          <w:lang w:val="zh-CN"/>
        </w:rPr>
        <w:t>投标报价为闭口价，即中标后在合同有效期内价格不变。</w:t>
      </w:r>
    </w:p>
    <w:p w14:paraId="76DCA8E4">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4 </w:t>
      </w:r>
      <w:r>
        <w:rPr>
          <w:rFonts w:hint="eastAsia" w:ascii="宋体" w:hAnsi="宋体" w:cs="宋体"/>
          <w:color w:val="000000"/>
          <w:lang w:val="zh-CN"/>
        </w:rPr>
        <w:t>投标币种是人民币。</w:t>
      </w:r>
    </w:p>
    <w:p w14:paraId="4F2FC129">
      <w:pPr>
        <w:pStyle w:val="234"/>
        <w:spacing w:before="0" w:after="0" w:line="360" w:lineRule="auto"/>
        <w:jc w:val="left"/>
        <w:rPr>
          <w:rFonts w:hint="eastAsia" w:ascii="宋体" w:hAnsi="宋体" w:cs="宋体"/>
          <w:color w:val="000000"/>
          <w:lang w:val="zh-CN"/>
        </w:rPr>
      </w:pPr>
      <w:bookmarkStart w:id="15" w:name="_Toc7129"/>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14:paraId="08F9562C">
      <w:pPr>
        <w:spacing w:line="360" w:lineRule="auto"/>
        <w:ind w:firstLine="480"/>
        <w:rPr>
          <w:rFonts w:hint="eastAsia" w:ascii="宋体" w:hAnsi="宋体" w:cs="宋体"/>
          <w:color w:val="00000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lang w:val="zh-CN"/>
        </w:rPr>
        <w:t>60日历日。投标文件中承诺的投标有效期不少于招标文件中载明的投标有效期。</w:t>
      </w:r>
    </w:p>
    <w:p w14:paraId="23ADFAE1">
      <w:pPr>
        <w:pStyle w:val="234"/>
        <w:spacing w:before="0" w:after="0" w:line="360" w:lineRule="auto"/>
        <w:jc w:val="left"/>
        <w:rPr>
          <w:rFonts w:hint="eastAsia" w:ascii="宋体" w:hAnsi="宋体" w:cs="宋体"/>
          <w:color w:val="000000"/>
          <w:lang w:val="zh-CN"/>
        </w:rPr>
      </w:pPr>
      <w:bookmarkStart w:id="16" w:name="_Toc28096"/>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14:paraId="3E188D25">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投标人应提交相关证明材料，作为其参加投标和中标后有能力履行合同的证明。编写的投标文件须包括以下内容（格式见招标文件第四部分）：</w:t>
      </w:r>
    </w:p>
    <w:p w14:paraId="4726E737">
      <w:pPr>
        <w:spacing w:line="360" w:lineRule="auto"/>
        <w:ind w:firstLine="482"/>
        <w:rPr>
          <w:rFonts w:hint="eastAsia" w:ascii="宋体" w:hAnsi="宋体" w:cs="宋体"/>
          <w:color w:val="000000"/>
        </w:rPr>
      </w:pPr>
      <w:r>
        <w:rPr>
          <w:rFonts w:hint="eastAsia" w:ascii="宋体" w:hAnsi="宋体" w:cs="宋体"/>
          <w:b/>
          <w:bCs/>
          <w:color w:val="000000"/>
        </w:rPr>
        <w:t>10.1</w:t>
      </w:r>
      <w:r>
        <w:rPr>
          <w:rFonts w:hint="eastAsia" w:ascii="宋体" w:hAnsi="宋体" w:cs="宋体"/>
          <w:b/>
          <w:bCs/>
          <w:color w:val="000000"/>
          <w:lang w:val="zh-CN"/>
        </w:rPr>
        <w:t>、投标文件（上册）（资格审查）</w:t>
      </w:r>
    </w:p>
    <w:p w14:paraId="58574307">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投标函</w:t>
      </w:r>
    </w:p>
    <w:p w14:paraId="1364CE6D">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法定代表人证明书</w:t>
      </w:r>
    </w:p>
    <w:p w14:paraId="0DA34C3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法定代表人授权书</w:t>
      </w:r>
    </w:p>
    <w:p w14:paraId="2DACD50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投标人承诺函</w:t>
      </w:r>
    </w:p>
    <w:p w14:paraId="62E7A33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投标人诚信承诺书</w:t>
      </w:r>
    </w:p>
    <w:p w14:paraId="67AF804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资格证明材料</w:t>
      </w:r>
    </w:p>
    <w:p w14:paraId="728A6D0E">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w:t>
      </w:r>
    </w:p>
    <w:p w14:paraId="0CC1C770">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具备履行合同所必须的设备和专业技术能力的证明材料</w:t>
      </w:r>
    </w:p>
    <w:p w14:paraId="1729468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无重大违法记录声明</w:t>
      </w:r>
    </w:p>
    <w:p w14:paraId="3535A6CD">
      <w:pPr>
        <w:spacing w:line="360" w:lineRule="auto"/>
        <w:ind w:firstLine="482"/>
        <w:rPr>
          <w:rFonts w:hint="eastAsia" w:ascii="宋体" w:hAnsi="宋体" w:cs="宋体"/>
          <w:color w:val="000000"/>
        </w:rPr>
      </w:pPr>
      <w:r>
        <w:rPr>
          <w:rFonts w:hint="eastAsia" w:ascii="宋体" w:hAnsi="宋体" w:cs="宋体"/>
          <w:b/>
          <w:bCs/>
          <w:color w:val="000000"/>
        </w:rPr>
        <w:t xml:space="preserve">10.2 </w:t>
      </w:r>
      <w:r>
        <w:rPr>
          <w:rFonts w:hint="eastAsia" w:ascii="宋体" w:hAnsi="宋体" w:cs="宋体"/>
          <w:b/>
          <w:bCs/>
          <w:color w:val="000000"/>
          <w:lang w:val="zh-CN"/>
        </w:rPr>
        <w:t>投标文件（下册）（符合性审查）</w:t>
      </w:r>
    </w:p>
    <w:p w14:paraId="7F3FC50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评分对照表</w:t>
      </w:r>
    </w:p>
    <w:p w14:paraId="46F9E32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开标一览表（报价表）</w:t>
      </w:r>
    </w:p>
    <w:p w14:paraId="4827735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分项报价表</w:t>
      </w:r>
    </w:p>
    <w:p w14:paraId="0759C71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技术规格响应表</w:t>
      </w:r>
    </w:p>
    <w:p w14:paraId="07DF20C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投标产品相关资料</w:t>
      </w:r>
    </w:p>
    <w:p w14:paraId="5DA461A5">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投标人的类似业绩证明材料</w:t>
      </w:r>
    </w:p>
    <w:p w14:paraId="450A9C73">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制造（生产）企业小型、微型企业声明函、从业人员声明函</w:t>
      </w:r>
    </w:p>
    <w:p w14:paraId="7F4CF163">
      <w:pPr>
        <w:numPr>
          <w:ilvl w:val="0"/>
          <w:numId w:val="2"/>
        </w:numPr>
        <w:spacing w:line="360" w:lineRule="auto"/>
        <w:ind w:firstLine="480"/>
        <w:rPr>
          <w:rFonts w:hint="eastAsia" w:ascii="宋体" w:hAnsi="宋体" w:cs="宋体"/>
          <w:color w:val="000000"/>
          <w:lang w:val="zh-CN"/>
        </w:rPr>
      </w:pPr>
      <w:r>
        <w:rPr>
          <w:rFonts w:hint="eastAsia" w:ascii="宋体" w:hAnsi="宋体" w:cs="宋体"/>
        </w:rPr>
        <w:t>残疾人福利性单位声明函</w:t>
      </w:r>
    </w:p>
    <w:p w14:paraId="7F43712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投标人认为在其他方面有必要说明的事项</w:t>
      </w:r>
    </w:p>
    <w:p w14:paraId="1E6ED441">
      <w:pPr>
        <w:spacing w:line="360" w:lineRule="auto"/>
        <w:ind w:firstLine="600"/>
        <w:rPr>
          <w:rFonts w:hint="eastAsia" w:ascii="宋体" w:hAnsi="宋体" w:cs="宋体"/>
          <w:color w:val="000000"/>
          <w:lang w:val="zh-CN"/>
        </w:rPr>
      </w:pPr>
      <w:r>
        <w:rPr>
          <w:rFonts w:hint="eastAsia" w:ascii="宋体" w:hAnsi="宋体" w:cs="宋体"/>
          <w:color w:val="000000"/>
          <w:lang w:val="zh-CN"/>
        </w:rPr>
        <w:t>注：投标人须按上述内容、顺序和格式编制投标文件，并按要求编制目录、页码，并保证所提供的全部资料真实可信，自愿承担相应责任。</w:t>
      </w:r>
    </w:p>
    <w:p w14:paraId="32F8DD15">
      <w:pPr>
        <w:pStyle w:val="234"/>
        <w:spacing w:before="0" w:after="0" w:line="360" w:lineRule="auto"/>
        <w:jc w:val="left"/>
        <w:rPr>
          <w:rFonts w:hint="eastAsia" w:ascii="宋体" w:hAnsi="宋体" w:cs="宋体"/>
          <w:color w:val="000000"/>
          <w:lang w:val="zh-CN"/>
        </w:rPr>
      </w:pPr>
      <w:bookmarkStart w:id="17" w:name="_Toc18760"/>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14:paraId="62AE38A3">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A4DBCE0">
      <w:pPr>
        <w:widowControl/>
        <w:ind w:firstLine="482"/>
        <w:jc w:val="left"/>
        <w:rPr>
          <w:rFonts w:hint="eastAsia" w:ascii="宋体" w:hAnsi="宋体" w:cs="宋体"/>
          <w:b/>
          <w:color w:val="000000"/>
          <w:lang w:val="zh-CN"/>
        </w:rPr>
      </w:pPr>
      <w:r>
        <w:rPr>
          <w:rFonts w:hint="eastAsia" w:ascii="宋体" w:hAnsi="宋体" w:cs="宋体"/>
          <w:b/>
          <w:color w:val="000000"/>
          <w:lang w:val="zh-CN"/>
        </w:rPr>
        <w:t>1</w:t>
      </w:r>
      <w:r>
        <w:rPr>
          <w:rFonts w:hint="eastAsia" w:ascii="宋体" w:hAnsi="宋体" w:cs="宋体"/>
          <w:b/>
          <w:color w:val="000000"/>
        </w:rPr>
        <w:t>1</w:t>
      </w:r>
      <w:r>
        <w:rPr>
          <w:rFonts w:hint="eastAsia" w:ascii="宋体" w:hAnsi="宋体" w:cs="宋体"/>
          <w:b/>
          <w:color w:val="000000"/>
          <w:lang w:val="zh-CN"/>
        </w:rPr>
        <w:t>.2</w:t>
      </w:r>
      <w:r>
        <w:rPr>
          <w:rFonts w:hint="eastAsia" w:ascii="宋体" w:hAnsi="宋体" w:cs="宋体"/>
          <w:b/>
          <w:color w:val="000000"/>
        </w:rPr>
        <w:t xml:space="preserve"> </w:t>
      </w:r>
      <w:r>
        <w:rPr>
          <w:rFonts w:hint="eastAsia" w:ascii="宋体" w:hAnsi="宋体" w:cs="宋体"/>
          <w:b/>
          <w:color w:val="000000"/>
          <w:lang w:val="zh-CN"/>
        </w:rPr>
        <w:t>投标人应在投标截止时间之前将加密电子投标文件上传至评标系统；加密电子投标文件的制作详情请咨询政采云，咨询电话：</w:t>
      </w:r>
      <w:r>
        <w:rPr>
          <w:rFonts w:hint="eastAsia" w:ascii="宋体" w:hAnsi="宋体" w:cs="宋体"/>
          <w:b/>
          <w:color w:val="FF0000"/>
        </w:rPr>
        <w:t>95763</w:t>
      </w:r>
      <w:r>
        <w:rPr>
          <w:rFonts w:hint="eastAsia" w:ascii="宋体" w:hAnsi="宋体" w:cs="宋体"/>
          <w:b/>
          <w:color w:val="000000"/>
          <w:lang w:val="zh-CN"/>
        </w:rPr>
        <w:t>。</w:t>
      </w:r>
    </w:p>
    <w:p w14:paraId="5E347ED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.3投标文件中不得行间插字、涂改或增删，如有修改错漏处，须由投标人法定代表人或其委托代理人签字、加盖公章。</w:t>
      </w:r>
    </w:p>
    <w:p w14:paraId="2081A795">
      <w:pPr>
        <w:pStyle w:val="234"/>
        <w:spacing w:before="0" w:after="0" w:line="360" w:lineRule="auto"/>
        <w:rPr>
          <w:rFonts w:hint="eastAsia" w:ascii="宋体" w:hAnsi="宋体" w:cs="宋体"/>
          <w:color w:val="000000"/>
        </w:rPr>
      </w:pPr>
      <w:bookmarkStart w:id="18" w:name="_Toc20397"/>
      <w:r>
        <w:rPr>
          <w:rFonts w:hint="eastAsia" w:ascii="宋体" w:hAnsi="宋体" w:cs="宋体"/>
          <w:color w:val="000000"/>
          <w:lang w:val="zh-CN"/>
        </w:rPr>
        <w:t>四、电子投标文件的上传</w:t>
      </w:r>
      <w:bookmarkEnd w:id="18"/>
    </w:p>
    <w:p w14:paraId="09249632">
      <w:pPr>
        <w:pStyle w:val="234"/>
        <w:spacing w:before="0" w:after="0" w:line="360" w:lineRule="auto"/>
        <w:jc w:val="left"/>
        <w:rPr>
          <w:rFonts w:hint="eastAsia" w:ascii="宋体" w:hAnsi="宋体" w:cs="宋体"/>
          <w:color w:val="000000"/>
          <w:lang w:val="zh-CN"/>
        </w:rPr>
      </w:pPr>
      <w:bookmarkStart w:id="19" w:name="_Toc2933"/>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lang w:val="zh-CN"/>
        </w:rPr>
        <w:t xml:space="preserve"> </w:t>
      </w:r>
      <w:r>
        <w:rPr>
          <w:rFonts w:hint="eastAsia" w:ascii="宋体" w:hAnsi="宋体" w:cs="宋体"/>
          <w:color w:val="000000"/>
          <w:sz w:val="28"/>
          <w:szCs w:val="28"/>
          <w:lang w:val="zh-CN"/>
        </w:rPr>
        <w:t>电子投标文件上传</w:t>
      </w:r>
      <w:bookmarkEnd w:id="19"/>
    </w:p>
    <w:p w14:paraId="673CAA1B">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电子投标文件</w:t>
      </w:r>
      <w:r>
        <w:rPr>
          <w:rFonts w:hint="eastAsia" w:ascii="宋体" w:hAnsi="宋体" w:cs="宋体"/>
          <w:color w:val="000000"/>
        </w:rPr>
        <w:t>(上、下册)</w:t>
      </w:r>
      <w:r>
        <w:rPr>
          <w:rFonts w:hint="eastAsia" w:ascii="宋体" w:hAnsi="宋体" w:cs="宋体"/>
          <w:color w:val="000000"/>
          <w:lang w:val="zh-CN"/>
        </w:rPr>
        <w:t>，应分别按照招标文件的及电子评标系统要求上传。</w:t>
      </w:r>
    </w:p>
    <w:p w14:paraId="136DC87B">
      <w:pPr>
        <w:pStyle w:val="234"/>
        <w:spacing w:before="0" w:after="0" w:line="360" w:lineRule="auto"/>
        <w:jc w:val="left"/>
        <w:rPr>
          <w:rFonts w:hint="eastAsia" w:ascii="宋体" w:hAnsi="宋体" w:cs="宋体"/>
          <w:color w:val="000000"/>
          <w:lang w:val="zh-CN"/>
        </w:rPr>
      </w:pPr>
      <w:bookmarkStart w:id="20" w:name="_Toc23912"/>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14:paraId="11F39D9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3</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投标人在招标文件要求开标截止时间前，</w:t>
      </w:r>
      <w:r>
        <w:rPr>
          <w:rFonts w:ascii="宋体" w:hAnsi="宋体" w:cs="宋体"/>
          <w:color w:val="000000"/>
          <w:lang w:val="zh-CN"/>
        </w:rPr>
        <w:t>按要求</w:t>
      </w:r>
      <w:r>
        <w:rPr>
          <w:rFonts w:hint="eastAsia" w:ascii="宋体" w:hAnsi="宋体" w:cs="宋体"/>
          <w:color w:val="000000"/>
          <w:lang w:val="zh-CN"/>
        </w:rPr>
        <w:t>上传加密电子投标文件至评标系统。</w:t>
      </w:r>
    </w:p>
    <w:p w14:paraId="6D26998C">
      <w:pPr>
        <w:pStyle w:val="234"/>
        <w:spacing w:before="0" w:after="0" w:line="360" w:lineRule="auto"/>
        <w:jc w:val="left"/>
        <w:rPr>
          <w:rFonts w:hint="eastAsia" w:ascii="宋体" w:hAnsi="宋体" w:cs="宋体"/>
          <w:color w:val="000000"/>
          <w:lang w:val="zh-CN"/>
        </w:rPr>
      </w:pPr>
      <w:bookmarkStart w:id="21" w:name="_Toc16669"/>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14:paraId="7006633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4</w:t>
      </w:r>
      <w:r>
        <w:rPr>
          <w:rFonts w:hint="eastAsia" w:ascii="宋体" w:hAnsi="宋体" w:cs="宋体"/>
          <w:color w:val="000000"/>
          <w:lang w:val="zh-CN"/>
        </w:rPr>
        <w:t>.1</w:t>
      </w:r>
      <w:r>
        <w:rPr>
          <w:rFonts w:hint="eastAsia" w:ascii="宋体" w:hAnsi="宋体" w:cs="宋体"/>
          <w:color w:val="000000"/>
        </w:rPr>
        <w:t xml:space="preserve"> 投标人在投标截止时间前，可以对所上传的电子投标文件进行补充、修改或者撤回。补充、修改的内容按照招标文件要求签署、盖章，作为投标文件的组成部分。</w:t>
      </w:r>
    </w:p>
    <w:p w14:paraId="161CAA5E">
      <w:pPr>
        <w:pStyle w:val="234"/>
        <w:spacing w:before="0" w:after="0" w:line="360" w:lineRule="auto"/>
        <w:rPr>
          <w:rFonts w:hint="eastAsia" w:ascii="宋体" w:hAnsi="宋体" w:cs="宋体"/>
          <w:color w:val="000000"/>
          <w:highlight w:val="green"/>
        </w:rPr>
      </w:pPr>
      <w:bookmarkStart w:id="22" w:name="_Toc3335"/>
      <w:r>
        <w:rPr>
          <w:rFonts w:hint="eastAsia" w:ascii="宋体" w:hAnsi="宋体" w:cs="宋体"/>
          <w:color w:val="000000"/>
          <w:lang w:val="zh-CN"/>
        </w:rPr>
        <w:br w:type="page"/>
      </w:r>
      <w:r>
        <w:rPr>
          <w:rFonts w:hint="eastAsia" w:ascii="宋体" w:hAnsi="宋体" w:cs="宋体"/>
          <w:color w:val="000000"/>
          <w:lang w:val="zh-CN"/>
        </w:rPr>
        <w:t>五、开标</w:t>
      </w:r>
      <w:bookmarkEnd w:id="22"/>
    </w:p>
    <w:p w14:paraId="769FEE0F">
      <w:pPr>
        <w:pStyle w:val="234"/>
        <w:spacing w:before="0" w:after="0" w:line="360" w:lineRule="auto"/>
        <w:jc w:val="left"/>
        <w:rPr>
          <w:rFonts w:hint="eastAsia" w:ascii="宋体" w:hAnsi="宋体" w:cs="宋体"/>
          <w:color w:val="000000"/>
          <w:lang w:val="zh-CN"/>
        </w:rPr>
      </w:pPr>
      <w:bookmarkStart w:id="23" w:name="_Toc31007"/>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14:paraId="0CA48BE5">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开标在招标文件确定的上传投标文件截止时间的同一时间进行。刚察县政府采购中心按本文件中确定的时间和地点组织开标活动。</w:t>
      </w:r>
    </w:p>
    <w:p w14:paraId="4EDFB5E4">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采购中心对开标、评标现场活动进行全程录音录像。录音录像清晰可辨，音像资料作为采购文件一并存档。</w:t>
      </w:r>
    </w:p>
    <w:p w14:paraId="6B165BD0">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shd w:val="clear" w:color="auto" w:fill="FFFFFF"/>
        </w:rPr>
        <w:t>开标由</w:t>
      </w:r>
      <w:r>
        <w:rPr>
          <w:rFonts w:hint="eastAsia" w:ascii="宋体" w:hAnsi="宋体" w:cs="宋体"/>
          <w:color w:val="000000"/>
          <w:lang w:val="zh-CN"/>
        </w:rPr>
        <w:t>采购中心</w:t>
      </w:r>
      <w:r>
        <w:rPr>
          <w:rFonts w:hint="eastAsia" w:ascii="宋体" w:hAnsi="宋体" w:cs="宋体"/>
          <w:color w:val="000000"/>
          <w:shd w:val="clear" w:color="auto" w:fill="FFFFFF"/>
        </w:rPr>
        <w:t>主持。评标委员会成员不得参加开标活动。</w:t>
      </w:r>
    </w:p>
    <w:p w14:paraId="032966E8">
      <w:pPr>
        <w:spacing w:line="360" w:lineRule="auto"/>
        <w:ind w:firstLine="48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14:paraId="5B886CBF">
      <w:pPr>
        <w:spacing w:line="360" w:lineRule="auto"/>
        <w:ind w:firstLine="480"/>
        <w:rPr>
          <w:rFonts w:hint="eastAsia" w:ascii="宋体" w:hAnsi="宋体" w:cs="宋体"/>
          <w:color w:val="000000"/>
        </w:rPr>
      </w:pPr>
      <w:r>
        <w:rPr>
          <w:rFonts w:hint="eastAsia" w:ascii="宋体" w:hAnsi="宋体" w:cs="宋体"/>
          <w:color w:val="000000"/>
        </w:rPr>
        <w:t>15.3开标过程由</w:t>
      </w:r>
      <w:r>
        <w:rPr>
          <w:rFonts w:hint="eastAsia" w:ascii="宋体" w:hAnsi="宋体" w:cs="宋体"/>
          <w:color w:val="000000"/>
          <w:lang w:val="zh-CN"/>
        </w:rPr>
        <w:t>采购中心</w:t>
      </w:r>
      <w:r>
        <w:rPr>
          <w:rFonts w:hint="eastAsia" w:ascii="宋体" w:hAnsi="宋体" w:cs="宋体"/>
          <w:color w:val="000000"/>
        </w:rPr>
        <w:t>负责记录，由参加开标的各投标人代表和相关工作人员线上签字确认后</w:t>
      </w:r>
      <w:r>
        <w:rPr>
          <w:rFonts w:ascii="宋体" w:hAnsi="宋体" w:cs="宋体"/>
          <w:color w:val="000000"/>
        </w:rPr>
        <w:t>随采购文件一并存档</w:t>
      </w:r>
      <w:r>
        <w:rPr>
          <w:rFonts w:hint="eastAsia" w:ascii="宋体" w:hAnsi="宋体" w:cs="宋体"/>
          <w:color w:val="000000"/>
        </w:rPr>
        <w:t>。</w:t>
      </w:r>
    </w:p>
    <w:p w14:paraId="1B8D1F96">
      <w:pPr>
        <w:pStyle w:val="234"/>
        <w:spacing w:before="0" w:after="0" w:line="360" w:lineRule="auto"/>
        <w:rPr>
          <w:rFonts w:hint="eastAsia" w:ascii="宋体" w:hAnsi="宋体" w:cs="宋体"/>
          <w:color w:val="000000"/>
        </w:rPr>
      </w:pPr>
      <w:bookmarkStart w:id="24" w:name="_Toc26242"/>
      <w:bookmarkStart w:id="25" w:name="_Toc496004006"/>
      <w:r>
        <w:rPr>
          <w:rFonts w:hint="eastAsia" w:ascii="宋体" w:hAnsi="宋体" w:cs="宋体"/>
          <w:szCs w:val="36"/>
        </w:rPr>
        <w:t>六、资格</w:t>
      </w:r>
      <w:r>
        <w:rPr>
          <w:rFonts w:hint="eastAsia" w:ascii="宋体" w:hAnsi="宋体" w:cs="宋体"/>
          <w:color w:val="000000"/>
          <w:lang w:val="zh-CN"/>
        </w:rPr>
        <w:t>审查</w:t>
      </w:r>
      <w:r>
        <w:rPr>
          <w:rFonts w:hint="eastAsia" w:ascii="宋体" w:hAnsi="宋体" w:cs="宋体"/>
          <w:szCs w:val="36"/>
        </w:rPr>
        <w:t>程序</w:t>
      </w:r>
      <w:bookmarkEnd w:id="24"/>
      <w:bookmarkEnd w:id="25"/>
    </w:p>
    <w:p w14:paraId="58672FAF">
      <w:pPr>
        <w:pStyle w:val="234"/>
        <w:spacing w:before="0" w:after="0" w:line="360" w:lineRule="auto"/>
        <w:jc w:val="left"/>
        <w:rPr>
          <w:rFonts w:hint="eastAsia" w:ascii="宋体" w:hAnsi="宋体" w:cs="宋体"/>
          <w:color w:val="000000"/>
          <w:sz w:val="28"/>
          <w:szCs w:val="28"/>
        </w:rPr>
      </w:pPr>
      <w:bookmarkStart w:id="26" w:name="_Toc26052"/>
      <w:r>
        <w:rPr>
          <w:rFonts w:hint="eastAsia" w:ascii="宋体" w:hAnsi="宋体" w:cs="宋体"/>
          <w:color w:val="000000"/>
          <w:sz w:val="28"/>
          <w:szCs w:val="28"/>
        </w:rPr>
        <w:t>16.资格审查</w:t>
      </w:r>
      <w:bookmarkEnd w:id="26"/>
    </w:p>
    <w:p w14:paraId="00E7A86D">
      <w:pPr>
        <w:spacing w:line="360" w:lineRule="auto"/>
        <w:ind w:firstLine="480"/>
        <w:rPr>
          <w:rFonts w:hint="eastAsia" w:ascii="宋体" w:hAnsi="宋体" w:cs="宋体"/>
          <w:color w:val="000000"/>
        </w:rPr>
      </w:pPr>
      <w:r>
        <w:rPr>
          <w:rFonts w:hint="eastAsia" w:ascii="宋体" w:hAnsi="宋体" w:cs="宋体"/>
          <w:color w:val="000000"/>
        </w:rPr>
        <w:t>16.1 开标结束后，采购人依法对投标人的资格性审查文件（上册）进行审查。</w:t>
      </w:r>
    </w:p>
    <w:p w14:paraId="1CA4EDA7">
      <w:pPr>
        <w:spacing w:line="360" w:lineRule="auto"/>
        <w:ind w:firstLine="480"/>
        <w:rPr>
          <w:rFonts w:hint="eastAsia" w:ascii="宋体" w:hAnsi="宋体" w:cs="宋体"/>
          <w:color w:val="000000"/>
        </w:rPr>
      </w:pPr>
      <w:r>
        <w:rPr>
          <w:rFonts w:hint="eastAsia" w:ascii="宋体" w:hAnsi="宋体" w:cs="宋体"/>
          <w:color w:val="00000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rPr>
        <w:t>。</w:t>
      </w:r>
    </w:p>
    <w:p w14:paraId="2C9A755D">
      <w:pPr>
        <w:spacing w:line="360" w:lineRule="auto"/>
        <w:ind w:firstLine="480"/>
        <w:rPr>
          <w:rFonts w:hint="eastAsia" w:ascii="宋体" w:hAnsi="宋体" w:cs="宋体"/>
          <w:color w:val="000000"/>
          <w:sz w:val="28"/>
          <w:szCs w:val="28"/>
        </w:rPr>
      </w:pPr>
      <w:bookmarkStart w:id="27" w:name="_Toc30809"/>
      <w:bookmarkStart w:id="28" w:name="_Toc497503516"/>
      <w:bookmarkStart w:id="29" w:name="_Toc497503249"/>
      <w:bookmarkStart w:id="30" w:name="_Toc497503449"/>
      <w:bookmarkStart w:id="31" w:name="_Toc497503315"/>
      <w:r>
        <w:rPr>
          <w:rFonts w:hint="eastAsia" w:ascii="宋体" w:hAnsi="宋体" w:cs="宋体"/>
          <w:color w:val="000000"/>
        </w:rPr>
        <w:t>16.3 资格审查时，投标人存在下列情况之一的，按无效投标处理：</w:t>
      </w:r>
      <w:bookmarkEnd w:id="27"/>
      <w:bookmarkEnd w:id="28"/>
      <w:bookmarkEnd w:id="29"/>
      <w:bookmarkEnd w:id="30"/>
      <w:bookmarkEnd w:id="31"/>
    </w:p>
    <w:p w14:paraId="5ED136EF">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shd w:val="clear" w:color="auto" w:fill="FFFFFF"/>
        </w:rPr>
        <w:t>不具备</w:t>
      </w:r>
      <w:r>
        <w:rPr>
          <w:rFonts w:hint="eastAsia" w:ascii="宋体" w:hAnsi="宋体" w:cs="宋体"/>
          <w:color w:val="000000"/>
          <w:lang w:val="zh-CN"/>
        </w:rPr>
        <w:t>第一部分“投标邀请”中各包投标人资格要求</w:t>
      </w:r>
      <w:r>
        <w:rPr>
          <w:rFonts w:hint="eastAsia" w:ascii="宋体" w:hAnsi="宋体" w:cs="宋体"/>
          <w:color w:val="000000"/>
          <w:shd w:val="clear" w:color="auto" w:fill="FFFFFF"/>
        </w:rPr>
        <w:t>的；</w:t>
      </w:r>
    </w:p>
    <w:p w14:paraId="5B263287">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rPr>
        <w:t>未按第10.1要求提供相关资料的；</w:t>
      </w:r>
    </w:p>
    <w:p w14:paraId="5AA04FF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rPr>
        <w:t>资格性审查文件未按招标文件规定和要求签字、盖章的；</w:t>
      </w:r>
    </w:p>
    <w:p w14:paraId="1E199E3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7843C5EF">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投标有效期不能满足招标文件要求的；</w:t>
      </w:r>
    </w:p>
    <w:p w14:paraId="41C6249E">
      <w:pPr>
        <w:pStyle w:val="234"/>
        <w:spacing w:before="0" w:after="0" w:line="360" w:lineRule="auto"/>
        <w:rPr>
          <w:rFonts w:hint="eastAsia" w:ascii="宋体" w:hAnsi="宋体" w:cs="宋体"/>
          <w:color w:val="000000"/>
        </w:rPr>
      </w:pPr>
      <w:bookmarkStart w:id="32" w:name="_Toc15470"/>
      <w:r>
        <w:rPr>
          <w:rFonts w:hint="eastAsia" w:ascii="宋体" w:hAnsi="宋体" w:cs="宋体"/>
          <w:color w:val="000000"/>
          <w:lang w:val="zh-CN"/>
        </w:rPr>
        <w:t>七、评审程序及方法</w:t>
      </w:r>
      <w:bookmarkEnd w:id="32"/>
    </w:p>
    <w:p w14:paraId="02B7AB49">
      <w:pPr>
        <w:pStyle w:val="234"/>
        <w:spacing w:before="0" w:after="0" w:line="360" w:lineRule="auto"/>
        <w:jc w:val="left"/>
        <w:rPr>
          <w:rFonts w:hint="eastAsia" w:ascii="宋体" w:hAnsi="宋体" w:cs="宋体"/>
          <w:color w:val="000000"/>
          <w:lang w:val="zh-CN"/>
        </w:rPr>
      </w:pPr>
      <w:bookmarkStart w:id="33" w:name="_Toc3150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14:paraId="38FFB4C7">
      <w:pPr>
        <w:spacing w:line="360" w:lineRule="auto"/>
        <w:ind w:firstLine="480"/>
        <w:rPr>
          <w:rFonts w:hint="eastAsia" w:ascii="宋体" w:hAnsi="宋体" w:cs="宋体"/>
          <w:color w:val="000000"/>
          <w:lang w:val="zh-CN"/>
        </w:rPr>
      </w:pPr>
      <w:r>
        <w:rPr>
          <w:rFonts w:hint="eastAsia" w:ascii="宋体" w:hAnsi="宋体" w:cs="宋体"/>
          <w:color w:val="000000"/>
        </w:rPr>
        <w:t xml:space="preserve">17.1 </w:t>
      </w:r>
      <w:r>
        <w:rPr>
          <w:rFonts w:hint="eastAsia" w:ascii="宋体" w:hAnsi="宋体" w:cs="宋体"/>
          <w:color w:val="000000"/>
          <w:lang w:val="zh-CN"/>
        </w:rPr>
        <w:t>刚察县政府采购中心负责组织评标工作，并履行下列职责：</w:t>
      </w:r>
    </w:p>
    <w:p w14:paraId="26C05D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）核对评审专家身份和采购人代表授权函，对评审专家在政府采购活动中的职责履行情况予以记录，并及时将有关违法违规行为向财政部门报告；</w:t>
      </w:r>
    </w:p>
    <w:p w14:paraId="0883323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）宣布评标纪律；</w:t>
      </w:r>
    </w:p>
    <w:p w14:paraId="2791CF7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）公布投标人名单，告知评审专家回避的情形；</w:t>
      </w:r>
    </w:p>
    <w:p w14:paraId="5E45873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）组织评标委员会推选评标组长，采购人代表不得担任组长；</w:t>
      </w:r>
    </w:p>
    <w:p w14:paraId="1AD16B72">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）在评标期间采取必要的通讯管理措施，保证评标活动不受外界干扰；</w:t>
      </w:r>
    </w:p>
    <w:p w14:paraId="1C2C02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）根据评标委员会的要求介绍政府采购相关政策法规、招标文件；</w:t>
      </w:r>
    </w:p>
    <w:p w14:paraId="16E5C30A">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7</w:t>
      </w:r>
      <w:r>
        <w:rPr>
          <w:rFonts w:hint="eastAsia" w:ascii="宋体" w:hAnsi="宋体" w:cs="宋体"/>
          <w:color w:val="000000"/>
          <w:lang w:val="zh-CN"/>
        </w:rPr>
        <w:t>）维护评标秩序，监督评标委员会依照招标文件规定的评标程序、方法和标准进行独立评审，及时制止和纠正采购人代表、评审专家的倾向性言论或者违法违规行为；</w:t>
      </w:r>
    </w:p>
    <w:p w14:paraId="53BC94BE">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8</w:t>
      </w:r>
      <w:r>
        <w:rPr>
          <w:rFonts w:hint="eastAsia" w:ascii="宋体" w:hAnsi="宋体" w:cs="宋体"/>
          <w:color w:val="000000"/>
          <w:lang w:val="zh-CN"/>
        </w:rPr>
        <w:t>）核对评标结果，有</w:t>
      </w:r>
      <w:r>
        <w:rPr>
          <w:rFonts w:hint="eastAsia" w:ascii="宋体" w:hAnsi="宋体" w:cs="宋体"/>
          <w:color w:val="000000"/>
        </w:rPr>
        <w:t>19.4</w:t>
      </w:r>
      <w:r>
        <w:rPr>
          <w:rFonts w:hint="eastAsia" w:ascii="宋体" w:hAnsi="宋体" w:cs="宋体"/>
          <w:color w:val="000000"/>
          <w:lang w:val="zh-CN"/>
        </w:rPr>
        <w:t>规定情形的，要求评标委员会复核或者书面说明理由，评标委员会拒绝的，应予记录并向本级财政部门报告；</w:t>
      </w:r>
    </w:p>
    <w:p w14:paraId="615D5D77">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9</w:t>
      </w:r>
      <w:r>
        <w:rPr>
          <w:rFonts w:hint="eastAsia" w:ascii="宋体" w:hAnsi="宋体" w:cs="宋体"/>
          <w:color w:val="000000"/>
          <w:lang w:val="zh-CN"/>
        </w:rPr>
        <w:t>）评审工作完成后，按照规定由采购人向评审专家支付劳务报酬和异地评审差旅费，不得向评审专家以外的其他人员支付评审劳务报酬；</w:t>
      </w:r>
    </w:p>
    <w:p w14:paraId="4D8FB3ED">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10</w:t>
      </w:r>
      <w:r>
        <w:rPr>
          <w:rFonts w:hint="eastAsia" w:ascii="宋体" w:hAnsi="宋体" w:cs="宋体"/>
          <w:color w:val="000000"/>
          <w:lang w:val="zh-CN"/>
        </w:rPr>
        <w:t>）处理与评标有关的其他事项。</w:t>
      </w:r>
    </w:p>
    <w:p w14:paraId="212681B6">
      <w:pPr>
        <w:spacing w:line="360" w:lineRule="auto"/>
        <w:ind w:firstLine="480"/>
        <w:rPr>
          <w:rFonts w:hint="eastAsia" w:ascii="宋体" w:hAnsi="宋体" w:cs="宋体"/>
          <w:color w:val="000000"/>
        </w:rPr>
      </w:pPr>
      <w:r>
        <w:rPr>
          <w:rFonts w:hint="eastAsia" w:ascii="宋体" w:hAnsi="宋体" w:cs="宋体"/>
          <w:color w:val="000000"/>
          <w:lang w:val="zh-CN"/>
        </w:rPr>
        <w:t>采购人可以在评标前说明项目背景和采购需求，说明内容不得含有歧视性、倾向性意见，不得超出招标文件所述范围。说明提交书面材料，并随采购文件一并存档。</w:t>
      </w:r>
    </w:p>
    <w:p w14:paraId="4CF0E4C9">
      <w:pPr>
        <w:spacing w:line="360" w:lineRule="auto"/>
        <w:ind w:firstLine="480"/>
        <w:rPr>
          <w:rFonts w:hint="eastAsia" w:ascii="宋体" w:hAnsi="宋体" w:cs="宋体"/>
          <w:color w:val="000000"/>
        </w:rPr>
      </w:pPr>
      <w:r>
        <w:rPr>
          <w:rFonts w:hint="eastAsia" w:ascii="宋体" w:hAnsi="宋体" w:cs="宋体"/>
          <w:color w:val="000000"/>
        </w:rPr>
        <w:t>17.2 评标委员会负责具体评标事务，并独立履行下列职责：</w:t>
      </w:r>
    </w:p>
    <w:p w14:paraId="6F9E3C86">
      <w:pPr>
        <w:numPr>
          <w:ilvl w:val="0"/>
          <w:numId w:val="4"/>
        </w:numPr>
        <w:spacing w:line="360" w:lineRule="auto"/>
        <w:ind w:firstLine="480"/>
        <w:rPr>
          <w:rFonts w:hint="eastAsia" w:ascii="宋体" w:hAnsi="宋体" w:cs="宋体"/>
          <w:color w:val="000000"/>
        </w:rPr>
      </w:pPr>
      <w:r>
        <w:rPr>
          <w:rFonts w:hint="eastAsia" w:ascii="宋体" w:hAnsi="宋体" w:cs="宋体"/>
          <w:color w:val="000000"/>
        </w:rPr>
        <w:t>严格遵守评审工作纪律,按照客观、公正、审慎的原则,根据采购文件规定的评审程序、评审方法和评审标准进行独立评审</w:t>
      </w:r>
      <w:r>
        <w:rPr>
          <w:rFonts w:hint="eastAsia" w:ascii="宋体" w:hAnsi="宋体" w:cs="宋体"/>
          <w:color w:val="000000"/>
          <w:lang w:val="zh-CN"/>
        </w:rPr>
        <w:t>；</w:t>
      </w:r>
    </w:p>
    <w:p w14:paraId="7DCA6D7A">
      <w:pPr>
        <w:numPr>
          <w:ilvl w:val="0"/>
          <w:numId w:val="4"/>
        </w:numPr>
        <w:spacing w:line="360" w:lineRule="auto"/>
        <w:ind w:firstLine="480"/>
        <w:rPr>
          <w:rFonts w:hint="eastAsia" w:ascii="宋体" w:hAnsi="宋体" w:cs="宋体"/>
          <w:color w:val="000000"/>
        </w:rPr>
      </w:pPr>
      <w:r>
        <w:rPr>
          <w:rFonts w:hint="eastAsia" w:ascii="宋体" w:hAnsi="宋体" w:cs="宋体"/>
          <w:color w:val="000000"/>
        </w:rPr>
        <w:t>现采购文件内容违反国家有关强制性规定或者采购文件存在歧义、重大缺陷导致评审工作无法进行时,停止评审并向刚察县政府采购中心书面说明情况</w:t>
      </w:r>
      <w:r>
        <w:rPr>
          <w:rFonts w:hint="eastAsia" w:ascii="宋体" w:hAnsi="宋体" w:cs="宋体"/>
          <w:color w:val="000000"/>
          <w:lang w:val="zh-CN"/>
        </w:rPr>
        <w:t>；</w:t>
      </w:r>
    </w:p>
    <w:p w14:paraId="4F5F2AF0">
      <w:pPr>
        <w:numPr>
          <w:ilvl w:val="0"/>
          <w:numId w:val="4"/>
        </w:numPr>
        <w:spacing w:line="360" w:lineRule="auto"/>
        <w:ind w:firstLine="480"/>
        <w:rPr>
          <w:rFonts w:hint="eastAsia" w:ascii="宋体" w:hAnsi="宋体" w:cs="宋体"/>
          <w:color w:val="000000"/>
        </w:rPr>
      </w:pPr>
      <w:r>
        <w:rPr>
          <w:rFonts w:hint="eastAsia" w:ascii="宋体" w:hAnsi="宋体" w:cs="宋体"/>
          <w:color w:val="000000"/>
        </w:rPr>
        <w:t>审查、评价投标文件是否符合招标文件的商务、技术等实质性要求</w:t>
      </w:r>
      <w:r>
        <w:rPr>
          <w:rFonts w:hint="eastAsia" w:ascii="宋体" w:hAnsi="宋体" w:cs="宋体"/>
          <w:color w:val="000000"/>
          <w:lang w:val="zh-CN"/>
        </w:rPr>
        <w:t>；</w:t>
      </w:r>
    </w:p>
    <w:p w14:paraId="0BDEA204">
      <w:pPr>
        <w:numPr>
          <w:ilvl w:val="0"/>
          <w:numId w:val="4"/>
        </w:numPr>
        <w:spacing w:line="360" w:lineRule="auto"/>
        <w:ind w:firstLine="480"/>
        <w:rPr>
          <w:rFonts w:hint="eastAsia" w:ascii="宋体" w:hAnsi="宋体" w:cs="宋体"/>
          <w:color w:val="000000"/>
        </w:rPr>
      </w:pPr>
      <w:r>
        <w:rPr>
          <w:rFonts w:hint="eastAsia" w:ascii="宋体" w:hAnsi="宋体" w:cs="宋体"/>
          <w:color w:val="000000"/>
        </w:rPr>
        <w:t>要求投标人对投标文件有关事项作出澄清或者说明；</w:t>
      </w:r>
    </w:p>
    <w:p w14:paraId="6BF5A208">
      <w:pPr>
        <w:numPr>
          <w:ilvl w:val="0"/>
          <w:numId w:val="4"/>
        </w:numPr>
        <w:spacing w:line="360" w:lineRule="auto"/>
        <w:ind w:firstLine="480"/>
        <w:rPr>
          <w:rFonts w:hint="eastAsia" w:ascii="宋体" w:hAnsi="宋体" w:cs="宋体"/>
          <w:color w:val="000000"/>
        </w:rPr>
      </w:pPr>
      <w:r>
        <w:rPr>
          <w:rFonts w:hint="eastAsia" w:ascii="宋体" w:hAnsi="宋体" w:cs="宋体"/>
          <w:color w:val="000000"/>
        </w:rPr>
        <w:t>对投标文件进行比较和评价；</w:t>
      </w:r>
    </w:p>
    <w:p w14:paraId="4861EEC0">
      <w:pPr>
        <w:numPr>
          <w:ilvl w:val="0"/>
          <w:numId w:val="4"/>
        </w:numPr>
        <w:spacing w:line="360" w:lineRule="auto"/>
        <w:ind w:firstLine="480"/>
        <w:rPr>
          <w:rFonts w:hint="eastAsia" w:ascii="宋体" w:hAnsi="宋体" w:cs="宋体"/>
          <w:color w:val="000000"/>
        </w:rPr>
      </w:pPr>
      <w:r>
        <w:rPr>
          <w:rFonts w:hint="eastAsia" w:ascii="宋体" w:hAnsi="宋体" w:cs="宋体"/>
          <w:color w:val="000000"/>
        </w:rPr>
        <w:t>确定中标候选人名单，以及根据采购人委托直接确定中标人；</w:t>
      </w:r>
    </w:p>
    <w:p w14:paraId="75AB0A0E">
      <w:pPr>
        <w:numPr>
          <w:ilvl w:val="0"/>
          <w:numId w:val="4"/>
        </w:numPr>
        <w:spacing w:line="360" w:lineRule="auto"/>
        <w:ind w:firstLine="480"/>
        <w:rPr>
          <w:rFonts w:hint="eastAsia" w:ascii="宋体" w:hAnsi="宋体" w:cs="宋体"/>
          <w:color w:val="000000"/>
        </w:rPr>
      </w:pPr>
      <w:r>
        <w:rPr>
          <w:rFonts w:hint="eastAsia" w:ascii="宋体" w:hAnsi="宋体" w:cs="宋体"/>
          <w:color w:val="000000"/>
        </w:rPr>
        <w:t>配合答复供应商的询问、质疑和投诉等事项,不得泄露评审文件、评审情况和在评审过程中获悉的商业秘密</w:t>
      </w:r>
      <w:r>
        <w:rPr>
          <w:rFonts w:hint="eastAsia" w:ascii="宋体" w:hAnsi="宋体" w:cs="宋体"/>
          <w:color w:val="000000"/>
          <w:lang w:val="zh-CN"/>
        </w:rPr>
        <w:t>；</w:t>
      </w:r>
    </w:p>
    <w:p w14:paraId="6854D646">
      <w:pPr>
        <w:numPr>
          <w:ilvl w:val="0"/>
          <w:numId w:val="4"/>
        </w:numPr>
        <w:spacing w:line="360" w:lineRule="auto"/>
        <w:ind w:firstLine="480"/>
        <w:rPr>
          <w:rFonts w:hint="eastAsia" w:ascii="宋体" w:hAnsi="宋体" w:cs="宋体"/>
          <w:color w:val="000000"/>
        </w:rPr>
      </w:pPr>
      <w:r>
        <w:rPr>
          <w:rFonts w:hint="eastAsia" w:ascii="宋体" w:hAnsi="宋体" w:cs="宋体"/>
          <w:color w:val="000000"/>
        </w:rPr>
        <w:t>向采购人、采购中心或者有关部门报告评标中发现的违法行为。</w:t>
      </w:r>
    </w:p>
    <w:p w14:paraId="1D47B2C2">
      <w:pPr>
        <w:spacing w:line="360" w:lineRule="auto"/>
        <w:ind w:firstLine="480"/>
        <w:rPr>
          <w:rFonts w:hint="eastAsia" w:ascii="宋体" w:hAnsi="宋体" w:cs="宋体"/>
          <w:color w:val="000000"/>
        </w:rPr>
      </w:pPr>
      <w:r>
        <w:rPr>
          <w:rFonts w:hint="eastAsia" w:ascii="宋体" w:hAnsi="宋体" w:cs="宋体"/>
          <w:color w:val="000000"/>
        </w:rPr>
        <w:t>17.3 评标委员会由采购人代表和评审专家组成，成员人数为5人以上单数，其中评审专家不得少于成员总数的三分之二。</w:t>
      </w:r>
    </w:p>
    <w:p w14:paraId="7F8CB9A1">
      <w:pPr>
        <w:spacing w:line="360" w:lineRule="auto"/>
        <w:ind w:firstLine="480"/>
        <w:rPr>
          <w:rFonts w:hint="eastAsia" w:ascii="宋体" w:hAnsi="宋体" w:cs="宋体"/>
          <w:color w:val="000000"/>
        </w:rPr>
      </w:pPr>
      <w:r>
        <w:rPr>
          <w:rFonts w:hint="eastAsia" w:ascii="宋体" w:hAnsi="宋体" w:cs="宋体"/>
          <w:color w:val="000000"/>
        </w:rPr>
        <w:t>采购项目符合下列情形之一的，评标委员会成员人数为7人以上单数：</w:t>
      </w:r>
    </w:p>
    <w:p w14:paraId="5EDD9F6C">
      <w:pPr>
        <w:spacing w:line="360" w:lineRule="auto"/>
        <w:ind w:firstLine="480"/>
        <w:rPr>
          <w:rFonts w:hint="eastAsia" w:ascii="宋体" w:hAnsi="宋体" w:cs="宋体"/>
          <w:color w:val="000000"/>
        </w:rPr>
      </w:pPr>
      <w:r>
        <w:rPr>
          <w:rFonts w:hint="eastAsia" w:ascii="宋体" w:hAnsi="宋体" w:cs="宋体"/>
          <w:color w:val="000000"/>
        </w:rPr>
        <w:t>（1）采购预算金额在1000万元以上；</w:t>
      </w:r>
    </w:p>
    <w:p w14:paraId="2F6FB1E9">
      <w:pPr>
        <w:spacing w:line="360" w:lineRule="auto"/>
        <w:ind w:firstLine="480"/>
        <w:rPr>
          <w:rFonts w:hint="eastAsia" w:ascii="宋体" w:hAnsi="宋体" w:cs="宋体"/>
          <w:color w:val="000000"/>
        </w:rPr>
      </w:pPr>
      <w:r>
        <w:rPr>
          <w:rFonts w:hint="eastAsia" w:ascii="宋体" w:hAnsi="宋体" w:cs="宋体"/>
          <w:color w:val="000000"/>
        </w:rPr>
        <w:t>（2）技术复杂；</w:t>
      </w:r>
    </w:p>
    <w:p w14:paraId="62D7C366">
      <w:pPr>
        <w:spacing w:line="360" w:lineRule="auto"/>
        <w:ind w:firstLine="480"/>
        <w:rPr>
          <w:rFonts w:hint="eastAsia" w:ascii="宋体" w:hAnsi="宋体" w:cs="宋体"/>
          <w:color w:val="000000"/>
        </w:rPr>
      </w:pPr>
      <w:r>
        <w:rPr>
          <w:rFonts w:hint="eastAsia" w:ascii="宋体" w:hAnsi="宋体" w:cs="宋体"/>
          <w:color w:val="000000"/>
        </w:rPr>
        <w:t>（3）社会影响较大。</w:t>
      </w:r>
    </w:p>
    <w:p w14:paraId="1E24C21C">
      <w:pPr>
        <w:spacing w:line="360" w:lineRule="auto"/>
        <w:ind w:firstLine="480"/>
        <w:rPr>
          <w:rFonts w:hint="eastAsia" w:ascii="宋体" w:hAnsi="宋体" w:cs="宋体"/>
          <w:color w:val="000000"/>
        </w:rPr>
      </w:pPr>
      <w:r>
        <w:rPr>
          <w:rFonts w:hint="eastAsia" w:ascii="宋体" w:hAnsi="宋体" w:cs="宋体"/>
          <w:color w:val="000000"/>
        </w:rPr>
        <w:t>评审专家对本单位的采购项目只能作为采购人代表参与评标。采购中心工作人员不得参加由本机构代理的政府采购项目的评标。</w:t>
      </w:r>
    </w:p>
    <w:p w14:paraId="74F95E55">
      <w:pPr>
        <w:spacing w:line="360" w:lineRule="auto"/>
        <w:ind w:firstLine="480"/>
        <w:rPr>
          <w:rFonts w:hint="eastAsia" w:ascii="宋体" w:hAnsi="宋体" w:cs="宋体"/>
          <w:color w:val="000000"/>
        </w:rPr>
      </w:pPr>
      <w:r>
        <w:rPr>
          <w:rFonts w:hint="eastAsia" w:ascii="宋体" w:hAnsi="宋体" w:cs="宋体"/>
          <w:color w:val="000000"/>
        </w:rPr>
        <w:t>评标委员会成员名单在评标结果公告前保密。</w:t>
      </w:r>
    </w:p>
    <w:p w14:paraId="597FA778">
      <w:pPr>
        <w:spacing w:line="360" w:lineRule="auto"/>
        <w:ind w:firstLine="480"/>
        <w:rPr>
          <w:rFonts w:hint="eastAsia" w:ascii="宋体" w:hAnsi="宋体" w:cs="宋体"/>
          <w:color w:val="000000"/>
        </w:rPr>
      </w:pPr>
      <w:r>
        <w:rPr>
          <w:rFonts w:hint="eastAsia" w:ascii="宋体" w:hAnsi="宋体" w:cs="宋体"/>
          <w:color w:val="000000"/>
        </w:rPr>
        <w:t xml:space="preserve">17.4 </w:t>
      </w:r>
      <w:r>
        <w:rPr>
          <w:rFonts w:hint="eastAsia" w:ascii="宋体" w:hAnsi="宋体" w:cs="宋体"/>
          <w:color w:val="000000"/>
          <w:lang w:val="zh-CN"/>
        </w:rPr>
        <w:t>采购中心</w:t>
      </w:r>
      <w:r>
        <w:rPr>
          <w:rFonts w:hint="eastAsia" w:ascii="宋体" w:hAnsi="宋体" w:cs="宋体"/>
          <w:color w:val="00000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14:paraId="10DE90BD">
      <w:pPr>
        <w:spacing w:line="360" w:lineRule="auto"/>
        <w:ind w:firstLine="480"/>
        <w:rPr>
          <w:rFonts w:hint="eastAsia" w:ascii="宋体" w:hAnsi="宋体" w:cs="宋体"/>
          <w:color w:val="000000"/>
        </w:rPr>
      </w:pPr>
      <w:r>
        <w:rPr>
          <w:rFonts w:hint="eastAsia" w:ascii="宋体" w:hAnsi="宋体" w:cs="宋体"/>
          <w:color w:val="000000"/>
          <w:lang w:val="zh-CN"/>
        </w:rPr>
        <w:t>1</w:t>
      </w:r>
      <w:r>
        <w:rPr>
          <w:rFonts w:hint="eastAsia" w:ascii="宋体" w:hAnsi="宋体" w:cs="宋体"/>
          <w:color w:val="000000"/>
        </w:rPr>
        <w:t>7</w:t>
      </w:r>
      <w:r>
        <w:rPr>
          <w:rFonts w:hint="eastAsia" w:ascii="宋体" w:hAnsi="宋体" w:cs="宋体"/>
          <w:color w:val="000000"/>
          <w:lang w:val="zh-CN"/>
        </w:rPr>
        <w:t>.</w:t>
      </w:r>
      <w:r>
        <w:rPr>
          <w:rFonts w:hint="eastAsia" w:ascii="宋体" w:hAnsi="宋体" w:cs="宋体"/>
          <w:color w:val="00000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14:paraId="17975A9F">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w:t>
      </w:r>
      <w:r>
        <w:rPr>
          <w:rFonts w:hint="eastAsia" w:ascii="宋体" w:hAnsi="宋体" w:cs="宋体"/>
          <w:color w:val="000000"/>
        </w:rPr>
        <w:t>将变更、重新组建评标委员会的情况予以记录，并随采购文件一并存档。</w:t>
      </w:r>
    </w:p>
    <w:p w14:paraId="6ADB209D">
      <w:pPr>
        <w:pStyle w:val="234"/>
        <w:spacing w:before="0" w:after="0" w:line="360" w:lineRule="auto"/>
        <w:jc w:val="left"/>
        <w:rPr>
          <w:rFonts w:hint="eastAsia" w:ascii="宋体" w:hAnsi="宋体" w:cs="宋体"/>
          <w:color w:val="000000"/>
          <w:lang w:val="zh-CN"/>
        </w:rPr>
      </w:pPr>
      <w:bookmarkStart w:id="34" w:name="_Toc30580"/>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14:paraId="0482D1F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评标委员会对符合资格的投标人的符合性文件进行审查，以确定其是否满足招标文件的实质性要求。</w:t>
      </w:r>
    </w:p>
    <w:p w14:paraId="5F0A997F">
      <w:pPr>
        <w:spacing w:line="360" w:lineRule="auto"/>
        <w:ind w:firstLine="480"/>
        <w:rPr>
          <w:rFonts w:hint="eastAsia" w:ascii="宋体" w:hAnsi="宋体" w:cs="宋体"/>
          <w:color w:val="000000"/>
          <w:lang w:val="zh-CN"/>
        </w:rPr>
      </w:pPr>
      <w:r>
        <w:rPr>
          <w:rFonts w:hint="eastAsia" w:ascii="宋体" w:hAnsi="宋体" w:cs="宋体"/>
          <w:color w:val="000000"/>
        </w:rPr>
        <w:t>18.1.1</w:t>
      </w:r>
      <w:r>
        <w:rPr>
          <w:rFonts w:hint="eastAsia" w:ascii="宋体" w:hAnsi="宋体" w:cs="宋体"/>
          <w:b/>
          <w:bCs/>
          <w:color w:val="000000"/>
        </w:rPr>
        <w:t xml:space="preserve"> </w:t>
      </w:r>
      <w:r>
        <w:rPr>
          <w:rFonts w:hint="eastAsia" w:ascii="宋体" w:hAnsi="宋体" w:cs="宋体"/>
          <w:color w:val="000000"/>
          <w:lang w:val="zh-CN"/>
        </w:rPr>
        <w:t>投标文件中含义不明确、同类问题表述不一致或者有明显文字和计算错误的内容，评标委员会以书面形式要求投标人作出必要的澄清、说明或者补正。</w:t>
      </w:r>
    </w:p>
    <w:p w14:paraId="15803D5B">
      <w:pPr>
        <w:spacing w:line="360" w:lineRule="auto"/>
        <w:ind w:firstLine="480"/>
        <w:rPr>
          <w:rFonts w:hint="eastAsia" w:ascii="宋体" w:hAnsi="宋体" w:cs="宋体"/>
          <w:b/>
          <w:bCs/>
          <w:color w:val="000000"/>
        </w:rPr>
      </w:pPr>
      <w:r>
        <w:rPr>
          <w:rFonts w:hint="eastAsia" w:ascii="宋体" w:hAnsi="宋体" w:cs="宋体"/>
          <w:color w:val="000000"/>
          <w:lang w:val="zh-CN"/>
        </w:rPr>
        <w:t>投标人的澄清、说明或者补正采用线上形式，并加盖公章，或者由法定代表人或其授权的代表签字。投标人的澄清、说明或者补正不得超出投标文件的范围或者改变投标文件的实质性内容。</w:t>
      </w:r>
    </w:p>
    <w:p w14:paraId="2F1B1786">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.2投标人存在下列情况之一的，投标无效:</w:t>
      </w:r>
    </w:p>
    <w:p w14:paraId="478AD2BC">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符合性审查文件未按招标文件要求签署、盖章的；</w:t>
      </w:r>
    </w:p>
    <w:p w14:paraId="2C250C77">
      <w:pPr>
        <w:numPr>
          <w:ilvl w:val="0"/>
          <w:numId w:val="5"/>
        </w:numPr>
        <w:spacing w:line="360" w:lineRule="auto"/>
        <w:ind w:firstLine="480"/>
        <w:rPr>
          <w:rFonts w:hint="eastAsia" w:ascii="宋体" w:hAnsi="宋体" w:cs="宋体"/>
          <w:color w:val="00000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10</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4</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14:paraId="09A28B6B">
      <w:pPr>
        <w:numPr>
          <w:ilvl w:val="0"/>
          <w:numId w:val="5"/>
        </w:num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321F693F">
      <w:pPr>
        <w:numPr>
          <w:ilvl w:val="0"/>
          <w:numId w:val="5"/>
        </w:numPr>
        <w:spacing w:line="360" w:lineRule="auto"/>
        <w:ind w:firstLine="480"/>
        <w:rPr>
          <w:rFonts w:ascii="宋体" w:hAnsi="宋体" w:cs="宋体"/>
          <w:color w:val="000000"/>
          <w:lang w:val="zh-CN"/>
        </w:rPr>
      </w:pPr>
      <w:r>
        <w:rPr>
          <w:rFonts w:hint="eastAsia" w:ascii="宋体" w:hAnsi="宋体" w:cs="宋体"/>
          <w:lang w:val="zh-CN"/>
        </w:rPr>
        <w:t>服务</w:t>
      </w:r>
      <w:r>
        <w:rPr>
          <w:rFonts w:hint="eastAsia" w:ascii="宋体" w:hAnsi="宋体" w:cs="宋体"/>
        </w:rPr>
        <w:t>/交货</w:t>
      </w:r>
      <w:r>
        <w:rPr>
          <w:rFonts w:hint="eastAsia" w:ascii="宋体" w:hAnsi="宋体" w:cs="宋体"/>
          <w:lang w:val="zh-CN"/>
        </w:rPr>
        <w:t>时间</w:t>
      </w:r>
      <w:r>
        <w:rPr>
          <w:rFonts w:hint="eastAsia" w:ascii="宋体" w:hAnsi="宋体" w:cs="宋体"/>
          <w:color w:val="000000"/>
          <w:lang w:val="zh-CN"/>
        </w:rPr>
        <w:t>不能满足招标文件要求的；</w:t>
      </w:r>
    </w:p>
    <w:p w14:paraId="38E33672">
      <w:pPr>
        <w:numPr>
          <w:ilvl w:val="0"/>
          <w:numId w:val="5"/>
        </w:numPr>
        <w:spacing w:line="360" w:lineRule="auto"/>
        <w:ind w:firstLine="480"/>
        <w:rPr>
          <w:rFonts w:ascii="宋体" w:hAnsi="宋体" w:cs="宋体"/>
          <w:color w:val="000000"/>
          <w:lang w:val="zh-CN"/>
        </w:rPr>
      </w:pPr>
      <w:r>
        <w:rPr>
          <w:rFonts w:hint="eastAsia" w:ascii="宋体" w:hAnsi="宋体"/>
          <w:color w:val="000000"/>
        </w:rPr>
        <w:t>投标总报价超过招标文件规定的采购预算额度或者最高限价的；</w:t>
      </w:r>
    </w:p>
    <w:p w14:paraId="730D252C">
      <w:pPr>
        <w:numPr>
          <w:ilvl w:val="0"/>
          <w:numId w:val="5"/>
        </w:numPr>
        <w:spacing w:line="360" w:lineRule="auto"/>
        <w:ind w:firstLine="480"/>
        <w:rPr>
          <w:rFonts w:ascii="宋体" w:hAnsi="宋体" w:cs="宋体"/>
          <w:color w:val="000000"/>
          <w:lang w:val="zh-CN"/>
        </w:rPr>
      </w:pPr>
      <w:r>
        <w:rPr>
          <w:rFonts w:hint="eastAsia" w:ascii="宋体" w:hAnsi="宋体" w:cs="宋体"/>
          <w:color w:val="000000"/>
          <w:lang w:val="zh-CN"/>
        </w:rPr>
        <w:t>存在串通投标行为；</w:t>
      </w:r>
    </w:p>
    <w:p w14:paraId="0F1259E4">
      <w:pPr>
        <w:numPr>
          <w:ilvl w:val="0"/>
          <w:numId w:val="5"/>
        </w:numPr>
        <w:spacing w:line="360" w:lineRule="auto"/>
        <w:ind w:firstLine="480"/>
        <w:rPr>
          <w:rFonts w:ascii="宋体" w:hAnsi="宋体" w:cs="宋体"/>
          <w:color w:val="00000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14:paraId="2C98924B">
      <w:pPr>
        <w:numPr>
          <w:ilvl w:val="0"/>
          <w:numId w:val="5"/>
        </w:numPr>
        <w:spacing w:line="360" w:lineRule="auto"/>
        <w:ind w:firstLine="480"/>
        <w:rPr>
          <w:rFonts w:hint="eastAsia" w:ascii="宋体" w:hAnsi="宋体" w:cs="宋体"/>
          <w:color w:val="000000"/>
          <w:lang w:val="zh-CN"/>
        </w:rPr>
      </w:pPr>
      <w:r>
        <w:rPr>
          <w:rFonts w:hint="eastAsia" w:ascii="宋体" w:hAnsi="宋体"/>
          <w:color w:val="000000"/>
        </w:rPr>
        <w:t>评标委员会认为应按无效投标处理的其他情况；</w:t>
      </w:r>
    </w:p>
    <w:p w14:paraId="2E7FFB0B">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法律、法规和招标文件规定的其他无效情形。</w:t>
      </w:r>
    </w:p>
    <w:p w14:paraId="4DE4AF9D">
      <w:pPr>
        <w:spacing w:line="360" w:lineRule="auto"/>
        <w:ind w:firstLine="480"/>
        <w:rPr>
          <w:rFonts w:hint="eastAsia" w:ascii="宋体" w:hAnsi="宋体" w:cs="宋体"/>
          <w:color w:val="000000"/>
        </w:rPr>
      </w:pPr>
      <w:r>
        <w:rPr>
          <w:rFonts w:hint="eastAsia" w:ascii="宋体" w:hAnsi="宋体" w:cs="宋体"/>
          <w:color w:val="000000"/>
        </w:rPr>
        <w:t>18.1.3 投标文件报价出现前后不一致的，按照下列规定修正：</w:t>
      </w:r>
    </w:p>
    <w:p w14:paraId="324D21B5">
      <w:pPr>
        <w:spacing w:line="360" w:lineRule="auto"/>
        <w:ind w:firstLine="480"/>
        <w:rPr>
          <w:rFonts w:hint="eastAsia" w:ascii="宋体" w:hAnsi="宋体" w:cs="宋体"/>
          <w:color w:val="000000"/>
        </w:rPr>
      </w:pPr>
      <w:r>
        <w:rPr>
          <w:rFonts w:hint="eastAsia" w:ascii="宋体" w:hAnsi="宋体" w:cs="宋体"/>
          <w:color w:val="000000"/>
        </w:rPr>
        <w:t>（1）投标文件中开标一览表（报价表）内容与投标文件中相应内容不一致的，以开标一览表（报价表）为准；</w:t>
      </w:r>
    </w:p>
    <w:p w14:paraId="7E6776B3">
      <w:pPr>
        <w:spacing w:line="360" w:lineRule="auto"/>
        <w:ind w:firstLine="480"/>
        <w:rPr>
          <w:rFonts w:hint="eastAsia" w:ascii="宋体" w:hAnsi="宋体" w:cs="宋体"/>
          <w:color w:val="000000"/>
        </w:rPr>
      </w:pPr>
      <w:r>
        <w:rPr>
          <w:rFonts w:hint="eastAsia" w:ascii="宋体" w:hAnsi="宋体" w:cs="宋体"/>
          <w:color w:val="000000"/>
        </w:rPr>
        <w:t>（2）大写金额和小写金额不一致的，以大写金额为准；</w:t>
      </w:r>
    </w:p>
    <w:p w14:paraId="65243AB9">
      <w:pPr>
        <w:spacing w:line="360" w:lineRule="auto"/>
        <w:ind w:firstLine="480"/>
        <w:rPr>
          <w:rFonts w:hint="eastAsia" w:ascii="宋体" w:hAnsi="宋体" w:cs="宋体"/>
          <w:color w:val="000000"/>
        </w:rPr>
      </w:pPr>
      <w:r>
        <w:rPr>
          <w:rFonts w:hint="eastAsia" w:ascii="宋体" w:hAnsi="宋体" w:cs="宋体"/>
          <w:color w:val="000000"/>
        </w:rPr>
        <w:t>（3）单价金额小数点或者百分比有明显错位的，以开标一览表的总价为准，并修改单价；</w:t>
      </w:r>
    </w:p>
    <w:p w14:paraId="4A70C655">
      <w:pPr>
        <w:spacing w:line="360" w:lineRule="auto"/>
        <w:ind w:firstLine="480"/>
        <w:rPr>
          <w:rFonts w:hint="eastAsia" w:ascii="宋体" w:hAnsi="宋体" w:cs="宋体"/>
          <w:color w:val="000000"/>
        </w:rPr>
      </w:pPr>
      <w:r>
        <w:rPr>
          <w:rFonts w:hint="eastAsia" w:ascii="宋体" w:hAnsi="宋体" w:cs="宋体"/>
          <w:color w:val="000000"/>
        </w:rPr>
        <w:t>（4）总价金额与按单价汇总金额不一致的，以单价金额计算结果为准。</w:t>
      </w:r>
    </w:p>
    <w:p w14:paraId="2F516CF6">
      <w:pPr>
        <w:spacing w:line="360" w:lineRule="auto"/>
        <w:ind w:firstLine="480"/>
        <w:rPr>
          <w:rFonts w:hint="eastAsia" w:ascii="宋体" w:hAnsi="宋体" w:cs="宋体"/>
          <w:color w:val="000000"/>
        </w:rPr>
      </w:pPr>
      <w:r>
        <w:rPr>
          <w:rFonts w:hint="eastAsia" w:ascii="宋体" w:hAnsi="宋体" w:cs="宋体"/>
          <w:color w:val="000000"/>
        </w:rPr>
        <w:t>同时出现两种以上不一致的，按照前款规定的顺序修正。修正后的报价按18.1.1第二款的规定经投标人确认后产生约束力。</w:t>
      </w:r>
    </w:p>
    <w:p w14:paraId="7FB9A11F">
      <w:pPr>
        <w:spacing w:line="360" w:lineRule="auto"/>
        <w:ind w:firstLine="480"/>
        <w:rPr>
          <w:rFonts w:hint="eastAsia" w:ascii="宋体" w:hAnsi="宋体" w:cs="宋体"/>
          <w:color w:val="000000"/>
          <w:lang w:val="zh-CN"/>
        </w:rPr>
      </w:pPr>
      <w:r>
        <w:rPr>
          <w:rFonts w:hint="eastAsia" w:ascii="宋体" w:hAnsi="宋体" w:cs="宋体"/>
          <w:color w:val="000000"/>
        </w:rPr>
        <w:t xml:space="preserve">18.2 </w:t>
      </w:r>
      <w:r>
        <w:rPr>
          <w:rFonts w:hint="eastAsia" w:ascii="宋体" w:hAnsi="宋体" w:cs="宋体"/>
          <w:color w:val="000000"/>
          <w:lang w:val="zh-CN"/>
        </w:rPr>
        <w:t>根据《政府采购促进中小企业发展管理办法》，第十一条 中小企业参加政府采购活动，应当出具本办法规定的《中小企业声明函》，否则不得享受相关中小企业扶持政策。属小型、微型企业制造的货物（产品），投标人须提供该制造（生产）企业出具的《中小企业声明函》、《从业人员声明函》，其划型标准严格按照国家工信部、国家统计局、国家发改委、财政部出台的《中小企业划型标准规定》（工信部联企业[2011]300号）执行。投标人提供的《中小企业声明函》、《从业人员声明函》资料必须真实，否则，按照有关规定予以处理。</w:t>
      </w:r>
    </w:p>
    <w:p w14:paraId="34412C6F">
      <w:pPr>
        <w:spacing w:line="360" w:lineRule="auto"/>
        <w:ind w:firstLine="480"/>
        <w:rPr>
          <w:rFonts w:hint="eastAsia" w:ascii="宋体" w:hAnsi="宋体" w:cs="宋体"/>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rPr>
        <w:t>18</w:t>
      </w:r>
      <w:r>
        <w:rPr>
          <w:rFonts w:hint="eastAsia" w:ascii="宋体" w:hAnsi="宋体" w:cs="宋体"/>
          <w:color w:val="00000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85BE693">
      <w:pPr>
        <w:spacing w:line="360" w:lineRule="auto"/>
        <w:ind w:firstLine="480"/>
        <w:rPr>
          <w:rFonts w:hint="eastAsia" w:ascii="宋体" w:hAnsi="宋体" w:cs="宋体"/>
          <w:color w:val="000000"/>
          <w:lang w:val="zh-CN"/>
        </w:rPr>
      </w:pPr>
      <w:r>
        <w:rPr>
          <w:rFonts w:hint="eastAsia" w:ascii="宋体" w:hAnsi="宋体" w:cs="宋体"/>
          <w:color w:val="000000"/>
        </w:rPr>
        <w:t xml:space="preserve">18.3 </w:t>
      </w:r>
      <w:r>
        <w:rPr>
          <w:rFonts w:hint="eastAsia" w:ascii="宋体" w:hAnsi="宋体" w:cs="宋体"/>
          <w:color w:val="00000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14:paraId="5F7A71CD">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14:paraId="6A5CF1A0">
      <w:pPr>
        <w:spacing w:line="360" w:lineRule="auto"/>
        <w:ind w:firstLine="480"/>
        <w:rPr>
          <w:rFonts w:hint="eastAsia" w:ascii="宋体" w:hAnsi="宋体" w:cs="宋体"/>
          <w:color w:val="000000"/>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将其作为无效投标处理。</w:t>
      </w:r>
    </w:p>
    <w:p w14:paraId="410795E8">
      <w:pPr>
        <w:pStyle w:val="234"/>
        <w:spacing w:before="0" w:after="0" w:line="360" w:lineRule="auto"/>
        <w:jc w:val="left"/>
        <w:rPr>
          <w:rFonts w:hint="eastAsia" w:ascii="宋体" w:hAnsi="宋体" w:cs="宋体"/>
          <w:color w:val="000000"/>
          <w:sz w:val="28"/>
          <w:szCs w:val="28"/>
          <w:lang w:val="zh-CN"/>
        </w:rPr>
      </w:pPr>
      <w:bookmarkStart w:id="35" w:name="_Toc6366"/>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14:paraId="574FA573">
      <w:pPr>
        <w:spacing w:line="360" w:lineRule="auto"/>
        <w:ind w:firstLine="480"/>
        <w:rPr>
          <w:rFonts w:hint="eastAsia" w:ascii="宋体" w:hAnsi="宋体" w:cs="宋体"/>
          <w:color w:val="000000"/>
          <w:lang w:val="zh-CN"/>
        </w:rPr>
      </w:pPr>
      <w:r>
        <w:rPr>
          <w:rFonts w:hint="eastAsia" w:ascii="宋体" w:hAnsi="宋体" w:cs="宋体"/>
          <w:color w:val="00000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4E65FE43">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14:paraId="13AAB70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14:paraId="3E662494">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14:paraId="5FE6FC4E">
      <w:pPr>
        <w:spacing w:line="360" w:lineRule="auto"/>
        <w:ind w:firstLine="480"/>
        <w:rPr>
          <w:rFonts w:hint="eastAsia" w:ascii="宋体" w:hAnsi="宋体"/>
        </w:rPr>
      </w:pPr>
      <w:r>
        <w:rPr>
          <w:rFonts w:hint="eastAsia" w:ascii="宋体" w:hAnsi="宋体"/>
        </w:rPr>
        <w:t>具体项目及评分细则：</w:t>
      </w:r>
    </w:p>
    <w:tbl>
      <w:tblPr>
        <w:tblStyle w:val="24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2"/>
        <w:gridCol w:w="898"/>
        <w:gridCol w:w="6164"/>
      </w:tblGrid>
      <w:tr w14:paraId="714B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32" w:type="dxa"/>
            <w:noWrap w:val="0"/>
            <w:vAlign w:val="center"/>
          </w:tcPr>
          <w:p w14:paraId="7832BD1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评标项目</w:t>
            </w:r>
          </w:p>
        </w:tc>
        <w:tc>
          <w:tcPr>
            <w:tcW w:w="898" w:type="dxa"/>
            <w:noWrap w:val="0"/>
            <w:vAlign w:val="center"/>
          </w:tcPr>
          <w:p w14:paraId="03B64D9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164" w:type="dxa"/>
            <w:noWrap w:val="0"/>
            <w:vAlign w:val="center"/>
          </w:tcPr>
          <w:p w14:paraId="3848770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评标办法描述</w:t>
            </w:r>
          </w:p>
        </w:tc>
      </w:tr>
      <w:tr w14:paraId="3813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732" w:type="dxa"/>
            <w:noWrap w:val="0"/>
            <w:vAlign w:val="center"/>
          </w:tcPr>
          <w:p w14:paraId="2D2D21B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898" w:type="dxa"/>
            <w:noWrap w:val="0"/>
            <w:vAlign w:val="center"/>
          </w:tcPr>
          <w:p w14:paraId="65A19B6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6164" w:type="dxa"/>
            <w:noWrap w:val="0"/>
            <w:vAlign w:val="center"/>
          </w:tcPr>
          <w:p w14:paraId="599214B9">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（1）货物项目的价格分值占总分值的比重不得低于30%</w:t>
            </w:r>
          </w:p>
          <w:p w14:paraId="1FF01235">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（2）价格分采用低价优先法计算，即满足磋商文件要求且投标价格最低的投标报价为评标基准价，其价格分为满分。其他投标人的价格分统一按照下列公式计算：投标报价得分=(评标基准价／投标报价)×100×30%</w:t>
            </w:r>
          </w:p>
          <w:p w14:paraId="7214BF62">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因落实政府采购政策进行价格调整的，以调整后的价格计算评标基准价和投标报价。残疾人福利性单位属于小型、微型企业的，不重复享受政策。（注：根据《政府采购促进中小企业发展暂管理办法》的相关规定，对小型和微型企业制造（生产）产品的价格给予10%的扣除，用扣除后的价格参与评审）</w:t>
            </w:r>
          </w:p>
        </w:tc>
      </w:tr>
      <w:tr w14:paraId="32C2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732" w:type="dxa"/>
            <w:noWrap w:val="0"/>
            <w:vAlign w:val="center"/>
          </w:tcPr>
          <w:p w14:paraId="480EB62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技术水平</w:t>
            </w:r>
          </w:p>
        </w:tc>
        <w:tc>
          <w:tcPr>
            <w:tcW w:w="898" w:type="dxa"/>
            <w:noWrap w:val="0"/>
            <w:vAlign w:val="center"/>
          </w:tcPr>
          <w:p w14:paraId="5EB06466">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6164" w:type="dxa"/>
            <w:noWrap w:val="0"/>
            <w:vAlign w:val="center"/>
          </w:tcPr>
          <w:p w14:paraId="1BEAE6EC">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（1）技术参数：技术参数和配置完全满足或高于招标文件要求的得40分，每有一项负偏离扣1分，扣完该项得分为止。</w:t>
            </w:r>
          </w:p>
          <w:p w14:paraId="11075DE8">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（2）节能和环保：所投产品为节能产品得0.5分，所投产品为环保产品得0.5分，满分1分，未提供不得分。该项得分的认定以《国家节能产品认证证书》、《中国环境标志产品认证证书》。</w:t>
            </w:r>
          </w:p>
          <w:p w14:paraId="04643E5A">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（3）产品有自主知识产权得1分。</w:t>
            </w:r>
          </w:p>
        </w:tc>
      </w:tr>
      <w:tr w14:paraId="2DD5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732" w:type="dxa"/>
            <w:noWrap w:val="0"/>
            <w:vAlign w:val="center"/>
          </w:tcPr>
          <w:p w14:paraId="4C7D1C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管理及实施 方案</w:t>
            </w:r>
          </w:p>
        </w:tc>
        <w:tc>
          <w:tcPr>
            <w:tcW w:w="898" w:type="dxa"/>
            <w:noWrap w:val="0"/>
            <w:vAlign w:val="center"/>
          </w:tcPr>
          <w:p w14:paraId="281B13BB">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164" w:type="dxa"/>
            <w:noWrap w:val="0"/>
            <w:vAlign w:val="center"/>
          </w:tcPr>
          <w:p w14:paraId="7391ADC0">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管理及实施方案：供应商根据本项目设置了项目管理机构，并具有科学、具体的项目管理措施，包括但不限于以下内容：①项目的实施计划及总体安排②项目进度保障措施③管理机构人员配备④突发事件处理措施等。</w:t>
            </w:r>
          </w:p>
          <w:p w14:paraId="02A8F94F">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以上4项内容完全符合本项目实际需求及项目情况的得8分，每缺失一项扣2分，每项中每有一处表述不清楚、针对性不强、逻辑不清晰的扣1分，扣完为止。</w:t>
            </w:r>
          </w:p>
        </w:tc>
      </w:tr>
      <w:tr w14:paraId="4ADD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732" w:type="dxa"/>
            <w:noWrap w:val="0"/>
            <w:vAlign w:val="center"/>
          </w:tcPr>
          <w:p w14:paraId="73247AA3">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898" w:type="dxa"/>
            <w:noWrap w:val="0"/>
            <w:vAlign w:val="center"/>
          </w:tcPr>
          <w:p w14:paraId="7B12688C">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164" w:type="dxa"/>
            <w:noWrap w:val="0"/>
            <w:vAlign w:val="center"/>
          </w:tcPr>
          <w:p w14:paraId="0941BEB6">
            <w:pPr>
              <w:pStyle w:val="233"/>
              <w:widowControl/>
              <w:spacing w:before="0" w:beforeAutospacing="0" w:after="0" w:afterAutospacing="0" w:line="240" w:lineRule="auto"/>
              <w:ind w:firstLine="0"/>
              <w:rPr>
                <w:rFonts w:hint="eastAsia" w:ascii="宋体" w:hAnsi="宋体" w:eastAsia="宋体" w:cs="宋体"/>
                <w:color w:val="000000"/>
                <w:sz w:val="24"/>
                <w:szCs w:val="24"/>
              </w:rPr>
            </w:pPr>
            <w:r>
              <w:rPr>
                <w:rFonts w:hint="eastAsia" w:ascii="宋体" w:hAnsi="宋体" w:eastAsia="宋体" w:cs="宋体"/>
                <w:bCs w:val="0"/>
                <w:iCs w:val="0"/>
                <w:sz w:val="24"/>
                <w:szCs w:val="24"/>
              </w:rPr>
              <w:t>类似业绩情况：</w:t>
            </w:r>
            <w:r>
              <w:rPr>
                <w:rFonts w:hint="eastAsia" w:ascii="宋体" w:hAnsi="宋体" w:eastAsia="宋体" w:cs="宋体"/>
                <w:bCs w:val="0"/>
                <w:iCs w:val="0"/>
                <w:sz w:val="24"/>
                <w:szCs w:val="24"/>
                <w:lang w:val="en-US" w:eastAsia="zh-CN"/>
              </w:rPr>
              <w:t>2021年至今</w:t>
            </w:r>
            <w:r>
              <w:rPr>
                <w:rFonts w:hint="eastAsia" w:ascii="宋体" w:hAnsi="宋体" w:eastAsia="宋体" w:cs="宋体"/>
                <w:bCs w:val="0"/>
                <w:iCs w:val="0"/>
                <w:sz w:val="24"/>
                <w:szCs w:val="24"/>
              </w:rPr>
              <w:t>投标人类似业绩证明材料。每提供1项得1分,满分5分；未提供的不得分</w:t>
            </w:r>
            <w:r>
              <w:rPr>
                <w:rFonts w:hint="eastAsia" w:ascii="宋体" w:hAnsi="宋体" w:cs="宋体"/>
                <w:bCs w:val="0"/>
                <w:iCs w:val="0"/>
                <w:sz w:val="24"/>
                <w:szCs w:val="24"/>
                <w:lang w:eastAsia="zh-CN"/>
              </w:rPr>
              <w:t>（提供合同复印件或扫描件）</w:t>
            </w:r>
            <w:r>
              <w:rPr>
                <w:rFonts w:hint="eastAsia" w:ascii="宋体" w:hAnsi="宋体" w:eastAsia="宋体" w:cs="宋体"/>
                <w:bCs w:val="0"/>
                <w:iCs w:val="0"/>
                <w:sz w:val="24"/>
                <w:szCs w:val="24"/>
              </w:rPr>
              <w:t>。</w:t>
            </w:r>
          </w:p>
        </w:tc>
      </w:tr>
      <w:tr w14:paraId="140D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732" w:type="dxa"/>
            <w:noWrap w:val="0"/>
            <w:vAlign w:val="center"/>
          </w:tcPr>
          <w:p w14:paraId="27F82DC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履约能力</w:t>
            </w:r>
          </w:p>
        </w:tc>
        <w:tc>
          <w:tcPr>
            <w:tcW w:w="898" w:type="dxa"/>
            <w:noWrap w:val="0"/>
            <w:vAlign w:val="center"/>
          </w:tcPr>
          <w:p w14:paraId="26F8FAB1">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164" w:type="dxa"/>
            <w:noWrap w:val="0"/>
            <w:vAlign w:val="center"/>
          </w:tcPr>
          <w:p w14:paraId="173D7DFB">
            <w:pPr>
              <w:spacing w:line="3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供货及配送方案评价：结合采购人需求及配送地点等因素制作的完备性、可操作性强的配送方案。1.</w:t>
            </w:r>
            <w:r>
              <w:rPr>
                <w:rFonts w:hint="eastAsia" w:ascii="宋体" w:hAnsi="宋体" w:eastAsia="宋体" w:cs="宋体"/>
                <w:color w:val="000000"/>
                <w:sz w:val="24"/>
                <w:szCs w:val="24"/>
                <w:lang w:val="zh-CN"/>
              </w:rPr>
              <w:t>配货</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分货</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送货</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协调</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保障</w:t>
            </w:r>
            <w:r>
              <w:rPr>
                <w:rFonts w:hint="eastAsia" w:ascii="宋体" w:hAnsi="宋体" w:eastAsia="宋体" w:cs="宋体"/>
                <w:color w:val="000000"/>
                <w:sz w:val="24"/>
                <w:szCs w:val="24"/>
              </w:rPr>
              <w:t>沟通</w:t>
            </w:r>
            <w:r>
              <w:rPr>
                <w:rFonts w:hint="eastAsia" w:ascii="宋体" w:hAnsi="宋体" w:eastAsia="宋体" w:cs="宋体"/>
                <w:color w:val="000000"/>
                <w:sz w:val="24"/>
                <w:szCs w:val="24"/>
                <w:lang w:val="zh-CN"/>
              </w:rPr>
              <w:t>；</w:t>
            </w:r>
          </w:p>
          <w:p w14:paraId="30151E8A">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以上5项内容完全符合本项目实际需求及项目情况的得5分，每缺失一项扣1分，每项中每有一处表述不清楚、针对性不强、逻辑不清晰的扣0.5分，扣完为止。</w:t>
            </w:r>
          </w:p>
        </w:tc>
      </w:tr>
      <w:tr w14:paraId="5189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4" w:hRule="atLeast"/>
        </w:trPr>
        <w:tc>
          <w:tcPr>
            <w:tcW w:w="1732" w:type="dxa"/>
            <w:noWrap w:val="0"/>
            <w:vAlign w:val="center"/>
          </w:tcPr>
          <w:p w14:paraId="1A77B84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tc>
        <w:tc>
          <w:tcPr>
            <w:tcW w:w="898" w:type="dxa"/>
            <w:noWrap w:val="0"/>
            <w:vAlign w:val="center"/>
          </w:tcPr>
          <w:p w14:paraId="39A54C79">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6164" w:type="dxa"/>
            <w:noWrap w:val="0"/>
            <w:vAlign w:val="center"/>
          </w:tcPr>
          <w:p w14:paraId="29BB9F3E">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供应商提供详细的售后服务方案进行评审，包括但不限于以下内容：①完整的售后服务内容及体系、②服务响应时间、③服务团队【须提供售后服务人员列表、服务网点地址、联系电话等】、④售后服务保障措施、⑤培训方案，以上5项内容完全符合本项目实际需求及项目情况的得10分，每缺失一项扣2分，每项中每有一处表述不清楚、针对性不强、逻辑不清晰的扣1分，扣完为止。</w:t>
            </w:r>
          </w:p>
        </w:tc>
      </w:tr>
    </w:tbl>
    <w:p w14:paraId="11B56B40">
      <w:pPr>
        <w:spacing w:line="360" w:lineRule="auto"/>
        <w:jc w:val="left"/>
        <w:rPr>
          <w:rFonts w:hint="eastAsia" w:ascii="宋体" w:hAnsi="Cambria" w:cs="宋体"/>
          <w:b/>
        </w:rPr>
      </w:pPr>
      <w:r>
        <w:rPr>
          <w:rFonts w:hint="eastAsia" w:ascii="宋体" w:hAnsi="Cambria" w:cs="宋体"/>
          <w:b/>
        </w:rPr>
        <w:t>注：各供应商的提交的响应文件中，应将上述涉及到的证明资料扫描件（或复印件）附在其中，并加盖公章</w:t>
      </w:r>
      <w:r>
        <w:rPr>
          <w:rFonts w:hint="eastAsia" w:ascii="宋体" w:hAnsi="Cambria" w:cs="宋体"/>
        </w:rPr>
        <w:t>。</w:t>
      </w:r>
    </w:p>
    <w:p w14:paraId="6D141D52">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535C0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71EA9D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4358E8A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219B394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4A9A532B">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7EEEC83A">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刚察县政府采购中心发现存在以上情形之一的，组织原评标委员会进行重新评审，重新评审改变评标结果的，书面报告本级财政部门。</w:t>
      </w:r>
    </w:p>
    <w:p w14:paraId="44896DD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投标人对以上情形提出质疑的，刚察县政府采购中心可以组织原评标委员会进行重新评审，重新评审改变评标结果的，书面报告本级财政部门。</w:t>
      </w:r>
    </w:p>
    <w:p w14:paraId="04294DAF">
      <w:pPr>
        <w:pStyle w:val="234"/>
        <w:spacing w:before="0" w:after="0" w:line="360" w:lineRule="auto"/>
        <w:rPr>
          <w:rFonts w:hint="eastAsia" w:ascii="宋体" w:hAnsi="宋体" w:cs="宋体"/>
          <w:color w:val="000000"/>
          <w:lang w:val="zh-CN"/>
        </w:rPr>
      </w:pPr>
      <w:bookmarkStart w:id="36" w:name="_Toc29329"/>
      <w:r>
        <w:rPr>
          <w:rFonts w:hint="eastAsia" w:ascii="宋体" w:hAnsi="宋体" w:cs="宋体"/>
          <w:color w:val="000000"/>
          <w:lang w:val="zh-CN"/>
        </w:rPr>
        <w:t>八、中标</w:t>
      </w:r>
      <w:bookmarkEnd w:id="36"/>
    </w:p>
    <w:p w14:paraId="04B5D463">
      <w:pPr>
        <w:pStyle w:val="234"/>
        <w:spacing w:before="0" w:after="0" w:line="360" w:lineRule="auto"/>
        <w:jc w:val="left"/>
        <w:rPr>
          <w:rFonts w:hint="eastAsia" w:ascii="宋体" w:hAnsi="宋体" w:cs="宋体"/>
          <w:color w:val="000000"/>
          <w:lang w:val="zh-CN"/>
        </w:rPr>
      </w:pPr>
      <w:bookmarkStart w:id="37" w:name="_Toc2625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14:paraId="1FD86020">
      <w:pPr>
        <w:spacing w:line="360" w:lineRule="auto"/>
        <w:ind w:firstLine="48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14:paraId="175EA899">
      <w:pPr>
        <w:spacing w:line="360" w:lineRule="auto"/>
        <w:ind w:firstLine="48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14:paraId="74669EEB">
      <w:pPr>
        <w:pStyle w:val="234"/>
        <w:spacing w:before="0" w:after="0" w:line="360" w:lineRule="auto"/>
        <w:jc w:val="left"/>
        <w:rPr>
          <w:rFonts w:hint="eastAsia" w:ascii="宋体" w:hAnsi="宋体" w:cs="宋体"/>
          <w:color w:val="000000"/>
          <w:lang w:val="zh-CN"/>
        </w:rPr>
      </w:pPr>
      <w:bookmarkStart w:id="38" w:name="_Toc5742"/>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14:paraId="14ACC1C7">
      <w:pPr>
        <w:spacing w:line="360" w:lineRule="auto"/>
        <w:ind w:firstLine="480"/>
        <w:rPr>
          <w:rFonts w:hint="eastAsia" w:ascii="宋体" w:hAnsi="宋体" w:cs="宋体"/>
          <w:color w:val="000000"/>
        </w:rPr>
      </w:pPr>
      <w:r>
        <w:rPr>
          <w:rFonts w:hint="eastAsia" w:ascii="宋体" w:hAnsi="宋体" w:cs="宋体"/>
          <w:color w:val="000000"/>
        </w:rPr>
        <w:t>21.1采购中心自中标人确定之日起2个工作日内，在省级以上财政部门指定的媒体上公告中标结果。</w:t>
      </w:r>
    </w:p>
    <w:p w14:paraId="7EBCC2C7">
      <w:pPr>
        <w:spacing w:line="360" w:lineRule="auto"/>
        <w:ind w:firstLine="480"/>
        <w:rPr>
          <w:rFonts w:hint="eastAsia" w:ascii="宋体" w:hAnsi="宋体" w:cs="宋体"/>
          <w:color w:val="000000"/>
        </w:rPr>
      </w:pPr>
      <w:r>
        <w:rPr>
          <w:rFonts w:hint="eastAsia" w:ascii="宋体" w:hAnsi="宋体" w:cs="宋体"/>
          <w:color w:val="000000"/>
        </w:rPr>
        <w:t>21.2 中标结果公告内容包括采购人及其委托的采购中心的名称、地址、联系方式，项目名称和项目编号，中标人名称、地址和中标金额，主要中标标的的名称、数量、单价、服务要求，中标公告期限以及评审专家名单。</w:t>
      </w:r>
    </w:p>
    <w:p w14:paraId="4221403B">
      <w:pPr>
        <w:spacing w:line="360" w:lineRule="auto"/>
        <w:ind w:firstLine="480"/>
        <w:rPr>
          <w:rFonts w:hint="eastAsia" w:ascii="宋体" w:hAnsi="宋体" w:cs="宋体"/>
          <w:color w:val="000000"/>
        </w:rPr>
      </w:pPr>
      <w:r>
        <w:rPr>
          <w:rFonts w:hint="eastAsia" w:ascii="宋体" w:hAnsi="宋体" w:cs="宋体"/>
          <w:color w:val="000000"/>
        </w:rPr>
        <w:t>21.3 中标公告期限为1个工作日。</w:t>
      </w:r>
    </w:p>
    <w:p w14:paraId="075D66E5">
      <w:pPr>
        <w:spacing w:line="360" w:lineRule="auto"/>
        <w:ind w:firstLine="480"/>
        <w:rPr>
          <w:rFonts w:hint="eastAsia" w:ascii="宋体" w:hAnsi="宋体" w:cs="宋体"/>
          <w:color w:val="000000"/>
        </w:rPr>
      </w:pPr>
      <w:r>
        <w:rPr>
          <w:rFonts w:hint="eastAsia" w:ascii="宋体" w:hAnsi="宋体" w:cs="宋体"/>
          <w:color w:val="00000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rPr>
        <w:t>向中标人发出中标通知书；对投标无效的投标人，刚察县政府采购中心告知其投标无效的原因；采用综合评分法评审的，还告知未中标人本人的评审得分与排序。</w:t>
      </w:r>
    </w:p>
    <w:p w14:paraId="0395B1E3">
      <w:pPr>
        <w:spacing w:line="360" w:lineRule="auto"/>
        <w:ind w:firstLine="480"/>
        <w:rPr>
          <w:rFonts w:hint="eastAsia" w:ascii="宋体" w:hAnsi="宋体" w:cs="宋体"/>
          <w:color w:val="000000"/>
        </w:rPr>
      </w:pPr>
      <w:r>
        <w:rPr>
          <w:rFonts w:hint="eastAsia" w:ascii="宋体" w:hAnsi="宋体" w:cs="宋体"/>
          <w:color w:val="000000"/>
        </w:rPr>
        <w:t>21.5 中标通知书发出后，采购人不得违法改变中标结果，中标人无正当理由不得放弃中标。</w:t>
      </w:r>
    </w:p>
    <w:p w14:paraId="70FDF7A2">
      <w:pPr>
        <w:pStyle w:val="234"/>
        <w:spacing w:before="0" w:after="0" w:line="360" w:lineRule="auto"/>
        <w:rPr>
          <w:rFonts w:hint="eastAsia" w:ascii="宋体" w:hAnsi="宋体" w:cs="宋体"/>
          <w:color w:val="000000"/>
          <w:lang w:val="zh-CN"/>
        </w:rPr>
      </w:pPr>
      <w:bookmarkStart w:id="39" w:name="_Toc30121"/>
      <w:r>
        <w:rPr>
          <w:rFonts w:hint="eastAsia" w:ascii="宋体" w:hAnsi="宋体" w:cs="宋体"/>
          <w:color w:val="000000"/>
          <w:lang w:val="zh-CN"/>
        </w:rPr>
        <w:br w:type="page"/>
      </w:r>
      <w:r>
        <w:rPr>
          <w:rFonts w:hint="eastAsia" w:ascii="宋体" w:hAnsi="宋体" w:cs="宋体"/>
          <w:color w:val="000000"/>
          <w:lang w:val="zh-CN"/>
        </w:rPr>
        <w:t>九、授予合同</w:t>
      </w:r>
      <w:bookmarkEnd w:id="39"/>
    </w:p>
    <w:p w14:paraId="3051211D">
      <w:pPr>
        <w:pStyle w:val="234"/>
        <w:spacing w:before="0" w:after="0" w:line="360" w:lineRule="auto"/>
        <w:jc w:val="left"/>
        <w:rPr>
          <w:rFonts w:hint="eastAsia" w:ascii="宋体" w:hAnsi="宋体" w:cs="宋体"/>
          <w:color w:val="000000"/>
          <w:sz w:val="24"/>
        </w:rPr>
      </w:pPr>
      <w:bookmarkStart w:id="40" w:name="_Toc519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14:paraId="56506CB5">
      <w:pPr>
        <w:spacing w:line="360" w:lineRule="auto"/>
        <w:ind w:firstLine="480"/>
        <w:rPr>
          <w:rFonts w:hint="eastAsia" w:ascii="宋体" w:hAnsi="宋体" w:cs="宋体"/>
          <w:color w:val="000000"/>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采购人自中标通知书发出之日起30日内，按照招标文件和中标人投标文件的规定，与中标人签订书面合同。所签订的合同不得对招标文件确定的事项和中标人投标文件作实质性修改。</w:t>
      </w:r>
    </w:p>
    <w:p w14:paraId="6A0F4B04">
      <w:pPr>
        <w:spacing w:line="360" w:lineRule="auto"/>
        <w:ind w:firstLine="480"/>
        <w:rPr>
          <w:rFonts w:hint="eastAsia" w:ascii="宋体" w:hAnsi="宋体" w:cs="宋体"/>
          <w:color w:val="000000"/>
        </w:rPr>
      </w:pPr>
      <w:r>
        <w:rPr>
          <w:rFonts w:hint="eastAsia" w:ascii="宋体" w:hAnsi="宋体" w:cs="宋体"/>
          <w:color w:val="000000"/>
        </w:rPr>
        <w:t>采购人不得向中标人提出任何不合理的要求作为签订合同的条件。</w:t>
      </w:r>
    </w:p>
    <w:p w14:paraId="2E34225D">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.2 签订合同时，可将中标人的投标保证金转为中标人的履约保证金或中标人以支票、汇票、本票等非现金形式向采购人指定的账户交纳履约保证金。履约保证金的数额由采购人确定，但不得超出采购合同总金额的10%。</w:t>
      </w:r>
    </w:p>
    <w:p w14:paraId="5D43A571">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中标人拒绝与采购人签订合同的</w:t>
      </w:r>
      <w:r>
        <w:rPr>
          <w:rFonts w:hint="eastAsia" w:ascii="宋体" w:hAnsi="宋体" w:cs="宋体"/>
          <w:color w:val="000000"/>
          <w:lang w:val="zh-CN"/>
        </w:rPr>
        <w:t>，采购人可以按照评标报告推荐的中标候选人名单排序，确定下一候选人为中标人，也可重新开展政府采购活动。</w:t>
      </w:r>
    </w:p>
    <w:p w14:paraId="40DB4D4B">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.4</w:t>
      </w:r>
      <w:r>
        <w:rPr>
          <w:rFonts w:hint="eastAsia" w:ascii="宋体" w:hAnsi="宋体" w:cs="宋体"/>
          <w:color w:val="000000"/>
          <w:lang w:bidi="ar"/>
        </w:rPr>
        <w:t xml:space="preserve"> </w:t>
      </w:r>
      <w:r>
        <w:rPr>
          <w:rFonts w:hint="eastAsia" w:ascii="宋体" w:hAnsi="宋体" w:cs="宋体"/>
          <w:color w:val="000000"/>
          <w:lang w:val="zh-CN"/>
        </w:rPr>
        <w:t>招标文件、中标人的投标文件、《中标通知书》及其澄清、说明文件、承诺等，均为签订采购合同的依据，作为采购合同的组成部分。</w:t>
      </w:r>
    </w:p>
    <w:p w14:paraId="0C0873F5">
      <w:pPr>
        <w:spacing w:line="360" w:lineRule="auto"/>
        <w:ind w:firstLine="480"/>
        <w:rPr>
          <w:rFonts w:hint="eastAsia" w:ascii="宋体" w:hAnsi="宋体" w:cs="宋体"/>
          <w:color w:val="000000"/>
        </w:rPr>
      </w:pPr>
      <w:r>
        <w:rPr>
          <w:rFonts w:hint="eastAsia" w:ascii="宋体" w:hAnsi="宋体" w:cs="宋体"/>
          <w:color w:val="000000"/>
        </w:rPr>
        <w:t xml:space="preserve">22.5 </w:t>
      </w:r>
      <w:r>
        <w:rPr>
          <w:rFonts w:hint="eastAsia" w:ascii="宋体" w:hAnsi="宋体" w:cs="宋体"/>
          <w:color w:val="000000"/>
          <w:lang w:val="zh-CN"/>
        </w:rPr>
        <w:t>采购合同签订之日起</w:t>
      </w:r>
      <w:r>
        <w:rPr>
          <w:rFonts w:hint="eastAsia" w:ascii="宋体" w:hAnsi="宋体" w:cs="宋体"/>
          <w:color w:val="000000"/>
        </w:rPr>
        <w:t>2</w:t>
      </w:r>
      <w:r>
        <w:rPr>
          <w:rFonts w:hint="eastAsia" w:ascii="宋体" w:hAnsi="宋体" w:cs="宋体"/>
          <w:color w:val="000000"/>
          <w:lang w:val="zh-CN"/>
        </w:rPr>
        <w:t>个工作日内，由采购人将采购合同在青海政府采购网上公告，但采购合同中涉及国家秘密、商业秘密的内容除外。</w:t>
      </w:r>
    </w:p>
    <w:p w14:paraId="2C110E5F">
      <w:pPr>
        <w:spacing w:line="360" w:lineRule="auto"/>
        <w:ind w:firstLine="480"/>
        <w:rPr>
          <w:rFonts w:hint="eastAsia" w:ascii="宋体" w:hAnsi="宋体" w:cs="宋体"/>
          <w:color w:val="000000"/>
        </w:rPr>
      </w:pPr>
      <w:r>
        <w:rPr>
          <w:rFonts w:hint="eastAsia" w:ascii="宋体" w:hAnsi="宋体" w:cs="宋体"/>
          <w:color w:val="000000"/>
        </w:rPr>
        <w:t>22.6 采购人与中标人根据合同的约定依法履行合同义务。政府采购合同的履行、违约责任和解决争议的方法等适用《中华人民共和国民法典》。</w:t>
      </w:r>
    </w:p>
    <w:p w14:paraId="2C9D1F76">
      <w:pPr>
        <w:spacing w:line="360" w:lineRule="auto"/>
        <w:ind w:firstLine="480"/>
        <w:rPr>
          <w:rFonts w:ascii="宋体" w:hAnsi="宋体" w:cs="宋体"/>
          <w:color w:val="000000"/>
        </w:rPr>
      </w:pPr>
      <w:r>
        <w:rPr>
          <w:rFonts w:hint="eastAsia" w:ascii="宋体" w:hAnsi="宋体" w:cs="宋体"/>
          <w:color w:val="000000"/>
        </w:rPr>
        <w:t>22.7</w:t>
      </w:r>
      <w:r>
        <w:rPr>
          <w:rFonts w:hint="eastAsia"/>
          <w:color w:val="000000"/>
        </w:rPr>
        <w:t>采购中心按照政府采购合同规定的技术、服务、安全标准组织对供应商履约情况进行验收，并出具验收书。验收书包括每一项技术、服务、安全标准的履约情况。</w:t>
      </w:r>
    </w:p>
    <w:p w14:paraId="55684A7F">
      <w:pPr>
        <w:spacing w:line="360" w:lineRule="auto"/>
        <w:ind w:firstLine="480"/>
        <w:rPr>
          <w:rFonts w:hint="eastAsia" w:ascii="宋体" w:hAnsi="宋体" w:cs="宋体"/>
          <w:color w:val="000000"/>
        </w:rPr>
      </w:pPr>
      <w:r>
        <w:rPr>
          <w:rFonts w:hint="eastAsia" w:ascii="宋体" w:hAnsi="宋体" w:cs="宋体"/>
          <w:color w:val="000000"/>
        </w:rPr>
        <w:t>22.8</w:t>
      </w:r>
      <w:r>
        <w:rPr>
          <w:rFonts w:ascii="宋体" w:hAnsi="宋体" w:cs="宋体"/>
          <w:color w:val="000000"/>
        </w:rPr>
        <w:t xml:space="preserve"> </w:t>
      </w:r>
      <w:r>
        <w:rPr>
          <w:rFonts w:hint="eastAsia" w:ascii="宋体" w:hAnsi="宋体" w:cs="宋体"/>
          <w:color w:val="000000"/>
        </w:rPr>
        <w:t>采购人可以邀请参加本项目的其他投标人或者第三方机构参与验收。参与验收的投标人或者第三方机构的意见作为验收书的参考资料一并存档。</w:t>
      </w:r>
    </w:p>
    <w:p w14:paraId="6C515584">
      <w:pPr>
        <w:spacing w:line="360" w:lineRule="auto"/>
        <w:ind w:firstLine="480"/>
        <w:rPr>
          <w:rFonts w:hint="eastAsia" w:ascii="宋体" w:hAnsi="宋体" w:cs="宋体"/>
          <w:color w:val="000000"/>
        </w:rPr>
      </w:pPr>
      <w:r>
        <w:rPr>
          <w:rFonts w:hint="eastAsia" w:ascii="宋体" w:hAnsi="宋体" w:cs="宋体"/>
          <w:color w:val="000000"/>
        </w:rPr>
        <w:t>22.9</w:t>
      </w:r>
      <w:r>
        <w:rPr>
          <w:rFonts w:ascii="宋体" w:hAnsi="宋体" w:cs="宋体"/>
          <w:color w:val="000000"/>
        </w:rPr>
        <w:t xml:space="preserve"> </w:t>
      </w:r>
      <w:r>
        <w:rPr>
          <w:rFonts w:hint="eastAsia" w:ascii="宋体" w:hAnsi="宋体" w:cs="宋体"/>
          <w:color w:val="000000"/>
        </w:rPr>
        <w:t>采购人加强对中标人的履约管理，并按照采购合同约定，及时向中标人支付采购资金。对于中标人违反采购合同约定的行为，采购人及时处理，依法追究其违约责任。</w:t>
      </w:r>
    </w:p>
    <w:p w14:paraId="216DCF13">
      <w:pPr>
        <w:spacing w:line="360" w:lineRule="auto"/>
        <w:ind w:firstLine="480"/>
        <w:rPr>
          <w:rFonts w:hint="eastAsia" w:ascii="宋体" w:hAnsi="宋体" w:cs="宋体"/>
          <w:color w:val="000000"/>
        </w:rPr>
      </w:pPr>
      <w:r>
        <w:rPr>
          <w:rFonts w:hint="eastAsia" w:ascii="宋体" w:hAnsi="宋体" w:cs="宋体"/>
          <w:color w:val="000000"/>
        </w:rPr>
        <w:t>22.10 采购人、采购中心建立真实完整的招标采购档案，妥善保存每项采购活动的采购文件。</w:t>
      </w:r>
    </w:p>
    <w:p w14:paraId="1C180452">
      <w:pPr>
        <w:pStyle w:val="234"/>
        <w:spacing w:before="0" w:after="0" w:line="360" w:lineRule="auto"/>
        <w:rPr>
          <w:rFonts w:hint="eastAsia" w:ascii="宋体" w:hAnsi="宋体" w:cs="宋体"/>
          <w:color w:val="000000"/>
          <w:lang w:val="zh-CN"/>
        </w:rPr>
      </w:pPr>
    </w:p>
    <w:p w14:paraId="3F3208D4">
      <w:pPr>
        <w:pStyle w:val="234"/>
        <w:spacing w:before="0" w:after="0" w:line="360" w:lineRule="auto"/>
        <w:rPr>
          <w:rFonts w:hint="eastAsia" w:ascii="宋体" w:hAnsi="宋体" w:cs="宋体"/>
          <w:color w:val="000000"/>
          <w:lang w:val="zh-CN"/>
        </w:rPr>
      </w:pPr>
      <w:bookmarkStart w:id="41" w:name="_Toc10599"/>
      <w:r>
        <w:rPr>
          <w:rFonts w:hint="eastAsia" w:ascii="宋体" w:hAnsi="宋体" w:cs="宋体"/>
          <w:color w:val="000000"/>
          <w:lang w:val="zh-CN"/>
        </w:rPr>
        <w:t>十、其他</w:t>
      </w:r>
      <w:bookmarkEnd w:id="41"/>
    </w:p>
    <w:p w14:paraId="3166D006">
      <w:pPr>
        <w:pStyle w:val="234"/>
        <w:spacing w:before="0" w:after="0" w:line="360" w:lineRule="auto"/>
        <w:jc w:val="left"/>
        <w:rPr>
          <w:rFonts w:ascii="宋体" w:hAnsi="宋体" w:cs="宋体"/>
          <w:color w:val="000000"/>
          <w:sz w:val="28"/>
          <w:szCs w:val="28"/>
        </w:rPr>
      </w:pPr>
      <w:bookmarkStart w:id="42" w:name="_Toc25921"/>
      <w:r>
        <w:rPr>
          <w:rFonts w:hint="eastAsia" w:ascii="宋体" w:hAnsi="宋体" w:cs="宋体"/>
          <w:color w:val="000000"/>
          <w:sz w:val="28"/>
          <w:szCs w:val="28"/>
        </w:rPr>
        <w:t>23. 串通投标的情形</w:t>
      </w:r>
      <w:bookmarkEnd w:id="42"/>
    </w:p>
    <w:p w14:paraId="01D99EA6">
      <w:pPr>
        <w:spacing w:line="360" w:lineRule="auto"/>
        <w:ind w:firstLine="480"/>
        <w:rPr>
          <w:rFonts w:ascii="宋体" w:hAnsi="宋体" w:cs="宋体"/>
          <w:color w:val="000000"/>
        </w:rPr>
      </w:pPr>
      <w:r>
        <w:rPr>
          <w:rFonts w:hint="eastAsia" w:ascii="宋体" w:hAnsi="宋体" w:cs="宋体"/>
          <w:color w:val="00000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14:paraId="1BE4FB4C">
      <w:pPr>
        <w:spacing w:line="360" w:lineRule="auto"/>
        <w:ind w:firstLine="480"/>
        <w:rPr>
          <w:rFonts w:hint="eastAsia" w:ascii="宋体" w:hAnsi="宋体" w:cs="宋体"/>
          <w:color w:val="000000"/>
        </w:rPr>
      </w:pPr>
      <w:r>
        <w:rPr>
          <w:rFonts w:hint="eastAsia" w:ascii="宋体" w:hAnsi="宋体" w:cs="宋体"/>
          <w:color w:val="000000"/>
        </w:rPr>
        <w:t>23.2</w:t>
      </w:r>
      <w:r>
        <w:rPr>
          <w:rFonts w:ascii="宋体" w:hAnsi="宋体" w:cs="宋体"/>
          <w:color w:val="000000"/>
        </w:rPr>
        <w:t xml:space="preserve"> </w:t>
      </w:r>
      <w:r>
        <w:rPr>
          <w:rFonts w:hint="eastAsia" w:ascii="宋体" w:hAnsi="宋体" w:cs="宋体"/>
          <w:color w:val="000000"/>
        </w:rPr>
        <w:t>有下列情形之一的，视为投标人串通投标，其投标无效：</w:t>
      </w:r>
    </w:p>
    <w:p w14:paraId="25278B58">
      <w:pPr>
        <w:spacing w:line="360" w:lineRule="auto"/>
        <w:ind w:firstLine="480"/>
        <w:rPr>
          <w:rFonts w:hint="eastAsia" w:ascii="宋体" w:hAnsi="宋体" w:cs="宋体"/>
          <w:color w:val="000000"/>
        </w:rPr>
      </w:pPr>
      <w:r>
        <w:rPr>
          <w:rFonts w:hint="eastAsia" w:ascii="宋体" w:hAnsi="宋体" w:cs="宋体"/>
          <w:color w:val="000000"/>
        </w:rPr>
        <w:t>（1）不同投标人的投标文件由同一单位或者个人编制；</w:t>
      </w:r>
    </w:p>
    <w:p w14:paraId="0CC7FB17">
      <w:pPr>
        <w:spacing w:line="360" w:lineRule="auto"/>
        <w:ind w:firstLine="480"/>
        <w:rPr>
          <w:rFonts w:hint="eastAsia" w:ascii="宋体" w:hAnsi="宋体" w:cs="宋体"/>
          <w:color w:val="000000"/>
        </w:rPr>
      </w:pPr>
      <w:r>
        <w:rPr>
          <w:rFonts w:hint="eastAsia" w:ascii="宋体" w:hAnsi="宋体" w:cs="宋体"/>
          <w:color w:val="000000"/>
        </w:rPr>
        <w:t>（2）不同投标人委托同一单位或者个人办理投标事宜；</w:t>
      </w:r>
    </w:p>
    <w:p w14:paraId="5DB73142">
      <w:pPr>
        <w:spacing w:line="360" w:lineRule="auto"/>
        <w:ind w:firstLine="480"/>
        <w:rPr>
          <w:rFonts w:hint="eastAsia" w:ascii="宋体" w:hAnsi="宋体" w:cs="宋体"/>
          <w:color w:val="000000"/>
        </w:rPr>
      </w:pPr>
      <w:r>
        <w:rPr>
          <w:rFonts w:hint="eastAsia" w:ascii="宋体" w:hAnsi="宋体" w:cs="宋体"/>
          <w:color w:val="000000"/>
        </w:rPr>
        <w:t>（3）不同投标人的投标文件载明的项目管理成员或者联系人员为同一人；</w:t>
      </w:r>
    </w:p>
    <w:p w14:paraId="2DA74652">
      <w:pPr>
        <w:spacing w:line="360" w:lineRule="auto"/>
        <w:ind w:firstLine="480"/>
        <w:rPr>
          <w:rFonts w:hint="eastAsia" w:ascii="宋体" w:hAnsi="宋体" w:cs="宋体"/>
          <w:color w:val="000000"/>
        </w:rPr>
      </w:pPr>
      <w:r>
        <w:rPr>
          <w:rFonts w:hint="eastAsia" w:ascii="宋体" w:hAnsi="宋体" w:cs="宋体"/>
          <w:color w:val="000000"/>
        </w:rPr>
        <w:t>（4）不同投标人的投标文件异常一致或者投标报价呈规律性差异；</w:t>
      </w:r>
    </w:p>
    <w:p w14:paraId="13496412">
      <w:pPr>
        <w:spacing w:line="360" w:lineRule="auto"/>
        <w:ind w:firstLine="480"/>
        <w:rPr>
          <w:rFonts w:ascii="宋体" w:hAnsi="宋体" w:cs="宋体"/>
          <w:color w:val="000000"/>
        </w:rPr>
      </w:pPr>
      <w:r>
        <w:rPr>
          <w:rFonts w:hint="eastAsia" w:ascii="宋体" w:hAnsi="宋体" w:cs="宋体"/>
          <w:color w:val="000000"/>
        </w:rPr>
        <w:t>（5）不同投标人的投标文件相互混装；</w:t>
      </w:r>
    </w:p>
    <w:p w14:paraId="3F65A66F">
      <w:pPr>
        <w:spacing w:line="360" w:lineRule="auto"/>
        <w:ind w:firstLine="480"/>
        <w:rPr>
          <w:rFonts w:hint="eastAsia" w:ascii="宋体" w:hAnsi="宋体" w:cs="宋体"/>
          <w:color w:val="000000"/>
        </w:rPr>
      </w:pPr>
      <w:r>
        <w:rPr>
          <w:rFonts w:hint="eastAsia" w:ascii="宋体" w:hAnsi="宋体" w:cs="宋体"/>
          <w:color w:val="000000"/>
        </w:rPr>
        <w:t>（6）不同投标人的投标保证金从同一单位或者个人的账户转出。</w:t>
      </w:r>
    </w:p>
    <w:p w14:paraId="5B95CB97">
      <w:pPr>
        <w:pStyle w:val="234"/>
        <w:spacing w:before="0" w:after="0" w:line="360" w:lineRule="auto"/>
        <w:jc w:val="left"/>
        <w:rPr>
          <w:rFonts w:ascii="宋体" w:hAnsi="宋体" w:cs="宋体"/>
          <w:color w:val="000000"/>
          <w:sz w:val="28"/>
          <w:szCs w:val="28"/>
        </w:rPr>
      </w:pPr>
      <w:bookmarkStart w:id="43" w:name="_Toc5503"/>
      <w:r>
        <w:rPr>
          <w:rFonts w:hint="eastAsia" w:ascii="宋体" w:hAnsi="宋体" w:cs="宋体"/>
          <w:color w:val="000000"/>
          <w:sz w:val="28"/>
          <w:szCs w:val="28"/>
        </w:rPr>
        <w:t>24. 废标</w:t>
      </w:r>
      <w:bookmarkEnd w:id="43"/>
    </w:p>
    <w:p w14:paraId="641E9A2C">
      <w:pPr>
        <w:spacing w:line="360" w:lineRule="auto"/>
        <w:ind w:firstLine="480"/>
        <w:rPr>
          <w:rFonts w:hint="eastAsia" w:ascii="宋体" w:hAnsi="宋体" w:cs="宋体"/>
          <w:color w:val="000000"/>
        </w:rPr>
      </w:pPr>
      <w:r>
        <w:rPr>
          <w:rFonts w:hint="eastAsia" w:ascii="宋体" w:hAnsi="宋体" w:cs="宋体"/>
          <w:color w:val="000000"/>
        </w:rPr>
        <w:t>24.1</w:t>
      </w:r>
      <w:r>
        <w:rPr>
          <w:rFonts w:ascii="宋体" w:hAnsi="宋体" w:cs="宋体"/>
          <w:color w:val="000000"/>
        </w:rPr>
        <w:t xml:space="preserve"> </w:t>
      </w:r>
      <w:r>
        <w:rPr>
          <w:rFonts w:hint="eastAsia" w:ascii="宋体" w:hAnsi="宋体" w:cs="宋体"/>
          <w:color w:val="000000"/>
        </w:rPr>
        <w:t>在招标采购中，出现下列情形之一的，应予废标：</w:t>
      </w:r>
    </w:p>
    <w:p w14:paraId="08F912F6">
      <w:pPr>
        <w:spacing w:line="360" w:lineRule="auto"/>
        <w:ind w:firstLine="480"/>
        <w:rPr>
          <w:rFonts w:hint="eastAsia" w:ascii="宋体" w:hAnsi="宋体" w:cs="宋体"/>
          <w:color w:val="000000"/>
        </w:rPr>
      </w:pPr>
      <w:r>
        <w:rPr>
          <w:rFonts w:hint="eastAsia" w:ascii="宋体" w:hAnsi="宋体" w:cs="宋体"/>
          <w:color w:val="000000"/>
        </w:rPr>
        <w:t>（1）符合专业条件的投标人或者对招标文件作实质性响应的投标人不足三家的。</w:t>
      </w:r>
    </w:p>
    <w:p w14:paraId="098678BD">
      <w:pPr>
        <w:spacing w:line="360" w:lineRule="auto"/>
        <w:ind w:firstLine="480"/>
        <w:rPr>
          <w:rFonts w:hint="eastAsia" w:ascii="宋体" w:hAnsi="宋体" w:cs="宋体"/>
          <w:color w:val="000000"/>
        </w:rPr>
      </w:pPr>
      <w:r>
        <w:rPr>
          <w:rFonts w:hint="eastAsia" w:ascii="宋体" w:hAnsi="宋体" w:cs="宋体"/>
          <w:color w:val="000000"/>
        </w:rPr>
        <w:t>（2）出现影响采购公正的违法、违规行为的。</w:t>
      </w:r>
    </w:p>
    <w:p w14:paraId="15EF46CF">
      <w:pPr>
        <w:spacing w:line="360" w:lineRule="auto"/>
        <w:ind w:firstLine="480"/>
        <w:rPr>
          <w:rFonts w:hint="eastAsia" w:ascii="宋体" w:hAnsi="宋体" w:cs="宋体"/>
          <w:color w:val="000000"/>
        </w:rPr>
      </w:pPr>
      <w:r>
        <w:rPr>
          <w:rFonts w:hint="eastAsia" w:ascii="宋体" w:hAnsi="宋体" w:cs="宋体"/>
          <w:color w:val="000000"/>
        </w:rPr>
        <w:t>（3）投标人的报价均超出采购预算，采购人不能支付的。</w:t>
      </w:r>
    </w:p>
    <w:p w14:paraId="2C6CD222">
      <w:pPr>
        <w:spacing w:line="360" w:lineRule="auto"/>
        <w:ind w:firstLine="480"/>
        <w:rPr>
          <w:rFonts w:hint="eastAsia" w:ascii="宋体" w:hAnsi="宋体" w:cs="宋体"/>
          <w:color w:val="000000"/>
        </w:rPr>
      </w:pPr>
      <w:r>
        <w:rPr>
          <w:rFonts w:hint="eastAsia" w:ascii="宋体" w:hAnsi="宋体" w:cs="宋体"/>
          <w:color w:val="000000"/>
        </w:rPr>
        <w:t>（4）因重大变故，采购任务取消的。</w:t>
      </w:r>
    </w:p>
    <w:p w14:paraId="3D5B2DBF">
      <w:pPr>
        <w:spacing w:line="360" w:lineRule="auto"/>
        <w:ind w:firstLine="480"/>
        <w:rPr>
          <w:rFonts w:ascii="宋体" w:hAnsi="宋体" w:cs="宋体"/>
          <w:color w:val="000000"/>
        </w:rPr>
      </w:pPr>
      <w:r>
        <w:rPr>
          <w:rFonts w:hint="eastAsia" w:ascii="宋体" w:hAnsi="宋体" w:cs="宋体"/>
          <w:color w:val="000000"/>
        </w:rPr>
        <w:t>废标后，由刚察县政府采购中心发布废标公告。</w:t>
      </w:r>
    </w:p>
    <w:p w14:paraId="4365F33A">
      <w:pPr>
        <w:spacing w:line="360" w:lineRule="auto"/>
        <w:ind w:firstLine="480"/>
        <w:rPr>
          <w:rFonts w:hint="eastAsia" w:ascii="宋体" w:hAnsi="宋体" w:cs="宋体"/>
          <w:color w:val="000000"/>
        </w:rPr>
      </w:pPr>
      <w:r>
        <w:rPr>
          <w:rFonts w:ascii="宋体" w:hAnsi="宋体" w:cs="宋体"/>
          <w:color w:val="000000"/>
        </w:rPr>
        <w:t>2</w:t>
      </w:r>
      <w:r>
        <w:rPr>
          <w:rFonts w:hint="eastAsia" w:ascii="宋体" w:hAnsi="宋体" w:cs="宋体"/>
          <w:color w:val="000000"/>
        </w:rPr>
        <w:t>4</w:t>
      </w:r>
      <w:r>
        <w:rPr>
          <w:rFonts w:ascii="宋体" w:hAnsi="宋体" w:cs="宋体"/>
          <w:color w:val="000000"/>
        </w:rPr>
        <w:t xml:space="preserve">.2 </w:t>
      </w:r>
      <w:r>
        <w:rPr>
          <w:rFonts w:hint="eastAsia" w:ascii="宋体" w:hAnsi="宋体" w:cs="宋体"/>
          <w:color w:val="000000"/>
        </w:rPr>
        <w:t>公开招标数额标准以上的采购项目，投标截止后投标人不足3家或者通过资格审查或符合性审查的投标人不足3家的，除采购任务取消情形外，按照以下方式处理：</w:t>
      </w:r>
    </w:p>
    <w:p w14:paraId="0BEEA386">
      <w:pPr>
        <w:spacing w:line="360" w:lineRule="auto"/>
        <w:ind w:firstLine="480"/>
        <w:rPr>
          <w:rFonts w:hint="eastAsia" w:ascii="宋体" w:hAnsi="宋体" w:cs="宋体"/>
          <w:color w:val="000000"/>
        </w:rPr>
      </w:pPr>
      <w:r>
        <w:rPr>
          <w:rFonts w:hint="eastAsia" w:ascii="宋体" w:hAnsi="宋体" w:cs="宋体"/>
          <w:color w:val="000000"/>
        </w:rPr>
        <w:t>（1）招标文件存在不合理条款或者招标程序不符合规定的，采购人、采购中心改正后依法重新招标；</w:t>
      </w:r>
    </w:p>
    <w:p w14:paraId="2296897C">
      <w:pPr>
        <w:spacing w:line="360" w:lineRule="auto"/>
        <w:ind w:firstLine="480"/>
        <w:rPr>
          <w:rFonts w:ascii="宋体" w:hAnsi="宋体" w:cs="宋体"/>
          <w:color w:val="000000"/>
        </w:rPr>
      </w:pPr>
      <w:r>
        <w:rPr>
          <w:rFonts w:hint="eastAsia" w:ascii="宋体" w:hAnsi="宋体" w:cs="宋体"/>
          <w:color w:val="000000"/>
        </w:rPr>
        <w:t>（2）招标文件没有不合理条款、招标程序符合规定，需要采用其他采购方式采购的，采购人依法报财政部门批准。</w:t>
      </w:r>
    </w:p>
    <w:p w14:paraId="4AAD779A">
      <w:pPr>
        <w:spacing w:line="360" w:lineRule="auto"/>
        <w:ind w:firstLine="480"/>
        <w:jc w:val="left"/>
        <w:rPr>
          <w:rFonts w:hint="eastAsia" w:ascii="宋体" w:hAnsi="宋体" w:cs="宋体"/>
          <w:color w:val="000000"/>
          <w:spacing w:val="-20"/>
          <w:sz w:val="24"/>
        </w:rPr>
      </w:pPr>
      <w:r>
        <w:rPr>
          <w:rFonts w:hint="eastAsia" w:ascii="宋体" w:hAnsi="宋体" w:cs="宋体"/>
          <w:color w:val="000000"/>
          <w:spacing w:val="-20"/>
          <w:sz w:val="24"/>
          <w:lang w:val="zh-CN"/>
        </w:rPr>
        <w:t>其他未尽事宜，按照《中华人民共和国政府采购法》、《中华人民共和国政府采购法实施条例》、《中华人民共和国</w:t>
      </w:r>
      <w:r>
        <w:rPr>
          <w:rFonts w:hint="eastAsia" w:ascii="宋体" w:hAnsi="宋体" w:cs="宋体"/>
          <w:color w:val="000000"/>
          <w:spacing w:val="-20"/>
          <w:sz w:val="24"/>
        </w:rPr>
        <w:t>民法典</w:t>
      </w:r>
      <w:r>
        <w:rPr>
          <w:rFonts w:hint="eastAsia" w:ascii="宋体" w:hAnsi="宋体" w:cs="宋体"/>
          <w:color w:val="000000"/>
          <w:spacing w:val="-20"/>
          <w:sz w:val="24"/>
          <w:lang w:val="zh-CN"/>
        </w:rPr>
        <w:t>》等法律法规的有关条款执行。</w:t>
      </w:r>
    </w:p>
    <w:p w14:paraId="5A21ACCE">
      <w:pPr>
        <w:pStyle w:val="234"/>
        <w:spacing w:before="0" w:after="0" w:line="360" w:lineRule="auto"/>
        <w:rPr>
          <w:color w:val="000000"/>
          <w:sz w:val="32"/>
        </w:rPr>
      </w:pPr>
      <w:r>
        <w:rPr>
          <w:rFonts w:hint="eastAsia" w:ascii="宋体" w:hAnsi="宋体" w:cs="宋体"/>
          <w:color w:val="000000"/>
          <w:szCs w:val="36"/>
          <w:lang w:val="zh-CN"/>
        </w:rPr>
        <w:br w:type="page" w:clear="all"/>
      </w:r>
      <w:bookmarkStart w:id="44" w:name="_Toc641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刚察县政府采购项目合同书范本</w:t>
      </w:r>
      <w:bookmarkEnd w:id="44"/>
    </w:p>
    <w:p w14:paraId="4BF65E89">
      <w:pPr>
        <w:spacing w:after="120" w:line="560" w:lineRule="exact"/>
        <w:jc w:val="center"/>
        <w:rPr>
          <w:rFonts w:ascii="宋体" w:hAnsi="宋体"/>
          <w:b/>
          <w:bCs/>
          <w:color w:val="000000"/>
          <w:sz w:val="36"/>
          <w:szCs w:val="36"/>
        </w:rPr>
      </w:pPr>
    </w:p>
    <w:p w14:paraId="74113689">
      <w:pPr>
        <w:spacing w:line="560" w:lineRule="exact"/>
        <w:rPr>
          <w:rFonts w:ascii="宋体"/>
          <w:color w:val="000000"/>
        </w:rPr>
      </w:pPr>
    </w:p>
    <w:p w14:paraId="381C044C">
      <w:pPr>
        <w:spacing w:line="560" w:lineRule="exact"/>
        <w:rPr>
          <w:rFonts w:ascii="宋体"/>
          <w:color w:val="000000"/>
        </w:rPr>
      </w:pPr>
    </w:p>
    <w:p w14:paraId="7FA5BE35">
      <w:pPr>
        <w:spacing w:line="560" w:lineRule="exact"/>
        <w:rPr>
          <w:rFonts w:ascii="宋体"/>
          <w:color w:val="000000"/>
        </w:rPr>
      </w:pPr>
    </w:p>
    <w:p w14:paraId="062ADC4D">
      <w:pPr>
        <w:spacing w:line="560" w:lineRule="exact"/>
        <w:rPr>
          <w:rFonts w:ascii="宋体" w:hAnsi="宋体"/>
          <w:b/>
          <w:bCs/>
          <w:color w:val="000000"/>
          <w:sz w:val="48"/>
          <w:szCs w:val="48"/>
        </w:rPr>
      </w:pPr>
    </w:p>
    <w:p w14:paraId="172AA9B0">
      <w:pPr>
        <w:pStyle w:val="185"/>
        <w:ind w:firstLine="964"/>
        <w:jc w:val="left"/>
        <w:rPr>
          <w:sz w:val="48"/>
          <w:szCs w:val="48"/>
        </w:rPr>
      </w:pPr>
      <w:bookmarkStart w:id="45" w:name="_Toc23610"/>
      <w:bookmarkStart w:id="46" w:name="_Toc21093"/>
      <w:bookmarkStart w:id="47" w:name="_Toc3367909"/>
      <w:r>
        <w:rPr>
          <w:rFonts w:hint="eastAsia"/>
          <w:sz w:val="48"/>
          <w:szCs w:val="48"/>
        </w:rPr>
        <w:t>刚察县政府采购项目合同书</w:t>
      </w:r>
      <w:bookmarkEnd w:id="45"/>
      <w:bookmarkEnd w:id="46"/>
      <w:bookmarkEnd w:id="47"/>
    </w:p>
    <w:p w14:paraId="74D2724C">
      <w:pPr>
        <w:ind w:firstLine="480"/>
      </w:pPr>
    </w:p>
    <w:p w14:paraId="0DF45A9D">
      <w:pPr>
        <w:ind w:firstLine="480"/>
      </w:pPr>
    </w:p>
    <w:p w14:paraId="55B87F39">
      <w:pPr>
        <w:ind w:firstLine="480"/>
      </w:pPr>
    </w:p>
    <w:p w14:paraId="5C8073FC">
      <w:pPr>
        <w:ind w:firstLine="480"/>
      </w:pPr>
    </w:p>
    <w:p w14:paraId="4D4CE775">
      <w:pPr>
        <w:ind w:firstLine="480"/>
      </w:pPr>
    </w:p>
    <w:p w14:paraId="32694F7B">
      <w:pPr>
        <w:ind w:firstLine="480"/>
      </w:pPr>
    </w:p>
    <w:p w14:paraId="669AFCAB">
      <w:pPr>
        <w:ind w:firstLine="480"/>
      </w:pPr>
    </w:p>
    <w:p w14:paraId="676AD1D6">
      <w:pPr>
        <w:ind w:firstLine="480"/>
      </w:pPr>
    </w:p>
    <w:p w14:paraId="0B3FAD9B">
      <w:pPr>
        <w:ind w:firstLine="480"/>
      </w:pPr>
    </w:p>
    <w:p w14:paraId="3BB5D60A">
      <w:pPr>
        <w:ind w:firstLine="480"/>
      </w:pPr>
    </w:p>
    <w:p w14:paraId="131CBD39">
      <w:pPr>
        <w:ind w:firstLine="480"/>
      </w:pPr>
    </w:p>
    <w:p w14:paraId="649A332A">
      <w:pPr>
        <w:ind w:firstLine="480"/>
      </w:pPr>
    </w:p>
    <w:p w14:paraId="5F342172">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0537D872">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015579C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506FDFB6">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36C2F8A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147DFEF">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5C1E7562">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10A5E9">
      <w:pPr>
        <w:ind w:firstLine="482"/>
        <w:rPr>
          <w:rFonts w:hint="eastAsia" w:ascii="宋体" w:hAnsi="宋体"/>
          <w:b/>
          <w:bCs/>
        </w:rPr>
      </w:pPr>
    </w:p>
    <w:p w14:paraId="2D19A228">
      <w:pPr>
        <w:pStyle w:val="249"/>
        <w:rPr>
          <w:rFonts w:hint="eastAsia"/>
        </w:rPr>
      </w:pPr>
    </w:p>
    <w:p w14:paraId="3F676A24">
      <w:pPr>
        <w:spacing w:line="360" w:lineRule="auto"/>
        <w:jc w:val="left"/>
        <w:rPr>
          <w:rFonts w:ascii="宋体" w:hAnsi="宋体"/>
          <w:b/>
          <w:bCs/>
          <w:sz w:val="28"/>
          <w:szCs w:val="28"/>
        </w:rPr>
      </w:pPr>
      <w:r>
        <w:rPr>
          <w:rFonts w:hint="eastAsia" w:ascii="宋体" w:hAnsi="宋体"/>
          <w:b/>
          <w:bCs/>
          <w:sz w:val="28"/>
          <w:szCs w:val="28"/>
          <w:lang w:val="zh-CN"/>
        </w:rPr>
        <w:t>采</w:t>
      </w:r>
      <w:r>
        <w:rPr>
          <w:rFonts w:hint="eastAsia" w:ascii="宋体" w:hAnsi="宋体"/>
          <w:b/>
          <w:bCs/>
          <w:sz w:val="28"/>
          <w:szCs w:val="28"/>
        </w:rPr>
        <w:t xml:space="preserve"> </w:t>
      </w:r>
      <w:r>
        <w:rPr>
          <w:rFonts w:hint="eastAsia" w:ascii="宋体" w:hAnsi="宋体"/>
          <w:b/>
          <w:bCs/>
          <w:sz w:val="28"/>
          <w:szCs w:val="28"/>
          <w:lang w:val="zh-CN"/>
        </w:rPr>
        <w:t>购</w:t>
      </w:r>
      <w:r>
        <w:rPr>
          <w:rFonts w:hint="eastAsia" w:ascii="宋体" w:hAnsi="宋体"/>
          <w:b/>
          <w:bCs/>
          <w:sz w:val="28"/>
          <w:szCs w:val="28"/>
        </w:rPr>
        <w:t xml:space="preserve"> </w:t>
      </w:r>
      <w:r>
        <w:rPr>
          <w:rFonts w:hint="eastAsia" w:ascii="宋体" w:hAnsi="宋体"/>
          <w:b/>
          <w:bCs/>
          <w:sz w:val="28"/>
          <w:szCs w:val="28"/>
          <w:lang w:val="zh-CN"/>
        </w:rPr>
        <w:t>人（以下简称甲方）：</w:t>
      </w:r>
    </w:p>
    <w:p w14:paraId="4BF9D033">
      <w:pPr>
        <w:spacing w:line="360" w:lineRule="auto"/>
        <w:rPr>
          <w:rFonts w:ascii="宋体" w:hAnsi="宋体"/>
          <w:sz w:val="28"/>
          <w:szCs w:val="28"/>
        </w:rPr>
      </w:pPr>
      <w:r>
        <w:rPr>
          <w:rFonts w:hint="eastAsia" w:ascii="宋体" w:hAnsi="宋体"/>
          <w:b/>
          <w:bCs/>
          <w:sz w:val="30"/>
          <w:szCs w:val="30"/>
          <w:lang w:val="zh-CN"/>
        </w:rPr>
        <w:t>中</w:t>
      </w:r>
      <w:r>
        <w:rPr>
          <w:rFonts w:hint="eastAsia" w:ascii="宋体" w:hAnsi="宋体"/>
          <w:b/>
          <w:bCs/>
          <w:sz w:val="30"/>
          <w:szCs w:val="30"/>
        </w:rPr>
        <w:t xml:space="preserve"> </w:t>
      </w:r>
      <w:r>
        <w:rPr>
          <w:rFonts w:hint="eastAsia" w:ascii="宋体" w:hAnsi="宋体"/>
          <w:b/>
          <w:bCs/>
          <w:sz w:val="30"/>
          <w:szCs w:val="30"/>
          <w:lang w:val="zh-CN"/>
        </w:rPr>
        <w:t>标</w:t>
      </w:r>
      <w:r>
        <w:rPr>
          <w:rFonts w:hint="eastAsia" w:ascii="宋体" w:hAnsi="宋体"/>
          <w:b/>
          <w:bCs/>
          <w:sz w:val="30"/>
          <w:szCs w:val="30"/>
        </w:rPr>
        <w:t xml:space="preserve"> </w:t>
      </w:r>
      <w:r>
        <w:rPr>
          <w:rFonts w:hint="eastAsia" w:ascii="宋体" w:hAnsi="宋体"/>
          <w:b/>
          <w:bCs/>
          <w:sz w:val="30"/>
          <w:szCs w:val="30"/>
          <w:lang w:val="zh-CN"/>
        </w:rPr>
        <w:t>人</w:t>
      </w:r>
      <w:r>
        <w:rPr>
          <w:rFonts w:hint="eastAsia" w:ascii="宋体" w:hAnsi="宋体"/>
          <w:b/>
          <w:bCs/>
          <w:sz w:val="28"/>
          <w:szCs w:val="28"/>
          <w:lang w:val="zh-CN"/>
        </w:rPr>
        <w:t>（以下简称乙方）：</w:t>
      </w:r>
    </w:p>
    <w:p w14:paraId="5214FA4E">
      <w:pPr>
        <w:spacing w:line="360" w:lineRule="auto"/>
        <w:ind w:firstLine="480"/>
        <w:rPr>
          <w:rFonts w:ascii="宋体" w:hAnsi="宋体"/>
          <w:lang w:val="zh-CN"/>
        </w:rPr>
      </w:pPr>
      <w:r>
        <w:rPr>
          <w:rFonts w:hint="eastAsia" w:ascii="宋体" w:hAnsi="宋体"/>
          <w:lang w:val="zh-CN"/>
        </w:rPr>
        <w:t>甲、乙双方根据</w:t>
      </w:r>
      <w:r>
        <w:rPr>
          <w:rFonts w:hint="eastAsia" w:ascii="宋体" w:hAnsi="宋体"/>
        </w:rPr>
        <w:t>20</w:t>
      </w:r>
      <w:r>
        <w:rPr>
          <w:rFonts w:hint="eastAsia" w:ascii="宋体" w:hAnsi="宋体"/>
          <w:lang w:val="zh-CN"/>
        </w:rPr>
        <w:t>2</w:t>
      </w:r>
      <w:r>
        <w:rPr>
          <w:rFonts w:hint="eastAsia" w:ascii="宋体" w:hAnsi="宋体"/>
        </w:rPr>
        <w:t>3</w:t>
      </w:r>
      <w:r>
        <w:rPr>
          <w:rFonts w:hint="eastAsia" w:ascii="宋体" w:hAnsi="宋体"/>
          <w:lang w:val="zh-CN"/>
        </w:rPr>
        <w:t>年XX月XX日（采购项目名称</w:t>
      </w:r>
      <w:r>
        <w:rPr>
          <w:rFonts w:hint="eastAsia" w:ascii="宋体" w:hAnsi="宋体"/>
        </w:rPr>
        <w:t>·包号</w:t>
      </w:r>
      <w:r>
        <w:rPr>
          <w:rFonts w:hint="eastAsia" w:ascii="宋体" w:hAnsi="宋体"/>
          <w:lang w:val="zh-CN"/>
        </w:rPr>
        <w:t>）采购项目（采购项目编号）的招标文件要求和采购代理机构出具的《中标通知书》，并经双方协商一致，签订本合同协议书。</w:t>
      </w:r>
    </w:p>
    <w:p w14:paraId="27A293FF">
      <w:pPr>
        <w:spacing w:line="360" w:lineRule="auto"/>
        <w:rPr>
          <w:rFonts w:ascii="宋体" w:hAnsi="宋体"/>
          <w:lang w:val="zh-CN"/>
        </w:rPr>
      </w:pPr>
      <w:r>
        <w:rPr>
          <w:rFonts w:hint="eastAsia" w:ascii="宋体" w:hAnsi="宋体"/>
          <w:lang w:val="zh-CN"/>
        </w:rPr>
        <w:t>一、签订本政府采购合同的依据</w:t>
      </w:r>
    </w:p>
    <w:p w14:paraId="3027FFA4">
      <w:pPr>
        <w:spacing w:line="360" w:lineRule="auto"/>
        <w:ind w:firstLine="480"/>
        <w:rPr>
          <w:rFonts w:ascii="宋体" w:hAnsi="宋体"/>
          <w:lang w:val="zh-CN"/>
        </w:rPr>
      </w:pPr>
      <w:r>
        <w:rPr>
          <w:rFonts w:hint="eastAsia" w:ascii="宋体" w:hAnsi="宋体"/>
          <w:lang w:val="zh-CN"/>
        </w:rPr>
        <w:t>本政府采购合同所附下列文件是构成本政府采购合同不可分割的部分：</w:t>
      </w:r>
    </w:p>
    <w:p w14:paraId="7519A9EE">
      <w:pPr>
        <w:spacing w:line="360" w:lineRule="auto"/>
        <w:ind w:firstLine="480"/>
        <w:rPr>
          <w:rFonts w:ascii="宋体" w:hAnsi="宋体"/>
          <w:lang w:val="zh-CN"/>
        </w:rPr>
      </w:pPr>
      <w:r>
        <w:rPr>
          <w:rFonts w:hint="eastAsia" w:ascii="宋体" w:hAnsi="宋体"/>
          <w:lang w:val="zh-CN"/>
        </w:rPr>
        <w:t>1.招标文件；</w:t>
      </w:r>
    </w:p>
    <w:p w14:paraId="1D617D7E">
      <w:pPr>
        <w:spacing w:line="360" w:lineRule="auto"/>
        <w:ind w:firstLine="480"/>
        <w:rPr>
          <w:rFonts w:ascii="宋体" w:hAnsi="宋体"/>
          <w:lang w:val="zh-CN"/>
        </w:rPr>
      </w:pPr>
      <w:r>
        <w:rPr>
          <w:rFonts w:hint="eastAsia" w:ascii="宋体" w:hAnsi="宋体"/>
          <w:lang w:val="zh-CN"/>
        </w:rPr>
        <w:t>2.招标文件的澄清、变更公告；</w:t>
      </w:r>
    </w:p>
    <w:p w14:paraId="6774E62B">
      <w:pPr>
        <w:spacing w:line="360" w:lineRule="auto"/>
        <w:ind w:firstLine="480"/>
        <w:rPr>
          <w:rFonts w:ascii="宋体" w:hAnsi="宋体"/>
          <w:lang w:val="zh-CN"/>
        </w:rPr>
      </w:pPr>
      <w:r>
        <w:rPr>
          <w:rFonts w:hint="eastAsia" w:ascii="宋体" w:hAnsi="宋体"/>
          <w:lang w:val="zh-CN"/>
        </w:rPr>
        <w:t>3.中标人提交的投标文件；</w:t>
      </w:r>
    </w:p>
    <w:p w14:paraId="13362B65">
      <w:pPr>
        <w:spacing w:line="360" w:lineRule="auto"/>
        <w:ind w:firstLine="480"/>
        <w:rPr>
          <w:rFonts w:ascii="宋体" w:hAnsi="宋体"/>
          <w:lang w:val="zh-CN"/>
        </w:rPr>
      </w:pPr>
      <w:r>
        <w:rPr>
          <w:rFonts w:hint="eastAsia" w:ascii="宋体" w:hAnsi="宋体"/>
          <w:lang w:val="zh-CN"/>
        </w:rPr>
        <w:t>4.招标文件中规定的政府采购合同通用条款；</w:t>
      </w:r>
    </w:p>
    <w:p w14:paraId="0ACEEC3F">
      <w:pPr>
        <w:spacing w:line="360" w:lineRule="auto"/>
        <w:ind w:firstLine="480"/>
        <w:rPr>
          <w:rFonts w:ascii="宋体" w:hAnsi="宋体"/>
          <w:lang w:val="zh-CN"/>
        </w:rPr>
      </w:pPr>
      <w:r>
        <w:rPr>
          <w:rFonts w:hint="eastAsia" w:ascii="宋体" w:hAnsi="宋体"/>
          <w:lang w:val="zh-CN"/>
        </w:rPr>
        <w:t>5.中标通知书；</w:t>
      </w:r>
    </w:p>
    <w:p w14:paraId="2217871A">
      <w:pPr>
        <w:spacing w:line="360" w:lineRule="auto"/>
        <w:ind w:firstLine="480"/>
        <w:rPr>
          <w:rFonts w:ascii="宋体" w:hAnsi="宋体"/>
          <w:lang w:val="zh-CN"/>
        </w:rPr>
      </w:pPr>
      <w:r>
        <w:rPr>
          <w:rFonts w:hint="eastAsia" w:ascii="宋体" w:hAnsi="宋体"/>
          <w:lang w:val="zh-CN"/>
        </w:rPr>
        <w:t>6.履约保证金缴费证明。</w:t>
      </w:r>
    </w:p>
    <w:p w14:paraId="06F008C7">
      <w:pPr>
        <w:spacing w:line="360" w:lineRule="auto"/>
        <w:rPr>
          <w:rFonts w:ascii="宋体" w:hAnsi="宋体"/>
          <w:lang w:val="zh-CN"/>
        </w:rPr>
      </w:pPr>
      <w:r>
        <w:rPr>
          <w:rFonts w:hint="eastAsia" w:ascii="宋体" w:hAnsi="宋体"/>
          <w:lang w:val="zh-CN"/>
        </w:rPr>
        <w:t>二、合同标的及金额                                       单位：元</w:t>
      </w:r>
    </w:p>
    <w:tbl>
      <w:tblPr>
        <w:tblStyle w:val="30"/>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1E139B7">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30AC86A">
            <w:pPr>
              <w:spacing w:line="360" w:lineRule="auto"/>
              <w:jc w:val="center"/>
              <w:rPr>
                <w:rFonts w:ascii="宋体" w:hAnsi="宋体"/>
                <w:lang w:val="zh-CN"/>
              </w:rPr>
            </w:pPr>
            <w:r>
              <w:rPr>
                <w:rFonts w:hint="eastAsia" w:ascii="宋体" w:hAnsi="宋体"/>
                <w:lang w:val="zh-CN"/>
              </w:rPr>
              <w:t>包号</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5C77D94">
            <w:pPr>
              <w:spacing w:line="360" w:lineRule="auto"/>
              <w:jc w:val="center"/>
              <w:rPr>
                <w:rFonts w:ascii="宋体" w:hAnsi="宋体"/>
                <w:lang w:val="zh-CN"/>
              </w:rPr>
            </w:pPr>
            <w:r>
              <w:rPr>
                <w:rFonts w:hint="eastAsia" w:ascii="宋体" w:hAnsi="宋体"/>
                <w:lang w:val="zh-CN"/>
              </w:rPr>
              <w:t>标的名称</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8205C4D">
            <w:pPr>
              <w:spacing w:line="360" w:lineRule="auto"/>
              <w:jc w:val="center"/>
              <w:rPr>
                <w:rFonts w:ascii="宋体" w:hAnsi="宋体"/>
                <w:lang w:val="zh-CN"/>
              </w:rPr>
            </w:pPr>
            <w:r>
              <w:rPr>
                <w:rFonts w:hint="eastAsia" w:ascii="宋体" w:hAnsi="宋体"/>
                <w:lang w:val="zh-CN"/>
              </w:rPr>
              <w:t>规格型号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97B641">
            <w:pPr>
              <w:spacing w:line="360" w:lineRule="auto"/>
              <w:jc w:val="center"/>
              <w:rPr>
                <w:rFonts w:ascii="宋体" w:hAnsi="宋体"/>
                <w:lang w:val="zh-CN"/>
              </w:rPr>
            </w:pPr>
            <w:r>
              <w:rPr>
                <w:rFonts w:hint="eastAsia" w:ascii="宋体" w:hAnsi="宋体"/>
                <w:lang w:val="zh-CN"/>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2285F">
            <w:pPr>
              <w:spacing w:line="360" w:lineRule="auto"/>
              <w:jc w:val="center"/>
              <w:rPr>
                <w:rFonts w:ascii="宋体" w:hAnsi="宋体"/>
                <w:lang w:val="zh-CN"/>
              </w:rPr>
            </w:pPr>
            <w:r>
              <w:rPr>
                <w:rFonts w:hint="eastAsia" w:ascii="宋体" w:hAnsi="宋体"/>
                <w:lang w:val="zh-CN"/>
              </w:rPr>
              <w:t>单价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B5A657">
            <w:pPr>
              <w:spacing w:line="360" w:lineRule="auto"/>
              <w:jc w:val="center"/>
              <w:rPr>
                <w:rFonts w:ascii="宋体" w:hAnsi="宋体"/>
                <w:lang w:val="zh-CN"/>
              </w:rPr>
            </w:pPr>
            <w:r>
              <w:rPr>
                <w:rFonts w:hint="eastAsia" w:ascii="宋体" w:hAnsi="宋体"/>
                <w:lang w:val="zh-CN"/>
              </w:rPr>
              <w:t>总价</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6094273">
            <w:pPr>
              <w:spacing w:line="360" w:lineRule="auto"/>
              <w:jc w:val="center"/>
              <w:rPr>
                <w:rFonts w:ascii="宋体" w:hAnsi="宋体"/>
                <w:lang w:val="zh-CN"/>
              </w:rPr>
            </w:pPr>
            <w:r>
              <w:rPr>
                <w:rFonts w:hint="eastAsia" w:ascii="宋体" w:hAnsi="宋体"/>
                <w:lang w:val="zh-CN"/>
              </w:rPr>
              <w:t>备注</w:t>
            </w:r>
          </w:p>
        </w:tc>
      </w:tr>
      <w:tr w14:paraId="34F2541C">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34A5BC6">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A5547F4">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928AE3">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94BE3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87D866">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7D65F3">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5702AFE7">
            <w:pPr>
              <w:spacing w:line="360" w:lineRule="auto"/>
              <w:jc w:val="center"/>
              <w:rPr>
                <w:rFonts w:ascii="宋体" w:hAnsi="宋体"/>
                <w:lang w:val="zh-CN"/>
              </w:rPr>
            </w:pPr>
          </w:p>
        </w:tc>
      </w:tr>
      <w:tr w14:paraId="5278D842">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4E2F591">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C7E2969">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46420C5">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8709C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32F40C">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F8E60E">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6A8FE02">
            <w:pPr>
              <w:spacing w:line="360" w:lineRule="auto"/>
              <w:jc w:val="center"/>
              <w:rPr>
                <w:rFonts w:ascii="宋体" w:hAnsi="宋体"/>
                <w:lang w:val="zh-CN"/>
              </w:rPr>
            </w:pPr>
          </w:p>
        </w:tc>
      </w:tr>
    </w:tbl>
    <w:p w14:paraId="454B3D49">
      <w:pPr>
        <w:spacing w:line="360" w:lineRule="auto"/>
        <w:jc w:val="left"/>
        <w:rPr>
          <w:rFonts w:ascii="宋体" w:hAnsi="宋体"/>
          <w:u w:val="single"/>
        </w:rPr>
      </w:pPr>
      <w:r>
        <w:rPr>
          <w:rFonts w:hint="eastAsia" w:ascii="宋体" w:hAnsi="宋体"/>
          <w:lang w:val="zh-CN"/>
        </w:rPr>
        <w:t>根据上述政府采购合同文件要求，本政府采购合同的总金额为人民币</w:t>
      </w:r>
      <w:r>
        <w:rPr>
          <w:rFonts w:hint="eastAsia" w:ascii="宋体" w:hAnsi="宋体"/>
          <w:u w:val="single"/>
        </w:rPr>
        <w:t xml:space="preserve">           </w:t>
      </w:r>
    </w:p>
    <w:p w14:paraId="6DE64462">
      <w:pPr>
        <w:spacing w:line="360" w:lineRule="auto"/>
        <w:jc w:val="left"/>
        <w:rPr>
          <w:rFonts w:ascii="宋体" w:hAnsi="宋体"/>
          <w:lang w:val="zh-CN"/>
        </w:rPr>
      </w:pPr>
      <w:r>
        <w:rPr>
          <w:rFonts w:hint="eastAsia" w:ascii="宋体" w:hAnsi="宋体"/>
          <w:lang w:val="zh-CN"/>
        </w:rPr>
        <w:t>（大写）</w:t>
      </w:r>
      <w:r>
        <w:rPr>
          <w:rFonts w:hint="eastAsia" w:ascii="宋体" w:hAnsi="宋体"/>
          <w:u w:val="single"/>
          <w:lang w:val="zh-CN"/>
        </w:rPr>
        <w:t xml:space="preserve">                 </w:t>
      </w:r>
      <w:r>
        <w:rPr>
          <w:rFonts w:hint="eastAsia" w:ascii="宋体" w:hAnsi="宋体"/>
          <w:lang w:val="zh-CN"/>
        </w:rPr>
        <w:t>元。</w:t>
      </w:r>
    </w:p>
    <w:p w14:paraId="0CD7372F">
      <w:pPr>
        <w:spacing w:line="360" w:lineRule="auto"/>
        <w:ind w:firstLine="360"/>
        <w:rPr>
          <w:rFonts w:ascii="宋体" w:hAnsi="宋体"/>
        </w:rPr>
      </w:pPr>
      <w:r>
        <w:rPr>
          <w:rFonts w:hint="eastAsia" w:ascii="宋体" w:hAnsi="宋体"/>
          <w:lang w:val="zh-CN"/>
        </w:rPr>
        <w:t>本合同以人民币进行结算，合同总价包括：产品费、验收费、手续费、包装费、运输费、保险费、安装费、调试费、培训费、售前、售中、售后服务费、税金及不可预见费等全部费用。</w:t>
      </w:r>
    </w:p>
    <w:p w14:paraId="7CDEBC13">
      <w:pPr>
        <w:spacing w:line="360" w:lineRule="auto"/>
        <w:rPr>
          <w:rFonts w:ascii="宋体" w:hAnsi="宋体"/>
        </w:rPr>
      </w:pPr>
      <w:r>
        <w:rPr>
          <w:rFonts w:hint="eastAsia" w:ascii="宋体" w:hAnsi="宋体"/>
          <w:lang w:val="zh-CN"/>
        </w:rPr>
        <w:t>三、交付时间、地点和要求</w:t>
      </w:r>
    </w:p>
    <w:p w14:paraId="7B0EEC42">
      <w:pPr>
        <w:spacing w:line="360" w:lineRule="auto"/>
        <w:rPr>
          <w:rFonts w:ascii="宋体" w:hAnsi="宋体"/>
        </w:rPr>
      </w:pPr>
      <w:r>
        <w:rPr>
          <w:rFonts w:hint="eastAsia" w:ascii="宋体" w:hAnsi="宋体"/>
        </w:rPr>
        <w:t>交付时间、地点和要求：合同签订后，甲方要求的</w:t>
      </w:r>
      <w:r>
        <w:rPr>
          <w:rFonts w:hint="eastAsia" w:ascii="宋体" w:hAnsi="宋体"/>
          <w:lang w:val="en-US" w:eastAsia="zh-CN"/>
        </w:rPr>
        <w:t>60</w:t>
      </w:r>
      <w:r>
        <w:rPr>
          <w:rFonts w:hint="eastAsia" w:ascii="宋体" w:hAnsi="宋体"/>
        </w:rPr>
        <w:t>个工作日内。地点为</w:t>
      </w:r>
      <w:r>
        <w:rPr>
          <w:rFonts w:hint="eastAsia" w:ascii="宋体" w:hAnsi="宋体"/>
          <w:u w:val="single"/>
        </w:rPr>
        <w:t xml:space="preserve">         </w:t>
      </w:r>
      <w:r>
        <w:rPr>
          <w:rFonts w:hint="eastAsia" w:ascii="宋体" w:hAnsi="宋体"/>
        </w:rPr>
        <w:t>，</w:t>
      </w:r>
      <w:r>
        <w:rPr>
          <w:rFonts w:hint="eastAsia" w:ascii="等线" w:hAnsi="等线" w:eastAsia="等线" w:cs="等线"/>
        </w:rPr>
        <w:t>并负责搬运、卸货、安装、调试等，发生费用由乙方承担</w:t>
      </w:r>
      <w:r>
        <w:rPr>
          <w:rFonts w:hint="eastAsia" w:ascii="宋体" w:hAnsi="宋体"/>
        </w:rPr>
        <w:t>。</w:t>
      </w:r>
    </w:p>
    <w:p w14:paraId="385F87E0">
      <w:pPr>
        <w:spacing w:line="360" w:lineRule="auto"/>
        <w:rPr>
          <w:rFonts w:ascii="宋体" w:hAnsi="宋体"/>
          <w:lang w:val="zh-CN"/>
        </w:rPr>
      </w:pPr>
      <w:r>
        <w:rPr>
          <w:rFonts w:hint="eastAsia" w:ascii="宋体" w:hAnsi="宋体"/>
          <w:lang w:val="zh-CN"/>
        </w:rPr>
        <w:t>四、付款方式</w:t>
      </w:r>
    </w:p>
    <w:p w14:paraId="22312DF8">
      <w:pPr>
        <w:spacing w:line="360" w:lineRule="auto"/>
        <w:ind w:left="960" w:hanging="240"/>
        <w:rPr>
          <w:rFonts w:hint="eastAsia" w:ascii="宋体" w:hAnsi="宋体" w:cs="宋体"/>
        </w:rPr>
      </w:pPr>
      <w:bookmarkStart w:id="48" w:name="_Hlk121720749"/>
      <w:r>
        <w:rPr>
          <w:rFonts w:hint="eastAsia" w:ascii="宋体" w:hAnsi="宋体" w:cs="宋体"/>
        </w:rPr>
        <w:t>甲乙双方合同签订后，甲方向乙方支付合同总价款的</w:t>
      </w:r>
      <w:r>
        <w:rPr>
          <w:rFonts w:hint="eastAsia" w:ascii="宋体" w:hAnsi="宋体" w:cs="宋体"/>
          <w:u w:val="single"/>
          <w:lang w:val="en-US" w:eastAsia="zh-CN"/>
        </w:rPr>
        <w:t xml:space="preserve">    </w:t>
      </w:r>
      <w:r>
        <w:rPr>
          <w:rFonts w:hint="eastAsia" w:ascii="宋体" w:hAnsi="宋体" w:cs="宋体"/>
          <w:u w:val="single"/>
        </w:rPr>
        <w:t>%</w:t>
      </w:r>
      <w:r>
        <w:rPr>
          <w:rFonts w:hint="eastAsia" w:ascii="宋体" w:hAnsi="宋体" w:cs="宋体"/>
        </w:rPr>
        <w:t>，即人民币</w:t>
      </w:r>
    </w:p>
    <w:p w14:paraId="2E5DE343">
      <w:pPr>
        <w:spacing w:line="360" w:lineRule="auto"/>
        <w:rPr>
          <w:rFonts w:hint="eastAsia" w:ascii="宋体" w:hAnsi="宋体" w:cs="宋体"/>
          <w:lang w:val="zh-CN"/>
        </w:rPr>
      </w:pPr>
      <w:r>
        <w:rPr>
          <w:rFonts w:hint="eastAsia" w:ascii="宋体" w:hAnsi="宋体" w:cs="宋体"/>
        </w:rPr>
        <w:t>（</w:t>
      </w:r>
      <w:r>
        <w:rPr>
          <w:rFonts w:hint="eastAsia" w:ascii="宋体" w:hAnsi="宋体" w:cs="宋体"/>
          <w:u w:val="single"/>
        </w:rPr>
        <w:t xml:space="preserve">小写：      </w:t>
      </w:r>
      <w:r>
        <w:rPr>
          <w:rFonts w:hint="eastAsia" w:ascii="宋体" w:hAnsi="宋体" w:cs="宋体"/>
          <w:b/>
          <w:bCs/>
          <w:u w:val="single"/>
        </w:rPr>
        <w:t>元整，大写：       元整）</w:t>
      </w:r>
      <w:r>
        <w:rPr>
          <w:rFonts w:hint="eastAsia" w:ascii="宋体" w:hAnsi="宋体" w:cs="宋体"/>
        </w:rPr>
        <w:t>。</w:t>
      </w:r>
      <w:r>
        <w:rPr>
          <w:rFonts w:hint="eastAsia" w:ascii="宋体" w:hAnsi="宋体" w:cs="宋体"/>
          <w:lang w:val="zh-CN"/>
        </w:rPr>
        <w:t>乙方所交付的产品由甲方报同级财政监管部门，组织到货验收后，按合同金额向乙方支付合同总价款的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lang w:val="zh-CN"/>
        </w:rPr>
        <w:t>。</w:t>
      </w:r>
    </w:p>
    <w:p w14:paraId="2EC3D80D">
      <w:pPr>
        <w:spacing w:line="360" w:lineRule="auto"/>
        <w:rPr>
          <w:rFonts w:hint="eastAsia" w:ascii="宋体" w:hAnsi="宋体" w:cs="宋体"/>
          <w:lang w:val="zh-CN"/>
        </w:rPr>
      </w:pPr>
      <w:r>
        <w:rPr>
          <w:rFonts w:hint="eastAsia" w:ascii="宋体" w:hAnsi="宋体" w:cs="宋体"/>
          <w:lang w:val="zh-CN"/>
        </w:rPr>
        <w:t>乙方向甲方提交合同总额的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，的履约保证金</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u w:val="single"/>
        </w:rPr>
        <w:t>）</w:t>
      </w:r>
      <w:r>
        <w:rPr>
          <w:rFonts w:hint="eastAsia" w:ascii="宋体" w:hAnsi="宋体" w:cs="宋体"/>
          <w:lang w:val="zh-CN"/>
        </w:rPr>
        <w:t>转为质量保证金。质量保证金待约定的免费质保期满（</w:t>
      </w:r>
      <w:r>
        <w:rPr>
          <w:rFonts w:hint="eastAsia" w:ascii="宋体" w:hAnsi="宋体" w:cs="宋体"/>
          <w:u w:val="single"/>
          <w:lang w:val="zh-CN"/>
        </w:rPr>
        <w:t xml:space="preserve">   年</w:t>
      </w:r>
      <w:r>
        <w:rPr>
          <w:rFonts w:hint="eastAsia" w:ascii="宋体" w:hAnsi="宋体" w:cs="宋体"/>
          <w:lang w:val="zh-CN"/>
        </w:rPr>
        <w:t>）且产品无质量问题后，由乙方提出书面申请，</w:t>
      </w:r>
      <w:bookmarkStart w:id="49" w:name="_Hlk121345282"/>
      <w:r>
        <w:rPr>
          <w:rFonts w:hint="eastAsia" w:ascii="宋体" w:hAnsi="宋体" w:cs="宋体"/>
          <w:lang w:val="zh-CN"/>
        </w:rPr>
        <w:t>甲方以转账方式予以退还，</w:t>
      </w:r>
      <w:bookmarkEnd w:id="48"/>
      <w:r>
        <w:rPr>
          <w:rFonts w:hint="eastAsia" w:ascii="宋体" w:hAnsi="宋体" w:cs="宋体"/>
          <w:lang w:val="zh-CN"/>
        </w:rPr>
        <w:t>不计利息。</w:t>
      </w:r>
    </w:p>
    <w:p w14:paraId="2A8A411E">
      <w:pPr>
        <w:spacing w:line="360" w:lineRule="auto"/>
        <w:rPr>
          <w:rFonts w:hint="eastAsia" w:ascii="宋体" w:hAnsi="宋体" w:cs="宋体"/>
          <w:u w:val="single"/>
        </w:rPr>
      </w:pPr>
      <w:r>
        <w:rPr>
          <w:rFonts w:hint="eastAsia" w:ascii="宋体" w:hAnsi="宋体" w:cs="宋体"/>
          <w:lang w:val="zh-CN"/>
        </w:rPr>
        <w:t>以上外汇汇率汇差由乙方负担。</w:t>
      </w:r>
    </w:p>
    <w:bookmarkEnd w:id="49"/>
    <w:p w14:paraId="6C0C598E">
      <w:pPr>
        <w:pStyle w:val="210"/>
        <w:tabs>
          <w:tab w:val="left" w:pos="360"/>
        </w:tabs>
        <w:rPr>
          <w:rFonts w:hint="eastAsia" w:ascii="宋体" w:hAnsi="宋体" w:cs="宋体"/>
          <w:lang w:val="zh-CN" w:eastAsia="zh-CN"/>
        </w:rPr>
      </w:pPr>
      <w:r>
        <w:rPr>
          <w:rFonts w:hint="eastAsia" w:ascii="宋体" w:hAnsi="宋体" w:cs="宋体"/>
          <w:lang w:val="zh-CN" w:eastAsia="zh-CN"/>
        </w:rPr>
        <w:t>五、质量保修范围和保修期</w:t>
      </w:r>
    </w:p>
    <w:p w14:paraId="0D4375BD">
      <w:pPr>
        <w:pStyle w:val="210"/>
        <w:tabs>
          <w:tab w:val="left" w:pos="360"/>
        </w:tabs>
        <w:spacing w:line="360" w:lineRule="auto"/>
        <w:ind w:firstLine="480"/>
        <w:rPr>
          <w:rFonts w:hint="eastAsia" w:ascii="宋体" w:hAnsi="宋体" w:cs="宋体"/>
          <w:lang w:val="zh-CN" w:eastAsia="zh-CN"/>
        </w:rPr>
      </w:pPr>
      <w:r>
        <w:rPr>
          <w:rFonts w:hint="eastAsia" w:ascii="宋体" w:hAnsi="宋体" w:cs="宋体"/>
          <w:lang w:val="zh-CN" w:eastAsia="zh-CN"/>
        </w:rPr>
        <w:t>自验收合格之日起</w:t>
      </w:r>
      <w:r>
        <w:rPr>
          <w:rFonts w:hint="eastAsia" w:ascii="宋体" w:hAnsi="宋体" w:cs="宋体"/>
          <w:u w:val="single"/>
          <w:lang w:val="en-US" w:eastAsia="zh-CN"/>
        </w:rPr>
        <w:t xml:space="preserve">   </w:t>
      </w:r>
      <w:r>
        <w:rPr>
          <w:rFonts w:hint="eastAsia" w:ascii="宋体" w:hAnsi="宋体" w:cs="宋体"/>
          <w:lang w:val="zh-CN" w:eastAsia="zh-CN"/>
        </w:rPr>
        <w:t>年，提供免费维护及保养服务，终身维修。在保修期内，设备质量问题免费维修；在保修期外，非正常使用造成的设备故障，只收取维修成本费。</w:t>
      </w:r>
    </w:p>
    <w:p w14:paraId="17A7D159">
      <w:pPr>
        <w:spacing w:line="360" w:lineRule="auto"/>
        <w:rPr>
          <w:rFonts w:hint="eastAsia" w:ascii="宋体" w:hAnsi="宋体" w:cs="宋体"/>
          <w:lang w:val="zh-CN"/>
        </w:rPr>
      </w:pPr>
      <w:r>
        <w:rPr>
          <w:rFonts w:hint="eastAsia" w:ascii="宋体" w:hAnsi="宋体" w:cs="宋体"/>
          <w:lang w:val="zh-CN"/>
        </w:rPr>
        <w:t>六、合同的变更、终止与转让</w:t>
      </w:r>
    </w:p>
    <w:p w14:paraId="54A9B110">
      <w:pPr>
        <w:spacing w:line="360" w:lineRule="auto"/>
        <w:ind w:firstLine="360"/>
        <w:rPr>
          <w:rFonts w:hint="eastAsia" w:ascii="宋体" w:hAnsi="宋体" w:cs="宋体"/>
          <w:lang w:val="zh-CN"/>
        </w:rPr>
      </w:pPr>
      <w:r>
        <w:rPr>
          <w:rFonts w:hint="eastAsia" w:ascii="宋体" w:hAnsi="宋体" w:cs="宋体"/>
          <w:lang w:val="zh-CN"/>
        </w:rPr>
        <w:t>1.除《中华人民共和国政府采购法》第50条规定的情形外，本合同一经签订，甲乙双方不得擅自变更、中止或终止。</w:t>
      </w:r>
    </w:p>
    <w:p w14:paraId="5D46E606">
      <w:pPr>
        <w:spacing w:line="360" w:lineRule="auto"/>
        <w:ind w:firstLine="360"/>
        <w:rPr>
          <w:rFonts w:hint="eastAsia" w:ascii="宋体" w:hAnsi="宋体" w:cs="宋体"/>
          <w:lang w:val="zh-CN"/>
        </w:rPr>
      </w:pPr>
      <w:r>
        <w:rPr>
          <w:rFonts w:hint="eastAsia" w:ascii="宋体" w:hAnsi="宋体" w:cs="宋体"/>
          <w:lang w:val="zh-CN"/>
        </w:rPr>
        <w:t>2.乙方不得擅自转让其应履行的合同义务。</w:t>
      </w:r>
    </w:p>
    <w:p w14:paraId="030D1B10">
      <w:pPr>
        <w:spacing w:line="360" w:lineRule="auto"/>
        <w:rPr>
          <w:rFonts w:hint="eastAsia" w:ascii="宋体" w:hAnsi="宋体" w:cs="宋体"/>
          <w:lang w:val="zh-CN"/>
        </w:rPr>
      </w:pPr>
      <w:r>
        <w:rPr>
          <w:rFonts w:hint="eastAsia" w:ascii="宋体" w:hAnsi="宋体" w:cs="宋体"/>
          <w:lang w:val="zh-CN"/>
        </w:rPr>
        <w:t>七、违约责任</w:t>
      </w:r>
    </w:p>
    <w:p w14:paraId="75EE2D00">
      <w:pPr>
        <w:spacing w:line="360" w:lineRule="auto"/>
        <w:rPr>
          <w:rFonts w:hint="eastAsia" w:ascii="宋体" w:hAnsi="宋体" w:cs="宋体"/>
          <w:lang w:val="zh-CN"/>
        </w:rPr>
      </w:pPr>
      <w:r>
        <w:rPr>
          <w:rFonts w:hint="eastAsia" w:ascii="宋体" w:hAnsi="宋体" w:cs="宋体"/>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14:paraId="18E95B74">
      <w:pPr>
        <w:spacing w:line="360" w:lineRule="auto"/>
        <w:rPr>
          <w:rFonts w:hint="eastAsia" w:ascii="宋体" w:hAnsi="宋体" w:cs="宋体"/>
          <w:lang w:val="zh-CN"/>
        </w:rPr>
      </w:pPr>
      <w:r>
        <w:rPr>
          <w:rFonts w:hint="eastAsia" w:ascii="宋体" w:hAnsi="宋体" w:cs="宋体"/>
          <w:lang w:val="zh-CN"/>
        </w:rPr>
        <w:t>②乙方提供的货物如侵犯了第三方权益而引发纠纷或诉讼的，均由乙方负责交涉并承担全部责任。</w:t>
      </w:r>
    </w:p>
    <w:p w14:paraId="6B427F15">
      <w:pPr>
        <w:spacing w:line="360" w:lineRule="auto"/>
        <w:rPr>
          <w:rFonts w:hint="eastAsia" w:ascii="宋体" w:hAnsi="宋体" w:cs="宋体"/>
          <w:lang w:val="zh-CN"/>
        </w:rPr>
      </w:pPr>
      <w:r>
        <w:rPr>
          <w:rFonts w:hint="eastAsia" w:ascii="宋体" w:hAnsi="宋体" w:cs="宋体"/>
          <w:lang w:val="zh-CN"/>
        </w:rPr>
        <w:t>③因包装、运输引起的货物损坏，按质量不合格处罚。</w:t>
      </w:r>
    </w:p>
    <w:p w14:paraId="32A62BB9">
      <w:pPr>
        <w:spacing w:line="360" w:lineRule="auto"/>
        <w:rPr>
          <w:rFonts w:hint="eastAsia" w:ascii="宋体" w:hAnsi="宋体" w:cs="宋体"/>
          <w:lang w:val="zh-CN"/>
        </w:rPr>
      </w:pPr>
      <w:r>
        <w:rPr>
          <w:rFonts w:hint="eastAsia" w:ascii="宋体" w:hAnsi="宋体" w:cs="宋体"/>
          <w:lang w:val="zh-CN"/>
        </w:rPr>
        <w:t>④甲方无故延期接受货物</w:t>
      </w:r>
      <w:r>
        <w:rPr>
          <w:rFonts w:hint="eastAsia" w:ascii="宋体" w:hAnsi="宋体" w:cs="宋体"/>
          <w:lang w:val="en-US" w:eastAsia="zh-CN"/>
        </w:rPr>
        <w:t>或</w:t>
      </w:r>
      <w:r>
        <w:rPr>
          <w:rFonts w:hint="eastAsia" w:ascii="宋体" w:hAnsi="宋体" w:cs="宋体"/>
          <w:lang w:val="zh-CN"/>
        </w:rPr>
        <w:t>乙方逾期交货的，每天应向对方偿付未交货物的货款3‰的违约金，但违约金累计不得超过违约货款的5%，超过30天对方有权解除合同，违约方承担因此给对方造成的经济损失。</w:t>
      </w:r>
    </w:p>
    <w:p w14:paraId="11225805">
      <w:pPr>
        <w:spacing w:line="360" w:lineRule="auto"/>
        <w:rPr>
          <w:rFonts w:hint="eastAsia" w:ascii="宋体" w:hAnsi="宋体" w:cs="宋体"/>
          <w:lang w:val="zh-CN"/>
        </w:rPr>
      </w:pPr>
      <w:r>
        <w:rPr>
          <w:rFonts w:hint="eastAsia" w:ascii="宋体" w:hAnsi="宋体" w:cs="宋体"/>
          <w:lang w:val="zh-CN"/>
        </w:rPr>
        <w:t>⑤乙方未按本合同和响应文件中规定的服务承诺提供售后服务的，乙方应按本合同合计金额的5%向甲方支付违约金。</w:t>
      </w:r>
    </w:p>
    <w:p w14:paraId="60B0D917">
      <w:pPr>
        <w:spacing w:line="360" w:lineRule="auto"/>
        <w:rPr>
          <w:rFonts w:hint="eastAsia" w:ascii="宋体" w:hAnsi="宋体" w:cs="宋体"/>
          <w:lang w:val="zh-CN"/>
        </w:rPr>
      </w:pPr>
      <w:r>
        <w:rPr>
          <w:rFonts w:hint="eastAsia" w:ascii="宋体" w:hAnsi="宋体" w:cs="宋体"/>
          <w:lang w:val="zh-CN"/>
        </w:rPr>
        <w:t>⑥乙方提供的货物在质量保证期内，因设计、工艺或材料的缺陷和其它质量原因造成的问题，由乙方负责，费用从合同款中扣除，不足另补。</w:t>
      </w:r>
    </w:p>
    <w:p w14:paraId="2C8B2767">
      <w:pPr>
        <w:spacing w:line="360" w:lineRule="auto"/>
        <w:rPr>
          <w:rFonts w:hint="eastAsia" w:ascii="宋体" w:hAnsi="宋体" w:cs="宋体"/>
          <w:lang w:val="zh-CN"/>
        </w:rPr>
      </w:pPr>
      <w:r>
        <w:rPr>
          <w:rFonts w:hint="eastAsia" w:ascii="宋体" w:hAnsi="宋体" w:cs="宋体"/>
          <w:lang w:val="zh-CN"/>
        </w:rPr>
        <w:t>⑦其它违约行为按违约货款额5%收取违约金并赔偿经济损失。</w:t>
      </w:r>
    </w:p>
    <w:p w14:paraId="646C9F6B">
      <w:pPr>
        <w:spacing w:line="360" w:lineRule="auto"/>
        <w:rPr>
          <w:rFonts w:hint="eastAsia" w:ascii="宋体" w:hAnsi="宋体" w:cs="宋体"/>
          <w:lang w:val="zh-CN"/>
        </w:rPr>
      </w:pPr>
      <w:r>
        <w:rPr>
          <w:rFonts w:hint="eastAsia" w:ascii="宋体" w:hAnsi="宋体" w:cs="宋体"/>
          <w:lang w:val="zh-CN"/>
        </w:rPr>
        <w:t>八、不可抗力</w:t>
      </w:r>
    </w:p>
    <w:p w14:paraId="4C577E98">
      <w:pPr>
        <w:spacing w:line="360" w:lineRule="auto"/>
        <w:ind w:firstLine="360"/>
        <w:rPr>
          <w:rFonts w:hint="eastAsia" w:ascii="宋体" w:hAnsi="宋体" w:cs="宋体"/>
          <w:lang w:val="zh-CN"/>
        </w:rPr>
      </w:pPr>
      <w:r>
        <w:rPr>
          <w:rFonts w:hint="eastAsia" w:ascii="宋体" w:hAnsi="宋体" w:cs="宋体"/>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14:paraId="731B0435">
      <w:pPr>
        <w:spacing w:line="360" w:lineRule="auto"/>
        <w:rPr>
          <w:rFonts w:hint="eastAsia" w:ascii="宋体" w:hAnsi="宋体" w:cs="宋体"/>
          <w:lang w:val="zh-CN"/>
        </w:rPr>
      </w:pPr>
      <w:r>
        <w:rPr>
          <w:rFonts w:hint="eastAsia" w:ascii="宋体" w:hAnsi="宋体" w:cs="宋体"/>
          <w:lang w:val="zh-CN"/>
        </w:rPr>
        <w:t>九、知识产权：乙方承诺所提供产品在中国境内不受任何第三方对甲方的知识产权追索。其他详见合同通用条款。</w:t>
      </w:r>
    </w:p>
    <w:p w14:paraId="18DD73A1">
      <w:pPr>
        <w:spacing w:line="360" w:lineRule="auto"/>
        <w:rPr>
          <w:rFonts w:hint="eastAsia" w:ascii="宋体" w:hAnsi="宋体" w:cs="宋体"/>
          <w:lang w:val="zh-CN"/>
        </w:rPr>
      </w:pPr>
      <w:r>
        <w:rPr>
          <w:rFonts w:hint="eastAsia" w:ascii="宋体" w:hAnsi="宋体" w:cs="宋体"/>
          <w:lang w:val="zh-CN"/>
        </w:rPr>
        <w:t>十、其他约定：</w:t>
      </w:r>
    </w:p>
    <w:p w14:paraId="2121E360">
      <w:pPr>
        <w:spacing w:line="360" w:lineRule="auto"/>
        <w:rPr>
          <w:rFonts w:hint="eastAsia" w:ascii="宋体" w:hAnsi="宋体" w:cs="宋体"/>
          <w:lang w:val="zh-CN"/>
        </w:rPr>
      </w:pPr>
      <w:r>
        <w:rPr>
          <w:rFonts w:hint="eastAsia" w:ascii="宋体" w:hAnsi="宋体" w:cs="宋体"/>
          <w:lang w:val="zh-CN"/>
        </w:rPr>
        <w:t>十、合同争议解决</w:t>
      </w:r>
    </w:p>
    <w:p w14:paraId="6481E937">
      <w:pPr>
        <w:spacing w:line="360" w:lineRule="auto"/>
        <w:ind w:firstLine="360"/>
        <w:rPr>
          <w:rFonts w:hint="eastAsia" w:ascii="宋体" w:hAnsi="宋体" w:cs="宋体"/>
          <w:lang w:val="zh-CN"/>
        </w:rPr>
      </w:pPr>
      <w:r>
        <w:rPr>
          <w:rFonts w:hint="eastAsia" w:ascii="宋体" w:hAnsi="宋体" w:cs="宋体"/>
          <w:lang w:val="zh-CN"/>
        </w:rPr>
        <w:t>1.因产品质量问题发生争议的，应邀请国家认可的质量检测机构进行鉴定。产品符合标准的，鉴定费由甲方承担；产品不符合标准的，鉴定费由乙方承担。</w:t>
      </w:r>
    </w:p>
    <w:p w14:paraId="3839DAE4">
      <w:pPr>
        <w:spacing w:line="360" w:lineRule="auto"/>
        <w:ind w:firstLine="360"/>
        <w:rPr>
          <w:rFonts w:hint="eastAsia" w:ascii="宋体" w:hAnsi="宋体" w:cs="宋体"/>
          <w:lang w:val="zh-CN"/>
        </w:rPr>
      </w:pPr>
      <w:r>
        <w:rPr>
          <w:rFonts w:hint="eastAsia" w:ascii="宋体" w:hAnsi="宋体" w:cs="宋体"/>
          <w:lang w:val="zh-CN"/>
        </w:rPr>
        <w:t>2.因履行本合同引起的或与本合同有关的争议，甲乙双方应首先通过友好协商解决，如果协商不能解决，可向甲方所在地人民法院提起诉讼。</w:t>
      </w:r>
    </w:p>
    <w:p w14:paraId="182BBDEE">
      <w:pPr>
        <w:spacing w:line="360" w:lineRule="auto"/>
        <w:ind w:firstLine="360"/>
        <w:rPr>
          <w:rFonts w:hint="eastAsia" w:ascii="宋体" w:hAnsi="宋体" w:cs="宋体"/>
          <w:lang w:val="zh-CN"/>
        </w:rPr>
      </w:pPr>
      <w:r>
        <w:rPr>
          <w:rFonts w:hint="eastAsia" w:ascii="宋体" w:hAnsi="宋体" w:cs="宋体"/>
          <w:lang w:val="zh-CN"/>
        </w:rPr>
        <w:t>3.诉讼期间，本合同继续履行。</w:t>
      </w:r>
    </w:p>
    <w:p w14:paraId="3BF0EDAE">
      <w:pPr>
        <w:spacing w:line="360" w:lineRule="auto"/>
        <w:rPr>
          <w:rFonts w:hint="eastAsia" w:ascii="宋体" w:hAnsi="宋体" w:cs="宋体"/>
          <w:lang w:val="zh-CN"/>
        </w:rPr>
      </w:pPr>
      <w:r>
        <w:rPr>
          <w:rFonts w:hint="eastAsia" w:ascii="宋体" w:hAnsi="宋体" w:cs="宋体"/>
          <w:lang w:val="zh-CN"/>
        </w:rPr>
        <w:t>十一、合同生效及其它：</w:t>
      </w:r>
    </w:p>
    <w:p w14:paraId="4E398871">
      <w:pPr>
        <w:spacing w:line="360" w:lineRule="auto"/>
        <w:ind w:firstLine="360"/>
        <w:rPr>
          <w:rFonts w:hint="eastAsia" w:ascii="宋体" w:hAnsi="宋体" w:cs="宋体"/>
          <w:lang w:val="zh-CN"/>
        </w:rPr>
      </w:pPr>
      <w:r>
        <w:rPr>
          <w:rFonts w:hint="eastAsia" w:ascii="宋体" w:hAnsi="宋体" w:cs="宋体"/>
          <w:lang w:val="zh-CN"/>
        </w:rPr>
        <w:t>1.本合同一式十份，经双方签字，并加盖公章即为生效。</w:t>
      </w:r>
    </w:p>
    <w:p w14:paraId="4630C216">
      <w:pPr>
        <w:spacing w:line="360" w:lineRule="auto"/>
        <w:ind w:firstLine="360"/>
        <w:rPr>
          <w:rFonts w:hint="eastAsia" w:ascii="宋体" w:hAnsi="宋体" w:cs="宋体"/>
          <w:lang w:val="zh-CN"/>
        </w:rPr>
      </w:pPr>
      <w:r>
        <w:rPr>
          <w:rFonts w:hint="eastAsia" w:ascii="宋体" w:hAnsi="宋体" w:cs="宋体"/>
          <w:lang w:val="zh-CN"/>
        </w:rPr>
        <w:t>2.本合同未尽事宜，按《中华人民共和国民法典》有关规定处理。</w:t>
      </w:r>
    </w:p>
    <w:p w14:paraId="18EC6B49">
      <w:pPr>
        <w:spacing w:line="360" w:lineRule="auto"/>
        <w:ind w:firstLine="360"/>
        <w:rPr>
          <w:rFonts w:hint="eastAsia" w:ascii="宋体" w:hAnsi="宋体" w:cs="宋体"/>
          <w:lang w:val="zh-CN"/>
        </w:rPr>
      </w:pPr>
      <w:r>
        <w:rPr>
          <w:rFonts w:hint="eastAsia" w:ascii="宋体" w:hAnsi="宋体" w:cs="宋体"/>
          <w:lang w:val="zh-CN"/>
        </w:rPr>
        <w:t>3.本合同的组成包含《合同通用条款》。</w:t>
      </w:r>
    </w:p>
    <w:p w14:paraId="5A6A3238">
      <w:pPr>
        <w:spacing w:line="360" w:lineRule="auto"/>
        <w:rPr>
          <w:rFonts w:hint="eastAsia" w:ascii="宋体" w:hAnsi="宋体" w:cs="宋体"/>
          <w:lang w:val="zh-CN"/>
        </w:rPr>
      </w:pPr>
      <w:r>
        <w:rPr>
          <w:rFonts w:hint="eastAsia" w:ascii="宋体" w:hAnsi="宋体" w:cs="宋体"/>
          <w:lang w:val="zh-CN"/>
        </w:rPr>
        <w:t>甲方（盖章）：                         乙方（盖章）：</w:t>
      </w:r>
    </w:p>
    <w:p w14:paraId="30E0F1D0">
      <w:pPr>
        <w:spacing w:line="360" w:lineRule="auto"/>
        <w:rPr>
          <w:rFonts w:hint="eastAsia" w:ascii="宋体" w:hAnsi="宋体" w:cs="宋体"/>
          <w:lang w:val="zh-CN"/>
        </w:rPr>
      </w:pPr>
      <w:r>
        <w:rPr>
          <w:rFonts w:hint="eastAsia" w:ascii="宋体" w:hAnsi="宋体" w:cs="宋体"/>
          <w:lang w:val="zh-CN"/>
        </w:rPr>
        <w:t>法定代表人或委托代理人：               法定代表人或委托代理人：</w:t>
      </w:r>
    </w:p>
    <w:p w14:paraId="463962BB">
      <w:pPr>
        <w:spacing w:line="360" w:lineRule="auto"/>
        <w:rPr>
          <w:rFonts w:hint="eastAsia" w:ascii="宋体" w:hAnsi="宋体" w:cs="宋体"/>
          <w:lang w:val="zh-CN"/>
        </w:rPr>
      </w:pPr>
      <w:r>
        <w:rPr>
          <w:rFonts w:hint="eastAsia" w:ascii="宋体" w:hAnsi="宋体" w:cs="宋体"/>
          <w:lang w:val="zh-CN"/>
        </w:rPr>
        <w:t xml:space="preserve">                                       开户银行：</w:t>
      </w:r>
    </w:p>
    <w:p w14:paraId="4852BA4E">
      <w:pPr>
        <w:spacing w:line="360" w:lineRule="auto"/>
        <w:rPr>
          <w:rFonts w:hint="eastAsia" w:ascii="宋体" w:hAnsi="宋体" w:cs="宋体"/>
          <w:lang w:val="zh-CN"/>
        </w:rPr>
      </w:pPr>
      <w:r>
        <w:rPr>
          <w:rFonts w:hint="eastAsia" w:ascii="宋体" w:hAnsi="宋体" w:cs="宋体"/>
          <w:lang w:val="zh-CN"/>
        </w:rPr>
        <w:t xml:space="preserve">                                       账号：</w:t>
      </w:r>
    </w:p>
    <w:p w14:paraId="34956ED2">
      <w:pPr>
        <w:spacing w:line="360" w:lineRule="auto"/>
        <w:rPr>
          <w:rFonts w:hint="eastAsia" w:ascii="宋体" w:hAnsi="宋体" w:cs="宋体"/>
          <w:lang w:val="zh-CN"/>
        </w:rPr>
      </w:pPr>
      <w:r>
        <w:rPr>
          <w:rFonts w:hint="eastAsia" w:ascii="宋体" w:hAnsi="宋体" w:cs="宋体"/>
          <w:lang w:val="zh-CN"/>
        </w:rPr>
        <w:t>地址：                                 地址：</w:t>
      </w:r>
    </w:p>
    <w:p w14:paraId="02E2DCDB">
      <w:pPr>
        <w:spacing w:line="360" w:lineRule="auto"/>
        <w:rPr>
          <w:rFonts w:hint="eastAsia" w:ascii="宋体" w:hAnsi="宋体" w:cs="宋体"/>
          <w:lang w:val="zh-CN"/>
        </w:rPr>
      </w:pPr>
      <w:r>
        <w:rPr>
          <w:rFonts w:hint="eastAsia" w:ascii="宋体" w:hAnsi="宋体" w:cs="宋体"/>
          <w:lang w:val="zh-CN"/>
        </w:rPr>
        <w:t>联系电话：                             联系电话：</w:t>
      </w:r>
    </w:p>
    <w:p w14:paraId="76CE748B">
      <w:pPr>
        <w:spacing w:line="360" w:lineRule="auto"/>
        <w:ind w:firstLine="1320"/>
        <w:rPr>
          <w:rFonts w:hint="eastAsia" w:ascii="宋体" w:hAnsi="宋体" w:cs="宋体"/>
          <w:lang w:val="zh-CN"/>
        </w:rPr>
      </w:pPr>
      <w:r>
        <w:rPr>
          <w:rFonts w:hint="eastAsia" w:ascii="宋体" w:hAnsi="宋体" w:cs="宋体"/>
          <w:lang w:val="zh-CN"/>
        </w:rPr>
        <w:t>签约时间：    年    月    日</w:t>
      </w:r>
    </w:p>
    <w:p w14:paraId="49092913">
      <w:pPr>
        <w:spacing w:after="156" w:line="360" w:lineRule="auto"/>
        <w:jc w:val="center"/>
        <w:rPr>
          <w:rFonts w:hint="eastAsia" w:ascii="宋体" w:hAnsi="宋体" w:cs="Arial"/>
          <w:bCs/>
          <w:color w:val="000000"/>
        </w:rPr>
      </w:pPr>
    </w:p>
    <w:p w14:paraId="253EBD9D">
      <w:pPr>
        <w:spacing w:after="156" w:line="360" w:lineRule="auto"/>
        <w:jc w:val="center"/>
        <w:rPr>
          <w:rFonts w:hint="eastAsia" w:ascii="宋体" w:hAnsi="宋体" w:cs="Arial"/>
          <w:bCs/>
          <w:color w:val="000000"/>
          <w:lang w:val="zh-CN"/>
        </w:rPr>
      </w:pPr>
    </w:p>
    <w:p w14:paraId="21DB2CE2">
      <w:pPr>
        <w:spacing w:after="156" w:line="360" w:lineRule="auto"/>
        <w:jc w:val="center"/>
        <w:rPr>
          <w:rFonts w:hint="eastAsia" w:ascii="宋体" w:hAnsi="宋体" w:cs="Arial"/>
          <w:bCs/>
          <w:color w:val="000000"/>
          <w:lang w:val="zh-CN"/>
        </w:rPr>
      </w:pPr>
    </w:p>
    <w:p w14:paraId="6E4794BB">
      <w:pPr>
        <w:spacing w:after="156" w:line="360" w:lineRule="auto"/>
        <w:jc w:val="center"/>
        <w:rPr>
          <w:rFonts w:ascii="宋体" w:hAnsi="宋体" w:cs="Arial"/>
          <w:bCs/>
          <w:color w:val="000000"/>
        </w:rPr>
      </w:pPr>
      <w:r>
        <w:rPr>
          <w:rFonts w:hint="eastAsia" w:ascii="宋体" w:hAnsi="宋体" w:cs="Arial"/>
          <w:bCs/>
          <w:color w:val="000000"/>
          <w:lang w:val="zh-CN"/>
        </w:rPr>
        <w:br w:type="page"/>
      </w:r>
      <w:r>
        <w:rPr>
          <w:rFonts w:hint="eastAsia" w:ascii="宋体" w:hAnsi="宋体" w:cs="Arial"/>
          <w:bCs/>
          <w:color w:val="000000"/>
          <w:lang w:val="zh-CN"/>
        </w:rPr>
        <w:t>合同通用条款</w:t>
      </w:r>
    </w:p>
    <w:p w14:paraId="3CBE9F36">
      <w:pPr>
        <w:spacing w:line="360" w:lineRule="auto"/>
        <w:ind w:firstLine="48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26995095">
      <w:pPr>
        <w:spacing w:line="360" w:lineRule="auto"/>
        <w:ind w:firstLine="472"/>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755BBBC4">
      <w:pPr>
        <w:spacing w:line="360" w:lineRule="auto"/>
        <w:ind w:firstLine="480"/>
        <w:rPr>
          <w:rFonts w:ascii="宋体" w:hAnsi="宋体" w:cs="Arial"/>
          <w:color w:val="000000"/>
        </w:rPr>
      </w:pPr>
      <w:r>
        <w:rPr>
          <w:rFonts w:hint="eastAsia" w:ascii="宋体" w:hAnsi="宋体" w:cs="Arial"/>
          <w:color w:val="000000"/>
          <w:lang w:val="zh-CN"/>
        </w:rPr>
        <w:t>本合同中的下列术语应解释为：</w:t>
      </w:r>
    </w:p>
    <w:p w14:paraId="7881F7F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582C8D0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4F0F7B2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2C839130">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44603B4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0EC66077">
      <w:pPr>
        <w:spacing w:line="360" w:lineRule="auto"/>
        <w:ind w:firstLine="48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4128F512">
      <w:pPr>
        <w:spacing w:line="360" w:lineRule="auto"/>
        <w:ind w:firstLine="48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694B9E07">
      <w:pPr>
        <w:spacing w:line="360" w:lineRule="auto"/>
        <w:ind w:firstLine="48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2B4035D8">
      <w:pPr>
        <w:spacing w:line="360" w:lineRule="auto"/>
        <w:ind w:firstLine="48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659068A">
      <w:pPr>
        <w:spacing w:line="360" w:lineRule="auto"/>
        <w:ind w:firstLine="48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38542EF9">
      <w:pPr>
        <w:spacing w:line="360" w:lineRule="auto"/>
        <w:ind w:firstLine="48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5230A438">
      <w:pPr>
        <w:spacing w:line="360" w:lineRule="auto"/>
        <w:ind w:firstLine="48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397C4993">
      <w:pPr>
        <w:spacing w:line="360" w:lineRule="auto"/>
        <w:ind w:firstLine="472"/>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2215AE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422F4846">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A04695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8EECBF9">
      <w:pPr>
        <w:spacing w:line="360" w:lineRule="auto"/>
        <w:ind w:firstLine="472"/>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5EA21384">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BF9D5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66C6C4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78EB2A">
      <w:pPr>
        <w:spacing w:line="360" w:lineRule="auto"/>
        <w:ind w:firstLine="472"/>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206B5D7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01EF558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76D1520">
      <w:pPr>
        <w:spacing w:line="360" w:lineRule="auto"/>
        <w:ind w:firstLine="472"/>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431915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1229812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7CB4CBA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E16041C">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130A35D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CCFCB0E">
      <w:pPr>
        <w:spacing w:line="360" w:lineRule="auto"/>
        <w:ind w:firstLine="472"/>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4CA19CD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28929B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3EE8DBC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6CE880E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6EBCF9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862FF2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6E2C5A2F">
      <w:pPr>
        <w:spacing w:line="360" w:lineRule="auto"/>
        <w:ind w:firstLine="472"/>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265421F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1AB115A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3C9797C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F1E64A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E56D838">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69F5414B">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71C81F22">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0D05CD4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0874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30726F77">
      <w:pPr>
        <w:spacing w:line="360" w:lineRule="auto"/>
        <w:ind w:firstLine="482"/>
        <w:rPr>
          <w:rFonts w:ascii="宋体" w:hAnsi="宋体" w:cs="Arial"/>
          <w:color w:val="000000"/>
        </w:rPr>
      </w:pPr>
      <w:r>
        <w:rPr>
          <w:rFonts w:hint="eastAsia" w:ascii="宋体" w:hAnsi="宋体" w:cs="Arial"/>
          <w:b/>
          <w:bCs/>
          <w:color w:val="000000"/>
          <w:lang w:val="zh-CN"/>
        </w:rPr>
        <w:t>八、包装要求</w:t>
      </w:r>
    </w:p>
    <w:p w14:paraId="40DF91C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1ADB3F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10D164DC">
      <w:pPr>
        <w:spacing w:line="360" w:lineRule="auto"/>
        <w:ind w:firstLine="48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678646D0">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2F6A32C7">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2637D89">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0C038B17">
      <w:pPr>
        <w:spacing w:line="360" w:lineRule="auto"/>
        <w:ind w:firstLine="482"/>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07D25ED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B66F97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288C32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7E20EE6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344DB75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7737057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60F3E6DE">
      <w:pPr>
        <w:spacing w:line="360" w:lineRule="auto"/>
        <w:ind w:firstLine="482"/>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27F06184">
      <w:pPr>
        <w:spacing w:line="360" w:lineRule="auto"/>
        <w:ind w:firstLine="48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0351A39">
      <w:pPr>
        <w:spacing w:line="360" w:lineRule="auto"/>
        <w:ind w:firstLine="48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14:paraId="7CF27A37">
      <w:pPr>
        <w:spacing w:line="360" w:lineRule="auto"/>
        <w:ind w:firstLine="480"/>
        <w:rPr>
          <w:rFonts w:ascii="宋体" w:hAnsi="宋体" w:cs="Arial"/>
          <w:color w:val="000000"/>
        </w:rPr>
      </w:pPr>
      <w:r>
        <w:rPr>
          <w:rFonts w:hint="eastAsia" w:ascii="宋体" w:hAnsi="宋体" w:cs="Arial"/>
          <w:color w:val="000000"/>
          <w:lang w:val="zh-CN"/>
        </w:rPr>
        <w:t>交货日期：所有货物运抵现场并经双方开箱验收合格之日。</w:t>
      </w:r>
    </w:p>
    <w:p w14:paraId="44281AA2">
      <w:pPr>
        <w:spacing w:line="360" w:lineRule="auto"/>
        <w:ind w:firstLine="482"/>
        <w:rPr>
          <w:rFonts w:ascii="宋体" w:hAnsi="宋体" w:cs="Arial"/>
          <w:color w:val="000000"/>
        </w:rPr>
      </w:pPr>
      <w:r>
        <w:rPr>
          <w:rFonts w:hint="eastAsia" w:ascii="宋体" w:hAnsi="宋体" w:cs="Arial"/>
          <w:b/>
          <w:color w:val="000000"/>
          <w:lang w:val="zh-CN"/>
        </w:rPr>
        <w:t>十一.检验和验收</w:t>
      </w:r>
    </w:p>
    <w:p w14:paraId="6AD2DBD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253F464B">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CECEE8A">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0D9D54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2D08048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1B1A6FCA">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00C6F800">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3883376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3A3C243A">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5810BD54">
      <w:pPr>
        <w:spacing w:line="360" w:lineRule="auto"/>
        <w:ind w:firstLine="48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0A06A884">
      <w:pPr>
        <w:spacing w:line="360" w:lineRule="auto"/>
        <w:ind w:firstLine="48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42776C78">
      <w:pPr>
        <w:spacing w:line="360" w:lineRule="auto"/>
        <w:ind w:firstLine="48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795694B5">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C69AC8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594199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1A740812">
      <w:pPr>
        <w:spacing w:line="360" w:lineRule="auto"/>
        <w:ind w:firstLine="482"/>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09F54241">
      <w:pPr>
        <w:spacing w:line="360" w:lineRule="auto"/>
        <w:ind w:firstLine="48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651DE03E">
      <w:pPr>
        <w:spacing w:line="360" w:lineRule="auto"/>
        <w:ind w:firstLine="482"/>
        <w:rPr>
          <w:rFonts w:ascii="宋体" w:hAnsi="宋体" w:cs="Arial"/>
          <w:color w:val="000000"/>
        </w:rPr>
      </w:pPr>
      <w:r>
        <w:rPr>
          <w:rFonts w:hint="eastAsia" w:ascii="宋体" w:hAnsi="宋体" w:cs="宋体"/>
          <w:b/>
          <w:bCs/>
          <w:color w:val="000000"/>
          <w:lang w:val="zh-CN"/>
        </w:rPr>
        <w:t>十三、履约保证金</w:t>
      </w:r>
    </w:p>
    <w:p w14:paraId="67493084">
      <w:pPr>
        <w:spacing w:line="360" w:lineRule="auto"/>
        <w:ind w:firstLine="480"/>
        <w:rPr>
          <w:rFonts w:ascii="宋体" w:hAnsi="宋体" w:cs="Arial"/>
          <w:color w:val="000000"/>
        </w:rPr>
      </w:pPr>
      <w:r>
        <w:rPr>
          <w:rFonts w:hint="eastAsia" w:ascii="宋体" w:hAnsi="宋体" w:cs="宋体"/>
          <w:color w:val="000000"/>
          <w:lang w:val="zh-CN"/>
        </w:rPr>
        <w:t>1、乙方应在合同签订</w:t>
      </w:r>
      <w:r>
        <w:rPr>
          <w:rFonts w:hint="eastAsia" w:ascii="宋体" w:hAnsi="宋体" w:cs="宋体"/>
          <w:color w:val="000000"/>
          <w:lang w:val="en-US" w:eastAsia="zh-CN"/>
        </w:rPr>
        <w:t>时</w:t>
      </w:r>
      <w:r>
        <w:rPr>
          <w:rFonts w:hint="eastAsia" w:ascii="宋体" w:hAnsi="宋体" w:cs="宋体"/>
          <w:color w:val="000000"/>
          <w:lang w:val="zh-CN"/>
        </w:rPr>
        <w:t>，按约定提交履约保证金。</w:t>
      </w:r>
    </w:p>
    <w:p w14:paraId="4C4B7764">
      <w:pPr>
        <w:spacing w:line="360" w:lineRule="auto"/>
        <w:ind w:firstLine="48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2CA4664E">
      <w:pPr>
        <w:spacing w:line="360" w:lineRule="auto"/>
        <w:ind w:firstLine="48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0C12013C">
      <w:pPr>
        <w:spacing w:line="360" w:lineRule="auto"/>
        <w:ind w:firstLine="48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1B0ACA80">
      <w:pPr>
        <w:spacing w:line="360" w:lineRule="auto"/>
        <w:ind w:firstLine="480"/>
        <w:rPr>
          <w:rFonts w:ascii="宋体" w:hAnsi="宋体" w:cs="Arial"/>
          <w:color w:val="000000"/>
        </w:rPr>
      </w:pPr>
      <w:r>
        <w:rPr>
          <w:rFonts w:hint="eastAsia" w:ascii="宋体" w:hAnsi="宋体" w:cs="宋体"/>
          <w:color w:val="000000"/>
          <w:lang w:val="zh-CN"/>
        </w:rPr>
        <w:t>5、支票或汇票。</w:t>
      </w:r>
    </w:p>
    <w:p w14:paraId="1531621E">
      <w:pPr>
        <w:spacing w:line="360" w:lineRule="auto"/>
        <w:ind w:firstLine="48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11FDFD26">
      <w:pPr>
        <w:spacing w:line="360" w:lineRule="auto"/>
        <w:ind w:firstLine="482"/>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7A86F7B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B98D6B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7652D50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734509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54972BC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10CA77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52D9FCFA">
      <w:pPr>
        <w:spacing w:line="360" w:lineRule="auto"/>
        <w:ind w:firstLine="482"/>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7ADC2B3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45684FB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2D313C7C">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B4B51CB">
      <w:pPr>
        <w:spacing w:before="156" w:line="360" w:lineRule="auto"/>
        <w:ind w:firstLine="482"/>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66829656">
      <w:pPr>
        <w:spacing w:line="360" w:lineRule="auto"/>
        <w:ind w:firstLine="480"/>
        <w:rPr>
          <w:rFonts w:ascii="宋体" w:hAnsi="宋体" w:cs="Arial"/>
          <w:color w:val="000000"/>
        </w:rPr>
      </w:pPr>
      <w:r>
        <w:rPr>
          <w:rFonts w:hint="eastAsia" w:ascii="宋体" w:hAnsi="宋体" w:cs="Arial"/>
          <w:color w:val="000000"/>
          <w:lang w:val="zh-CN"/>
        </w:rPr>
        <w:t>除不可抗力因素外，</w:t>
      </w:r>
      <w:r>
        <w:rPr>
          <w:rFonts w:hint="eastAsia"/>
          <w:lang w:val="en-US" w:eastAsia="zh-CN"/>
        </w:rPr>
        <w:t>甲方无故延期接受货物或乙方逾期交货的，</w:t>
      </w:r>
      <w:r>
        <w:rPr>
          <w:rFonts w:hint="eastAsia" w:ascii="宋体" w:hAnsi="宋体" w:cs="Arial"/>
          <w:color w:val="000000"/>
          <w:lang w:val="zh-CN"/>
        </w:rPr>
        <w:t>每天应向对方偿付未交货物的货款3‰的违约金，但违约金累计不得超过违约货款的5%，超过30天对方有权解除合同，违约方承担因此给对方造成的经济损失。</w:t>
      </w:r>
    </w:p>
    <w:p w14:paraId="32A0B0CE">
      <w:pPr>
        <w:spacing w:before="156" w:line="360" w:lineRule="auto"/>
        <w:ind w:firstLine="482"/>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01B30E4D">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621324E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429BA4A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53C8FB1B">
      <w:pPr>
        <w:spacing w:before="156" w:line="360" w:lineRule="auto"/>
        <w:ind w:firstLine="482"/>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05C2B556">
      <w:pPr>
        <w:spacing w:line="360" w:lineRule="auto"/>
        <w:ind w:firstLine="480"/>
        <w:rPr>
          <w:rFonts w:ascii="宋体" w:hAnsi="宋体" w:cs="Arial"/>
          <w:color w:val="000000"/>
        </w:rPr>
      </w:pPr>
      <w:r>
        <w:rPr>
          <w:rFonts w:hint="eastAsia" w:ascii="宋体" w:hAnsi="宋体" w:cs="Arial"/>
          <w:color w:val="000000"/>
          <w:lang w:val="zh-CN"/>
        </w:rPr>
        <w:t>与本合同有关的一切税费均由乙方承担。</w:t>
      </w:r>
    </w:p>
    <w:p w14:paraId="597979C4">
      <w:pPr>
        <w:spacing w:before="156" w:line="360" w:lineRule="auto"/>
        <w:ind w:firstLine="482"/>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2E439BB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574A945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564FD354">
      <w:pPr>
        <w:spacing w:before="156" w:line="360" w:lineRule="auto"/>
        <w:ind w:firstLine="482"/>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7BC3B20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5090CA4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2AFF5A2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32B2EEF">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75F082B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A984C85">
      <w:pPr>
        <w:spacing w:before="156" w:line="360" w:lineRule="auto"/>
        <w:ind w:firstLine="482"/>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2C5F910C">
      <w:pPr>
        <w:spacing w:line="360" w:lineRule="auto"/>
        <w:ind w:firstLine="48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5922B41">
      <w:pPr>
        <w:spacing w:before="156" w:line="360" w:lineRule="auto"/>
        <w:ind w:firstLine="482"/>
        <w:rPr>
          <w:rFonts w:hint="eastAsia" w:ascii="宋体" w:hAnsi="宋体" w:eastAsia="宋体" w:cs="Arial"/>
          <w:b/>
          <w:bCs/>
          <w:color w:val="000000"/>
        </w:rPr>
      </w:pPr>
      <w:r>
        <w:rPr>
          <w:rFonts w:hint="eastAsia" w:ascii="宋体" w:hAnsi="宋体" w:eastAsia="宋体" w:cs="Arial"/>
          <w:b/>
          <w:bCs/>
          <w:color w:val="000000"/>
        </w:rPr>
        <w:t>二十二、</w:t>
      </w:r>
      <w:r>
        <w:rPr>
          <w:rFonts w:hint="eastAsia" w:ascii="宋体" w:hAnsi="宋体" w:eastAsia="宋体" w:cs="Arial"/>
          <w:b/>
          <w:bCs/>
          <w:color w:val="000000"/>
          <w:lang w:val="zh-CN"/>
        </w:rPr>
        <w:t>合同的变更、终止与转让</w:t>
      </w:r>
    </w:p>
    <w:p w14:paraId="3470096F">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除《中华人民共和国政府采购法》第</w:t>
      </w:r>
      <w:r>
        <w:rPr>
          <w:rFonts w:hint="eastAsia" w:ascii="宋体" w:hAnsi="宋体" w:eastAsia="宋体" w:cs="Times New Roman"/>
        </w:rPr>
        <w:t>50</w:t>
      </w:r>
      <w:r>
        <w:rPr>
          <w:rFonts w:hint="eastAsia" w:ascii="宋体" w:hAnsi="宋体" w:eastAsia="宋体" w:cs="Times New Roman"/>
          <w:lang w:val="zh-CN"/>
        </w:rPr>
        <w:t>条规定的情形外，本合同一经签订，甲乙双方不得擅自变更、中止或终止。</w:t>
      </w:r>
    </w:p>
    <w:p w14:paraId="72296036">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乙方不得擅自转让其应履行的合同义务。</w:t>
      </w:r>
    </w:p>
    <w:p w14:paraId="132370A0">
      <w:pPr>
        <w:spacing w:line="360" w:lineRule="auto"/>
        <w:ind w:firstLine="482"/>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F387E89">
      <w:pPr>
        <w:spacing w:line="360" w:lineRule="auto"/>
        <w:ind w:firstLine="48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06B8F4A0">
      <w:pPr>
        <w:spacing w:before="156" w:line="360" w:lineRule="auto"/>
        <w:ind w:firstLine="482"/>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5D14C358">
      <w:pPr>
        <w:spacing w:line="360" w:lineRule="auto"/>
        <w:ind w:firstLine="48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01D38D40">
      <w:pPr>
        <w:spacing w:before="156" w:line="360" w:lineRule="auto"/>
        <w:ind w:firstLine="472"/>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3D126E03">
      <w:pPr>
        <w:spacing w:line="360" w:lineRule="auto"/>
        <w:ind w:firstLine="48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01BCE79C">
      <w:pPr>
        <w:spacing w:before="156" w:line="360" w:lineRule="auto"/>
        <w:ind w:firstLine="472"/>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4369E84B">
      <w:pPr>
        <w:spacing w:line="360" w:lineRule="auto"/>
        <w:ind w:firstLine="480"/>
        <w:rPr>
          <w:rFonts w:ascii="宋体" w:hAnsi="宋体" w:cs="Courier New"/>
          <w:b/>
          <w:color w:val="000000"/>
        </w:rPr>
      </w:pPr>
      <w:r>
        <w:rPr>
          <w:rFonts w:hint="eastAsia" w:ascii="宋体" w:hAnsi="宋体" w:cs="Arial"/>
          <w:color w:val="000000"/>
          <w:lang w:val="zh-CN"/>
        </w:rPr>
        <w:t>本合同按照中华人民共和国的相关法律进行解释</w:t>
      </w:r>
    </w:p>
    <w:p w14:paraId="67213DF1">
      <w:pPr>
        <w:spacing w:line="360" w:lineRule="auto"/>
        <w:jc w:val="center"/>
        <w:rPr>
          <w:rFonts w:ascii="宋体" w:hAnsi="宋体" w:cs="Courier New"/>
          <w:b/>
          <w:color w:val="000000"/>
        </w:rPr>
      </w:pPr>
    </w:p>
    <w:p w14:paraId="525D460C">
      <w:pPr>
        <w:pStyle w:val="249"/>
        <w:rPr>
          <w:rFonts w:hint="eastAsia"/>
        </w:rPr>
      </w:pPr>
    </w:p>
    <w:p w14:paraId="242D3132">
      <w:pPr>
        <w:pStyle w:val="249"/>
        <w:rPr>
          <w:rFonts w:hint="eastAsia"/>
        </w:rPr>
      </w:pPr>
    </w:p>
    <w:p w14:paraId="746F5B5F">
      <w:pPr>
        <w:pStyle w:val="249"/>
        <w:rPr>
          <w:rFonts w:hint="eastAsia"/>
        </w:rPr>
      </w:pPr>
    </w:p>
    <w:p w14:paraId="06AF5EA0">
      <w:pPr>
        <w:pStyle w:val="249"/>
        <w:rPr>
          <w:rFonts w:hint="eastAsia"/>
        </w:rPr>
      </w:pPr>
    </w:p>
    <w:p w14:paraId="7EE916FC">
      <w:pPr>
        <w:pStyle w:val="249"/>
        <w:rPr>
          <w:rFonts w:hint="eastAsia"/>
        </w:rPr>
      </w:pPr>
    </w:p>
    <w:p w14:paraId="1C530292">
      <w:pPr>
        <w:pStyle w:val="249"/>
        <w:rPr>
          <w:rFonts w:hint="eastAsia"/>
        </w:rPr>
      </w:pPr>
    </w:p>
    <w:p w14:paraId="55B936E0">
      <w:pPr>
        <w:pStyle w:val="249"/>
        <w:rPr>
          <w:rFonts w:hint="eastAsia"/>
        </w:rPr>
      </w:pPr>
    </w:p>
    <w:p w14:paraId="3006B245">
      <w:pPr>
        <w:pStyle w:val="249"/>
        <w:rPr>
          <w:rFonts w:hint="eastAsia"/>
        </w:rPr>
      </w:pPr>
    </w:p>
    <w:p w14:paraId="7F1EF7B6">
      <w:pPr>
        <w:pStyle w:val="249"/>
        <w:rPr>
          <w:rFonts w:hint="eastAsia"/>
        </w:rPr>
      </w:pPr>
      <w:r>
        <w:rPr>
          <w:rFonts w:hint="eastAsia"/>
        </w:rPr>
        <w:br w:type="page"/>
      </w:r>
    </w:p>
    <w:p w14:paraId="00F22C8F">
      <w:pPr>
        <w:pStyle w:val="234"/>
        <w:numPr>
          <w:ilvl w:val="0"/>
          <w:numId w:val="6"/>
        </w:numPr>
        <w:spacing w:before="0" w:after="0" w:line="360" w:lineRule="auto"/>
        <w:rPr>
          <w:rFonts w:hint="eastAsia" w:ascii="宋体" w:hAnsi="宋体" w:cs="宋体"/>
          <w:color w:val="000000"/>
          <w:szCs w:val="36"/>
          <w:lang w:val="zh-CN"/>
        </w:rPr>
      </w:pPr>
      <w:bookmarkStart w:id="50" w:name="_Toc6005"/>
      <w:r>
        <w:rPr>
          <w:rFonts w:hint="eastAsia" w:ascii="宋体" w:hAnsi="宋体" w:cs="宋体"/>
          <w:color w:val="000000"/>
          <w:szCs w:val="36"/>
          <w:lang w:val="zh-CN"/>
        </w:rPr>
        <w:t>投标文件格式</w:t>
      </w:r>
      <w:bookmarkEnd w:id="50"/>
    </w:p>
    <w:p w14:paraId="40407765">
      <w:pPr>
        <w:pStyle w:val="234"/>
        <w:spacing w:before="0" w:after="0" w:line="360" w:lineRule="auto"/>
        <w:jc w:val="left"/>
        <w:outlineLvl w:val="1"/>
        <w:rPr>
          <w:rFonts w:hint="eastAsia" w:ascii="宋体" w:hAnsi="宋体" w:cs="宋体"/>
          <w:color w:val="000000"/>
        </w:rPr>
      </w:pPr>
      <w:bookmarkStart w:id="51" w:name="_Toc11851"/>
      <w:bookmarkStart w:id="52" w:name="_Toc32159"/>
      <w:r>
        <w:rPr>
          <w:rFonts w:hint="eastAsia" w:ascii="宋体" w:hAnsi="宋体" w:cs="宋体"/>
          <w:color w:val="000000"/>
          <w:sz w:val="30"/>
          <w:szCs w:val="30"/>
          <w:lang w:val="zh-CN"/>
        </w:rPr>
        <w:t>封面</w:t>
      </w:r>
      <w:bookmarkEnd w:id="51"/>
      <w:r>
        <w:rPr>
          <w:rFonts w:hint="eastAsia" w:ascii="宋体" w:hAnsi="宋体" w:cs="宋体"/>
          <w:color w:val="000000"/>
          <w:sz w:val="30"/>
          <w:szCs w:val="30"/>
          <w:lang w:val="zh-CN"/>
        </w:rPr>
        <w:t>（上册）</w:t>
      </w:r>
      <w:bookmarkEnd w:id="52"/>
    </w:p>
    <w:p w14:paraId="6686DA9A">
      <w:pPr>
        <w:spacing w:line="360" w:lineRule="auto"/>
        <w:jc w:val="center"/>
        <w:rPr>
          <w:rFonts w:hint="eastAsia" w:ascii="宋体" w:hAnsi="宋体" w:cs="宋体"/>
          <w:b/>
          <w:bCs/>
          <w:color w:val="000000"/>
          <w:sz w:val="36"/>
          <w:szCs w:val="36"/>
        </w:rPr>
      </w:pPr>
    </w:p>
    <w:p w14:paraId="0742DEFB">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70F5920A">
      <w:pPr>
        <w:spacing w:line="360" w:lineRule="auto"/>
        <w:rPr>
          <w:rFonts w:hint="eastAsia" w:ascii="宋体" w:hAnsi="宋体" w:cs="宋体"/>
          <w:color w:val="000000"/>
          <w:sz w:val="36"/>
          <w:szCs w:val="36"/>
        </w:rPr>
      </w:pPr>
    </w:p>
    <w:p w14:paraId="36743DB3">
      <w:pPr>
        <w:spacing w:line="360" w:lineRule="auto"/>
        <w:jc w:val="center"/>
        <w:rPr>
          <w:rFonts w:hint="eastAsia" w:ascii="宋体" w:hAnsi="宋体" w:cs="宋体"/>
          <w:b/>
          <w:bCs/>
          <w:color w:val="000000"/>
          <w:sz w:val="72"/>
          <w:szCs w:val="72"/>
          <w:lang w:val="zh-CN"/>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244476BD">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36"/>
          <w:szCs w:val="36"/>
          <w:lang w:val="zh-CN"/>
        </w:rPr>
        <w:t>（上册）</w:t>
      </w:r>
    </w:p>
    <w:p w14:paraId="64C0DA1B">
      <w:pPr>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89F005B">
      <w:pPr>
        <w:spacing w:line="360" w:lineRule="auto"/>
        <w:rPr>
          <w:rFonts w:hint="eastAsia" w:ascii="宋体" w:hAnsi="宋体" w:cs="宋体"/>
          <w:color w:val="000000"/>
          <w:sz w:val="36"/>
          <w:szCs w:val="36"/>
        </w:rPr>
      </w:pPr>
    </w:p>
    <w:p w14:paraId="3CE0CC4C">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919C01D">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3F064F8F">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lang w:val="zh-CN"/>
        </w:rPr>
        <w:t>投</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标</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包</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号：</w:t>
      </w:r>
    </w:p>
    <w:p w14:paraId="6EF7D9ED">
      <w:pPr>
        <w:spacing w:line="360" w:lineRule="auto"/>
        <w:rPr>
          <w:rFonts w:hint="eastAsia" w:ascii="宋体" w:hAnsi="宋体" w:cs="宋体"/>
          <w:b/>
          <w:bCs/>
          <w:color w:val="000000"/>
          <w:sz w:val="36"/>
          <w:szCs w:val="36"/>
        </w:rPr>
      </w:pPr>
    </w:p>
    <w:p w14:paraId="7EC0B628">
      <w:pPr>
        <w:spacing w:line="360" w:lineRule="auto"/>
        <w:rPr>
          <w:rFonts w:hint="eastAsia" w:ascii="宋体" w:hAnsi="宋体" w:cs="宋体"/>
          <w:b/>
          <w:bCs/>
          <w:color w:val="000000"/>
          <w:sz w:val="36"/>
          <w:szCs w:val="36"/>
        </w:rPr>
      </w:pPr>
    </w:p>
    <w:p w14:paraId="6EAC5F35">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659DB4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327CE891">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34349835">
      <w:pPr>
        <w:pStyle w:val="234"/>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lang w:val="zh-CN"/>
        </w:rPr>
        <w:br w:type="page" w:clear="all"/>
      </w:r>
      <w:bookmarkStart w:id="53" w:name="_Toc20930"/>
      <w:bookmarkStart w:id="54" w:name="_Toc8514"/>
      <w:bookmarkStart w:id="55" w:name="_Toc29902"/>
      <w:r>
        <w:rPr>
          <w:rFonts w:hint="eastAsia" w:ascii="宋体" w:hAnsi="宋体" w:cs="宋体"/>
          <w:color w:val="000000"/>
          <w:sz w:val="30"/>
          <w:szCs w:val="30"/>
          <w:lang w:val="zh-CN"/>
        </w:rPr>
        <w:t>目录（上册）</w:t>
      </w:r>
      <w:bookmarkEnd w:id="53"/>
    </w:p>
    <w:p w14:paraId="03179AC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投标函……………………………………………………………所在页码</w:t>
      </w:r>
    </w:p>
    <w:p w14:paraId="17E9D94E">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法定代表人证明书………………………………………………所在页码</w:t>
      </w:r>
    </w:p>
    <w:p w14:paraId="6AF7C43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法定代表人授权书………………………………………………所在页码</w:t>
      </w:r>
    </w:p>
    <w:p w14:paraId="7E9B799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投标人承诺函……………………………………………………所在页码</w:t>
      </w:r>
    </w:p>
    <w:p w14:paraId="6822B713">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投标人诚信承诺书………………………………………………所在页码</w:t>
      </w:r>
    </w:p>
    <w:p w14:paraId="2B08F5DD">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资格证明材料……………………………………………………所在页码</w:t>
      </w:r>
    </w:p>
    <w:p w14:paraId="2529D286">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财务状况报告，依法缴纳税收和社会保障资金的相关材料…所在页码</w:t>
      </w:r>
    </w:p>
    <w:p w14:paraId="13E3273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具备履行合同所必需的设备和专业技术能力的证明材料……所在页码</w:t>
      </w:r>
    </w:p>
    <w:p w14:paraId="66ED5CC1">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无重大违法记录声明……………………………………………所在页码</w:t>
      </w:r>
    </w:p>
    <w:bookmarkEnd w:id="54"/>
    <w:bookmarkEnd w:id="55"/>
    <w:p w14:paraId="71979AC7">
      <w:pPr>
        <w:pStyle w:val="234"/>
        <w:spacing w:before="0" w:after="0" w:line="360" w:lineRule="auto"/>
        <w:jc w:val="left"/>
        <w:outlineLvl w:val="1"/>
        <w:rPr>
          <w:rFonts w:hint="eastAsia" w:ascii="宋体" w:hAnsi="宋体" w:cs="宋体"/>
          <w:color w:val="000000"/>
          <w:lang w:val="zh-CN"/>
        </w:rPr>
      </w:pPr>
      <w:bookmarkStart w:id="56" w:name="_Toc19582"/>
      <w:r>
        <w:rPr>
          <w:rFonts w:hint="eastAsia" w:ascii="宋体" w:hAnsi="宋体" w:cs="宋体"/>
          <w:color w:val="000000"/>
          <w:sz w:val="30"/>
          <w:szCs w:val="30"/>
          <w:lang w:val="zh-CN"/>
        </w:rPr>
        <w:br w:type="page" w:clear="all"/>
      </w:r>
      <w:bookmarkStart w:id="57" w:name="_Toc342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6"/>
      <w:bookmarkEnd w:id="57"/>
    </w:p>
    <w:p w14:paraId="32036A26">
      <w:pPr>
        <w:spacing w:line="360" w:lineRule="auto"/>
        <w:rPr>
          <w:rFonts w:hint="eastAsia" w:ascii="宋体" w:hAnsi="宋体" w:cs="宋体"/>
          <w:b/>
          <w:bCs/>
          <w:color w:val="000000"/>
          <w:sz w:val="28"/>
          <w:szCs w:val="28"/>
          <w:lang w:val="zh-CN"/>
        </w:rPr>
      </w:pPr>
    </w:p>
    <w:p w14:paraId="4461650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投标函</w:t>
      </w:r>
    </w:p>
    <w:p w14:paraId="20EF6EA7">
      <w:pPr>
        <w:spacing w:line="360" w:lineRule="auto"/>
        <w:rPr>
          <w:rFonts w:hint="eastAsia" w:ascii="宋体" w:hAnsi="宋体" w:cs="宋体"/>
          <w:b/>
          <w:bCs/>
          <w:color w:val="000000"/>
          <w:sz w:val="28"/>
          <w:szCs w:val="28"/>
          <w:lang w:val="zh-CN"/>
        </w:rPr>
      </w:pPr>
    </w:p>
    <w:p w14:paraId="2222EAD0">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2BADB88">
      <w:pPr>
        <w:spacing w:line="360" w:lineRule="auto"/>
        <w:ind w:firstLine="480"/>
        <w:rPr>
          <w:rFonts w:hint="eastAsia" w:ascii="宋体" w:hAnsi="宋体" w:cs="宋体"/>
          <w:color w:val="000000"/>
          <w:lang w:val="zh-CN"/>
        </w:rPr>
      </w:pPr>
      <w:r>
        <w:rPr>
          <w:rFonts w:hint="eastAsia" w:ascii="宋体" w:hAnsi="宋体" w:cs="宋体"/>
          <w:color w:val="000000"/>
          <w:lang w:val="zh-CN"/>
        </w:rPr>
        <w:t>我们收到</w:t>
      </w:r>
      <w:r>
        <w:rPr>
          <w:rFonts w:hint="eastAsia" w:ascii="宋体" w:hAnsi="宋体" w:cs="宋体"/>
          <w:color w:val="000000"/>
          <w:u w:val="single"/>
          <w:lang w:val="zh-CN"/>
        </w:rPr>
        <w:t>采购项目名称（采购项目编号）</w:t>
      </w:r>
      <w:r>
        <w:rPr>
          <w:rFonts w:hint="eastAsia" w:ascii="宋体" w:hAnsi="宋体" w:cs="宋体"/>
          <w:color w:val="000000"/>
          <w:lang w:val="zh-CN"/>
        </w:rPr>
        <w:t>招标文件，经研究，法定代表人（姓名、职务）正式授权（委托代理人姓名、职务）代表投标人（投标人名称、地址）提交投标文件。</w:t>
      </w:r>
    </w:p>
    <w:p w14:paraId="30144BAC">
      <w:pPr>
        <w:spacing w:line="360" w:lineRule="auto"/>
        <w:ind w:firstLine="480"/>
        <w:rPr>
          <w:rFonts w:hint="eastAsia" w:ascii="宋体" w:hAnsi="宋体" w:cs="宋体"/>
          <w:color w:val="000000"/>
          <w:lang w:val="zh-CN"/>
        </w:rPr>
      </w:pPr>
      <w:r>
        <w:rPr>
          <w:rFonts w:hint="eastAsia" w:ascii="宋体" w:hAnsi="宋体" w:cs="宋体"/>
          <w:color w:val="000000"/>
          <w:lang w:val="zh-CN"/>
        </w:rPr>
        <w:t>据此函，签字代表宣布同意如下：</w:t>
      </w:r>
    </w:p>
    <w:p w14:paraId="6C8E8883">
      <w:pPr>
        <w:spacing w:line="360" w:lineRule="auto"/>
        <w:ind w:firstLine="480"/>
        <w:rPr>
          <w:rFonts w:hint="eastAsia" w:ascii="宋体" w:hAnsi="宋体" w:cs="宋体"/>
          <w:color w:val="000000"/>
          <w:lang w:val="zh-CN"/>
        </w:rPr>
      </w:pPr>
      <w:r>
        <w:rPr>
          <w:rFonts w:hint="eastAsia" w:ascii="宋体" w:hAnsi="宋体" w:cs="宋体"/>
          <w:color w:val="000000"/>
          <w:lang w:val="zh-CN"/>
        </w:rPr>
        <w:t>1.我方已详阅招标文件的全部内容，包括澄清、修改条款等有关附件，承诺对其完全理解并接受。</w:t>
      </w:r>
    </w:p>
    <w:p w14:paraId="393020CC">
      <w:pPr>
        <w:spacing w:line="360" w:lineRule="auto"/>
        <w:ind w:firstLine="480"/>
        <w:rPr>
          <w:rFonts w:hint="eastAsia" w:ascii="宋体" w:hAnsi="宋体" w:cs="宋体"/>
          <w:color w:val="000000"/>
          <w:lang w:val="zh-CN"/>
        </w:rPr>
      </w:pPr>
      <w:r>
        <w:rPr>
          <w:rFonts w:hint="eastAsia" w:ascii="宋体" w:hAnsi="宋体" w:cs="宋体"/>
          <w:color w:val="00000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lang w:val="zh-CN"/>
        </w:rPr>
        <w:t xml:space="preserve">  60  </w:t>
      </w:r>
      <w:r>
        <w:rPr>
          <w:rFonts w:hint="eastAsia" w:ascii="宋体" w:hAnsi="宋体" w:cs="宋体"/>
          <w:color w:val="000000"/>
          <w:lang w:val="zh-CN"/>
        </w:rPr>
        <w:t>日历日内有效。如果我方在投标有效期内撤回投标或中标后不签约的，投标保证金将被贵方没收。</w:t>
      </w:r>
    </w:p>
    <w:p w14:paraId="3298D58B">
      <w:pPr>
        <w:spacing w:line="360" w:lineRule="auto"/>
        <w:ind w:firstLine="480"/>
        <w:rPr>
          <w:rFonts w:hint="eastAsia" w:ascii="宋体" w:hAnsi="宋体" w:cs="宋体"/>
          <w:color w:val="000000"/>
          <w:lang w:val="zh-CN"/>
        </w:rPr>
      </w:pPr>
      <w:r>
        <w:rPr>
          <w:rFonts w:hint="eastAsia" w:ascii="宋体" w:hAnsi="宋体" w:cs="宋体"/>
          <w:color w:val="000000"/>
          <w:lang w:val="zh-CN"/>
        </w:rPr>
        <w:t>3.我方同意按照贵方要求提供与投标有关的一切数据或资料，理解并接受贵方制定的评标办法。</w:t>
      </w:r>
    </w:p>
    <w:p w14:paraId="742A7BF2">
      <w:pPr>
        <w:spacing w:line="360" w:lineRule="auto"/>
        <w:ind w:firstLine="480"/>
        <w:rPr>
          <w:rFonts w:hint="eastAsia" w:ascii="宋体" w:hAnsi="宋体" w:cs="宋体"/>
          <w:color w:val="000000"/>
          <w:lang w:val="zh-CN"/>
        </w:rPr>
      </w:pPr>
      <w:r>
        <w:rPr>
          <w:rFonts w:hint="eastAsia" w:ascii="宋体" w:hAnsi="宋体" w:cs="宋体"/>
          <w:color w:val="000000"/>
          <w:lang w:val="zh-CN"/>
        </w:rPr>
        <w:t>4.与本投标有关的一切正式往来通讯请寄：</w:t>
      </w:r>
    </w:p>
    <w:p w14:paraId="7F837BD9">
      <w:pPr>
        <w:spacing w:line="360" w:lineRule="auto"/>
        <w:rPr>
          <w:rFonts w:hint="eastAsia" w:ascii="宋体" w:hAnsi="宋体" w:cs="宋体"/>
          <w:color w:val="000000"/>
          <w:lang w:val="zh-CN"/>
        </w:rPr>
      </w:pPr>
    </w:p>
    <w:p w14:paraId="4103F414">
      <w:pPr>
        <w:spacing w:line="360" w:lineRule="auto"/>
        <w:rPr>
          <w:rFonts w:hint="eastAsia" w:ascii="宋体" w:hAnsi="宋体" w:cs="宋体"/>
          <w:color w:val="000000"/>
          <w:lang w:val="zh-CN"/>
        </w:rPr>
      </w:pPr>
      <w:r>
        <w:rPr>
          <w:rFonts w:hint="eastAsia" w:ascii="宋体" w:hAnsi="宋体" w:cs="宋体"/>
          <w:color w:val="000000"/>
          <w:lang w:val="zh-CN"/>
        </w:rPr>
        <w:t>地址：_______________          邮编：______________</w:t>
      </w:r>
    </w:p>
    <w:p w14:paraId="0B7C214C">
      <w:pPr>
        <w:spacing w:line="360" w:lineRule="auto"/>
        <w:rPr>
          <w:rFonts w:hint="eastAsia" w:ascii="宋体" w:hAnsi="宋体" w:cs="宋体"/>
          <w:color w:val="000000"/>
          <w:lang w:val="zh-CN"/>
        </w:rPr>
      </w:pPr>
      <w:r>
        <w:rPr>
          <w:rFonts w:hint="eastAsia" w:ascii="宋体" w:hAnsi="宋体" w:cs="宋体"/>
          <w:color w:val="000000"/>
          <w:lang w:val="zh-CN"/>
        </w:rPr>
        <w:t>电话：_______________          传真：______________</w:t>
      </w:r>
    </w:p>
    <w:p w14:paraId="45548FD2">
      <w:pPr>
        <w:spacing w:line="360" w:lineRule="auto"/>
        <w:rPr>
          <w:rFonts w:hint="eastAsia" w:ascii="宋体" w:hAnsi="宋体" w:cs="宋体"/>
          <w:color w:val="000000"/>
          <w:lang w:val="zh-CN"/>
        </w:rPr>
      </w:pPr>
      <w:r>
        <w:rPr>
          <w:rFonts w:hint="eastAsia" w:ascii="宋体" w:hAnsi="宋体" w:cs="宋体"/>
          <w:color w:val="000000"/>
          <w:lang w:val="zh-CN"/>
        </w:rPr>
        <w:t>法定代表人姓名： ___________   职务：____________</w:t>
      </w:r>
    </w:p>
    <w:p w14:paraId="060BB19C">
      <w:pPr>
        <w:spacing w:line="360" w:lineRule="auto"/>
        <w:rPr>
          <w:rFonts w:hint="eastAsia" w:ascii="宋体" w:hAnsi="宋体" w:cs="宋体"/>
          <w:color w:val="000000"/>
          <w:lang w:val="zh-CN"/>
        </w:rPr>
      </w:pPr>
    </w:p>
    <w:p w14:paraId="75DF04AB">
      <w:pPr>
        <w:spacing w:line="360" w:lineRule="auto"/>
        <w:rPr>
          <w:rFonts w:hint="eastAsia" w:ascii="宋体" w:hAnsi="宋体" w:cs="宋体"/>
          <w:color w:val="000000"/>
          <w:lang w:val="zh-CN"/>
        </w:rPr>
      </w:pPr>
    </w:p>
    <w:p w14:paraId="541FA82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4B1E1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4D9BA45E">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10B4292">
      <w:pPr>
        <w:pStyle w:val="234"/>
        <w:spacing w:before="0" w:after="0" w:line="360" w:lineRule="auto"/>
        <w:jc w:val="left"/>
        <w:outlineLvl w:val="1"/>
        <w:rPr>
          <w:rFonts w:hint="eastAsia" w:ascii="宋体" w:hAnsi="宋体" w:cs="宋体"/>
          <w:color w:val="000000"/>
        </w:rPr>
      </w:pPr>
      <w:r>
        <w:rPr>
          <w:rFonts w:hint="eastAsia" w:ascii="宋体" w:hAnsi="宋体" w:cs="宋体"/>
          <w:b w:val="0"/>
          <w:bCs w:val="0"/>
          <w:color w:val="000000"/>
          <w:sz w:val="24"/>
          <w:lang w:val="zh-CN"/>
        </w:rPr>
        <w:br w:type="page" w:clear="all"/>
      </w:r>
      <w:bookmarkStart w:id="58" w:name="_Toc3733"/>
      <w:bookmarkStart w:id="59" w:name="_Toc29944"/>
      <w:r>
        <w:rPr>
          <w:rFonts w:hint="eastAsia" w:ascii="宋体" w:hAnsi="宋体" w:cs="宋体"/>
          <w:color w:val="000000"/>
          <w:sz w:val="30"/>
          <w:szCs w:val="30"/>
          <w:lang w:val="zh-CN"/>
        </w:rPr>
        <w:t>（</w:t>
      </w:r>
      <w:r>
        <w:rPr>
          <w:rFonts w:hint="eastAsia" w:ascii="宋体" w:hAnsi="宋体" w:cs="宋体"/>
          <w:color w:val="000000"/>
          <w:sz w:val="30"/>
          <w:szCs w:val="30"/>
        </w:rPr>
        <w:t>2</w:t>
      </w:r>
      <w:r>
        <w:rPr>
          <w:rFonts w:hint="eastAsia" w:ascii="宋体" w:hAnsi="宋体" w:cs="宋体"/>
          <w:color w:val="000000"/>
          <w:sz w:val="30"/>
          <w:szCs w:val="30"/>
          <w:lang w:val="zh-CN"/>
        </w:rPr>
        <w:t>）</w:t>
      </w:r>
      <w:r>
        <w:rPr>
          <w:rFonts w:hint="eastAsia" w:ascii="宋体" w:hAnsi="宋体" w:cs="宋体"/>
          <w:color w:val="000000"/>
          <w:sz w:val="30"/>
          <w:szCs w:val="30"/>
        </w:rPr>
        <w:t>法定代表人证明书</w:t>
      </w:r>
      <w:bookmarkEnd w:id="58"/>
    </w:p>
    <w:p w14:paraId="6E7CCE8C">
      <w:pPr>
        <w:spacing w:line="360" w:lineRule="auto"/>
        <w:rPr>
          <w:rFonts w:hint="eastAsia" w:ascii="宋体" w:hAnsi="宋体" w:cs="宋体"/>
          <w:color w:val="000000"/>
          <w:sz w:val="28"/>
          <w:szCs w:val="28"/>
          <w:lang w:val="zh-CN"/>
        </w:rPr>
      </w:pPr>
    </w:p>
    <w:p w14:paraId="4B410049">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法定代表人证明书</w:t>
      </w:r>
    </w:p>
    <w:p w14:paraId="5B4BC675">
      <w:pPr>
        <w:spacing w:line="360" w:lineRule="auto"/>
        <w:rPr>
          <w:rFonts w:hint="eastAsia" w:ascii="宋体" w:hAnsi="宋体" w:cs="宋体"/>
          <w:b/>
          <w:bCs/>
          <w:color w:val="000000"/>
          <w:sz w:val="28"/>
          <w:szCs w:val="28"/>
          <w:lang w:val="zh-CN"/>
        </w:rPr>
      </w:pPr>
    </w:p>
    <w:p w14:paraId="0D75EFC6">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298B7ED4">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职务，为法定代表人，特此证明。</w:t>
      </w:r>
    </w:p>
    <w:p w14:paraId="0AEEF5E1">
      <w:pPr>
        <w:spacing w:line="360" w:lineRule="auto"/>
        <w:rPr>
          <w:rFonts w:hint="eastAsia" w:ascii="宋体" w:hAnsi="宋体" w:cs="宋体"/>
          <w:color w:val="000000"/>
          <w:lang w:val="zh-CN"/>
        </w:rPr>
      </w:pPr>
    </w:p>
    <w:p w14:paraId="38A1F180">
      <w:pPr>
        <w:spacing w:line="360" w:lineRule="auto"/>
        <w:rPr>
          <w:rFonts w:hint="eastAsia" w:ascii="宋体" w:hAnsi="宋体" w:cs="宋体"/>
          <w:color w:val="000000"/>
          <w:lang w:val="zh-CN"/>
        </w:rPr>
      </w:pPr>
      <w:r>
        <w:rPr>
          <w:rFonts w:hint="eastAsia" w:ascii="宋体" w:hAnsi="宋体" w:cs="宋体"/>
          <w:color w:val="000000"/>
          <w:lang w:val="zh-CN"/>
        </w:rPr>
        <w:t>法定代表人基本情况：</w:t>
      </w:r>
    </w:p>
    <w:p w14:paraId="7FCD52BC">
      <w:pPr>
        <w:spacing w:line="360" w:lineRule="auto"/>
        <w:rPr>
          <w:rFonts w:hint="eastAsia"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14:paraId="22B04F60">
      <w:pPr>
        <w:spacing w:line="360" w:lineRule="auto"/>
        <w:rPr>
          <w:rFonts w:hint="eastAsia"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14:paraId="3426BB26">
      <w:pPr>
        <w:spacing w:line="360" w:lineRule="auto"/>
        <w:rPr>
          <w:rFonts w:hint="eastAsia"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14:paraId="73E76675">
      <w:pPr>
        <w:spacing w:line="360" w:lineRule="auto"/>
        <w:rPr>
          <w:rFonts w:hint="eastAsia" w:ascii="宋体" w:hAnsi="宋体" w:cs="宋体"/>
          <w:color w:val="000000"/>
          <w:lang w:val="zh-CN"/>
        </w:rPr>
      </w:pPr>
    </w:p>
    <w:p w14:paraId="03551DA1">
      <w:pPr>
        <w:spacing w:line="360" w:lineRule="auto"/>
        <w:rPr>
          <w:rFonts w:hint="eastAsia" w:ascii="宋体" w:hAnsi="宋体" w:cs="宋体"/>
          <w:color w:val="000000"/>
          <w:lang w:val="zh-CN"/>
        </w:rPr>
      </w:pPr>
      <w:r>
        <w:rPr>
          <w:rFonts w:hint="eastAsia" w:ascii="宋体" w:hAnsi="宋体" w:cs="宋体"/>
          <w:color w:val="000000"/>
          <w:lang w:val="zh-CN"/>
        </w:rPr>
        <w:t>附法定代表人第二代身份证双面扫描（或复印）件</w:t>
      </w:r>
    </w:p>
    <w:p w14:paraId="405611DE">
      <w:pPr>
        <w:spacing w:line="360" w:lineRule="auto"/>
        <w:rPr>
          <w:rFonts w:hint="eastAsia" w:ascii="宋体" w:hAnsi="宋体" w:cs="宋体"/>
          <w:color w:val="000000"/>
          <w:lang w:val="zh-CN"/>
        </w:rPr>
      </w:pPr>
    </w:p>
    <w:p w14:paraId="2A099F4C">
      <w:pPr>
        <w:spacing w:line="360" w:lineRule="auto"/>
        <w:rPr>
          <w:rFonts w:hint="eastAsia" w:ascii="宋体" w:hAnsi="宋体" w:cs="宋体"/>
          <w:color w:val="000000"/>
          <w:lang w:val="zh-CN"/>
        </w:rPr>
      </w:pPr>
    </w:p>
    <w:p w14:paraId="002D92C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90E0E2">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021029D">
      <w:pPr>
        <w:pStyle w:val="23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End w:id="59"/>
      <w:bookmarkStart w:id="60" w:name="_Toc6704"/>
      <w:bookmarkStart w:id="61"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0"/>
    </w:p>
    <w:p w14:paraId="413389B1">
      <w:pPr>
        <w:spacing w:line="360" w:lineRule="auto"/>
        <w:rPr>
          <w:rFonts w:hint="eastAsia" w:ascii="宋体" w:hAnsi="宋体" w:cs="宋体"/>
          <w:color w:val="000000"/>
          <w:sz w:val="28"/>
          <w:szCs w:val="28"/>
          <w:lang w:val="zh-CN"/>
        </w:rPr>
      </w:pPr>
    </w:p>
    <w:p w14:paraId="60C18AE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法定代表人授权书</w:t>
      </w:r>
    </w:p>
    <w:p w14:paraId="6B2C8D6E">
      <w:pPr>
        <w:spacing w:line="360" w:lineRule="auto"/>
        <w:rPr>
          <w:rFonts w:hint="eastAsia" w:ascii="宋体" w:hAnsi="宋体" w:cs="宋体"/>
          <w:b/>
          <w:bCs/>
          <w:color w:val="000000"/>
          <w:sz w:val="28"/>
          <w:szCs w:val="28"/>
          <w:lang w:val="zh-CN"/>
        </w:rPr>
      </w:pPr>
    </w:p>
    <w:p w14:paraId="513D6B6D">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FE30B21">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14:paraId="497EAF26">
      <w:pPr>
        <w:spacing w:line="360" w:lineRule="auto"/>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14:paraId="0E0C0B11">
      <w:pPr>
        <w:spacing w:line="360" w:lineRule="auto"/>
        <w:rPr>
          <w:rFonts w:hint="eastAsia"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项目的投标、答疑等具体工作，并签署全部有关的文件、资料。</w:t>
      </w:r>
    </w:p>
    <w:p w14:paraId="1416B524">
      <w:pPr>
        <w:spacing w:line="360" w:lineRule="auto"/>
        <w:ind w:firstLine="480"/>
        <w:rPr>
          <w:rFonts w:hint="eastAsia" w:ascii="宋体" w:hAnsi="宋体" w:cs="宋体"/>
          <w:color w:val="000000"/>
          <w:lang w:val="zh-CN"/>
        </w:rPr>
      </w:pPr>
      <w:r>
        <w:rPr>
          <w:rFonts w:hint="eastAsia" w:ascii="宋体" w:hAnsi="宋体" w:cs="宋体"/>
          <w:color w:val="000000"/>
          <w:lang w:val="zh-CN"/>
        </w:rPr>
        <w:t>我单位对被授权人的签名负全部责任。</w:t>
      </w:r>
    </w:p>
    <w:p w14:paraId="7FC0BB11">
      <w:pPr>
        <w:spacing w:line="360" w:lineRule="auto"/>
        <w:ind w:firstLine="480"/>
        <w:rPr>
          <w:rFonts w:hint="eastAsia" w:ascii="宋体" w:hAnsi="宋体" w:cs="宋体"/>
          <w:color w:val="000000"/>
          <w:lang w:val="zh-CN"/>
        </w:rPr>
      </w:pPr>
      <w:r>
        <w:rPr>
          <w:rFonts w:hint="eastAsia" w:ascii="宋体" w:hAnsi="宋体" w:cs="宋体"/>
          <w:color w:val="000000"/>
          <w:lang w:val="zh-CN"/>
        </w:rPr>
        <w:t>被授权人联系电话：</w:t>
      </w:r>
    </w:p>
    <w:p w14:paraId="2CCFD238">
      <w:pPr>
        <w:spacing w:line="360" w:lineRule="auto"/>
        <w:rPr>
          <w:rFonts w:hint="eastAsia" w:ascii="宋体" w:hAnsi="宋体" w:cs="宋体"/>
          <w:color w:val="000000"/>
          <w:lang w:val="zh-CN"/>
        </w:rPr>
      </w:pPr>
    </w:p>
    <w:p w14:paraId="62C35DAF">
      <w:pPr>
        <w:spacing w:line="360" w:lineRule="auto"/>
        <w:rPr>
          <w:rFonts w:hint="eastAsia" w:ascii="宋体" w:hAnsi="宋体" w:cs="宋体"/>
          <w:color w:val="000000"/>
          <w:lang w:val="zh-CN"/>
        </w:rPr>
      </w:pPr>
      <w:r>
        <w:rPr>
          <w:rFonts w:hint="eastAsia" w:ascii="宋体" w:hAnsi="宋体" w:cs="宋体"/>
          <w:color w:val="000000"/>
          <w:lang w:val="zh-CN"/>
        </w:rPr>
        <w:t>被授权人（委托代理人）签字或盖章：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w:t>
      </w:r>
      <w:r>
        <w:rPr>
          <w:rFonts w:hint="eastAsia"/>
          <w:u w:val="single"/>
          <w:lang w:val="zh-CN"/>
        </w:rPr>
        <w:t xml:space="preserve">                    </w:t>
      </w:r>
    </w:p>
    <w:p w14:paraId="14BEBFB4">
      <w:pPr>
        <w:spacing w:line="360" w:lineRule="auto"/>
        <w:rPr>
          <w:rFonts w:ascii="宋体" w:hAnsi="宋体" w:cs="宋体"/>
          <w:color w:val="000000"/>
          <w:lang w:val="zh-CN"/>
        </w:rPr>
      </w:pPr>
    </w:p>
    <w:p w14:paraId="518C77DF">
      <w:pPr>
        <w:spacing w:line="360" w:lineRule="auto"/>
        <w:rPr>
          <w:rFonts w:hint="eastAsia" w:ascii="宋体" w:hAnsi="宋体" w:cs="宋体"/>
          <w:color w:val="000000"/>
          <w:lang w:val="zh-CN"/>
        </w:rPr>
      </w:pPr>
      <w:r>
        <w:rPr>
          <w:rFonts w:hint="eastAsia" w:ascii="宋体" w:hAnsi="宋体" w:cs="宋体"/>
          <w:color w:val="000000"/>
          <w:lang w:val="zh-CN"/>
        </w:rPr>
        <w:t>授权人（法定代表人）签字或盖章：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                    </w:t>
      </w:r>
    </w:p>
    <w:p w14:paraId="28D87FDA">
      <w:pPr>
        <w:spacing w:line="360" w:lineRule="auto"/>
        <w:rPr>
          <w:rFonts w:hint="eastAsia" w:ascii="宋体" w:hAnsi="宋体" w:cs="宋体"/>
          <w:color w:val="000000"/>
          <w:lang w:val="zh-CN"/>
        </w:rPr>
      </w:pPr>
    </w:p>
    <w:p w14:paraId="0728D041">
      <w:pPr>
        <w:spacing w:line="360" w:lineRule="auto"/>
        <w:rPr>
          <w:rFonts w:hint="eastAsia" w:ascii="宋体" w:hAnsi="宋体" w:cs="宋体"/>
          <w:color w:val="000000"/>
          <w:lang w:val="zh-CN"/>
        </w:rPr>
      </w:pPr>
      <w:r>
        <w:rPr>
          <w:rFonts w:hint="eastAsia" w:ascii="宋体" w:hAnsi="宋体" w:cs="宋体"/>
          <w:color w:val="000000"/>
          <w:lang w:val="zh-CN"/>
        </w:rPr>
        <w:t>附被授权人第二代身份证双面扫描（或复印）件</w:t>
      </w:r>
    </w:p>
    <w:p w14:paraId="52B7F27B">
      <w:pPr>
        <w:spacing w:line="360" w:lineRule="auto"/>
        <w:rPr>
          <w:rFonts w:hint="eastAsia" w:ascii="宋体" w:hAnsi="宋体" w:cs="宋体"/>
          <w:color w:val="000000"/>
          <w:lang w:val="zh-CN"/>
        </w:rPr>
      </w:pPr>
    </w:p>
    <w:p w14:paraId="79881942">
      <w:pPr>
        <w:spacing w:line="360" w:lineRule="auto"/>
        <w:rPr>
          <w:rFonts w:hint="eastAsia" w:ascii="宋体" w:hAnsi="宋体" w:cs="宋体"/>
          <w:color w:val="000000"/>
          <w:lang w:val="zh-CN"/>
        </w:rPr>
      </w:pPr>
    </w:p>
    <w:p w14:paraId="34DDFB0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93BFF2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28A5B55">
      <w:pPr>
        <w:spacing w:line="360" w:lineRule="auto"/>
        <w:rPr>
          <w:rFonts w:hint="eastAsia" w:ascii="宋体" w:hAnsi="宋体" w:cs="宋体"/>
          <w:color w:val="000000"/>
          <w:lang w:val="zh-CN"/>
        </w:rPr>
      </w:pPr>
    </w:p>
    <w:p w14:paraId="59A8DDD6">
      <w:pPr>
        <w:pStyle w:val="23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2" w:name="_Toc190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1"/>
    </w:p>
    <w:p w14:paraId="5E3E8CB5">
      <w:pPr>
        <w:spacing w:line="360" w:lineRule="auto"/>
        <w:rPr>
          <w:rFonts w:hint="eastAsia" w:ascii="宋体" w:hAnsi="宋体" w:cs="宋体"/>
          <w:color w:val="000000"/>
          <w:sz w:val="28"/>
          <w:szCs w:val="28"/>
          <w:lang w:val="zh-CN"/>
        </w:rPr>
      </w:pPr>
    </w:p>
    <w:p w14:paraId="36499F53">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投标人承诺函</w:t>
      </w:r>
    </w:p>
    <w:p w14:paraId="41E870BC">
      <w:pPr>
        <w:spacing w:line="360" w:lineRule="auto"/>
        <w:rPr>
          <w:rFonts w:hint="eastAsia" w:ascii="宋体" w:hAnsi="宋体" w:cs="宋体"/>
          <w:b/>
          <w:bCs/>
          <w:color w:val="000000"/>
          <w:sz w:val="28"/>
          <w:szCs w:val="28"/>
          <w:lang w:val="zh-CN"/>
        </w:rPr>
      </w:pPr>
    </w:p>
    <w:p w14:paraId="7783B2D3">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322D6D2">
      <w:pPr>
        <w:spacing w:line="360" w:lineRule="auto"/>
        <w:ind w:firstLine="480"/>
        <w:rPr>
          <w:rFonts w:hint="eastAsia" w:ascii="宋体" w:hAnsi="宋体" w:cs="宋体"/>
          <w:color w:val="000000"/>
          <w:lang w:val="zh-CN"/>
        </w:rPr>
      </w:pPr>
      <w:r>
        <w:rPr>
          <w:rFonts w:hint="eastAsia" w:ascii="宋体" w:hAnsi="宋体" w:cs="宋体"/>
          <w:color w:val="000000"/>
          <w:lang w:val="zh-CN"/>
        </w:rPr>
        <w:t>关于贵方20</w:t>
      </w:r>
      <w:r>
        <w:rPr>
          <w:rFonts w:hint="eastAsia" w:ascii="宋体" w:hAnsi="宋体" w:cs="宋体"/>
          <w:color w:val="000000"/>
        </w:rPr>
        <w:t>XX</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r>
        <w:rPr>
          <w:rFonts w:hint="eastAsia" w:ascii="宋体" w:hAnsi="宋体" w:cs="宋体"/>
          <w:color w:val="000000"/>
          <w:u w:val="single"/>
          <w:lang w:val="zh-CN"/>
        </w:rPr>
        <w:t xml:space="preserve">          (项目名称)</w:t>
      </w:r>
      <w:r>
        <w:rPr>
          <w:rFonts w:hint="eastAsia" w:ascii="宋体" w:hAnsi="宋体" w:cs="宋体"/>
          <w:color w:val="000000"/>
          <w:lang w:val="zh-CN"/>
        </w:rPr>
        <w:t>采购项目，本签字人愿意参加投标，提供采购一览表中要求的所有产品，并证实提交的所有资料是准确的和真实的。同时，我代表（投标人名称），在此作如下承诺：</w:t>
      </w:r>
    </w:p>
    <w:p w14:paraId="6B8F3CF2">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rPr>
        <w:t xml:space="preserve"> </w:t>
      </w:r>
      <w:r>
        <w:rPr>
          <w:rFonts w:hint="eastAsia" w:ascii="宋体" w:hAnsi="宋体" w:cs="宋体"/>
          <w:color w:val="000000"/>
          <w:lang w:val="zh-CN"/>
        </w:rPr>
        <w:t>1.完全理解和接受招标文件的一切规定和要求；</w:t>
      </w:r>
    </w:p>
    <w:p w14:paraId="7DA0BE6B">
      <w:pPr>
        <w:spacing w:line="360" w:lineRule="auto"/>
        <w:ind w:firstLine="480"/>
        <w:rPr>
          <w:rFonts w:hint="eastAsia" w:ascii="宋体" w:hAnsi="宋体" w:cs="宋体"/>
          <w:color w:val="000000"/>
          <w:lang w:val="zh-CN"/>
        </w:rPr>
      </w:pPr>
      <w:r>
        <w:rPr>
          <w:rFonts w:hint="eastAsia" w:ascii="宋体" w:hAnsi="宋体" w:cs="宋体"/>
          <w:color w:val="00000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061F9AF">
      <w:pPr>
        <w:spacing w:line="360" w:lineRule="auto"/>
        <w:ind w:firstLine="480"/>
        <w:rPr>
          <w:rFonts w:ascii="宋体" w:hAnsi="宋体" w:cs="宋体"/>
          <w:color w:val="000000"/>
          <w:lang w:val="zh-CN"/>
        </w:rPr>
      </w:pPr>
      <w:r>
        <w:rPr>
          <w:rFonts w:hint="eastAsia" w:ascii="宋体" w:hAnsi="宋体" w:cs="宋体"/>
          <w:color w:val="000000"/>
          <w:lang w:val="zh-CN"/>
        </w:rPr>
        <w:t>3、我方保证甲方在使用该产品或其任何一部分时，不受第三方提出的侵犯专利权、著作权、商标权和工业设计权等知识产权的起诉，若有违犯，愿承担相应的一切责任。</w:t>
      </w:r>
    </w:p>
    <w:p w14:paraId="7809DC8F">
      <w:pPr>
        <w:spacing w:line="360" w:lineRule="auto"/>
        <w:ind w:firstLine="480"/>
        <w:rPr>
          <w:rFonts w:hint="eastAsia" w:ascii="宋体" w:hAnsi="宋体" w:cs="宋体"/>
          <w:color w:val="000000"/>
          <w:lang w:val="zh-CN"/>
        </w:rPr>
      </w:pPr>
      <w:r>
        <w:rPr>
          <w:rFonts w:hint="eastAsia" w:ascii="宋体" w:hAnsi="宋体" w:cs="宋体"/>
          <w:color w:val="000000"/>
          <w:lang w:val="zh-CN"/>
        </w:rPr>
        <w:t>4、我方承诺，除招标文件中规定的进口产品外，所投的产品均为国产产品，且均符合国家强制性标准。若有不实，愿承担相应的责任。</w:t>
      </w:r>
    </w:p>
    <w:p w14:paraId="061C5333">
      <w:pPr>
        <w:spacing w:line="360" w:lineRule="auto"/>
        <w:ind w:firstLine="480"/>
        <w:rPr>
          <w:rFonts w:hint="eastAsia" w:ascii="宋体" w:hAnsi="宋体" w:cs="宋体"/>
          <w:color w:val="000000"/>
          <w:lang w:val="zh-CN"/>
        </w:rPr>
      </w:pPr>
      <w:r>
        <w:rPr>
          <w:rFonts w:hint="eastAsia" w:ascii="宋体" w:hAnsi="宋体" w:cs="宋体"/>
          <w:color w:val="000000"/>
          <w:lang w:val="zh-CN"/>
        </w:rPr>
        <w:t>5、在整个招标过程中我方若有违规行为，贵方可按招标文件之规定给予处罚，我方完全接受。</w:t>
      </w:r>
    </w:p>
    <w:p w14:paraId="38FFF462">
      <w:pPr>
        <w:spacing w:line="360" w:lineRule="auto"/>
        <w:ind w:firstLine="480"/>
        <w:rPr>
          <w:rFonts w:hint="eastAsia" w:ascii="宋体" w:hAnsi="宋体" w:cs="宋体"/>
          <w:color w:val="000000"/>
          <w:lang w:val="zh-CN"/>
        </w:rPr>
      </w:pPr>
      <w:r>
        <w:rPr>
          <w:rFonts w:hint="eastAsia" w:ascii="宋体" w:hAnsi="宋体" w:cs="宋体"/>
          <w:color w:val="000000"/>
          <w:lang w:val="zh-CN"/>
        </w:rPr>
        <w:t>6、若中标，本承诺将成为合同不可分割的一部分，与合同具有同等的法律效力。</w:t>
      </w:r>
    </w:p>
    <w:p w14:paraId="5F8F4DAE">
      <w:pPr>
        <w:spacing w:line="360" w:lineRule="auto"/>
        <w:rPr>
          <w:rFonts w:hint="eastAsia" w:ascii="宋体" w:hAnsi="宋体" w:cs="宋体"/>
          <w:color w:val="000000"/>
          <w:lang w:val="zh-CN"/>
        </w:rPr>
      </w:pPr>
    </w:p>
    <w:p w14:paraId="1C070C0A">
      <w:pPr>
        <w:spacing w:line="360" w:lineRule="auto"/>
        <w:rPr>
          <w:rFonts w:hint="eastAsia" w:ascii="宋体" w:hAnsi="宋体" w:cs="宋体"/>
          <w:color w:val="000000"/>
          <w:lang w:val="zh-CN"/>
        </w:rPr>
      </w:pPr>
    </w:p>
    <w:p w14:paraId="22FFD99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02FAABE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5810FF53">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F1E67D3">
      <w:pPr>
        <w:pStyle w:val="23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3" w:name="_Toc5719"/>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2"/>
    </w:p>
    <w:p w14:paraId="06BED09D">
      <w:pPr>
        <w:spacing w:line="360" w:lineRule="auto"/>
        <w:rPr>
          <w:rFonts w:hint="eastAsia" w:ascii="宋体" w:hAnsi="宋体" w:cs="宋体"/>
          <w:color w:val="000000"/>
          <w:sz w:val="28"/>
          <w:szCs w:val="28"/>
          <w:lang w:val="zh-CN"/>
        </w:rPr>
      </w:pPr>
    </w:p>
    <w:p w14:paraId="54029DF2">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投标人诚信承诺书</w:t>
      </w:r>
    </w:p>
    <w:p w14:paraId="7758BF58">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9E8D1A">
      <w:pPr>
        <w:spacing w:line="360" w:lineRule="auto"/>
        <w:ind w:firstLine="480"/>
        <w:rPr>
          <w:rFonts w:hint="eastAsia" w:ascii="宋体" w:hAnsi="宋体" w:cs="宋体"/>
          <w:color w:val="000000"/>
          <w:lang w:val="zh-CN"/>
        </w:rPr>
      </w:pPr>
      <w:r>
        <w:rPr>
          <w:rFonts w:hint="eastAsia" w:ascii="宋体" w:hAnsi="宋体" w:cs="宋体"/>
          <w:color w:val="000000"/>
          <w:lang w:val="zh-CN"/>
        </w:rPr>
        <w:t>为了诚实、客观、有序地参与刚察县政府采购活动，愿就以下内容作出承诺：</w:t>
      </w:r>
    </w:p>
    <w:p w14:paraId="7F7EB177">
      <w:pPr>
        <w:spacing w:line="360" w:lineRule="auto"/>
        <w:ind w:firstLine="480"/>
        <w:rPr>
          <w:rFonts w:hint="eastAsia" w:ascii="宋体" w:hAnsi="宋体" w:cs="宋体"/>
          <w:color w:val="000000"/>
          <w:lang w:val="zh-CN"/>
        </w:rPr>
      </w:pPr>
      <w:r>
        <w:rPr>
          <w:rFonts w:hint="eastAsia" w:ascii="宋体" w:hAnsi="宋体" w:cs="宋体"/>
          <w:color w:val="000000"/>
          <w:lang w:val="zh-CN"/>
        </w:rPr>
        <w:t>一、自觉遵守各项法律、法规、规章、制度以及社会公德，维护廉洁环境，与同场竞争的其他投标人平等参加政府采购活动。</w:t>
      </w:r>
    </w:p>
    <w:p w14:paraId="727F62CF">
      <w:pPr>
        <w:spacing w:line="360" w:lineRule="auto"/>
        <w:ind w:firstLine="480"/>
        <w:rPr>
          <w:rFonts w:hint="eastAsia" w:ascii="宋体" w:hAnsi="宋体" w:cs="宋体"/>
          <w:color w:val="000000"/>
          <w:lang w:val="zh-CN"/>
        </w:rPr>
      </w:pPr>
      <w:r>
        <w:rPr>
          <w:rFonts w:hint="eastAsia" w:ascii="宋体" w:hAnsi="宋体" w:cs="宋体"/>
          <w:color w:val="000000"/>
          <w:lang w:val="zh-CN"/>
        </w:rPr>
        <w:t>二、参加采购中心组织的政府采购活动时，严格按照招标文件的规定和要求提供所需的相关材料，并对所提供的各类资料的真实性负责，不虚假应标，不虚列业绩。</w:t>
      </w:r>
    </w:p>
    <w:p w14:paraId="719E018C">
      <w:pPr>
        <w:spacing w:line="360" w:lineRule="auto"/>
        <w:ind w:firstLine="480"/>
        <w:rPr>
          <w:rFonts w:hint="eastAsia" w:ascii="宋体" w:hAnsi="宋体" w:cs="宋体"/>
          <w:color w:val="000000"/>
          <w:lang w:val="zh-CN"/>
        </w:rPr>
      </w:pPr>
      <w:r>
        <w:rPr>
          <w:rFonts w:hint="eastAsia" w:ascii="宋体" w:hAnsi="宋体" w:cs="宋体"/>
          <w:color w:val="000000"/>
          <w:lang w:val="zh-CN"/>
        </w:rPr>
        <w:t>三、尊重参与政府采购活动各相关方的合法行为，接受政府采购活动依法形成的意见、结果。</w:t>
      </w:r>
    </w:p>
    <w:p w14:paraId="06436B78">
      <w:pPr>
        <w:spacing w:line="360" w:lineRule="auto"/>
        <w:ind w:firstLine="480"/>
        <w:rPr>
          <w:rFonts w:hint="eastAsia" w:ascii="宋体" w:hAnsi="宋体" w:cs="宋体"/>
          <w:color w:val="000000"/>
          <w:lang w:val="zh-CN"/>
        </w:rPr>
      </w:pPr>
      <w:r>
        <w:rPr>
          <w:rFonts w:hint="eastAsia" w:ascii="宋体" w:hAnsi="宋体" w:cs="宋体"/>
          <w:color w:val="000000"/>
          <w:lang w:val="zh-CN"/>
        </w:rPr>
        <w:t>四、依法参加政府采购活动，不围标、串标，维护市场秩序，不提供“三无”产品、以次充好。</w:t>
      </w:r>
    </w:p>
    <w:p w14:paraId="666D8F45">
      <w:pPr>
        <w:spacing w:line="360" w:lineRule="auto"/>
        <w:ind w:firstLine="480"/>
        <w:rPr>
          <w:rFonts w:hint="eastAsia" w:ascii="宋体" w:hAnsi="宋体" w:cs="宋体"/>
          <w:color w:val="000000"/>
          <w:lang w:val="zh-CN"/>
        </w:rPr>
      </w:pPr>
      <w:r>
        <w:rPr>
          <w:rFonts w:hint="eastAsia" w:ascii="宋体" w:hAnsi="宋体" w:cs="宋体"/>
          <w:color w:val="000000"/>
          <w:lang w:val="zh-CN"/>
        </w:rPr>
        <w:t>五、积极推动政府采购活动健康开展，对采购活动有疑问、异议时，按法律规定的程序实名反映情况，不恶意中伤、无事生非，以和谐、平等的心态参加政府采购活动。</w:t>
      </w:r>
    </w:p>
    <w:p w14:paraId="76041532">
      <w:pPr>
        <w:spacing w:line="360" w:lineRule="auto"/>
        <w:ind w:firstLine="480"/>
        <w:rPr>
          <w:rFonts w:hint="eastAsia" w:ascii="宋体" w:hAnsi="宋体" w:cs="宋体"/>
          <w:color w:val="000000"/>
          <w:lang w:val="zh-CN"/>
        </w:rPr>
      </w:pPr>
      <w:r>
        <w:rPr>
          <w:rFonts w:hint="eastAsia" w:ascii="宋体" w:hAnsi="宋体" w:cs="宋体"/>
          <w:color w:val="000000"/>
          <w:lang w:val="zh-CN"/>
        </w:rPr>
        <w:t>六、认真履行中标人应承担的责任和义务，全面执行采购合同规定的各项内容，保质保量地按时提供采购物品。</w:t>
      </w:r>
    </w:p>
    <w:p w14:paraId="56F0F213">
      <w:pPr>
        <w:spacing w:line="360" w:lineRule="auto"/>
        <w:ind w:firstLine="480"/>
        <w:rPr>
          <w:rFonts w:hint="eastAsia" w:ascii="宋体" w:hAnsi="宋体" w:cs="宋体"/>
          <w:color w:val="000000"/>
          <w:lang w:val="zh-CN"/>
        </w:rPr>
      </w:pPr>
      <w:r>
        <w:rPr>
          <w:rFonts w:hint="eastAsia" w:ascii="宋体" w:hAnsi="宋体" w:cs="宋体"/>
          <w:color w:val="000000"/>
          <w:lang w:val="zh-CN"/>
        </w:rPr>
        <w:t>若本企业（单位）发生有悖于上述承诺的行为，愿意接受《中华人民共和国政府采购法》和《政府采购法实施条例》中对投标人的相关处理。</w:t>
      </w:r>
    </w:p>
    <w:p w14:paraId="649CBC50">
      <w:pPr>
        <w:spacing w:line="360" w:lineRule="auto"/>
        <w:ind w:firstLine="480"/>
        <w:rPr>
          <w:rFonts w:hint="eastAsia" w:ascii="宋体" w:hAnsi="宋体" w:cs="宋体"/>
          <w:color w:val="000000"/>
          <w:lang w:val="zh-CN"/>
        </w:rPr>
      </w:pPr>
      <w:r>
        <w:rPr>
          <w:rFonts w:hint="eastAsia" w:ascii="宋体" w:hAnsi="宋体" w:cs="宋体"/>
          <w:color w:val="000000"/>
          <w:lang w:val="zh-CN"/>
        </w:rPr>
        <w:t>本承诺是采购项目投标文件的组成部分。</w:t>
      </w:r>
    </w:p>
    <w:p w14:paraId="5A0ADF31">
      <w:pPr>
        <w:spacing w:line="360" w:lineRule="auto"/>
        <w:rPr>
          <w:rFonts w:hint="eastAsia" w:ascii="宋体" w:hAnsi="宋体" w:cs="宋体"/>
          <w:color w:val="000000"/>
          <w:lang w:val="zh-CN"/>
        </w:rPr>
      </w:pPr>
    </w:p>
    <w:p w14:paraId="64CD7FA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351183D">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22A10AA">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57F75B2">
      <w:pPr>
        <w:pStyle w:val="234"/>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4"/>
          <w:lang w:val="zh-CN"/>
        </w:rPr>
        <w:br w:type="page" w:clear="all"/>
      </w:r>
      <w:bookmarkEnd w:id="63"/>
      <w:bookmarkStart w:id="64" w:name="_Toc4302"/>
      <w:bookmarkStart w:id="65"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4"/>
    </w:p>
    <w:p w14:paraId="08A12CAC">
      <w:pPr>
        <w:spacing w:line="360" w:lineRule="auto"/>
        <w:rPr>
          <w:rFonts w:hint="eastAsia" w:ascii="宋体" w:hAnsi="宋体" w:cs="宋体"/>
          <w:color w:val="000000"/>
          <w:sz w:val="28"/>
          <w:szCs w:val="28"/>
          <w:lang w:val="zh-CN"/>
        </w:rPr>
      </w:pPr>
    </w:p>
    <w:p w14:paraId="5DC6152E">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资格证明材料</w:t>
      </w:r>
    </w:p>
    <w:p w14:paraId="40978350">
      <w:pPr>
        <w:spacing w:line="360" w:lineRule="auto"/>
        <w:rPr>
          <w:rFonts w:hint="eastAsia" w:ascii="宋体" w:hAnsi="宋体" w:cs="宋体"/>
          <w:color w:val="000000"/>
          <w:sz w:val="28"/>
          <w:szCs w:val="28"/>
          <w:lang w:val="zh-CN"/>
        </w:rPr>
      </w:pPr>
    </w:p>
    <w:p w14:paraId="21BB405C">
      <w:pPr>
        <w:spacing w:line="360" w:lineRule="auto"/>
        <w:ind w:firstLine="480"/>
        <w:rPr>
          <w:rFonts w:hint="eastAsia" w:ascii="宋体" w:hAnsi="宋体" w:cs="宋体"/>
          <w:color w:val="000000"/>
        </w:rPr>
      </w:pPr>
      <w:r>
        <w:rPr>
          <w:rFonts w:hint="eastAsia" w:ascii="宋体" w:hAnsi="宋体" w:cs="宋体"/>
          <w:color w:val="000000"/>
        </w:rPr>
        <w:t>资格证明材料包括：</w:t>
      </w:r>
    </w:p>
    <w:p w14:paraId="388E6CE4">
      <w:pPr>
        <w:numPr>
          <w:ilvl w:val="0"/>
          <w:numId w:val="8"/>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35E2094C">
      <w:pPr>
        <w:spacing w:line="360" w:lineRule="auto"/>
        <w:ind w:firstLine="48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7BF064AC">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6E6015F1">
      <w:pPr>
        <w:spacing w:line="360" w:lineRule="auto"/>
        <w:ind w:firstLine="480"/>
        <w:rPr>
          <w:rFonts w:hint="eastAsia" w:ascii="宋体" w:hAnsi="宋体" w:cs="宋体"/>
          <w:color w:val="000000"/>
        </w:rPr>
      </w:pPr>
      <w:r>
        <w:rPr>
          <w:rFonts w:hint="eastAsia" w:ascii="宋体" w:hAnsi="宋体" w:cs="宋体"/>
          <w:color w:val="000000"/>
        </w:rPr>
        <w:t>（3）投标人认为有必要提供的其他资格证明文件。</w:t>
      </w:r>
    </w:p>
    <w:p w14:paraId="39F99B5C">
      <w:pPr>
        <w:pStyle w:val="234"/>
        <w:spacing w:before="0" w:after="0" w:line="360" w:lineRule="auto"/>
        <w:jc w:val="left"/>
        <w:outlineLvl w:val="1"/>
        <w:rPr>
          <w:rFonts w:hint="eastAsia" w:ascii="宋体" w:hAnsi="宋体" w:cs="宋体"/>
          <w:color w:val="000000"/>
        </w:rPr>
      </w:pPr>
      <w:r>
        <w:rPr>
          <w:rFonts w:hint="eastAsia" w:ascii="宋体" w:hAnsi="宋体" w:cs="宋体"/>
          <w:color w:val="000000"/>
          <w:sz w:val="24"/>
          <w:lang w:val="zh-CN"/>
        </w:rPr>
        <w:br w:type="page" w:clear="all"/>
      </w:r>
      <w:bookmarkStart w:id="66" w:name="_Toc2726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5"/>
    </w:p>
    <w:p w14:paraId="46D2AA45">
      <w:pPr>
        <w:spacing w:line="360" w:lineRule="auto"/>
        <w:rPr>
          <w:rFonts w:hint="eastAsia" w:ascii="宋体" w:hAnsi="宋体" w:cs="宋体"/>
          <w:color w:val="000000"/>
          <w:sz w:val="28"/>
          <w:szCs w:val="28"/>
          <w:lang w:val="zh-CN"/>
        </w:rPr>
      </w:pPr>
    </w:p>
    <w:p w14:paraId="5351FFDB">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财务状况报告，依法缴纳税收和社会保障资金的相关材料</w:t>
      </w:r>
    </w:p>
    <w:p w14:paraId="2F6AB142">
      <w:pPr>
        <w:spacing w:line="360" w:lineRule="auto"/>
        <w:rPr>
          <w:rFonts w:hint="eastAsia" w:ascii="宋体" w:hAnsi="宋体" w:cs="宋体"/>
          <w:color w:val="000000"/>
          <w:sz w:val="28"/>
          <w:szCs w:val="28"/>
          <w:lang w:val="zh-CN"/>
        </w:rPr>
      </w:pPr>
    </w:p>
    <w:p w14:paraId="353DD2DA">
      <w:pPr>
        <w:spacing w:line="360" w:lineRule="auto"/>
        <w:ind w:firstLine="480"/>
        <w:rPr>
          <w:rFonts w:hint="eastAsia" w:ascii="宋体" w:hAnsi="宋体" w:cs="宋体"/>
          <w:color w:val="000000"/>
          <w:lang w:val="zh-CN"/>
        </w:rPr>
      </w:pPr>
      <w:r>
        <w:rPr>
          <w:rFonts w:hint="eastAsia" w:ascii="宋体" w:hAnsi="宋体" w:cs="宋体"/>
          <w:color w:val="000000"/>
          <w:lang w:val="zh-CN"/>
        </w:rPr>
        <w:t>按照招标文件第2.2款（1）中第&lt;2&gt;条规定提供以下相关材料。</w:t>
      </w:r>
    </w:p>
    <w:p w14:paraId="3B7F1E18">
      <w:pPr>
        <w:spacing w:line="360" w:lineRule="auto"/>
        <w:ind w:firstLine="480"/>
        <w:rPr>
          <w:rFonts w:hint="eastAsia" w:ascii="宋体" w:hAnsi="宋体" w:cs="宋体"/>
          <w:color w:val="000000"/>
          <w:lang w:val="zh-CN"/>
        </w:rPr>
      </w:pPr>
      <w:r>
        <w:rPr>
          <w:rFonts w:hint="eastAsia" w:ascii="宋体" w:hAnsi="宋体" w:cs="宋体"/>
          <w:color w:val="000000"/>
          <w:lang w:val="zh-CN"/>
        </w:rPr>
        <w:t>1、①投标人是法人公司的需</w:t>
      </w:r>
      <w:r>
        <w:rPr>
          <w:rFonts w:ascii="宋体" w:hAnsi="宋体" w:cs="宋体"/>
          <w:color w:val="000000"/>
          <w:lang w:val="zh-CN"/>
        </w:rPr>
        <w:t>提供</w:t>
      </w:r>
      <w:r>
        <w:rPr>
          <w:rFonts w:hint="eastAsia" w:ascii="宋体" w:hAnsi="宋体" w:cs="宋体"/>
          <w:color w:val="000000"/>
          <w:u w:val="single"/>
        </w:rPr>
        <w:t>2022年度</w:t>
      </w:r>
      <w:r>
        <w:rPr>
          <w:rFonts w:hint="eastAsia" w:ascii="宋体" w:hAnsi="宋体" w:cs="宋体"/>
          <w:color w:val="000000"/>
          <w:u w:val="single"/>
          <w:lang w:eastAsia="zh-CN"/>
        </w:rPr>
        <w:t>或</w:t>
      </w:r>
      <w:r>
        <w:rPr>
          <w:rFonts w:hint="eastAsia" w:ascii="宋体" w:hAnsi="宋体" w:cs="宋体"/>
          <w:color w:val="000000"/>
          <w:u w:val="single"/>
          <w:lang w:val="en-US" w:eastAsia="zh-CN"/>
        </w:rPr>
        <w:t>2023年度</w:t>
      </w:r>
      <w:r>
        <w:rPr>
          <w:rFonts w:hint="eastAsia" w:ascii="宋体" w:hAnsi="宋体"/>
        </w:rPr>
        <w:t>经第三方审计的财务状况报告</w:t>
      </w:r>
      <w:r>
        <w:rPr>
          <w:rFonts w:hint="eastAsia" w:ascii="宋体" w:hAnsi="宋体"/>
          <w:lang w:eastAsia="zh-CN"/>
        </w:rPr>
        <w:t>或</w:t>
      </w:r>
      <w:r>
        <w:rPr>
          <w:rFonts w:hint="eastAsia" w:ascii="宋体" w:hAnsi="宋体"/>
        </w:rPr>
        <w:t>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r>
        <w:rPr>
          <w:rFonts w:hint="eastAsia" w:ascii="宋体" w:hAnsi="宋体" w:cs="宋体"/>
          <w:color w:val="000000"/>
          <w:lang w:val="zh-CN"/>
        </w:rPr>
        <w:t>。②</w:t>
      </w:r>
      <w:r>
        <w:rPr>
          <w:rFonts w:hint="eastAsia" w:ascii="宋体" w:hAnsi="宋体"/>
        </w:rPr>
        <w:t>投标人为202</w:t>
      </w:r>
      <w:r>
        <w:rPr>
          <w:rFonts w:hint="eastAsia" w:ascii="宋体" w:hAnsi="宋体"/>
          <w:lang w:val="en-US" w:eastAsia="zh-CN"/>
        </w:rPr>
        <w:t>3</w:t>
      </w:r>
      <w:r>
        <w:rPr>
          <w:rFonts w:hint="eastAsia" w:ascii="宋体" w:hAnsi="宋体"/>
        </w:rPr>
        <w:t>年度新成立的公司或是其他组织或自然人的企业，没有经审计的财务报告，可以提供基本开户银行出具的近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p>
    <w:p w14:paraId="5C026536">
      <w:pPr>
        <w:spacing w:line="360" w:lineRule="auto"/>
        <w:ind w:firstLine="480"/>
        <w:rPr>
          <w:rFonts w:hint="eastAsia" w:ascii="宋体" w:hAnsi="宋体" w:cs="宋体"/>
          <w:color w:val="000000"/>
          <w:lang w:val="zh-CN"/>
        </w:rPr>
      </w:pPr>
      <w:r>
        <w:rPr>
          <w:rFonts w:hint="eastAsia" w:ascii="宋体" w:hAnsi="宋体" w:cs="宋体"/>
          <w:color w:val="000000"/>
          <w:lang w:val="zh-CN"/>
        </w:rPr>
        <w:t>2、提供近半年至今任意一个月企业依法缴纳税收和缴纳职工社会保障资金记录的证明材料；依法免税或不需要缴纳社会保障资金的投标人须提供相应文件证明其依法免税或不需要缴纳社会保障资金。</w:t>
      </w:r>
    </w:p>
    <w:p w14:paraId="67C1C011">
      <w:pPr>
        <w:pStyle w:val="234"/>
        <w:spacing w:before="0" w:after="0" w:line="360" w:lineRule="auto"/>
        <w:jc w:val="left"/>
        <w:outlineLvl w:val="1"/>
        <w:rPr>
          <w:rFonts w:hint="eastAsia" w:ascii="宋体" w:hAnsi="宋体" w:cs="宋体"/>
        </w:rPr>
      </w:pPr>
      <w:r>
        <w:rPr>
          <w:rFonts w:hint="eastAsia" w:ascii="宋体" w:hAnsi="宋体" w:cs="宋体"/>
          <w:color w:val="000000"/>
          <w:sz w:val="24"/>
          <w:lang w:val="zh-CN"/>
        </w:rPr>
        <w:br w:type="page" w:clear="all"/>
      </w:r>
      <w:bookmarkEnd w:id="66"/>
      <w:bookmarkStart w:id="67" w:name="_Toc1735"/>
      <w:bookmarkStart w:id="68"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7"/>
    </w:p>
    <w:p w14:paraId="0E37792C">
      <w:pPr>
        <w:spacing w:line="360" w:lineRule="auto"/>
        <w:rPr>
          <w:rFonts w:hint="eastAsia" w:ascii="宋体" w:hAnsi="宋体" w:cs="宋体"/>
          <w:sz w:val="28"/>
          <w:szCs w:val="28"/>
          <w:lang w:val="zh-CN"/>
        </w:rPr>
      </w:pPr>
    </w:p>
    <w:p w14:paraId="35BA8BC1">
      <w:pPr>
        <w:spacing w:line="360" w:lineRule="auto"/>
        <w:jc w:val="center"/>
        <w:rPr>
          <w:rFonts w:hint="eastAsia" w:ascii="宋体" w:hAnsi="宋体" w:cs="宋体"/>
          <w:b/>
          <w:bCs/>
          <w:sz w:val="36"/>
          <w:szCs w:val="36"/>
          <w:lang w:val="zh-CN"/>
        </w:rPr>
      </w:pPr>
      <w:r>
        <w:rPr>
          <w:rFonts w:hint="eastAsia" w:ascii="宋体" w:hAnsi="宋体" w:cs="宋体"/>
          <w:b/>
          <w:bCs/>
          <w:sz w:val="28"/>
          <w:szCs w:val="28"/>
          <w:lang w:val="zh-CN"/>
        </w:rPr>
        <w:t>具备履行合同所必需的设备和专业技术能力的证明材料</w:t>
      </w:r>
    </w:p>
    <w:p w14:paraId="0A0583AC">
      <w:pPr>
        <w:spacing w:line="360" w:lineRule="auto"/>
        <w:ind w:firstLine="480"/>
        <w:rPr>
          <w:rFonts w:ascii="宋体" w:hAnsi="宋体" w:cs="宋体"/>
          <w:lang w:val="zh-CN"/>
        </w:rPr>
      </w:pPr>
    </w:p>
    <w:p w14:paraId="39CA2804">
      <w:pPr>
        <w:spacing w:line="360" w:lineRule="auto"/>
        <w:ind w:firstLine="480"/>
        <w:rPr>
          <w:rFonts w:hint="eastAsia" w:ascii="宋体" w:hAnsi="宋体" w:cs="宋体"/>
          <w:lang w:val="zh-CN"/>
        </w:rPr>
      </w:pPr>
      <w:r>
        <w:rPr>
          <w:rFonts w:hint="eastAsia" w:ascii="宋体" w:hAnsi="宋体" w:cs="宋体"/>
          <w:lang w:val="zh-CN"/>
        </w:rPr>
        <w:t>为保证本项目合同的顺利履行，投标人必须具备履行合同的设备和专业技术能力，须提供具备履行合同的设备和专业技术能力的承诺函（格式自拟）</w:t>
      </w:r>
      <w:r>
        <w:rPr>
          <w:rFonts w:hint="eastAsia" w:ascii="宋体" w:hAnsi="宋体" w:cs="宋体"/>
          <w:lang w:val="zh-CN" w:eastAsia="zh-CN"/>
        </w:rPr>
        <w:t>。</w:t>
      </w:r>
    </w:p>
    <w:p w14:paraId="78451F6F">
      <w:pPr>
        <w:pStyle w:val="234"/>
        <w:spacing w:before="0" w:after="0" w:line="360" w:lineRule="auto"/>
        <w:jc w:val="left"/>
        <w:outlineLvl w:val="1"/>
        <w:rPr>
          <w:rFonts w:hint="eastAsia" w:ascii="宋体" w:hAnsi="宋体" w:cs="宋体"/>
          <w:color w:val="000000"/>
          <w:sz w:val="30"/>
          <w:szCs w:val="30"/>
        </w:rPr>
      </w:pPr>
    </w:p>
    <w:p w14:paraId="5D62ABDD">
      <w:pPr>
        <w:pStyle w:val="234"/>
        <w:spacing w:before="0" w:after="0" w:line="360" w:lineRule="auto"/>
        <w:jc w:val="left"/>
        <w:outlineLvl w:val="1"/>
        <w:rPr>
          <w:rFonts w:hint="eastAsia" w:ascii="宋体" w:hAnsi="宋体" w:cs="宋体"/>
          <w:color w:val="000000"/>
          <w:sz w:val="30"/>
          <w:szCs w:val="30"/>
        </w:rPr>
      </w:pPr>
    </w:p>
    <w:p w14:paraId="063A1594">
      <w:pPr>
        <w:pStyle w:val="234"/>
        <w:spacing w:before="0" w:after="0" w:line="360" w:lineRule="auto"/>
        <w:jc w:val="left"/>
        <w:outlineLvl w:val="1"/>
        <w:rPr>
          <w:rFonts w:hint="eastAsia" w:ascii="宋体" w:hAnsi="宋体" w:cs="宋体"/>
          <w:color w:val="000000"/>
          <w:sz w:val="30"/>
          <w:szCs w:val="30"/>
        </w:rPr>
      </w:pPr>
    </w:p>
    <w:p w14:paraId="551AB825">
      <w:pPr>
        <w:pStyle w:val="234"/>
        <w:spacing w:before="0" w:after="0" w:line="360" w:lineRule="auto"/>
        <w:jc w:val="left"/>
        <w:outlineLvl w:val="1"/>
        <w:rPr>
          <w:rFonts w:hint="eastAsia" w:ascii="宋体" w:hAnsi="宋体" w:cs="宋体"/>
          <w:color w:val="000000"/>
          <w:sz w:val="30"/>
          <w:szCs w:val="30"/>
        </w:rPr>
      </w:pPr>
    </w:p>
    <w:p w14:paraId="402808BC">
      <w:pPr>
        <w:pStyle w:val="234"/>
        <w:spacing w:before="0" w:after="0" w:line="360" w:lineRule="auto"/>
        <w:jc w:val="left"/>
        <w:outlineLvl w:val="1"/>
        <w:rPr>
          <w:rFonts w:hint="eastAsia" w:ascii="宋体" w:hAnsi="宋体" w:cs="宋体"/>
          <w:color w:val="000000"/>
          <w:sz w:val="30"/>
          <w:szCs w:val="30"/>
        </w:rPr>
      </w:pPr>
    </w:p>
    <w:p w14:paraId="19053F04">
      <w:pPr>
        <w:pStyle w:val="234"/>
        <w:spacing w:before="0" w:after="0" w:line="360" w:lineRule="auto"/>
        <w:jc w:val="left"/>
        <w:outlineLvl w:val="1"/>
        <w:rPr>
          <w:rFonts w:hint="eastAsia" w:ascii="宋体" w:hAnsi="宋体" w:cs="宋体"/>
          <w:color w:val="000000"/>
          <w:sz w:val="30"/>
          <w:szCs w:val="30"/>
        </w:rPr>
      </w:pPr>
    </w:p>
    <w:p w14:paraId="05C8315E">
      <w:pPr>
        <w:pStyle w:val="234"/>
        <w:spacing w:before="0" w:after="0" w:line="360" w:lineRule="auto"/>
        <w:jc w:val="left"/>
        <w:outlineLvl w:val="1"/>
        <w:rPr>
          <w:rFonts w:hint="eastAsia" w:ascii="宋体" w:hAnsi="宋体" w:cs="宋体"/>
          <w:color w:val="000000"/>
          <w:sz w:val="30"/>
          <w:szCs w:val="30"/>
        </w:rPr>
      </w:pPr>
    </w:p>
    <w:p w14:paraId="39C164E0">
      <w:pPr>
        <w:pStyle w:val="234"/>
        <w:spacing w:before="0" w:after="0" w:line="360" w:lineRule="auto"/>
        <w:jc w:val="left"/>
        <w:outlineLvl w:val="1"/>
        <w:rPr>
          <w:rFonts w:hint="eastAsia" w:ascii="宋体" w:hAnsi="宋体" w:cs="宋体"/>
          <w:color w:val="000000"/>
          <w:sz w:val="30"/>
          <w:szCs w:val="30"/>
        </w:rPr>
      </w:pPr>
    </w:p>
    <w:p w14:paraId="5A2A0277">
      <w:pPr>
        <w:pStyle w:val="234"/>
        <w:spacing w:before="0" w:after="0" w:line="360" w:lineRule="auto"/>
        <w:jc w:val="left"/>
        <w:outlineLvl w:val="1"/>
        <w:rPr>
          <w:rFonts w:hint="eastAsia" w:ascii="宋体" w:hAnsi="宋体" w:cs="宋体"/>
          <w:color w:val="000000"/>
          <w:sz w:val="30"/>
          <w:szCs w:val="30"/>
        </w:rPr>
      </w:pPr>
    </w:p>
    <w:p w14:paraId="155B4890">
      <w:pPr>
        <w:pStyle w:val="234"/>
        <w:spacing w:before="0" w:after="0" w:line="360" w:lineRule="auto"/>
        <w:jc w:val="left"/>
        <w:outlineLvl w:val="1"/>
        <w:rPr>
          <w:rFonts w:hint="eastAsia" w:ascii="宋体" w:hAnsi="宋体" w:cs="宋体"/>
          <w:color w:val="000000"/>
          <w:sz w:val="30"/>
          <w:szCs w:val="30"/>
        </w:rPr>
      </w:pPr>
    </w:p>
    <w:p w14:paraId="353A333A">
      <w:pPr>
        <w:pStyle w:val="234"/>
        <w:spacing w:before="0" w:after="0" w:line="360" w:lineRule="auto"/>
        <w:jc w:val="left"/>
        <w:outlineLvl w:val="1"/>
        <w:rPr>
          <w:rFonts w:hint="eastAsia" w:ascii="宋体" w:hAnsi="宋体" w:cs="宋体"/>
          <w:color w:val="000000"/>
          <w:sz w:val="30"/>
          <w:szCs w:val="30"/>
        </w:rPr>
      </w:pPr>
    </w:p>
    <w:p w14:paraId="7F838446">
      <w:pPr>
        <w:pStyle w:val="234"/>
        <w:spacing w:before="0" w:after="0" w:line="360" w:lineRule="auto"/>
        <w:jc w:val="left"/>
        <w:outlineLvl w:val="1"/>
        <w:rPr>
          <w:rFonts w:hint="eastAsia" w:ascii="宋体" w:hAnsi="宋体" w:cs="宋体"/>
          <w:color w:val="000000"/>
          <w:sz w:val="30"/>
          <w:szCs w:val="30"/>
        </w:rPr>
      </w:pPr>
    </w:p>
    <w:p w14:paraId="6BE808E4">
      <w:pPr>
        <w:pStyle w:val="234"/>
        <w:spacing w:before="0" w:after="0" w:line="360" w:lineRule="auto"/>
        <w:jc w:val="left"/>
        <w:outlineLvl w:val="1"/>
        <w:rPr>
          <w:rFonts w:hint="eastAsia" w:ascii="宋体" w:hAnsi="宋体" w:cs="宋体"/>
          <w:color w:val="000000"/>
          <w:sz w:val="30"/>
          <w:szCs w:val="30"/>
        </w:rPr>
      </w:pPr>
    </w:p>
    <w:p w14:paraId="512C87B7">
      <w:pPr>
        <w:pStyle w:val="234"/>
        <w:spacing w:before="0" w:after="0" w:line="360" w:lineRule="auto"/>
        <w:jc w:val="left"/>
        <w:outlineLvl w:val="1"/>
        <w:rPr>
          <w:rFonts w:hint="eastAsia" w:ascii="宋体" w:hAnsi="宋体" w:cs="宋体"/>
          <w:color w:val="000000"/>
          <w:sz w:val="30"/>
          <w:szCs w:val="30"/>
        </w:rPr>
      </w:pPr>
    </w:p>
    <w:p w14:paraId="36D1B7D0">
      <w:pPr>
        <w:pStyle w:val="234"/>
        <w:spacing w:before="0" w:after="0" w:line="360" w:lineRule="auto"/>
        <w:jc w:val="left"/>
        <w:outlineLvl w:val="1"/>
        <w:rPr>
          <w:rFonts w:hint="eastAsia" w:ascii="宋体" w:hAnsi="宋体" w:cs="宋体"/>
          <w:color w:val="000000"/>
          <w:sz w:val="30"/>
          <w:szCs w:val="30"/>
        </w:rPr>
      </w:pPr>
    </w:p>
    <w:p w14:paraId="5F55FEF3">
      <w:pPr>
        <w:pStyle w:val="234"/>
        <w:spacing w:before="0" w:after="0" w:line="360" w:lineRule="auto"/>
        <w:jc w:val="left"/>
        <w:outlineLvl w:val="1"/>
        <w:rPr>
          <w:rFonts w:hint="eastAsia" w:ascii="宋体" w:hAnsi="宋体" w:cs="宋体"/>
          <w:color w:val="000000"/>
          <w:sz w:val="30"/>
          <w:szCs w:val="30"/>
        </w:rPr>
      </w:pPr>
    </w:p>
    <w:p w14:paraId="52C60308">
      <w:pPr>
        <w:pStyle w:val="234"/>
        <w:spacing w:before="0" w:after="0" w:line="360" w:lineRule="auto"/>
        <w:jc w:val="left"/>
        <w:outlineLvl w:val="1"/>
        <w:rPr>
          <w:rFonts w:hint="eastAsia" w:ascii="宋体" w:hAnsi="宋体" w:cs="宋体"/>
          <w:color w:val="000000"/>
          <w:sz w:val="30"/>
          <w:szCs w:val="30"/>
        </w:rPr>
      </w:pPr>
    </w:p>
    <w:p w14:paraId="770D8AA3">
      <w:pPr>
        <w:shd w:val="clear"/>
        <w:outlineLvl w:val="1"/>
        <w:rPr>
          <w:rFonts w:hint="eastAsia" w:ascii="宋体" w:hAnsi="宋体" w:cs="宋体"/>
          <w:color w:val="000000"/>
        </w:rPr>
      </w:pPr>
      <w:r>
        <w:rPr>
          <w:rFonts w:hint="eastAsia" w:ascii="宋体" w:hAnsi="宋体" w:cs="宋体"/>
          <w:color w:val="000000"/>
          <w:highlight w:val="none"/>
        </w:rPr>
        <w:br w:type="page" w:clear="all"/>
      </w:r>
    </w:p>
    <w:p w14:paraId="52186B59">
      <w:pPr>
        <w:pStyle w:val="234"/>
        <w:spacing w:before="0" w:after="0" w:line="360" w:lineRule="auto"/>
        <w:jc w:val="left"/>
        <w:outlineLvl w:val="1"/>
        <w:rPr>
          <w:rFonts w:hint="eastAsia" w:ascii="宋体" w:hAnsi="宋体" w:cs="宋体"/>
          <w:color w:val="000000"/>
          <w:highlight w:val="none"/>
        </w:rPr>
      </w:pPr>
      <w:bookmarkStart w:id="69" w:name="_Toc26560"/>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8"/>
    </w:p>
    <w:p w14:paraId="55CEF7AD">
      <w:pPr>
        <w:spacing w:line="360" w:lineRule="auto"/>
        <w:rPr>
          <w:rFonts w:hint="eastAsia" w:ascii="宋体" w:hAnsi="宋体" w:cs="宋体"/>
          <w:color w:val="000000"/>
          <w:sz w:val="28"/>
          <w:szCs w:val="28"/>
          <w:lang w:val="zh-CN"/>
        </w:rPr>
      </w:pPr>
    </w:p>
    <w:p w14:paraId="75CE2B18">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无重大违法记录声明</w:t>
      </w:r>
    </w:p>
    <w:p w14:paraId="642683DE">
      <w:pPr>
        <w:spacing w:line="360" w:lineRule="auto"/>
        <w:rPr>
          <w:rFonts w:hint="eastAsia" w:ascii="宋体" w:hAnsi="宋体" w:cs="宋体"/>
          <w:b/>
          <w:bCs/>
          <w:color w:val="000000"/>
          <w:sz w:val="28"/>
          <w:szCs w:val="28"/>
        </w:rPr>
      </w:pPr>
    </w:p>
    <w:p w14:paraId="639E24EB">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u w:val="single"/>
          <w:lang w:val="zh-CN"/>
        </w:rPr>
        <w:t>刚察县政府采购中心</w:t>
      </w:r>
    </w:p>
    <w:p w14:paraId="77AA4E62">
      <w:pPr>
        <w:spacing w:line="360" w:lineRule="auto"/>
        <w:ind w:firstLine="48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081ADDDE">
      <w:pPr>
        <w:spacing w:line="360" w:lineRule="auto"/>
        <w:ind w:firstLine="480"/>
        <w:rPr>
          <w:rFonts w:hint="eastAsia" w:ascii="宋体" w:hAnsi="宋体" w:cs="宋体"/>
          <w:color w:val="000000"/>
        </w:rPr>
      </w:pPr>
      <w:r>
        <w:rPr>
          <w:rFonts w:hint="eastAsia" w:ascii="宋体" w:hAnsi="宋体" w:cs="宋体"/>
          <w:color w:val="000000"/>
        </w:rPr>
        <w:t>特此声明。</w:t>
      </w:r>
    </w:p>
    <w:p w14:paraId="3E8F12A6">
      <w:pPr>
        <w:spacing w:line="360" w:lineRule="auto"/>
        <w:jc w:val="left"/>
        <w:rPr>
          <w:rFonts w:hint="eastAsia" w:ascii="宋体" w:hAnsi="宋体" w:cs="宋体"/>
          <w:color w:val="000000"/>
        </w:rPr>
      </w:pPr>
    </w:p>
    <w:p w14:paraId="50C4E29C">
      <w:pPr>
        <w:spacing w:line="360" w:lineRule="auto"/>
        <w:ind w:firstLine="482"/>
        <w:jc w:val="left"/>
        <w:rPr>
          <w:rFonts w:hint="eastAsia" w:ascii="宋体" w:hAnsi="宋体" w:cs="宋体"/>
          <w:b/>
          <w:color w:val="000000"/>
        </w:rPr>
      </w:pPr>
      <w:r>
        <w:rPr>
          <w:rFonts w:hint="eastAsia" w:ascii="宋体" w:hAnsi="宋体" w:cs="宋体"/>
          <w:b/>
          <w:color w:val="000000"/>
          <w:lang w:val="zh-CN"/>
        </w:rPr>
        <w:t>附</w:t>
      </w:r>
      <w:r>
        <w:rPr>
          <w:rFonts w:hint="eastAsia" w:ascii="宋体" w:hAnsi="宋体" w:cs="宋体"/>
          <w:b/>
          <w:color w:val="000000"/>
        </w:rPr>
        <w:t>“</w:t>
      </w:r>
      <w:r>
        <w:rPr>
          <w:rFonts w:hint="eastAsia" w:ascii="宋体" w:hAnsi="宋体" w:cs="宋体"/>
          <w:b/>
          <w:color w:val="000000"/>
          <w:lang w:val="zh-CN"/>
        </w:rPr>
        <w:t>信用中国</w:t>
      </w:r>
      <w:r>
        <w:rPr>
          <w:rFonts w:hint="eastAsia" w:ascii="宋体" w:hAnsi="宋体" w:cs="宋体"/>
          <w:b/>
        </w:rPr>
        <w:t>（www.creditchina.gov.cn）</w:t>
      </w:r>
      <w:r>
        <w:rPr>
          <w:rFonts w:hint="eastAsia" w:ascii="宋体" w:hAnsi="宋体" w:cs="宋体"/>
          <w:b/>
          <w:color w:val="000000"/>
        </w:rPr>
        <w:t>”查询报告</w:t>
      </w:r>
      <w:r>
        <w:rPr>
          <w:rFonts w:hint="eastAsia" w:ascii="宋体" w:hAnsi="宋体" w:cs="宋体"/>
          <w:b/>
          <w:color w:val="000000"/>
          <w:lang w:val="zh-CN"/>
        </w:rPr>
        <w:t>、</w:t>
      </w:r>
      <w:r>
        <w:rPr>
          <w:rFonts w:hint="eastAsia" w:ascii="宋体" w:hAnsi="宋体" w:cs="宋体"/>
          <w:b/>
          <w:color w:val="000000"/>
        </w:rPr>
        <w:t>“</w:t>
      </w:r>
      <w:r>
        <w:rPr>
          <w:rFonts w:hint="eastAsia" w:ascii="宋体" w:hAnsi="宋体" w:cs="宋体"/>
          <w:b/>
          <w:color w:val="000000"/>
          <w:lang w:val="zh-CN"/>
        </w:rPr>
        <w:t>政府采购网</w:t>
      </w:r>
      <w:r>
        <w:rPr>
          <w:rFonts w:hint="eastAsia" w:ascii="宋体" w:hAnsi="宋体" w:cs="宋体"/>
          <w:b/>
        </w:rPr>
        <w:t>（www.ccgp.gov.cn）</w:t>
      </w:r>
      <w:r>
        <w:rPr>
          <w:rFonts w:hint="eastAsia" w:ascii="宋体" w:hAnsi="宋体" w:cs="宋体"/>
          <w:b/>
          <w:color w:val="000000"/>
        </w:rPr>
        <w:t>”</w:t>
      </w:r>
      <w:r>
        <w:rPr>
          <w:rFonts w:hint="eastAsia" w:ascii="宋体" w:hAnsi="宋体" w:cs="宋体"/>
          <w:b/>
          <w:color w:val="000000"/>
          <w:lang w:val="zh-CN"/>
        </w:rPr>
        <w:t>网站查询截图</w:t>
      </w:r>
      <w:r>
        <w:rPr>
          <w:rFonts w:hint="eastAsia" w:ascii="宋体" w:hAnsi="宋体" w:cs="宋体"/>
          <w:b/>
          <w:color w:val="000000"/>
        </w:rPr>
        <w:t>，</w:t>
      </w:r>
      <w:r>
        <w:rPr>
          <w:rFonts w:hint="eastAsia" w:ascii="宋体" w:hAnsi="宋体" w:cs="宋体"/>
          <w:b/>
          <w:color w:val="000000"/>
          <w:lang w:val="zh-CN"/>
        </w:rPr>
        <w:t>时间为投标截止时间前</w:t>
      </w:r>
      <w:r>
        <w:rPr>
          <w:rFonts w:hint="eastAsia" w:ascii="宋体" w:hAnsi="宋体" w:cs="宋体"/>
          <w:b/>
          <w:color w:val="000000"/>
        </w:rPr>
        <w:t>20</w:t>
      </w:r>
      <w:r>
        <w:rPr>
          <w:rFonts w:hint="eastAsia" w:ascii="宋体" w:hAnsi="宋体" w:cs="宋体"/>
          <w:b/>
          <w:color w:val="000000"/>
          <w:lang w:val="zh-CN"/>
        </w:rPr>
        <w:t>天内</w:t>
      </w:r>
      <w:r>
        <w:rPr>
          <w:rFonts w:hint="eastAsia" w:ascii="宋体" w:hAnsi="宋体" w:cs="宋体"/>
          <w:b/>
          <w:color w:val="000000"/>
        </w:rPr>
        <w:t>；实际</w:t>
      </w:r>
      <w:r>
        <w:rPr>
          <w:rFonts w:hint="eastAsia" w:ascii="宋体" w:hAnsi="宋体" w:cs="宋体"/>
          <w:b/>
          <w:color w:val="000000"/>
          <w:lang w:val="zh-CN"/>
        </w:rPr>
        <w:t>以现场查验为准。</w:t>
      </w:r>
    </w:p>
    <w:p w14:paraId="622BC6C7">
      <w:pPr>
        <w:spacing w:line="360" w:lineRule="auto"/>
        <w:jc w:val="left"/>
        <w:rPr>
          <w:rFonts w:hint="eastAsia" w:ascii="宋体" w:hAnsi="宋体" w:cs="宋体"/>
          <w:color w:val="000000"/>
        </w:rPr>
      </w:pPr>
    </w:p>
    <w:p w14:paraId="26DAA55C">
      <w:pPr>
        <w:spacing w:line="360" w:lineRule="auto"/>
        <w:jc w:val="left"/>
        <w:rPr>
          <w:rFonts w:hint="eastAsia" w:ascii="宋体" w:hAnsi="宋体" w:cs="宋体"/>
          <w:color w:val="000000"/>
        </w:rPr>
      </w:pPr>
    </w:p>
    <w:p w14:paraId="1229FD5A">
      <w:pPr>
        <w:spacing w:line="360" w:lineRule="auto"/>
        <w:jc w:val="left"/>
        <w:rPr>
          <w:rFonts w:hint="eastAsia" w:ascii="宋体" w:hAnsi="宋体" w:cs="宋体"/>
          <w:color w:val="000000"/>
        </w:rPr>
      </w:pPr>
    </w:p>
    <w:p w14:paraId="0B65F6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F133D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50AE4A4">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E801495">
      <w:pPr>
        <w:jc w:val="left"/>
        <w:rPr>
          <w:rFonts w:hint="eastAsia" w:ascii="宋体" w:cs="宋体"/>
          <w:b/>
          <w:bCs/>
          <w:lang w:val="zh-CN"/>
        </w:rPr>
      </w:pPr>
      <w:r>
        <w:rPr>
          <w:rFonts w:hint="eastAsia" w:ascii="宋体" w:hAnsi="宋体" w:cs="宋体"/>
          <w:color w:val="000000"/>
          <w:lang w:val="zh-CN"/>
        </w:rPr>
        <w:br w:type="page" w:clear="all"/>
      </w:r>
      <w:bookmarkEnd w:id="69"/>
    </w:p>
    <w:p w14:paraId="5039AC89">
      <w:pPr>
        <w:rPr>
          <w:rFonts w:hint="eastAsia"/>
          <w:b/>
          <w:sz w:val="36"/>
          <w:szCs w:val="36"/>
        </w:rPr>
      </w:pPr>
      <w:r>
        <w:rPr>
          <w:rFonts w:hint="eastAsia"/>
          <w:b/>
          <w:sz w:val="36"/>
          <w:szCs w:val="36"/>
          <w:lang w:val="zh-CN"/>
        </w:rPr>
        <w:t>（下册）</w:t>
      </w:r>
    </w:p>
    <w:p w14:paraId="0CBDB261">
      <w:pPr>
        <w:spacing w:line="360" w:lineRule="auto"/>
        <w:jc w:val="right"/>
        <w:rPr>
          <w:rFonts w:hint="eastAsia" w:ascii="宋体" w:hAnsi="宋体" w:cs="宋体"/>
          <w:b/>
          <w:bCs/>
          <w:color w:val="000000"/>
          <w:sz w:val="36"/>
          <w:szCs w:val="36"/>
        </w:rPr>
      </w:pPr>
      <w:r>
        <w:rPr>
          <w:rFonts w:hint="eastAsia" w:ascii="宋体" w:hAnsi="宋体" w:cs="宋体"/>
          <w:b/>
          <w:bCs/>
          <w:color w:val="000000"/>
          <w:sz w:val="36"/>
          <w:szCs w:val="36"/>
        </w:rPr>
        <w:t xml:space="preserve"> </w:t>
      </w:r>
    </w:p>
    <w:p w14:paraId="4EBC4A10">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3482A43B">
      <w:pPr>
        <w:spacing w:line="360" w:lineRule="auto"/>
        <w:rPr>
          <w:rFonts w:hint="eastAsia" w:ascii="宋体" w:hAnsi="宋体" w:cs="宋体"/>
          <w:color w:val="000000"/>
          <w:sz w:val="36"/>
          <w:szCs w:val="36"/>
        </w:rPr>
      </w:pPr>
    </w:p>
    <w:p w14:paraId="3EE1C0E4">
      <w:pPr>
        <w:spacing w:line="360" w:lineRule="auto"/>
        <w:jc w:val="center"/>
        <w:rPr>
          <w:rFonts w:hint="eastAsia" w:ascii="宋体" w:hAnsi="宋体" w:cs="宋体"/>
          <w:b/>
          <w:bCs/>
          <w:color w:val="000000"/>
          <w:sz w:val="72"/>
          <w:szCs w:val="72"/>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5E2B164F">
      <w:pPr>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14:paraId="5AABEEB1">
      <w:pPr>
        <w:jc w:val="center"/>
        <w:rPr>
          <w:rFonts w:cs="Calibri"/>
          <w:sz w:val="28"/>
          <w:szCs w:val="28"/>
        </w:rPr>
      </w:pPr>
      <w:r>
        <w:rPr>
          <w:rFonts w:hint="eastAsia" w:ascii="宋体" w:hAnsi="宋体"/>
          <w:b/>
          <w:bCs/>
          <w:sz w:val="36"/>
          <w:szCs w:val="36"/>
        </w:rPr>
        <w:t>（符合性审查文件）</w:t>
      </w:r>
    </w:p>
    <w:p w14:paraId="3A41187C">
      <w:pPr>
        <w:pStyle w:val="249"/>
        <w:rPr>
          <w:rFonts w:hint="eastAsia"/>
        </w:rPr>
      </w:pPr>
    </w:p>
    <w:p w14:paraId="222CC70A">
      <w:pPr>
        <w:spacing w:line="360" w:lineRule="auto"/>
        <w:rPr>
          <w:rFonts w:hint="eastAsia" w:ascii="宋体" w:hAnsi="宋体" w:cs="宋体"/>
          <w:color w:val="000000"/>
          <w:sz w:val="36"/>
          <w:szCs w:val="36"/>
        </w:rPr>
      </w:pPr>
    </w:p>
    <w:p w14:paraId="619AEC87">
      <w:pPr>
        <w:spacing w:line="360" w:lineRule="auto"/>
        <w:rPr>
          <w:rFonts w:hint="eastAsia" w:ascii="宋体" w:hAnsi="宋体" w:cs="宋体"/>
          <w:color w:val="000000"/>
          <w:sz w:val="36"/>
          <w:szCs w:val="36"/>
        </w:rPr>
      </w:pPr>
    </w:p>
    <w:p w14:paraId="30B42E0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CCB692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63EA178A">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lang w:val="zh-CN"/>
        </w:rPr>
        <w:t>投</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标</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包</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号：</w:t>
      </w:r>
    </w:p>
    <w:p w14:paraId="52CE72D9">
      <w:pPr>
        <w:spacing w:line="360" w:lineRule="auto"/>
        <w:rPr>
          <w:rFonts w:hint="eastAsia" w:ascii="宋体" w:hAnsi="宋体" w:cs="宋体"/>
          <w:b/>
          <w:bCs/>
          <w:color w:val="000000"/>
          <w:sz w:val="36"/>
          <w:szCs w:val="36"/>
        </w:rPr>
      </w:pPr>
    </w:p>
    <w:p w14:paraId="5CE90957">
      <w:pPr>
        <w:spacing w:line="360" w:lineRule="auto"/>
        <w:rPr>
          <w:rFonts w:hint="eastAsia" w:ascii="宋体" w:hAnsi="宋体" w:cs="宋体"/>
          <w:b/>
          <w:bCs/>
          <w:color w:val="000000"/>
          <w:sz w:val="36"/>
          <w:szCs w:val="36"/>
        </w:rPr>
      </w:pPr>
    </w:p>
    <w:p w14:paraId="242D56DD">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008A6F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478DD939">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03DA8A1E">
      <w:pPr>
        <w:pStyle w:val="234"/>
        <w:spacing w:before="0" w:after="0" w:line="360" w:lineRule="auto"/>
        <w:jc w:val="left"/>
        <w:rPr>
          <w:rFonts w:hint="eastAsia" w:ascii="宋体" w:hAnsi="宋体" w:cs="宋体"/>
          <w:color w:val="000000"/>
          <w:lang w:val="zh-CN"/>
        </w:rPr>
      </w:pPr>
      <w:r>
        <w:rPr>
          <w:rFonts w:hint="eastAsia" w:ascii="宋体" w:hAnsi="宋体" w:cs="宋体"/>
          <w:b w:val="0"/>
          <w:bCs w:val="0"/>
          <w:color w:val="000000"/>
          <w:lang w:val="zh-CN"/>
        </w:rPr>
        <w:br w:type="page" w:clear="all"/>
      </w:r>
      <w:bookmarkStart w:id="70" w:name="_Toc19897"/>
      <w:r>
        <w:rPr>
          <w:rFonts w:hint="eastAsia" w:ascii="宋体" w:hAnsi="宋体" w:cs="宋体"/>
          <w:color w:val="000000"/>
          <w:sz w:val="30"/>
          <w:szCs w:val="30"/>
          <w:lang w:val="zh-CN"/>
        </w:rPr>
        <w:t>目录（下册）</w:t>
      </w:r>
      <w:bookmarkEnd w:id="70"/>
    </w:p>
    <w:p w14:paraId="7E827203">
      <w:pPr>
        <w:spacing w:line="360" w:lineRule="auto"/>
        <w:rPr>
          <w:rFonts w:hint="eastAsia" w:ascii="宋体" w:hAnsi="宋体" w:cs="宋体"/>
          <w:color w:val="000000"/>
          <w:lang w:val="zh-CN"/>
        </w:rPr>
      </w:pPr>
      <w:r>
        <w:rPr>
          <w:rFonts w:hint="eastAsia" w:ascii="宋体" w:hAnsi="宋体" w:cs="宋体"/>
          <w:color w:val="000000"/>
        </w:rPr>
        <w:t>(10)评分对照表</w:t>
      </w:r>
      <w:r>
        <w:rPr>
          <w:rFonts w:hint="eastAsia" w:ascii="宋体" w:hAnsi="宋体" w:cs="宋体"/>
          <w:color w:val="000000"/>
          <w:lang w:val="zh-CN"/>
        </w:rPr>
        <w:t>………………………………………………………所在页码</w:t>
      </w:r>
    </w:p>
    <w:p w14:paraId="49F08E8F">
      <w:pPr>
        <w:spacing w:line="360" w:lineRule="auto"/>
        <w:rPr>
          <w:rFonts w:hint="eastAsia" w:ascii="宋体" w:hAnsi="宋体" w:cs="宋体"/>
          <w:color w:val="000000"/>
          <w:lang w:val="zh-CN"/>
        </w:rPr>
      </w:pPr>
      <w:r>
        <w:rPr>
          <w:rFonts w:hint="eastAsia" w:ascii="宋体" w:hAnsi="宋体" w:cs="宋体"/>
          <w:color w:val="000000"/>
        </w:rPr>
        <w:t>(11)</w:t>
      </w:r>
      <w:r>
        <w:rPr>
          <w:rFonts w:hint="eastAsia" w:ascii="宋体" w:hAnsi="宋体" w:cs="宋体"/>
          <w:color w:val="000000"/>
          <w:lang w:val="zh-CN"/>
        </w:rPr>
        <w:t>开标一览表（报价表）…………………………………………所在页码</w:t>
      </w:r>
    </w:p>
    <w:p w14:paraId="6AE8F9B7">
      <w:pPr>
        <w:spacing w:line="360" w:lineRule="auto"/>
        <w:rPr>
          <w:rFonts w:hint="eastAsia" w:ascii="宋体" w:hAnsi="宋体" w:cs="宋体"/>
          <w:color w:val="000000"/>
          <w:lang w:val="zh-CN"/>
        </w:rPr>
      </w:pPr>
      <w:r>
        <w:rPr>
          <w:rFonts w:hint="eastAsia" w:ascii="宋体" w:hAnsi="宋体" w:cs="宋体"/>
          <w:color w:val="000000"/>
        </w:rPr>
        <w:t>(12)</w:t>
      </w:r>
      <w:r>
        <w:rPr>
          <w:rFonts w:hint="eastAsia" w:ascii="宋体" w:hAnsi="宋体" w:cs="宋体"/>
          <w:color w:val="000000"/>
          <w:lang w:val="zh-CN"/>
        </w:rPr>
        <w:t>分项报价表………………………………………………………所在页码</w:t>
      </w:r>
    </w:p>
    <w:p w14:paraId="52925C8F">
      <w:pPr>
        <w:spacing w:line="360" w:lineRule="auto"/>
        <w:rPr>
          <w:rFonts w:hint="eastAsia" w:ascii="宋体" w:hAnsi="宋体" w:cs="宋体"/>
          <w:color w:val="000000"/>
          <w:lang w:val="zh-CN"/>
        </w:rPr>
      </w:pPr>
      <w:r>
        <w:rPr>
          <w:rFonts w:hint="eastAsia" w:ascii="宋体" w:hAnsi="宋体" w:cs="宋体"/>
          <w:color w:val="000000"/>
        </w:rPr>
        <w:t>(13)</w:t>
      </w:r>
      <w:r>
        <w:rPr>
          <w:rFonts w:hint="eastAsia" w:ascii="宋体" w:hAnsi="宋体" w:cs="宋体"/>
          <w:color w:val="000000"/>
          <w:lang w:val="zh-CN"/>
        </w:rPr>
        <w:t>技术规格响应表…………………………………………………所在页码</w:t>
      </w:r>
    </w:p>
    <w:p w14:paraId="2053239D">
      <w:pPr>
        <w:spacing w:line="360" w:lineRule="auto"/>
        <w:rPr>
          <w:rFonts w:hint="eastAsia" w:ascii="宋体" w:hAnsi="宋体" w:cs="宋体"/>
          <w:color w:val="000000"/>
          <w:lang w:val="zh-CN"/>
        </w:rPr>
      </w:pPr>
      <w:r>
        <w:rPr>
          <w:rFonts w:hint="eastAsia" w:ascii="宋体" w:hAnsi="宋体" w:cs="宋体"/>
          <w:color w:val="000000"/>
        </w:rPr>
        <w:t>(14)</w:t>
      </w:r>
      <w:r>
        <w:rPr>
          <w:rFonts w:hint="eastAsia" w:ascii="宋体" w:hAnsi="宋体" w:cs="宋体"/>
          <w:color w:val="000000"/>
          <w:lang w:val="zh-CN"/>
        </w:rPr>
        <w:t>投标产品相关资料………………………………………………所在页码</w:t>
      </w:r>
    </w:p>
    <w:p w14:paraId="39033460">
      <w:pPr>
        <w:spacing w:line="360" w:lineRule="auto"/>
        <w:rPr>
          <w:rFonts w:hint="eastAsia" w:ascii="宋体" w:hAnsi="宋体" w:cs="宋体"/>
          <w:color w:val="000000"/>
          <w:lang w:val="zh-CN"/>
        </w:rPr>
      </w:pPr>
      <w:r>
        <w:rPr>
          <w:rFonts w:hint="eastAsia" w:ascii="宋体" w:hAnsi="宋体" w:cs="宋体"/>
          <w:color w:val="000000"/>
        </w:rPr>
        <w:t>(15)</w:t>
      </w:r>
      <w:r>
        <w:rPr>
          <w:rFonts w:hint="eastAsia" w:ascii="宋体" w:hAnsi="宋体" w:cs="宋体"/>
          <w:color w:val="000000"/>
          <w:lang w:val="zh-CN"/>
        </w:rPr>
        <w:t>投标人的类似业绩证明材料……………………………………所在页码</w:t>
      </w:r>
    </w:p>
    <w:p w14:paraId="3A251075">
      <w:pPr>
        <w:spacing w:line="360" w:lineRule="auto"/>
        <w:rPr>
          <w:rFonts w:hint="eastAsia" w:ascii="宋体" w:hAnsi="宋体" w:cs="宋体"/>
          <w:color w:val="000000"/>
          <w:lang w:val="zh-CN"/>
        </w:rPr>
      </w:pPr>
      <w:r>
        <w:rPr>
          <w:rFonts w:hint="eastAsia" w:ascii="宋体" w:hAnsi="宋体" w:cs="宋体"/>
          <w:color w:val="000000"/>
        </w:rPr>
        <w:t>(16)</w:t>
      </w:r>
      <w:r>
        <w:rPr>
          <w:rFonts w:hint="eastAsia" w:ascii="宋体" w:hAnsi="宋体" w:cs="宋体"/>
          <w:color w:val="000000"/>
          <w:lang w:val="zh-CN"/>
        </w:rPr>
        <w:t>制造（生产）企业小型微型企业声明函、从业人员声明函…所在页码</w:t>
      </w:r>
    </w:p>
    <w:p w14:paraId="314CF12A">
      <w:pPr>
        <w:spacing w:line="360" w:lineRule="auto"/>
        <w:rPr>
          <w:rFonts w:hint="eastAsia" w:ascii="宋体" w:hAnsi="宋体" w:cs="宋体"/>
          <w:color w:val="000000"/>
          <w:lang w:val="zh-CN"/>
        </w:rPr>
      </w:pPr>
      <w:r>
        <w:rPr>
          <w:rFonts w:hint="eastAsia" w:ascii="宋体" w:hAnsi="宋体" w:cs="宋体"/>
          <w:color w:val="000000"/>
        </w:rPr>
        <w:t>(17)</w:t>
      </w:r>
      <w:r>
        <w:rPr>
          <w:rFonts w:hint="eastAsia" w:ascii="宋体" w:hAnsi="宋体" w:cs="宋体"/>
          <w:color w:val="000000"/>
          <w:lang w:val="zh-CN"/>
        </w:rPr>
        <w:t>残疾人福利性单位声明函………………………………………所在页码</w:t>
      </w:r>
    </w:p>
    <w:p w14:paraId="5B55B307">
      <w:pPr>
        <w:spacing w:line="360" w:lineRule="auto"/>
        <w:rPr>
          <w:rFonts w:hint="eastAsia" w:ascii="宋体" w:hAnsi="宋体" w:cs="宋体"/>
          <w:color w:val="000000"/>
          <w:lang w:val="zh-CN"/>
        </w:rPr>
      </w:pPr>
      <w:r>
        <w:rPr>
          <w:rFonts w:hint="eastAsia" w:ascii="宋体" w:hAnsi="宋体" w:cs="宋体"/>
          <w:color w:val="000000"/>
        </w:rPr>
        <w:t>(18)</w:t>
      </w:r>
      <w:r>
        <w:rPr>
          <w:rFonts w:hint="eastAsia" w:ascii="宋体" w:hAnsi="宋体" w:cs="宋体"/>
          <w:color w:val="000000"/>
          <w:lang w:val="zh-CN"/>
        </w:rPr>
        <w:t>投标人认为在其他方面有必要说明的事项……………………所在页码</w:t>
      </w:r>
    </w:p>
    <w:p w14:paraId="4DBCDBB1">
      <w:pPr>
        <w:pStyle w:val="234"/>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clear="all"/>
      </w:r>
      <w:bookmarkStart w:id="71" w:name="_Toc17049"/>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1"/>
    </w:p>
    <w:p w14:paraId="239A1ABD">
      <w:pPr>
        <w:spacing w:line="360" w:lineRule="auto"/>
        <w:rPr>
          <w:rFonts w:hint="eastAsia" w:ascii="宋体" w:hAnsi="宋体" w:cs="宋体"/>
          <w:color w:val="000000"/>
          <w:sz w:val="28"/>
          <w:szCs w:val="28"/>
        </w:rPr>
      </w:pPr>
    </w:p>
    <w:p w14:paraId="61F45985">
      <w:pPr>
        <w:spacing w:line="360" w:lineRule="auto"/>
        <w:jc w:val="center"/>
        <w:rPr>
          <w:rFonts w:hint="eastAsia" w:ascii="宋体" w:hAnsi="宋体" w:cs="宋体"/>
          <w:color w:val="000000"/>
        </w:rPr>
      </w:pPr>
      <w:r>
        <w:rPr>
          <w:rFonts w:hint="eastAsia" w:ascii="宋体" w:hAnsi="宋体" w:cs="宋体"/>
          <w:b/>
          <w:bCs/>
          <w:color w:val="000000"/>
          <w:sz w:val="28"/>
          <w:szCs w:val="28"/>
        </w:rPr>
        <w:t>包*评分对照表</w:t>
      </w:r>
    </w:p>
    <w:p w14:paraId="086BFE07">
      <w:pPr>
        <w:spacing w:line="360" w:lineRule="auto"/>
        <w:rPr>
          <w:rFonts w:hint="eastAsia" w:ascii="宋体" w:hAnsi="宋体" w:cs="宋体"/>
          <w:color w:val="000000"/>
          <w:sz w:val="28"/>
          <w:szCs w:val="28"/>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14:paraId="6E07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144DB56">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0898B87A">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0A6199AC">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301B7BBB">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09E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2BD2FC88">
            <w:pPr>
              <w:pStyle w:val="206"/>
              <w:spacing w:line="360" w:lineRule="auto"/>
              <w:ind w:firstLine="0"/>
              <w:jc w:val="center"/>
              <w:rPr>
                <w:rFonts w:hint="eastAsia" w:ascii="宋体" w:hAnsi="宋体" w:cs="宋体"/>
                <w:color w:val="000000"/>
                <w:szCs w:val="24"/>
              </w:rPr>
            </w:pPr>
          </w:p>
        </w:tc>
        <w:tc>
          <w:tcPr>
            <w:tcW w:w="2514" w:type="dxa"/>
            <w:noWrap w:val="0"/>
            <w:vAlign w:val="center"/>
          </w:tcPr>
          <w:p w14:paraId="3E7DA1BC">
            <w:pPr>
              <w:pStyle w:val="206"/>
              <w:spacing w:line="360" w:lineRule="auto"/>
              <w:ind w:firstLine="0"/>
              <w:jc w:val="center"/>
              <w:rPr>
                <w:rFonts w:hint="eastAsia" w:ascii="宋体" w:hAnsi="宋体" w:cs="宋体"/>
                <w:color w:val="000000"/>
                <w:szCs w:val="24"/>
              </w:rPr>
            </w:pPr>
          </w:p>
        </w:tc>
        <w:tc>
          <w:tcPr>
            <w:tcW w:w="2266" w:type="dxa"/>
            <w:noWrap w:val="0"/>
            <w:vAlign w:val="center"/>
          </w:tcPr>
          <w:p w14:paraId="3F49293F">
            <w:pPr>
              <w:pStyle w:val="206"/>
              <w:spacing w:line="360" w:lineRule="auto"/>
              <w:ind w:firstLine="0"/>
              <w:jc w:val="center"/>
              <w:rPr>
                <w:rFonts w:hint="eastAsia" w:ascii="宋体" w:hAnsi="宋体" w:cs="宋体"/>
                <w:color w:val="000000"/>
                <w:szCs w:val="24"/>
              </w:rPr>
            </w:pPr>
          </w:p>
        </w:tc>
        <w:tc>
          <w:tcPr>
            <w:tcW w:w="2966" w:type="dxa"/>
            <w:noWrap w:val="0"/>
            <w:vAlign w:val="center"/>
          </w:tcPr>
          <w:p w14:paraId="7393546C">
            <w:pPr>
              <w:pStyle w:val="206"/>
              <w:spacing w:line="360" w:lineRule="auto"/>
              <w:ind w:firstLine="0"/>
              <w:jc w:val="center"/>
              <w:rPr>
                <w:rFonts w:hint="eastAsia" w:ascii="宋体" w:hAnsi="宋体" w:cs="宋体"/>
                <w:color w:val="000000"/>
                <w:szCs w:val="24"/>
              </w:rPr>
            </w:pPr>
          </w:p>
        </w:tc>
      </w:tr>
      <w:tr w14:paraId="1EF0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68789082">
            <w:pPr>
              <w:pStyle w:val="206"/>
              <w:spacing w:line="360" w:lineRule="auto"/>
              <w:ind w:firstLine="0"/>
              <w:jc w:val="center"/>
              <w:rPr>
                <w:rFonts w:hint="eastAsia" w:ascii="宋体" w:hAnsi="宋体" w:cs="宋体"/>
                <w:color w:val="000000"/>
                <w:szCs w:val="24"/>
              </w:rPr>
            </w:pPr>
          </w:p>
        </w:tc>
        <w:tc>
          <w:tcPr>
            <w:tcW w:w="2514" w:type="dxa"/>
            <w:noWrap w:val="0"/>
            <w:vAlign w:val="center"/>
          </w:tcPr>
          <w:p w14:paraId="60E14DAD">
            <w:pPr>
              <w:pStyle w:val="206"/>
              <w:spacing w:line="360" w:lineRule="auto"/>
              <w:ind w:firstLine="0"/>
              <w:jc w:val="center"/>
              <w:rPr>
                <w:rFonts w:hint="eastAsia" w:ascii="宋体" w:hAnsi="宋体" w:cs="宋体"/>
                <w:color w:val="000000"/>
                <w:szCs w:val="24"/>
              </w:rPr>
            </w:pPr>
          </w:p>
        </w:tc>
        <w:tc>
          <w:tcPr>
            <w:tcW w:w="2266" w:type="dxa"/>
            <w:noWrap w:val="0"/>
            <w:vAlign w:val="center"/>
          </w:tcPr>
          <w:p w14:paraId="5081AFB7">
            <w:pPr>
              <w:pStyle w:val="206"/>
              <w:spacing w:line="360" w:lineRule="auto"/>
              <w:ind w:firstLine="0"/>
              <w:jc w:val="center"/>
              <w:rPr>
                <w:rFonts w:hint="eastAsia" w:ascii="宋体" w:hAnsi="宋体" w:cs="宋体"/>
                <w:color w:val="000000"/>
                <w:szCs w:val="24"/>
              </w:rPr>
            </w:pPr>
          </w:p>
        </w:tc>
        <w:tc>
          <w:tcPr>
            <w:tcW w:w="2966" w:type="dxa"/>
            <w:noWrap w:val="0"/>
            <w:vAlign w:val="center"/>
          </w:tcPr>
          <w:p w14:paraId="14F32A7D">
            <w:pPr>
              <w:pStyle w:val="206"/>
              <w:spacing w:line="360" w:lineRule="auto"/>
              <w:ind w:firstLine="0"/>
              <w:jc w:val="center"/>
              <w:rPr>
                <w:rFonts w:hint="eastAsia" w:ascii="宋体" w:hAnsi="宋体" w:cs="宋体"/>
                <w:color w:val="000000"/>
                <w:szCs w:val="24"/>
              </w:rPr>
            </w:pPr>
          </w:p>
        </w:tc>
      </w:tr>
      <w:tr w14:paraId="2713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05494033">
            <w:pPr>
              <w:pStyle w:val="206"/>
              <w:spacing w:line="360" w:lineRule="auto"/>
              <w:ind w:firstLine="0"/>
              <w:jc w:val="center"/>
              <w:rPr>
                <w:rFonts w:hint="eastAsia" w:ascii="宋体" w:hAnsi="宋体" w:cs="宋体"/>
                <w:color w:val="000000"/>
                <w:szCs w:val="24"/>
              </w:rPr>
            </w:pPr>
          </w:p>
        </w:tc>
        <w:tc>
          <w:tcPr>
            <w:tcW w:w="2514" w:type="dxa"/>
            <w:noWrap w:val="0"/>
            <w:vAlign w:val="center"/>
          </w:tcPr>
          <w:p w14:paraId="110ABD45">
            <w:pPr>
              <w:pStyle w:val="206"/>
              <w:spacing w:line="360" w:lineRule="auto"/>
              <w:ind w:firstLine="0"/>
              <w:jc w:val="center"/>
              <w:rPr>
                <w:rFonts w:hint="eastAsia" w:ascii="宋体" w:hAnsi="宋体" w:cs="宋体"/>
                <w:color w:val="000000"/>
                <w:szCs w:val="24"/>
              </w:rPr>
            </w:pPr>
          </w:p>
        </w:tc>
        <w:tc>
          <w:tcPr>
            <w:tcW w:w="2266" w:type="dxa"/>
            <w:noWrap w:val="0"/>
            <w:vAlign w:val="center"/>
          </w:tcPr>
          <w:p w14:paraId="04528A38">
            <w:pPr>
              <w:pStyle w:val="206"/>
              <w:spacing w:line="360" w:lineRule="auto"/>
              <w:ind w:firstLine="0"/>
              <w:jc w:val="center"/>
              <w:rPr>
                <w:rFonts w:hint="eastAsia" w:ascii="宋体" w:hAnsi="宋体" w:cs="宋体"/>
                <w:color w:val="000000"/>
                <w:szCs w:val="24"/>
              </w:rPr>
            </w:pPr>
          </w:p>
        </w:tc>
        <w:tc>
          <w:tcPr>
            <w:tcW w:w="2966" w:type="dxa"/>
            <w:noWrap w:val="0"/>
            <w:vAlign w:val="center"/>
          </w:tcPr>
          <w:p w14:paraId="1BFB7AAC">
            <w:pPr>
              <w:pStyle w:val="206"/>
              <w:spacing w:line="360" w:lineRule="auto"/>
              <w:ind w:firstLine="0"/>
              <w:jc w:val="center"/>
              <w:rPr>
                <w:rFonts w:hint="eastAsia" w:ascii="宋体" w:hAnsi="宋体" w:cs="宋体"/>
                <w:color w:val="000000"/>
                <w:szCs w:val="24"/>
              </w:rPr>
            </w:pPr>
          </w:p>
        </w:tc>
      </w:tr>
      <w:tr w14:paraId="52BD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4DD9586A">
            <w:pPr>
              <w:pStyle w:val="206"/>
              <w:spacing w:line="360" w:lineRule="auto"/>
              <w:ind w:firstLine="0"/>
              <w:jc w:val="center"/>
              <w:rPr>
                <w:rFonts w:hint="eastAsia" w:ascii="宋体" w:hAnsi="宋体" w:cs="宋体"/>
                <w:color w:val="000000"/>
                <w:szCs w:val="24"/>
              </w:rPr>
            </w:pPr>
          </w:p>
        </w:tc>
        <w:tc>
          <w:tcPr>
            <w:tcW w:w="2514" w:type="dxa"/>
            <w:noWrap w:val="0"/>
            <w:vAlign w:val="center"/>
          </w:tcPr>
          <w:p w14:paraId="385D583F">
            <w:pPr>
              <w:pStyle w:val="206"/>
              <w:spacing w:line="360" w:lineRule="auto"/>
              <w:ind w:firstLine="0"/>
              <w:jc w:val="center"/>
              <w:rPr>
                <w:rFonts w:hint="eastAsia" w:ascii="宋体" w:hAnsi="宋体" w:cs="宋体"/>
                <w:color w:val="000000"/>
                <w:szCs w:val="24"/>
              </w:rPr>
            </w:pPr>
          </w:p>
        </w:tc>
        <w:tc>
          <w:tcPr>
            <w:tcW w:w="2266" w:type="dxa"/>
            <w:noWrap w:val="0"/>
            <w:vAlign w:val="center"/>
          </w:tcPr>
          <w:p w14:paraId="5B2AD881">
            <w:pPr>
              <w:pStyle w:val="206"/>
              <w:spacing w:line="360" w:lineRule="auto"/>
              <w:ind w:firstLine="0"/>
              <w:jc w:val="center"/>
              <w:rPr>
                <w:rFonts w:hint="eastAsia" w:ascii="宋体" w:hAnsi="宋体" w:cs="宋体"/>
                <w:color w:val="000000"/>
                <w:szCs w:val="24"/>
              </w:rPr>
            </w:pPr>
          </w:p>
        </w:tc>
        <w:tc>
          <w:tcPr>
            <w:tcW w:w="2966" w:type="dxa"/>
            <w:noWrap w:val="0"/>
            <w:vAlign w:val="center"/>
          </w:tcPr>
          <w:p w14:paraId="2D031DFE">
            <w:pPr>
              <w:pStyle w:val="206"/>
              <w:spacing w:line="360" w:lineRule="auto"/>
              <w:ind w:firstLine="0"/>
              <w:jc w:val="center"/>
              <w:rPr>
                <w:rFonts w:hint="eastAsia" w:ascii="宋体" w:hAnsi="宋体" w:cs="宋体"/>
                <w:color w:val="000000"/>
                <w:szCs w:val="24"/>
              </w:rPr>
            </w:pPr>
          </w:p>
        </w:tc>
      </w:tr>
      <w:tr w14:paraId="65F6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7D0CE008">
            <w:pPr>
              <w:pStyle w:val="206"/>
              <w:spacing w:line="360" w:lineRule="auto"/>
              <w:ind w:firstLine="0"/>
              <w:jc w:val="center"/>
              <w:rPr>
                <w:rFonts w:hint="eastAsia" w:ascii="宋体" w:hAnsi="宋体" w:cs="宋体"/>
                <w:color w:val="000000"/>
                <w:szCs w:val="24"/>
              </w:rPr>
            </w:pPr>
          </w:p>
        </w:tc>
        <w:tc>
          <w:tcPr>
            <w:tcW w:w="2514" w:type="dxa"/>
            <w:noWrap w:val="0"/>
            <w:vAlign w:val="center"/>
          </w:tcPr>
          <w:p w14:paraId="45B74CDD">
            <w:pPr>
              <w:pStyle w:val="206"/>
              <w:spacing w:line="360" w:lineRule="auto"/>
              <w:ind w:firstLine="0"/>
              <w:jc w:val="center"/>
              <w:rPr>
                <w:rFonts w:hint="eastAsia" w:ascii="宋体" w:hAnsi="宋体" w:cs="宋体"/>
                <w:color w:val="000000"/>
                <w:szCs w:val="24"/>
              </w:rPr>
            </w:pPr>
          </w:p>
        </w:tc>
        <w:tc>
          <w:tcPr>
            <w:tcW w:w="2266" w:type="dxa"/>
            <w:noWrap w:val="0"/>
            <w:vAlign w:val="center"/>
          </w:tcPr>
          <w:p w14:paraId="58E0D1B3">
            <w:pPr>
              <w:pStyle w:val="206"/>
              <w:spacing w:line="360" w:lineRule="auto"/>
              <w:ind w:firstLine="0"/>
              <w:jc w:val="center"/>
              <w:rPr>
                <w:rFonts w:hint="eastAsia" w:ascii="宋体" w:hAnsi="宋体" w:cs="宋体"/>
                <w:color w:val="000000"/>
                <w:szCs w:val="24"/>
              </w:rPr>
            </w:pPr>
          </w:p>
        </w:tc>
        <w:tc>
          <w:tcPr>
            <w:tcW w:w="2966" w:type="dxa"/>
            <w:noWrap w:val="0"/>
            <w:vAlign w:val="center"/>
          </w:tcPr>
          <w:p w14:paraId="039E8057">
            <w:pPr>
              <w:pStyle w:val="206"/>
              <w:spacing w:line="360" w:lineRule="auto"/>
              <w:ind w:firstLine="0"/>
              <w:jc w:val="center"/>
              <w:rPr>
                <w:rFonts w:hint="eastAsia" w:ascii="宋体" w:hAnsi="宋体" w:cs="宋体"/>
                <w:color w:val="000000"/>
                <w:szCs w:val="24"/>
              </w:rPr>
            </w:pPr>
          </w:p>
        </w:tc>
      </w:tr>
      <w:tr w14:paraId="649F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7D04065">
            <w:pPr>
              <w:pStyle w:val="206"/>
              <w:spacing w:line="360" w:lineRule="auto"/>
              <w:ind w:firstLine="0"/>
              <w:jc w:val="center"/>
              <w:rPr>
                <w:rFonts w:hint="eastAsia" w:ascii="宋体" w:hAnsi="宋体" w:cs="宋体"/>
                <w:color w:val="000000"/>
                <w:szCs w:val="24"/>
              </w:rPr>
            </w:pPr>
          </w:p>
        </w:tc>
        <w:tc>
          <w:tcPr>
            <w:tcW w:w="2514" w:type="dxa"/>
            <w:noWrap w:val="0"/>
            <w:vAlign w:val="center"/>
          </w:tcPr>
          <w:p w14:paraId="409E489D">
            <w:pPr>
              <w:pStyle w:val="206"/>
              <w:spacing w:line="360" w:lineRule="auto"/>
              <w:ind w:firstLine="0"/>
              <w:jc w:val="center"/>
              <w:rPr>
                <w:rFonts w:hint="eastAsia" w:ascii="宋体" w:hAnsi="宋体" w:cs="宋体"/>
                <w:color w:val="000000"/>
                <w:szCs w:val="24"/>
              </w:rPr>
            </w:pPr>
          </w:p>
        </w:tc>
        <w:tc>
          <w:tcPr>
            <w:tcW w:w="2266" w:type="dxa"/>
            <w:noWrap w:val="0"/>
            <w:vAlign w:val="center"/>
          </w:tcPr>
          <w:p w14:paraId="21266E21">
            <w:pPr>
              <w:pStyle w:val="206"/>
              <w:spacing w:line="360" w:lineRule="auto"/>
              <w:ind w:firstLine="0"/>
              <w:jc w:val="center"/>
              <w:rPr>
                <w:rFonts w:hint="eastAsia" w:ascii="宋体" w:hAnsi="宋体" w:cs="宋体"/>
                <w:color w:val="000000"/>
                <w:szCs w:val="24"/>
              </w:rPr>
            </w:pPr>
          </w:p>
        </w:tc>
        <w:tc>
          <w:tcPr>
            <w:tcW w:w="2966" w:type="dxa"/>
            <w:noWrap w:val="0"/>
            <w:vAlign w:val="center"/>
          </w:tcPr>
          <w:p w14:paraId="258A04E4">
            <w:pPr>
              <w:pStyle w:val="206"/>
              <w:spacing w:line="360" w:lineRule="auto"/>
              <w:ind w:firstLine="0"/>
              <w:jc w:val="center"/>
              <w:rPr>
                <w:rFonts w:hint="eastAsia" w:ascii="宋体" w:hAnsi="宋体" w:cs="宋体"/>
                <w:color w:val="000000"/>
                <w:szCs w:val="24"/>
              </w:rPr>
            </w:pPr>
          </w:p>
        </w:tc>
      </w:tr>
    </w:tbl>
    <w:p w14:paraId="0F5583EB">
      <w:pPr>
        <w:spacing w:line="360" w:lineRule="auto"/>
        <w:rPr>
          <w:rFonts w:hint="eastAsia" w:ascii="宋体" w:hAnsi="宋体" w:cs="宋体"/>
          <w:color w:val="000000"/>
          <w:lang w:val="zh-CN"/>
        </w:rPr>
      </w:pPr>
    </w:p>
    <w:p w14:paraId="4DC0007A">
      <w:pPr>
        <w:pStyle w:val="234"/>
        <w:spacing w:before="0" w:after="0" w:line="360" w:lineRule="auto"/>
        <w:jc w:val="left"/>
        <w:outlineLvl w:val="1"/>
        <w:rPr>
          <w:rFonts w:hint="eastAsia" w:ascii="宋体" w:hAnsi="宋体" w:cs="宋体"/>
          <w:color w:val="000000"/>
          <w:lang w:val="zh-CN"/>
        </w:rPr>
      </w:pPr>
      <w:bookmarkStart w:id="72" w:name="_Toc27463"/>
      <w:bookmarkStart w:id="73" w:name="_Toc289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clear="all"/>
      </w:r>
      <w:bookmarkStart w:id="74"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2"/>
      <w:bookmarkEnd w:id="73"/>
    </w:p>
    <w:p w14:paraId="0AA7D78E">
      <w:pPr>
        <w:spacing w:line="360" w:lineRule="auto"/>
        <w:rPr>
          <w:rFonts w:hint="eastAsia" w:ascii="宋体" w:hAnsi="宋体" w:cs="宋体"/>
          <w:b/>
          <w:bCs/>
          <w:color w:val="000000"/>
          <w:sz w:val="28"/>
          <w:szCs w:val="28"/>
          <w:lang w:val="zh-CN"/>
        </w:rPr>
      </w:pPr>
    </w:p>
    <w:bookmarkEnd w:id="74"/>
    <w:p w14:paraId="3729EAD2">
      <w:pPr>
        <w:spacing w:line="360" w:lineRule="auto"/>
        <w:jc w:val="center"/>
        <w:rPr>
          <w:rFonts w:hint="eastAsia" w:ascii="宋体" w:hAnsi="宋体" w:cs="宋体"/>
          <w:b/>
          <w:bCs/>
          <w:color w:val="000000"/>
          <w:sz w:val="36"/>
          <w:szCs w:val="36"/>
          <w:lang w:val="zh-CN"/>
        </w:rPr>
      </w:pPr>
      <w:bookmarkStart w:id="75" w:name="_Toc14290"/>
      <w:bookmarkStart w:id="76" w:name="_Toc515908222"/>
      <w:r>
        <w:rPr>
          <w:rFonts w:hint="eastAsia" w:ascii="宋体" w:hAnsi="宋体" w:cs="宋体"/>
          <w:b/>
          <w:bCs/>
          <w:color w:val="000000"/>
          <w:sz w:val="28"/>
          <w:szCs w:val="28"/>
        </w:rPr>
        <w:t>包*</w:t>
      </w:r>
      <w:r>
        <w:rPr>
          <w:rFonts w:hint="eastAsia" w:ascii="宋体" w:hAnsi="宋体" w:cs="宋体"/>
          <w:b/>
          <w:bCs/>
          <w:color w:val="000000"/>
          <w:sz w:val="28"/>
          <w:szCs w:val="28"/>
          <w:lang w:val="zh-CN"/>
        </w:rPr>
        <w:t>开标一览表（报价表）</w:t>
      </w:r>
    </w:p>
    <w:p w14:paraId="3951984C">
      <w:pPr>
        <w:spacing w:line="360" w:lineRule="auto"/>
        <w:rPr>
          <w:rFonts w:hint="eastAsia" w:ascii="宋体" w:hAnsi="宋体" w:cs="宋体"/>
          <w:b/>
          <w:bCs/>
          <w:color w:val="000000"/>
          <w:sz w:val="28"/>
          <w:szCs w:val="28"/>
          <w:lang w:val="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32"/>
        <w:gridCol w:w="5985"/>
      </w:tblGrid>
      <w:tr w14:paraId="3FC1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BEC05D7">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14:paraId="2425BB17">
            <w:pPr>
              <w:pStyle w:val="206"/>
              <w:spacing w:line="360" w:lineRule="auto"/>
              <w:ind w:firstLine="0"/>
              <w:rPr>
                <w:rFonts w:hint="eastAsia" w:ascii="宋体" w:hAnsi="宋体" w:cs="宋体"/>
                <w:color w:val="000000"/>
                <w:szCs w:val="24"/>
              </w:rPr>
            </w:pPr>
          </w:p>
        </w:tc>
      </w:tr>
      <w:tr w14:paraId="2893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91C245">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noWrap w:val="0"/>
            <w:vAlign w:val="center"/>
          </w:tcPr>
          <w:p w14:paraId="56057C9B">
            <w:pPr>
              <w:pStyle w:val="206"/>
              <w:spacing w:line="360" w:lineRule="auto"/>
              <w:ind w:firstLine="0"/>
              <w:rPr>
                <w:rFonts w:hint="eastAsia" w:ascii="宋体" w:hAnsi="宋体" w:cs="宋体"/>
                <w:color w:val="000000"/>
                <w:szCs w:val="24"/>
              </w:rPr>
            </w:pPr>
          </w:p>
        </w:tc>
      </w:tr>
      <w:tr w14:paraId="5D9B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D658AC8">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14:paraId="235F48B8">
            <w:pPr>
              <w:spacing w:line="360" w:lineRule="auto"/>
              <w:rPr>
                <w:rFonts w:hint="eastAsia" w:ascii="宋体" w:hAnsi="宋体" w:cs="宋体"/>
                <w:color w:val="000000"/>
                <w:lang w:val="zh-CN"/>
              </w:rPr>
            </w:pPr>
            <w:r>
              <w:rPr>
                <w:rFonts w:hint="eastAsia" w:ascii="宋体" w:hAnsi="宋体" w:cs="宋体"/>
                <w:color w:val="000000"/>
                <w:lang w:val="zh-CN"/>
              </w:rPr>
              <w:t>大写：</w:t>
            </w:r>
          </w:p>
          <w:p w14:paraId="454F99E1">
            <w:pPr>
              <w:pStyle w:val="206"/>
              <w:spacing w:line="360" w:lineRule="auto"/>
              <w:ind w:firstLine="0"/>
              <w:rPr>
                <w:rFonts w:hint="eastAsia" w:ascii="宋体" w:hAnsi="宋体" w:cs="宋体"/>
                <w:color w:val="000000"/>
                <w:szCs w:val="24"/>
              </w:rPr>
            </w:pPr>
            <w:r>
              <w:rPr>
                <w:rFonts w:hint="eastAsia" w:ascii="宋体" w:hAnsi="宋体" w:cs="宋体"/>
                <w:color w:val="000000"/>
                <w:szCs w:val="24"/>
                <w:lang w:val="zh-CN"/>
              </w:rPr>
              <w:t>小写：</w:t>
            </w:r>
          </w:p>
        </w:tc>
      </w:tr>
      <w:tr w14:paraId="01A4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F8226F7">
            <w:pPr>
              <w:pStyle w:val="206"/>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14:paraId="4567D2D1">
            <w:pPr>
              <w:pStyle w:val="206"/>
              <w:spacing w:line="360" w:lineRule="auto"/>
              <w:ind w:firstLine="0"/>
              <w:rPr>
                <w:rFonts w:hint="eastAsia" w:ascii="宋体" w:hAnsi="宋体" w:cs="宋体"/>
                <w:color w:val="000000"/>
                <w:szCs w:val="24"/>
              </w:rPr>
            </w:pPr>
          </w:p>
        </w:tc>
      </w:tr>
    </w:tbl>
    <w:p w14:paraId="06145A75">
      <w:pPr>
        <w:spacing w:line="360" w:lineRule="auto"/>
        <w:rPr>
          <w:rFonts w:hint="eastAsia" w:ascii="宋体" w:hAnsi="宋体" w:cs="宋体"/>
          <w:color w:val="000000"/>
          <w:lang w:val="zh-CN"/>
        </w:rPr>
      </w:pPr>
      <w:r>
        <w:rPr>
          <w:rFonts w:hint="eastAsia" w:ascii="宋体" w:hAnsi="宋体" w:cs="宋体"/>
          <w:b/>
          <w:bCs/>
          <w:color w:val="000000"/>
          <w:lang w:val="zh-CN"/>
        </w:rPr>
        <w:t>注：</w:t>
      </w:r>
      <w:r>
        <w:rPr>
          <w:rFonts w:hint="eastAsia" w:ascii="宋体" w:hAnsi="宋体" w:cs="宋体"/>
          <w:color w:val="000000"/>
          <w:lang w:val="zh-CN"/>
        </w:rPr>
        <w:t>1.填写此表时不得改变表格形式。</w:t>
      </w:r>
    </w:p>
    <w:p w14:paraId="644D0B49">
      <w:pPr>
        <w:spacing w:line="360" w:lineRule="auto"/>
        <w:ind w:firstLine="480"/>
        <w:rPr>
          <w:rFonts w:hint="eastAsia" w:ascii="宋体" w:hAnsi="宋体" w:cs="宋体"/>
          <w:color w:val="000000"/>
          <w:lang w:val="zh-CN"/>
        </w:rPr>
      </w:pPr>
      <w:r>
        <w:rPr>
          <w:rFonts w:hint="eastAsia" w:ascii="宋体" w:hAnsi="宋体" w:cs="宋体"/>
          <w:color w:val="000000"/>
          <w:lang w:val="zh-CN"/>
        </w:rPr>
        <w:t>2.“投标报价”为投标总价。投标报价必须包括：保险费、培训费、税金及不可预见费等全部费用。</w:t>
      </w:r>
    </w:p>
    <w:p w14:paraId="2200A010">
      <w:pPr>
        <w:spacing w:line="360" w:lineRule="auto"/>
        <w:ind w:firstLine="480"/>
        <w:rPr>
          <w:rFonts w:hint="eastAsia" w:ascii="宋体" w:hAnsi="宋体" w:cs="宋体"/>
          <w:color w:val="000000"/>
        </w:rPr>
      </w:pPr>
      <w:r>
        <w:rPr>
          <w:rFonts w:hint="eastAsia" w:ascii="宋体" w:hAnsi="宋体" w:cs="宋体"/>
          <w:color w:val="000000"/>
          <w:lang w:val="zh-CN"/>
        </w:rPr>
        <w:t>3.“交货时间”是指产品能够交付使用的具体时间（详见第五部分）。</w:t>
      </w:r>
    </w:p>
    <w:p w14:paraId="60F9E72D">
      <w:pPr>
        <w:spacing w:line="360" w:lineRule="auto"/>
        <w:ind w:firstLine="480"/>
        <w:rPr>
          <w:rFonts w:hint="eastAsia" w:ascii="宋体" w:hAnsi="宋体" w:cs="宋体"/>
          <w:color w:val="000000"/>
          <w:lang w:val="zh-CN"/>
        </w:rPr>
      </w:pPr>
      <w:r>
        <w:rPr>
          <w:rFonts w:hint="eastAsia" w:ascii="宋体" w:hAnsi="宋体" w:cs="宋体"/>
          <w:color w:val="000000"/>
          <w:lang w:val="zh-CN"/>
        </w:rPr>
        <w:t>4.投标报价不能有两个或两个以上的报价方案，</w:t>
      </w:r>
      <w:r>
        <w:rPr>
          <w:rFonts w:hint="eastAsia" w:ascii="宋体" w:hAnsi="宋体" w:cs="宋体"/>
          <w:color w:val="000000"/>
        </w:rPr>
        <w:t>否则投标无效</w:t>
      </w:r>
      <w:r>
        <w:rPr>
          <w:rFonts w:hint="eastAsia" w:ascii="宋体" w:hAnsi="宋体" w:cs="宋体"/>
          <w:color w:val="000000"/>
          <w:lang w:val="zh-CN"/>
        </w:rPr>
        <w:t>。</w:t>
      </w:r>
    </w:p>
    <w:p w14:paraId="78188164">
      <w:pPr>
        <w:spacing w:line="360" w:lineRule="auto"/>
        <w:rPr>
          <w:rFonts w:hint="eastAsia" w:ascii="宋体" w:hAnsi="宋体" w:cs="宋体"/>
          <w:color w:val="000000"/>
          <w:lang w:val="zh-CN"/>
        </w:rPr>
      </w:pPr>
    </w:p>
    <w:p w14:paraId="12242E7B">
      <w:pPr>
        <w:spacing w:line="360" w:lineRule="auto"/>
        <w:rPr>
          <w:rFonts w:hint="eastAsia" w:ascii="宋体" w:hAnsi="宋体" w:cs="宋体"/>
          <w:color w:val="000000"/>
          <w:lang w:val="zh-CN"/>
        </w:rPr>
      </w:pPr>
    </w:p>
    <w:p w14:paraId="718B09F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DFBEDC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65749BE6">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16202BBF">
      <w:pPr>
        <w:spacing w:line="360" w:lineRule="auto"/>
        <w:rPr>
          <w:rFonts w:hint="eastAsia" w:ascii="宋体" w:hAnsi="宋体" w:cs="宋体"/>
          <w:color w:val="000000"/>
          <w:lang w:val="zh-CN"/>
        </w:rPr>
      </w:pPr>
    </w:p>
    <w:p w14:paraId="6506CC5A">
      <w:pPr>
        <w:pStyle w:val="234"/>
        <w:spacing w:before="0" w:after="0" w:line="360" w:lineRule="auto"/>
        <w:jc w:val="left"/>
        <w:outlineLvl w:val="1"/>
        <w:rPr>
          <w:rFonts w:hint="eastAsia" w:ascii="宋体" w:hAnsi="宋体" w:cs="宋体"/>
          <w:color w:val="000000"/>
          <w:lang w:val="zh-CN"/>
        </w:rPr>
      </w:pPr>
    </w:p>
    <w:p w14:paraId="63D0A653">
      <w:pPr>
        <w:rPr>
          <w:rFonts w:hint="eastAsia" w:ascii="宋体" w:hAnsi="宋体" w:cs="宋体"/>
          <w:color w:val="000000"/>
          <w:lang w:val="zh-CN"/>
        </w:rPr>
      </w:pPr>
    </w:p>
    <w:p w14:paraId="2476D4E9">
      <w:pPr>
        <w:pStyle w:val="234"/>
        <w:spacing w:before="0" w:after="0" w:line="360" w:lineRule="auto"/>
        <w:jc w:val="left"/>
        <w:outlineLvl w:val="1"/>
        <w:rPr>
          <w:rFonts w:hint="eastAsia" w:ascii="宋体" w:hAnsi="宋体" w:cs="宋体"/>
          <w:color w:val="000000"/>
          <w:sz w:val="30"/>
          <w:szCs w:val="30"/>
        </w:rPr>
      </w:pPr>
    </w:p>
    <w:p w14:paraId="14A7EDE2">
      <w:pPr>
        <w:pStyle w:val="234"/>
        <w:spacing w:before="0" w:after="0" w:line="360" w:lineRule="auto"/>
        <w:jc w:val="left"/>
        <w:outlineLvl w:val="1"/>
        <w:rPr>
          <w:rFonts w:hint="eastAsia" w:ascii="宋体" w:hAnsi="宋体" w:cs="宋体"/>
          <w:color w:val="000000"/>
          <w:sz w:val="30"/>
          <w:szCs w:val="30"/>
        </w:rPr>
      </w:pPr>
    </w:p>
    <w:p w14:paraId="19CC6404">
      <w:pPr>
        <w:pStyle w:val="234"/>
        <w:spacing w:before="0" w:after="0" w:line="360" w:lineRule="auto"/>
        <w:jc w:val="left"/>
        <w:outlineLvl w:val="1"/>
        <w:rPr>
          <w:rFonts w:hint="eastAsia" w:ascii="宋体" w:hAnsi="宋体" w:cs="宋体"/>
          <w:color w:val="000000"/>
          <w:sz w:val="30"/>
          <w:szCs w:val="30"/>
        </w:rPr>
      </w:pPr>
    </w:p>
    <w:p w14:paraId="71D25510">
      <w:pPr>
        <w:pStyle w:val="234"/>
        <w:spacing w:before="0" w:after="0" w:line="360" w:lineRule="auto"/>
        <w:jc w:val="left"/>
        <w:outlineLvl w:val="1"/>
        <w:rPr>
          <w:rFonts w:hint="eastAsia" w:ascii="宋体" w:hAnsi="宋体" w:cs="宋体"/>
          <w:color w:val="000000"/>
          <w:sz w:val="30"/>
          <w:szCs w:val="30"/>
        </w:rPr>
      </w:pPr>
    </w:p>
    <w:p w14:paraId="16D0F702">
      <w:pPr>
        <w:pStyle w:val="234"/>
        <w:spacing w:before="0" w:after="0" w:line="360" w:lineRule="auto"/>
        <w:jc w:val="left"/>
        <w:outlineLvl w:val="1"/>
        <w:rPr>
          <w:rFonts w:hint="eastAsia" w:ascii="宋体" w:hAnsi="宋体" w:cs="宋体"/>
          <w:color w:val="000000"/>
          <w:sz w:val="30"/>
          <w:szCs w:val="30"/>
        </w:rPr>
      </w:pPr>
    </w:p>
    <w:p w14:paraId="643E3280">
      <w:pPr>
        <w:pStyle w:val="234"/>
        <w:spacing w:before="0" w:after="0" w:line="360" w:lineRule="auto"/>
        <w:jc w:val="left"/>
        <w:outlineLvl w:val="1"/>
        <w:rPr>
          <w:rFonts w:hint="eastAsia" w:ascii="宋体" w:hAnsi="宋体" w:cs="宋体"/>
          <w:color w:val="000000"/>
        </w:rPr>
      </w:pPr>
      <w:bookmarkStart w:id="77" w:name="_Toc10305"/>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5"/>
      <w:bookmarkEnd w:id="76"/>
    </w:p>
    <w:p w14:paraId="41E45B63">
      <w:pPr>
        <w:spacing w:line="360" w:lineRule="auto"/>
        <w:rPr>
          <w:rFonts w:hint="eastAsia" w:ascii="宋体" w:hAnsi="宋体" w:cs="宋体"/>
          <w:b/>
          <w:bCs/>
          <w:color w:val="000000"/>
          <w:sz w:val="28"/>
          <w:szCs w:val="28"/>
          <w:lang w:val="zh-CN"/>
        </w:rPr>
      </w:pPr>
    </w:p>
    <w:p w14:paraId="1D045CA0">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分项报价表</w:t>
      </w:r>
    </w:p>
    <w:p w14:paraId="5258617D">
      <w:pPr>
        <w:spacing w:line="360" w:lineRule="auto"/>
        <w:rPr>
          <w:rFonts w:hint="eastAsia" w:ascii="宋体" w:hAnsi="宋体" w:cs="宋体"/>
          <w:b/>
          <w:bCs/>
          <w:color w:val="000000"/>
          <w:sz w:val="28"/>
          <w:szCs w:val="28"/>
          <w:lang w:val="zh-CN"/>
        </w:rPr>
      </w:pPr>
    </w:p>
    <w:p w14:paraId="3937C227">
      <w:pPr>
        <w:spacing w:line="360" w:lineRule="auto"/>
        <w:rPr>
          <w:rFonts w:hint="eastAsia" w:ascii="宋体" w:hAnsi="宋体" w:cs="宋体"/>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0"/>
        <w:tblW w:w="8551" w:type="dxa"/>
        <w:jc w:val="center"/>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14:paraId="1F463B7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58C1381F">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2CF502F1">
            <w:pPr>
              <w:spacing w:line="360" w:lineRule="auto"/>
              <w:jc w:val="center"/>
              <w:rPr>
                <w:rFonts w:hint="eastAsia" w:ascii="宋体" w:hAnsi="宋体" w:cs="宋体"/>
                <w:color w:val="000000"/>
                <w:lang w:val="zh-CN"/>
              </w:rPr>
            </w:pPr>
            <w:r>
              <w:rPr>
                <w:rFonts w:hint="eastAsia" w:ascii="宋体" w:hAnsi="宋体" w:cs="宋体"/>
                <w:color w:val="00000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49C3B450">
            <w:pPr>
              <w:spacing w:line="360" w:lineRule="auto"/>
              <w:jc w:val="center"/>
              <w:rPr>
                <w:rFonts w:hint="eastAsia" w:ascii="宋体" w:hAnsi="宋体" w:cs="宋体"/>
                <w:color w:val="000000"/>
                <w:lang w:val="zh-CN"/>
              </w:rPr>
            </w:pPr>
            <w:r>
              <w:rPr>
                <w:rFonts w:hint="eastAsia" w:ascii="宋体" w:hAnsi="宋体" w:cs="宋体"/>
                <w:color w:val="00000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09EC08FD">
            <w:pPr>
              <w:spacing w:line="360" w:lineRule="auto"/>
              <w:jc w:val="center"/>
              <w:rPr>
                <w:rFonts w:hint="eastAsia" w:ascii="宋体" w:hAnsi="宋体" w:cs="宋体"/>
                <w:color w:val="000000"/>
                <w:lang w:val="zh-CN"/>
              </w:rPr>
            </w:pPr>
            <w:r>
              <w:rPr>
                <w:rFonts w:hint="eastAsia" w:ascii="宋体" w:hAnsi="宋体" w:cs="宋体"/>
                <w:color w:val="000000"/>
                <w:lang w:val="zh-CN"/>
              </w:rPr>
              <w:t>规格型号</w:t>
            </w:r>
          </w:p>
        </w:tc>
        <w:tc>
          <w:tcPr>
            <w:tcW w:w="1101" w:type="dxa"/>
            <w:tcBorders>
              <w:top w:val="single" w:color="000000" w:sz="8" w:space="0"/>
              <w:left w:val="single" w:color="000000" w:sz="6" w:space="0"/>
              <w:bottom w:val="single" w:color="000000" w:sz="6" w:space="0"/>
              <w:right w:val="single" w:color="000000" w:sz="6" w:space="0"/>
            </w:tcBorders>
            <w:noWrap w:val="0"/>
            <w:vAlign w:val="center"/>
          </w:tcPr>
          <w:p w14:paraId="36D6E299">
            <w:pPr>
              <w:spacing w:line="360" w:lineRule="auto"/>
              <w:jc w:val="center"/>
              <w:rPr>
                <w:rFonts w:hint="eastAsia" w:ascii="宋体" w:hAnsi="宋体" w:cs="宋体"/>
                <w:color w:val="000000"/>
                <w:lang w:val="zh-CN"/>
              </w:rPr>
            </w:pPr>
            <w:r>
              <w:rPr>
                <w:rFonts w:hint="eastAsia" w:ascii="宋体" w:hAnsi="宋体" w:cs="宋体"/>
                <w:color w:val="000000"/>
                <w:lang w:val="zh-CN"/>
              </w:rPr>
              <w:t>数量及单位</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14:paraId="1C0EDEEB">
            <w:pPr>
              <w:spacing w:line="360" w:lineRule="auto"/>
              <w:jc w:val="center"/>
              <w:rPr>
                <w:rFonts w:hint="eastAsia" w:ascii="宋体" w:hAnsi="宋体" w:cs="宋体"/>
                <w:color w:val="000000"/>
                <w:lang w:val="zh-CN"/>
              </w:rPr>
            </w:pPr>
            <w:r>
              <w:rPr>
                <w:rFonts w:hint="eastAsia" w:ascii="宋体" w:hAnsi="宋体" w:cs="宋体"/>
                <w:color w:val="000000"/>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3E53369D">
            <w:pPr>
              <w:spacing w:line="360" w:lineRule="auto"/>
              <w:jc w:val="center"/>
              <w:rPr>
                <w:rFonts w:hint="eastAsia" w:ascii="宋体" w:hAnsi="宋体" w:cs="宋体"/>
                <w:color w:val="000000"/>
                <w:lang w:val="zh-CN"/>
              </w:rPr>
            </w:pPr>
            <w:r>
              <w:rPr>
                <w:rFonts w:hint="eastAsia" w:ascii="宋体" w:hAnsi="宋体" w:cs="宋体"/>
                <w:color w:val="000000"/>
                <w:lang w:val="zh-CN"/>
              </w:rPr>
              <w:t>合计</w:t>
            </w:r>
          </w:p>
        </w:tc>
        <w:tc>
          <w:tcPr>
            <w:tcW w:w="1593" w:type="dxa"/>
            <w:tcBorders>
              <w:top w:val="single" w:color="000000" w:sz="8" w:space="0"/>
              <w:left w:val="single" w:color="000000" w:sz="6" w:space="0"/>
              <w:bottom w:val="single" w:color="000000" w:sz="6" w:space="0"/>
              <w:right w:val="single" w:color="000000" w:sz="8" w:space="0"/>
            </w:tcBorders>
            <w:noWrap w:val="0"/>
            <w:vAlign w:val="center"/>
          </w:tcPr>
          <w:p w14:paraId="169CE642">
            <w:pPr>
              <w:spacing w:line="360" w:lineRule="auto"/>
              <w:jc w:val="center"/>
              <w:rPr>
                <w:rFonts w:hint="eastAsia" w:ascii="宋体" w:hAnsi="宋体" w:cs="宋体"/>
                <w:color w:val="000000"/>
                <w:lang w:val="zh-CN"/>
              </w:rPr>
            </w:pPr>
            <w:r>
              <w:rPr>
                <w:rFonts w:hint="eastAsia" w:ascii="宋体" w:hAnsi="宋体" w:cs="宋体"/>
                <w:color w:val="000000"/>
              </w:rPr>
              <w:t>免费质保期</w:t>
            </w:r>
          </w:p>
        </w:tc>
      </w:tr>
      <w:tr w14:paraId="1A02729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223BF68">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F31B12C">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E3D69DF">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E3EB200">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183A4086">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D12513C">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79D76E">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DE751F3">
            <w:pPr>
              <w:spacing w:line="360" w:lineRule="auto"/>
              <w:jc w:val="center"/>
              <w:rPr>
                <w:rFonts w:hint="eastAsia" w:ascii="宋体" w:hAnsi="宋体" w:cs="宋体"/>
                <w:color w:val="000000"/>
                <w:lang w:val="zh-CN"/>
              </w:rPr>
            </w:pPr>
          </w:p>
        </w:tc>
      </w:tr>
      <w:tr w14:paraId="020C096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DC794D6">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849ADE1">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A3DC52A">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DABFD53">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6EA7740B">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0A83AA7">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0DA314">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7974C636">
            <w:pPr>
              <w:spacing w:line="360" w:lineRule="auto"/>
              <w:jc w:val="center"/>
              <w:rPr>
                <w:rFonts w:hint="eastAsia" w:ascii="宋体" w:hAnsi="宋体" w:cs="宋体"/>
                <w:color w:val="000000"/>
                <w:lang w:val="zh-CN"/>
              </w:rPr>
            </w:pPr>
          </w:p>
        </w:tc>
      </w:tr>
      <w:tr w14:paraId="33F32B2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10238B7">
            <w:pPr>
              <w:spacing w:line="360" w:lineRule="auto"/>
              <w:jc w:val="center"/>
              <w:rPr>
                <w:rFonts w:hint="eastAsia" w:ascii="宋体" w:hAnsi="宋体" w:cs="宋体"/>
                <w:color w:val="000000"/>
                <w:lang w:val="zh-CN"/>
              </w:rPr>
            </w:pPr>
            <w:r>
              <w:rPr>
                <w:rFonts w:hint="eastAsia" w:ascii="宋体" w:hAnsi="宋体" w:cs="宋体"/>
                <w:color w:val="00000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23596F3">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B699997">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165C7C0">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66E2953C">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3035E4">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0F72BBE">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3DF45EC6">
            <w:pPr>
              <w:spacing w:line="360" w:lineRule="auto"/>
              <w:jc w:val="center"/>
              <w:rPr>
                <w:rFonts w:hint="eastAsia" w:ascii="宋体" w:hAnsi="宋体" w:cs="宋体"/>
                <w:color w:val="000000"/>
                <w:lang w:val="zh-CN"/>
              </w:rPr>
            </w:pPr>
          </w:p>
        </w:tc>
      </w:tr>
      <w:tr w14:paraId="39D2C61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1B56AD6">
            <w:pPr>
              <w:spacing w:line="360" w:lineRule="auto"/>
              <w:jc w:val="center"/>
              <w:rPr>
                <w:rFonts w:hint="eastAsia" w:ascii="宋体" w:hAnsi="宋体" w:cs="宋体"/>
                <w:color w:val="000000"/>
                <w:lang w:val="zh-CN"/>
              </w:rPr>
            </w:pPr>
            <w:r>
              <w:rPr>
                <w:rFonts w:hint="eastAsia" w:ascii="宋体" w:hAnsi="宋体" w:cs="宋体"/>
                <w:color w:val="00000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3D911CA">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407F9EF">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2495AE8">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2D724754">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72AF8DE">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01184F5">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7A839C5C">
            <w:pPr>
              <w:spacing w:line="360" w:lineRule="auto"/>
              <w:jc w:val="center"/>
              <w:rPr>
                <w:rFonts w:hint="eastAsia" w:ascii="宋体" w:hAnsi="宋体" w:cs="宋体"/>
                <w:color w:val="000000"/>
                <w:lang w:val="zh-CN"/>
              </w:rPr>
            </w:pPr>
          </w:p>
        </w:tc>
      </w:tr>
      <w:tr w14:paraId="13FA043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AF8389C">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2B7412F">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BD29E23">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BB627D5">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5D1221FB">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9A7CCED">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B159C13">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65DF712C">
            <w:pPr>
              <w:spacing w:line="360" w:lineRule="auto"/>
              <w:jc w:val="center"/>
              <w:rPr>
                <w:rFonts w:hint="eastAsia" w:ascii="宋体" w:hAnsi="宋体" w:cs="宋体"/>
                <w:color w:val="000000"/>
                <w:lang w:val="zh-CN"/>
              </w:rPr>
            </w:pPr>
          </w:p>
        </w:tc>
      </w:tr>
      <w:tr w14:paraId="57B0169C">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6953DD41">
            <w:pPr>
              <w:spacing w:line="360" w:lineRule="auto"/>
              <w:jc w:val="center"/>
              <w:rPr>
                <w:rFonts w:hint="eastAsia" w:ascii="宋体" w:hAnsi="宋体" w:cs="宋体"/>
                <w:color w:val="000000"/>
                <w:lang w:val="zh-CN"/>
              </w:rPr>
            </w:pPr>
            <w:r>
              <w:rPr>
                <w:rFonts w:hint="eastAsia" w:ascii="宋体" w:hAnsi="宋体" w:cs="宋体"/>
                <w:color w:val="00000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noWrap w:val="0"/>
            <w:vAlign w:val="center"/>
          </w:tcPr>
          <w:p w14:paraId="3DC10AB5">
            <w:pPr>
              <w:spacing w:line="360" w:lineRule="auto"/>
              <w:rPr>
                <w:rFonts w:hint="eastAsia" w:ascii="宋体" w:hAnsi="宋体" w:cs="宋体"/>
                <w:color w:val="000000"/>
                <w:lang w:val="zh-CN"/>
              </w:rPr>
            </w:pPr>
            <w:r>
              <w:rPr>
                <w:rFonts w:hint="eastAsia" w:ascii="宋体" w:hAnsi="宋体" w:cs="宋体"/>
                <w:color w:val="000000"/>
                <w:lang w:val="zh-CN"/>
              </w:rPr>
              <w:t>大写：</w:t>
            </w:r>
          </w:p>
          <w:p w14:paraId="4B78A498">
            <w:pPr>
              <w:spacing w:line="360" w:lineRule="auto"/>
              <w:rPr>
                <w:rFonts w:hint="eastAsia" w:ascii="宋体" w:hAnsi="宋体" w:cs="宋体"/>
                <w:color w:val="000000"/>
                <w:lang w:val="zh-CN"/>
              </w:rPr>
            </w:pPr>
            <w:r>
              <w:rPr>
                <w:rFonts w:hint="eastAsia" w:ascii="宋体" w:hAnsi="宋体" w:cs="宋体"/>
                <w:color w:val="000000"/>
                <w:lang w:val="zh-CN"/>
              </w:rPr>
              <w:t>小写：</w:t>
            </w:r>
          </w:p>
        </w:tc>
      </w:tr>
    </w:tbl>
    <w:p w14:paraId="4004A0EA">
      <w:pPr>
        <w:spacing w:line="360" w:lineRule="auto"/>
        <w:rPr>
          <w:rFonts w:hint="eastAsia" w:ascii="宋体" w:hAnsi="宋体" w:cs="宋体"/>
          <w:color w:val="000000"/>
          <w:lang w:val="zh-CN"/>
        </w:rPr>
      </w:pPr>
      <w:r>
        <w:rPr>
          <w:rFonts w:hint="eastAsia" w:ascii="宋体" w:hAnsi="宋体" w:cs="宋体"/>
          <w:color w:val="000000"/>
          <w:lang w:val="zh-CN"/>
        </w:rPr>
        <w:t>注：</w:t>
      </w:r>
      <w:r>
        <w:rPr>
          <w:rFonts w:hint="eastAsia" w:ascii="宋体" w:hAnsi="宋体" w:cs="宋体"/>
          <w:color w:val="000000"/>
        </w:rPr>
        <w:t>1.</w:t>
      </w:r>
      <w:r>
        <w:rPr>
          <w:rFonts w:hint="eastAsia" w:ascii="宋体" w:hAnsi="宋体" w:cs="宋体"/>
          <w:color w:val="00000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s="宋体"/>
          <w:color w:val="000000"/>
          <w:lang w:val="zh-CN"/>
        </w:rPr>
        <w:t>。</w:t>
      </w:r>
    </w:p>
    <w:p w14:paraId="3717D9C3">
      <w:pPr>
        <w:numPr>
          <w:ilvl w:val="0"/>
          <w:numId w:val="9"/>
        </w:numPr>
        <w:spacing w:line="360" w:lineRule="auto"/>
        <w:ind w:firstLine="468"/>
        <w:rPr>
          <w:rFonts w:hint="eastAsia" w:ascii="宋体" w:hAnsi="宋体" w:cs="宋体"/>
          <w:color w:val="000000"/>
          <w:lang w:val="zh-CN"/>
        </w:rPr>
      </w:pPr>
      <w:r>
        <w:rPr>
          <w:rFonts w:hint="eastAsia" w:ascii="宋体" w:hAnsi="宋体" w:cs="宋体"/>
          <w:color w:val="000000"/>
          <w:lang w:val="zh-CN"/>
        </w:rPr>
        <w:t>投标报价不能有两个或两个以上的报价方案。</w:t>
      </w:r>
    </w:p>
    <w:p w14:paraId="7AF723D9">
      <w:pPr>
        <w:pStyle w:val="14"/>
        <w:numPr>
          <w:ilvl w:val="0"/>
          <w:numId w:val="9"/>
        </w:numPr>
        <w:rPr>
          <w:rFonts w:hint="eastAsia"/>
          <w:lang w:val="zh-CN"/>
        </w:rPr>
      </w:pPr>
      <w:r>
        <w:rPr>
          <w:rFonts w:hint="eastAsia"/>
          <w:lang w:val="zh-CN"/>
        </w:rPr>
        <w:t>行数不够可自行添加。</w:t>
      </w:r>
    </w:p>
    <w:p w14:paraId="29F39146">
      <w:pPr>
        <w:pStyle w:val="249"/>
        <w:ind w:firstLine="468"/>
        <w:rPr>
          <w:rFonts w:hint="eastAsia"/>
          <w:lang w:val="zh-CN"/>
        </w:rPr>
      </w:pPr>
    </w:p>
    <w:p w14:paraId="2149B6F1">
      <w:pPr>
        <w:pStyle w:val="249"/>
        <w:ind w:firstLine="468"/>
        <w:rPr>
          <w:rFonts w:hint="eastAsia"/>
          <w:lang w:val="zh-CN"/>
        </w:rPr>
      </w:pPr>
    </w:p>
    <w:p w14:paraId="4E4A18F6">
      <w:pPr>
        <w:pStyle w:val="249"/>
        <w:ind w:firstLine="468"/>
        <w:rPr>
          <w:rFonts w:hint="eastAsia"/>
          <w:lang w:val="zh-CN"/>
        </w:rPr>
      </w:pPr>
    </w:p>
    <w:p w14:paraId="006F419E">
      <w:pPr>
        <w:spacing w:line="360" w:lineRule="auto"/>
        <w:rPr>
          <w:rFonts w:hint="eastAsia" w:ascii="宋体" w:hAnsi="宋体" w:cs="宋体"/>
          <w:color w:val="000000"/>
          <w:lang w:val="zh-CN"/>
        </w:rPr>
      </w:pPr>
    </w:p>
    <w:p w14:paraId="4ED07512">
      <w:pPr>
        <w:spacing w:line="360" w:lineRule="auto"/>
        <w:rPr>
          <w:rFonts w:hint="eastAsia" w:ascii="宋体" w:hAnsi="宋体" w:cs="宋体"/>
          <w:color w:val="000000"/>
          <w:lang w:val="zh-CN"/>
        </w:rPr>
      </w:pPr>
    </w:p>
    <w:p w14:paraId="4E2F8E9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8A018D1">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4538FC7">
      <w:pPr>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31FB2A6">
      <w:pPr>
        <w:rPr>
          <w:rFonts w:hint="eastAsia" w:ascii="宋体" w:hAnsi="宋体" w:cs="宋体"/>
          <w:b/>
          <w:bCs/>
          <w:color w:val="000000"/>
          <w:lang w:val="zh-CN"/>
        </w:rPr>
      </w:pPr>
    </w:p>
    <w:p w14:paraId="396C10BB">
      <w:pPr>
        <w:pStyle w:val="234"/>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clear="all"/>
      </w:r>
      <w:bookmarkStart w:id="78" w:name="_Toc515908223"/>
      <w:bookmarkStart w:id="79" w:name="_Toc9588"/>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77"/>
      <w:bookmarkEnd w:id="78"/>
    </w:p>
    <w:p w14:paraId="757C236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技术规格响应表</w:t>
      </w:r>
    </w:p>
    <w:p w14:paraId="1DA22296">
      <w:pPr>
        <w:spacing w:line="360" w:lineRule="auto"/>
        <w:rPr>
          <w:rFonts w:hint="eastAsia" w:ascii="宋体" w:hAnsi="宋体" w:cs="宋体"/>
          <w:b/>
          <w:bCs/>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0"/>
        <w:tblW w:w="9267" w:type="dxa"/>
        <w:jc w:val="center"/>
        <w:tblLayout w:type="fixed"/>
        <w:tblCellMar>
          <w:top w:w="0" w:type="dxa"/>
          <w:left w:w="28" w:type="dxa"/>
          <w:bottom w:w="0" w:type="dxa"/>
          <w:right w:w="28" w:type="dxa"/>
        </w:tblCellMar>
      </w:tblPr>
      <w:tblGrid>
        <w:gridCol w:w="616"/>
        <w:gridCol w:w="1233"/>
        <w:gridCol w:w="2378"/>
        <w:gridCol w:w="1247"/>
        <w:gridCol w:w="1913"/>
        <w:gridCol w:w="1170"/>
        <w:gridCol w:w="710"/>
      </w:tblGrid>
      <w:tr w14:paraId="1A8093A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4CBFE92">
            <w:pPr>
              <w:spacing w:line="360" w:lineRule="auto"/>
              <w:jc w:val="center"/>
              <w:rPr>
                <w:rFonts w:hint="eastAsia" w:ascii="宋体" w:hAnsi="宋体" w:cs="宋体"/>
                <w:color w:val="00000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7185FD18">
            <w:pPr>
              <w:spacing w:line="360" w:lineRule="auto"/>
              <w:jc w:val="center"/>
              <w:rPr>
                <w:rFonts w:hint="eastAsia" w:ascii="宋体" w:hAnsi="宋体" w:cs="宋体"/>
                <w:color w:val="000000"/>
                <w:lang w:val="zh-CN"/>
              </w:rPr>
            </w:pPr>
            <w:r>
              <w:rPr>
                <w:rFonts w:hint="eastAsia" w:ascii="宋体" w:hAnsi="宋体" w:cs="宋体"/>
                <w:color w:val="000000"/>
                <w:lang w:val="zh-CN"/>
              </w:rPr>
              <w:t>采购需求技术参数、指标</w:t>
            </w:r>
          </w:p>
        </w:tc>
        <w:tc>
          <w:tcPr>
            <w:tcW w:w="4330" w:type="dxa"/>
            <w:gridSpan w:val="3"/>
            <w:tcBorders>
              <w:top w:val="single" w:color="000000" w:sz="6" w:space="0"/>
              <w:left w:val="single" w:color="000000" w:sz="6" w:space="0"/>
              <w:bottom w:val="single" w:color="000000" w:sz="6" w:space="0"/>
              <w:right w:val="single" w:color="000000" w:sz="6" w:space="0"/>
            </w:tcBorders>
            <w:noWrap w:val="0"/>
            <w:vAlign w:val="center"/>
          </w:tcPr>
          <w:p w14:paraId="52A90328">
            <w:pPr>
              <w:spacing w:line="360" w:lineRule="auto"/>
              <w:jc w:val="center"/>
              <w:rPr>
                <w:rFonts w:hint="eastAsia" w:ascii="宋体" w:hAnsi="宋体" w:cs="宋体"/>
                <w:color w:val="000000"/>
                <w:lang w:val="zh-CN"/>
              </w:rPr>
            </w:pPr>
            <w:r>
              <w:rPr>
                <w:rFonts w:hint="eastAsia" w:ascii="宋体" w:hAnsi="宋体" w:cs="宋体"/>
                <w:color w:val="00000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3FCCE366">
            <w:pPr>
              <w:spacing w:line="360" w:lineRule="auto"/>
              <w:jc w:val="center"/>
              <w:rPr>
                <w:rFonts w:hint="eastAsia" w:ascii="宋体" w:hAnsi="宋体" w:cs="宋体"/>
                <w:color w:val="000000"/>
                <w:lang w:val="zh-CN"/>
              </w:rPr>
            </w:pPr>
            <w:r>
              <w:rPr>
                <w:rFonts w:hint="eastAsia" w:ascii="宋体" w:hAnsi="宋体" w:cs="宋体"/>
                <w:color w:val="000000"/>
                <w:lang w:val="zh-CN"/>
              </w:rPr>
              <w:t>参数偏离</w:t>
            </w:r>
          </w:p>
        </w:tc>
      </w:tr>
      <w:tr w14:paraId="35230102">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6AD0AAE">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9524E06">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19CC199">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580EEE7">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0FDAFDB4">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01669BE4">
            <w:pPr>
              <w:spacing w:line="360" w:lineRule="auto"/>
              <w:jc w:val="center"/>
              <w:rPr>
                <w:rFonts w:hint="eastAsia" w:ascii="宋体" w:hAnsi="宋体" w:cs="宋体"/>
                <w:color w:val="000000"/>
                <w:lang w:val="zh-CN"/>
              </w:rPr>
            </w:pPr>
            <w:r>
              <w:rPr>
                <w:rFonts w:hint="eastAsia" w:ascii="宋体" w:hAnsi="宋体" w:cs="宋体"/>
                <w:color w:val="000000"/>
                <w:lang w:val="zh-CN"/>
              </w:rPr>
              <w:t>投标产品生产厂家</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C2CFFB6">
            <w:pPr>
              <w:spacing w:line="360" w:lineRule="auto"/>
              <w:jc w:val="center"/>
              <w:rPr>
                <w:rFonts w:hint="eastAsia" w:ascii="宋体" w:hAnsi="宋体" w:cs="宋体"/>
                <w:color w:val="000000"/>
                <w:lang w:val="zh-CN"/>
              </w:rPr>
            </w:pPr>
          </w:p>
        </w:tc>
      </w:tr>
      <w:tr w14:paraId="137BABD6">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0E63DEC">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C74EA37">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66FD2CC">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D2B956C">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179A1334">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78F848A4">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F82DF1D">
            <w:pPr>
              <w:spacing w:line="360" w:lineRule="auto"/>
              <w:jc w:val="center"/>
              <w:rPr>
                <w:rFonts w:hint="eastAsia" w:ascii="宋体" w:hAnsi="宋体" w:cs="宋体"/>
                <w:color w:val="000000"/>
                <w:lang w:val="zh-CN"/>
              </w:rPr>
            </w:pPr>
          </w:p>
        </w:tc>
      </w:tr>
      <w:tr w14:paraId="60B26F17">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4EF4074">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DFAB5E">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97B572D">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FD952DC">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0B387C0E">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49D6D053">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1B4B314">
            <w:pPr>
              <w:spacing w:line="360" w:lineRule="auto"/>
              <w:jc w:val="center"/>
              <w:rPr>
                <w:rFonts w:hint="eastAsia" w:ascii="宋体" w:hAnsi="宋体" w:cs="宋体"/>
                <w:color w:val="000000"/>
                <w:lang w:val="zh-CN"/>
              </w:rPr>
            </w:pPr>
          </w:p>
        </w:tc>
      </w:tr>
      <w:tr w14:paraId="2D113EC6">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E1DB42B">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4B4B17F">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BD7066">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AFFC673">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2A631BB1">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7CBA0507">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3AEE2B6">
            <w:pPr>
              <w:spacing w:line="360" w:lineRule="auto"/>
              <w:jc w:val="center"/>
              <w:rPr>
                <w:rFonts w:hint="eastAsia" w:ascii="宋体" w:hAnsi="宋体" w:cs="宋体"/>
                <w:color w:val="000000"/>
                <w:lang w:val="zh-CN"/>
              </w:rPr>
            </w:pPr>
          </w:p>
        </w:tc>
      </w:tr>
    </w:tbl>
    <w:p w14:paraId="48421FA8">
      <w:pPr>
        <w:spacing w:line="360" w:lineRule="auto"/>
        <w:rPr>
          <w:rFonts w:hint="eastAsia" w:ascii="宋体" w:hAnsi="宋体" w:cs="仿宋"/>
          <w:b/>
          <w:bCs/>
          <w:sz w:val="28"/>
          <w:szCs w:val="28"/>
        </w:rPr>
      </w:pPr>
      <w:r>
        <w:rPr>
          <w:rFonts w:hint="eastAsia" w:ascii="宋体" w:hAnsi="宋体" w:cs="宋体"/>
          <w:color w:val="00000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14:paraId="01D212D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投标时提供国家认可的质监机构出具的投标产品的产品检验报告、</w:t>
      </w:r>
      <w:r>
        <w:rPr>
          <w:rFonts w:hint="eastAsia" w:ascii="宋体" w:hAnsi="宋体" w:cs="宋体"/>
        </w:rPr>
        <w:t>供货商须保证所供货物完全符合</w:t>
      </w:r>
      <w:r>
        <w:rPr>
          <w:rFonts w:hint="eastAsia" w:ascii="宋体" w:hAnsi="宋体" w:cs="仿宋"/>
          <w:lang w:eastAsia="zh-CN"/>
        </w:rPr>
        <w:t>刚察县公安局</w:t>
      </w:r>
      <w:r>
        <w:rPr>
          <w:rFonts w:hint="eastAsia" w:ascii="宋体" w:hAnsi="宋体" w:cs="仿宋"/>
        </w:rPr>
        <w:t>采购招标标准规定的规格，货物质量及要求符合标准。</w:t>
      </w:r>
      <w:r>
        <w:rPr>
          <w:rFonts w:hint="eastAsia" w:ascii="宋体" w:hAnsi="宋体" w:cs="宋体"/>
          <w:color w:val="000000"/>
          <w:lang w:val="zh-CN"/>
        </w:rPr>
        <w:t>直接复制招标文件“采购需求技术参数、指标”内容的，按</w:t>
      </w:r>
      <w:r>
        <w:rPr>
          <w:rFonts w:hint="eastAsia" w:ascii="宋体" w:hAnsi="宋体" w:cs="宋体"/>
          <w:lang w:val="zh-CN"/>
        </w:rPr>
        <w:t>评标办法</w:t>
      </w:r>
      <w:r>
        <w:rPr>
          <w:rFonts w:hint="eastAsia" w:ascii="宋体" w:hAnsi="宋体" w:cs="宋体"/>
          <w:color w:val="000000"/>
          <w:lang w:val="zh-CN"/>
        </w:rPr>
        <w:t>处理。</w:t>
      </w:r>
    </w:p>
    <w:p w14:paraId="240E227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填写此表时以招标项目参数要求为基本投标要求，满足招标项目参数要求的指标需列出“</w:t>
      </w:r>
      <w:r>
        <w:rPr>
          <w:rFonts w:hint="eastAsia" w:ascii="宋体" w:hAnsi="宋体" w:cs="宋体"/>
          <w:color w:val="000000"/>
        </w:rPr>
        <w:t>0</w:t>
      </w:r>
      <w:r>
        <w:rPr>
          <w:rFonts w:hint="eastAsia" w:ascii="宋体" w:hAnsi="宋体" w:cs="宋体"/>
          <w:color w:val="000000"/>
          <w:lang w:val="zh-CN"/>
        </w:rPr>
        <w:t>”；超出、不满足招标项目参数要求的指标需列出“+”、“-”偏差，并做出详细说明；如果只注明“+”、“-”或未填写，将视为该项指标不响应。</w:t>
      </w:r>
    </w:p>
    <w:p w14:paraId="100F985E">
      <w:pPr>
        <w:numPr>
          <w:ilvl w:val="0"/>
          <w:numId w:val="10"/>
        </w:numPr>
        <w:spacing w:line="360" w:lineRule="auto"/>
        <w:ind w:firstLine="480"/>
        <w:rPr>
          <w:rFonts w:hint="eastAsia" w:ascii="宋体" w:hAnsi="Cambria" w:cs="宋体"/>
          <w:b/>
          <w:lang w:val="zh-CN"/>
        </w:rPr>
      </w:pP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14:paraId="091EA04F">
      <w:pPr>
        <w:pStyle w:val="14"/>
        <w:ind w:firstLine="480"/>
      </w:pPr>
      <w:r>
        <w:rPr>
          <w:rFonts w:hint="eastAsia" w:hAnsi="宋体" w:cs="宋体"/>
          <w:color w:val="000000"/>
        </w:rPr>
        <w:t>5.行数不够可自行添加。</w:t>
      </w:r>
    </w:p>
    <w:p w14:paraId="5D679379">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42C702C">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CB43BE1">
      <w:pPr>
        <w:spacing w:line="360" w:lineRule="auto"/>
        <w:ind w:firstLine="3253"/>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79AAAB6B">
      <w:pPr>
        <w:pStyle w:val="234"/>
        <w:spacing w:before="0" w:after="0" w:line="360" w:lineRule="auto"/>
        <w:jc w:val="left"/>
        <w:outlineLvl w:val="1"/>
        <w:rPr>
          <w:rFonts w:hint="eastAsia" w:ascii="宋体" w:hAnsi="宋体" w:cs="宋体"/>
          <w:color w:val="000000"/>
        </w:rPr>
      </w:pPr>
      <w:r>
        <w:rPr>
          <w:rFonts w:hint="eastAsia" w:ascii="宋体" w:hAnsi="宋体" w:cs="宋体"/>
          <w:color w:val="000000"/>
          <w:sz w:val="24"/>
          <w:szCs w:val="24"/>
          <w:lang w:val="zh-CN"/>
        </w:rPr>
        <w:br w:type="page" w:clear="all"/>
      </w:r>
      <w:bookmarkStart w:id="80" w:name="_Toc515908224"/>
      <w:bookmarkStart w:id="81" w:name="_Toc17893"/>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79"/>
      <w:bookmarkEnd w:id="80"/>
    </w:p>
    <w:p w14:paraId="76C6A26F">
      <w:pPr>
        <w:spacing w:line="360" w:lineRule="auto"/>
        <w:rPr>
          <w:rFonts w:hint="eastAsia" w:ascii="宋体" w:hAnsi="宋体" w:cs="宋体"/>
          <w:color w:val="000000"/>
          <w:sz w:val="28"/>
          <w:szCs w:val="28"/>
          <w:lang w:val="zh-CN"/>
        </w:rPr>
      </w:pPr>
    </w:p>
    <w:p w14:paraId="299EA22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投标产品相关资料</w:t>
      </w:r>
    </w:p>
    <w:p w14:paraId="316D9048">
      <w:pPr>
        <w:spacing w:line="360" w:lineRule="auto"/>
        <w:rPr>
          <w:rFonts w:hint="eastAsia" w:ascii="宋体" w:hAnsi="宋体" w:cs="宋体"/>
          <w:color w:val="000000"/>
          <w:sz w:val="28"/>
          <w:szCs w:val="28"/>
          <w:lang w:val="zh-CN"/>
        </w:rPr>
      </w:pPr>
    </w:p>
    <w:p w14:paraId="12384A84">
      <w:pPr>
        <w:spacing w:line="360" w:lineRule="auto"/>
        <w:ind w:firstLine="480"/>
        <w:rPr>
          <w:rFonts w:hint="eastAsia" w:ascii="宋体" w:hAnsi="宋体" w:cs="宋体"/>
          <w:sz w:val="32"/>
          <w:lang w:val="zh-CN"/>
        </w:rPr>
      </w:pPr>
      <w:r>
        <w:rPr>
          <w:rFonts w:hint="eastAsia" w:ascii="宋体" w:hAnsi="宋体" w:cs="宋体"/>
          <w:color w:val="000000"/>
          <w:lang w:val="zh-CN"/>
        </w:rPr>
        <w:t>根据采购项目内容，投标时提供国家认可的质监机构出具的投标产品的产品检验报告、</w:t>
      </w:r>
      <w:r>
        <w:rPr>
          <w:rFonts w:hint="eastAsia" w:ascii="宋体" w:hAnsi="宋体" w:cs="宋体"/>
        </w:rPr>
        <w:t>供货商必须保证所供货物完全符合</w:t>
      </w:r>
      <w:r>
        <w:rPr>
          <w:rFonts w:hint="eastAsia" w:ascii="宋体" w:hAnsi="宋体" w:cs="仿宋"/>
        </w:rPr>
        <w:t>采购招标标准规定的规格，货物质量及要求符合标准</w:t>
      </w:r>
      <w:r>
        <w:rPr>
          <w:rFonts w:hint="eastAsia" w:ascii="宋体" w:hAnsi="宋体" w:cs="宋体"/>
          <w:lang w:val="zh-CN"/>
        </w:rPr>
        <w:t>等资料。</w:t>
      </w:r>
    </w:p>
    <w:p w14:paraId="10F21533">
      <w:pPr>
        <w:pStyle w:val="234"/>
        <w:spacing w:before="0" w:after="0" w:line="360" w:lineRule="auto"/>
        <w:jc w:val="both"/>
        <w:outlineLvl w:val="1"/>
        <w:rPr>
          <w:rFonts w:hint="eastAsia" w:ascii="宋体" w:hAnsi="宋体" w:cs="宋体"/>
          <w:color w:val="000000"/>
          <w:lang w:val="zh-CN"/>
        </w:rPr>
      </w:pPr>
    </w:p>
    <w:p w14:paraId="007BF752">
      <w:pPr>
        <w:rPr>
          <w:rFonts w:hint="eastAsia" w:ascii="宋体" w:hAnsi="宋体" w:cs="宋体"/>
          <w:color w:val="000000"/>
          <w:lang w:val="zh-CN"/>
        </w:rPr>
      </w:pPr>
    </w:p>
    <w:p w14:paraId="75F564F0">
      <w:pPr>
        <w:rPr>
          <w:rFonts w:hint="eastAsia" w:ascii="宋体" w:hAnsi="宋体" w:cs="宋体"/>
          <w:color w:val="000000"/>
          <w:lang w:val="zh-CN"/>
        </w:rPr>
      </w:pPr>
    </w:p>
    <w:p w14:paraId="2D24E059">
      <w:pPr>
        <w:rPr>
          <w:rFonts w:hint="eastAsia" w:ascii="宋体" w:hAnsi="宋体" w:cs="宋体"/>
          <w:color w:val="000000"/>
          <w:lang w:val="zh-CN"/>
        </w:rPr>
      </w:pPr>
    </w:p>
    <w:p w14:paraId="41B3D49C">
      <w:pPr>
        <w:rPr>
          <w:rFonts w:hint="eastAsia" w:ascii="宋体" w:hAnsi="宋体" w:cs="宋体"/>
          <w:color w:val="000000"/>
          <w:lang w:val="zh-CN"/>
        </w:rPr>
      </w:pPr>
    </w:p>
    <w:p w14:paraId="46980469">
      <w:pPr>
        <w:rPr>
          <w:rFonts w:hint="eastAsia" w:ascii="宋体" w:hAnsi="宋体" w:cs="宋体"/>
          <w:color w:val="000000"/>
          <w:lang w:val="zh-CN"/>
        </w:rPr>
      </w:pPr>
    </w:p>
    <w:p w14:paraId="20A30AB7">
      <w:pPr>
        <w:rPr>
          <w:rFonts w:hint="eastAsia" w:ascii="宋体" w:hAnsi="宋体" w:cs="宋体"/>
          <w:color w:val="000000"/>
          <w:lang w:val="zh-CN"/>
        </w:rPr>
      </w:pPr>
    </w:p>
    <w:p w14:paraId="6227C02B">
      <w:pPr>
        <w:rPr>
          <w:rFonts w:hint="eastAsia" w:ascii="宋体" w:hAnsi="宋体" w:cs="宋体"/>
          <w:color w:val="000000"/>
          <w:lang w:val="zh-CN"/>
        </w:rPr>
      </w:pPr>
    </w:p>
    <w:p w14:paraId="58A43932">
      <w:pPr>
        <w:rPr>
          <w:rFonts w:hint="eastAsia" w:ascii="宋体" w:hAnsi="宋体" w:cs="宋体"/>
          <w:color w:val="000000"/>
          <w:lang w:val="zh-CN"/>
        </w:rPr>
      </w:pPr>
    </w:p>
    <w:p w14:paraId="3F1D1ED6">
      <w:pPr>
        <w:rPr>
          <w:rFonts w:hint="eastAsia" w:ascii="宋体" w:hAnsi="宋体" w:cs="宋体"/>
          <w:color w:val="000000"/>
          <w:lang w:val="zh-CN"/>
        </w:rPr>
      </w:pPr>
    </w:p>
    <w:p w14:paraId="6645A349">
      <w:pPr>
        <w:rPr>
          <w:rFonts w:hint="eastAsia" w:ascii="宋体" w:hAnsi="宋体" w:cs="宋体"/>
          <w:color w:val="000000"/>
          <w:lang w:val="zh-CN"/>
        </w:rPr>
      </w:pPr>
    </w:p>
    <w:p w14:paraId="576B649D">
      <w:pPr>
        <w:rPr>
          <w:rFonts w:hint="eastAsia" w:ascii="宋体" w:hAnsi="宋体" w:cs="宋体"/>
          <w:color w:val="000000"/>
          <w:lang w:val="zh-CN"/>
        </w:rPr>
      </w:pPr>
    </w:p>
    <w:p w14:paraId="1FC81D38">
      <w:pPr>
        <w:rPr>
          <w:rFonts w:hint="eastAsia" w:ascii="宋体" w:hAnsi="宋体" w:cs="宋体"/>
          <w:color w:val="000000"/>
          <w:lang w:val="zh-CN"/>
        </w:rPr>
      </w:pPr>
    </w:p>
    <w:p w14:paraId="494B3CA1">
      <w:pPr>
        <w:rPr>
          <w:rFonts w:hint="eastAsia" w:ascii="宋体" w:hAnsi="宋体" w:cs="宋体"/>
          <w:color w:val="000000"/>
          <w:lang w:val="zh-CN"/>
        </w:rPr>
      </w:pPr>
    </w:p>
    <w:p w14:paraId="5DAC51B4">
      <w:pPr>
        <w:rPr>
          <w:rFonts w:hint="eastAsia" w:ascii="宋体" w:hAnsi="宋体" w:cs="宋体"/>
          <w:color w:val="000000"/>
          <w:lang w:val="zh-CN"/>
        </w:rPr>
      </w:pPr>
    </w:p>
    <w:p w14:paraId="11363806">
      <w:pPr>
        <w:rPr>
          <w:rFonts w:hint="eastAsia" w:ascii="宋体" w:hAnsi="宋体" w:cs="宋体"/>
          <w:color w:val="000000"/>
          <w:lang w:val="zh-CN"/>
        </w:rPr>
      </w:pPr>
    </w:p>
    <w:p w14:paraId="341BBADA">
      <w:pPr>
        <w:rPr>
          <w:rFonts w:hint="eastAsia" w:ascii="宋体" w:hAnsi="宋体" w:cs="宋体"/>
          <w:color w:val="000000"/>
          <w:lang w:val="zh-CN"/>
        </w:rPr>
      </w:pPr>
    </w:p>
    <w:p w14:paraId="2383FCF2">
      <w:pPr>
        <w:rPr>
          <w:rFonts w:hint="eastAsia" w:ascii="宋体" w:hAnsi="宋体" w:cs="宋体"/>
          <w:color w:val="000000"/>
          <w:lang w:val="zh-CN"/>
        </w:rPr>
      </w:pPr>
    </w:p>
    <w:p w14:paraId="47FA8024">
      <w:pPr>
        <w:rPr>
          <w:rFonts w:hint="eastAsia" w:ascii="宋体" w:hAnsi="宋体" w:cs="宋体"/>
          <w:color w:val="000000"/>
          <w:lang w:val="zh-CN"/>
        </w:rPr>
      </w:pPr>
    </w:p>
    <w:p w14:paraId="4E75CFB4">
      <w:pPr>
        <w:rPr>
          <w:rFonts w:hint="eastAsia" w:ascii="宋体" w:hAnsi="宋体" w:cs="宋体"/>
          <w:color w:val="000000"/>
          <w:lang w:val="zh-CN"/>
        </w:rPr>
      </w:pPr>
    </w:p>
    <w:p w14:paraId="01A2F289">
      <w:pPr>
        <w:rPr>
          <w:rFonts w:hint="eastAsia" w:ascii="宋体" w:hAnsi="宋体" w:cs="宋体"/>
          <w:color w:val="000000"/>
          <w:lang w:val="zh-CN"/>
        </w:rPr>
      </w:pPr>
    </w:p>
    <w:p w14:paraId="2E6EEA0F">
      <w:pPr>
        <w:rPr>
          <w:rFonts w:hint="eastAsia" w:ascii="宋体" w:hAnsi="宋体" w:cs="宋体"/>
          <w:color w:val="000000"/>
          <w:lang w:val="zh-CN"/>
        </w:rPr>
      </w:pPr>
    </w:p>
    <w:p w14:paraId="3FFA2505">
      <w:pPr>
        <w:rPr>
          <w:rFonts w:hint="eastAsia" w:ascii="宋体" w:hAnsi="宋体" w:cs="宋体"/>
          <w:color w:val="000000"/>
          <w:lang w:val="zh-CN"/>
        </w:rPr>
      </w:pPr>
    </w:p>
    <w:p w14:paraId="6426A519">
      <w:pPr>
        <w:rPr>
          <w:rFonts w:hint="eastAsia" w:ascii="宋体" w:hAnsi="宋体" w:cs="宋体"/>
          <w:color w:val="000000"/>
          <w:lang w:val="zh-CN"/>
        </w:rPr>
      </w:pPr>
    </w:p>
    <w:p w14:paraId="292342D4">
      <w:pPr>
        <w:rPr>
          <w:rFonts w:hint="eastAsia" w:ascii="宋体" w:hAnsi="宋体" w:cs="宋体"/>
          <w:color w:val="000000"/>
          <w:lang w:val="zh-CN"/>
        </w:rPr>
      </w:pPr>
    </w:p>
    <w:p w14:paraId="0D85E202">
      <w:pPr>
        <w:rPr>
          <w:rFonts w:hint="eastAsia" w:ascii="宋体" w:hAnsi="宋体" w:cs="宋体"/>
          <w:color w:val="000000"/>
          <w:lang w:val="zh-CN"/>
        </w:rPr>
      </w:pPr>
    </w:p>
    <w:p w14:paraId="29D01752">
      <w:pPr>
        <w:rPr>
          <w:rFonts w:hint="eastAsia" w:ascii="宋体" w:hAnsi="宋体" w:cs="宋体"/>
          <w:color w:val="000000"/>
          <w:lang w:val="zh-CN"/>
        </w:rPr>
      </w:pPr>
    </w:p>
    <w:p w14:paraId="0094BB2F">
      <w:pPr>
        <w:rPr>
          <w:rFonts w:hint="eastAsia" w:ascii="宋体" w:hAnsi="宋体" w:cs="宋体"/>
          <w:color w:val="000000"/>
          <w:lang w:val="zh-CN"/>
        </w:rPr>
      </w:pPr>
    </w:p>
    <w:bookmarkEnd w:id="81"/>
    <w:p w14:paraId="37672F8D">
      <w:pPr>
        <w:pStyle w:val="234"/>
        <w:spacing w:before="0" w:after="0" w:line="360" w:lineRule="auto"/>
        <w:jc w:val="both"/>
        <w:outlineLvl w:val="1"/>
        <w:rPr>
          <w:rFonts w:hint="eastAsia" w:ascii="宋体" w:hAnsi="宋体" w:cs="宋体"/>
          <w:color w:val="000000"/>
          <w:sz w:val="30"/>
          <w:szCs w:val="30"/>
        </w:rPr>
      </w:pPr>
      <w:bookmarkStart w:id="82" w:name="_Toc16168"/>
      <w:bookmarkStart w:id="83" w:name="_Toc24554970"/>
      <w:r>
        <w:rPr>
          <w:rFonts w:hint="eastAsia" w:ascii="宋体" w:hAnsi="宋体" w:cs="宋体"/>
          <w:color w:val="000000"/>
          <w:sz w:val="30"/>
          <w:szCs w:val="30"/>
        </w:rPr>
        <w:br w:type="page"/>
      </w:r>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2"/>
      <w:bookmarkEnd w:id="83"/>
    </w:p>
    <w:p w14:paraId="601014D8">
      <w:pPr>
        <w:spacing w:line="360" w:lineRule="auto"/>
        <w:rPr>
          <w:rFonts w:hint="eastAsia" w:ascii="宋体" w:hAnsi="宋体" w:cs="宋体"/>
          <w:color w:val="000000"/>
          <w:sz w:val="28"/>
          <w:szCs w:val="28"/>
          <w:lang w:val="zh-CN"/>
        </w:rPr>
      </w:pPr>
    </w:p>
    <w:p w14:paraId="6608F07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投标人的类似业绩证明材料</w:t>
      </w:r>
    </w:p>
    <w:p w14:paraId="7B451A28">
      <w:pPr>
        <w:spacing w:line="360" w:lineRule="auto"/>
        <w:rPr>
          <w:rFonts w:hint="eastAsia" w:ascii="宋体" w:hAnsi="宋体" w:cs="宋体"/>
          <w:color w:val="000000"/>
          <w:sz w:val="28"/>
          <w:szCs w:val="28"/>
          <w:lang w:val="zh-CN"/>
        </w:rPr>
      </w:pPr>
    </w:p>
    <w:p w14:paraId="27392900">
      <w:pPr>
        <w:pStyle w:val="234"/>
        <w:spacing w:before="0" w:after="0" w:line="360" w:lineRule="auto"/>
        <w:ind w:firstLine="480"/>
        <w:jc w:val="left"/>
        <w:outlineLvl w:val="1"/>
        <w:rPr>
          <w:rFonts w:hint="eastAsia" w:ascii="宋体" w:hAnsi="宋体" w:cs="宋体"/>
          <w:b w:val="0"/>
          <w:bCs w:val="0"/>
          <w:color w:val="000000"/>
          <w:sz w:val="24"/>
          <w:szCs w:val="24"/>
          <w:lang w:val="zh-CN"/>
        </w:rPr>
      </w:pPr>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20</w:t>
      </w:r>
      <w:r>
        <w:rPr>
          <w:rFonts w:hint="eastAsia" w:ascii="宋体" w:hAnsi="宋体" w:cs="宋体"/>
          <w:b w:val="0"/>
          <w:bCs w:val="0"/>
          <w:color w:val="000000"/>
          <w:sz w:val="24"/>
          <w:szCs w:val="24"/>
          <w:u w:val="single"/>
          <w:lang w:val="en-US" w:eastAsia="zh-CN"/>
        </w:rPr>
        <w:t>21</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具体要求见评分标准细则</w:t>
      </w:r>
    </w:p>
    <w:p w14:paraId="7D283318">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49FE254E">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02F0E173">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39A69A84">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4B8309FD">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2FAD9B33">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58A80687">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2EE86CA4">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2233BA29">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2DEC279B">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12B47E4A">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52A9A75E">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32FC057F">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1D137CEB">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02C9C16C">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35A1C4FA">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39A86E5C">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0B669890">
      <w:pPr>
        <w:pStyle w:val="234"/>
        <w:spacing w:before="0" w:after="0" w:line="360" w:lineRule="auto"/>
        <w:ind w:firstLine="480"/>
        <w:jc w:val="left"/>
        <w:outlineLvl w:val="1"/>
        <w:rPr>
          <w:rFonts w:hint="eastAsia" w:ascii="宋体" w:hAnsi="宋体" w:cs="宋体"/>
          <w:b w:val="0"/>
          <w:bCs w:val="0"/>
          <w:color w:val="000000"/>
          <w:sz w:val="24"/>
          <w:szCs w:val="24"/>
          <w:lang w:val="zh-CN"/>
        </w:rPr>
      </w:pPr>
    </w:p>
    <w:p w14:paraId="002A059B">
      <w:pPr>
        <w:pStyle w:val="234"/>
        <w:spacing w:before="0" w:after="0" w:line="360" w:lineRule="auto"/>
        <w:ind w:firstLine="480"/>
        <w:jc w:val="left"/>
        <w:outlineLvl w:val="1"/>
        <w:rPr>
          <w:rFonts w:hint="eastAsia" w:ascii="宋体" w:hAnsi="宋体" w:cs="宋体"/>
          <w:b/>
          <w:bCs/>
          <w:color w:val="000000"/>
          <w:lang w:val="zh-CN"/>
        </w:rPr>
      </w:pPr>
      <w:r>
        <w:rPr>
          <w:rFonts w:hint="eastAsia" w:ascii="宋体" w:hAnsi="宋体" w:cs="宋体"/>
          <w:b w:val="0"/>
          <w:bCs w:val="0"/>
          <w:color w:val="000000"/>
          <w:sz w:val="24"/>
          <w:szCs w:val="24"/>
          <w:lang w:val="zh-CN"/>
        </w:rPr>
        <w:br w:type="page"/>
      </w:r>
      <w:r>
        <w:rPr>
          <w:rFonts w:hint="eastAsia" w:ascii="宋体" w:hAnsi="宋体" w:cs="宋体"/>
          <w:color w:val="000000"/>
          <w:sz w:val="30"/>
          <w:szCs w:val="30"/>
        </w:rPr>
        <w:t>（16.1）</w:t>
      </w:r>
      <w:r>
        <w:rPr>
          <w:rFonts w:hint="eastAsia" w:ascii="宋体" w:hAnsi="宋体" w:cs="宋体"/>
          <w:color w:val="000000"/>
          <w:sz w:val="30"/>
          <w:szCs w:val="30"/>
          <w:lang w:val="zh-CN"/>
        </w:rPr>
        <w:t>制造（生产）企业小型、微型企业声明函</w:t>
      </w:r>
    </w:p>
    <w:p w14:paraId="55EA856E">
      <w:pPr>
        <w:widowControl/>
        <w:spacing w:line="360" w:lineRule="auto"/>
        <w:jc w:val="center"/>
        <w:rPr>
          <w:rFonts w:ascii="宋体" w:hAnsi="宋体" w:eastAsia="宋体" w:cs="宋体"/>
          <w:b/>
          <w:color w:val="000000" w:themeColor="text1"/>
          <w:kern w:val="0"/>
          <w:sz w:val="24"/>
          <w:szCs w:val="24"/>
          <w:lang w:bidi="ar"/>
        </w:rPr>
      </w:pPr>
    </w:p>
    <w:p w14:paraId="21C0F007">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rPr>
      </w:pPr>
      <w:r>
        <w:rPr>
          <w:rFonts w:hint="eastAsia" w:ascii="宋体" w:hAnsi="宋体" w:eastAsia="宋体" w:cs="宋体"/>
          <w:b/>
          <w:bCs/>
          <w:color w:val="000000" w:themeColor="text1"/>
          <w:kern w:val="0"/>
          <w:sz w:val="28"/>
          <w:szCs w:val="28"/>
        </w:rPr>
        <w:t>中小企业声明函</w:t>
      </w:r>
    </w:p>
    <w:p w14:paraId="4240060C">
      <w:pPr>
        <w:autoSpaceDE w:val="0"/>
        <w:autoSpaceDN w:val="0"/>
        <w:spacing w:line="360" w:lineRule="auto"/>
        <w:rPr>
          <w:rFonts w:ascii="宋体" w:hAnsi="宋体" w:eastAsia="宋体" w:cs="宋体"/>
          <w:color w:val="000000" w:themeColor="text1"/>
          <w:kern w:val="0"/>
          <w:sz w:val="24"/>
          <w:szCs w:val="24"/>
          <w:lang w:val="zh-CN"/>
        </w:rPr>
      </w:pPr>
      <w:r>
        <w:rPr>
          <w:rFonts w:hint="eastAsia" w:ascii="宋体" w:hAnsi="宋体" w:eastAsia="宋体" w:cs="宋体"/>
          <w:b/>
          <w:bCs/>
          <w:color w:val="000000" w:themeColor="text1"/>
          <w:kern w:val="0"/>
          <w:sz w:val="24"/>
          <w:szCs w:val="24"/>
          <w:lang w:val="zh-CN"/>
        </w:rPr>
        <w:t>致：刚察县政府采购中心</w:t>
      </w:r>
    </w:p>
    <w:p w14:paraId="67616ACC">
      <w:pPr>
        <w:widowControl/>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rPr>
        <w:t>（单位名称）的（项目名称）</w:t>
      </w:r>
      <w:r>
        <w:rPr>
          <w:rFonts w:hint="eastAsia" w:ascii="宋体" w:hAnsi="宋体" w:eastAsia="宋体" w:cs="宋体"/>
          <w:color w:val="000000" w:themeColor="text1"/>
          <w:kern w:val="0"/>
          <w:sz w:val="24"/>
          <w:szCs w:val="24"/>
          <w:lang w:bidi="ar"/>
        </w:rPr>
        <w:t>采购活动，提供的货物全部由符合政策要求的中小企业制造。相关企业的具体情况如下：</w:t>
      </w:r>
    </w:p>
    <w:p w14:paraId="64C5878C">
      <w:pPr>
        <w:widowControl/>
        <w:spacing w:line="360" w:lineRule="auto"/>
        <w:ind w:firstLine="480" w:firstLineChars="200"/>
        <w:jc w:val="left"/>
        <w:rPr>
          <w:rFonts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1.</w:t>
      </w:r>
      <w:r>
        <w:rPr>
          <w:rFonts w:hint="eastAsia" w:ascii="宋体" w:hAnsi="宋体" w:eastAsia="宋体" w:cs="宋体"/>
          <w:color w:val="000000" w:themeColor="text1"/>
          <w:kern w:val="0"/>
          <w:sz w:val="24"/>
          <w:szCs w:val="24"/>
          <w:u w:val="single"/>
          <w:lang w:bidi="ar"/>
        </w:rPr>
        <w:t>（标的名称）</w:t>
      </w:r>
      <w:r>
        <w:rPr>
          <w:rFonts w:hint="eastAsia" w:ascii="宋体" w:hAnsi="宋体" w:eastAsia="宋体" w:cs="宋体"/>
          <w:color w:val="000000" w:themeColor="text1"/>
          <w:kern w:val="0"/>
          <w:sz w:val="24"/>
          <w:szCs w:val="24"/>
          <w:lang w:bidi="ar"/>
        </w:rPr>
        <w:t>，属于</w:t>
      </w:r>
      <w:r>
        <w:rPr>
          <w:rFonts w:hint="eastAsia" w:ascii="宋体" w:hAnsi="宋体" w:eastAsia="宋体" w:cs="宋体"/>
          <w:color w:val="000000" w:themeColor="text1"/>
          <w:kern w:val="0"/>
          <w:sz w:val="24"/>
          <w:szCs w:val="24"/>
          <w:u w:val="single"/>
          <w:lang w:bidi="ar"/>
        </w:rPr>
        <w:t>（采购文件中明确的所属行业）</w:t>
      </w:r>
      <w:r>
        <w:rPr>
          <w:rFonts w:hint="eastAsia" w:ascii="宋体" w:hAnsi="宋体" w:eastAsia="宋体" w:cs="宋体"/>
          <w:color w:val="000000" w:themeColor="text1"/>
          <w:kern w:val="0"/>
          <w:sz w:val="24"/>
          <w:szCs w:val="24"/>
          <w:lang w:bidi="ar"/>
        </w:rPr>
        <w:t>行业；制造商为</w:t>
      </w:r>
      <w:r>
        <w:rPr>
          <w:rFonts w:hint="eastAsia" w:ascii="宋体" w:hAnsi="宋体" w:eastAsia="宋体" w:cs="宋体"/>
          <w:color w:val="000000" w:themeColor="text1"/>
          <w:kern w:val="0"/>
          <w:sz w:val="24"/>
          <w:szCs w:val="24"/>
          <w:u w:val="single"/>
          <w:lang w:bidi="ar"/>
        </w:rPr>
        <w:t>（企业名称）</w:t>
      </w:r>
      <w:r>
        <w:rPr>
          <w:rFonts w:hint="eastAsia" w:ascii="宋体" w:hAnsi="宋体" w:eastAsia="宋体" w:cs="宋体"/>
          <w:color w:val="000000" w:themeColor="text1"/>
          <w:kern w:val="0"/>
          <w:sz w:val="24"/>
          <w:szCs w:val="24"/>
          <w:lang w:bidi="ar"/>
        </w:rPr>
        <w:t>，从业人员</w:t>
      </w:r>
      <w:r>
        <w:rPr>
          <w:rFonts w:hint="eastAsia" w:ascii="宋体" w:hAnsi="宋体" w:eastAsia="宋体" w:cs="宋体"/>
          <w:color w:val="000000" w:themeColor="text1"/>
          <w:kern w:val="0"/>
          <w:sz w:val="24"/>
          <w:szCs w:val="24"/>
          <w:u w:val="single"/>
          <w:lang w:bidi="ar"/>
        </w:rPr>
        <w:t xml:space="preserve">   </w:t>
      </w:r>
      <w:r>
        <w:rPr>
          <w:rFonts w:hint="eastAsia" w:ascii="宋体" w:hAnsi="宋体" w:eastAsia="宋体" w:cs="宋体"/>
          <w:color w:val="000000" w:themeColor="text1"/>
          <w:kern w:val="0"/>
          <w:sz w:val="24"/>
          <w:szCs w:val="24"/>
          <w:lang w:bidi="ar"/>
        </w:rPr>
        <w:t>人，营业收入为</w:t>
      </w:r>
      <w:r>
        <w:rPr>
          <w:rFonts w:hint="eastAsia" w:ascii="宋体" w:hAnsi="宋体" w:eastAsia="宋体" w:cs="宋体"/>
          <w:color w:val="000000" w:themeColor="text1"/>
          <w:kern w:val="0"/>
          <w:sz w:val="24"/>
          <w:szCs w:val="24"/>
          <w:u w:val="single"/>
          <w:lang w:bidi="ar"/>
        </w:rPr>
        <w:t xml:space="preserve">   </w:t>
      </w:r>
      <w:r>
        <w:rPr>
          <w:rFonts w:hint="eastAsia" w:ascii="宋体" w:hAnsi="宋体" w:eastAsia="宋体" w:cs="宋体"/>
          <w:color w:val="000000" w:themeColor="text1"/>
          <w:kern w:val="0"/>
          <w:sz w:val="24"/>
          <w:szCs w:val="24"/>
          <w:lang w:bidi="ar"/>
        </w:rPr>
        <w:t>万元，资产总额为</w:t>
      </w:r>
      <w:r>
        <w:rPr>
          <w:rFonts w:hint="eastAsia" w:ascii="宋体" w:hAnsi="宋体" w:eastAsia="宋体" w:cs="宋体"/>
          <w:color w:val="000000" w:themeColor="text1"/>
          <w:kern w:val="0"/>
          <w:sz w:val="24"/>
          <w:szCs w:val="24"/>
          <w:u w:val="single"/>
          <w:lang w:bidi="ar"/>
        </w:rPr>
        <w:t xml:space="preserve">   </w:t>
      </w:r>
      <w:r>
        <w:rPr>
          <w:rFonts w:hint="eastAsia" w:ascii="宋体" w:hAnsi="宋体" w:eastAsia="宋体" w:cs="宋体"/>
          <w:color w:val="000000" w:themeColor="text1"/>
          <w:kern w:val="0"/>
          <w:sz w:val="24"/>
          <w:szCs w:val="24"/>
          <w:lang w:bidi="ar"/>
        </w:rPr>
        <w:t>万元</w:t>
      </w:r>
      <w:r>
        <w:rPr>
          <w:rFonts w:hint="eastAsia" w:ascii="宋体" w:hAnsi="宋体" w:eastAsia="宋体" w:cs="宋体"/>
          <w:color w:val="000000" w:themeColor="text1"/>
          <w:kern w:val="0"/>
          <w:sz w:val="24"/>
          <w:szCs w:val="24"/>
          <w:vertAlign w:val="superscript"/>
          <w:lang w:bidi="ar"/>
        </w:rPr>
        <w:t>1</w:t>
      </w:r>
      <w:r>
        <w:rPr>
          <w:rFonts w:hint="eastAsia" w:ascii="宋体" w:hAnsi="宋体" w:eastAsia="宋体" w:cs="宋体"/>
          <w:color w:val="000000" w:themeColor="text1"/>
          <w:kern w:val="0"/>
          <w:sz w:val="24"/>
          <w:szCs w:val="24"/>
          <w:lang w:bidi="ar"/>
        </w:rPr>
        <w:t>，属于</w:t>
      </w:r>
      <w:r>
        <w:rPr>
          <w:rFonts w:hint="eastAsia" w:ascii="宋体" w:hAnsi="宋体" w:eastAsia="宋体" w:cs="宋体"/>
          <w:color w:val="000000" w:themeColor="text1"/>
          <w:kern w:val="0"/>
          <w:sz w:val="24"/>
          <w:szCs w:val="24"/>
          <w:u w:val="single"/>
          <w:lang w:bidi="ar"/>
        </w:rPr>
        <w:t>（中型企业、小型企业、微型企业）</w:t>
      </w:r>
      <w:r>
        <w:rPr>
          <w:rFonts w:hint="eastAsia" w:ascii="宋体" w:hAnsi="宋体" w:eastAsia="宋体" w:cs="宋体"/>
          <w:color w:val="000000" w:themeColor="text1"/>
          <w:kern w:val="0"/>
          <w:sz w:val="24"/>
          <w:szCs w:val="24"/>
          <w:lang w:bidi="ar"/>
        </w:rPr>
        <w:t>；</w:t>
      </w:r>
    </w:p>
    <w:p w14:paraId="30FFBA9B">
      <w:pPr>
        <w:widowControl/>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2.</w:t>
      </w:r>
      <w:r>
        <w:rPr>
          <w:rFonts w:hint="eastAsia" w:ascii="宋体" w:hAnsi="宋体" w:eastAsia="宋体" w:cs="宋体"/>
          <w:color w:val="000000" w:themeColor="text1"/>
          <w:kern w:val="0"/>
          <w:sz w:val="24"/>
          <w:szCs w:val="24"/>
          <w:u w:val="single"/>
          <w:lang w:bidi="ar"/>
        </w:rPr>
        <w:t>（标的名称）</w:t>
      </w:r>
      <w:r>
        <w:rPr>
          <w:rFonts w:hint="eastAsia" w:ascii="宋体" w:hAnsi="宋体" w:eastAsia="宋体" w:cs="宋体"/>
          <w:color w:val="000000" w:themeColor="text1"/>
          <w:kern w:val="0"/>
          <w:sz w:val="24"/>
          <w:szCs w:val="24"/>
          <w:lang w:bidi="ar"/>
        </w:rPr>
        <w:t>，属于</w:t>
      </w:r>
      <w:r>
        <w:rPr>
          <w:rFonts w:hint="eastAsia" w:ascii="宋体" w:hAnsi="宋体" w:eastAsia="宋体" w:cs="宋体"/>
          <w:color w:val="000000" w:themeColor="text1"/>
          <w:kern w:val="0"/>
          <w:sz w:val="24"/>
          <w:szCs w:val="24"/>
          <w:u w:val="single"/>
          <w:lang w:bidi="ar"/>
        </w:rPr>
        <w:t>（采购文件中明确的所属行业）</w:t>
      </w:r>
      <w:r>
        <w:rPr>
          <w:rFonts w:hint="eastAsia" w:ascii="宋体" w:hAnsi="宋体" w:eastAsia="宋体" w:cs="宋体"/>
          <w:color w:val="000000" w:themeColor="text1"/>
          <w:kern w:val="0"/>
          <w:sz w:val="24"/>
          <w:szCs w:val="24"/>
          <w:lang w:bidi="ar"/>
        </w:rPr>
        <w:t>行业；制造商为</w:t>
      </w:r>
      <w:r>
        <w:rPr>
          <w:rFonts w:hint="eastAsia" w:ascii="宋体" w:hAnsi="宋体" w:eastAsia="宋体" w:cs="宋体"/>
          <w:color w:val="000000" w:themeColor="text1"/>
          <w:kern w:val="0"/>
          <w:sz w:val="24"/>
          <w:szCs w:val="24"/>
          <w:u w:val="single"/>
          <w:lang w:bidi="ar"/>
        </w:rPr>
        <w:t>（企业名称）</w:t>
      </w:r>
      <w:r>
        <w:rPr>
          <w:rFonts w:hint="eastAsia" w:ascii="宋体" w:hAnsi="宋体" w:eastAsia="宋体" w:cs="宋体"/>
          <w:color w:val="000000" w:themeColor="text1"/>
          <w:kern w:val="0"/>
          <w:sz w:val="24"/>
          <w:szCs w:val="24"/>
          <w:lang w:bidi="ar"/>
        </w:rPr>
        <w:t>，从业人员</w:t>
      </w:r>
      <w:r>
        <w:rPr>
          <w:rFonts w:hint="eastAsia" w:ascii="宋体" w:hAnsi="宋体" w:eastAsia="宋体" w:cs="宋体"/>
          <w:color w:val="000000" w:themeColor="text1"/>
          <w:kern w:val="0"/>
          <w:sz w:val="24"/>
          <w:szCs w:val="24"/>
          <w:u w:val="single"/>
          <w:lang w:bidi="ar"/>
        </w:rPr>
        <w:t xml:space="preserve">   </w:t>
      </w:r>
      <w:r>
        <w:rPr>
          <w:rFonts w:hint="eastAsia" w:ascii="宋体" w:hAnsi="宋体" w:eastAsia="宋体" w:cs="宋体"/>
          <w:color w:val="000000" w:themeColor="text1"/>
          <w:kern w:val="0"/>
          <w:sz w:val="24"/>
          <w:szCs w:val="24"/>
          <w:lang w:bidi="ar"/>
        </w:rPr>
        <w:t>人，营业收入为</w:t>
      </w:r>
      <w:r>
        <w:rPr>
          <w:rFonts w:hint="eastAsia" w:ascii="宋体" w:hAnsi="宋体" w:eastAsia="宋体" w:cs="宋体"/>
          <w:color w:val="000000" w:themeColor="text1"/>
          <w:kern w:val="0"/>
          <w:sz w:val="24"/>
          <w:szCs w:val="24"/>
          <w:u w:val="single"/>
          <w:lang w:bidi="ar"/>
        </w:rPr>
        <w:t xml:space="preserve">   </w:t>
      </w:r>
      <w:r>
        <w:rPr>
          <w:rFonts w:hint="eastAsia" w:ascii="宋体" w:hAnsi="宋体" w:eastAsia="宋体" w:cs="宋体"/>
          <w:color w:val="000000" w:themeColor="text1"/>
          <w:kern w:val="0"/>
          <w:sz w:val="24"/>
          <w:szCs w:val="24"/>
          <w:lang w:bidi="ar"/>
        </w:rPr>
        <w:t>万元，资产总额为</w:t>
      </w:r>
      <w:r>
        <w:rPr>
          <w:rFonts w:hint="eastAsia" w:ascii="宋体" w:hAnsi="宋体" w:eastAsia="宋体" w:cs="宋体"/>
          <w:color w:val="000000" w:themeColor="text1"/>
          <w:kern w:val="0"/>
          <w:sz w:val="24"/>
          <w:szCs w:val="24"/>
          <w:u w:val="single"/>
          <w:lang w:bidi="ar"/>
        </w:rPr>
        <w:t xml:space="preserve">   </w:t>
      </w:r>
      <w:r>
        <w:rPr>
          <w:rFonts w:hint="eastAsia" w:ascii="宋体" w:hAnsi="宋体" w:eastAsia="宋体" w:cs="宋体"/>
          <w:color w:val="000000" w:themeColor="text1"/>
          <w:kern w:val="0"/>
          <w:sz w:val="24"/>
          <w:szCs w:val="24"/>
          <w:lang w:bidi="ar"/>
        </w:rPr>
        <w:t>万元</w:t>
      </w:r>
      <w:r>
        <w:rPr>
          <w:rFonts w:hint="eastAsia" w:ascii="宋体" w:hAnsi="宋体" w:eastAsia="宋体" w:cs="宋体"/>
          <w:color w:val="000000" w:themeColor="text1"/>
          <w:kern w:val="0"/>
          <w:sz w:val="24"/>
          <w:szCs w:val="24"/>
          <w:vertAlign w:val="superscript"/>
          <w:lang w:bidi="ar"/>
        </w:rPr>
        <w:t>1</w:t>
      </w:r>
      <w:r>
        <w:rPr>
          <w:rFonts w:hint="eastAsia" w:ascii="宋体" w:hAnsi="宋体" w:eastAsia="宋体" w:cs="宋体"/>
          <w:color w:val="000000" w:themeColor="text1"/>
          <w:kern w:val="0"/>
          <w:sz w:val="24"/>
          <w:szCs w:val="24"/>
          <w:lang w:bidi="ar"/>
        </w:rPr>
        <w:t>，属于</w:t>
      </w:r>
      <w:r>
        <w:rPr>
          <w:rFonts w:hint="eastAsia" w:ascii="宋体" w:hAnsi="宋体" w:eastAsia="宋体" w:cs="宋体"/>
          <w:color w:val="000000" w:themeColor="text1"/>
          <w:kern w:val="0"/>
          <w:sz w:val="24"/>
          <w:szCs w:val="24"/>
          <w:u w:val="single"/>
          <w:lang w:bidi="ar"/>
        </w:rPr>
        <w:t>（中型企业、小型企业、微型企业）</w:t>
      </w:r>
      <w:r>
        <w:rPr>
          <w:rFonts w:hint="eastAsia" w:ascii="宋体" w:hAnsi="宋体" w:eastAsia="宋体" w:cs="宋体"/>
          <w:color w:val="000000" w:themeColor="text1"/>
          <w:kern w:val="0"/>
          <w:sz w:val="24"/>
          <w:szCs w:val="24"/>
          <w:lang w:bidi="ar"/>
        </w:rPr>
        <w:t>；</w:t>
      </w:r>
    </w:p>
    <w:p w14:paraId="3097E352">
      <w:pPr>
        <w:widowControl/>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w:t>
      </w:r>
    </w:p>
    <w:p w14:paraId="2649B50D">
      <w:pPr>
        <w:widowControl/>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以上企业，不属于大企业的分支机构，不存在控股股东为大企业的情形，也不存在与大企业的负责人为同一人的情形。</w:t>
      </w:r>
    </w:p>
    <w:p w14:paraId="49775F88">
      <w:pPr>
        <w:widowControl/>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本企业对上述声明内容的真实性负责。如有虚假，将依法承担相应责任。</w:t>
      </w:r>
    </w:p>
    <w:p w14:paraId="36DC3C21">
      <w:pPr>
        <w:widowControl/>
        <w:spacing w:line="360" w:lineRule="auto"/>
        <w:ind w:firstLine="480" w:firstLineChars="200"/>
        <w:jc w:val="center"/>
        <w:rPr>
          <w:rFonts w:ascii="宋体" w:hAnsi="宋体" w:eastAsia="宋体" w:cs="宋体"/>
          <w:color w:val="000000" w:themeColor="text1"/>
          <w:kern w:val="0"/>
          <w:sz w:val="24"/>
          <w:szCs w:val="24"/>
          <w:lang w:bidi="ar"/>
        </w:rPr>
      </w:pPr>
    </w:p>
    <w:p w14:paraId="6D120604">
      <w:pPr>
        <w:widowControl/>
        <w:spacing w:line="360" w:lineRule="auto"/>
        <w:ind w:firstLine="480" w:firstLineChars="200"/>
        <w:jc w:val="center"/>
        <w:rPr>
          <w:rFonts w:ascii="宋体" w:hAnsi="宋体" w:eastAsia="宋体" w:cs="宋体"/>
          <w:color w:val="000000" w:themeColor="text1"/>
          <w:kern w:val="0"/>
          <w:sz w:val="24"/>
          <w:szCs w:val="24"/>
          <w:lang w:bidi="ar"/>
        </w:rPr>
      </w:pPr>
    </w:p>
    <w:p w14:paraId="4B273AD7">
      <w:pPr>
        <w:widowControl/>
        <w:spacing w:line="360" w:lineRule="auto"/>
        <w:ind w:firstLine="480" w:firstLineChars="200"/>
        <w:jc w:val="center"/>
        <w:rPr>
          <w:rFonts w:ascii="宋体" w:hAnsi="宋体" w:eastAsia="宋体" w:cs="宋体"/>
          <w:color w:val="000000" w:themeColor="text1"/>
          <w:kern w:val="0"/>
          <w:sz w:val="24"/>
          <w:szCs w:val="24"/>
          <w:lang w:bidi="ar"/>
        </w:rPr>
      </w:pPr>
    </w:p>
    <w:p w14:paraId="4EA46C8A">
      <w:pPr>
        <w:widowControl/>
        <w:spacing w:line="360" w:lineRule="auto"/>
        <w:ind w:firstLine="482" w:firstLineChars="200"/>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bidi="ar"/>
        </w:rPr>
        <w:t>企业名称（盖章）：</w:t>
      </w:r>
    </w:p>
    <w:p w14:paraId="31B71319">
      <w:pPr>
        <w:widowControl/>
        <w:spacing w:line="360" w:lineRule="auto"/>
        <w:ind w:firstLine="482" w:firstLineChars="200"/>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bidi="ar"/>
        </w:rPr>
        <w:t>日 期：</w:t>
      </w:r>
    </w:p>
    <w:p w14:paraId="0248D826">
      <w:pPr>
        <w:widowControl/>
        <w:spacing w:line="360" w:lineRule="auto"/>
        <w:jc w:val="left"/>
        <w:rPr>
          <w:rFonts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注：1、</w:t>
      </w:r>
      <w:r>
        <w:rPr>
          <w:rFonts w:hint="eastAsia" w:ascii="宋体" w:hAnsi="宋体" w:eastAsia="宋体" w:cs="宋体"/>
          <w:color w:val="000000" w:themeColor="text1"/>
          <w:kern w:val="0"/>
          <w:sz w:val="24"/>
          <w:szCs w:val="24"/>
          <w:vertAlign w:val="superscript"/>
          <w:lang w:bidi="ar"/>
        </w:rPr>
        <w:t>1</w:t>
      </w:r>
      <w:r>
        <w:rPr>
          <w:rFonts w:hint="eastAsia" w:ascii="宋体" w:hAnsi="宋体" w:eastAsia="宋体" w:cs="宋体"/>
          <w:color w:val="000000" w:themeColor="text1"/>
          <w:kern w:val="0"/>
          <w:sz w:val="24"/>
          <w:szCs w:val="24"/>
          <w:lang w:bidi="ar"/>
        </w:rPr>
        <w:t>从业人员、营业收入、资产总额填报上一年度数据，无上一年度数据的新成立企业可不填报。</w:t>
      </w:r>
    </w:p>
    <w:p w14:paraId="5CBF04BA">
      <w:pPr>
        <w:widowControl/>
        <w:spacing w:line="360" w:lineRule="auto"/>
        <w:jc w:val="left"/>
        <w:rPr>
          <w:rFonts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 xml:space="preserve">    2、成交供应商享受《政府采购促进中小企业发展管理办法》规定的中小企业扶持政策的，采购代理机构应当随成交结果公开成交供应商的《中小企业声明函》。</w:t>
      </w:r>
    </w:p>
    <w:p w14:paraId="35B7CDA6">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 xml:space="preserve">    </w:t>
      </w:r>
      <w:bookmarkStart w:id="84" w:name="_Toc13265"/>
      <w:r>
        <w:rPr>
          <w:rFonts w:hint="eastAsia" w:ascii="宋体" w:hAnsi="宋体" w:eastAsia="宋体" w:cs="宋体"/>
          <w:color w:val="000000" w:themeColor="text1"/>
          <w:kern w:val="0"/>
          <w:sz w:val="24"/>
          <w:szCs w:val="24"/>
          <w:lang w:bidi="ar"/>
        </w:rPr>
        <w:t>3、若无此项内容，可不提供此函。</w:t>
      </w:r>
      <w:bookmarkEnd w:id="84"/>
    </w:p>
    <w:p w14:paraId="77994899">
      <w:pPr>
        <w:widowControl/>
        <w:spacing w:line="360" w:lineRule="auto"/>
        <w:jc w:val="left"/>
        <w:rPr>
          <w:rFonts w:hint="eastAsia" w:ascii="宋体" w:hAnsi="宋体" w:cs="宋体"/>
          <w:color w:val="000000"/>
          <w:lang w:val="zh-CN"/>
        </w:rPr>
      </w:pPr>
      <w:r>
        <w:rPr>
          <w:rFonts w:hint="eastAsia" w:ascii="宋体" w:hAnsi="宋体" w:cs="宋体"/>
          <w:color w:val="000000"/>
          <w:lang w:val="zh-CN"/>
        </w:rPr>
        <w:br w:type="page" w:clear="all"/>
      </w:r>
      <w:r>
        <w:rPr>
          <w:rFonts w:hint="eastAsia" w:ascii="宋体" w:hAnsi="宋体" w:cs="宋体"/>
          <w:color w:val="000000"/>
          <w:sz w:val="30"/>
          <w:szCs w:val="30"/>
        </w:rPr>
        <w:t>（16.2）</w:t>
      </w:r>
      <w:r>
        <w:rPr>
          <w:rFonts w:hint="eastAsia" w:ascii="宋体" w:hAnsi="宋体" w:cs="宋体"/>
          <w:color w:val="000000"/>
          <w:sz w:val="30"/>
          <w:szCs w:val="30"/>
          <w:lang w:val="zh-CN"/>
        </w:rPr>
        <w:t>从业人员声明函</w:t>
      </w:r>
    </w:p>
    <w:p w14:paraId="5E60F927">
      <w:pPr>
        <w:spacing w:line="440" w:lineRule="exact"/>
        <w:ind w:left="6987" w:hanging="6987"/>
        <w:jc w:val="center"/>
        <w:rPr>
          <w:rFonts w:hint="eastAsia" w:ascii="宋体" w:hAnsi="宋体" w:cs="宋体"/>
          <w:b/>
          <w:bCs/>
          <w:color w:val="000000"/>
          <w:lang w:val="zh-CN"/>
        </w:rPr>
      </w:pPr>
    </w:p>
    <w:p w14:paraId="0AACADAE">
      <w:pPr>
        <w:spacing w:line="440" w:lineRule="exact"/>
        <w:ind w:left="8152" w:hanging="8152"/>
        <w:jc w:val="center"/>
        <w:rPr>
          <w:rFonts w:hint="eastAsia" w:ascii="宋体" w:hAnsi="宋体" w:cs="宋体"/>
          <w:b/>
          <w:color w:val="000000"/>
        </w:rPr>
      </w:pPr>
      <w:r>
        <w:rPr>
          <w:rFonts w:hint="eastAsia" w:ascii="宋体" w:hAnsi="宋体" w:cs="宋体"/>
          <w:b/>
          <w:color w:val="000000"/>
          <w:sz w:val="28"/>
          <w:szCs w:val="28"/>
        </w:rPr>
        <w:t>从业人员声明函</w:t>
      </w:r>
    </w:p>
    <w:p w14:paraId="498C881B">
      <w:pPr>
        <w:spacing w:line="440" w:lineRule="exact"/>
        <w:ind w:left="6987" w:hanging="6987"/>
        <w:rPr>
          <w:rFonts w:hint="eastAsia" w:ascii="宋体" w:hAnsi="宋体" w:cs="宋体"/>
          <w:b/>
          <w:bCs/>
          <w:color w:val="000000"/>
          <w:lang w:val="zh-CN"/>
        </w:rPr>
      </w:pPr>
    </w:p>
    <w:p w14:paraId="0A1FAA92">
      <w:pPr>
        <w:spacing w:line="440" w:lineRule="exact"/>
        <w:ind w:left="6987" w:hanging="6987"/>
        <w:rPr>
          <w:rFonts w:hint="eastAsia" w:ascii="宋体" w:hAnsi="宋体" w:cs="宋体"/>
          <w:color w:val="000000"/>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E787E3">
      <w:pPr>
        <w:spacing w:line="440" w:lineRule="exact"/>
        <w:ind w:left="-5"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14:paraId="1CCB49CD">
      <w:pPr>
        <w:spacing w:line="440" w:lineRule="exact"/>
        <w:ind w:left="-2" w:firstLine="480"/>
        <w:rPr>
          <w:rFonts w:hint="eastAsia" w:ascii="宋体" w:hAnsi="宋体" w:cs="宋体"/>
          <w:color w:val="000000"/>
        </w:rPr>
      </w:pPr>
      <w:r>
        <w:rPr>
          <w:rFonts w:hint="eastAsia" w:ascii="宋体" w:hAnsi="宋体" w:cs="宋体"/>
          <w:color w:val="000000"/>
        </w:rPr>
        <w:t>本公司对上述声明的真实性负责，如有虚假，将依法承担相应责任。</w:t>
      </w:r>
    </w:p>
    <w:p w14:paraId="674FADEB">
      <w:pPr>
        <w:spacing w:line="360" w:lineRule="auto"/>
        <w:jc w:val="center"/>
        <w:rPr>
          <w:rFonts w:hint="eastAsia" w:ascii="宋体" w:hAnsi="宋体" w:cs="宋体"/>
          <w:b/>
          <w:bCs/>
          <w:color w:val="000000"/>
          <w:lang w:val="zh-CN"/>
        </w:rPr>
      </w:pPr>
    </w:p>
    <w:p w14:paraId="0DA0347A">
      <w:pPr>
        <w:spacing w:line="360" w:lineRule="auto"/>
        <w:jc w:val="center"/>
        <w:rPr>
          <w:rFonts w:hint="eastAsia" w:ascii="宋体" w:hAnsi="宋体" w:cs="宋体"/>
          <w:b/>
          <w:bCs/>
          <w:color w:val="000000"/>
          <w:lang w:val="zh-CN"/>
        </w:rPr>
      </w:pPr>
    </w:p>
    <w:p w14:paraId="0C9B12CF">
      <w:pPr>
        <w:spacing w:line="360" w:lineRule="auto"/>
        <w:jc w:val="center"/>
        <w:rPr>
          <w:rFonts w:hint="eastAsia" w:ascii="宋体" w:hAnsi="宋体" w:cs="宋体"/>
          <w:b/>
          <w:bCs/>
          <w:color w:val="000000"/>
          <w:lang w:val="zh-CN"/>
        </w:rPr>
      </w:pPr>
    </w:p>
    <w:p w14:paraId="787D109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制造（生产）企业名称：       （公章）</w:t>
      </w:r>
    </w:p>
    <w:p w14:paraId="2C98D8F5">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制造（生产）企业法定代表人：       （签字或盖章）</w:t>
      </w:r>
    </w:p>
    <w:p w14:paraId="03FD53B8">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3185F227">
      <w:pPr>
        <w:pStyle w:val="234"/>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clear="all"/>
      </w:r>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p>
    <w:p w14:paraId="75C9E7E7">
      <w:pPr>
        <w:jc w:val="center"/>
        <w:rPr>
          <w:rFonts w:hint="eastAsia" w:ascii="宋体" w:hAnsi="宋体" w:cs="宋体"/>
          <w:b/>
          <w:sz w:val="36"/>
          <w:szCs w:val="36"/>
        </w:rPr>
      </w:pPr>
    </w:p>
    <w:p w14:paraId="67E32E68">
      <w:pPr>
        <w:jc w:val="center"/>
        <w:rPr>
          <w:rFonts w:hint="eastAsia" w:ascii="宋体" w:hAnsi="宋体" w:cs="宋体"/>
          <w:b/>
          <w:sz w:val="36"/>
          <w:szCs w:val="36"/>
        </w:rPr>
      </w:pPr>
      <w:r>
        <w:rPr>
          <w:rFonts w:hint="eastAsia" w:ascii="宋体" w:hAnsi="宋体" w:cs="宋体"/>
          <w:b/>
          <w:sz w:val="36"/>
          <w:szCs w:val="36"/>
        </w:rPr>
        <w:t>残疾人福利性单位声明函</w:t>
      </w:r>
    </w:p>
    <w:p w14:paraId="3652D493">
      <w:pPr>
        <w:spacing w:after="156"/>
        <w:rPr>
          <w:rFonts w:hint="eastAsia" w:ascii="宋体" w:hAnsi="宋体" w:cs="宋体"/>
          <w:bCs/>
        </w:rPr>
      </w:pPr>
    </w:p>
    <w:p w14:paraId="0E611DBC">
      <w:pPr>
        <w:spacing w:after="156"/>
        <w:rPr>
          <w:rFonts w:hint="eastAsia" w:ascii="宋体" w:hAnsi="宋体" w:cs="宋体"/>
          <w:b/>
          <w:bCs/>
        </w:rPr>
      </w:pPr>
      <w:r>
        <w:rPr>
          <w:rFonts w:hint="eastAsia" w:ascii="宋体" w:hAnsi="宋体" w:cs="宋体"/>
          <w:b/>
          <w:bCs/>
        </w:rPr>
        <w:t>致：</w:t>
      </w:r>
      <w:r>
        <w:rPr>
          <w:rFonts w:hint="eastAsia" w:ascii="宋体" w:hAnsi="宋体" w:cs="宋体"/>
          <w:b/>
          <w:bCs/>
          <w:color w:val="000000"/>
          <w:u w:val="single"/>
          <w:lang w:val="zh-CN"/>
        </w:rPr>
        <w:t>刚察县政府采购中心</w:t>
      </w:r>
    </w:p>
    <w:p w14:paraId="6BE68EB2">
      <w:pPr>
        <w:spacing w:line="360" w:lineRule="auto"/>
        <w:ind w:firstLine="480"/>
        <w:rPr>
          <w:rFonts w:hint="eastAsia" w:ascii="宋体" w:hAnsi="宋体" w:cs="宋体"/>
        </w:rPr>
      </w:pPr>
    </w:p>
    <w:p w14:paraId="0401328F">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39DBBA09">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5CDD3282">
      <w:pPr>
        <w:spacing w:line="360" w:lineRule="auto"/>
        <w:ind w:firstLine="480"/>
        <w:rPr>
          <w:rFonts w:hint="eastAsia" w:ascii="宋体" w:hAnsi="宋体" w:cs="宋体"/>
        </w:rPr>
      </w:pPr>
    </w:p>
    <w:p w14:paraId="77F1D84E">
      <w:pPr>
        <w:spacing w:line="360" w:lineRule="auto"/>
        <w:rPr>
          <w:rFonts w:hint="eastAsia" w:ascii="宋体" w:hAnsi="宋体" w:cs="宋体"/>
        </w:rPr>
      </w:pPr>
      <w:r>
        <w:rPr>
          <w:rFonts w:hint="eastAsia" w:ascii="宋体" w:hAnsi="宋体" w:cs="宋体"/>
        </w:rPr>
        <w:t>注：若无此项内容，可不提供此函。</w:t>
      </w:r>
    </w:p>
    <w:p w14:paraId="06E0D7CB">
      <w:pPr>
        <w:spacing w:line="360" w:lineRule="auto"/>
        <w:ind w:firstLine="480"/>
        <w:rPr>
          <w:rFonts w:hint="eastAsia" w:ascii="宋体" w:hAnsi="宋体" w:cs="宋体"/>
        </w:rPr>
      </w:pPr>
    </w:p>
    <w:p w14:paraId="6783E051">
      <w:pPr>
        <w:spacing w:line="360" w:lineRule="auto"/>
        <w:ind w:firstLine="480"/>
        <w:rPr>
          <w:rFonts w:hint="eastAsia" w:ascii="宋体" w:hAnsi="宋体" w:cs="宋体"/>
        </w:rPr>
      </w:pPr>
    </w:p>
    <w:p w14:paraId="41184226">
      <w:pPr>
        <w:spacing w:line="360" w:lineRule="auto"/>
        <w:ind w:firstLine="480"/>
        <w:rPr>
          <w:rFonts w:hint="eastAsia" w:ascii="宋体" w:hAnsi="宋体" w:cs="宋体"/>
        </w:rPr>
      </w:pPr>
    </w:p>
    <w:p w14:paraId="465D44C4">
      <w:pPr>
        <w:spacing w:line="360" w:lineRule="auto"/>
        <w:ind w:firstLine="480"/>
        <w:rPr>
          <w:rFonts w:hint="eastAsia" w:ascii="宋体" w:hAnsi="宋体" w:cs="宋体"/>
        </w:rPr>
      </w:pPr>
    </w:p>
    <w:p w14:paraId="44794451">
      <w:pPr>
        <w:spacing w:line="360" w:lineRule="auto"/>
        <w:ind w:firstLine="480"/>
        <w:rPr>
          <w:rFonts w:hint="eastAsia" w:ascii="宋体" w:hAnsi="宋体" w:cs="宋体"/>
        </w:rPr>
      </w:pPr>
    </w:p>
    <w:p w14:paraId="3C21598F">
      <w:pPr>
        <w:spacing w:line="360" w:lineRule="auto"/>
        <w:ind w:firstLine="480"/>
        <w:rPr>
          <w:rFonts w:hint="eastAsia" w:ascii="宋体" w:hAnsi="宋体" w:cs="宋体"/>
        </w:rPr>
      </w:pPr>
    </w:p>
    <w:p w14:paraId="0EDD4270">
      <w:pPr>
        <w:spacing w:line="360" w:lineRule="auto"/>
        <w:ind w:firstLine="480"/>
        <w:rPr>
          <w:rFonts w:hint="eastAsia" w:ascii="宋体" w:hAnsi="宋体" w:cs="宋体"/>
        </w:rPr>
      </w:pPr>
    </w:p>
    <w:p w14:paraId="7DA09FA7">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sz w:val="28"/>
          <w:szCs w:val="28"/>
          <w:u w:val="single"/>
        </w:rPr>
        <w:t xml:space="preserve">       </w:t>
      </w:r>
      <w:r>
        <w:rPr>
          <w:rFonts w:hint="eastAsia" w:ascii="宋体" w:hAnsi="宋体" w:cs="宋体"/>
          <w:b/>
        </w:rPr>
        <w:t>（公章）</w:t>
      </w:r>
    </w:p>
    <w:p w14:paraId="1F86B9BE">
      <w:pPr>
        <w:spacing w:line="360" w:lineRule="auto"/>
        <w:ind w:firstLine="482"/>
        <w:jc w:val="right"/>
        <w:rPr>
          <w:rFonts w:hint="eastAsia" w:ascii="宋体" w:hAnsi="宋体" w:cs="宋体"/>
          <w:b/>
        </w:rPr>
      </w:pPr>
      <w:r>
        <w:rPr>
          <w:rFonts w:hint="eastAsia" w:ascii="宋体" w:hAnsi="宋体" w:cs="宋体"/>
          <w:b/>
        </w:rPr>
        <w:t xml:space="preserve">                  </w:t>
      </w:r>
    </w:p>
    <w:p w14:paraId="7B20921A">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sz w:val="28"/>
          <w:szCs w:val="28"/>
          <w:u w:val="single"/>
        </w:rPr>
        <w:t xml:space="preserve">      </w:t>
      </w:r>
      <w:r>
        <w:rPr>
          <w:rFonts w:hint="eastAsia" w:ascii="宋体" w:hAnsi="宋体" w:cs="宋体"/>
          <w:b/>
        </w:rPr>
        <w:t>（签字或盖章）</w:t>
      </w:r>
    </w:p>
    <w:p w14:paraId="2406D43C">
      <w:pPr>
        <w:ind w:firstLine="482"/>
        <w:jc w:val="center"/>
        <w:rPr>
          <w:rFonts w:hint="eastAsia" w:ascii="宋体" w:hAnsi="宋体" w:cs="宋体"/>
          <w:b/>
        </w:rPr>
      </w:pPr>
      <w:r>
        <w:rPr>
          <w:rFonts w:hint="eastAsia" w:ascii="宋体" w:hAnsi="宋体" w:cs="宋体"/>
          <w:b/>
        </w:rPr>
        <w:t xml:space="preserve">                       年   月   日</w:t>
      </w:r>
    </w:p>
    <w:p w14:paraId="5A92DFFE">
      <w:pPr>
        <w:pStyle w:val="234"/>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clear="all"/>
      </w:r>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p>
    <w:p w14:paraId="73E7F0A9">
      <w:pPr>
        <w:spacing w:line="360" w:lineRule="auto"/>
        <w:rPr>
          <w:rFonts w:hint="eastAsia" w:ascii="宋体" w:hAnsi="宋体" w:cs="宋体"/>
          <w:color w:val="000000"/>
          <w:sz w:val="28"/>
          <w:szCs w:val="28"/>
          <w:lang w:val="zh-CN"/>
        </w:rPr>
      </w:pPr>
    </w:p>
    <w:p w14:paraId="15DCE63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投标人认为在其他方面有必要说明的事项</w:t>
      </w:r>
    </w:p>
    <w:p w14:paraId="11A4A3E4">
      <w:pPr>
        <w:spacing w:line="360" w:lineRule="auto"/>
        <w:rPr>
          <w:rFonts w:hint="eastAsia" w:ascii="宋体" w:hAnsi="宋体" w:cs="宋体"/>
          <w:color w:val="000000"/>
          <w:lang w:val="zh-CN"/>
        </w:rPr>
      </w:pPr>
      <w:r>
        <w:rPr>
          <w:rFonts w:hint="eastAsia" w:ascii="宋体" w:hAnsi="宋体" w:cs="宋体"/>
          <w:color w:val="000000"/>
          <w:lang w:val="zh-CN"/>
        </w:rPr>
        <w:t>格式自定</w:t>
      </w:r>
    </w:p>
    <w:p w14:paraId="619A730D">
      <w:pPr>
        <w:pStyle w:val="234"/>
        <w:numPr>
          <w:ilvl w:val="0"/>
          <w:numId w:val="11"/>
        </w:numPr>
        <w:spacing w:before="0" w:after="0" w:line="500" w:lineRule="exact"/>
        <w:rPr>
          <w:rFonts w:hint="eastAsia" w:ascii="宋体" w:hAnsi="宋体" w:cs="宋体"/>
          <w:color w:val="000000"/>
          <w:szCs w:val="36"/>
          <w:lang w:val="zh-CN"/>
        </w:rPr>
      </w:pPr>
      <w:r>
        <w:rPr>
          <w:rFonts w:hint="eastAsia" w:ascii="宋体" w:hAnsi="宋体" w:cs="宋体"/>
          <w:color w:val="000000"/>
          <w:lang w:val="zh-CN"/>
        </w:rPr>
        <w:br w:type="page" w:clear="all"/>
      </w:r>
      <w:r>
        <w:rPr>
          <w:rFonts w:hint="eastAsia" w:ascii="宋体" w:hAnsi="宋体" w:cs="宋体"/>
          <w:color w:val="000000"/>
          <w:szCs w:val="36"/>
          <w:lang w:val="zh-CN"/>
        </w:rPr>
        <w:t xml:space="preserve"> 采购项目要求及技术参数</w:t>
      </w:r>
    </w:p>
    <w:p w14:paraId="106754D3">
      <w:pPr>
        <w:pStyle w:val="234"/>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lang w:val="zh-CN"/>
        </w:rPr>
        <w:t>1.投标说明</w:t>
      </w:r>
    </w:p>
    <w:p w14:paraId="7A0FF3AB">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lang w:val="zh-CN"/>
        </w:rPr>
        <w:t>1.1</w:t>
      </w:r>
      <w:r>
        <w:rPr>
          <w:rFonts w:hint="eastAsia" w:ascii="宋体" w:hAnsi="宋体" w:cs="宋体"/>
          <w:color w:val="000000"/>
        </w:rPr>
        <w:t xml:space="preserve"> </w:t>
      </w:r>
      <w:r>
        <w:rPr>
          <w:rFonts w:hint="eastAsia" w:ascii="宋体" w:hAnsi="宋体" w:cs="宋体"/>
          <w:color w:val="000000"/>
          <w:lang w:val="zh-CN"/>
        </w:rPr>
        <w:t>投标人可以按照招标文件规定的包号选择投标，但必须对所投包号中的所有内容作为一个整体进行投标，不能拆分或少报。否则，投标无效。</w:t>
      </w:r>
    </w:p>
    <w:p w14:paraId="1787CDD9">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lang w:val="zh-CN"/>
        </w:rPr>
        <w:t>1.2</w:t>
      </w:r>
      <w:r>
        <w:rPr>
          <w:rFonts w:hint="eastAsia" w:ascii="宋体" w:hAnsi="宋体" w:cs="宋体"/>
          <w:color w:val="000000"/>
        </w:rPr>
        <w:t xml:space="preserve"> </w:t>
      </w:r>
      <w:r>
        <w:rPr>
          <w:rFonts w:hint="eastAsia" w:ascii="宋体" w:hAnsi="宋体" w:cs="宋体"/>
          <w:color w:val="00000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0D676519">
      <w:pPr>
        <w:numPr>
          <w:ilvl w:val="0"/>
          <w:numId w:val="11"/>
        </w:numPr>
        <w:spacing w:line="360" w:lineRule="auto"/>
        <w:ind w:firstLine="480"/>
        <w:rPr>
          <w:rFonts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 xml:space="preserve">3 </w:t>
      </w:r>
      <w:r>
        <w:rPr>
          <w:rFonts w:hint="eastAsia" w:ascii="宋体" w:hAnsi="宋体" w:cs="宋体"/>
          <w:color w:val="000000"/>
          <w:lang w:val="zh-CN"/>
        </w:rPr>
        <w:t>招标内容中未特别标注为“原装进口”字样的产品，投标人须投国产产品；标注为“原装进口”字样的产品，投标人可以投进口产品，但如果因信息不对称等原因，仍有满足采购需求的国内产品要求参与采购竞争的，可以投国产产品，并且按照公平竞争原则实施采购。</w:t>
      </w:r>
    </w:p>
    <w:p w14:paraId="25EC3CC8">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rPr>
        <w:t>1.4</w:t>
      </w:r>
      <w:r>
        <w:rPr>
          <w:rFonts w:ascii="宋体" w:hAnsi="宋体" w:cs="宋体"/>
          <w:color w:val="000000"/>
        </w:rPr>
        <w:t xml:space="preserve"> </w:t>
      </w:r>
      <w:r>
        <w:rPr>
          <w:rFonts w:hint="eastAsia" w:ascii="宋体" w:hAnsi="宋体"/>
        </w:rPr>
        <w:t>所投产品或其任何一部分不得侵犯专利权、著作权、商标权和工业设计权等知识产权。</w:t>
      </w:r>
    </w:p>
    <w:p w14:paraId="6DFE2425">
      <w:pPr>
        <w:numPr>
          <w:ilvl w:val="0"/>
          <w:numId w:val="11"/>
        </w:numPr>
        <w:spacing w:line="360" w:lineRule="auto"/>
        <w:ind w:firstLine="480"/>
        <w:rPr>
          <w:rFonts w:hint="eastAsia" w:ascii="宋体" w:hAnsi="宋体" w:cs="宋体"/>
          <w:color w:val="000000"/>
        </w:rPr>
      </w:pPr>
      <w:r>
        <w:rPr>
          <w:rFonts w:hint="eastAsia" w:ascii="宋体" w:hAnsi="宋体" w:cs="宋体"/>
          <w:color w:val="000000"/>
        </w:rPr>
        <w:t>1.</w:t>
      </w:r>
      <w:r>
        <w:rPr>
          <w:rFonts w:ascii="宋体" w:hAnsi="宋体" w:cs="宋体"/>
          <w:color w:val="000000"/>
        </w:rPr>
        <w:t>5</w:t>
      </w:r>
      <w:r>
        <w:rPr>
          <w:rFonts w:hint="eastAsia" w:ascii="宋体" w:hAnsi="宋体" w:cs="宋体"/>
          <w:color w:val="000000"/>
        </w:rPr>
        <w:t xml:space="preserve"> 项目中标后分包情况：</w:t>
      </w:r>
      <w:r>
        <w:rPr>
          <w:rFonts w:hint="eastAsia" w:ascii="宋体" w:hAnsi="宋体" w:cs="宋体"/>
          <w:color w:val="000000"/>
          <w:lang w:bidi="ar"/>
        </w:rPr>
        <w:t>不允许</w:t>
      </w:r>
      <w:r>
        <w:rPr>
          <w:rFonts w:hint="eastAsia" w:ascii="宋体" w:hAnsi="宋体" w:cs="宋体"/>
          <w:color w:val="000000"/>
        </w:rPr>
        <w:t>。</w:t>
      </w:r>
    </w:p>
    <w:p w14:paraId="3873653A">
      <w:pPr>
        <w:pStyle w:val="234"/>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rPr>
        <w:t>2.</w:t>
      </w:r>
      <w:r>
        <w:rPr>
          <w:rFonts w:hint="eastAsia" w:ascii="宋体" w:hAnsi="宋体" w:cs="宋体"/>
          <w:color w:val="000000"/>
          <w:sz w:val="28"/>
          <w:szCs w:val="28"/>
          <w:lang w:val="zh-CN"/>
        </w:rPr>
        <w:t>重要指标</w:t>
      </w:r>
    </w:p>
    <w:p w14:paraId="122549E2">
      <w:pPr>
        <w:spacing w:line="360" w:lineRule="auto"/>
        <w:ind w:left="480"/>
        <w:rPr>
          <w:rFonts w:hint="eastAsia" w:ascii="宋体" w:hAnsi="宋体" w:cs="宋体"/>
          <w:b/>
          <w:bCs/>
          <w:color w:val="000000"/>
          <w:lang w:val="zh-CN"/>
        </w:rPr>
      </w:pP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w:t>
      </w:r>
      <w:r>
        <w:rPr>
          <w:rFonts w:hint="eastAsia" w:ascii="宋体" w:hAnsi="宋体" w:cs="宋体"/>
          <w:b/>
          <w:bCs/>
          <w:color w:val="000000"/>
          <w:lang w:val="zh-CN"/>
        </w:rPr>
        <w:t>技术参数”中用第五部分</w:t>
      </w:r>
      <w:r>
        <w:rPr>
          <w:rFonts w:hint="eastAsia" w:ascii="宋体" w:hAnsi="宋体" w:cs="宋体"/>
          <w:b/>
          <w:bCs/>
          <w:color w:val="000000"/>
          <w:lang w:val="zh-CN" w:eastAsia="zh-CN"/>
        </w:rPr>
        <w:t>或打分项</w:t>
      </w:r>
      <w:r>
        <w:rPr>
          <w:rFonts w:hint="eastAsia" w:ascii="宋体" w:hAnsi="宋体" w:cs="宋体"/>
          <w:b/>
          <w:bCs/>
          <w:color w:val="000000"/>
          <w:lang w:val="zh-CN"/>
        </w:rPr>
        <w:t>说明的符号标注的属于重要技术参数、指标。</w:t>
      </w:r>
    </w:p>
    <w:p w14:paraId="2ABE8B44">
      <w:pPr>
        <w:spacing w:line="360" w:lineRule="auto"/>
        <w:ind w:left="480"/>
        <w:rPr>
          <w:rFonts w:hint="eastAsia"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招标文件中凡需与原有设备、系统并机、兼容、匹配等要求的，请主动和采购人联系，取得原有设备、系统相关资料。若有招标文件未提及或变更内容的，请及时与刚察县政府采购中心联系。</w:t>
      </w:r>
    </w:p>
    <w:p w14:paraId="2D0F83FA">
      <w:pPr>
        <w:spacing w:line="360" w:lineRule="auto"/>
        <w:ind w:left="48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w:t>
      </w:r>
      <w:r>
        <w:rPr>
          <w:rFonts w:hint="eastAsia" w:ascii="宋体" w:hAnsi="宋体" w:cs="宋体"/>
          <w:color w:val="00000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97C9BC2">
      <w:pPr>
        <w:pStyle w:val="13"/>
        <w:rPr>
          <w:rFonts w:hint="eastAsia" w:ascii="宋体" w:hAnsi="宋体" w:cs="宋体"/>
          <w:color w:val="000000"/>
        </w:rPr>
      </w:pPr>
    </w:p>
    <w:p w14:paraId="46D9300D">
      <w:pPr>
        <w:rPr>
          <w:rFonts w:hint="eastAsia" w:ascii="宋体" w:hAnsi="宋体" w:cs="宋体"/>
          <w:color w:val="000000"/>
        </w:rPr>
      </w:pPr>
    </w:p>
    <w:p w14:paraId="02C754E1">
      <w:pPr>
        <w:pStyle w:val="13"/>
        <w:sectPr>
          <w:headerReference r:id="rId3" w:type="default"/>
          <w:footerReference r:id="rId4" w:type="default"/>
          <w:footerReference r:id="rId5" w:type="even"/>
          <w:pgSz w:w="11906" w:h="16838" w:orient="landscape"/>
          <w:pgMar w:top="1440" w:right="1800" w:bottom="1440" w:left="1800" w:header="851" w:footer="992" w:gutter="0"/>
          <w:cols w:space="1701" w:num="1"/>
        </w:sectPr>
      </w:pPr>
    </w:p>
    <w:p w14:paraId="3D7CECF7">
      <w:pPr>
        <w:widowControl/>
        <w:ind w:firstLine="64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一、采购需求</w:t>
      </w:r>
      <w:r>
        <w:rPr>
          <w:rFonts w:hint="eastAsia" w:ascii="仿宋_GB2312" w:hAnsi="仿宋_GB2312" w:eastAsia="仿宋_GB2312" w:cs="仿宋_GB2312"/>
          <w:color w:val="000000"/>
          <w:sz w:val="32"/>
          <w:szCs w:val="32"/>
        </w:rPr>
        <w:t>（是指采购人为实现项目目标，拟采购的标的及其需要满足的所有技术、商务要求）</w:t>
      </w:r>
    </w:p>
    <w:tbl>
      <w:tblPr>
        <w:tblStyle w:val="30"/>
        <w:tblW w:w="5602"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3"/>
        <w:gridCol w:w="663"/>
        <w:gridCol w:w="6677"/>
        <w:gridCol w:w="423"/>
        <w:gridCol w:w="819"/>
      </w:tblGrid>
      <w:tr w14:paraId="56D2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trPr>
        <w:tc>
          <w:tcPr>
            <w:tcW w:w="509" w:type="pct"/>
            <w:shd w:val="clear" w:color="auto" w:fill="auto"/>
            <w:noWrap/>
            <w:vAlign w:val="center"/>
          </w:tcPr>
          <w:p w14:paraId="583632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46" w:type="pct"/>
            <w:shd w:val="clear" w:color="auto" w:fill="auto"/>
            <w:noWrap/>
            <w:vAlign w:val="center"/>
          </w:tcPr>
          <w:p w14:paraId="1D1A0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设备软件名称</w:t>
            </w:r>
          </w:p>
        </w:tc>
        <w:tc>
          <w:tcPr>
            <w:tcW w:w="3493" w:type="pct"/>
            <w:shd w:val="clear" w:color="auto" w:fill="auto"/>
            <w:noWrap/>
            <w:vAlign w:val="center"/>
          </w:tcPr>
          <w:p w14:paraId="43542E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主要性能指标</w:t>
            </w:r>
          </w:p>
        </w:tc>
        <w:tc>
          <w:tcPr>
            <w:tcW w:w="221" w:type="pct"/>
            <w:shd w:val="clear" w:color="auto" w:fill="auto"/>
            <w:noWrap/>
            <w:vAlign w:val="center"/>
          </w:tcPr>
          <w:p w14:paraId="13FA6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28" w:type="pct"/>
            <w:shd w:val="clear" w:color="auto" w:fill="auto"/>
            <w:noWrap/>
            <w:vAlign w:val="center"/>
          </w:tcPr>
          <w:p w14:paraId="26894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3725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shd w:val="clear" w:color="auto" w:fill="auto"/>
            <w:noWrap/>
            <w:vAlign w:val="center"/>
          </w:tcPr>
          <w:p w14:paraId="1017C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入区登记大厅（1间）</w:t>
            </w:r>
          </w:p>
        </w:tc>
      </w:tr>
      <w:tr w14:paraId="567F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0BD2D7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 w:type="pct"/>
            <w:shd w:val="clear" w:color="auto" w:fill="auto"/>
            <w:noWrap/>
            <w:vAlign w:val="center"/>
          </w:tcPr>
          <w:p w14:paraId="3D9DECD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全景</w:t>
            </w:r>
          </w:p>
          <w:p w14:paraId="084BC6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3493" w:type="pct"/>
            <w:shd w:val="clear" w:color="auto" w:fill="auto"/>
            <w:vAlign w:val="center"/>
          </w:tcPr>
          <w:p w14:paraId="35C640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3EE945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2BDED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FEF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403A14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 w:type="pct"/>
            <w:shd w:val="clear" w:color="auto" w:fill="auto"/>
            <w:noWrap/>
            <w:vAlign w:val="center"/>
          </w:tcPr>
          <w:p w14:paraId="40C870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6A2361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125621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6109B2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7113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3A6966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6" w:type="pct"/>
            <w:shd w:val="clear" w:color="auto" w:fill="auto"/>
            <w:noWrap/>
            <w:vAlign w:val="center"/>
          </w:tcPr>
          <w:p w14:paraId="0A66C2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自动登记终端</w:t>
            </w:r>
          </w:p>
        </w:tc>
        <w:tc>
          <w:tcPr>
            <w:tcW w:w="3493" w:type="pct"/>
            <w:shd w:val="clear" w:color="auto" w:fill="auto"/>
            <w:vAlign w:val="center"/>
          </w:tcPr>
          <w:p w14:paraId="3908EC0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功能：1.二代身份证：支持二代身份证识别，读取身份证信息；2.人脸识别：支持双目活体人脸识别、人证比对；3.网络通信：支持双网口，支持局域网和互联网通信；4.触屏操作：支持触屏操作办理业务；5.文件打印：A4激光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硬件规格：触摸显示屏；尺寸：≥20寸；分辨率：≥1080P，16:9；面板类型：TFT、LED背光；亮度/对比度：≥250 cd/m²/ 3000:1（透射）；可视角度(H/V)：≥178/178°；反应时间：&lt;16ms；透光率：&gt;88%；身份识别系统：安全认证：内置公安部认证的二代证读卡器安全模块；读卡距离：至少0-5cm；读卡速度：读卡速度≤1.5秒；感应角度：卡片与感应区平面最大张角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主机；处理器：高性能处理器≥4核；内存：≥8G DDR4 2400MHz；存储容量：≥128G SSD；操作系统：正版操作系统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其他：电源：AC220V±10%，50HZ；接口：双网口、USB、音频口；语音：支持远程语音、功放；工作温度与湿度：0℃—50℃/&lt;80%功耗：&lt;150W；连续工作时间：支持7×24小时</w:t>
            </w:r>
          </w:p>
        </w:tc>
        <w:tc>
          <w:tcPr>
            <w:tcW w:w="221" w:type="pct"/>
            <w:shd w:val="clear" w:color="auto" w:fill="auto"/>
            <w:noWrap/>
            <w:vAlign w:val="center"/>
          </w:tcPr>
          <w:p w14:paraId="042E40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60B0D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8E2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19295B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6" w:type="pct"/>
            <w:shd w:val="clear" w:color="auto" w:fill="auto"/>
            <w:noWrap/>
            <w:vAlign w:val="center"/>
          </w:tcPr>
          <w:p w14:paraId="0B718E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执法流程管控终端</w:t>
            </w:r>
          </w:p>
        </w:tc>
        <w:tc>
          <w:tcPr>
            <w:tcW w:w="3493" w:type="pct"/>
            <w:shd w:val="clear" w:color="auto" w:fill="auto"/>
            <w:vAlign w:val="center"/>
          </w:tcPr>
          <w:p w14:paraId="16D92B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功能：1.信息展示：支持显示当前在区涉案人数，当前讯问室个数及正在使用的讯问室个数；2.入区登记：支持预约入区签到；支持临出区回区登记；支持入区登记；支持选择入区原因、人员类型、案件信息、警情信息、案由等；支持刷脸识别、警号获取或手动输入主办和协办民警信息；支持民警发卡；支持主办民警和管理员签字；3.出区登记：支持展示在区涉案人员列表，包括头像、姓名、性别、证件类型、证件号码、入区时间；支持对在区涉案人员进行最终出区操作和临时出区操作；支持选择出区原由；支持查看涉案人员办案流程情况；支持查看涉案人员出区审批情况，未审批无法出区；支持出区管理员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规格：显示屏：≥15英寸电容触摸屏；分辨率：≥1920*1080；操作方式：触摸屏操作+实体按键；摄像头：≥200万双目超清摄像头；音频输入：双mic，支持≥2米拾音距离；音频输出：≥3W喇叭；用户数量：≥20000个；人脸识别：容量≥20000张，识别距离至少满足0.3-2m，支持真人检测；指纹识别：电容式指纹，容量≥5000枚；人证核验：内置身份证阅读器，支持人证核验功能；供电方式：DC 12V或标准POE；防水等级：≥IP65；工作温度：-10℃—50℃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含终端桌面安装支架及终端电源。</w:t>
            </w:r>
          </w:p>
        </w:tc>
        <w:tc>
          <w:tcPr>
            <w:tcW w:w="221" w:type="pct"/>
            <w:shd w:val="clear" w:color="auto" w:fill="auto"/>
            <w:noWrap/>
            <w:vAlign w:val="center"/>
          </w:tcPr>
          <w:p w14:paraId="0700A9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7B0C7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00B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1B0A2F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6" w:type="pct"/>
            <w:shd w:val="clear" w:color="auto" w:fill="auto"/>
            <w:noWrap/>
            <w:vAlign w:val="center"/>
          </w:tcPr>
          <w:p w14:paraId="6FBF27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6353E8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57E72E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7B99B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540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7D537F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6" w:type="pct"/>
            <w:shd w:val="clear" w:color="auto" w:fill="auto"/>
            <w:noWrap/>
            <w:vAlign w:val="center"/>
          </w:tcPr>
          <w:p w14:paraId="04278F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center"/>
          </w:tcPr>
          <w:p w14:paraId="4AFC95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0735A6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EBDAF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EC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9" w:type="pct"/>
            <w:shd w:val="clear" w:color="auto" w:fill="auto"/>
            <w:noWrap/>
            <w:vAlign w:val="center"/>
          </w:tcPr>
          <w:p w14:paraId="169B9C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6" w:type="pct"/>
            <w:shd w:val="clear" w:color="auto" w:fill="auto"/>
            <w:noWrap/>
            <w:vAlign w:val="center"/>
          </w:tcPr>
          <w:p w14:paraId="7F4DCE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54E31C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4E487D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58F53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B1F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255678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6" w:type="pct"/>
            <w:shd w:val="clear" w:color="auto" w:fill="auto"/>
            <w:noWrap/>
            <w:vAlign w:val="center"/>
          </w:tcPr>
          <w:p w14:paraId="75BEC6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案件登记台</w:t>
            </w:r>
          </w:p>
        </w:tc>
        <w:tc>
          <w:tcPr>
            <w:tcW w:w="3493" w:type="pct"/>
            <w:shd w:val="clear" w:color="auto" w:fill="auto"/>
            <w:vAlign w:val="center"/>
          </w:tcPr>
          <w:p w14:paraId="585A19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 1、基材：精选高密度板，板材厚度不小于 2.5cm，厚度升级承重有力，桌子更加平稳，木纹纹理清晰，经防潮、防虫、防腐处理，抗弯力强，不易变形。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2、产品经过新工艺多层覆合，无异味、0 甲醛，通过各项检测，更环保；油漆：四道底漆，三道面漆，底漆采用环保油漆，面漆采用环保聚酯漆，色泽均匀、光滑耐用可长期保持表面效果。</w:t>
            </w:r>
          </w:p>
        </w:tc>
        <w:tc>
          <w:tcPr>
            <w:tcW w:w="221" w:type="pct"/>
            <w:shd w:val="clear" w:color="auto" w:fill="auto"/>
            <w:noWrap/>
            <w:vAlign w:val="center"/>
          </w:tcPr>
          <w:p w14:paraId="1ED351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8" w:type="pct"/>
            <w:shd w:val="clear" w:color="auto" w:fill="auto"/>
            <w:noWrap/>
            <w:vAlign w:val="center"/>
          </w:tcPr>
          <w:p w14:paraId="64C56A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862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09" w:type="pct"/>
            <w:shd w:val="clear" w:color="auto" w:fill="auto"/>
            <w:noWrap/>
            <w:vAlign w:val="center"/>
          </w:tcPr>
          <w:p w14:paraId="29B900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6" w:type="pct"/>
            <w:shd w:val="clear" w:color="auto" w:fill="auto"/>
            <w:noWrap/>
            <w:vAlign w:val="center"/>
          </w:tcPr>
          <w:p w14:paraId="0335EC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民警登记坐具</w:t>
            </w:r>
          </w:p>
        </w:tc>
        <w:tc>
          <w:tcPr>
            <w:tcW w:w="3493" w:type="pct"/>
            <w:shd w:val="clear" w:color="auto" w:fill="auto"/>
            <w:vAlign w:val="center"/>
          </w:tcPr>
          <w:p w14:paraId="537BF5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 密度高弹力 海绵，软硬适中、表面有一层保护面,可防氧化,防碎，永不变形。实木扶手，实木油漆。</w:t>
            </w:r>
          </w:p>
        </w:tc>
        <w:tc>
          <w:tcPr>
            <w:tcW w:w="221" w:type="pct"/>
            <w:shd w:val="clear" w:color="auto" w:fill="auto"/>
            <w:noWrap/>
            <w:vAlign w:val="center"/>
          </w:tcPr>
          <w:p w14:paraId="7EC857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290A1D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883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4" w:hRule="atLeast"/>
        </w:trPr>
        <w:tc>
          <w:tcPr>
            <w:tcW w:w="509" w:type="pct"/>
            <w:shd w:val="clear" w:color="auto" w:fill="auto"/>
            <w:noWrap/>
            <w:vAlign w:val="center"/>
          </w:tcPr>
          <w:p w14:paraId="57E464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46" w:type="pct"/>
            <w:shd w:val="clear" w:color="auto" w:fill="auto"/>
            <w:noWrap/>
            <w:vAlign w:val="center"/>
          </w:tcPr>
          <w:p w14:paraId="72CE01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入区登记显示屏</w:t>
            </w:r>
          </w:p>
        </w:tc>
        <w:tc>
          <w:tcPr>
            <w:tcW w:w="3493" w:type="pct"/>
            <w:shd w:val="clear" w:color="auto" w:fill="auto"/>
            <w:vAlign w:val="center"/>
          </w:tcPr>
          <w:p w14:paraId="09B652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显示尺寸：≥55 inch LED背光源；背光源类型：DLED；物理分辨率：≥3840 × 2160 @60 Hz；亮度：≥350 cd/m²；色深度：≥8 bit+FRC；对比度：≥4500：1（Typ.）；响应时间：≤6.5 ms；色域：≥90% NTSC（CIE1931）（Typ.）；刷新率：≥60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可视角：≥178°(H)/178°(V)。</w:t>
            </w:r>
          </w:p>
        </w:tc>
        <w:tc>
          <w:tcPr>
            <w:tcW w:w="221" w:type="pct"/>
            <w:shd w:val="clear" w:color="auto" w:fill="auto"/>
            <w:noWrap/>
            <w:vAlign w:val="center"/>
          </w:tcPr>
          <w:p w14:paraId="76B6C5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81647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CA3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7" w:hRule="atLeast"/>
        </w:trPr>
        <w:tc>
          <w:tcPr>
            <w:tcW w:w="509" w:type="pct"/>
            <w:shd w:val="clear" w:color="auto" w:fill="auto"/>
            <w:noWrap/>
            <w:vAlign w:val="center"/>
          </w:tcPr>
          <w:p w14:paraId="504BD5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46" w:type="pct"/>
            <w:shd w:val="clear" w:color="auto" w:fill="auto"/>
            <w:noWrap/>
            <w:vAlign w:val="center"/>
          </w:tcPr>
          <w:p w14:paraId="6BBE9D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等候坐具</w:t>
            </w:r>
          </w:p>
        </w:tc>
        <w:tc>
          <w:tcPr>
            <w:tcW w:w="3493" w:type="pct"/>
            <w:shd w:val="clear" w:color="auto" w:fill="auto"/>
            <w:vAlign w:val="center"/>
          </w:tcPr>
          <w:p w14:paraId="5C6315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定制，采用铝合金材料铸成形后直接抛光，喷涂空调户外漆粉，采用进口冷扎钢板，除锈处理后静电喷粉，采用优质海绵,真皮或西皮饰面，横梁钢管，喷涂空调户外漆粉，能承受风吹、雨淋和日照的考验。</w:t>
            </w:r>
          </w:p>
        </w:tc>
        <w:tc>
          <w:tcPr>
            <w:tcW w:w="221" w:type="pct"/>
            <w:shd w:val="clear" w:color="auto" w:fill="auto"/>
            <w:noWrap/>
            <w:vAlign w:val="center"/>
          </w:tcPr>
          <w:p w14:paraId="52ED42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8" w:type="pct"/>
            <w:shd w:val="clear" w:color="auto" w:fill="auto"/>
            <w:noWrap/>
            <w:vAlign w:val="center"/>
          </w:tcPr>
          <w:p w14:paraId="790F29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B12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trPr>
        <w:tc>
          <w:tcPr>
            <w:tcW w:w="509" w:type="pct"/>
            <w:shd w:val="clear" w:color="auto" w:fill="auto"/>
            <w:noWrap/>
            <w:vAlign w:val="center"/>
          </w:tcPr>
          <w:p w14:paraId="60BEA6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46" w:type="pct"/>
            <w:shd w:val="clear" w:color="auto" w:fill="auto"/>
            <w:noWrap/>
            <w:vAlign w:val="center"/>
          </w:tcPr>
          <w:p w14:paraId="3AE38A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嫌疑人号服</w:t>
            </w:r>
          </w:p>
        </w:tc>
        <w:tc>
          <w:tcPr>
            <w:tcW w:w="3493" w:type="pct"/>
            <w:shd w:val="clear" w:color="auto" w:fill="auto"/>
            <w:vAlign w:val="center"/>
          </w:tcPr>
          <w:p w14:paraId="5B7B8D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材质采用合成纤维，舒适，耐用，采用标准规格尺寸，印有数字或标识，作为在押人员的身份代码，方便监控和管理。</w:t>
            </w:r>
          </w:p>
        </w:tc>
        <w:tc>
          <w:tcPr>
            <w:tcW w:w="221" w:type="pct"/>
            <w:shd w:val="clear" w:color="auto" w:fill="auto"/>
            <w:noWrap/>
            <w:vAlign w:val="center"/>
          </w:tcPr>
          <w:p w14:paraId="1F749A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4AE9A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r>
      <w:tr w14:paraId="485C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2" w:hRule="atLeast"/>
        </w:trPr>
        <w:tc>
          <w:tcPr>
            <w:tcW w:w="509" w:type="pct"/>
            <w:shd w:val="clear" w:color="auto" w:fill="auto"/>
            <w:noWrap/>
            <w:vAlign w:val="center"/>
          </w:tcPr>
          <w:p w14:paraId="4D8D8B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46" w:type="pct"/>
            <w:shd w:val="clear" w:color="auto" w:fill="auto"/>
            <w:noWrap/>
            <w:vAlign w:val="center"/>
          </w:tcPr>
          <w:p w14:paraId="1366DA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物品储物柜</w:t>
            </w:r>
          </w:p>
        </w:tc>
        <w:tc>
          <w:tcPr>
            <w:tcW w:w="3493" w:type="pct"/>
            <w:shd w:val="clear" w:color="auto" w:fill="auto"/>
            <w:vAlign w:val="center"/>
          </w:tcPr>
          <w:p w14:paraId="2DFA653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铁皮储物柜具有、防火、防腐且耐磨、其表面粉末无毒、无味、色泽鲜艳。铁皮储物柜规格尺寸是：900×420×1850毫米，误差±5%，采用冷轧钢板生产制作，耐用款板材至少满足1.0~1.2毫米厚</w:t>
            </w:r>
          </w:p>
        </w:tc>
        <w:tc>
          <w:tcPr>
            <w:tcW w:w="221" w:type="pct"/>
            <w:shd w:val="clear" w:color="auto" w:fill="auto"/>
            <w:noWrap/>
            <w:vAlign w:val="center"/>
          </w:tcPr>
          <w:p w14:paraId="1FCC38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E8631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A53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E8674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4490" w:type="pct"/>
            <w:gridSpan w:val="4"/>
            <w:shd w:val="clear" w:color="auto" w:fill="auto"/>
            <w:noWrap/>
            <w:vAlign w:val="center"/>
          </w:tcPr>
          <w:p w14:paraId="2C8AE9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人身检查/随身物品保管/信息采集室（1间）</w:t>
            </w:r>
          </w:p>
        </w:tc>
      </w:tr>
      <w:tr w14:paraId="7382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2DB1B1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6" w:type="pct"/>
            <w:shd w:val="clear" w:color="auto" w:fill="auto"/>
            <w:noWrap/>
            <w:vAlign w:val="center"/>
          </w:tcPr>
          <w:p w14:paraId="3D6122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36BE9F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1812B8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E1714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BFC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7DEF3D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6" w:type="pct"/>
            <w:shd w:val="clear" w:color="auto" w:fill="auto"/>
            <w:noWrap/>
            <w:vAlign w:val="center"/>
          </w:tcPr>
          <w:p w14:paraId="7A51D8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0734B6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45C583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17ED6D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6826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33B08D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6" w:type="pct"/>
            <w:shd w:val="clear" w:color="auto" w:fill="auto"/>
            <w:noWrap/>
            <w:vAlign w:val="center"/>
          </w:tcPr>
          <w:p w14:paraId="313E1E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伤痕抓拍摄像机（固定式）</w:t>
            </w:r>
          </w:p>
        </w:tc>
        <w:tc>
          <w:tcPr>
            <w:tcW w:w="3493" w:type="pct"/>
            <w:shd w:val="clear" w:color="auto" w:fill="auto"/>
            <w:vAlign w:val="center"/>
          </w:tcPr>
          <w:p w14:paraId="03C9C3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半球摄像机，具有≥400万像素CMOS传感器，内置电动云台和一体化变焦镜头，在大场景监控下可手动选择人脸抓拍目标；2.设备内置GPU芯片，支持≥23倍光学变倍，≥16倍数字变倍，支持最低照度可达彩色≤0.0003Lux；3.支持水平手控速度不小于400°/S，云台定位精度为±0.1°，水平旋转范围为0°~360°，垂直旋转范围为-5°~90°；4.支持≥300个预置位，支持30条巡航路径，支持≥7条以上的模式路径设置，支持预置位视频冻结功能；5.支持单场景同时检出不少于30张人脸图片，并支持面部跟踪；6.支持检出两眼瞳距20像素点以上的人脸图片，人脸检出率不小于99%；7.支持检测水平转动角度不大于90°、垂直俯仰角度不大于60°、垂直倾斜角度不大于45°的人脸；8.支持离岗检测，可通过浏览器在监视画面中设置≥1个检测区域，当检测区域中人员离岗可触发报警，离岗时间可设；支持人数异常检验，可通过浏览器在监视画面中设置≥1个检测区域，当检测区域中告警人数达到设置的阈值且满足按照报警模式设置的条件时，可触发报警；支持区域关注度功能，可通过设置区域类型为区域人员数量/人员停留时长，关注区域可自定义名称和报警间隔时长；9.具备较好的环境适应性，支持IP67，当温度在-40~70℃范围内变化时，设备可正常工作。</w:t>
            </w:r>
          </w:p>
        </w:tc>
        <w:tc>
          <w:tcPr>
            <w:tcW w:w="221" w:type="pct"/>
            <w:shd w:val="clear" w:color="auto" w:fill="auto"/>
            <w:noWrap/>
            <w:vAlign w:val="center"/>
          </w:tcPr>
          <w:p w14:paraId="4004B2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1EF0B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29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09" w:type="pct"/>
            <w:shd w:val="clear" w:color="auto" w:fill="auto"/>
            <w:noWrap/>
            <w:vAlign w:val="center"/>
          </w:tcPr>
          <w:p w14:paraId="19BC9D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6" w:type="pct"/>
            <w:shd w:val="clear" w:color="auto" w:fill="auto"/>
            <w:noWrap/>
            <w:vAlign w:val="center"/>
          </w:tcPr>
          <w:p w14:paraId="229514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人身检查终端（手持式）</w:t>
            </w:r>
          </w:p>
        </w:tc>
        <w:tc>
          <w:tcPr>
            <w:tcW w:w="3493" w:type="pct"/>
            <w:shd w:val="clear" w:color="auto" w:fill="auto"/>
            <w:vAlign w:val="center"/>
          </w:tcPr>
          <w:p w14:paraId="29113F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306"/>
                <w:rFonts w:hint="eastAsia" w:ascii="宋体" w:hAnsi="宋体" w:eastAsia="宋体" w:cs="宋体"/>
                <w:lang w:val="en-US" w:eastAsia="zh-CN" w:bidi="ar"/>
              </w:rPr>
              <w:t>支持部署安装人身安全检查相关应用。1.≥8核≥1.8GHZ主频；2.≥10英寸显示屏，IPS LTPS ≥1920x1200；3.专业扫码头，可识别多种码制的条码，算法鲁棒性强，可有效应对条码脏污、缺损、低对比度等情形，采用暖白补光；4.前置≥500万像素相机，后置≥1300万像素相机；5.≥8800mAh大容量电池，续航更持久；6.支持标准HDMI输出接口；7.防护等级：≥IP68；8.供电方式：电池供电；9.工作湿度：5%-95%；10.工作温度：-15 ~ 55</w:t>
            </w:r>
            <w:r>
              <w:rPr>
                <w:rFonts w:hint="eastAsia" w:ascii="宋体" w:hAnsi="宋体" w:eastAsia="宋体" w:cs="宋体"/>
                <w:i w:val="0"/>
                <w:iCs w:val="0"/>
                <w:color w:val="000000"/>
                <w:kern w:val="0"/>
                <w:sz w:val="22"/>
                <w:szCs w:val="22"/>
                <w:u w:val="none"/>
                <w:lang w:val="en-US" w:eastAsia="zh-CN" w:bidi="ar"/>
              </w:rPr>
              <w:t>⁰</w:t>
            </w:r>
            <w:r>
              <w:rPr>
                <w:rStyle w:val="306"/>
                <w:rFonts w:hint="eastAsia" w:ascii="宋体" w:hAnsi="宋体" w:eastAsia="宋体" w:cs="宋体"/>
                <w:lang w:val="en-US" w:eastAsia="zh-CN" w:bidi="ar"/>
              </w:rPr>
              <w:t>C；11.指示灯：充电指示灯；</w:t>
            </w:r>
          </w:p>
        </w:tc>
        <w:tc>
          <w:tcPr>
            <w:tcW w:w="221" w:type="pct"/>
            <w:shd w:val="clear" w:color="auto" w:fill="auto"/>
            <w:noWrap/>
            <w:vAlign w:val="center"/>
          </w:tcPr>
          <w:p w14:paraId="08C722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8582F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E41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30F8A9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6" w:type="pct"/>
            <w:shd w:val="clear" w:color="auto" w:fill="auto"/>
            <w:noWrap/>
            <w:vAlign w:val="center"/>
          </w:tcPr>
          <w:p w14:paraId="2FB337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安检门</w:t>
            </w:r>
          </w:p>
        </w:tc>
        <w:tc>
          <w:tcPr>
            <w:tcW w:w="3493" w:type="pct"/>
            <w:shd w:val="clear" w:color="auto" w:fill="auto"/>
            <w:vAlign w:val="center"/>
          </w:tcPr>
          <w:p w14:paraId="69A120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探测精度：最高灵敏度正中间可检测到1个硬币大小的金属；不会漏报和串报；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区位显示：支持1/6防区；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频率设置：多种频率可调，降低多台门并行使用的干扰；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灵敏度调节：灵敏度可以根据需要调整，共有 255 级灵敏度；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统计人数：双侧对射红外可以准确检测到通过人数和报警人数；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面板显示：数码管显示；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安全保护：符合国际安全标准，对心脏起博器佩带者、孕妇、磁性介质等无害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电气参数：电源输入DC15 V, 4 A，功率＜10W ，防护等级≥IP41，工作温度和湿度-20℃─45℃，≤95%，无冷凝。</w:t>
            </w:r>
          </w:p>
        </w:tc>
        <w:tc>
          <w:tcPr>
            <w:tcW w:w="221" w:type="pct"/>
            <w:shd w:val="clear" w:color="auto" w:fill="auto"/>
            <w:noWrap/>
            <w:vAlign w:val="center"/>
          </w:tcPr>
          <w:p w14:paraId="0398F6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3360A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FC7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06F2A5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6" w:type="pct"/>
            <w:shd w:val="clear" w:color="auto" w:fill="auto"/>
            <w:noWrap/>
            <w:vAlign w:val="center"/>
          </w:tcPr>
          <w:p w14:paraId="5E49C0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手持金属探测器</w:t>
            </w:r>
          </w:p>
        </w:tc>
        <w:tc>
          <w:tcPr>
            <w:tcW w:w="3493" w:type="pct"/>
            <w:shd w:val="clear" w:color="auto" w:fill="auto"/>
            <w:vAlign w:val="center"/>
          </w:tcPr>
          <w:p w14:paraId="3F38DD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1.灵敏度高，能探测一枚大头针大小金属物品；2.探测面大、从上到下一次探测完毕、大大的提高工作效率；3.具有三个指示灯显示，开机时绿色灯亮，探测时红色指示灯亮，电压降低时 黄色指示灯亮；4.有声光和振动报警双重提示方式,准确快速判断金属位置；5.具有高低灵敏度调节按钮，根据实际需求调节探测灵敏度。</w:t>
            </w:r>
          </w:p>
        </w:tc>
        <w:tc>
          <w:tcPr>
            <w:tcW w:w="221" w:type="pct"/>
            <w:shd w:val="clear" w:color="auto" w:fill="auto"/>
            <w:noWrap/>
            <w:vAlign w:val="center"/>
          </w:tcPr>
          <w:p w14:paraId="3BCFAA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88F7D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37C1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0BDAD0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6" w:type="pct"/>
            <w:shd w:val="clear" w:color="auto" w:fill="auto"/>
            <w:noWrap/>
            <w:vAlign w:val="center"/>
          </w:tcPr>
          <w:p w14:paraId="3C68AC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高拍仪</w:t>
            </w:r>
          </w:p>
        </w:tc>
        <w:tc>
          <w:tcPr>
            <w:tcW w:w="3493" w:type="pct"/>
            <w:shd w:val="clear" w:color="auto" w:fill="auto"/>
            <w:vAlign w:val="center"/>
          </w:tcPr>
          <w:p w14:paraId="62DB80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shd w:val="clear" w:color="auto" w:fill="auto"/>
            <w:noWrap/>
            <w:vAlign w:val="center"/>
          </w:tcPr>
          <w:p w14:paraId="41DEEA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5F116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85F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26EBD3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6" w:type="pct"/>
            <w:shd w:val="clear" w:color="auto" w:fill="auto"/>
            <w:noWrap/>
            <w:vAlign w:val="center"/>
          </w:tcPr>
          <w:p w14:paraId="006DB2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center"/>
          </w:tcPr>
          <w:p w14:paraId="0444E4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473EF2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51788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533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3EB552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6" w:type="pct"/>
            <w:shd w:val="clear" w:color="auto" w:fill="auto"/>
            <w:noWrap/>
            <w:vAlign w:val="center"/>
          </w:tcPr>
          <w:p w14:paraId="6048C5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人脸物品寄存柜（主柜）</w:t>
            </w:r>
          </w:p>
        </w:tc>
        <w:tc>
          <w:tcPr>
            <w:tcW w:w="3493" w:type="pct"/>
            <w:shd w:val="clear" w:color="auto" w:fill="auto"/>
            <w:vAlign w:val="center"/>
          </w:tcPr>
          <w:p w14:paraId="2440CA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双面人脸物品寄存主柜，≥12格口：模    式：寄存柜主机，宽边；材质：≥1.0mm冷轧板；以太网卡端口：≥1×1000Mb自适应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配置：自主设计线性稳压电源，稳压性能好，输出纹波小，尺寸：高1900mm*宽880mm*深430mm，误差±5%。箱门尺寸：高280.8mm*宽310mm*深430mm，误差±5%；工控机：≥4核，≥2GHz，芯片组：单芯片组，内置GPU处理器；显示屏： ≥7英寸LCD触摸显示屏，屏幕比例9:16，屏幕分辨率≥600*1024，采用宽动态≥200万双目摄像头，支持人脸、刷卡、CPU卡序列号、身份证卡序列号）、密码等认证方式，采用深度学习算法，支持照片、视频防假；1:N人脸识别速度≤0.2s，人脸验证准确率≥99%，本地支持 ≥6000 人脸库、≥6000 张卡，≥5 万条事件记录。</w:t>
            </w:r>
          </w:p>
        </w:tc>
        <w:tc>
          <w:tcPr>
            <w:tcW w:w="221" w:type="pct"/>
            <w:shd w:val="clear" w:color="auto" w:fill="auto"/>
            <w:noWrap/>
            <w:vAlign w:val="center"/>
          </w:tcPr>
          <w:p w14:paraId="0F11AAF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859E0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04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394F50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346" w:type="pct"/>
            <w:shd w:val="clear" w:color="auto" w:fill="auto"/>
            <w:noWrap/>
            <w:vAlign w:val="center"/>
          </w:tcPr>
          <w:p w14:paraId="7A80EA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人脸物品寄存柜（副柜）</w:t>
            </w:r>
          </w:p>
        </w:tc>
        <w:tc>
          <w:tcPr>
            <w:tcW w:w="3493" w:type="pct"/>
            <w:shd w:val="clear" w:color="auto" w:fill="auto"/>
            <w:vAlign w:val="center"/>
          </w:tcPr>
          <w:p w14:paraId="4E6110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双面人脸物品寄存副柜，≥12格口。模    式：寄存柜主机，宽边；材质：≥1.0mm冷轧板；配置：供电（12V/19V兼容）支持JAHC功能。电磁锁：使用电压12V 、电流2A、响应时间小于8ms，尺寸：高1900mm*宽760mm*深430mm，±5%，箱门尺寸：高280.8mm*宽310mm*深430mm，误差±5%。</w:t>
            </w:r>
          </w:p>
        </w:tc>
        <w:tc>
          <w:tcPr>
            <w:tcW w:w="221" w:type="pct"/>
            <w:shd w:val="clear" w:color="auto" w:fill="auto"/>
            <w:noWrap/>
            <w:vAlign w:val="center"/>
          </w:tcPr>
          <w:p w14:paraId="19833E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D8CAC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15B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2B8A2F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46" w:type="pct"/>
            <w:shd w:val="clear" w:color="auto" w:fill="auto"/>
            <w:noWrap/>
            <w:vAlign w:val="center"/>
          </w:tcPr>
          <w:p w14:paraId="7444DE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14471A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5D3B9E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5EFDE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451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737947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346" w:type="pct"/>
            <w:shd w:val="clear" w:color="auto" w:fill="auto"/>
            <w:noWrap/>
            <w:vAlign w:val="center"/>
          </w:tcPr>
          <w:p w14:paraId="035EB4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614EA8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39758A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6EBF3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86E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0" w:hRule="atLeast"/>
        </w:trPr>
        <w:tc>
          <w:tcPr>
            <w:tcW w:w="509" w:type="pct"/>
            <w:shd w:val="clear" w:color="auto" w:fill="auto"/>
            <w:noWrap/>
            <w:vAlign w:val="center"/>
          </w:tcPr>
          <w:p w14:paraId="72A02D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46" w:type="pct"/>
            <w:shd w:val="clear" w:color="auto" w:fill="auto"/>
            <w:noWrap/>
            <w:vAlign w:val="center"/>
          </w:tcPr>
          <w:p w14:paraId="016BAAD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w:t>
            </w:r>
          </w:p>
          <w:p w14:paraId="6C38C36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w:t>
            </w:r>
          </w:p>
          <w:p w14:paraId="3FA1073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p w14:paraId="672730A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w:t>
            </w:r>
          </w:p>
          <w:p w14:paraId="06F9CA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w:t>
            </w:r>
          </w:p>
        </w:tc>
        <w:tc>
          <w:tcPr>
            <w:tcW w:w="3493" w:type="pct"/>
            <w:shd w:val="clear" w:color="auto" w:fill="auto"/>
            <w:vAlign w:val="center"/>
          </w:tcPr>
          <w:p w14:paraId="7AD873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指掌纹一体化采集仪;指纹采集窗口36mm*39mm，掌纹采集窗口133mm*125mm，有效指纹窗口图像尺寸&gt;32.5mm*32.5mm.有效张文图像尺寸120mm*120mm、指纹图像像素数640mm*640mm像素、张文图像像素数2362*2362像素，图像分辨率500dpi、图像畸变&lt;1%/,图像灰度级8位256级，背景灰度值255，图像背景不均匀度&lt;10%,图像动态灰度范围&gt;180，环境光&lt;300Lx,采集速度&gt;15/秒,工作电压AC200V,工作温度-10°C,工作湿度10%-80%,硬件接口USB2.0,镜头;恒温镜头、加热、自动除雾。2、专用鞋印/足迹电子采集设备、图像区域;不小于 3500mm（长）x150mm（宽）、图像灰度;不小于 256 级、物理分辨率;&gt;130DPI/光学 畸变&lt;1%采集速度：&lt;10 秒、接口;USB2.0.*设备采集数据能够与青海省公安厅标采后台系统进行衔接，*能够实现与青海省公安厅刑专系统进行无缝数据连接，*能够实现与青海省公安厅指掌纹自动识别系统进行数据传输比对，上述系统对接内容需提供客户证明材料3、1.产品采用便携式设计、统一的工作平台，将专业计算机、多功能读卡模块、并行提取模块等硬件集成于一体。全面适配国产操作 ；系统，高效安全，自主可控。 2.专业硬件设备配置： 操作系统：国产操作系统； CPU：高性能处理器； 内存：8GB 高速内存； 存储：1TB 固态硬盘； 显示器：11.6 英寸高亮度触摸液晶显示器，分辩率 1366×768 或更高； 多功能读卡器：兼容国内所有 SIM 卡(包括 2G\3G\4G\5G)，支持各类存储卡（包括 SD/MS/TF/M2）； USB 口：内置 3 个 3.0； 并行提取模块：支持多个案件检材并行提取，支持 3 路并行高速智能提取； 内置蓝牙模块。 3.配备专用 USB 安全传输线；传输速度不低于 500MB/min（USB3.0 不低于 3.5GB/min）。4、搜痕一体化采集平台，完成多系统、多设备、多项新型信息采集技术的集成。平台尺寸：1.5 米*0.5 米*1 米，采用铁质材料，抗暴 抗砸。5、主机接口：USB 接口；阅读距离：0-5cm；阅读时间&lt;1s；天线谐振频率不小于 13.56MHz；天线表面磁场强度（Hmax）≤7.5A/m（rms）； 天线表面法线方向 5cm 处电磁场强度（Hmin）≥1.5A/mrms。6、传感器类型:CMOS,传感器尺寸不小于:22.3×14.9mm,有效像素不小于:2410 万,光学变焦不小于：3 倍,快门类型:电子控制纵走式焦平面快门,快门速度:不小于 1/4000-30 秒，B 门,显示屏尺寸:不小于 3 英寸,显示屏像素:不小于 92 万像素液晶屏,菜单语言:不小于 25 种（含简体中文）取景器类型:光学,取景器描述:类型：眼平五面镜:视野率：垂直/水平方向约为 95%（眼点约为 21 毫米）,放大 倍率：约 0.8 倍（-1m，使用 50mm 镜头对无限远处对焦）,眼点：约 21 毫米（自目镜透镜中央起，-1m）.（满足基础办案采集需求）</w:t>
            </w:r>
          </w:p>
        </w:tc>
        <w:tc>
          <w:tcPr>
            <w:tcW w:w="221" w:type="pct"/>
            <w:shd w:val="clear" w:color="auto" w:fill="auto"/>
            <w:noWrap/>
            <w:vAlign w:val="center"/>
          </w:tcPr>
          <w:p w14:paraId="259B1E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E5159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6AC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9" w:type="pct"/>
            <w:shd w:val="clear" w:color="auto" w:fill="auto"/>
            <w:noWrap/>
            <w:vAlign w:val="center"/>
          </w:tcPr>
          <w:p w14:paraId="6E8A6A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46" w:type="pct"/>
            <w:shd w:val="clear" w:color="auto" w:fill="auto"/>
            <w:noWrap/>
            <w:vAlign w:val="center"/>
          </w:tcPr>
          <w:p w14:paraId="14A921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电子数据自助取证一体机</w:t>
            </w:r>
          </w:p>
        </w:tc>
        <w:tc>
          <w:tcPr>
            <w:tcW w:w="3493" w:type="pct"/>
            <w:shd w:val="clear" w:color="auto" w:fill="auto"/>
            <w:vAlign w:val="center"/>
          </w:tcPr>
          <w:p w14:paraId="1B6D78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一、硬件配置要求：1、配置不低于8核 16线程 CPU；配置不低于DDR4 32G 内存；要求配置不低于23.8英寸的电容触摸显示屏，分辨率不低于1920*1080；配置不低于3.84T企业级SSD；预装正版操作系统；2、配置不少于1个SATA/SAS只读接口、1个SATA/SAS读写接口、1个USB3.0只读接口；3、配置不少于4个USB3.0读写口；配置不少于1个蓝光刻录光驱；配置不少于1个手机检验接口；配置万兆网口和千兆网口；二、主要功能：支持对手机和计算机检材进行快速检验，支持硬盘复制和制作镜像；支持上传案件和检材信息、取证结果、检验报告、录屏、录像、截屏、照片等数据到系统上留存归档，确保取证过程可追溯和司法有效性；在联网及获取绑定手机的情况下，支持解析电脑版微信聊天记录、好友信息、群组信息；微信登陆状态下可在线解析无需手机；支持从内存镜像中获取微信密钥进行离线解析；支持QQ解析，在未保存密码的情况下，也可能解析出聊天记录的内容；支持绕过QQ绑定的手机设备锁，在有绑定手机的情况下也可以直接输入登陆密码进行解密；支持macOS系统的钥匙串保存密码提取。三、基本能力：完全由国内自主研发，自主知识产权，无软件潜在泄密风险（须提供软件著作权证书作为佐证）；产品需具有CNAS资质的检测机构出具的检测报告（须提供对应的检测报告证明复印件）；要求支持开机自启动、支持引导式自助取证流程；要求支持对手机和计算机检材进行快速检验，支持硬盘复制和制作镜像；要求支持对取证过程自动录屏、录像、拍照、截屏，并保存到对应案例目录下；要求支持对取证完成的案件相关数据进行导出、刻录光盘；要求支持自动生成BCP数据包、网页报告、案例压缩包，并支持MD5、SHA-1、SHA-256多种哈希值计算方式；要求支持高拍仪主副摄像头同时录像、拍照功能；支持自助取证过程中进行拍照固定证据功能；要求支持语音提醒，可以对每个重要步骤自动发出语音提醒，增加引导降低学习成本，提升用户使用体验。要求内置打印机，支持一键打印纸质报告。支持取证状态短信提醒功能。要求支持报告文书电子签名功能，签字图片自动插入报告文书中。要求支持电子屏内容自定义功能，满足不同客户对电子屏内容的定制需求。四、 取证分析：要求支持主流操作系统取证；要求支持基本磁盘/动态磁盘、MBR磁盘/GPT磁盘、LDM/LVM磁盘、磁盘阵列重组，支持FAT12、FAT16、FAT32、exFAT、NTFS、CDFS、UDF、Ext2/3/4、HFSX/HFS+ UFS、ReiserFS、XFS、JFS、以及手机上的YAFFS2、ROFS等多种文件系统格式的解析，及多种被删除数据的恢复；要求支持E01、Ex01、L01、DD、IMG、001、ISO、DMG、VMDK、VHD、AFF、Lx01、GHO、VDI、DVD、HDD、HDS、VHDX、QCOW2等镜像文件的加载和分析；要求支持RAID-5HP和RAID-6的RAID磁盘组加载；要求支持自定义报告，摘录功能可以将数据片段、文本信息、文件信息、取证结果或其它类型的数据添加到摘录视图中，并可将摘录数据生成报告以自定义模板形式导出。要求支持简单删除文件恢复、格式化后的文件恢复、被删除的磁盘分区恢复、根据文件头尾特征对被删除文件进行恢复；要求支持对Office复合文件和PDF文件的搜索；要求支持系统痕迹分析功能，可获取USB设备使用记录、应用程序运行痕迹、用户最近访问记录、回收站删除记录等用户痕迹信息；要求支持注册表被删除键名、键值的恢复，并能显示最后写入时间；要求在联网及获取绑定手机的情况下，支持解析电脑版微信聊天记录、好友信息、群组信息；微信登陆状态下可在线解析无需手机；支持从内存镜像中获取微信密钥进行离线解析；要求支持手机微信备份文件解析，可解析备份在电脑上的微信信息。</w:t>
            </w:r>
          </w:p>
        </w:tc>
        <w:tc>
          <w:tcPr>
            <w:tcW w:w="221" w:type="pct"/>
            <w:shd w:val="clear" w:color="auto" w:fill="auto"/>
            <w:noWrap/>
            <w:vAlign w:val="center"/>
          </w:tcPr>
          <w:p w14:paraId="0DE1FC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0BC0C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0F0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0" w:hRule="atLeast"/>
        </w:trPr>
        <w:tc>
          <w:tcPr>
            <w:tcW w:w="509" w:type="pct"/>
            <w:shd w:val="clear" w:color="auto" w:fill="auto"/>
            <w:noWrap/>
            <w:vAlign w:val="center"/>
          </w:tcPr>
          <w:p w14:paraId="20705F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 </w:t>
            </w:r>
          </w:p>
        </w:tc>
        <w:tc>
          <w:tcPr>
            <w:tcW w:w="346" w:type="pct"/>
            <w:shd w:val="clear" w:color="auto" w:fill="auto"/>
            <w:noWrap/>
            <w:vAlign w:val="center"/>
          </w:tcPr>
          <w:p w14:paraId="377806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声纹采集仪</w:t>
            </w:r>
          </w:p>
        </w:tc>
        <w:tc>
          <w:tcPr>
            <w:tcW w:w="3493" w:type="pct"/>
            <w:shd w:val="clear" w:color="auto" w:fill="auto"/>
            <w:vAlign w:val="center"/>
          </w:tcPr>
          <w:p w14:paraId="5AA2BD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要求：声纹采集：具备高精度、高品质的录音功能，并能够定向采集目标发言人的语音信息，保存高保真语音样本。信息采集：支持目标人员信息采集，包括人员基本信息、类别、案件类型等；支持自动过滤问话人语音，只保留目标人语音；支持采集信息分类列表展示，包括未上报、已上报、审核不通过等；支持上报信息统计并分时间段列表展示；质量检测: 支持声音波形图的实时显示；支持语音数据质量检测实时显示并及时提醒录入语音的有效性；支持有效时长、平均能量、截幅比、信噪比、说话人数、削波、丢帧等检测；语音上报：支持采集到的语音和人员信息提交上报；离线采集时，支持系统联网后上报；注册反馈：支持展示声纹库反馈的声纹注册审核状态，并支持展示声纹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指标：设备外观：设备采用集成化设计，小巧便携，外形美观，能够适配多种采集场景；运行环境：设备通过USB接口连接在客户端电脑上，通过驱动程序进行控制，兼容多版本操纵系统；采集距离：有效采集距离支持0.6-1米的远场采集；角色分离：支持交谈模式下声纹数据采集，定向采集目标发言人语音，准确分离问答双方；断点续录：采集过程中，若声纹采集设备断开连接，采集软件自动暂停录音，设备连接正后，即可继续录音，无需重新采集；灵敏度（参考1 V/Pa，1 kHz）≥50mV/Pa；本机噪声级及信噪比：等效噪声级≤36dB （A计权），信噪比≥50dB；频率响应：50Hz-8KHz；波形失真度：设备采集的语音为高保真音频，其波形失真度要求≤7%，以满足声纹比对和声纹鉴定的业务需求；指向性：指向性满足单向（以1kHz正弦波信号为参考），在不超过±45度入射角（正面）的范围内声压级衰减不超过3 dB（参考0度入射），在超过±60度入射角（正面）的范围内衰减不低于5 dB（参考0度入射）；麦克风阵列：专用声纹采集设备使用麦克风阵列技术，具有16路麦克风，用来对声场的空间特性进行采样并处理；噪声抑制：配合降噪算法，实现混响抑制及语音增强，且对人声语谱无明显影响；稳定性：常温下连续工作48小时以上；入网管理：采集设备具有唯一标识码，可进行入网注册和入网后管理。采集语音格式：单声道，16位量化精度；采样率：16kHz采样率；语音活动检测：具有语音活动检测功能，能够检测和摒弃无人声静音段；有效时长检测：具有有效语音时长检测功能。要求有效语音时长不低于120s，否则无法上报语音；平均能量检测：具有平均能量检测功能。要求语音平均能量不低于-25dB，否则无法上报语音；说话人数检测：具有说话人数检测功能。要求语音数据中仅有一人且为同一人语音，否则无法上报语音；截幅比例检测：具有截幅比例检测功能。要求整段语音截幅比不超过10%，否则无法上报语音；</w:t>
            </w:r>
          </w:p>
        </w:tc>
        <w:tc>
          <w:tcPr>
            <w:tcW w:w="221" w:type="pct"/>
            <w:shd w:val="clear" w:color="auto" w:fill="auto"/>
            <w:noWrap/>
            <w:vAlign w:val="center"/>
          </w:tcPr>
          <w:p w14:paraId="7624D8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832D9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3FB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2EF1FF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46" w:type="pct"/>
            <w:shd w:val="clear" w:color="auto" w:fill="auto"/>
            <w:noWrap/>
            <w:vAlign w:val="center"/>
          </w:tcPr>
          <w:p w14:paraId="3B1F11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台账输出设备</w:t>
            </w:r>
          </w:p>
        </w:tc>
        <w:tc>
          <w:tcPr>
            <w:tcW w:w="3493" w:type="pct"/>
            <w:shd w:val="clear" w:color="auto" w:fill="auto"/>
            <w:vAlign w:val="center"/>
          </w:tcPr>
          <w:p w14:paraId="397EE4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打印幅面A4最高分辨率HQ1200，600×600dpi；黑白打印速度A4：18ppm，letter：26ppm彩色打印速度A4：4ppm，letter：12ppm；处理器400MHz内存标配：64MB，最大：64MB；双面打印手动；网络功能不支持网络打印；打印性能首页打印时间黑白＜14秒，彩色＜26秒</w:t>
            </w:r>
          </w:p>
        </w:tc>
        <w:tc>
          <w:tcPr>
            <w:tcW w:w="221" w:type="pct"/>
            <w:shd w:val="clear" w:color="auto" w:fill="auto"/>
            <w:noWrap/>
            <w:vAlign w:val="center"/>
          </w:tcPr>
          <w:p w14:paraId="305B47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15487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BDC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36FC92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46" w:type="pct"/>
            <w:shd w:val="clear" w:color="auto" w:fill="auto"/>
            <w:noWrap/>
            <w:vAlign w:val="center"/>
          </w:tcPr>
          <w:p w14:paraId="70D18D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民警坐具</w:t>
            </w:r>
          </w:p>
        </w:tc>
        <w:tc>
          <w:tcPr>
            <w:tcW w:w="3493" w:type="pct"/>
            <w:shd w:val="clear" w:color="auto" w:fill="auto"/>
            <w:vAlign w:val="center"/>
          </w:tcPr>
          <w:p w14:paraId="3E3CCE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7474AF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06465A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305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61C4C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4490" w:type="pct"/>
            <w:gridSpan w:val="4"/>
            <w:shd w:val="clear" w:color="auto" w:fill="auto"/>
            <w:noWrap/>
            <w:vAlign w:val="center"/>
          </w:tcPr>
          <w:p w14:paraId="2E03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尿检室（1间）</w:t>
            </w:r>
          </w:p>
        </w:tc>
      </w:tr>
      <w:tr w14:paraId="61C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489AF8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6" w:type="pct"/>
            <w:shd w:val="clear" w:color="auto" w:fill="auto"/>
            <w:noWrap/>
            <w:vAlign w:val="center"/>
          </w:tcPr>
          <w:p w14:paraId="433448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104AD8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249168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29D10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51E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463AF1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46" w:type="pct"/>
            <w:shd w:val="clear" w:color="auto" w:fill="auto"/>
            <w:noWrap/>
            <w:vAlign w:val="center"/>
          </w:tcPr>
          <w:p w14:paraId="74AA26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5AB8E1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6C7A1F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3E3031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0A9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trPr>
        <w:tc>
          <w:tcPr>
            <w:tcW w:w="509" w:type="pct"/>
            <w:shd w:val="clear" w:color="auto" w:fill="auto"/>
            <w:noWrap/>
            <w:vAlign w:val="center"/>
          </w:tcPr>
          <w:p w14:paraId="4D66E5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46" w:type="pct"/>
            <w:shd w:val="clear" w:color="auto" w:fill="auto"/>
            <w:noWrap/>
            <w:vAlign w:val="center"/>
          </w:tcPr>
          <w:p w14:paraId="6A17D5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3E4E3F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2DE7CC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789E7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34E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C6B5C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46" w:type="pct"/>
            <w:shd w:val="clear" w:color="auto" w:fill="auto"/>
            <w:noWrap/>
            <w:vAlign w:val="center"/>
          </w:tcPr>
          <w:p w14:paraId="1B6783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验毒尿检板</w:t>
            </w:r>
          </w:p>
        </w:tc>
        <w:tc>
          <w:tcPr>
            <w:tcW w:w="3493" w:type="pct"/>
            <w:shd w:val="clear" w:color="auto" w:fill="auto"/>
            <w:vAlign w:val="center"/>
          </w:tcPr>
          <w:p w14:paraId="112115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尺寸（mm）：1200*700*1885</w:t>
            </w:r>
          </w:p>
        </w:tc>
        <w:tc>
          <w:tcPr>
            <w:tcW w:w="221" w:type="pct"/>
            <w:shd w:val="clear" w:color="auto" w:fill="auto"/>
            <w:noWrap/>
            <w:vAlign w:val="center"/>
          </w:tcPr>
          <w:p w14:paraId="5E9AAD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8" w:type="pct"/>
            <w:shd w:val="clear" w:color="auto" w:fill="auto"/>
            <w:noWrap/>
            <w:vAlign w:val="center"/>
          </w:tcPr>
          <w:p w14:paraId="439226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198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49896E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46" w:type="pct"/>
            <w:shd w:val="clear" w:color="auto" w:fill="auto"/>
            <w:noWrap/>
            <w:vAlign w:val="center"/>
          </w:tcPr>
          <w:p w14:paraId="44B8C8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毒检登记终端</w:t>
            </w:r>
          </w:p>
        </w:tc>
        <w:tc>
          <w:tcPr>
            <w:tcW w:w="3493" w:type="pct"/>
            <w:shd w:val="clear" w:color="auto" w:fill="auto"/>
            <w:vAlign w:val="center"/>
          </w:tcPr>
          <w:p w14:paraId="20CD9D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功能：支持民警刷脸登录及用户名密码登录终端；支持民警自助登记嫌疑人毒检结果，包括检测样本、检测项目、检测结果照片等；支持民警签字及嫌疑人签字捺印，嫌疑人指纹按捺确认检测结果；内置条码打印机，支持嫌疑人信息打印；内置打印机，支持打印现场检测报告书、尿液提取笔录及现场检测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规格：通信方式：TCP/IP；屏幕尺寸：≥21寸；分辨率：≥1080P，16:9；面板类型：TFT、LED背光可视角度(H/V)：≥178/178°；热插拔特性：支持即插即用；摄像头规格：≥1080P/30fps，双目、支持人脸识别，1:1或1:N在线识别；指纹仪规格：电容式指纹仪；图像大小：≥256*360像素，508DPI；终端内存：≥8G DDR4 ≥2400MHz；储存容量：≥128G SSD；操作系统：配套正版操作系统；接口类型：双网口、USB、音频口；电源：AC220V±10%　50HZ。</w:t>
            </w:r>
          </w:p>
        </w:tc>
        <w:tc>
          <w:tcPr>
            <w:tcW w:w="221" w:type="pct"/>
            <w:shd w:val="clear" w:color="auto" w:fill="auto"/>
            <w:noWrap/>
            <w:vAlign w:val="center"/>
          </w:tcPr>
          <w:p w14:paraId="2DB7FD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E3AA8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88B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BB132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46" w:type="pct"/>
            <w:shd w:val="clear" w:color="auto" w:fill="auto"/>
            <w:noWrap/>
            <w:vAlign w:val="center"/>
          </w:tcPr>
          <w:p w14:paraId="609793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尿检台</w:t>
            </w:r>
          </w:p>
        </w:tc>
        <w:tc>
          <w:tcPr>
            <w:tcW w:w="3493" w:type="pct"/>
            <w:shd w:val="clear" w:color="auto" w:fill="auto"/>
            <w:vAlign w:val="center"/>
          </w:tcPr>
          <w:p w14:paraId="43677E9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配套尿检台</w:t>
            </w:r>
          </w:p>
        </w:tc>
        <w:tc>
          <w:tcPr>
            <w:tcW w:w="221" w:type="pct"/>
            <w:shd w:val="clear" w:color="auto" w:fill="auto"/>
            <w:noWrap/>
            <w:vAlign w:val="center"/>
          </w:tcPr>
          <w:p w14:paraId="04CD06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8" w:type="pct"/>
            <w:shd w:val="clear" w:color="auto" w:fill="auto"/>
            <w:noWrap/>
            <w:vAlign w:val="center"/>
          </w:tcPr>
          <w:p w14:paraId="089947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814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A0DC8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4490" w:type="pct"/>
            <w:gridSpan w:val="4"/>
            <w:shd w:val="clear" w:color="auto" w:fill="auto"/>
            <w:noWrap/>
            <w:vAlign w:val="center"/>
          </w:tcPr>
          <w:p w14:paraId="5919A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候问室（1男1女）</w:t>
            </w:r>
          </w:p>
        </w:tc>
      </w:tr>
      <w:tr w14:paraId="371C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5C92180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46" w:type="pct"/>
            <w:shd w:val="clear" w:color="auto" w:fill="auto"/>
            <w:noWrap/>
            <w:vAlign w:val="center"/>
          </w:tcPr>
          <w:p w14:paraId="2AA7AF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02ACD8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3E892C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CAAC5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0751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09" w:type="pct"/>
            <w:shd w:val="clear" w:color="auto" w:fill="auto"/>
            <w:noWrap/>
            <w:vAlign w:val="center"/>
          </w:tcPr>
          <w:p w14:paraId="27ECCB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46" w:type="pct"/>
            <w:shd w:val="clear" w:color="auto" w:fill="auto"/>
            <w:noWrap/>
            <w:vAlign w:val="center"/>
          </w:tcPr>
          <w:p w14:paraId="7D90C3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07A938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622C94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FCBEE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0411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0F39FF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46" w:type="pct"/>
            <w:shd w:val="clear" w:color="auto" w:fill="auto"/>
            <w:noWrap/>
            <w:vAlign w:val="center"/>
          </w:tcPr>
          <w:p w14:paraId="128119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侯问管控终端</w:t>
            </w:r>
          </w:p>
        </w:tc>
        <w:tc>
          <w:tcPr>
            <w:tcW w:w="3493" w:type="pct"/>
            <w:shd w:val="clear" w:color="auto" w:fill="auto"/>
            <w:vAlign w:val="center"/>
          </w:tcPr>
          <w:p w14:paraId="2B8F89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功能参数：1.候问管理：支出候问室名称显示；支持侯问室状态显示，包括当前房间人数、剩余可容纳人数及显示关押的人员姓名、照片、性别、年龄、主办民警、案件；支持涉案人员刷脸自动带入/带出房间；支持民警刷脸手动带入/带出涉案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含设备暗装底盒、配套终端电源、门锁套件。</w:t>
            </w:r>
          </w:p>
        </w:tc>
        <w:tc>
          <w:tcPr>
            <w:tcW w:w="221" w:type="pct"/>
            <w:shd w:val="clear" w:color="auto" w:fill="auto"/>
            <w:noWrap/>
            <w:vAlign w:val="center"/>
          </w:tcPr>
          <w:p w14:paraId="340B76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E04DA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510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6950B7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46" w:type="pct"/>
            <w:shd w:val="clear" w:color="auto" w:fill="auto"/>
            <w:noWrap/>
            <w:vAlign w:val="center"/>
          </w:tcPr>
          <w:p w14:paraId="7C34AF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3E5F36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62C1B6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52B6B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544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8A4A1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46" w:type="pct"/>
            <w:shd w:val="clear" w:color="auto" w:fill="auto"/>
            <w:noWrap/>
            <w:vAlign w:val="center"/>
          </w:tcPr>
          <w:p w14:paraId="4795DC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LED状态显示屏</w:t>
            </w:r>
          </w:p>
        </w:tc>
        <w:tc>
          <w:tcPr>
            <w:tcW w:w="3493" w:type="pct"/>
            <w:shd w:val="clear" w:color="auto" w:fill="auto"/>
            <w:vAlign w:val="center"/>
          </w:tcPr>
          <w:p w14:paraId="090F29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1.类型：室内双色显示屏；2.LED封装：国产；3.像素间距：≤4.75mm；4.像素密度：≥44000点/㎡；5.亮度：≥500cd/㎡；6.视角：≥120°。</w:t>
            </w:r>
          </w:p>
        </w:tc>
        <w:tc>
          <w:tcPr>
            <w:tcW w:w="221" w:type="pct"/>
            <w:shd w:val="clear" w:color="auto" w:fill="auto"/>
            <w:noWrap/>
            <w:vAlign w:val="center"/>
          </w:tcPr>
          <w:p w14:paraId="68BA43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E97C7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A3F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BF176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46" w:type="pct"/>
            <w:shd w:val="clear" w:color="auto" w:fill="auto"/>
            <w:noWrap/>
            <w:vAlign w:val="center"/>
          </w:tcPr>
          <w:p w14:paraId="273B30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看守台</w:t>
            </w:r>
          </w:p>
        </w:tc>
        <w:tc>
          <w:tcPr>
            <w:tcW w:w="3493" w:type="pct"/>
            <w:shd w:val="clear" w:color="auto" w:fill="auto"/>
            <w:vAlign w:val="center"/>
          </w:tcPr>
          <w:p w14:paraId="34BB0F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1.产品尺寸：至少满足(L*W*H)约2100*500*550mm；2.材质：约2.0mm冷轧钢板/镀锌板；侧板材质实木；侧板厚度约18mm；</w:t>
            </w:r>
          </w:p>
        </w:tc>
        <w:tc>
          <w:tcPr>
            <w:tcW w:w="221" w:type="pct"/>
            <w:shd w:val="clear" w:color="auto" w:fill="auto"/>
            <w:noWrap/>
            <w:vAlign w:val="center"/>
          </w:tcPr>
          <w:p w14:paraId="0974EB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49DD94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320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EE7D1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46" w:type="pct"/>
            <w:shd w:val="clear" w:color="auto" w:fill="auto"/>
            <w:noWrap/>
            <w:vAlign w:val="center"/>
          </w:tcPr>
          <w:p w14:paraId="3E7EFA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看守坐具</w:t>
            </w:r>
          </w:p>
        </w:tc>
        <w:tc>
          <w:tcPr>
            <w:tcW w:w="3493" w:type="pct"/>
            <w:shd w:val="clear" w:color="auto" w:fill="auto"/>
            <w:noWrap/>
            <w:vAlign w:val="center"/>
          </w:tcPr>
          <w:p w14:paraId="01F269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油漆；表面光滑、线条流畅、手感柔和。</w:t>
            </w:r>
          </w:p>
        </w:tc>
        <w:tc>
          <w:tcPr>
            <w:tcW w:w="221" w:type="pct"/>
            <w:shd w:val="clear" w:color="auto" w:fill="auto"/>
            <w:noWrap/>
            <w:vAlign w:val="center"/>
          </w:tcPr>
          <w:p w14:paraId="1426AB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7E4164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479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7D3862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4490" w:type="pct"/>
            <w:gridSpan w:val="4"/>
            <w:shd w:val="clear" w:color="auto" w:fill="auto"/>
            <w:noWrap/>
            <w:vAlign w:val="center"/>
          </w:tcPr>
          <w:p w14:paraId="02700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询（讯）问室（3间）</w:t>
            </w:r>
          </w:p>
        </w:tc>
      </w:tr>
      <w:tr w14:paraId="23ED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497383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46" w:type="pct"/>
            <w:shd w:val="clear" w:color="auto" w:fill="auto"/>
            <w:noWrap/>
            <w:vAlign w:val="center"/>
          </w:tcPr>
          <w:p w14:paraId="184542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bottom"/>
          </w:tcPr>
          <w:p w14:paraId="2CC4F5E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0DB63D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F751E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3E98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3699FC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46" w:type="pct"/>
            <w:shd w:val="clear" w:color="auto" w:fill="auto"/>
            <w:noWrap/>
            <w:vAlign w:val="center"/>
          </w:tcPr>
          <w:p w14:paraId="4E173F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30646C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4BC916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4BD7F8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6DF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509" w:type="pct"/>
            <w:shd w:val="clear" w:color="auto" w:fill="auto"/>
            <w:noWrap/>
            <w:vAlign w:val="center"/>
          </w:tcPr>
          <w:p w14:paraId="39B11B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46" w:type="pct"/>
            <w:shd w:val="clear" w:color="auto" w:fill="auto"/>
            <w:noWrap/>
            <w:vAlign w:val="center"/>
          </w:tcPr>
          <w:p w14:paraId="1F3497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空间定位摄像机</w:t>
            </w:r>
          </w:p>
        </w:tc>
        <w:tc>
          <w:tcPr>
            <w:tcW w:w="3493" w:type="pct"/>
            <w:shd w:val="clear" w:color="auto" w:fill="auto"/>
            <w:vAlign w:val="center"/>
          </w:tcPr>
          <w:p w14:paraId="13F64E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shd w:val="clear" w:color="auto" w:fill="auto"/>
            <w:noWrap/>
            <w:vAlign w:val="center"/>
          </w:tcPr>
          <w:p w14:paraId="6975E4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57A9B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6C9E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2D6D73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46" w:type="pct"/>
            <w:shd w:val="clear" w:color="auto" w:fill="auto"/>
            <w:noWrap/>
            <w:vAlign w:val="center"/>
          </w:tcPr>
          <w:p w14:paraId="165CB9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签字摄像机</w:t>
            </w:r>
          </w:p>
        </w:tc>
        <w:tc>
          <w:tcPr>
            <w:tcW w:w="3493" w:type="pct"/>
            <w:shd w:val="clear" w:color="auto" w:fill="auto"/>
            <w:vAlign w:val="center"/>
          </w:tcPr>
          <w:p w14:paraId="323A5C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shd w:val="clear" w:color="auto" w:fill="auto"/>
            <w:noWrap/>
            <w:vAlign w:val="center"/>
          </w:tcPr>
          <w:p w14:paraId="4A11C2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29C56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010C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6FAD75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46" w:type="pct"/>
            <w:shd w:val="clear" w:color="auto" w:fill="auto"/>
            <w:noWrap/>
            <w:vAlign w:val="center"/>
          </w:tcPr>
          <w:p w14:paraId="30DE28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温湿度显示屏</w:t>
            </w:r>
          </w:p>
        </w:tc>
        <w:tc>
          <w:tcPr>
            <w:tcW w:w="3493" w:type="pct"/>
            <w:shd w:val="clear" w:color="auto" w:fill="auto"/>
            <w:vAlign w:val="center"/>
          </w:tcPr>
          <w:p w14:paraId="3D2D76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shd w:val="clear" w:color="auto" w:fill="auto"/>
            <w:noWrap/>
            <w:vAlign w:val="center"/>
          </w:tcPr>
          <w:p w14:paraId="3B8012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8" w:type="pct"/>
            <w:shd w:val="clear" w:color="auto" w:fill="auto"/>
            <w:noWrap/>
            <w:vAlign w:val="center"/>
          </w:tcPr>
          <w:p w14:paraId="77957D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64E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03E56A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46" w:type="pct"/>
            <w:shd w:val="clear" w:color="auto" w:fill="auto"/>
            <w:noWrap/>
            <w:vAlign w:val="center"/>
          </w:tcPr>
          <w:p w14:paraId="0A1E04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审讯主机</w:t>
            </w:r>
          </w:p>
        </w:tc>
        <w:tc>
          <w:tcPr>
            <w:tcW w:w="3493" w:type="pct"/>
            <w:shd w:val="clear" w:color="auto" w:fill="auto"/>
            <w:vAlign w:val="center"/>
          </w:tcPr>
          <w:p w14:paraId="09459B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硬件规格：1.免拆机箱更换光驱设计，≥7英寸液晶触控显示屏，内置≥2个光驱；2.输入带宽≥256Mbps，输出带宽≥256Mbps；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3.≥8路视频输入，支持≥4K分辨率，≥2路HDMI输入和输出；4.≥4盘位硬盘，配置≥2块6TB硬盘；5.接口：≥2个LAN口，≥2个USB2.0。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p>
        </w:tc>
        <w:tc>
          <w:tcPr>
            <w:tcW w:w="221" w:type="pct"/>
            <w:shd w:val="clear" w:color="auto" w:fill="auto"/>
            <w:noWrap/>
            <w:vAlign w:val="center"/>
          </w:tcPr>
          <w:p w14:paraId="51E233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A22E9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23E9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3" w:hRule="atLeast"/>
        </w:trPr>
        <w:tc>
          <w:tcPr>
            <w:tcW w:w="509" w:type="pct"/>
            <w:shd w:val="clear" w:color="auto" w:fill="auto"/>
            <w:noWrap/>
            <w:vAlign w:val="center"/>
          </w:tcPr>
          <w:p w14:paraId="6D6676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46" w:type="pct"/>
            <w:shd w:val="clear" w:color="auto" w:fill="auto"/>
            <w:noWrap/>
            <w:vAlign w:val="center"/>
          </w:tcPr>
          <w:p w14:paraId="33AE9E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物证展示台</w:t>
            </w:r>
          </w:p>
        </w:tc>
        <w:tc>
          <w:tcPr>
            <w:tcW w:w="3493" w:type="pct"/>
            <w:shd w:val="clear" w:color="auto" w:fill="auto"/>
            <w:vAlign w:val="center"/>
          </w:tcPr>
          <w:p w14:paraId="386886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shd w:val="clear" w:color="auto" w:fill="auto"/>
            <w:noWrap/>
            <w:vAlign w:val="center"/>
          </w:tcPr>
          <w:p w14:paraId="20C2D0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332DF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186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340540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46" w:type="pct"/>
            <w:shd w:val="clear" w:color="auto" w:fill="auto"/>
            <w:noWrap/>
            <w:vAlign w:val="center"/>
          </w:tcPr>
          <w:p w14:paraId="5309AF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讯问管控终端</w:t>
            </w:r>
          </w:p>
        </w:tc>
        <w:tc>
          <w:tcPr>
            <w:tcW w:w="3493" w:type="pct"/>
            <w:shd w:val="clear" w:color="auto" w:fill="auto"/>
            <w:vAlign w:val="center"/>
          </w:tcPr>
          <w:p w14:paraId="72485C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含设备安装底盒、终端电源及门锁套件。</w:t>
            </w:r>
          </w:p>
        </w:tc>
        <w:tc>
          <w:tcPr>
            <w:tcW w:w="221" w:type="pct"/>
            <w:shd w:val="clear" w:color="auto" w:fill="auto"/>
            <w:noWrap/>
            <w:vAlign w:val="center"/>
          </w:tcPr>
          <w:p w14:paraId="7DEA79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8193D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269D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4236C8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46" w:type="pct"/>
            <w:shd w:val="clear" w:color="auto" w:fill="auto"/>
            <w:noWrap/>
            <w:vAlign w:val="center"/>
          </w:tcPr>
          <w:p w14:paraId="28DB74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一体化审讯台</w:t>
            </w:r>
          </w:p>
        </w:tc>
        <w:tc>
          <w:tcPr>
            <w:tcW w:w="3493" w:type="pct"/>
            <w:shd w:val="clear" w:color="auto" w:fill="auto"/>
            <w:vAlign w:val="center"/>
          </w:tcPr>
          <w:p w14:paraId="1B2663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1.钣金机柜，表面喷涂工艺，部分材料采用特质铝材，部分软包边材质；2.模块化设计，清晰明了，便于操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shd w:val="clear" w:color="auto" w:fill="auto"/>
            <w:noWrap/>
            <w:vAlign w:val="center"/>
          </w:tcPr>
          <w:p w14:paraId="029ED0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A08FE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0F3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9" w:type="pct"/>
            <w:shd w:val="clear" w:color="auto" w:fill="auto"/>
            <w:noWrap/>
            <w:vAlign w:val="center"/>
          </w:tcPr>
          <w:p w14:paraId="5C1B6D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 </w:t>
            </w:r>
          </w:p>
        </w:tc>
        <w:tc>
          <w:tcPr>
            <w:tcW w:w="346" w:type="pct"/>
            <w:shd w:val="clear" w:color="auto" w:fill="auto"/>
            <w:noWrap/>
            <w:vAlign w:val="center"/>
          </w:tcPr>
          <w:p w14:paraId="55D0DC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bottom"/>
          </w:tcPr>
          <w:p w14:paraId="240743E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398540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DE47E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04BD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A4142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346" w:type="pct"/>
            <w:shd w:val="clear" w:color="auto" w:fill="auto"/>
            <w:noWrap/>
            <w:vAlign w:val="center"/>
          </w:tcPr>
          <w:p w14:paraId="7624AB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有线耳机</w:t>
            </w:r>
          </w:p>
        </w:tc>
        <w:tc>
          <w:tcPr>
            <w:tcW w:w="3493" w:type="pct"/>
            <w:shd w:val="clear" w:color="auto" w:fill="auto"/>
            <w:vAlign w:val="bottom"/>
          </w:tcPr>
          <w:p w14:paraId="04891FD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佩戴方式入耳式耳机；麦克风频响范围20-20000Hz麦克风有；接口类型3.5mm外接AUX接口纠错；产品尺寸≥80x80x31mm；产品颜色黑色，白色</w:t>
            </w:r>
          </w:p>
        </w:tc>
        <w:tc>
          <w:tcPr>
            <w:tcW w:w="221" w:type="pct"/>
            <w:shd w:val="clear" w:color="auto" w:fill="auto"/>
            <w:noWrap/>
            <w:vAlign w:val="center"/>
          </w:tcPr>
          <w:p w14:paraId="3C5EB2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E809F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0632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465B1B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346" w:type="pct"/>
            <w:shd w:val="clear" w:color="auto" w:fill="auto"/>
            <w:noWrap/>
            <w:vAlign w:val="center"/>
          </w:tcPr>
          <w:p w14:paraId="623BBC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民警坐具</w:t>
            </w:r>
          </w:p>
        </w:tc>
        <w:tc>
          <w:tcPr>
            <w:tcW w:w="3493" w:type="pct"/>
            <w:shd w:val="clear" w:color="auto" w:fill="auto"/>
            <w:vAlign w:val="center"/>
          </w:tcPr>
          <w:p w14:paraId="482C4C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3C96E1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6F411B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2BEC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464F61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346" w:type="pct"/>
            <w:shd w:val="clear" w:color="auto" w:fill="auto"/>
            <w:noWrap/>
            <w:vAlign w:val="center"/>
          </w:tcPr>
          <w:p w14:paraId="240DCE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审讯专用坐具</w:t>
            </w:r>
          </w:p>
        </w:tc>
        <w:tc>
          <w:tcPr>
            <w:tcW w:w="3493" w:type="pct"/>
            <w:shd w:val="clear" w:color="auto" w:fill="auto"/>
            <w:vAlign w:val="center"/>
          </w:tcPr>
          <w:p w14:paraId="0B3EC4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shd w:val="clear" w:color="auto" w:fill="auto"/>
            <w:noWrap/>
            <w:vAlign w:val="center"/>
          </w:tcPr>
          <w:p w14:paraId="6F2AD7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2C29EF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77C9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2BF73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346" w:type="pct"/>
            <w:shd w:val="clear" w:color="auto" w:fill="auto"/>
            <w:noWrap/>
            <w:vAlign w:val="center"/>
          </w:tcPr>
          <w:p w14:paraId="023C5F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LED状态显示屏</w:t>
            </w:r>
          </w:p>
        </w:tc>
        <w:tc>
          <w:tcPr>
            <w:tcW w:w="3493" w:type="pct"/>
            <w:shd w:val="clear" w:color="auto" w:fill="auto"/>
            <w:vAlign w:val="center"/>
          </w:tcPr>
          <w:p w14:paraId="2548B8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1.类型：室内双色显示屏；2.LED封装：国产；3.像素间距：≤4.75mm；4.像素密度：≥44000点/㎡；5.亮度：≥500cd/㎡；6.视角：≥120°。</w:t>
            </w:r>
          </w:p>
        </w:tc>
        <w:tc>
          <w:tcPr>
            <w:tcW w:w="221" w:type="pct"/>
            <w:shd w:val="clear" w:color="auto" w:fill="auto"/>
            <w:noWrap/>
            <w:vAlign w:val="center"/>
          </w:tcPr>
          <w:p w14:paraId="5B86ED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D0885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6CE6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34EA4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4490" w:type="pct"/>
            <w:gridSpan w:val="4"/>
            <w:shd w:val="clear" w:color="auto" w:fill="auto"/>
            <w:noWrap/>
            <w:vAlign w:val="center"/>
          </w:tcPr>
          <w:p w14:paraId="411037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询问室/兼远程取证室和远程提讯室（1间）</w:t>
            </w:r>
          </w:p>
        </w:tc>
      </w:tr>
      <w:tr w14:paraId="2680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509" w:type="pct"/>
            <w:shd w:val="clear" w:color="auto" w:fill="auto"/>
            <w:noWrap/>
            <w:vAlign w:val="center"/>
          </w:tcPr>
          <w:p w14:paraId="35C370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46" w:type="pct"/>
            <w:shd w:val="clear" w:color="auto" w:fill="auto"/>
            <w:noWrap/>
            <w:vAlign w:val="center"/>
          </w:tcPr>
          <w:p w14:paraId="23C3BA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1F15D6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049917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4CC05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610C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09" w:type="pct"/>
            <w:shd w:val="clear" w:color="auto" w:fill="auto"/>
            <w:noWrap/>
            <w:vAlign w:val="center"/>
          </w:tcPr>
          <w:p w14:paraId="6FE48C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46" w:type="pct"/>
            <w:shd w:val="clear" w:color="auto" w:fill="auto"/>
            <w:noWrap/>
            <w:vAlign w:val="center"/>
          </w:tcPr>
          <w:p w14:paraId="51947B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2E2E5D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64112E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71FAE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DA2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509" w:type="pct"/>
            <w:shd w:val="clear" w:color="auto" w:fill="auto"/>
            <w:noWrap/>
            <w:vAlign w:val="center"/>
          </w:tcPr>
          <w:p w14:paraId="507B9A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46" w:type="pct"/>
            <w:shd w:val="clear" w:color="auto" w:fill="auto"/>
            <w:noWrap/>
            <w:vAlign w:val="center"/>
          </w:tcPr>
          <w:p w14:paraId="5E638E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空间定位摄像机</w:t>
            </w:r>
          </w:p>
        </w:tc>
        <w:tc>
          <w:tcPr>
            <w:tcW w:w="3493" w:type="pct"/>
            <w:shd w:val="clear" w:color="auto" w:fill="auto"/>
            <w:vAlign w:val="center"/>
          </w:tcPr>
          <w:p w14:paraId="224EC3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shd w:val="clear" w:color="auto" w:fill="auto"/>
            <w:noWrap/>
            <w:vAlign w:val="center"/>
          </w:tcPr>
          <w:p w14:paraId="0B02FE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DC546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DB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331BB8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46" w:type="pct"/>
            <w:shd w:val="clear" w:color="auto" w:fill="auto"/>
            <w:noWrap/>
            <w:vAlign w:val="center"/>
          </w:tcPr>
          <w:p w14:paraId="64AB9F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签字摄像机</w:t>
            </w:r>
          </w:p>
        </w:tc>
        <w:tc>
          <w:tcPr>
            <w:tcW w:w="3493" w:type="pct"/>
            <w:shd w:val="clear" w:color="auto" w:fill="auto"/>
            <w:vAlign w:val="center"/>
          </w:tcPr>
          <w:p w14:paraId="51D7D8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shd w:val="clear" w:color="auto" w:fill="auto"/>
            <w:noWrap/>
            <w:vAlign w:val="center"/>
          </w:tcPr>
          <w:p w14:paraId="307576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FD772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5CA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4094D5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46" w:type="pct"/>
            <w:shd w:val="clear" w:color="auto" w:fill="auto"/>
            <w:noWrap/>
            <w:vAlign w:val="center"/>
          </w:tcPr>
          <w:p w14:paraId="18BC45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温湿度显示屏</w:t>
            </w:r>
          </w:p>
        </w:tc>
        <w:tc>
          <w:tcPr>
            <w:tcW w:w="3493" w:type="pct"/>
            <w:shd w:val="clear" w:color="auto" w:fill="auto"/>
            <w:vAlign w:val="center"/>
          </w:tcPr>
          <w:p w14:paraId="2196C7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shd w:val="clear" w:color="auto" w:fill="auto"/>
            <w:noWrap/>
            <w:vAlign w:val="center"/>
          </w:tcPr>
          <w:p w14:paraId="4786FD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8" w:type="pct"/>
            <w:shd w:val="clear" w:color="auto" w:fill="auto"/>
            <w:noWrap/>
            <w:vAlign w:val="center"/>
          </w:tcPr>
          <w:p w14:paraId="56F0B4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C39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46DC3E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46" w:type="pct"/>
            <w:shd w:val="clear" w:color="auto" w:fill="auto"/>
            <w:noWrap/>
            <w:vAlign w:val="center"/>
          </w:tcPr>
          <w:p w14:paraId="13E880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审讯主机</w:t>
            </w:r>
          </w:p>
        </w:tc>
        <w:tc>
          <w:tcPr>
            <w:tcW w:w="3493" w:type="pct"/>
            <w:shd w:val="clear" w:color="auto" w:fill="auto"/>
            <w:vAlign w:val="center"/>
          </w:tcPr>
          <w:p w14:paraId="5BC787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硬件规格：1.免拆机箱更换光驱设计，≥7英寸液晶触控显示屏，内置≥2个光驱；2.输入带宽≥256Mbps，输出带宽≥256Mbps；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3.≥8路视频输入，支持≥4K分辨率，≥2路HDMI输入和输出；4.≥4盘位硬盘，配置≥2块6TB硬盘；5.接口：≥2个LAN口，≥2个USB2.0。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p>
        </w:tc>
        <w:tc>
          <w:tcPr>
            <w:tcW w:w="221" w:type="pct"/>
            <w:shd w:val="clear" w:color="auto" w:fill="auto"/>
            <w:noWrap/>
            <w:vAlign w:val="center"/>
          </w:tcPr>
          <w:p w14:paraId="32BF35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BBE82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E32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71637A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46" w:type="pct"/>
            <w:shd w:val="clear" w:color="auto" w:fill="auto"/>
            <w:noWrap/>
            <w:vAlign w:val="center"/>
          </w:tcPr>
          <w:p w14:paraId="60BC2C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物证展示台</w:t>
            </w:r>
          </w:p>
        </w:tc>
        <w:tc>
          <w:tcPr>
            <w:tcW w:w="3493" w:type="pct"/>
            <w:shd w:val="clear" w:color="auto" w:fill="auto"/>
            <w:vAlign w:val="center"/>
          </w:tcPr>
          <w:p w14:paraId="78BD88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shd w:val="clear" w:color="auto" w:fill="auto"/>
            <w:noWrap/>
            <w:vAlign w:val="center"/>
          </w:tcPr>
          <w:p w14:paraId="35CA07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39ECF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6D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5B4312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46" w:type="pct"/>
            <w:shd w:val="clear" w:color="auto" w:fill="auto"/>
            <w:noWrap/>
            <w:vAlign w:val="center"/>
          </w:tcPr>
          <w:p w14:paraId="5C11B2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讯问管控终端</w:t>
            </w:r>
          </w:p>
        </w:tc>
        <w:tc>
          <w:tcPr>
            <w:tcW w:w="3493" w:type="pct"/>
            <w:shd w:val="clear" w:color="auto" w:fill="auto"/>
            <w:vAlign w:val="center"/>
          </w:tcPr>
          <w:p w14:paraId="41E467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含设备安装支架、终端电源及门锁套件。</w:t>
            </w:r>
          </w:p>
        </w:tc>
        <w:tc>
          <w:tcPr>
            <w:tcW w:w="221" w:type="pct"/>
            <w:shd w:val="clear" w:color="auto" w:fill="auto"/>
            <w:noWrap/>
            <w:vAlign w:val="center"/>
          </w:tcPr>
          <w:p w14:paraId="2880CC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B8C8B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F43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4E8F8C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46" w:type="pct"/>
            <w:shd w:val="clear" w:color="auto" w:fill="auto"/>
            <w:noWrap/>
            <w:vAlign w:val="center"/>
          </w:tcPr>
          <w:p w14:paraId="460A39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一体化审讯台</w:t>
            </w:r>
          </w:p>
        </w:tc>
        <w:tc>
          <w:tcPr>
            <w:tcW w:w="3493" w:type="pct"/>
            <w:shd w:val="clear" w:color="auto" w:fill="auto"/>
            <w:vAlign w:val="center"/>
          </w:tcPr>
          <w:p w14:paraId="11826D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1.钣金机柜，表面喷涂工艺，部分材料采用特质铝材，部分软包边材质；2.模块化设计，清晰明了，便于操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shd w:val="clear" w:color="auto" w:fill="auto"/>
            <w:noWrap/>
            <w:vAlign w:val="center"/>
          </w:tcPr>
          <w:p w14:paraId="797FA7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1E0BE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67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077237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346" w:type="pct"/>
            <w:shd w:val="clear" w:color="auto" w:fill="auto"/>
            <w:noWrap/>
            <w:vAlign w:val="center"/>
          </w:tcPr>
          <w:p w14:paraId="674284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center"/>
          </w:tcPr>
          <w:p w14:paraId="5A7B72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1BF86C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299F1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45D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03A202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 </w:t>
            </w:r>
          </w:p>
        </w:tc>
        <w:tc>
          <w:tcPr>
            <w:tcW w:w="346" w:type="pct"/>
            <w:shd w:val="clear" w:color="auto" w:fill="auto"/>
            <w:noWrap/>
            <w:vAlign w:val="center"/>
          </w:tcPr>
          <w:p w14:paraId="602A11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一体式提讯终端</w:t>
            </w:r>
          </w:p>
        </w:tc>
        <w:tc>
          <w:tcPr>
            <w:tcW w:w="3493" w:type="pct"/>
            <w:shd w:val="clear" w:color="auto" w:fill="auto"/>
            <w:vAlign w:val="center"/>
          </w:tcPr>
          <w:p w14:paraId="5DAF7A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1.终端采用一体化集成架构，嵌入式操作系统，内置≥12倍光学变焦云台相机，≥72度水平视场角，自动取景，便捷部署、快速安装；2.视频编解码协议支持 H.264 BP、H.264 HP、H.265 视频编解码协议选项；视频分辨率具备≥4K（30/25/15fps）等分辨率编解码和输入输出能力；3.具备不低于4K双流能力，终端内置不少于8阵列麦克风，拾音距离≥8米，高保真会议音频，精准还原会议人声；4.在不增加第三方设备或网关情况下，支持同网段的高清摄像头通过 IP 网络将图像发送给视频会议终端，可作为主流图像源或辅流图像源或直接输出到显示器；5.温湿度信息叠加，支持温湿度接入，可显示温湿度 OSD 信息，OSD 信息位置可调；6.支持双流协议，支持终端将PC机（静态或动态）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7.支持通过语音助手召集会议(点对点、多点);支持通过语音助手加入会议;支持通过语音助手进行会议控制(调节音量、邀请终端、发送内容共享、延长会议、点名选看)；8.支持设置模式倒装、正装、自适应。</w:t>
            </w:r>
          </w:p>
        </w:tc>
        <w:tc>
          <w:tcPr>
            <w:tcW w:w="221" w:type="pct"/>
            <w:shd w:val="clear" w:color="auto" w:fill="auto"/>
            <w:noWrap/>
            <w:vAlign w:val="center"/>
          </w:tcPr>
          <w:p w14:paraId="129D42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2840C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354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A4241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 </w:t>
            </w:r>
          </w:p>
        </w:tc>
        <w:tc>
          <w:tcPr>
            <w:tcW w:w="346" w:type="pct"/>
            <w:shd w:val="clear" w:color="auto" w:fill="auto"/>
            <w:noWrap/>
            <w:vAlign w:val="center"/>
          </w:tcPr>
          <w:p w14:paraId="17B7D4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鹅颈话筒</w:t>
            </w:r>
          </w:p>
        </w:tc>
        <w:tc>
          <w:tcPr>
            <w:tcW w:w="3493" w:type="pct"/>
            <w:shd w:val="clear" w:color="auto" w:fill="auto"/>
            <w:vAlign w:val="center"/>
          </w:tcPr>
          <w:p w14:paraId="3F25D0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1.频率响应：65 Hz~20 kHz；2.灵敏度：-29 dB ± 3 dB；3.换能方式：ECM电容式；4.输出接口：卡侬头；5.输出阻抗：2 kΩ；6.指向性：心形单指向</w:t>
            </w:r>
          </w:p>
        </w:tc>
        <w:tc>
          <w:tcPr>
            <w:tcW w:w="221" w:type="pct"/>
            <w:shd w:val="clear" w:color="auto" w:fill="auto"/>
            <w:noWrap/>
            <w:vAlign w:val="center"/>
          </w:tcPr>
          <w:p w14:paraId="32A2CE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CF95C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D63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2E091B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6.13 </w:t>
            </w:r>
          </w:p>
        </w:tc>
        <w:tc>
          <w:tcPr>
            <w:tcW w:w="346" w:type="pct"/>
            <w:shd w:val="clear" w:color="auto" w:fill="auto"/>
            <w:noWrap/>
            <w:vAlign w:val="center"/>
          </w:tcPr>
          <w:p w14:paraId="595D2F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音频输出终端</w:t>
            </w:r>
          </w:p>
        </w:tc>
        <w:tc>
          <w:tcPr>
            <w:tcW w:w="3493" w:type="pct"/>
            <w:shd w:val="clear" w:color="auto" w:fill="auto"/>
            <w:vAlign w:val="center"/>
          </w:tcPr>
          <w:p w14:paraId="714AA7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失真度：＜ 0.1%；低音单元：LF: ≥1 × 4"；频率范围：80 Hz~20 kHz；信噪比：＞ 82 dB；高音单元：HF: 1 × 1"；额定功率：≥30 W；灵敏度：93 ± 3 dB；工作电压：220 V/50 Hz；安装方式：壁挂安装，自带支架</w:t>
            </w:r>
          </w:p>
        </w:tc>
        <w:tc>
          <w:tcPr>
            <w:tcW w:w="221" w:type="pct"/>
            <w:shd w:val="clear" w:color="auto" w:fill="auto"/>
            <w:noWrap/>
            <w:vAlign w:val="center"/>
          </w:tcPr>
          <w:p w14:paraId="6966B3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28" w:type="pct"/>
            <w:shd w:val="clear" w:color="auto" w:fill="auto"/>
            <w:noWrap/>
            <w:vAlign w:val="center"/>
          </w:tcPr>
          <w:p w14:paraId="1E3EEE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096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3CAFBD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 </w:t>
            </w:r>
          </w:p>
        </w:tc>
        <w:tc>
          <w:tcPr>
            <w:tcW w:w="346" w:type="pct"/>
            <w:shd w:val="clear" w:color="auto" w:fill="auto"/>
            <w:noWrap/>
            <w:vAlign w:val="center"/>
          </w:tcPr>
          <w:p w14:paraId="1B1967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提讯显示屏</w:t>
            </w:r>
          </w:p>
        </w:tc>
        <w:tc>
          <w:tcPr>
            <w:tcW w:w="3493" w:type="pct"/>
            <w:shd w:val="clear" w:color="auto" w:fill="auto"/>
            <w:vAlign w:val="center"/>
          </w:tcPr>
          <w:p w14:paraId="3441D8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shd w:val="clear" w:color="auto" w:fill="auto"/>
            <w:noWrap/>
            <w:vAlign w:val="center"/>
          </w:tcPr>
          <w:p w14:paraId="35DFC1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8F646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B86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7CBFFB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 </w:t>
            </w:r>
          </w:p>
        </w:tc>
        <w:tc>
          <w:tcPr>
            <w:tcW w:w="346" w:type="pct"/>
            <w:shd w:val="clear" w:color="auto" w:fill="auto"/>
            <w:noWrap/>
            <w:vAlign w:val="center"/>
          </w:tcPr>
          <w:p w14:paraId="461DEE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取证会议终端</w:t>
            </w:r>
          </w:p>
        </w:tc>
        <w:tc>
          <w:tcPr>
            <w:tcW w:w="3493" w:type="pct"/>
            <w:shd w:val="clear" w:color="auto" w:fill="auto"/>
            <w:vAlign w:val="center"/>
          </w:tcPr>
          <w:p w14:paraId="0BD357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1.采用一体化集成架构，嵌入式操作系统，非 PC、非工控机架构，产品设备主要元器件采用国产器件，包含音视频编解码单元、CPU处理单元；2.支持ITU-T H.323 和IETF SIP 通信标准，速率范围支持 64kbps-16Mbps，具备强大的带宽处理能力，支持在 1Mbps-16Mbps 带宽下实现 4kP30fps 活动视频；3.支持单屏双显、单屏三显、双屏双显。可任意切换每个屏幕的显示内容（本地画面、会议画面、本地演示、会议演示）；支持画外画（左右对等两画面，品字型三画面，左大右两小三画面）、 画中画（一大一小，一大两小）；4.双流支持 H.239 和 BFCP 双流协议，支持终端将 PC 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5.在不增加第三方设备或网关情况下，支持同网段的高清摄像头通过 IP 网络将图像发送给视频会议终端，可作为主流图像源或辅流图像源或直接输出到显示器；6.温湿度信息叠加，支持温湿度接入，可显示温湿度 OSD 信息，OSD 信息位置可调；7.支持遥控近端或远端摄像机，支持对摄像机的上下、左右转动， 手动、自动调焦，视野调整，背光补偿，亮度调节，支持摄像机预置位快照及预览功能。</w:t>
            </w:r>
          </w:p>
        </w:tc>
        <w:tc>
          <w:tcPr>
            <w:tcW w:w="221" w:type="pct"/>
            <w:shd w:val="clear" w:color="auto" w:fill="auto"/>
            <w:noWrap/>
            <w:vAlign w:val="center"/>
          </w:tcPr>
          <w:p w14:paraId="4F3167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EC280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8CB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083060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6.16 </w:t>
            </w:r>
          </w:p>
        </w:tc>
        <w:tc>
          <w:tcPr>
            <w:tcW w:w="346" w:type="pct"/>
            <w:shd w:val="clear" w:color="auto" w:fill="auto"/>
            <w:noWrap/>
            <w:vAlign w:val="center"/>
          </w:tcPr>
          <w:p w14:paraId="7DEE01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取证显示器</w:t>
            </w:r>
          </w:p>
        </w:tc>
        <w:tc>
          <w:tcPr>
            <w:tcW w:w="3493" w:type="pct"/>
            <w:shd w:val="clear" w:color="auto" w:fill="auto"/>
            <w:vAlign w:val="center"/>
          </w:tcPr>
          <w:p w14:paraId="5098BA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shd w:val="clear" w:color="auto" w:fill="auto"/>
            <w:noWrap/>
            <w:vAlign w:val="center"/>
          </w:tcPr>
          <w:p w14:paraId="301995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C36D0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190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66602B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6.17 </w:t>
            </w:r>
          </w:p>
        </w:tc>
        <w:tc>
          <w:tcPr>
            <w:tcW w:w="346" w:type="pct"/>
            <w:shd w:val="clear" w:color="auto" w:fill="auto"/>
            <w:noWrap/>
            <w:vAlign w:val="center"/>
          </w:tcPr>
          <w:p w14:paraId="4A23E6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签字捺印板</w:t>
            </w:r>
          </w:p>
        </w:tc>
        <w:tc>
          <w:tcPr>
            <w:tcW w:w="3493" w:type="pct"/>
            <w:shd w:val="clear" w:color="auto" w:fill="auto"/>
            <w:vAlign w:val="center"/>
          </w:tcPr>
          <w:p w14:paraId="26B1F0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屏幕尺寸：≥10.1" ；屏幕类型：IPS LCD；显示比例：16:10；分辨率：≥1280*800；亮度：≥200；对比度：≥800:1；可视角度：水平 ≥170°，垂直≥170°；手写感应方式：电磁感应；指纹采集头类型：电容型</w:t>
            </w:r>
          </w:p>
        </w:tc>
        <w:tc>
          <w:tcPr>
            <w:tcW w:w="221" w:type="pct"/>
            <w:shd w:val="clear" w:color="auto" w:fill="auto"/>
            <w:noWrap/>
            <w:vAlign w:val="center"/>
          </w:tcPr>
          <w:p w14:paraId="6FE93A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D5DE6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0CB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6F6CF59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6.18 </w:t>
            </w:r>
          </w:p>
        </w:tc>
        <w:tc>
          <w:tcPr>
            <w:tcW w:w="346" w:type="pct"/>
            <w:shd w:val="clear" w:color="auto" w:fill="auto"/>
            <w:noWrap/>
            <w:vAlign w:val="center"/>
          </w:tcPr>
          <w:p w14:paraId="7E5CEC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音频输出终端</w:t>
            </w:r>
          </w:p>
        </w:tc>
        <w:tc>
          <w:tcPr>
            <w:tcW w:w="3493" w:type="pct"/>
            <w:shd w:val="clear" w:color="auto" w:fill="auto"/>
            <w:vAlign w:val="center"/>
          </w:tcPr>
          <w:p w14:paraId="688DBD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失真度：＜ 0.1%；低音单元：LF: 1 × 5"；频率范围：70 Hz~20 kHz；信噪比：＞ 82 dB；高音单元：HF: ≥1 × 1"；额定功率：≥50 W；灵敏度：95 ± 3 dB；工作电压：220 V/50 Hz；安装方式：壁挂安装，自带支架</w:t>
            </w:r>
          </w:p>
        </w:tc>
        <w:tc>
          <w:tcPr>
            <w:tcW w:w="221" w:type="pct"/>
            <w:shd w:val="clear" w:color="auto" w:fill="auto"/>
            <w:noWrap/>
            <w:vAlign w:val="center"/>
          </w:tcPr>
          <w:p w14:paraId="66122B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28" w:type="pct"/>
            <w:shd w:val="clear" w:color="auto" w:fill="auto"/>
            <w:noWrap/>
            <w:vAlign w:val="center"/>
          </w:tcPr>
          <w:p w14:paraId="5CF065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23B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09" w:type="pct"/>
            <w:shd w:val="clear" w:color="auto" w:fill="auto"/>
            <w:noWrap/>
            <w:vAlign w:val="center"/>
          </w:tcPr>
          <w:p w14:paraId="493CB9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6.19 </w:t>
            </w:r>
          </w:p>
        </w:tc>
        <w:tc>
          <w:tcPr>
            <w:tcW w:w="346" w:type="pct"/>
            <w:shd w:val="clear" w:color="auto" w:fill="auto"/>
            <w:noWrap/>
            <w:vAlign w:val="center"/>
          </w:tcPr>
          <w:p w14:paraId="0F5E76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拾音器</w:t>
            </w:r>
          </w:p>
        </w:tc>
        <w:tc>
          <w:tcPr>
            <w:tcW w:w="3493" w:type="pct"/>
            <w:shd w:val="clear" w:color="auto" w:fill="auto"/>
            <w:vAlign w:val="center"/>
          </w:tcPr>
          <w:p w14:paraId="43BC31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1153D1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238E765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7C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13D2F3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c>
          <w:tcPr>
            <w:tcW w:w="346" w:type="pct"/>
            <w:shd w:val="clear" w:color="auto" w:fill="auto"/>
            <w:noWrap/>
            <w:vAlign w:val="center"/>
          </w:tcPr>
          <w:p w14:paraId="0E97B8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取证终端</w:t>
            </w:r>
          </w:p>
        </w:tc>
        <w:tc>
          <w:tcPr>
            <w:tcW w:w="3493" w:type="pct"/>
            <w:shd w:val="clear" w:color="auto" w:fill="auto"/>
            <w:vAlign w:val="center"/>
          </w:tcPr>
          <w:p w14:paraId="3D9CC4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50BE11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F72E0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9E9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F0B5D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6.21 </w:t>
            </w:r>
          </w:p>
        </w:tc>
        <w:tc>
          <w:tcPr>
            <w:tcW w:w="346" w:type="pct"/>
            <w:shd w:val="clear" w:color="auto" w:fill="auto"/>
            <w:noWrap/>
            <w:vAlign w:val="center"/>
          </w:tcPr>
          <w:p w14:paraId="4BC506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有线耳机</w:t>
            </w:r>
          </w:p>
        </w:tc>
        <w:tc>
          <w:tcPr>
            <w:tcW w:w="3493" w:type="pct"/>
            <w:shd w:val="clear" w:color="auto" w:fill="auto"/>
            <w:vAlign w:val="center"/>
          </w:tcPr>
          <w:p w14:paraId="559419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佩戴方式入耳式耳机；麦克风频响范围20-20000Hz麦克风有；接口类型3.5mm外接AUX接口纠错；产品尺寸≥80x80x31mm；产品颜色黑色，白色</w:t>
            </w:r>
          </w:p>
        </w:tc>
        <w:tc>
          <w:tcPr>
            <w:tcW w:w="221" w:type="pct"/>
            <w:shd w:val="clear" w:color="auto" w:fill="auto"/>
            <w:noWrap/>
            <w:vAlign w:val="center"/>
          </w:tcPr>
          <w:p w14:paraId="5165ED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F3F90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DD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7E1256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6.22 </w:t>
            </w:r>
          </w:p>
        </w:tc>
        <w:tc>
          <w:tcPr>
            <w:tcW w:w="346" w:type="pct"/>
            <w:shd w:val="clear" w:color="auto" w:fill="auto"/>
            <w:noWrap/>
            <w:vAlign w:val="center"/>
          </w:tcPr>
          <w:p w14:paraId="10CE7B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民警坐具</w:t>
            </w:r>
          </w:p>
        </w:tc>
        <w:tc>
          <w:tcPr>
            <w:tcW w:w="3493" w:type="pct"/>
            <w:shd w:val="clear" w:color="auto" w:fill="auto"/>
            <w:vAlign w:val="center"/>
          </w:tcPr>
          <w:p w14:paraId="136165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4AC398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4C2464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7C8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9" w:type="pct"/>
            <w:shd w:val="clear" w:color="auto" w:fill="auto"/>
            <w:noWrap/>
            <w:vAlign w:val="center"/>
          </w:tcPr>
          <w:p w14:paraId="35933B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6.23 </w:t>
            </w:r>
          </w:p>
        </w:tc>
        <w:tc>
          <w:tcPr>
            <w:tcW w:w="346" w:type="pct"/>
            <w:shd w:val="clear" w:color="auto" w:fill="auto"/>
            <w:noWrap/>
            <w:vAlign w:val="center"/>
          </w:tcPr>
          <w:p w14:paraId="5094B2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审讯专用坐具</w:t>
            </w:r>
          </w:p>
        </w:tc>
        <w:tc>
          <w:tcPr>
            <w:tcW w:w="3493" w:type="pct"/>
            <w:shd w:val="clear" w:color="auto" w:fill="auto"/>
            <w:vAlign w:val="center"/>
          </w:tcPr>
          <w:p w14:paraId="45C7C3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shd w:val="clear" w:color="auto" w:fill="auto"/>
            <w:noWrap/>
            <w:vAlign w:val="center"/>
          </w:tcPr>
          <w:p w14:paraId="0647D5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51A437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5D4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5B04B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346" w:type="pct"/>
            <w:shd w:val="clear" w:color="auto" w:fill="auto"/>
            <w:noWrap/>
            <w:vAlign w:val="center"/>
          </w:tcPr>
          <w:p w14:paraId="61B0AA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LED状态显示屏</w:t>
            </w:r>
          </w:p>
        </w:tc>
        <w:tc>
          <w:tcPr>
            <w:tcW w:w="3493" w:type="pct"/>
            <w:shd w:val="clear" w:color="auto" w:fill="auto"/>
            <w:vAlign w:val="center"/>
          </w:tcPr>
          <w:p w14:paraId="2DF3B2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1.类型：室内双色显示屏；2.LED封装：国产；3.像素间距：≤4.75mm；4.像素密度：≥44000点/㎡；5.亮度：≥500cd/㎡；6.视角：≥120°。</w:t>
            </w:r>
          </w:p>
        </w:tc>
        <w:tc>
          <w:tcPr>
            <w:tcW w:w="221" w:type="pct"/>
            <w:shd w:val="clear" w:color="auto" w:fill="auto"/>
            <w:noWrap/>
            <w:vAlign w:val="center"/>
          </w:tcPr>
          <w:p w14:paraId="60B440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5FB4F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0A8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ED135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4490" w:type="pct"/>
            <w:gridSpan w:val="4"/>
            <w:shd w:val="clear" w:color="auto" w:fill="auto"/>
            <w:noWrap/>
            <w:vAlign w:val="center"/>
          </w:tcPr>
          <w:p w14:paraId="1A4148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未成年人询问室兼远程提讯室（1 间）</w:t>
            </w:r>
          </w:p>
        </w:tc>
      </w:tr>
      <w:tr w14:paraId="1EC0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09" w:type="pct"/>
            <w:shd w:val="clear" w:color="auto" w:fill="auto"/>
            <w:noWrap/>
            <w:vAlign w:val="center"/>
          </w:tcPr>
          <w:p w14:paraId="17BFCD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46" w:type="pct"/>
            <w:shd w:val="clear" w:color="auto" w:fill="auto"/>
            <w:noWrap/>
            <w:vAlign w:val="center"/>
          </w:tcPr>
          <w:p w14:paraId="711D9C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08BECF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0F9916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CC64B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2EA1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0BAF7F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46" w:type="pct"/>
            <w:shd w:val="clear" w:color="auto" w:fill="auto"/>
            <w:noWrap/>
            <w:vAlign w:val="center"/>
          </w:tcPr>
          <w:p w14:paraId="71E59E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07C930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2C17D2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E7A9F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ED6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509" w:type="pct"/>
            <w:shd w:val="clear" w:color="auto" w:fill="auto"/>
            <w:noWrap/>
            <w:vAlign w:val="center"/>
          </w:tcPr>
          <w:p w14:paraId="7D0F44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46" w:type="pct"/>
            <w:shd w:val="clear" w:color="auto" w:fill="auto"/>
            <w:noWrap/>
            <w:vAlign w:val="center"/>
          </w:tcPr>
          <w:p w14:paraId="23D173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空间定位摄像机</w:t>
            </w:r>
          </w:p>
        </w:tc>
        <w:tc>
          <w:tcPr>
            <w:tcW w:w="3493" w:type="pct"/>
            <w:shd w:val="clear" w:color="auto" w:fill="auto"/>
            <w:vAlign w:val="center"/>
          </w:tcPr>
          <w:p w14:paraId="188EC9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shd w:val="clear" w:color="auto" w:fill="auto"/>
            <w:noWrap/>
            <w:vAlign w:val="center"/>
          </w:tcPr>
          <w:p w14:paraId="62EF3E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1E772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0AA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100F93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46" w:type="pct"/>
            <w:shd w:val="clear" w:color="auto" w:fill="auto"/>
            <w:noWrap/>
            <w:vAlign w:val="center"/>
          </w:tcPr>
          <w:p w14:paraId="65D79C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签字摄像机</w:t>
            </w:r>
          </w:p>
        </w:tc>
        <w:tc>
          <w:tcPr>
            <w:tcW w:w="3493" w:type="pct"/>
            <w:shd w:val="clear" w:color="auto" w:fill="auto"/>
            <w:vAlign w:val="center"/>
          </w:tcPr>
          <w:p w14:paraId="571EDE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shd w:val="clear" w:color="auto" w:fill="auto"/>
            <w:noWrap/>
            <w:vAlign w:val="center"/>
          </w:tcPr>
          <w:p w14:paraId="368FA3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864C9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81C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09" w:type="pct"/>
            <w:shd w:val="clear" w:color="auto" w:fill="auto"/>
            <w:noWrap/>
            <w:vAlign w:val="center"/>
          </w:tcPr>
          <w:p w14:paraId="786819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46" w:type="pct"/>
            <w:shd w:val="clear" w:color="auto" w:fill="auto"/>
            <w:noWrap/>
            <w:vAlign w:val="center"/>
          </w:tcPr>
          <w:p w14:paraId="4ADDCD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温湿度显示屏</w:t>
            </w:r>
          </w:p>
        </w:tc>
        <w:tc>
          <w:tcPr>
            <w:tcW w:w="3493" w:type="pct"/>
            <w:shd w:val="clear" w:color="auto" w:fill="auto"/>
            <w:vAlign w:val="center"/>
          </w:tcPr>
          <w:p w14:paraId="7B1626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shd w:val="clear" w:color="auto" w:fill="auto"/>
            <w:noWrap/>
            <w:vAlign w:val="center"/>
          </w:tcPr>
          <w:p w14:paraId="3A70A0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8" w:type="pct"/>
            <w:shd w:val="clear" w:color="auto" w:fill="auto"/>
            <w:noWrap/>
            <w:vAlign w:val="center"/>
          </w:tcPr>
          <w:p w14:paraId="1964EA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F20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4EF08C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46" w:type="pct"/>
            <w:shd w:val="clear" w:color="auto" w:fill="auto"/>
            <w:noWrap/>
            <w:vAlign w:val="center"/>
          </w:tcPr>
          <w:p w14:paraId="5BC13D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审讯主机</w:t>
            </w:r>
          </w:p>
        </w:tc>
        <w:tc>
          <w:tcPr>
            <w:tcW w:w="3493" w:type="pct"/>
            <w:shd w:val="clear" w:color="auto" w:fill="auto"/>
            <w:vAlign w:val="center"/>
          </w:tcPr>
          <w:p w14:paraId="20DBAA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免拆机箱更换光驱设计，≥7英寸液晶触控显示屏，内置≥2个光驱；2.输入带宽≥256Mbps，输出带宽≥256Mbps；3.≥8路视频输入，支持≥4K分辨率，≥2路HDMI输入和输出；4.≥4盘位硬盘，配置≥2块6TB硬盘；5.接口：≥2个LAN口，≥2个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p>
        </w:tc>
        <w:tc>
          <w:tcPr>
            <w:tcW w:w="221" w:type="pct"/>
            <w:shd w:val="clear" w:color="auto" w:fill="auto"/>
            <w:noWrap/>
            <w:vAlign w:val="center"/>
          </w:tcPr>
          <w:p w14:paraId="51A2C3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CB92A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CD0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61EB73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46" w:type="pct"/>
            <w:shd w:val="clear" w:color="auto" w:fill="auto"/>
            <w:noWrap/>
            <w:vAlign w:val="center"/>
          </w:tcPr>
          <w:p w14:paraId="6DFE72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物证展示台</w:t>
            </w:r>
          </w:p>
        </w:tc>
        <w:tc>
          <w:tcPr>
            <w:tcW w:w="3493" w:type="pct"/>
            <w:shd w:val="clear" w:color="auto" w:fill="auto"/>
            <w:vAlign w:val="center"/>
          </w:tcPr>
          <w:p w14:paraId="0F9D6D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shd w:val="clear" w:color="auto" w:fill="auto"/>
            <w:noWrap/>
            <w:vAlign w:val="center"/>
          </w:tcPr>
          <w:p w14:paraId="66799B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01E9E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DF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09" w:type="pct"/>
            <w:shd w:val="clear" w:color="auto" w:fill="auto"/>
            <w:noWrap/>
            <w:vAlign w:val="center"/>
          </w:tcPr>
          <w:p w14:paraId="2AE066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46" w:type="pct"/>
            <w:shd w:val="clear" w:color="auto" w:fill="auto"/>
            <w:noWrap/>
            <w:vAlign w:val="center"/>
          </w:tcPr>
          <w:p w14:paraId="641219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讯问管控终端</w:t>
            </w:r>
          </w:p>
        </w:tc>
        <w:tc>
          <w:tcPr>
            <w:tcW w:w="3493" w:type="pct"/>
            <w:shd w:val="clear" w:color="auto" w:fill="auto"/>
            <w:vAlign w:val="center"/>
          </w:tcPr>
          <w:p w14:paraId="0C9C5F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含设备安装支架、终端电源及门锁套件。</w:t>
            </w:r>
          </w:p>
        </w:tc>
        <w:tc>
          <w:tcPr>
            <w:tcW w:w="221" w:type="pct"/>
            <w:shd w:val="clear" w:color="auto" w:fill="auto"/>
            <w:noWrap/>
            <w:vAlign w:val="center"/>
          </w:tcPr>
          <w:p w14:paraId="538E8F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F6787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C1D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02D67B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46" w:type="pct"/>
            <w:shd w:val="clear" w:color="auto" w:fill="auto"/>
            <w:noWrap/>
            <w:vAlign w:val="center"/>
          </w:tcPr>
          <w:p w14:paraId="351C70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一体化审讯台</w:t>
            </w:r>
          </w:p>
        </w:tc>
        <w:tc>
          <w:tcPr>
            <w:tcW w:w="3493" w:type="pct"/>
            <w:shd w:val="clear" w:color="auto" w:fill="auto"/>
            <w:vAlign w:val="center"/>
          </w:tcPr>
          <w:p w14:paraId="3447D0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1.钣金机柜，表面喷涂工艺，部分材料采用特质铝材，部分软包边材质；2.模块化设计，清晰明了，便于操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shd w:val="clear" w:color="auto" w:fill="auto"/>
            <w:noWrap/>
            <w:vAlign w:val="center"/>
          </w:tcPr>
          <w:p w14:paraId="188FD0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8093B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ACA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CB0A1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346" w:type="pct"/>
            <w:shd w:val="clear" w:color="auto" w:fill="auto"/>
            <w:noWrap/>
            <w:vAlign w:val="center"/>
          </w:tcPr>
          <w:p w14:paraId="6A8E2F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center"/>
          </w:tcPr>
          <w:p w14:paraId="7B44FF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7C83BE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F3CCD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496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A9A05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346" w:type="pct"/>
            <w:shd w:val="clear" w:color="auto" w:fill="auto"/>
            <w:noWrap/>
            <w:vAlign w:val="center"/>
          </w:tcPr>
          <w:p w14:paraId="285B1F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有线耳机</w:t>
            </w:r>
          </w:p>
        </w:tc>
        <w:tc>
          <w:tcPr>
            <w:tcW w:w="3493" w:type="pct"/>
            <w:shd w:val="clear" w:color="auto" w:fill="auto"/>
            <w:vAlign w:val="center"/>
          </w:tcPr>
          <w:p w14:paraId="4FABB6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佩戴方式入耳式耳机；麦克风频响范围20-20000Hz麦克风有；接口类型3.5mm外接AUX接口纠错；产品尺寸≥80x80x31mm；产品颜色黑色，白色</w:t>
            </w:r>
          </w:p>
        </w:tc>
        <w:tc>
          <w:tcPr>
            <w:tcW w:w="221" w:type="pct"/>
            <w:shd w:val="clear" w:color="auto" w:fill="auto"/>
            <w:noWrap/>
            <w:vAlign w:val="center"/>
          </w:tcPr>
          <w:p w14:paraId="002DE4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2B178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A2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6B6F42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7.12 </w:t>
            </w:r>
          </w:p>
        </w:tc>
        <w:tc>
          <w:tcPr>
            <w:tcW w:w="346" w:type="pct"/>
            <w:shd w:val="clear" w:color="auto" w:fill="auto"/>
            <w:noWrap/>
            <w:vAlign w:val="center"/>
          </w:tcPr>
          <w:p w14:paraId="637C6C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民警坐具</w:t>
            </w:r>
          </w:p>
        </w:tc>
        <w:tc>
          <w:tcPr>
            <w:tcW w:w="3493" w:type="pct"/>
            <w:shd w:val="clear" w:color="auto" w:fill="auto"/>
            <w:vAlign w:val="center"/>
          </w:tcPr>
          <w:p w14:paraId="209AFF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0773E3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7E6413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F01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3EC705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346" w:type="pct"/>
            <w:shd w:val="clear" w:color="auto" w:fill="auto"/>
            <w:noWrap/>
            <w:vAlign w:val="center"/>
          </w:tcPr>
          <w:p w14:paraId="1B8C6C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审讯专用坐具</w:t>
            </w:r>
          </w:p>
        </w:tc>
        <w:tc>
          <w:tcPr>
            <w:tcW w:w="3493" w:type="pct"/>
            <w:shd w:val="clear" w:color="auto" w:fill="auto"/>
            <w:vAlign w:val="center"/>
          </w:tcPr>
          <w:p w14:paraId="43C510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shd w:val="clear" w:color="auto" w:fill="auto"/>
            <w:noWrap/>
            <w:vAlign w:val="center"/>
          </w:tcPr>
          <w:p w14:paraId="25C5A3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43D585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6F2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40460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7.14 </w:t>
            </w:r>
          </w:p>
        </w:tc>
        <w:tc>
          <w:tcPr>
            <w:tcW w:w="346" w:type="pct"/>
            <w:shd w:val="clear" w:color="auto" w:fill="auto"/>
            <w:noWrap/>
            <w:vAlign w:val="center"/>
          </w:tcPr>
          <w:p w14:paraId="618D26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LED状态显示屏</w:t>
            </w:r>
          </w:p>
        </w:tc>
        <w:tc>
          <w:tcPr>
            <w:tcW w:w="3493" w:type="pct"/>
            <w:shd w:val="clear" w:color="auto" w:fill="auto"/>
            <w:vAlign w:val="center"/>
          </w:tcPr>
          <w:p w14:paraId="2D7A9F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1.类型：室内双色显示屏；2.LED封装：国产；3.像素间距：≤4.75mm；4.像素密度：≥44000点/㎡；5.亮度：≥500cd/㎡；6.视角：≥120°。</w:t>
            </w:r>
          </w:p>
        </w:tc>
        <w:tc>
          <w:tcPr>
            <w:tcW w:w="221" w:type="pct"/>
            <w:shd w:val="clear" w:color="auto" w:fill="auto"/>
            <w:noWrap/>
            <w:vAlign w:val="center"/>
          </w:tcPr>
          <w:p w14:paraId="35DDE6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B4AAB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84E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728982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7.15 </w:t>
            </w:r>
          </w:p>
        </w:tc>
        <w:tc>
          <w:tcPr>
            <w:tcW w:w="346" w:type="pct"/>
            <w:shd w:val="clear" w:color="auto" w:fill="auto"/>
            <w:noWrap/>
            <w:vAlign w:val="center"/>
          </w:tcPr>
          <w:p w14:paraId="32590F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监护人看护椅</w:t>
            </w:r>
          </w:p>
        </w:tc>
        <w:tc>
          <w:tcPr>
            <w:tcW w:w="3493" w:type="pct"/>
            <w:shd w:val="clear" w:color="auto" w:fill="auto"/>
            <w:vAlign w:val="center"/>
          </w:tcPr>
          <w:p w14:paraId="5CD2D9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71142A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0313F4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E9D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4839D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4490" w:type="pct"/>
            <w:gridSpan w:val="4"/>
            <w:shd w:val="clear" w:color="auto" w:fill="auto"/>
            <w:noWrap/>
            <w:vAlign w:val="center"/>
          </w:tcPr>
          <w:p w14:paraId="5F4760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看守所提讯室（1间）</w:t>
            </w:r>
          </w:p>
        </w:tc>
      </w:tr>
      <w:tr w14:paraId="775E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4AD9EF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46" w:type="pct"/>
            <w:shd w:val="clear" w:color="auto" w:fill="auto"/>
            <w:noWrap/>
            <w:vAlign w:val="center"/>
          </w:tcPr>
          <w:p w14:paraId="2CE253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4F0483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0C5B0D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59B15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7B2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117C25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46" w:type="pct"/>
            <w:shd w:val="clear" w:color="auto" w:fill="auto"/>
            <w:noWrap/>
            <w:vAlign w:val="center"/>
          </w:tcPr>
          <w:p w14:paraId="6D3988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349415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28987B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7A291B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350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7F60A0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46" w:type="pct"/>
            <w:shd w:val="clear" w:color="auto" w:fill="auto"/>
            <w:noWrap/>
            <w:vAlign w:val="center"/>
          </w:tcPr>
          <w:p w14:paraId="64116C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center"/>
          </w:tcPr>
          <w:p w14:paraId="557BB5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7684D7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4F05E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BE9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07FD18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46" w:type="pct"/>
            <w:shd w:val="clear" w:color="auto" w:fill="auto"/>
            <w:noWrap/>
            <w:vAlign w:val="center"/>
          </w:tcPr>
          <w:p w14:paraId="135A66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提讯摄像机</w:t>
            </w:r>
          </w:p>
        </w:tc>
        <w:tc>
          <w:tcPr>
            <w:tcW w:w="3493" w:type="pct"/>
            <w:shd w:val="clear" w:color="auto" w:fill="auto"/>
            <w:vAlign w:val="center"/>
          </w:tcPr>
          <w:p w14:paraId="4DC251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1.采用≥1/2.8英寸，≥200万像素CMOS传感器，可实现≥1920x1080高分辨率的优质图像；2.设备支持双mic拾音；3.光学变焦可达≥12倍，支持≥16倍数字变焦；4.至少满足超高帧率1080P下输出帧率可达60 fps。5.丰富完善的接口，支持HDMI高清输出，有效传输距离最高≥150米；6.支持远程控制，采用RS 232和RS 485串口，可对摄像机进行控制。</w:t>
            </w:r>
          </w:p>
        </w:tc>
        <w:tc>
          <w:tcPr>
            <w:tcW w:w="221" w:type="pct"/>
            <w:shd w:val="clear" w:color="auto" w:fill="auto"/>
            <w:noWrap/>
            <w:vAlign w:val="center"/>
          </w:tcPr>
          <w:p w14:paraId="719A84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60A23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B45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11536A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46" w:type="pct"/>
            <w:shd w:val="clear" w:color="auto" w:fill="auto"/>
            <w:noWrap/>
            <w:vAlign w:val="center"/>
          </w:tcPr>
          <w:p w14:paraId="0101F4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全向麦克风</w:t>
            </w:r>
          </w:p>
        </w:tc>
        <w:tc>
          <w:tcPr>
            <w:tcW w:w="3493" w:type="pct"/>
            <w:shd w:val="clear" w:color="auto" w:fill="auto"/>
            <w:vAlign w:val="center"/>
          </w:tcPr>
          <w:p w14:paraId="0B93FD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采样频率：300 Hz~16 KHz；麦克风类型：≥6个内置麦克风，MEMS；信噪比：≥ 86 dBV (@1 KHz)；采样率：≥48KHz；3A算法：支持；音频输入接口至少满足：1 x 3.5mm LINE IN × 1，RJ45 × 1；网络接口至少满足：百兆，IEEE 802.3at PoEUSB接口至少满足：USB2.0 x 1</w:t>
            </w:r>
          </w:p>
        </w:tc>
        <w:tc>
          <w:tcPr>
            <w:tcW w:w="221" w:type="pct"/>
            <w:shd w:val="clear" w:color="auto" w:fill="auto"/>
            <w:noWrap/>
            <w:vAlign w:val="center"/>
          </w:tcPr>
          <w:p w14:paraId="2A764E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8" w:type="pct"/>
            <w:shd w:val="clear" w:color="auto" w:fill="auto"/>
            <w:noWrap/>
            <w:vAlign w:val="center"/>
          </w:tcPr>
          <w:p w14:paraId="426E7D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7A5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292E38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46" w:type="pct"/>
            <w:shd w:val="clear" w:color="auto" w:fill="auto"/>
            <w:noWrap/>
            <w:vAlign w:val="center"/>
          </w:tcPr>
          <w:p w14:paraId="6EFE74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远程提讯终端</w:t>
            </w:r>
          </w:p>
        </w:tc>
        <w:tc>
          <w:tcPr>
            <w:tcW w:w="3493" w:type="pct"/>
            <w:shd w:val="clear" w:color="auto" w:fill="auto"/>
            <w:vAlign w:val="center"/>
          </w:tcPr>
          <w:p w14:paraId="1BB6F2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输入支持，≥1个HDMI音视频输入接口，≥1个DVI-I视音频输入接口，≥1个3G-SDI视频输入接口，输出：≥1个HDMI视音频输出接口，≥1个DVI-I视音频输出接口/1个3G-SDI视频输出接口;2.支持H.323、SIP等通讯协议的设置,支持呼叫码率128kbps-8Mbps可设置;3.支持呼叫码率128kbps-8Mbps可设置,具备≥4K分辨率图像的解码输出能力；4.支持在会议中，自动识别辅码流视频并 显示在会议画面中；支持在空闲时，自动识别辅码流视频并 显示在本地显示器上，无需切换显示器视频源；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5.同步能力应满足要求在开会时，与原始现场的声音相比，视频会议中声音相对图 像不存在明显滞后或超前；6.在开会时，打开语音激励功能后，支持 将声音最大的会场自动显示在大画面中；7.支持将会议画面作为RTSP监控码流发 送给其他监控系统，会议和监控系统同时使 用该画面；支持同网段的高清监控摄像机通过IP 网络将监控图像发送给设备，支持在会议过 程中调看实时监控画面；8.支持温湿度屏接入，画 面可叠加温湿度OSD信息，OSD信息位置可调；支持画面背景图片叠加功能，支持上传不少于10张1080P格式的图。</w:t>
            </w:r>
          </w:p>
        </w:tc>
        <w:tc>
          <w:tcPr>
            <w:tcW w:w="221" w:type="pct"/>
            <w:shd w:val="clear" w:color="auto" w:fill="auto"/>
            <w:noWrap/>
            <w:vAlign w:val="center"/>
          </w:tcPr>
          <w:p w14:paraId="0F0017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4148A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0ED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1A2EAB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46" w:type="pct"/>
            <w:shd w:val="clear" w:color="auto" w:fill="auto"/>
            <w:noWrap/>
            <w:vAlign w:val="center"/>
          </w:tcPr>
          <w:p w14:paraId="1B15A8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w:t>
            </w:r>
          </w:p>
        </w:tc>
        <w:tc>
          <w:tcPr>
            <w:tcW w:w="3493" w:type="pct"/>
            <w:shd w:val="clear" w:color="auto" w:fill="auto"/>
            <w:vAlign w:val="center"/>
          </w:tcPr>
          <w:p w14:paraId="095C1B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shd w:val="clear" w:color="auto" w:fill="auto"/>
            <w:noWrap/>
            <w:vAlign w:val="center"/>
          </w:tcPr>
          <w:p w14:paraId="27C923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6A5F3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113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73B583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46" w:type="pct"/>
            <w:shd w:val="clear" w:color="auto" w:fill="auto"/>
            <w:noWrap/>
            <w:vAlign w:val="center"/>
          </w:tcPr>
          <w:p w14:paraId="1DC6DF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379FDC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073376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F3DF1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0A6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448A9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4490" w:type="pct"/>
            <w:gridSpan w:val="4"/>
            <w:shd w:val="clear" w:color="auto" w:fill="auto"/>
            <w:noWrap/>
            <w:vAlign w:val="center"/>
          </w:tcPr>
          <w:p w14:paraId="5E8594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特殊询问室（1间）</w:t>
            </w:r>
          </w:p>
        </w:tc>
      </w:tr>
      <w:tr w14:paraId="489E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6BE285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46" w:type="pct"/>
            <w:shd w:val="clear" w:color="auto" w:fill="auto"/>
            <w:noWrap/>
            <w:vAlign w:val="center"/>
          </w:tcPr>
          <w:p w14:paraId="3D1744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4370AA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4F97B5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CB96B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E43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6325E5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46" w:type="pct"/>
            <w:shd w:val="clear" w:color="auto" w:fill="auto"/>
            <w:noWrap/>
            <w:vAlign w:val="center"/>
          </w:tcPr>
          <w:p w14:paraId="483DFA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7176BB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37ADDB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1A630E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78A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509" w:type="pct"/>
            <w:shd w:val="clear" w:color="auto" w:fill="auto"/>
            <w:noWrap/>
            <w:vAlign w:val="center"/>
          </w:tcPr>
          <w:p w14:paraId="2C15AF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46" w:type="pct"/>
            <w:shd w:val="clear" w:color="auto" w:fill="auto"/>
            <w:noWrap/>
            <w:vAlign w:val="center"/>
          </w:tcPr>
          <w:p w14:paraId="6213F8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空间定位摄像机</w:t>
            </w:r>
          </w:p>
        </w:tc>
        <w:tc>
          <w:tcPr>
            <w:tcW w:w="3493" w:type="pct"/>
            <w:shd w:val="clear" w:color="auto" w:fill="auto"/>
            <w:vAlign w:val="center"/>
          </w:tcPr>
          <w:p w14:paraId="389BB1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shd w:val="clear" w:color="auto" w:fill="auto"/>
            <w:noWrap/>
            <w:vAlign w:val="center"/>
          </w:tcPr>
          <w:p w14:paraId="6B15CA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54FFE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DED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6BC7A2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46" w:type="pct"/>
            <w:shd w:val="clear" w:color="auto" w:fill="auto"/>
            <w:noWrap/>
            <w:vAlign w:val="center"/>
          </w:tcPr>
          <w:p w14:paraId="52DDDC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签字摄像机</w:t>
            </w:r>
          </w:p>
        </w:tc>
        <w:tc>
          <w:tcPr>
            <w:tcW w:w="3493" w:type="pct"/>
            <w:shd w:val="clear" w:color="auto" w:fill="auto"/>
            <w:vAlign w:val="center"/>
          </w:tcPr>
          <w:p w14:paraId="2D35C4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shd w:val="clear" w:color="auto" w:fill="auto"/>
            <w:noWrap/>
            <w:vAlign w:val="center"/>
          </w:tcPr>
          <w:p w14:paraId="518FAB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9B1B4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72D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46F366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6" w:type="pct"/>
            <w:shd w:val="clear" w:color="auto" w:fill="auto"/>
            <w:noWrap/>
            <w:vAlign w:val="center"/>
          </w:tcPr>
          <w:p w14:paraId="3C11CF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温湿度显示屏</w:t>
            </w:r>
          </w:p>
        </w:tc>
        <w:tc>
          <w:tcPr>
            <w:tcW w:w="3493" w:type="pct"/>
            <w:shd w:val="clear" w:color="auto" w:fill="auto"/>
            <w:vAlign w:val="center"/>
          </w:tcPr>
          <w:p w14:paraId="161544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shd w:val="clear" w:color="auto" w:fill="auto"/>
            <w:noWrap/>
            <w:vAlign w:val="center"/>
          </w:tcPr>
          <w:p w14:paraId="44ECB7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8" w:type="pct"/>
            <w:shd w:val="clear" w:color="auto" w:fill="auto"/>
            <w:noWrap/>
            <w:vAlign w:val="center"/>
          </w:tcPr>
          <w:p w14:paraId="510464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DFD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6AEAA4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46" w:type="pct"/>
            <w:shd w:val="clear" w:color="auto" w:fill="auto"/>
            <w:noWrap/>
            <w:vAlign w:val="center"/>
          </w:tcPr>
          <w:p w14:paraId="3806A7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审讯主机</w:t>
            </w:r>
          </w:p>
        </w:tc>
        <w:tc>
          <w:tcPr>
            <w:tcW w:w="3493" w:type="pct"/>
            <w:shd w:val="clear" w:color="auto" w:fill="auto"/>
            <w:vAlign w:val="center"/>
          </w:tcPr>
          <w:p w14:paraId="7BCCD8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免拆机箱更换光驱设计，≥7英寸液晶触控显示屏，内置≥2个光驱；2.输入带宽≥256Mbps，输出带宽≥256Mbps；3.≥8路视频输入，支持≥4K分辨率，≥2路HDMI输入和输出；4.≥4盘位硬盘，配置≥2块6TB硬盘；5.接口：≥2个LAN口，≥2个USB2.0。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p>
        </w:tc>
        <w:tc>
          <w:tcPr>
            <w:tcW w:w="221" w:type="pct"/>
            <w:shd w:val="clear" w:color="auto" w:fill="auto"/>
            <w:noWrap/>
            <w:vAlign w:val="center"/>
          </w:tcPr>
          <w:p w14:paraId="4240C3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AE38B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076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51F796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46" w:type="pct"/>
            <w:shd w:val="clear" w:color="auto" w:fill="auto"/>
            <w:noWrap/>
            <w:vAlign w:val="center"/>
          </w:tcPr>
          <w:p w14:paraId="76AFE0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物证展示台</w:t>
            </w:r>
          </w:p>
        </w:tc>
        <w:tc>
          <w:tcPr>
            <w:tcW w:w="3493" w:type="pct"/>
            <w:shd w:val="clear" w:color="auto" w:fill="auto"/>
            <w:vAlign w:val="center"/>
          </w:tcPr>
          <w:p w14:paraId="45BAC0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shd w:val="clear" w:color="auto" w:fill="auto"/>
            <w:noWrap/>
            <w:vAlign w:val="center"/>
          </w:tcPr>
          <w:p w14:paraId="02F309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93CFF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DA8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09" w:type="pct"/>
            <w:shd w:val="clear" w:color="auto" w:fill="auto"/>
            <w:noWrap/>
            <w:vAlign w:val="center"/>
          </w:tcPr>
          <w:p w14:paraId="56D29A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46" w:type="pct"/>
            <w:shd w:val="clear" w:color="auto" w:fill="auto"/>
            <w:noWrap/>
            <w:vAlign w:val="center"/>
          </w:tcPr>
          <w:p w14:paraId="0EC08F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讯问管控终端</w:t>
            </w:r>
          </w:p>
        </w:tc>
        <w:tc>
          <w:tcPr>
            <w:tcW w:w="3493" w:type="pct"/>
            <w:shd w:val="clear" w:color="auto" w:fill="auto"/>
            <w:vAlign w:val="center"/>
          </w:tcPr>
          <w:p w14:paraId="692DD0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含设备安装支架、终端电源及门锁套件。</w:t>
            </w:r>
          </w:p>
        </w:tc>
        <w:tc>
          <w:tcPr>
            <w:tcW w:w="221" w:type="pct"/>
            <w:shd w:val="clear" w:color="auto" w:fill="auto"/>
            <w:noWrap/>
            <w:vAlign w:val="center"/>
          </w:tcPr>
          <w:p w14:paraId="7FA92E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72253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496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76504B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346" w:type="pct"/>
            <w:shd w:val="clear" w:color="auto" w:fill="auto"/>
            <w:noWrap/>
            <w:vAlign w:val="center"/>
          </w:tcPr>
          <w:p w14:paraId="4C179F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一体化审讯台</w:t>
            </w:r>
          </w:p>
        </w:tc>
        <w:tc>
          <w:tcPr>
            <w:tcW w:w="3493" w:type="pct"/>
            <w:shd w:val="clear" w:color="auto" w:fill="auto"/>
            <w:vAlign w:val="center"/>
          </w:tcPr>
          <w:p w14:paraId="622A62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1.钣金机柜，表面喷涂工艺，部分材料采用特质铝材，部分软包边材质；2.模块化设计，清晰明了，便于操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shd w:val="clear" w:color="auto" w:fill="auto"/>
            <w:noWrap/>
            <w:vAlign w:val="center"/>
          </w:tcPr>
          <w:p w14:paraId="3AED04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3D084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AEE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trPr>
        <w:tc>
          <w:tcPr>
            <w:tcW w:w="509" w:type="pct"/>
            <w:shd w:val="clear" w:color="auto" w:fill="auto"/>
            <w:noWrap/>
            <w:vAlign w:val="center"/>
          </w:tcPr>
          <w:p w14:paraId="582289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46" w:type="pct"/>
            <w:shd w:val="clear" w:color="auto" w:fill="auto"/>
            <w:noWrap/>
            <w:vAlign w:val="center"/>
          </w:tcPr>
          <w:p w14:paraId="6E2639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消毒设备</w:t>
            </w:r>
          </w:p>
        </w:tc>
        <w:tc>
          <w:tcPr>
            <w:tcW w:w="3493" w:type="pct"/>
            <w:shd w:val="clear" w:color="auto" w:fill="auto"/>
            <w:vAlign w:val="center"/>
          </w:tcPr>
          <w:p w14:paraId="1C17F9E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1、紫外线消毒灯，额定工作电压 220V；2、适用面积 20-50 ㎡；</w:t>
            </w:r>
          </w:p>
          <w:p w14:paraId="686148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2、可遥控定时。3、功率 20-40W；</w:t>
            </w:r>
          </w:p>
        </w:tc>
        <w:tc>
          <w:tcPr>
            <w:tcW w:w="221" w:type="pct"/>
            <w:shd w:val="clear" w:color="auto" w:fill="auto"/>
            <w:noWrap/>
            <w:vAlign w:val="center"/>
          </w:tcPr>
          <w:p w14:paraId="18660B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AF48F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C82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7" w:hRule="atLeast"/>
        </w:trPr>
        <w:tc>
          <w:tcPr>
            <w:tcW w:w="509" w:type="pct"/>
            <w:shd w:val="clear" w:color="auto" w:fill="auto"/>
            <w:noWrap/>
            <w:vAlign w:val="center"/>
          </w:tcPr>
          <w:p w14:paraId="468EEB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346" w:type="pct"/>
            <w:shd w:val="clear" w:color="auto" w:fill="auto"/>
            <w:noWrap/>
            <w:vAlign w:val="center"/>
          </w:tcPr>
          <w:p w14:paraId="60C6FA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窗口对讲</w:t>
            </w:r>
          </w:p>
        </w:tc>
        <w:tc>
          <w:tcPr>
            <w:tcW w:w="3493" w:type="pct"/>
            <w:shd w:val="clear" w:color="auto" w:fill="auto"/>
            <w:vAlign w:val="center"/>
          </w:tcPr>
          <w:p w14:paraId="206FFC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shd w:val="clear" w:color="auto" w:fill="auto"/>
            <w:noWrap/>
            <w:vAlign w:val="center"/>
          </w:tcPr>
          <w:p w14:paraId="421771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28" w:type="pct"/>
            <w:shd w:val="clear" w:color="auto" w:fill="auto"/>
            <w:noWrap/>
            <w:vAlign w:val="center"/>
          </w:tcPr>
          <w:p w14:paraId="4F8BDD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122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9" w:hRule="atLeast"/>
        </w:trPr>
        <w:tc>
          <w:tcPr>
            <w:tcW w:w="509" w:type="pct"/>
            <w:shd w:val="clear" w:color="auto" w:fill="auto"/>
            <w:noWrap/>
            <w:vAlign w:val="center"/>
          </w:tcPr>
          <w:p w14:paraId="23FC24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 </w:t>
            </w:r>
          </w:p>
        </w:tc>
        <w:tc>
          <w:tcPr>
            <w:tcW w:w="346" w:type="pct"/>
            <w:shd w:val="clear" w:color="auto" w:fill="auto"/>
            <w:noWrap/>
            <w:vAlign w:val="center"/>
          </w:tcPr>
          <w:p w14:paraId="2FDFD8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生命体征仪</w:t>
            </w:r>
          </w:p>
        </w:tc>
        <w:tc>
          <w:tcPr>
            <w:tcW w:w="3493" w:type="pct"/>
            <w:shd w:val="clear" w:color="auto" w:fill="auto"/>
            <w:vAlign w:val="center"/>
          </w:tcPr>
          <w:p w14:paraId="1B3E92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英寸彩色液晶显示，多种语言操作界面；2.无风扇设计，安静、节能、清洁，同时降低交叉感染的可能性；3.具有标准界面，呼吸氧合图，趋势共存界面，大字符界面，他床观察，便于用户观察；4.波形、参数颜色和位置可随意配置；5.通过按键和旋钮即可完成所有操作；6.最大同时显示8道波形；7.导心电同屏显示，心电波形级联显示；8.数字血氧技术，抗运动干扰，抗环境光干扰，弱灌注时可进行测量；9.无创血压测量方式：手动、连续、间隔测量任选，≥4800组血压数据存储；10.趋势表数据一键打印；11.内置可充电锂电池，交直流两用，可实现不间断监护</w:t>
            </w:r>
          </w:p>
        </w:tc>
        <w:tc>
          <w:tcPr>
            <w:tcW w:w="221" w:type="pct"/>
            <w:shd w:val="clear" w:color="auto" w:fill="auto"/>
            <w:noWrap/>
            <w:vAlign w:val="center"/>
          </w:tcPr>
          <w:p w14:paraId="6BCE46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FDC78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348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5" w:hRule="atLeast"/>
        </w:trPr>
        <w:tc>
          <w:tcPr>
            <w:tcW w:w="509" w:type="pct"/>
            <w:shd w:val="clear" w:color="auto" w:fill="auto"/>
            <w:noWrap/>
            <w:vAlign w:val="center"/>
          </w:tcPr>
          <w:p w14:paraId="119C230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w:t>
            </w:r>
          </w:p>
        </w:tc>
        <w:tc>
          <w:tcPr>
            <w:tcW w:w="346" w:type="pct"/>
            <w:shd w:val="clear" w:color="auto" w:fill="auto"/>
            <w:noWrap/>
            <w:vAlign w:val="center"/>
          </w:tcPr>
          <w:p w14:paraId="5FEA32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捺印交互终端</w:t>
            </w:r>
          </w:p>
        </w:tc>
        <w:tc>
          <w:tcPr>
            <w:tcW w:w="3493" w:type="pct"/>
            <w:shd w:val="clear" w:color="auto" w:fill="auto"/>
            <w:vAlign w:val="center"/>
          </w:tcPr>
          <w:p w14:paraId="43B30F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shd w:val="clear" w:color="auto" w:fill="auto"/>
            <w:noWrap/>
            <w:vAlign w:val="center"/>
          </w:tcPr>
          <w:p w14:paraId="1BF035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F70F5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A18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09" w:type="pct"/>
            <w:shd w:val="clear" w:color="auto" w:fill="auto"/>
            <w:noWrap/>
            <w:vAlign w:val="center"/>
          </w:tcPr>
          <w:p w14:paraId="48001D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346" w:type="pct"/>
            <w:shd w:val="clear" w:color="auto" w:fill="auto"/>
            <w:noWrap/>
            <w:vAlign w:val="center"/>
          </w:tcPr>
          <w:p w14:paraId="4331D6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有线耳机</w:t>
            </w:r>
          </w:p>
        </w:tc>
        <w:tc>
          <w:tcPr>
            <w:tcW w:w="3493" w:type="pct"/>
            <w:shd w:val="clear" w:color="auto" w:fill="auto"/>
            <w:vAlign w:val="center"/>
          </w:tcPr>
          <w:p w14:paraId="39B853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佩戴方式入耳式耳机；麦克风频响范围20-20000Hz麦克风有；接口类型3.5mm外接AUX接口纠错；产品尺寸≥80x80x31mm；产品颜色黑色，白色。</w:t>
            </w:r>
          </w:p>
        </w:tc>
        <w:tc>
          <w:tcPr>
            <w:tcW w:w="221" w:type="pct"/>
            <w:shd w:val="clear" w:color="auto" w:fill="auto"/>
            <w:noWrap/>
            <w:vAlign w:val="center"/>
          </w:tcPr>
          <w:p w14:paraId="055295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7AA37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B0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1" w:hRule="atLeast"/>
        </w:trPr>
        <w:tc>
          <w:tcPr>
            <w:tcW w:w="509" w:type="pct"/>
            <w:shd w:val="clear" w:color="auto" w:fill="auto"/>
            <w:noWrap/>
            <w:vAlign w:val="center"/>
          </w:tcPr>
          <w:p w14:paraId="7F4C19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9.15 </w:t>
            </w:r>
          </w:p>
        </w:tc>
        <w:tc>
          <w:tcPr>
            <w:tcW w:w="346" w:type="pct"/>
            <w:shd w:val="clear" w:color="auto" w:fill="auto"/>
            <w:noWrap/>
            <w:vAlign w:val="center"/>
          </w:tcPr>
          <w:p w14:paraId="69323B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民警坐具</w:t>
            </w:r>
          </w:p>
        </w:tc>
        <w:tc>
          <w:tcPr>
            <w:tcW w:w="3493" w:type="pct"/>
            <w:shd w:val="clear" w:color="auto" w:fill="auto"/>
            <w:vAlign w:val="center"/>
          </w:tcPr>
          <w:p w14:paraId="33C94F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08920B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22F921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760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8" w:hRule="atLeast"/>
        </w:trPr>
        <w:tc>
          <w:tcPr>
            <w:tcW w:w="509" w:type="pct"/>
            <w:shd w:val="clear" w:color="auto" w:fill="auto"/>
            <w:noWrap/>
            <w:vAlign w:val="center"/>
          </w:tcPr>
          <w:p w14:paraId="17EA34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9.16 </w:t>
            </w:r>
          </w:p>
        </w:tc>
        <w:tc>
          <w:tcPr>
            <w:tcW w:w="346" w:type="pct"/>
            <w:shd w:val="clear" w:color="auto" w:fill="auto"/>
            <w:noWrap/>
            <w:vAlign w:val="center"/>
          </w:tcPr>
          <w:p w14:paraId="69BA35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审讯专用坐具</w:t>
            </w:r>
          </w:p>
        </w:tc>
        <w:tc>
          <w:tcPr>
            <w:tcW w:w="3493" w:type="pct"/>
            <w:shd w:val="clear" w:color="auto" w:fill="auto"/>
            <w:vAlign w:val="center"/>
          </w:tcPr>
          <w:p w14:paraId="49428F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shd w:val="clear" w:color="auto" w:fill="auto"/>
            <w:noWrap/>
            <w:vAlign w:val="center"/>
          </w:tcPr>
          <w:p w14:paraId="40221D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59DC18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E0F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9" w:type="pct"/>
            <w:shd w:val="clear" w:color="auto" w:fill="auto"/>
            <w:noWrap/>
            <w:vAlign w:val="center"/>
          </w:tcPr>
          <w:p w14:paraId="6C3361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346" w:type="pct"/>
            <w:shd w:val="clear" w:color="auto" w:fill="auto"/>
            <w:noWrap/>
            <w:vAlign w:val="center"/>
          </w:tcPr>
          <w:p w14:paraId="05E2DE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LED状态显示屏</w:t>
            </w:r>
          </w:p>
        </w:tc>
        <w:tc>
          <w:tcPr>
            <w:tcW w:w="3493" w:type="pct"/>
            <w:shd w:val="clear" w:color="auto" w:fill="auto"/>
            <w:vAlign w:val="center"/>
          </w:tcPr>
          <w:p w14:paraId="601404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1.类型：室内双色显示屏；2.LED封装：国产；3.像素间距：≤4.75mm；4.像素密度：≥44000点/㎡；5.亮度：≥500cd/㎡；6.视角：≥120°。</w:t>
            </w:r>
          </w:p>
        </w:tc>
        <w:tc>
          <w:tcPr>
            <w:tcW w:w="221" w:type="pct"/>
            <w:shd w:val="clear" w:color="auto" w:fill="auto"/>
            <w:noWrap/>
            <w:vAlign w:val="center"/>
          </w:tcPr>
          <w:p w14:paraId="70DB23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6F843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637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16559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4490" w:type="pct"/>
            <w:gridSpan w:val="4"/>
            <w:shd w:val="clear" w:color="auto" w:fill="auto"/>
            <w:noWrap/>
            <w:vAlign w:val="center"/>
          </w:tcPr>
          <w:p w14:paraId="78481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律师会见室（1间）</w:t>
            </w:r>
          </w:p>
        </w:tc>
      </w:tr>
      <w:tr w14:paraId="435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09" w:type="pct"/>
            <w:shd w:val="clear" w:color="auto" w:fill="auto"/>
            <w:noWrap/>
            <w:vAlign w:val="center"/>
          </w:tcPr>
          <w:p w14:paraId="51FAF0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46" w:type="pct"/>
            <w:shd w:val="clear" w:color="auto" w:fill="auto"/>
            <w:noWrap/>
            <w:vAlign w:val="center"/>
          </w:tcPr>
          <w:p w14:paraId="46FE87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16CECC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565B1E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FFFD1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551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4FDBB3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46" w:type="pct"/>
            <w:shd w:val="clear" w:color="auto" w:fill="auto"/>
            <w:noWrap/>
            <w:vAlign w:val="center"/>
          </w:tcPr>
          <w:p w14:paraId="6A0B9C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0FAEA1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7F92AE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10BF75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7EF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56145E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46" w:type="pct"/>
            <w:shd w:val="clear" w:color="auto" w:fill="auto"/>
            <w:noWrap/>
            <w:vAlign w:val="center"/>
          </w:tcPr>
          <w:p w14:paraId="09CE5F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业务操作台</w:t>
            </w:r>
          </w:p>
        </w:tc>
        <w:tc>
          <w:tcPr>
            <w:tcW w:w="3493" w:type="pct"/>
            <w:shd w:val="clear" w:color="auto" w:fill="auto"/>
            <w:vAlign w:val="center"/>
          </w:tcPr>
          <w:p w14:paraId="0FEC69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材质：1、面材：采用优质多层板，桌面厚度 225mm。2、基材：采用 E0 级多层板，要求达到 GB18580-2017 所规定的标准，单醛释放量≤0.124mg/m3;3、独立侧柜，侧柜含主机柜，隐藏式多功能线盒双层隔断置物。4、铰链：操作力在耐久性实验前后，打开力和关闭力不应大于 20N。耐久性商用试验：80000 次，无缺陷。5、导轨：功能耐久性（8000 次）、垂直向下静载荷（25ON)、水平侧向静载荷（150N)、拉出安全性、猛关或猛开，所有组件或连接件不应断损坏、五金连接件不松动、所有组件的功能不应损害。6、锁具：冲压件应无脱层、裂缝，电镀层表面应无剥落、反绣、毛刺，金属电镀层抗盐雾试验：18h,1.5mm 以下锈点≤20 点／ dm ，其中≥1.0mm</w:t>
            </w:r>
          </w:p>
        </w:tc>
        <w:tc>
          <w:tcPr>
            <w:tcW w:w="221" w:type="pct"/>
            <w:shd w:val="clear" w:color="auto" w:fill="auto"/>
            <w:noWrap/>
            <w:vAlign w:val="center"/>
          </w:tcPr>
          <w:p w14:paraId="5CB2A6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28" w:type="pct"/>
            <w:shd w:val="clear" w:color="auto" w:fill="auto"/>
            <w:noWrap/>
            <w:vAlign w:val="center"/>
          </w:tcPr>
          <w:p w14:paraId="674D7B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66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282775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346" w:type="pct"/>
            <w:shd w:val="clear" w:color="auto" w:fill="auto"/>
            <w:noWrap/>
            <w:vAlign w:val="center"/>
          </w:tcPr>
          <w:p w14:paraId="7C3DE4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民警坐具</w:t>
            </w:r>
          </w:p>
        </w:tc>
        <w:tc>
          <w:tcPr>
            <w:tcW w:w="3493" w:type="pct"/>
            <w:shd w:val="clear" w:color="auto" w:fill="auto"/>
            <w:vAlign w:val="center"/>
          </w:tcPr>
          <w:p w14:paraId="5D77EF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70B3F5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2E7F75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530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6F92B2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46" w:type="pct"/>
            <w:shd w:val="clear" w:color="auto" w:fill="auto"/>
            <w:noWrap/>
            <w:vAlign w:val="center"/>
          </w:tcPr>
          <w:p w14:paraId="0580CE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审讯专用坐具</w:t>
            </w:r>
          </w:p>
        </w:tc>
        <w:tc>
          <w:tcPr>
            <w:tcW w:w="3493" w:type="pct"/>
            <w:shd w:val="clear" w:color="auto" w:fill="auto"/>
            <w:vAlign w:val="center"/>
          </w:tcPr>
          <w:p w14:paraId="34A678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shd w:val="clear" w:color="auto" w:fill="auto"/>
            <w:noWrap/>
            <w:vAlign w:val="center"/>
          </w:tcPr>
          <w:p w14:paraId="1B2977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15531E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C87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3C43C9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4490" w:type="pct"/>
            <w:gridSpan w:val="4"/>
            <w:shd w:val="clear" w:color="auto" w:fill="auto"/>
            <w:noWrap/>
            <w:vAlign w:val="center"/>
          </w:tcPr>
          <w:p w14:paraId="5C0D3C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醒酒室</w:t>
            </w:r>
          </w:p>
        </w:tc>
      </w:tr>
      <w:tr w14:paraId="6D9D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247331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46" w:type="pct"/>
            <w:shd w:val="clear" w:color="auto" w:fill="auto"/>
            <w:noWrap/>
            <w:vAlign w:val="center"/>
          </w:tcPr>
          <w:p w14:paraId="310997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409261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036CF2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81E1D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75F3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3B93E4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46" w:type="pct"/>
            <w:shd w:val="clear" w:color="auto" w:fill="auto"/>
            <w:noWrap/>
            <w:vAlign w:val="center"/>
          </w:tcPr>
          <w:p w14:paraId="7BA4CC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05AFC0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1EC125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7AFBC0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3A74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C44D0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46" w:type="pct"/>
            <w:shd w:val="clear" w:color="auto" w:fill="auto"/>
            <w:noWrap/>
            <w:vAlign w:val="center"/>
          </w:tcPr>
          <w:p w14:paraId="1667FC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药品柜</w:t>
            </w:r>
          </w:p>
        </w:tc>
        <w:tc>
          <w:tcPr>
            <w:tcW w:w="3493" w:type="pct"/>
            <w:shd w:val="clear" w:color="auto" w:fill="auto"/>
            <w:vAlign w:val="center"/>
          </w:tcPr>
          <w:p w14:paraId="6929B6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二抽药柜,1800*900*500/280mm</w:t>
            </w:r>
          </w:p>
        </w:tc>
        <w:tc>
          <w:tcPr>
            <w:tcW w:w="221" w:type="pct"/>
            <w:shd w:val="clear" w:color="auto" w:fill="auto"/>
            <w:noWrap/>
            <w:vAlign w:val="center"/>
          </w:tcPr>
          <w:p w14:paraId="078652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2825B6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EAD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43C896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46" w:type="pct"/>
            <w:shd w:val="clear" w:color="auto" w:fill="auto"/>
            <w:noWrap/>
            <w:vAlign w:val="center"/>
          </w:tcPr>
          <w:p w14:paraId="2432B9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醒酒椅</w:t>
            </w:r>
          </w:p>
        </w:tc>
        <w:tc>
          <w:tcPr>
            <w:tcW w:w="3493" w:type="pct"/>
            <w:shd w:val="clear" w:color="auto" w:fill="auto"/>
            <w:vAlign w:val="center"/>
          </w:tcPr>
          <w:p w14:paraId="624EC1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固定的铁制椅子，对面板和扶手进行了软包装，腿部、胸部、手臂处有木棍或伸缩带固定，坐上可使人不能动弹，防止醉酒人员在意识不清醒的情况下闹事。</w:t>
            </w:r>
          </w:p>
        </w:tc>
        <w:tc>
          <w:tcPr>
            <w:tcW w:w="221" w:type="pct"/>
            <w:shd w:val="clear" w:color="auto" w:fill="auto"/>
            <w:noWrap/>
            <w:vAlign w:val="center"/>
          </w:tcPr>
          <w:p w14:paraId="50CA44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28" w:type="pct"/>
            <w:shd w:val="clear" w:color="auto" w:fill="auto"/>
            <w:noWrap/>
            <w:vAlign w:val="center"/>
          </w:tcPr>
          <w:p w14:paraId="5231CB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29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0D6AB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4490" w:type="pct"/>
            <w:gridSpan w:val="4"/>
            <w:shd w:val="clear" w:color="auto" w:fill="auto"/>
            <w:noWrap/>
            <w:vAlign w:val="center"/>
          </w:tcPr>
          <w:p w14:paraId="77158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辨认室</w:t>
            </w:r>
          </w:p>
        </w:tc>
      </w:tr>
      <w:tr w14:paraId="719C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74AB86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46" w:type="pct"/>
            <w:shd w:val="clear" w:color="auto" w:fill="auto"/>
            <w:noWrap/>
            <w:vAlign w:val="center"/>
          </w:tcPr>
          <w:p w14:paraId="4998D0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0C87F8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17708C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0A6D1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13B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5EBB33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46" w:type="pct"/>
            <w:shd w:val="clear" w:color="auto" w:fill="auto"/>
            <w:noWrap/>
            <w:vAlign w:val="center"/>
          </w:tcPr>
          <w:p w14:paraId="685E1A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1DED64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61D0E3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D9EFF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80D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061755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46" w:type="pct"/>
            <w:shd w:val="clear" w:color="auto" w:fill="auto"/>
            <w:noWrap/>
            <w:vAlign w:val="center"/>
          </w:tcPr>
          <w:p w14:paraId="06284E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0F1634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61BF67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39FBE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F35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3816E5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46" w:type="pct"/>
            <w:shd w:val="clear" w:color="auto" w:fill="auto"/>
            <w:noWrap/>
            <w:vAlign w:val="center"/>
          </w:tcPr>
          <w:p w14:paraId="65B87D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窗口对讲</w:t>
            </w:r>
          </w:p>
        </w:tc>
        <w:tc>
          <w:tcPr>
            <w:tcW w:w="3493" w:type="pct"/>
            <w:shd w:val="clear" w:color="auto" w:fill="auto"/>
            <w:vAlign w:val="center"/>
          </w:tcPr>
          <w:p w14:paraId="79F89B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shd w:val="clear" w:color="auto" w:fill="auto"/>
            <w:noWrap/>
            <w:vAlign w:val="center"/>
          </w:tcPr>
          <w:p w14:paraId="68E272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28" w:type="pct"/>
            <w:shd w:val="clear" w:color="auto" w:fill="auto"/>
            <w:noWrap/>
            <w:vAlign w:val="center"/>
          </w:tcPr>
          <w:p w14:paraId="4C9492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5F3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156C24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4490" w:type="pct"/>
            <w:gridSpan w:val="4"/>
            <w:shd w:val="clear" w:color="auto" w:fill="auto"/>
            <w:noWrap/>
            <w:vAlign w:val="center"/>
          </w:tcPr>
          <w:p w14:paraId="38DAB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办案区走廊</w:t>
            </w:r>
          </w:p>
        </w:tc>
      </w:tr>
      <w:tr w14:paraId="50DB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09" w:type="pct"/>
            <w:shd w:val="clear" w:color="auto" w:fill="auto"/>
            <w:noWrap/>
            <w:vAlign w:val="center"/>
          </w:tcPr>
          <w:p w14:paraId="4B6D4E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46" w:type="pct"/>
            <w:shd w:val="clear" w:color="auto" w:fill="auto"/>
            <w:noWrap/>
            <w:vAlign w:val="center"/>
          </w:tcPr>
          <w:p w14:paraId="78FF94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515C23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7CEC85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7371F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6F79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09" w:type="pct"/>
            <w:shd w:val="clear" w:color="auto" w:fill="auto"/>
            <w:noWrap/>
            <w:vAlign w:val="center"/>
          </w:tcPr>
          <w:p w14:paraId="6E3A83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46" w:type="pct"/>
            <w:shd w:val="clear" w:color="auto" w:fill="auto"/>
            <w:noWrap/>
            <w:vAlign w:val="center"/>
          </w:tcPr>
          <w:p w14:paraId="55F1A2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4002F3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03C53B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16204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7564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158BEB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46" w:type="pct"/>
            <w:shd w:val="clear" w:color="auto" w:fill="auto"/>
            <w:noWrap/>
            <w:vAlign w:val="center"/>
          </w:tcPr>
          <w:p w14:paraId="67937C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247D08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0A214A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BE09A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707D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369DAF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46" w:type="pct"/>
            <w:shd w:val="clear" w:color="auto" w:fill="auto"/>
            <w:noWrap/>
            <w:vAlign w:val="center"/>
          </w:tcPr>
          <w:p w14:paraId="2E8084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配套设备</w:t>
            </w:r>
          </w:p>
        </w:tc>
        <w:tc>
          <w:tcPr>
            <w:tcW w:w="3493" w:type="pct"/>
            <w:shd w:val="clear" w:color="auto" w:fill="auto"/>
            <w:vAlign w:val="center"/>
          </w:tcPr>
          <w:p w14:paraId="5025AE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成品定制：尺寸：2*2.4</w:t>
            </w:r>
          </w:p>
        </w:tc>
        <w:tc>
          <w:tcPr>
            <w:tcW w:w="221" w:type="pct"/>
            <w:shd w:val="clear" w:color="auto" w:fill="auto"/>
            <w:noWrap/>
            <w:vAlign w:val="center"/>
          </w:tcPr>
          <w:p w14:paraId="0FB45D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7A225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395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8348D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4490" w:type="pct"/>
            <w:gridSpan w:val="4"/>
            <w:shd w:val="clear" w:color="auto" w:fill="auto"/>
            <w:noWrap/>
            <w:vAlign w:val="center"/>
          </w:tcPr>
          <w:p w14:paraId="0BAD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办案区机房</w:t>
            </w:r>
          </w:p>
        </w:tc>
      </w:tr>
      <w:tr w14:paraId="75B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9" w:type="pct"/>
            <w:shd w:val="clear" w:color="auto" w:fill="auto"/>
            <w:noWrap/>
            <w:vAlign w:val="center"/>
          </w:tcPr>
          <w:p w14:paraId="637F40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46" w:type="pct"/>
            <w:shd w:val="clear" w:color="auto" w:fill="auto"/>
            <w:noWrap/>
            <w:vAlign w:val="center"/>
          </w:tcPr>
          <w:p w14:paraId="4E19A3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3493" w:type="pct"/>
            <w:shd w:val="clear" w:color="auto" w:fill="auto"/>
            <w:vAlign w:val="center"/>
          </w:tcPr>
          <w:p w14:paraId="0D42E8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42U服务器机柜：承重：静态≥1000KG；前后门材质：前单开网孔门，后双开网孔门，冷轧板 T≥1.2；门敞开百分比：前门≥78%，后门≥77%；侧门材质：冷轧板 T≥1.0；门框左右立柱材质：冷轧板 T≥1.2（框架）；左右支架：冷轧板 T≥2.0；横梁：冷轧板 T≥1.2；层板：≥1个，宽470*深850*高48 mm，误差±5%，承重≥60KG；L型隔条/支架：≥1对，长850*宽38*高38 mm，误差±5%，承重≥30KG；PDU：≥1个，≥8口PDU，输入≥10A，带≥2M线；滚轮：支持，≥4个；脚撑：支持，≥4个；辅件：≥40套安装螺丝，前/后侧门钥匙各两把；尺寸（宽*深*高）：600*1200*2000 mm，误差±5%</w:t>
            </w:r>
          </w:p>
        </w:tc>
        <w:tc>
          <w:tcPr>
            <w:tcW w:w="221" w:type="pct"/>
            <w:shd w:val="clear" w:color="auto" w:fill="auto"/>
            <w:noWrap/>
            <w:vAlign w:val="center"/>
          </w:tcPr>
          <w:p w14:paraId="02DEEC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2BB08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397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3EF6DE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46" w:type="pct"/>
            <w:shd w:val="clear" w:color="auto" w:fill="auto"/>
            <w:noWrap/>
            <w:vAlign w:val="center"/>
          </w:tcPr>
          <w:p w14:paraId="0EFDF2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3493" w:type="pct"/>
            <w:shd w:val="clear" w:color="auto" w:fill="auto"/>
            <w:vAlign w:val="center"/>
          </w:tcPr>
          <w:p w14:paraId="25AC1A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容量：15KW/15KVA；额定输入电压：380/400/415Vac；输入电压范围：138～485Vac；相数：三相五线；输入频率范围：40~70Hz；输入功率因数：满载≥0.99；输出电压：380/400/415(1±1%)Vac；输出频率：市电模式：与输入同步；当市电频率超出最大±10%（可设置±1%、±2%、±4%、±5%）时，输出频率50/60(±0.1);电池模式：50/60(±0.1)；整机效率：≥95%；功率因数：≥1；过载能力：115％以下：长时间运行；115％~130％：15min；130％~155％：1min；＞155%：200ms；电池电压：支持24-40节可设(默认32节)；工作温度：-5℃～40℃；存储温度：-25℃～55℃(不含电池)；相对湿度：0%～95%(不凝露)</w:t>
            </w:r>
          </w:p>
        </w:tc>
        <w:tc>
          <w:tcPr>
            <w:tcW w:w="221" w:type="pct"/>
            <w:shd w:val="clear" w:color="auto" w:fill="auto"/>
            <w:noWrap/>
            <w:vAlign w:val="center"/>
          </w:tcPr>
          <w:p w14:paraId="3EE9DF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920A0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1C1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721D7C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46" w:type="pct"/>
            <w:shd w:val="clear" w:color="auto" w:fill="auto"/>
            <w:noWrap/>
            <w:vAlign w:val="center"/>
          </w:tcPr>
          <w:p w14:paraId="76EDC9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UPS电池</w:t>
            </w:r>
          </w:p>
        </w:tc>
        <w:tc>
          <w:tcPr>
            <w:tcW w:w="3493" w:type="pct"/>
            <w:shd w:val="clear" w:color="auto" w:fill="auto"/>
            <w:vAlign w:val="center"/>
          </w:tcPr>
          <w:p w14:paraId="4E8512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12V；2、额定容量：100AH；3、设计浮充寿命：8-10年；4、外观：无变形、漏液、裂纹及污迹；标识清晰。5、结构：正、负极端子有明显标志，便于连接。6、气密性：能承受50kPa的正压或负压而不破裂、不开胶，压力释放后壳体无残余变形。7、大电流放电：以30I10A放电3min,极柱不熔断、内部汇流排不熔断，外观不出现异常。8、容益保存率：静置28天后容呈保存率≥96%。9、密封反应效率：密封反应效率≥95%；10、防酸雾性能：对完全充电后的电池以0.2I10A电流连续再充电4h，PH值应呈中性。11、安全阀要求：开阀压力：10-35kPa；闭阀压力：3-30kPa。12、耐过充电能力：完全充电后的电池以0.03C10连续充电160h,无变形、无漏液。13、端电压均衡性：开路：最高与最低差值应≤100mV；设计浮充：进入设计浮充状态24h后端电压差≤480mV；放电：端电压差≤600mV；14、电池间连接电压降：△U≤l0mV；15、防爆性能：充电过程中遇明火，内部不引燃、不引爆；16、封口剂性能：环境温度-30℃~+65℃之间，封口剂无裂纹与溢流现象；17、内阻：同组蓄电池内阻偏差为实测值；18、热失控敏感性：蓄电池温度≤60℃；每24h的电流增长率≤50%；19、过度放电：容量恢复值≥90%；20、低温敏感性：10h率容量≥O.9C10；外观无破裂、过度膨胀及槽、盖分离现象；21、再充电性能：恒压充屯24h的再充电能力因素Rbr21h≥85%；22、容量一致性：同组蓄电池容量试验时，最大实际容量与最小实际容量差值≤5%。</w:t>
            </w:r>
          </w:p>
        </w:tc>
        <w:tc>
          <w:tcPr>
            <w:tcW w:w="221" w:type="pct"/>
            <w:shd w:val="clear" w:color="auto" w:fill="auto"/>
            <w:noWrap/>
            <w:vAlign w:val="center"/>
          </w:tcPr>
          <w:p w14:paraId="6B8F0E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8" w:type="pct"/>
            <w:shd w:val="clear" w:color="auto" w:fill="auto"/>
            <w:noWrap/>
            <w:vAlign w:val="center"/>
          </w:tcPr>
          <w:p w14:paraId="4EBF25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r>
      <w:tr w14:paraId="4717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382A6B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46" w:type="pct"/>
            <w:shd w:val="clear" w:color="auto" w:fill="auto"/>
            <w:noWrap/>
            <w:vAlign w:val="center"/>
          </w:tcPr>
          <w:p w14:paraId="77C211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UPS电池柜</w:t>
            </w:r>
          </w:p>
        </w:tc>
        <w:tc>
          <w:tcPr>
            <w:tcW w:w="3493" w:type="pct"/>
            <w:shd w:val="clear" w:color="auto" w:fill="auto"/>
            <w:vAlign w:val="center"/>
          </w:tcPr>
          <w:p w14:paraId="7D4872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尺寸：长*宽*高：950*780*1200(mm)，误差±5%；安装方式：框架焊接式，前后插板；材料类型：冷轧钢板（SPCC）板材厚度：左壁厚度≥1.0mm,右壁厚度≥1.0mm,顶盖厚度≥0.6mm；层板：30*30/40*40角铁；其他板厚：立柱为角铁型材增加加强筋结构，柜体为整体受力结构</w:t>
            </w:r>
          </w:p>
        </w:tc>
        <w:tc>
          <w:tcPr>
            <w:tcW w:w="221" w:type="pct"/>
            <w:shd w:val="clear" w:color="auto" w:fill="auto"/>
            <w:noWrap/>
            <w:vAlign w:val="center"/>
          </w:tcPr>
          <w:p w14:paraId="0160A2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0B0ED6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482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326D34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46" w:type="pct"/>
            <w:shd w:val="clear" w:color="auto" w:fill="auto"/>
            <w:noWrap/>
            <w:vAlign w:val="center"/>
          </w:tcPr>
          <w:p w14:paraId="0F8A6E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电池箱内线缆</w:t>
            </w:r>
          </w:p>
        </w:tc>
        <w:tc>
          <w:tcPr>
            <w:tcW w:w="3493" w:type="pct"/>
            <w:shd w:val="clear" w:color="auto" w:fill="auto"/>
            <w:vAlign w:val="center"/>
          </w:tcPr>
          <w:p w14:paraId="3CB62E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1、连接线缆：规格:ZR-BVR-16方；数量至少具有：长度1200mm*2根,450mm*33根；2、绝缘帽：数量至少具有：68；颜色：红/黑；3、铜鼻子：规格：OT-8，已压接；数量（套）至少具有：70</w:t>
            </w:r>
          </w:p>
        </w:tc>
        <w:tc>
          <w:tcPr>
            <w:tcW w:w="221" w:type="pct"/>
            <w:shd w:val="clear" w:color="auto" w:fill="auto"/>
            <w:noWrap/>
            <w:vAlign w:val="center"/>
          </w:tcPr>
          <w:p w14:paraId="69F778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0D6737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5E0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037674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46" w:type="pct"/>
            <w:shd w:val="clear" w:color="auto" w:fill="auto"/>
            <w:noWrap/>
            <w:vAlign w:val="center"/>
          </w:tcPr>
          <w:p w14:paraId="4E8CD4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UPS安装服务</w:t>
            </w:r>
          </w:p>
        </w:tc>
        <w:tc>
          <w:tcPr>
            <w:tcW w:w="3493" w:type="pct"/>
            <w:shd w:val="clear" w:color="auto" w:fill="auto"/>
            <w:vAlign w:val="center"/>
          </w:tcPr>
          <w:p w14:paraId="188EB6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安装服务：安装调试工作范围：1.电池箱的组装工作；2.电池的放置、连线工作；3.主机和电池箱之间的连线；4.主机和前端配电箱之间线缆的对接工作；5.主机和后端列头柜之间线缆的对接工作；6.主机开机调试；7.UPS主机使用培训。</w:t>
            </w:r>
          </w:p>
        </w:tc>
        <w:tc>
          <w:tcPr>
            <w:tcW w:w="221" w:type="pct"/>
            <w:shd w:val="clear" w:color="auto" w:fill="auto"/>
            <w:noWrap/>
            <w:vAlign w:val="center"/>
          </w:tcPr>
          <w:p w14:paraId="50446C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8" w:type="pct"/>
            <w:shd w:val="clear" w:color="auto" w:fill="auto"/>
            <w:noWrap/>
            <w:vAlign w:val="center"/>
          </w:tcPr>
          <w:p w14:paraId="286E6A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A1A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7D96EA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46" w:type="pct"/>
            <w:shd w:val="clear" w:color="auto" w:fill="auto"/>
            <w:noWrap/>
            <w:vAlign w:val="center"/>
          </w:tcPr>
          <w:p w14:paraId="7C7FF9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机房空调</w:t>
            </w:r>
          </w:p>
        </w:tc>
        <w:tc>
          <w:tcPr>
            <w:tcW w:w="3493" w:type="pct"/>
            <w:shd w:val="clear" w:color="auto" w:fill="auto"/>
            <w:vAlign w:val="center"/>
          </w:tcPr>
          <w:p w14:paraId="14399A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3匹变频制冷空调</w:t>
            </w:r>
          </w:p>
        </w:tc>
        <w:tc>
          <w:tcPr>
            <w:tcW w:w="221" w:type="pct"/>
            <w:shd w:val="clear" w:color="auto" w:fill="auto"/>
            <w:noWrap/>
            <w:vAlign w:val="center"/>
          </w:tcPr>
          <w:p w14:paraId="148533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FD9F4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BB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06AA8B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46" w:type="pct"/>
            <w:shd w:val="clear" w:color="auto" w:fill="auto"/>
            <w:noWrap/>
            <w:vAlign w:val="center"/>
          </w:tcPr>
          <w:p w14:paraId="7BF641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七氟丙烷灭火器</w:t>
            </w:r>
          </w:p>
        </w:tc>
        <w:tc>
          <w:tcPr>
            <w:tcW w:w="3493" w:type="pct"/>
            <w:shd w:val="clear" w:color="auto" w:fill="auto"/>
            <w:vAlign w:val="center"/>
          </w:tcPr>
          <w:p w14:paraId="21A462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七氟丙烷灭火器，单柜式七氟丙烷气体灭火装置，</w:t>
            </w:r>
          </w:p>
        </w:tc>
        <w:tc>
          <w:tcPr>
            <w:tcW w:w="221" w:type="pct"/>
            <w:shd w:val="clear" w:color="auto" w:fill="auto"/>
            <w:noWrap/>
            <w:vAlign w:val="center"/>
          </w:tcPr>
          <w:p w14:paraId="71FFC7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12A5B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34A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958A75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4490" w:type="pct"/>
            <w:gridSpan w:val="4"/>
            <w:shd w:val="clear" w:color="auto" w:fill="auto"/>
            <w:noWrap/>
            <w:vAlign w:val="center"/>
          </w:tcPr>
          <w:p w14:paraId="27137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高精度定位系统</w:t>
            </w:r>
          </w:p>
        </w:tc>
      </w:tr>
      <w:tr w14:paraId="54DB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1AA61F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46" w:type="pct"/>
            <w:shd w:val="clear" w:color="auto" w:fill="auto"/>
            <w:noWrap/>
            <w:vAlign w:val="center"/>
          </w:tcPr>
          <w:p w14:paraId="6F7CF9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渲染引擎</w:t>
            </w:r>
          </w:p>
        </w:tc>
        <w:tc>
          <w:tcPr>
            <w:tcW w:w="3493" w:type="pct"/>
            <w:shd w:val="clear" w:color="auto" w:fill="auto"/>
            <w:vAlign w:val="center"/>
          </w:tcPr>
          <w:p w14:paraId="011919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三维模型的渲染，具体如下：1.全景图渲染：把360°×180°的全景图片渲染为3D效果的720°全景，可远近缩放、360°拖动；2.标签叠加：支持在720°全景图上叠加图形、文字、矢量图形、动画、视频、语音等标签；3.视频融合：支持把视频（实时视频/本地视频）叠加到720°全景图上，实现虚实结合的效果；4.支持大分辨率图片切片及展示时按可视域加载；5.支持鱼眼效果、水晶球效果的切换。</w:t>
            </w:r>
          </w:p>
        </w:tc>
        <w:tc>
          <w:tcPr>
            <w:tcW w:w="221" w:type="pct"/>
            <w:shd w:val="clear" w:color="auto" w:fill="auto"/>
            <w:noWrap/>
            <w:vAlign w:val="center"/>
          </w:tcPr>
          <w:p w14:paraId="249A10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C81C5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ABB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AC214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46" w:type="pct"/>
            <w:shd w:val="clear" w:color="auto" w:fill="auto"/>
            <w:noWrap/>
            <w:vAlign w:val="center"/>
          </w:tcPr>
          <w:p w14:paraId="767999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场景接入数</w:t>
            </w:r>
          </w:p>
        </w:tc>
        <w:tc>
          <w:tcPr>
            <w:tcW w:w="3493" w:type="pct"/>
            <w:shd w:val="clear" w:color="auto" w:fill="auto"/>
            <w:vAlign w:val="center"/>
          </w:tcPr>
          <w:p w14:paraId="798301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虚拟现实展示地点，一个拍摄/建模地点地为一个场景（一个办案区为一个场景，每个场景可展示多张3D模型）</w:t>
            </w:r>
          </w:p>
        </w:tc>
        <w:tc>
          <w:tcPr>
            <w:tcW w:w="221" w:type="pct"/>
            <w:shd w:val="clear" w:color="auto" w:fill="auto"/>
            <w:noWrap/>
            <w:vAlign w:val="center"/>
          </w:tcPr>
          <w:p w14:paraId="52F751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5F1EA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212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509" w:type="pct"/>
            <w:shd w:val="clear" w:color="auto" w:fill="auto"/>
            <w:noWrap/>
            <w:vAlign w:val="center"/>
          </w:tcPr>
          <w:p w14:paraId="763219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46" w:type="pct"/>
            <w:shd w:val="clear" w:color="auto" w:fill="auto"/>
            <w:noWrap/>
            <w:vAlign w:val="center"/>
          </w:tcPr>
          <w:p w14:paraId="13BB97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三维配置应用</w:t>
            </w:r>
          </w:p>
        </w:tc>
        <w:tc>
          <w:tcPr>
            <w:tcW w:w="3493" w:type="pct"/>
            <w:shd w:val="clear" w:color="auto" w:fill="auto"/>
            <w:vAlign w:val="center"/>
          </w:tcPr>
          <w:p w14:paraId="7D8C7F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型加载：支持在三维场景中加载、调度三维模型数据。2、地图操作：支持在三维场景中实现放大、缩小、上升、下降、俯视、仰视、旋转，实现对场景的360°全方位操作。支持触摸屏的多点触摸操作地图。3、标注管理：支持用户在全场景中，自由标注出感兴趣的点位位置。已标注的点位将在列表或场景直接展示，点击场景中的标注弹出气泡或面板，展示点位的具体属性信息。三维场景中的标注可显示或隐藏。标注可进行分类，支持对标注的点位进行增加、删除、修改、查询。4、视点管理：视点管理功能，用户可在场景中选定的任意高度和任意角度的位置，对当前的场景进行保存，方便用户后续对特定场景进行定位，快速切换到指定视点进行浏览。点击每个视点后面的隐显按钮，可进行视点间的切换。支持对视点进行添加、删除、查询以及修改信息。5、图层管理：支持对图层节点及子节点进行添加、删除、查询以及修改信息支持各类图层以树的层级结构方式进行展示。支持场景数据的分图层管理，用户可以根据需求操作图层的开启和隐藏，依据需要创建新的图层，实现图层节点或对象的增删改查。如：将场景地图分为摄像头图层、烟感图层、出入口图层、重要POI图层等各类场景的要素图层，支持监控点等资源图层在地图上显示或者隐藏。6、路径漫游：用户制定好场景漫游的路线，在场景中沿着此路线进行漫游浏览，支持播放、暂停、停止播放等功能。7、地图工具：可点击选择两点，测量两点间的水平或者垂直方向的距离。可点选多个点，测量其形成的多边形面积。可点击选择两点，测量两点之间的贴地距离。8、模型管理：支持上传json、obj、fbx格式的模型，可以卡片形式管理上传的模型;支持批量删除、编辑、重命名模型；支持按模型名称搜索三维模型；9、标签配置：支持在三维模型上绘制矩形、圆形、自定义多边形标签，可自定义设置点位标签放置位置、标签名称、类型，参数等</w:t>
            </w:r>
          </w:p>
        </w:tc>
        <w:tc>
          <w:tcPr>
            <w:tcW w:w="221" w:type="pct"/>
            <w:shd w:val="clear" w:color="auto" w:fill="auto"/>
            <w:noWrap/>
            <w:vAlign w:val="center"/>
          </w:tcPr>
          <w:p w14:paraId="7B0381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BD06A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F25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796B35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46" w:type="pct"/>
            <w:shd w:val="clear" w:color="auto" w:fill="auto"/>
            <w:noWrap/>
            <w:vAlign w:val="center"/>
          </w:tcPr>
          <w:p w14:paraId="716FAB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三维模型接入数</w:t>
            </w:r>
          </w:p>
        </w:tc>
        <w:tc>
          <w:tcPr>
            <w:tcW w:w="3493" w:type="pct"/>
            <w:shd w:val="clear" w:color="auto" w:fill="auto"/>
            <w:vAlign w:val="center"/>
          </w:tcPr>
          <w:p w14:paraId="582D03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接入三维模型，结合渲染引擎实现模型的展示</w:t>
            </w:r>
          </w:p>
        </w:tc>
        <w:tc>
          <w:tcPr>
            <w:tcW w:w="221" w:type="pct"/>
            <w:shd w:val="clear" w:color="auto" w:fill="auto"/>
            <w:noWrap/>
            <w:vAlign w:val="center"/>
          </w:tcPr>
          <w:p w14:paraId="1C78CA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0F1CE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041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5C5DA1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46" w:type="pct"/>
            <w:shd w:val="clear" w:color="auto" w:fill="auto"/>
            <w:noWrap/>
            <w:vAlign w:val="center"/>
          </w:tcPr>
          <w:p w14:paraId="4F3A78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仿真三维模型建模服务</w:t>
            </w:r>
          </w:p>
        </w:tc>
        <w:tc>
          <w:tcPr>
            <w:tcW w:w="3493" w:type="pct"/>
            <w:shd w:val="clear" w:color="auto" w:fill="auto"/>
            <w:vAlign w:val="center"/>
          </w:tcPr>
          <w:p w14:paraId="1ED668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利用CAD图纸，针对办案区整体以及各个房间进行人工模型制作，并在三维平台进行加载展示</w:t>
            </w:r>
          </w:p>
        </w:tc>
        <w:tc>
          <w:tcPr>
            <w:tcW w:w="221" w:type="pct"/>
            <w:shd w:val="clear" w:color="auto" w:fill="auto"/>
            <w:noWrap/>
            <w:vAlign w:val="center"/>
          </w:tcPr>
          <w:p w14:paraId="2B075E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2844A8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7C9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09" w:type="pct"/>
            <w:shd w:val="clear" w:color="auto" w:fill="auto"/>
            <w:noWrap/>
            <w:vAlign w:val="center"/>
          </w:tcPr>
          <w:p w14:paraId="269C28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46" w:type="pct"/>
            <w:shd w:val="clear" w:color="auto" w:fill="auto"/>
            <w:noWrap/>
            <w:vAlign w:val="center"/>
          </w:tcPr>
          <w:p w14:paraId="56164A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动线应用服务器</w:t>
            </w:r>
          </w:p>
        </w:tc>
        <w:tc>
          <w:tcPr>
            <w:tcW w:w="3493" w:type="pct"/>
            <w:shd w:val="clear" w:color="auto" w:fill="auto"/>
            <w:vAlign w:val="center"/>
          </w:tcPr>
          <w:p w14:paraId="18ED3E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性：1、支持接入倾斜场景下的轨迹分析相机，接入目标人脸、人体图片，世界坐标轨迹；2、支持对人脸进行属性提取、建模、比对、聚类分析；3、支持对人体进行建模分析；4、支持将同一目标在不同相机下的运动轨迹进行合并；5、支持按需检索目标完整的运动轨迹性能参数：1.支持≥5张地图；2.支持≥50人历史轨迹合并；3.支持≥100万名单库；4.支持≥200万抓拍库；5.支持存储≥30天轨迹数据（日均≥1000万轨迹点）；6.支持合并同一人在不同IPC的运动轨迹，可查询指定人员在指定时间、区域的轨迹信息；支持≥16个名单库，可分别进行管理，每个库可设置不同发报警阈值；最大支持≥100万静态名单库存储，支持创建、删除、查看、布控名单库；7.支持导入坐标地图，支持坐标地图信息修改，支持在坐标地图上同时展示多人轨迹，支持不少于2500条/秒的轨迹数据入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硬件处理器：CPU：≥1颗高性能处理器（≥48线程，≥2.2GHz）；内存：≥128GB DDR4；AI智能卡：≥1*智能卡；硬盘：不少于480G SSD*2（系统）+ 2T SATA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外部接口：千兆电口：≥2个；USB：≥4个；VGA：≥2个；机箱规格 ：≥2U 机架式服务器机箱。</w:t>
            </w:r>
          </w:p>
        </w:tc>
        <w:tc>
          <w:tcPr>
            <w:tcW w:w="221" w:type="pct"/>
            <w:shd w:val="clear" w:color="auto" w:fill="auto"/>
            <w:noWrap/>
            <w:vAlign w:val="center"/>
          </w:tcPr>
          <w:p w14:paraId="00F744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1DDBC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71B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09" w:type="pct"/>
            <w:shd w:val="clear" w:color="auto" w:fill="auto"/>
            <w:noWrap/>
            <w:vAlign w:val="center"/>
          </w:tcPr>
          <w:p w14:paraId="792421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46" w:type="pct"/>
            <w:shd w:val="clear" w:color="auto" w:fill="auto"/>
            <w:noWrap/>
            <w:vAlign w:val="center"/>
          </w:tcPr>
          <w:p w14:paraId="6FDC38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室内轨迹分析摄像机</w:t>
            </w:r>
          </w:p>
        </w:tc>
        <w:tc>
          <w:tcPr>
            <w:tcW w:w="3493" w:type="pct"/>
            <w:shd w:val="clear" w:color="auto" w:fill="auto"/>
            <w:vAlign w:val="center"/>
          </w:tcPr>
          <w:p w14:paraId="5EEFBE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shd w:val="clear" w:color="auto" w:fill="auto"/>
            <w:noWrap/>
            <w:vAlign w:val="center"/>
          </w:tcPr>
          <w:p w14:paraId="5DB4F2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367EA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6283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19943D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46" w:type="pct"/>
            <w:shd w:val="clear" w:color="auto" w:fill="auto"/>
            <w:noWrap/>
            <w:vAlign w:val="center"/>
          </w:tcPr>
          <w:p w14:paraId="62C80B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行为分析服务器</w:t>
            </w:r>
          </w:p>
        </w:tc>
        <w:tc>
          <w:tcPr>
            <w:tcW w:w="3493" w:type="pct"/>
            <w:shd w:val="clear" w:color="auto" w:fill="auto"/>
            <w:vAlign w:val="center"/>
          </w:tcPr>
          <w:p w14:paraId="3641FC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硬件规格：CPU：配置≥1颗，核数≥8核，最大频率≥2.2GHz；GPU：≥2张GPU卡；单卡提供≥64TOPS INT8算力；内存：≥16GB DDR4；硬盘：≥1×480GB SSD；数据接口：≥4个千兆电口，≥6个USB接口，≥1个VGA接口；机箱规格：≥1U标准机架式。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支持多类监管算法：支持睡岗检测、离岗检测、起身离床检测、攀高检测、超时滞留检测、人数异常检测、声强突变、区域人数统计、玩手机检测、倒地检测、警服检测、落单检测（单人未穿警服的时候需要报警）等；2.支持设置异常事件侦测区域，可设置为封闭正方形、长方形、三角形和多边形等区域或设置为一条具有方向的布控线;支持不同任务按需可视化设置布防规则，包括异常事件侦测报警种类、报警阈值、布防启动时间和撤防时间，并可按小时、日、周设定重复周期；3.支持事件分析发生时触发人脸抓拍、分析和比对功能；支持事件告警触发抓拍目标图片，并关联抓拍对应的人脸图片；抓拍的目标图片可为未露出人脸的人体图片，可与后续抓拍的人脸图片进行身份信息匹配并上报；4.配合接入IPC，支持在检测区域内，当人员离开检测区域超过设定时间（最长时长≥7200秒），可自动报警并抓拍图片；支持单人、多人离岗事件检测；支持回岗事件检测，在检测区域内，当人员离开检测区域返回时，样机自动报警并上传抓拍图片；离在岗状态报警事件识别准确率≥95%；检测出事件后到事件上报展示不高于200ms；5.支持对触碰设定高度警戒线的人员进行自动侦测并支持触发报警，单视频画面可同时支持绘制≥9个连续的攀高面，支持尺寸过滤及攀高方向设置，分别进行检测上传报警抓拍图片等功能，以上2~5条参数需提供公安部所属检验机构出具的检验报告。</w:t>
            </w:r>
          </w:p>
        </w:tc>
        <w:tc>
          <w:tcPr>
            <w:tcW w:w="221" w:type="pct"/>
            <w:shd w:val="clear" w:color="auto" w:fill="auto"/>
            <w:noWrap/>
            <w:vAlign w:val="center"/>
          </w:tcPr>
          <w:p w14:paraId="696382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B70A2D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AE7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24343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4490" w:type="pct"/>
            <w:gridSpan w:val="4"/>
            <w:shd w:val="clear" w:color="auto" w:fill="auto"/>
            <w:noWrap/>
            <w:vAlign w:val="center"/>
          </w:tcPr>
          <w:p w14:paraId="50D6A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执法办案系统及存储建设</w:t>
            </w:r>
          </w:p>
        </w:tc>
      </w:tr>
      <w:tr w14:paraId="7022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9" w:type="pct"/>
            <w:shd w:val="clear" w:color="auto" w:fill="auto"/>
            <w:noWrap/>
            <w:vAlign w:val="center"/>
          </w:tcPr>
          <w:p w14:paraId="211974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46" w:type="pct"/>
            <w:shd w:val="clear" w:color="auto" w:fill="auto"/>
            <w:noWrap/>
            <w:vAlign w:val="center"/>
          </w:tcPr>
          <w:p w14:paraId="4F75AB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基础管理模块</w:t>
            </w:r>
          </w:p>
        </w:tc>
        <w:tc>
          <w:tcPr>
            <w:tcW w:w="3493" w:type="pct"/>
            <w:shd w:val="clear" w:color="auto" w:fill="auto"/>
            <w:vAlign w:val="center"/>
          </w:tcPr>
          <w:p w14:paraId="36412A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录资源管理：支持目录基础信息的增删改查、导入、导出等功能；支持配置多个业务目录；办案场所、房间管理；2.设备信息管理：提供设备统一接入管理，包括视频设备、报警设备、人证设备、审讯主机等；3.组织机构管理：支持单位信息管理，管理单位编码、单位通称、单位全称、单位简称等信息；支持部门信息管理，管理部门编码、部门名称、部门简称、部门类型等信息；4.用户信息管理：支持用户信息的增删改查、导入、导出；支持用户安全管理，可绑定用户mac地址及IP，可自行修改用户密码或者管理员重置密码；提供账户安全设置，支持账户密码有效期设置；5.人员管理：人员基础信息采集，人员的批量导入；用户账号自动创建；6.平台门户：支持用户自定义快捷入口；支持支持自定义菜单内容；支持页面元素设置。</w:t>
            </w:r>
          </w:p>
        </w:tc>
        <w:tc>
          <w:tcPr>
            <w:tcW w:w="221" w:type="pct"/>
            <w:shd w:val="clear" w:color="auto" w:fill="auto"/>
            <w:noWrap/>
            <w:vAlign w:val="center"/>
          </w:tcPr>
          <w:p w14:paraId="0C749A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434AD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09D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509" w:type="pct"/>
            <w:shd w:val="clear" w:color="auto" w:fill="auto"/>
            <w:noWrap/>
            <w:vAlign w:val="center"/>
          </w:tcPr>
          <w:p w14:paraId="4C0A3C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46" w:type="pct"/>
            <w:shd w:val="clear" w:color="auto" w:fill="auto"/>
            <w:noWrap/>
            <w:vAlign w:val="center"/>
          </w:tcPr>
          <w:p w14:paraId="4CBB9D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视频监控模块</w:t>
            </w:r>
          </w:p>
        </w:tc>
        <w:tc>
          <w:tcPr>
            <w:tcW w:w="3493" w:type="pct"/>
            <w:shd w:val="clear" w:color="auto" w:fill="auto"/>
            <w:vAlign w:val="center"/>
          </w:tcPr>
          <w:p w14:paraId="0E7EF1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视频监控应用提供视频管理服务，支持编码设备通过设备协议，实现视频预览、录像回放、视频上墙、视频事件监控服务能力。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视频预览：1、支持视频实时预览能力，实现预览窗口布局切换、预览画面自适应及全屏切换；2、支持云台控制、实时抓图、紧急录像、即时回放、主子码流切换、声音开启\关闭；3、支持智能规则展示的能力；4、支持资源视图管理能力，以视图形式管理监控点、视频预览轮巡等自定义资源组，其中视图类型包含公有视图和私有视图；5、支持设置视频播放时是否在视频上方叠加当前用户的用户名、IP地址及使用设备的MAC地址等信息；6、支持设置视频首页栏目（近期查看点位、搜索历史、推荐点位、标签视频）的排布顺序、各栏目的隐藏/显示。二、录像回放：1、支持录像计划管理能力，支持实时录像计划、录像回传计划；2、支持录像回放能力，支持多画面同步回放和异步回放切换、超高倍速回放、分段回放、录像下载、录像剪辑、录像标签、录像锁定、录像抓图；3、支持设置回放画面水印内容，包括用户名、IP地址、MAC地址、监控点位名称、设备名称、分辨率、码率、帧率、地区名称、编码格式以及码流类型，同时支持修改水印颜色。三、视频上墙：1、支持电视墙场景管理能力，实现场景窗口配置、场景切换计划配置以及轮巡计划的管理；2、支持上墙控制能力，实现场景一键上墙、场景切换、电视墙切换、监控点上下墙、轮巡控制操作；</w:t>
            </w:r>
          </w:p>
        </w:tc>
        <w:tc>
          <w:tcPr>
            <w:tcW w:w="221" w:type="pct"/>
            <w:shd w:val="clear" w:color="auto" w:fill="auto"/>
            <w:noWrap/>
            <w:vAlign w:val="center"/>
          </w:tcPr>
          <w:p w14:paraId="181875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9D9C4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29F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6390FA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46" w:type="pct"/>
            <w:shd w:val="clear" w:color="auto" w:fill="auto"/>
            <w:noWrap/>
            <w:vAlign w:val="center"/>
          </w:tcPr>
          <w:p w14:paraId="3C29C4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监控通道数量</w:t>
            </w:r>
          </w:p>
        </w:tc>
        <w:tc>
          <w:tcPr>
            <w:tcW w:w="3493" w:type="pct"/>
            <w:shd w:val="clear" w:color="auto" w:fill="auto"/>
            <w:vAlign w:val="center"/>
          </w:tcPr>
          <w:p w14:paraId="43C033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用于视频通道数量控制</w:t>
            </w:r>
          </w:p>
        </w:tc>
        <w:tc>
          <w:tcPr>
            <w:tcW w:w="221" w:type="pct"/>
            <w:shd w:val="clear" w:color="auto" w:fill="auto"/>
            <w:noWrap/>
            <w:vAlign w:val="center"/>
          </w:tcPr>
          <w:p w14:paraId="7BD616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428" w:type="pct"/>
            <w:shd w:val="clear" w:color="auto" w:fill="auto"/>
            <w:noWrap/>
            <w:vAlign w:val="center"/>
          </w:tcPr>
          <w:p w14:paraId="2D5E93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6AD1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7B0C9A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46" w:type="pct"/>
            <w:shd w:val="clear" w:color="auto" w:fill="auto"/>
            <w:noWrap/>
            <w:vAlign w:val="center"/>
          </w:tcPr>
          <w:p w14:paraId="18473E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视频联网模块</w:t>
            </w:r>
          </w:p>
        </w:tc>
        <w:tc>
          <w:tcPr>
            <w:tcW w:w="3493" w:type="pct"/>
            <w:shd w:val="clear" w:color="auto" w:fill="auto"/>
            <w:vAlign w:val="center"/>
          </w:tcPr>
          <w:p w14:paraId="0C70CF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上下级域注册管理能力，实现平台数据级联；2、支持资源同步能力；3、支持级联视频点位实时预览、录像回放、录像下载、语音对讲能力；4、支持级联视频点位设备操作控制能力；5、支持下级平台推送到本级平台视频点位路数控制能力，通过级联点位授权路数控制；</w:t>
            </w:r>
          </w:p>
        </w:tc>
        <w:tc>
          <w:tcPr>
            <w:tcW w:w="221" w:type="pct"/>
            <w:shd w:val="clear" w:color="auto" w:fill="auto"/>
            <w:noWrap/>
            <w:vAlign w:val="center"/>
          </w:tcPr>
          <w:p w14:paraId="14F72C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02FA5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81E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03183A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46" w:type="pct"/>
            <w:shd w:val="clear" w:color="auto" w:fill="auto"/>
            <w:noWrap/>
            <w:vAlign w:val="center"/>
          </w:tcPr>
          <w:p w14:paraId="4F947C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视频网管模块</w:t>
            </w:r>
          </w:p>
        </w:tc>
        <w:tc>
          <w:tcPr>
            <w:tcW w:w="3493" w:type="pct"/>
            <w:shd w:val="clear" w:color="auto" w:fill="auto"/>
            <w:vAlign w:val="center"/>
          </w:tcPr>
          <w:p w14:paraId="77AAC4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视频网络管理1、支持监控摄像机、编码设备、存储设备、解码设备等物联设备在线状态、工作状态、硬盘状态、指标采集。2、支持监控点通道的在线状态、录制状态、录像完整性、录像保存天数指标检测。3、支持告警信息统计展现。并支持对监控点、编码设备、解码设备、云储存的告警阈值进行配置。4、提供视频运维报表统计能力，包含区域综合排名统计、录像完整性统计、录像存储达标统计、在线状态统计、离线时长统计报表。5、支持巡检计划配置，可以按照类型和资源以及自定义的巡检周期进行巡检计划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视频质量诊断：1、支持监控点通道的图像质量诊断结果统计和查看。2、支持图像模糊、图像过亮、图像偏色、图像过暗、图像过亮、视频抖动、视频丢帧、场景变换、视频遮挡、对比度、条纹干扰、噪声干扰、信号丢失、黑白图像指标诊断。3、支持码流分辨率、编码格式指标采集。4、支持诊断对比图查看和诊断结果矫正功能。5、支持巡检计划配置，可以按照类型和资源以及自定义的巡检周期进行巡检计划配置。6、支持监控点图像质量统计报表，展现各类诊断故障数量。</w:t>
            </w:r>
          </w:p>
        </w:tc>
        <w:tc>
          <w:tcPr>
            <w:tcW w:w="221" w:type="pct"/>
            <w:shd w:val="clear" w:color="auto" w:fill="auto"/>
            <w:noWrap/>
            <w:vAlign w:val="center"/>
          </w:tcPr>
          <w:p w14:paraId="23D434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0E35F5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FFC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1" w:hRule="atLeast"/>
        </w:trPr>
        <w:tc>
          <w:tcPr>
            <w:tcW w:w="509" w:type="pct"/>
            <w:shd w:val="clear" w:color="auto" w:fill="auto"/>
            <w:noWrap/>
            <w:vAlign w:val="center"/>
          </w:tcPr>
          <w:p w14:paraId="176256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46" w:type="pct"/>
            <w:shd w:val="clear" w:color="auto" w:fill="auto"/>
            <w:noWrap/>
            <w:vAlign w:val="center"/>
          </w:tcPr>
          <w:p w14:paraId="5B8A51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门禁管理模块</w:t>
            </w:r>
          </w:p>
        </w:tc>
        <w:tc>
          <w:tcPr>
            <w:tcW w:w="3493" w:type="pct"/>
            <w:shd w:val="clear" w:color="auto" w:fill="auto"/>
            <w:vAlign w:val="center"/>
          </w:tcPr>
          <w:p w14:paraId="222465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利用卡片、人脸等生物信息，实现人员身份识别、出入管控等智能应用，主要提供门禁权限管理、事件管理、门禁状态查看、门禁远程控制、人员出入记录实时展示、远程呼叫对讲等应用，具体功能如下：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支持门禁点管理，包括门和人员通道门禁点；2. 支持门禁权限配置和下发；支持卡（含身份证）、人脸、指纹、卡密码等凭证单独或组合使用的认证方式；3. 支持特殊卡（黑名单卡、胁迫卡、超级卡）、多重认证、首卡常开、反潜回、多门互锁等应用；4. 支持门禁事件订阅、查询和联动；支持门禁设备图上监控；支持人员出入事件和设备事件查询；5. 支持人员出入实时事件投屏；6. 支持门禁远程控制，开门、关门、联动CS客户端查看视频实时画面；7. 支持门禁权限自动下发更新数据到设备；可配置固定时间、固定次数自动下发异动的门禁权限，包含卡、人脸、指纹；8. 支持人员的卡权限在平台进行权限认证，当卡权限还未下发到设备时，平台可以根据刷卡事件进行人员权限判断并进行反控开门；9. 支持人员通行记录区分：内部人员、外部人员、陌生人员。</w:t>
            </w:r>
          </w:p>
        </w:tc>
        <w:tc>
          <w:tcPr>
            <w:tcW w:w="221" w:type="pct"/>
            <w:shd w:val="clear" w:color="auto" w:fill="auto"/>
            <w:noWrap/>
            <w:vAlign w:val="center"/>
          </w:tcPr>
          <w:p w14:paraId="0E91C9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w:t>
            </w:r>
          </w:p>
        </w:tc>
        <w:tc>
          <w:tcPr>
            <w:tcW w:w="428" w:type="pct"/>
            <w:shd w:val="clear" w:color="auto" w:fill="auto"/>
            <w:noWrap/>
            <w:vAlign w:val="center"/>
          </w:tcPr>
          <w:p w14:paraId="760A6B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509C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232347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46" w:type="pct"/>
            <w:shd w:val="clear" w:color="auto" w:fill="auto"/>
            <w:noWrap/>
            <w:vAlign w:val="center"/>
          </w:tcPr>
          <w:p w14:paraId="653993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重点区域人员门禁管控模块</w:t>
            </w:r>
          </w:p>
        </w:tc>
        <w:tc>
          <w:tcPr>
            <w:tcW w:w="3493" w:type="pct"/>
            <w:shd w:val="clear" w:color="auto" w:fill="auto"/>
            <w:vAlign w:val="center"/>
          </w:tcPr>
          <w:p w14:paraId="7F07EF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重点区域人员进出管控主要是在某些重点区域场景中，对人员的进出进行严格管控，包括多重认证、多门互锁、反潜回应用，具体功能如下：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提供多重认证应用：设置为多重认证的门，需要认证分组内的成员按照一定的规则进行认证开门：1、支持前端设备认证，认证分组内的成员按照设定的认证顺序在设备上完成认证开门；2、支持前端设备认证+中心远程开门，认证分组内的成员按照设定的认证顺序在设备上完成认证后，中心操作人员再次通过刷卡/指纹认证后远程开门；3、支持前端设备认证+超级权限认证开门，认证分组内的成员按照设定的认证顺序在设备上完成认证后，再通过刷超级卡或输入超级密码认证后开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二、提供多门互锁应用：在配置为多门互锁的门中，最多只能开启一扇门，且其他门必须处于关闭状态时才能开启这扇门，支持单机多门互锁和跨主机多门互锁；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三、提供反潜回应用：反潜回是一种防尾随功能，要求持卡者从某个门刷卡进来就必须从某个门刷卡出去，刷卡记录必须一进一出严格对应。支持单机反潜回和跨主机反潜回。</w:t>
            </w:r>
          </w:p>
        </w:tc>
        <w:tc>
          <w:tcPr>
            <w:tcW w:w="221" w:type="pct"/>
            <w:shd w:val="clear" w:color="auto" w:fill="auto"/>
            <w:noWrap/>
            <w:vAlign w:val="center"/>
          </w:tcPr>
          <w:p w14:paraId="378DD9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7ED9E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B1A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474E5C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46" w:type="pct"/>
            <w:shd w:val="clear" w:color="auto" w:fill="auto"/>
            <w:noWrap/>
            <w:vAlign w:val="center"/>
          </w:tcPr>
          <w:p w14:paraId="3322FF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讯问同录模块</w:t>
            </w:r>
          </w:p>
        </w:tc>
        <w:tc>
          <w:tcPr>
            <w:tcW w:w="3493" w:type="pct"/>
            <w:shd w:val="clear" w:color="auto" w:fill="auto"/>
            <w:vAlign w:val="center"/>
          </w:tcPr>
          <w:p w14:paraId="4AB518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讯（询）问过程同步录音录像。2.控制讯（询）问过程审讯主机光盘刻录。3.集中刻录管理，支持发起事后刻录，支持刻录任务管理。4.提供讯（询）问记录管理功能，可查看讯（询）问记录办案信息、涉案人员信息、视频、笔录、文书附件。支持笔录视频同步滚动。支持讯（询）问记录刻录及光盘封面打印。支持笔录导出。支持添加历史讯（询）问记录。5.提供案件管理功能，支持案件列表查看、支持新增案件、支持案件关联涉案人员信息查看。6.支持本地审讯时通过刻录打印一体机，打印光盘封面，刻录审讯信息（案件信息、笔录信息、讯问录像）至光盘；支持对光盘内容提取密码的设置，需提供公安部所属检验机构出具的检测报告。</w:t>
            </w:r>
          </w:p>
        </w:tc>
        <w:tc>
          <w:tcPr>
            <w:tcW w:w="221" w:type="pct"/>
            <w:shd w:val="clear" w:color="auto" w:fill="auto"/>
            <w:noWrap/>
            <w:vAlign w:val="center"/>
          </w:tcPr>
          <w:p w14:paraId="20674E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6ED7D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C95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09" w:type="pct"/>
            <w:shd w:val="clear" w:color="auto" w:fill="auto"/>
            <w:noWrap/>
            <w:vAlign w:val="center"/>
          </w:tcPr>
          <w:p w14:paraId="625C79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46" w:type="pct"/>
            <w:shd w:val="clear" w:color="auto" w:fill="auto"/>
            <w:noWrap/>
            <w:vAlign w:val="center"/>
          </w:tcPr>
          <w:p w14:paraId="60279C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电子笔录应用（基础）</w:t>
            </w:r>
          </w:p>
        </w:tc>
        <w:tc>
          <w:tcPr>
            <w:tcW w:w="3493" w:type="pct"/>
            <w:shd w:val="clear" w:color="auto" w:fill="auto"/>
            <w:vAlign w:val="center"/>
          </w:tcPr>
          <w:p w14:paraId="65D159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我的笔录管理，支持新建笔录，查看我创建的正在进行的或者已结束的笔录。针对正在进行的笔录支持启动笔录客户端，支持结束笔录。针对已结束的笔录支持查看详情（办案信息、涉案人信息）、支持导出笔录。2.笔录客户端基础功能，包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保存笔录、导出笔录、打印笔录、笔录找回、常用问答、办案信息；2)重点标记、同步滚动、视频预览、超时提醒、刻录进度、音频检测；3)附件管理、告知书、法律法规、副屏预览、示证控制；4）支持本地审讯/远程审讯时，笔录内容任意位置叠加电子签名、指纹；支持在电子笔录客户端查看当前审讯相关的实时视频；支持展示刻录任务信息，包括刻录状态是否正常、光盘容量、当前刻录进度等；支持展示当前审讯通道的音频波形。3.支持笔录模块管理、支持常用问答管理、支持法律法规管理、支持权利义务告知书管理。</w:t>
            </w:r>
          </w:p>
        </w:tc>
        <w:tc>
          <w:tcPr>
            <w:tcW w:w="221" w:type="pct"/>
            <w:shd w:val="clear" w:color="auto" w:fill="auto"/>
            <w:noWrap/>
            <w:vAlign w:val="center"/>
          </w:tcPr>
          <w:p w14:paraId="1F6FE4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6BBDD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B63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E9A57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346" w:type="pct"/>
            <w:shd w:val="clear" w:color="auto" w:fill="auto"/>
            <w:noWrap/>
            <w:vAlign w:val="center"/>
          </w:tcPr>
          <w:p w14:paraId="7EFE29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电子笔录应用（高级）</w:t>
            </w:r>
          </w:p>
        </w:tc>
        <w:tc>
          <w:tcPr>
            <w:tcW w:w="3493" w:type="pct"/>
            <w:shd w:val="clear" w:color="auto" w:fill="auto"/>
            <w:vAlign w:val="center"/>
          </w:tcPr>
          <w:p w14:paraId="639E87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1.笔录提纲、电子签名、签名录像、签名实况；2.文书管理、文书签名；3.历史笔录、协同办案</w:t>
            </w:r>
          </w:p>
        </w:tc>
        <w:tc>
          <w:tcPr>
            <w:tcW w:w="221" w:type="pct"/>
            <w:shd w:val="clear" w:color="auto" w:fill="auto"/>
            <w:noWrap/>
            <w:vAlign w:val="center"/>
          </w:tcPr>
          <w:p w14:paraId="73CFC0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62CE0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2BD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2E4E7E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346" w:type="pct"/>
            <w:shd w:val="clear" w:color="auto" w:fill="auto"/>
            <w:noWrap/>
            <w:vAlign w:val="center"/>
          </w:tcPr>
          <w:p w14:paraId="6E59D5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远程提讯模块</w:t>
            </w:r>
          </w:p>
        </w:tc>
        <w:tc>
          <w:tcPr>
            <w:tcW w:w="3493" w:type="pct"/>
            <w:shd w:val="clear" w:color="auto" w:fill="auto"/>
            <w:vAlign w:val="center"/>
          </w:tcPr>
          <w:p w14:paraId="4D97B6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办案中心与看守所进行远程的音视频交互，实现办案人员远程提审涉案人员；2.提供远程的示证控制；3.提供笔录的打印、远程的笔录签名等功能；4.支持在远程提讯界面查看本地提讯室房间信息，包括房间名称、状态、审讯案件名称、审讯对象姓名、办案人员姓名、审讯时长、房间实时视频；支持按办案区、房间状态、房间名称检索本地提讯房间信息。</w:t>
            </w:r>
          </w:p>
        </w:tc>
        <w:tc>
          <w:tcPr>
            <w:tcW w:w="221" w:type="pct"/>
            <w:shd w:val="clear" w:color="auto" w:fill="auto"/>
            <w:noWrap/>
            <w:vAlign w:val="center"/>
          </w:tcPr>
          <w:p w14:paraId="4FDF47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D1CF5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9FC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D4C9C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16.12 </w:t>
            </w:r>
          </w:p>
        </w:tc>
        <w:tc>
          <w:tcPr>
            <w:tcW w:w="346" w:type="pct"/>
            <w:shd w:val="clear" w:color="auto" w:fill="auto"/>
            <w:noWrap/>
            <w:vAlign w:val="center"/>
          </w:tcPr>
          <w:p w14:paraId="621FAC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远程指挥模块</w:t>
            </w:r>
          </w:p>
        </w:tc>
        <w:tc>
          <w:tcPr>
            <w:tcW w:w="3493" w:type="pct"/>
            <w:shd w:val="clear" w:color="auto" w:fill="auto"/>
            <w:vAlign w:val="center"/>
          </w:tcPr>
          <w:p w14:paraId="58433BA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语音指挥：在讯(询)问过程中，指挥室内的指挥人员向办案人员发出语音指令，指导讯(询)问。2、文字指挥：在讯(询)问过程中，指挥人员向办案人员发出文字指令。当接收到指挥人员命令时办案人员可通过文字方式回复，防止被讯(询)问人听到交流信息。3、文件传输：在指挥过程中，指挥人员可与办案人员资料互通，将佐证资料、相关说明文件等资料传输给办案人员。5、群组讨论：支持多人群组讨论指挥功能，支持在群组内进行文字交流和文件传输。6、笔录查看：支持办案过程中，指挥室人员查看讯(询)问笔录；7、房间视频监看：支持调取房间内容各类型（画中画、全景、被询问人特写、办案人特写）的监控画面并支持监听声音。</w:t>
            </w:r>
          </w:p>
        </w:tc>
        <w:tc>
          <w:tcPr>
            <w:tcW w:w="221" w:type="pct"/>
            <w:shd w:val="clear" w:color="auto" w:fill="auto"/>
            <w:noWrap/>
            <w:vAlign w:val="center"/>
          </w:tcPr>
          <w:p w14:paraId="396063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B7518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D0F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509" w:type="pct"/>
            <w:shd w:val="clear" w:color="auto" w:fill="auto"/>
            <w:noWrap/>
            <w:vAlign w:val="center"/>
          </w:tcPr>
          <w:p w14:paraId="56C5B4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346" w:type="pct"/>
            <w:shd w:val="clear" w:color="auto" w:fill="auto"/>
            <w:noWrap/>
            <w:vAlign w:val="center"/>
          </w:tcPr>
          <w:p w14:paraId="25D3F6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执法工作台模块</w:t>
            </w:r>
          </w:p>
        </w:tc>
        <w:tc>
          <w:tcPr>
            <w:tcW w:w="3493" w:type="pct"/>
            <w:shd w:val="clear" w:color="auto" w:fill="auto"/>
            <w:vAlign w:val="center"/>
          </w:tcPr>
          <w:p w14:paraId="02DCA2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班民警工作台：1、提供常用应用入口，可设置常用应用快捷方式，可拖动调节前后顺序；2、支持在区状态展示，展示当前办案区在区人数、预约人数、临时出区人数、今日最终出区人数。3、支持房间状态展示，展示当前办案区侯问室总数，侯问室使用中/空闲个数；展示当前办案区审讯室总数，审讯中/已分配/空闲中个数。4、支持展示当前办案区最近报警信息，可展示报警类型、等级、时间，点击处理，可查看告警详情包括告警图片、视频，可对报警进行确认。5、支持展示当前办案区在区涉案人员信息，包括头像、姓名、性别、人员类型、关联案件、主办民警、在区时长（并且如果在区超时，则会显示成红色提醒用户）、办案流程状态等。6、提供入区登记、预约签到、回区登记功能入口，方便用户操作。7、选中在区涉案人员，可进行信息登记、人身检查、物品登记、信息采集、吸毒检测、侯问室/审讯室分配、物品归还、饮食登记、出区登记。8、支持侯问室房间状态展示，可卡片展示每个侯问室名称、类型、状态（空闲、使用中）、室内人数、可容纳人数，可查看房间实时预览画面，可查看房间内已分配人员详情。9、支持审讯室房间状态展示，可卡片展示每个审讯室名称、状态（空闲、已分配、审讯中），对于已分配的房间，可展示已分配办案人员、涉案人员、案件名称、分配时间，可进行取消分配操作。对于审讯中的房间，可展示办案人员、涉案人员、案件名称、开始时间。10、支持拖动人员卡片至右侧审讯室和侯问室房间快速完成审讯室和侯问室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制民警工作台：1、提供常用应用入口，可设置常用应用快捷方式，可拖动调节前后顺序。2、可展示最近的违规待办，包括待办事项和时间，支持对待办进行督办和整改操作。支持点击查看全部违规。3、支持案件统计，展示案件总数、今日新增数、在办案件数、办结案件数、刑事案件数、行政案件数。支持查看近两周、近三月、近一年的行政/刑事案件数量曲线图。支持点击查看全部案件。4、支持警情统计，展示警情总数、今日新增数、处警数、处警率、视频关联数、视频关联率、案件转化数、案件转化率。支持点击查看全部警情。5、支持违规统计，展示违规总数、今日新增数、待督办数、待整改数、已结束数。支持查看违规类型top10。支持点击查看全部违规。6、支持预警统计，展示预警总数，今日新增预警数，预警类型top5。支持点击查看全部预警。</w:t>
            </w:r>
          </w:p>
        </w:tc>
        <w:tc>
          <w:tcPr>
            <w:tcW w:w="221" w:type="pct"/>
            <w:shd w:val="clear" w:color="auto" w:fill="auto"/>
            <w:noWrap/>
            <w:vAlign w:val="center"/>
          </w:tcPr>
          <w:p w14:paraId="656214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17379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F79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509" w:type="pct"/>
            <w:shd w:val="clear" w:color="auto" w:fill="auto"/>
            <w:noWrap/>
            <w:vAlign w:val="center"/>
          </w:tcPr>
          <w:p w14:paraId="2D1111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16.14 </w:t>
            </w:r>
          </w:p>
        </w:tc>
        <w:tc>
          <w:tcPr>
            <w:tcW w:w="346" w:type="pct"/>
            <w:shd w:val="clear" w:color="auto" w:fill="auto"/>
            <w:noWrap/>
            <w:vAlign w:val="center"/>
          </w:tcPr>
          <w:p w14:paraId="3EB967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出入区管理模块</w:t>
            </w:r>
          </w:p>
        </w:tc>
        <w:tc>
          <w:tcPr>
            <w:tcW w:w="3493" w:type="pct"/>
            <w:shd w:val="clear" w:color="auto" w:fill="auto"/>
            <w:vAlign w:val="center"/>
          </w:tcPr>
          <w:p w14:paraId="7FFF07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预约申请审批：办案民警带涉案人员进入办案区可提前进行预约登记，可填写涉案人员基本信息、办案基本信息，预计到达时间、预约方式；办案区管理民警可对预约登记信息进行审批。2、临时出区/最终出区申请审批：办案民警带涉案人员临时离开或者最终离开办案区，可提交出区申请，填写具体的出区原由；办案区管理民警可对出区申请信息进行审批。3、涉案人员出入区登记：（1）办案民警带涉案人员进入办案区可进行入区登记，填写涉案人员信息、填写办案信息、可进行办案民警签字和管理员签字；如果已经填写了预约登记信息，则可以直接进行预约签到，自动带出预约登记的信息。若办案民警需要带涉案人员临时出区，则可进行临时出区登记，填写临时出区原由，并可进行管理员签字确认；针对临时出区回区的涉案人员，可直接选择人员后进行回区登记，无需再次填写涉案人员信息。办案结束后，可对涉案人员进行最终出区登记，填写最终出区原由、可进行管理员签字确认。同时可进行流程管控，如果未进行临时出区/最终出区申请审批，则无法提交临时出区/最终出区登记。如果涉案人员有未处理的随身物品，则无法提交最终出区登记；（2）支持涉案人员基本情况、人身检查记录、随身财物检查记录、信息采集记录、吸毒检测记录、活动记录、离开办案区登记信息的查看；支持从涉案人出入区记录快速跳转到该人员历史定位记录查看界面，并支持下载定位记录录像，需提供公安部所属检验机构出具的检测报告。4、民警出入区登记：民警进出办案区可进行出入区登记，填写民警基本信息。</w:t>
            </w:r>
          </w:p>
        </w:tc>
        <w:tc>
          <w:tcPr>
            <w:tcW w:w="221" w:type="pct"/>
            <w:shd w:val="clear" w:color="auto" w:fill="auto"/>
            <w:noWrap/>
            <w:vAlign w:val="center"/>
          </w:tcPr>
          <w:p w14:paraId="12225D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065BE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752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9" w:type="pct"/>
            <w:shd w:val="clear" w:color="auto" w:fill="auto"/>
            <w:noWrap/>
            <w:vAlign w:val="center"/>
          </w:tcPr>
          <w:p w14:paraId="2CFCF1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346" w:type="pct"/>
            <w:shd w:val="clear" w:color="auto" w:fill="auto"/>
            <w:noWrap/>
            <w:vAlign w:val="center"/>
          </w:tcPr>
          <w:p w14:paraId="599247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人身检查登记模块</w:t>
            </w:r>
          </w:p>
        </w:tc>
        <w:tc>
          <w:tcPr>
            <w:tcW w:w="3493" w:type="pct"/>
            <w:shd w:val="clear" w:color="auto" w:fill="auto"/>
            <w:vAlign w:val="center"/>
          </w:tcPr>
          <w:p w14:paraId="3F769C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台人身检查登记：办案民警将违法犯罪嫌疑人带至办案区后，应当对其人身及携带的物品进行安全检查。民警可根据其自述情况，登记其是否有既往病史、是否饮酒、是否有传染性疾病等，同时可根据实际检查情况，记录其体表是否有伤痕、是否饮酒等，可以对其身体部位进行标记和拍照留痕，可进行电子签名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2、人身检查登记终端：支持通过人身检查终端离线对涉案人员人身检查信息进行登记、拍照和签名，联网后可上传涉案人员人身检查信息至平台。</w:t>
            </w:r>
          </w:p>
        </w:tc>
        <w:tc>
          <w:tcPr>
            <w:tcW w:w="221" w:type="pct"/>
            <w:shd w:val="clear" w:color="auto" w:fill="auto"/>
            <w:noWrap/>
            <w:vAlign w:val="center"/>
          </w:tcPr>
          <w:p w14:paraId="38FA89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06B718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D2D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55B48B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16.16 </w:t>
            </w:r>
          </w:p>
        </w:tc>
        <w:tc>
          <w:tcPr>
            <w:tcW w:w="346" w:type="pct"/>
            <w:shd w:val="clear" w:color="auto" w:fill="auto"/>
            <w:noWrap/>
            <w:vAlign w:val="center"/>
          </w:tcPr>
          <w:p w14:paraId="7B4205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随身物品暂存模块</w:t>
            </w:r>
          </w:p>
        </w:tc>
        <w:tc>
          <w:tcPr>
            <w:tcW w:w="3493" w:type="pct"/>
            <w:shd w:val="clear" w:color="auto" w:fill="auto"/>
            <w:vAlign w:val="center"/>
          </w:tcPr>
          <w:p w14:paraId="5C63A5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物品暂存：涉案人员进入办案区后，民警可对其随身携带的物品进行登记、拍照、分配柜格、入柜保管，可进行电子签名捺印，最终可生成随身物品保管清单。2、物品归还：涉案人员最终出区时，可对其随身物品进行归还、代领、扣押、代保管、邮寄或移交处理，可进行拍照和电子签名捺印。平台可展示储物柜柜格使用情况，可远程控制打开柜格。针对人脸储物柜，涉案人员可直接通过人脸认证打开柜格。</w:t>
            </w:r>
          </w:p>
        </w:tc>
        <w:tc>
          <w:tcPr>
            <w:tcW w:w="221" w:type="pct"/>
            <w:shd w:val="clear" w:color="auto" w:fill="auto"/>
            <w:noWrap/>
            <w:vAlign w:val="center"/>
          </w:tcPr>
          <w:p w14:paraId="05D3C1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AEF26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687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9" w:type="pct"/>
            <w:shd w:val="clear" w:color="auto" w:fill="auto"/>
            <w:noWrap/>
            <w:vAlign w:val="center"/>
          </w:tcPr>
          <w:p w14:paraId="384BC4D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16.17</w:t>
            </w:r>
          </w:p>
        </w:tc>
        <w:tc>
          <w:tcPr>
            <w:tcW w:w="346" w:type="pct"/>
            <w:shd w:val="clear" w:color="auto" w:fill="auto"/>
            <w:noWrap/>
            <w:vAlign w:val="center"/>
          </w:tcPr>
          <w:p w14:paraId="2BEC735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信息采集登记模块</w:t>
            </w:r>
          </w:p>
        </w:tc>
        <w:tc>
          <w:tcPr>
            <w:tcW w:w="3493" w:type="pct"/>
            <w:shd w:val="clear" w:color="auto" w:fill="auto"/>
            <w:vAlign w:val="center"/>
          </w:tcPr>
          <w:p w14:paraId="55E00C4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涉案人员进入办案区一律要进行信息采集。平台可记录涉案人员信息采集情况，包括具体采集项目（指纹、血液、尿样、掌纹、足迹等）、信息是否入库、是否进行核查比对。</w:t>
            </w:r>
          </w:p>
        </w:tc>
        <w:tc>
          <w:tcPr>
            <w:tcW w:w="221" w:type="pct"/>
            <w:shd w:val="clear" w:color="auto" w:fill="auto"/>
            <w:noWrap/>
            <w:vAlign w:val="center"/>
          </w:tcPr>
          <w:p w14:paraId="5AAC642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66C215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4488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179855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16.18 </w:t>
            </w:r>
          </w:p>
        </w:tc>
        <w:tc>
          <w:tcPr>
            <w:tcW w:w="346" w:type="pct"/>
            <w:shd w:val="clear" w:color="auto" w:fill="auto"/>
            <w:noWrap/>
            <w:vAlign w:val="center"/>
          </w:tcPr>
          <w:p w14:paraId="4F5708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吸毒检测登记模块</w:t>
            </w:r>
          </w:p>
        </w:tc>
        <w:tc>
          <w:tcPr>
            <w:tcW w:w="3493" w:type="pct"/>
            <w:shd w:val="clear" w:color="auto" w:fill="auto"/>
            <w:vAlign w:val="center"/>
          </w:tcPr>
          <w:p w14:paraId="57167E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台吸毒检测登记：涉案人员进入办案区，如果涉嫌吸毒可对其进行吸毒检测。民警可登记其吸毒检测结果，包括检测样本、检测项目、检测部门、检测地点，可抓拍户籍证明照片、抓拍检测结果照片、抓拍指认检测结果照片、抓拍被检测人员手持结果照片，并可进行电子签名捺印。登记完毕后，可导出涉案人员现场检测报告、尿液提取笔录、尿液照片。2、毒检登记终端：民警可通过毒检登记终端登记涉案人员吸毒检测信息、抓拍吸毒检测照片（户籍证明照片、检测结果照片、指认检测结果照片、被检测人员手持结果照片）、打印标签、预览打印吸毒检测报告（现场检测报告、尿液提取笔录、尿液照片），进行电子签名捺印。</w:t>
            </w:r>
          </w:p>
        </w:tc>
        <w:tc>
          <w:tcPr>
            <w:tcW w:w="221" w:type="pct"/>
            <w:shd w:val="clear" w:color="auto" w:fill="auto"/>
            <w:noWrap/>
            <w:vAlign w:val="center"/>
          </w:tcPr>
          <w:p w14:paraId="4160D4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64973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307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509" w:type="pct"/>
            <w:shd w:val="clear" w:color="auto" w:fill="auto"/>
            <w:noWrap/>
            <w:vAlign w:val="center"/>
          </w:tcPr>
          <w:p w14:paraId="3B8C0F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w:t>
            </w:r>
          </w:p>
        </w:tc>
        <w:tc>
          <w:tcPr>
            <w:tcW w:w="346" w:type="pct"/>
            <w:shd w:val="clear" w:color="auto" w:fill="auto"/>
            <w:noWrap/>
            <w:vAlign w:val="center"/>
          </w:tcPr>
          <w:p w14:paraId="443C3B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候问讯问管理模块</w:t>
            </w:r>
          </w:p>
        </w:tc>
        <w:tc>
          <w:tcPr>
            <w:tcW w:w="3493" w:type="pct"/>
            <w:shd w:val="clear" w:color="auto" w:fill="auto"/>
            <w:vAlign w:val="center"/>
          </w:tcPr>
          <w:p w14:paraId="45A720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侯问管理：支持办案区概况展示，包括在区涉案人数、侯问人数、讯问人数、在区民警数、临时出区人数、总涉案人数。可以卡片形式展示各侯问室状态，包括侯问室名称、侯问室类型、可容纳总人数、当前室内人数、还可容纳人数。可查看侯问室实时视频，可查看侯问室当前关押人员信息。可手动分配/带离涉案人员。侯问室分配时可对同案羁押、男女混押、未成年人和成年人混押情况进行提醒。2、讯（询）问管理：支持办案区概况展示，包括在区涉案人数、讯（询）问人数、侯问人数、临时出区人数，支持讯（询）问房间状态展示，包括房间总数、空闲数、已分配数、审讯中数。支持卡片形式展示房间状态：房间空闲时，支持展示房间名称，支持分配涉案人员；房间已分配时，支持展示房间名称、分配时间、审讯人、审讯对象，支持区县分配；房间审讯中时，支持展示房间名称、审讯开始时间、审讯人、审讯对象。3、候问讯问管控终端：候问管理：支持候问室名称显示；支持侯问室状态显示，包括当前房间人数、剩余可容纳人数及显示关押的人员姓名、照片、性别、年龄、主办民警、案件；支持涉案人员刷脸自动带入/带出房间；支持民警刷脸手动带入/带出涉案人员；审讯管理：支持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4、执法流程管控终端：侯问管理：支持查看候问室房间状态，包括房间名称、已关押人数、可容纳人员人数、房间类型等；支持查看候问室关押人员详情，包括人员姓名、照片、性别、年龄、案件、主办民警等；支持手动分配/带离候问室；审讯管理：支持查看审讯室房间状态，包括房间名称、房间状态等；针对空闲中房间，可分配涉案人员；针对已分配房间，展示涉案人员照片、涉案人员姓名、案件、审讯人、分配时间，可取消分配；针对审讯中房间，展示涉案人员照片、涉案人员姓名、案件、审讯人、审讯开始时间。</w:t>
            </w:r>
          </w:p>
        </w:tc>
        <w:tc>
          <w:tcPr>
            <w:tcW w:w="221" w:type="pct"/>
            <w:shd w:val="clear" w:color="auto" w:fill="auto"/>
            <w:noWrap/>
            <w:vAlign w:val="center"/>
          </w:tcPr>
          <w:p w14:paraId="040EC2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FC11F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25E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AD7AF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16.20 </w:t>
            </w:r>
          </w:p>
        </w:tc>
        <w:tc>
          <w:tcPr>
            <w:tcW w:w="346" w:type="pct"/>
            <w:shd w:val="clear" w:color="auto" w:fill="auto"/>
            <w:noWrap/>
            <w:vAlign w:val="center"/>
          </w:tcPr>
          <w:p w14:paraId="50CA2C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饮食休息登记模块</w:t>
            </w:r>
          </w:p>
        </w:tc>
        <w:tc>
          <w:tcPr>
            <w:tcW w:w="3493" w:type="pct"/>
            <w:shd w:val="clear" w:color="auto" w:fill="auto"/>
            <w:vAlign w:val="center"/>
          </w:tcPr>
          <w:p w14:paraId="7F7A47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民警可登记涉案人员在办案区中的饮食休息信息，包括类型（吃饭、喝水、休息）、所在房间、看管员姓名、开始结束时间，并可进行电子签名捺印。</w:t>
            </w:r>
          </w:p>
        </w:tc>
        <w:tc>
          <w:tcPr>
            <w:tcW w:w="221" w:type="pct"/>
            <w:shd w:val="clear" w:color="auto" w:fill="auto"/>
            <w:noWrap/>
            <w:vAlign w:val="center"/>
          </w:tcPr>
          <w:p w14:paraId="193D7C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079B0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432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22B1E7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w:t>
            </w:r>
          </w:p>
        </w:tc>
        <w:tc>
          <w:tcPr>
            <w:tcW w:w="346" w:type="pct"/>
            <w:shd w:val="clear" w:color="auto" w:fill="auto"/>
            <w:noWrap/>
            <w:vAlign w:val="center"/>
          </w:tcPr>
          <w:p w14:paraId="6C7EBC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看管巡查登记模块</w:t>
            </w:r>
          </w:p>
        </w:tc>
        <w:tc>
          <w:tcPr>
            <w:tcW w:w="3493" w:type="pct"/>
            <w:shd w:val="clear" w:color="auto" w:fill="auto"/>
            <w:vAlign w:val="center"/>
          </w:tcPr>
          <w:p w14:paraId="00F258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犯罪嫌疑人在办案区等候、休息时，需要安排工作人员不间断看管。民警可通过看管巡查终端定时登记嫌疑人在区状态，包括巡查照片、巡查时间、巡查人、体温、血压、人员在区状态、异常状态、备注。巡查终端可定时语音提醒民警进行巡查。巡查终端联网后可同步在区人员信息，可回传巡查信息至平台。巡查终端上传巡查结果后，系统自动检测巡查过程是否存在漏巡及异常情况，产生漏巡等报警。</w:t>
            </w:r>
          </w:p>
        </w:tc>
        <w:tc>
          <w:tcPr>
            <w:tcW w:w="221" w:type="pct"/>
            <w:shd w:val="clear" w:color="auto" w:fill="auto"/>
            <w:noWrap/>
            <w:vAlign w:val="center"/>
          </w:tcPr>
          <w:p w14:paraId="37FF81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2DD593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B10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48E5D4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 </w:t>
            </w:r>
          </w:p>
        </w:tc>
        <w:tc>
          <w:tcPr>
            <w:tcW w:w="346" w:type="pct"/>
            <w:shd w:val="clear" w:color="auto" w:fill="auto"/>
            <w:noWrap/>
            <w:vAlign w:val="center"/>
          </w:tcPr>
          <w:p w14:paraId="20EF66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办案区异常告警模块</w:t>
            </w:r>
          </w:p>
        </w:tc>
        <w:tc>
          <w:tcPr>
            <w:tcW w:w="3493" w:type="pct"/>
            <w:shd w:val="clear" w:color="auto" w:fill="auto"/>
            <w:vAlign w:val="center"/>
          </w:tcPr>
          <w:p w14:paraId="331053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异常告警检测：系统可对办案区异常情况进行检测，包括在区超时告警、在区超时预警、审讯超时预警、审讯超时告警、单人审讯、无人看管、陌生人出入区、非法出区、攀高、倒地等。2、异常告警处理：用户可查看异常告警关联的图片或视频信息，可对异常告警做确认或者误报处理，可添加描述信息。</w:t>
            </w:r>
          </w:p>
        </w:tc>
        <w:tc>
          <w:tcPr>
            <w:tcW w:w="221" w:type="pct"/>
            <w:shd w:val="clear" w:color="auto" w:fill="auto"/>
            <w:noWrap/>
            <w:vAlign w:val="center"/>
          </w:tcPr>
          <w:p w14:paraId="2E6E9C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106A3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1DF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509" w:type="pct"/>
            <w:shd w:val="clear" w:color="auto" w:fill="auto"/>
            <w:noWrap/>
            <w:vAlign w:val="center"/>
          </w:tcPr>
          <w:p w14:paraId="418F39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w:t>
            </w:r>
          </w:p>
        </w:tc>
        <w:tc>
          <w:tcPr>
            <w:tcW w:w="346" w:type="pct"/>
            <w:shd w:val="clear" w:color="auto" w:fill="auto"/>
            <w:noWrap/>
            <w:vAlign w:val="center"/>
          </w:tcPr>
          <w:p w14:paraId="25C880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人员定位模块</w:t>
            </w:r>
          </w:p>
        </w:tc>
        <w:tc>
          <w:tcPr>
            <w:tcW w:w="3493" w:type="pct"/>
            <w:shd w:val="clear" w:color="auto" w:fill="auto"/>
            <w:vAlign w:val="center"/>
          </w:tcPr>
          <w:p w14:paraId="24A5036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时定位：（1）支持卡片展示所有在区人员信息，包括头像、姓名、证件号、停留时长，并支持根据姓名、证件号、人员类型等快速搜索；（2）支持展示办案场所地图并支持放大、缩小、还原；（3）支持接收无感人员定位数据，经分析处理后展示在区人员位置信息；同时可查看人员所在位置视频；（4）支持展示地图上配置的监控点，并支持预览监控点视频；（5）支持人员变动弹窗提醒，包括人员进入、离开，并支持语音播报；（6）支持在室内地图上显示人员实时位置；支持以列表形式展示已登记但尚未离开人员的信息（头像、姓名、证件、停留时长），并支持根据姓名、身份证号、人员类型等条进行人员查询；支持显示当前登记人员总数，支持按人员类型分类统计并展示人员个数；；（7）支持手动关注人员，关注后的人员会加入关注列表中，可通过关键字进行查询；地图上会对实时显示人员位置并播放联动实时视频；当被人员移动至另外一个室内地图范围时，系统可自动切换地图；支持从实时定位模块跳转至人员定位记录回放界面，并查看改人员历史定位记录，需提供公安部所属检验机构出具的检测报告。2、轨迹查询：（1）支持展示所有出入区人员列表，包括人员姓名、性别、证件类型、证件号、出生年月、人员类型、进入时间、离开时间。（2）支持查看人员历史轨迹，展示人员经过的所有区域、进入该区域的时间及停留时长，展示人员在地图上的行动轨迹；支持轨迹和视频同步回放。3、轨迹下载：支持将人员所有的历史轨迹视频下载到本地。4、轨迹备份：支持将人员历史轨迹视频备份到对象存储，做长久保存；支持轨迹视频拼接合并。</w:t>
            </w:r>
          </w:p>
        </w:tc>
        <w:tc>
          <w:tcPr>
            <w:tcW w:w="221" w:type="pct"/>
            <w:shd w:val="clear" w:color="auto" w:fill="auto"/>
            <w:noWrap/>
            <w:vAlign w:val="center"/>
          </w:tcPr>
          <w:p w14:paraId="0209E7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F3777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89B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722D476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16.24 </w:t>
            </w:r>
          </w:p>
        </w:tc>
        <w:tc>
          <w:tcPr>
            <w:tcW w:w="346" w:type="pct"/>
            <w:shd w:val="clear" w:color="auto" w:fill="auto"/>
            <w:noWrap/>
            <w:vAlign w:val="center"/>
          </w:tcPr>
          <w:p w14:paraId="3F471E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定位场所数模块</w:t>
            </w:r>
          </w:p>
        </w:tc>
        <w:tc>
          <w:tcPr>
            <w:tcW w:w="3493" w:type="pct"/>
            <w:shd w:val="clear" w:color="auto" w:fill="auto"/>
            <w:vAlign w:val="center"/>
          </w:tcPr>
          <w:p w14:paraId="1DAF64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平台场所下添加的定位场所数量，一个办案区，平台内为一个场所，一个场所下可以添加多张定位地图。</w:t>
            </w:r>
          </w:p>
        </w:tc>
        <w:tc>
          <w:tcPr>
            <w:tcW w:w="221" w:type="pct"/>
            <w:shd w:val="clear" w:color="auto" w:fill="auto"/>
            <w:noWrap/>
            <w:vAlign w:val="center"/>
          </w:tcPr>
          <w:p w14:paraId="0F7258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75A07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AFC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78DFA7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346" w:type="pct"/>
            <w:shd w:val="clear" w:color="auto" w:fill="auto"/>
            <w:noWrap/>
            <w:vAlign w:val="center"/>
          </w:tcPr>
          <w:p w14:paraId="6C7FFF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三维办案区模块</w:t>
            </w:r>
          </w:p>
        </w:tc>
        <w:tc>
          <w:tcPr>
            <w:tcW w:w="3493" w:type="pct"/>
            <w:shd w:val="clear" w:color="auto" w:fill="auto"/>
            <w:vAlign w:val="center"/>
          </w:tcPr>
          <w:p w14:paraId="4C1B27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时定位支持三维地图展示办案区概况；支持实时展示在区涉案人员的信息（头像、姓名、证件、停留时长），并支持根据姓名、身份证号、人员类型等快速搜索；支持人员变动弹窗提醒，包括人员入区、出区、临时出区；支持实时展示在区涉案人员位置；支持手动关注人员，关注后的人员会加入特别关注组中，方便快速查找；支持切换地图来实时查看不同地图上的登记人员；支持定位人员，地图上会突出显示该人员位置；支持跟踪人员，地图上会显著地显示跟踪人员的位置，人员到另外一个地图时会自动切换地图，自动启动播放器预览当前人员所在区域关联的监控点，人员定位信息更新到其他区域时播放器自动切换预览对应监控点；支持定位中人员的轨迹信息查看；支持预览地图上配置的监控点；支持接收报警信息，并且弹窗提示，支持未读报警信息计数提醒，支持查看告警视频；支持地图拖拽、放大、缩小、旋转；支持展示办案区审讯室状态（空闲、已分配、侯问中）、侯问室状态（已关押人数、总容纳人数）；支持展示在区涉案人数、临时出区人数、最终出区人数；支持展示今日告警top5，历史告警类型占比统计；支持展示近三个月、近一年入区人数趋势统计；支持历史办理案件数统计（行政、刑事占比），支持历史案由占比统计。2、轨迹查询：支持定位记录信息列表展示及关键字（定位时间、姓名、证件类型、证件号）查询；支持查看定位记录的轨迹（含地图）信息、全程录像，同时支持按时间段过滤；支持查看经过的任一区域信息，包括区域名称、进入时间和停留时间；支持轨迹和视频同步回放；轨迹视频支持暂停、进度条显示、多倍速播放（1X、2X、4X、8X、16X）、全屏；3、轨迹下载：支持将人员所有的历史轨迹视频下载到本地。4、轨迹备份：支持将人员历史轨迹视频备份到对象存储，做长久保存；支持轨迹视频拼接合并。</w:t>
            </w:r>
          </w:p>
        </w:tc>
        <w:tc>
          <w:tcPr>
            <w:tcW w:w="221" w:type="pct"/>
            <w:shd w:val="clear" w:color="auto" w:fill="auto"/>
            <w:noWrap/>
            <w:vAlign w:val="center"/>
          </w:tcPr>
          <w:p w14:paraId="10F24E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20431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D74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2A3C29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16.26 </w:t>
            </w:r>
          </w:p>
        </w:tc>
        <w:tc>
          <w:tcPr>
            <w:tcW w:w="346" w:type="pct"/>
            <w:shd w:val="clear" w:color="auto" w:fill="auto"/>
            <w:noWrap/>
            <w:vAlign w:val="center"/>
          </w:tcPr>
          <w:p w14:paraId="1F073C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执法档案模块</w:t>
            </w:r>
          </w:p>
        </w:tc>
        <w:tc>
          <w:tcPr>
            <w:tcW w:w="3493" w:type="pct"/>
            <w:shd w:val="clear" w:color="auto" w:fill="auto"/>
            <w:vAlign w:val="center"/>
          </w:tcPr>
          <w:p w14:paraId="20845E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案一档：（1）以案件为维度，汇聚案件关联的信息。支持以卡片形式展示所有的案件信息，包括案件名称、案件编号、案件类型、承办部门、承办人。（2）支持按照创建时间、案件名称、案件类型、承办部门、承办人、案件编号、涉案人员去筛选查询；（3）支持在一案一档界面，查看案件关联的涉案人员相关信息，包括基本信息、办案区活动记录、审讯记录、审讯录像、定位记录录像；支持将人员定位记录视频、审讯过程视频自动备份至云存储系统。2、一人一档：（1）以涉案人员为维度，汇聚人员关联的信息。支持以卡片方式展示所有已登记涉案人员，包括姓名、性别、照片、证件类型、证件号码、联系方式、户籍地址；（2）支持按照姓名、性别、证件类型、证件号码、案件名称、案件编号进行筛选查询；（3）支持展示涉案人员的详细信息，包括人员详情及关联的警情、案件、办案区流程记录（入区登记、人身检查、物品管理、信息采集、吸毒检测、饮食休息、侯问讯问、临时出入区、最终出区）、讯（询）问记录、涉案财物信息及流转记录、卷宗信息及流转记录。</w:t>
            </w:r>
          </w:p>
        </w:tc>
        <w:tc>
          <w:tcPr>
            <w:tcW w:w="221" w:type="pct"/>
            <w:shd w:val="clear" w:color="auto" w:fill="auto"/>
            <w:noWrap/>
            <w:vAlign w:val="center"/>
          </w:tcPr>
          <w:p w14:paraId="2F28E5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71007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BC6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509" w:type="pct"/>
            <w:shd w:val="clear" w:color="auto" w:fill="auto"/>
            <w:noWrap/>
            <w:vAlign w:val="center"/>
          </w:tcPr>
          <w:p w14:paraId="04ABC0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w:t>
            </w:r>
          </w:p>
        </w:tc>
        <w:tc>
          <w:tcPr>
            <w:tcW w:w="346" w:type="pct"/>
            <w:shd w:val="clear" w:color="auto" w:fill="auto"/>
            <w:noWrap/>
            <w:vAlign w:val="center"/>
          </w:tcPr>
          <w:p w14:paraId="6EB4EC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执法态势模块</w:t>
            </w:r>
          </w:p>
        </w:tc>
        <w:tc>
          <w:tcPr>
            <w:tcW w:w="3493" w:type="pct"/>
            <w:shd w:val="clear" w:color="auto" w:fill="auto"/>
            <w:vAlign w:val="center"/>
          </w:tcPr>
          <w:p w14:paraId="08C909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可视化展示全县电子地图，可在地图查看全县各个派出所的地理位置以及名称，支持点击对应的派出所跳转至派出所的统计图层；2.支持展示全县所有的警情统计，包括警情总数、月同比变化趋势、月环比变化趋势、涉案警情数，支持曲线图展示全县的警情数变化趋势，可按日（近15天）、周（近三个月）、月（近一年）的时间范围进行筛选统计；3.支持展示全县所有的案件统计，包括案件总数、月同比变化趋势、月环比变化趋势、行政案件数、刑事案件数、在办案件数、办结案件数，支持曲线图展示全县的刑事案件和行政案件数变化趋势，可按日（近15天）、周（近三个月）、月（近一年）的时间范围进行筛选统计；4.支持展示全县所有的涉案人员统计，包括人员总数、当前在区数、临时出区数、最终出区数，支持饼状图展示全县入区案由的数量、比例以及最终出区去向的数量、比例信息；5.支持展示全县所有的预警状况统计，包括预警总数、月同比变化趋势、月环比变化趋势、今日新增数，支持饼状图展示各个预警类型的数量和占比，支持展示各个派出所预警数排名，可按今日、周、月的时间范围筛选统计；支持点击更多按钮跳转预警中心查看预警信息详情；6.支持展示全县办案区的状况信息，包括办案区数量、视频监控点位数量；支持展示询/讯问室数量以及使用量、使用率，候问室的数量以及使用量、使用率；支持展示询/讯问室与候问室的数量比例情况；7.支持展示全县所有的案卷信息，包括案卷总数、月同比变化趋势、月环比变化趋势、今日接收数、今日移交数；支持展示待存入、保管中、待取出和已取出的案卷数量以及四者的占比信息；8.支持展示全县所有的涉案物品统计信息，包括涉案物品总数、月同比变化趋势、月环比变化趋势；支持按照物品类型、出/入库状态、今日出/入库展示各类物品数量。</w:t>
            </w:r>
          </w:p>
        </w:tc>
        <w:tc>
          <w:tcPr>
            <w:tcW w:w="221" w:type="pct"/>
            <w:shd w:val="clear" w:color="auto" w:fill="auto"/>
            <w:noWrap/>
            <w:vAlign w:val="center"/>
          </w:tcPr>
          <w:p w14:paraId="439594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A684D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B83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20EDEF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16.28 </w:t>
            </w:r>
          </w:p>
        </w:tc>
        <w:tc>
          <w:tcPr>
            <w:tcW w:w="346" w:type="pct"/>
            <w:shd w:val="clear" w:color="auto" w:fill="auto"/>
            <w:noWrap/>
            <w:vAlign w:val="center"/>
          </w:tcPr>
          <w:p w14:paraId="4A680F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执法巡查模块</w:t>
            </w:r>
          </w:p>
        </w:tc>
        <w:tc>
          <w:tcPr>
            <w:tcW w:w="3493" w:type="pct"/>
            <w:shd w:val="clear" w:color="auto" w:fill="auto"/>
            <w:vAlign w:val="center"/>
          </w:tcPr>
          <w:p w14:paraId="3B30F8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案件巡查：可对行政案件和刑事案件进行分类巡查，可查看案件详情、案件关联的警情信息、案件关联的涉案人员信息、涉案人员的办案区活动记录（入区登记、人身检查、物品管理、信息采集、吸毒检测、饮食休息、侯问讯问、临时出入区、最终出区）、涉案人员的讯（询）问记录、案件关联的涉案财物信息及流转记录、案件关联的卷宗信息及流转记录、案件关联的音视频资料信息（接处警、办案区、讯询问、现场勘查）。针对违规的案件，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可查看历史督办记录，督办问题问题的整改状态。可查看历史的执法考评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场所巡查：可查看各办案场所实时监控视频和历史视频，针对违规的行为，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w:t>
            </w:r>
          </w:p>
        </w:tc>
        <w:tc>
          <w:tcPr>
            <w:tcW w:w="221" w:type="pct"/>
            <w:shd w:val="clear" w:color="auto" w:fill="auto"/>
            <w:noWrap/>
            <w:vAlign w:val="center"/>
          </w:tcPr>
          <w:p w14:paraId="146B81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64CD6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C6A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1326C2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w:t>
            </w:r>
          </w:p>
        </w:tc>
        <w:tc>
          <w:tcPr>
            <w:tcW w:w="346" w:type="pct"/>
            <w:shd w:val="clear" w:color="auto" w:fill="auto"/>
            <w:noWrap/>
            <w:vAlign w:val="center"/>
          </w:tcPr>
          <w:p w14:paraId="43D4D4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数据对接网关</w:t>
            </w:r>
          </w:p>
        </w:tc>
        <w:tc>
          <w:tcPr>
            <w:tcW w:w="3493" w:type="pct"/>
            <w:shd w:val="clear" w:color="auto" w:fill="auto"/>
            <w:vAlign w:val="center"/>
          </w:tcPr>
          <w:p w14:paraId="11DD37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将不同数据源数据，通过各个数据流中的主键字段，进行等值关联合并，输出到同一个目标源中；2.支持按数字、日期等业务字段进行数据增量字段的配置，可实现断点续传，指定偏移量进行数据增量抽取；3.支持查看配置任务的运行状态，初步判断任务运行情况以及性能情况；查看任务的所有执行记录，包含各时间点执行的情况；针对输入、处理、输出每一个节点提供数据量报表、执行日志、性能日志、执行记录等信息，需提供公安部所属检验机构出具的检测报告；4.以画布式推拽模式和向导模式进行数据集成任务开发，任务主要由输入插件、处理插件和输出插件组成，实现数据接入、数据处理和数据分发，展示数据输入输出流向，需提供公安部所属机构出具的检验报告证明。</w:t>
            </w:r>
          </w:p>
        </w:tc>
        <w:tc>
          <w:tcPr>
            <w:tcW w:w="221" w:type="pct"/>
            <w:shd w:val="clear" w:color="auto" w:fill="auto"/>
            <w:noWrap/>
            <w:vAlign w:val="center"/>
          </w:tcPr>
          <w:p w14:paraId="5868C8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47458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977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D9712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4490" w:type="pct"/>
            <w:gridSpan w:val="4"/>
            <w:shd w:val="clear" w:color="auto" w:fill="auto"/>
            <w:noWrap/>
            <w:vAlign w:val="center"/>
          </w:tcPr>
          <w:p w14:paraId="093DF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远程取证平台</w:t>
            </w:r>
          </w:p>
        </w:tc>
      </w:tr>
      <w:tr w14:paraId="6FD2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C8BE8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46" w:type="pct"/>
            <w:shd w:val="clear" w:color="auto" w:fill="auto"/>
            <w:noWrap/>
            <w:vAlign w:val="center"/>
          </w:tcPr>
          <w:p w14:paraId="3ACA3C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基础管理模块</w:t>
            </w:r>
          </w:p>
        </w:tc>
        <w:tc>
          <w:tcPr>
            <w:tcW w:w="3493" w:type="pct"/>
            <w:shd w:val="clear" w:color="auto" w:fill="auto"/>
            <w:vAlign w:val="center"/>
          </w:tcPr>
          <w:p w14:paraId="22F284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提供平台登录、人员信息管理、系统配置等基础功能。</w:t>
            </w:r>
          </w:p>
        </w:tc>
        <w:tc>
          <w:tcPr>
            <w:tcW w:w="221" w:type="pct"/>
            <w:shd w:val="clear" w:color="auto" w:fill="auto"/>
            <w:noWrap/>
            <w:vAlign w:val="center"/>
          </w:tcPr>
          <w:p w14:paraId="0D898D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09DBE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927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3A53CA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46" w:type="pct"/>
            <w:shd w:val="clear" w:color="auto" w:fill="auto"/>
            <w:noWrap/>
            <w:vAlign w:val="center"/>
          </w:tcPr>
          <w:p w14:paraId="69B02B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取证室管理服务</w:t>
            </w:r>
          </w:p>
        </w:tc>
        <w:tc>
          <w:tcPr>
            <w:tcW w:w="3493" w:type="pct"/>
            <w:shd w:val="clear" w:color="auto" w:fill="auto"/>
            <w:vAlign w:val="center"/>
          </w:tcPr>
          <w:p w14:paraId="0B14BE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同步将笔录制作过程展示给被取证人；2、支持主动获取被取证人的位置信息，支持将位置信息自动填写至笔录中，用户可对自动填写的内容进行二次修改；3、支持对笔录问答内容的输入，并可对输入内容进行复制、粘贴、删除；4、支持笔录内容的自动保存；5、支持将笔录发送至被取证人让其确认和签字；6、支持被取证人拒绝签字时的笔录合成处理；7、支持双向高清音视频通话，实现面对面取证效果；8、支持在PC显示器中显示取证操作界面，在大屏中显示双方视频画面；9、支持最多各5名询问人和记录员在笔录中签名；10、支持对接电子签字板。</w:t>
            </w:r>
          </w:p>
        </w:tc>
        <w:tc>
          <w:tcPr>
            <w:tcW w:w="221" w:type="pct"/>
            <w:shd w:val="clear" w:color="auto" w:fill="auto"/>
            <w:noWrap/>
            <w:vAlign w:val="center"/>
          </w:tcPr>
          <w:p w14:paraId="338D48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428" w:type="pct"/>
            <w:shd w:val="clear" w:color="auto" w:fill="auto"/>
            <w:noWrap/>
            <w:vAlign w:val="center"/>
          </w:tcPr>
          <w:p w14:paraId="197375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690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762627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46" w:type="pct"/>
            <w:shd w:val="clear" w:color="auto" w:fill="auto"/>
            <w:noWrap/>
            <w:vAlign w:val="center"/>
          </w:tcPr>
          <w:p w14:paraId="63A0B2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取证中心（民警端）</w:t>
            </w:r>
          </w:p>
        </w:tc>
        <w:tc>
          <w:tcPr>
            <w:tcW w:w="3493" w:type="pct"/>
            <w:shd w:val="clear" w:color="auto" w:fill="auto"/>
            <w:vAlign w:val="center"/>
          </w:tcPr>
          <w:p w14:paraId="399EAF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双向高清音视频通话，实现面对面取证效果；2、支持通过扫描身份证登录平台；3、支持通过人脸比对来核验被取证人身份；4、支持自动定位被取证人所在的取证位置；5、支持对笔录、法律文书、证据材料进行签字（姓名、日期）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6、支持笔录的确认条款签写；7、支持从手机相册批量上传证据材料；8、支持同步查看高清笔录制作过程；9、支持签写和下载民警指定的法律文书。</w:t>
            </w:r>
          </w:p>
        </w:tc>
        <w:tc>
          <w:tcPr>
            <w:tcW w:w="221" w:type="pct"/>
            <w:shd w:val="clear" w:color="auto" w:fill="auto"/>
            <w:noWrap/>
            <w:vAlign w:val="center"/>
          </w:tcPr>
          <w:p w14:paraId="43CA53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716BC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1A0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04404C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46" w:type="pct"/>
            <w:shd w:val="clear" w:color="auto" w:fill="auto"/>
            <w:noWrap/>
            <w:vAlign w:val="center"/>
          </w:tcPr>
          <w:p w14:paraId="57D0C1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取证中心（群众端小程序）</w:t>
            </w:r>
          </w:p>
        </w:tc>
        <w:tc>
          <w:tcPr>
            <w:tcW w:w="3493" w:type="pct"/>
            <w:shd w:val="clear" w:color="auto" w:fill="auto"/>
            <w:vAlign w:val="center"/>
          </w:tcPr>
          <w:p w14:paraId="734DB5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1、支持对保存的案件取证数据进行查询、预览和下载；2、支持对已取证案件，可设置再次取证</w:t>
            </w:r>
          </w:p>
        </w:tc>
        <w:tc>
          <w:tcPr>
            <w:tcW w:w="221" w:type="pct"/>
            <w:shd w:val="clear" w:color="auto" w:fill="auto"/>
            <w:noWrap/>
            <w:vAlign w:val="center"/>
          </w:tcPr>
          <w:p w14:paraId="49E9E8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2B121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6E6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527838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46" w:type="pct"/>
            <w:shd w:val="clear" w:color="auto" w:fill="auto"/>
            <w:noWrap/>
            <w:vAlign w:val="center"/>
          </w:tcPr>
          <w:p w14:paraId="4F6CFC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案件中心</w:t>
            </w:r>
          </w:p>
        </w:tc>
        <w:tc>
          <w:tcPr>
            <w:tcW w:w="3493" w:type="pct"/>
            <w:shd w:val="clear" w:color="auto" w:fill="auto"/>
            <w:vAlign w:val="center"/>
          </w:tcPr>
          <w:p w14:paraId="0932BD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1、支持对保存的案件取证数据进行查询、预览和下载；2、支持对已取证案件，可设置再次取证</w:t>
            </w:r>
          </w:p>
        </w:tc>
        <w:tc>
          <w:tcPr>
            <w:tcW w:w="221" w:type="pct"/>
            <w:shd w:val="clear" w:color="auto" w:fill="auto"/>
            <w:noWrap/>
            <w:vAlign w:val="center"/>
          </w:tcPr>
          <w:p w14:paraId="134B61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ADAF2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8F7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0B4F76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46" w:type="pct"/>
            <w:shd w:val="clear" w:color="auto" w:fill="auto"/>
            <w:noWrap/>
            <w:vAlign w:val="center"/>
          </w:tcPr>
          <w:p w14:paraId="2D6677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涉众案件中心</w:t>
            </w:r>
          </w:p>
        </w:tc>
        <w:tc>
          <w:tcPr>
            <w:tcW w:w="3493" w:type="pct"/>
            <w:shd w:val="clear" w:color="auto" w:fill="auto"/>
            <w:vAlign w:val="center"/>
          </w:tcPr>
          <w:p w14:paraId="2C74F4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1、支持专案创建、被害人快速导入、信息登记和收集、自书材料生产和确认签字、证据材料收集等功能</w:t>
            </w:r>
          </w:p>
        </w:tc>
        <w:tc>
          <w:tcPr>
            <w:tcW w:w="221" w:type="pct"/>
            <w:shd w:val="clear" w:color="auto" w:fill="auto"/>
            <w:noWrap/>
            <w:vAlign w:val="center"/>
          </w:tcPr>
          <w:p w14:paraId="2A3110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18802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B76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46BF3C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46" w:type="pct"/>
            <w:shd w:val="clear" w:color="auto" w:fill="auto"/>
            <w:noWrap/>
            <w:vAlign w:val="center"/>
          </w:tcPr>
          <w:p w14:paraId="5F099E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统计中心</w:t>
            </w:r>
          </w:p>
        </w:tc>
        <w:tc>
          <w:tcPr>
            <w:tcW w:w="3493" w:type="pct"/>
            <w:shd w:val="clear" w:color="auto" w:fill="auto"/>
            <w:vAlign w:val="center"/>
          </w:tcPr>
          <w:p w14:paraId="183DE3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可视化取证数据，如取证室使用排行榜TOP5、取证趋势、被取证人区域分布TOP5、被取证人年龄分布等，能够以看板形式在大屏展示；2、支持根据取证数据，自动计算累计减负公里数、累计节约办案费用、累计办案时长、累计减少碳排放指标。3、支持按照区域切换查询取证数据。</w:t>
            </w:r>
          </w:p>
        </w:tc>
        <w:tc>
          <w:tcPr>
            <w:tcW w:w="221" w:type="pct"/>
            <w:shd w:val="clear" w:color="auto" w:fill="auto"/>
            <w:noWrap/>
            <w:vAlign w:val="center"/>
          </w:tcPr>
          <w:p w14:paraId="4A627A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362C1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0C9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1826A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46" w:type="pct"/>
            <w:shd w:val="clear" w:color="auto" w:fill="auto"/>
            <w:noWrap/>
            <w:vAlign w:val="center"/>
          </w:tcPr>
          <w:p w14:paraId="3E32E7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预约中心</w:t>
            </w:r>
          </w:p>
        </w:tc>
        <w:tc>
          <w:tcPr>
            <w:tcW w:w="3493" w:type="pct"/>
            <w:shd w:val="clear" w:color="auto" w:fill="auto"/>
            <w:vAlign w:val="center"/>
          </w:tcPr>
          <w:p w14:paraId="0722E4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1、支持取证室的预约和管理。2、支持查看取证室的使用状态。</w:t>
            </w:r>
          </w:p>
        </w:tc>
        <w:tc>
          <w:tcPr>
            <w:tcW w:w="221" w:type="pct"/>
            <w:shd w:val="clear" w:color="auto" w:fill="auto"/>
            <w:noWrap/>
            <w:vAlign w:val="center"/>
          </w:tcPr>
          <w:p w14:paraId="0BE656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7EFBE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246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DF285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46" w:type="pct"/>
            <w:shd w:val="clear" w:color="auto" w:fill="auto"/>
            <w:noWrap/>
            <w:vAlign w:val="center"/>
          </w:tcPr>
          <w:p w14:paraId="1BD8D3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视频会控基础服务</w:t>
            </w:r>
          </w:p>
        </w:tc>
        <w:tc>
          <w:tcPr>
            <w:tcW w:w="3493" w:type="pct"/>
            <w:shd w:val="clear" w:color="auto" w:fill="auto"/>
            <w:vAlign w:val="center"/>
          </w:tcPr>
          <w:p w14:paraId="6DD01F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1、支持当前用户查看待召开的会议和正在进行的会议；2、支持会议过程中，对会议成员发起邀请、呼叫；3、支持适应网络，保障会议系统安全稳定运行。</w:t>
            </w:r>
          </w:p>
        </w:tc>
        <w:tc>
          <w:tcPr>
            <w:tcW w:w="221" w:type="pct"/>
            <w:shd w:val="clear" w:color="auto" w:fill="auto"/>
            <w:noWrap/>
            <w:vAlign w:val="center"/>
          </w:tcPr>
          <w:p w14:paraId="7E3F50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77CAC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CA3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D42B6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17.10 </w:t>
            </w:r>
          </w:p>
        </w:tc>
        <w:tc>
          <w:tcPr>
            <w:tcW w:w="346" w:type="pct"/>
            <w:shd w:val="clear" w:color="auto" w:fill="auto"/>
            <w:noWrap/>
            <w:vAlign w:val="center"/>
          </w:tcPr>
          <w:p w14:paraId="2AECED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单间取证室取流并发服务</w:t>
            </w:r>
          </w:p>
        </w:tc>
        <w:tc>
          <w:tcPr>
            <w:tcW w:w="3493" w:type="pct"/>
            <w:shd w:val="clear" w:color="auto" w:fill="auto"/>
            <w:vAlign w:val="center"/>
          </w:tcPr>
          <w:p w14:paraId="734CDF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1、提供在手机端小程序上看到PC端的同步画面的服务。2、提供在手机端小程序上看到会议终端的视频画面的服务。3、提供在PC端看到手机端的摄像头视频画面的服务。</w:t>
            </w:r>
          </w:p>
        </w:tc>
        <w:tc>
          <w:tcPr>
            <w:tcW w:w="221" w:type="pct"/>
            <w:shd w:val="clear" w:color="auto" w:fill="auto"/>
            <w:noWrap/>
            <w:vAlign w:val="center"/>
          </w:tcPr>
          <w:p w14:paraId="74E273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428" w:type="pct"/>
            <w:shd w:val="clear" w:color="auto" w:fill="auto"/>
            <w:noWrap/>
            <w:vAlign w:val="center"/>
          </w:tcPr>
          <w:p w14:paraId="296AEF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13D7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64D7F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w:t>
            </w:r>
          </w:p>
        </w:tc>
        <w:tc>
          <w:tcPr>
            <w:tcW w:w="346" w:type="pct"/>
            <w:shd w:val="clear" w:color="auto" w:fill="auto"/>
            <w:noWrap/>
            <w:vAlign w:val="center"/>
          </w:tcPr>
          <w:p w14:paraId="30F388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单间取证室取证录播服务</w:t>
            </w:r>
          </w:p>
        </w:tc>
        <w:tc>
          <w:tcPr>
            <w:tcW w:w="3493" w:type="pct"/>
            <w:shd w:val="clear" w:color="auto" w:fill="auto"/>
            <w:vAlign w:val="center"/>
          </w:tcPr>
          <w:p w14:paraId="45F275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1、提供支持对取证界面、小程序画面和取证终端视频作为一个完整画面，并录制成mp4文件的服务。2、支持将录播文件保存在服务器硬盘中，提供文件下载和点播等服务。</w:t>
            </w:r>
          </w:p>
        </w:tc>
        <w:tc>
          <w:tcPr>
            <w:tcW w:w="221" w:type="pct"/>
            <w:shd w:val="clear" w:color="auto" w:fill="auto"/>
            <w:noWrap/>
            <w:vAlign w:val="center"/>
          </w:tcPr>
          <w:p w14:paraId="32459E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428" w:type="pct"/>
            <w:shd w:val="clear" w:color="auto" w:fill="auto"/>
            <w:noWrap/>
            <w:vAlign w:val="center"/>
          </w:tcPr>
          <w:p w14:paraId="480803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57E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7307D2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4490" w:type="pct"/>
            <w:gridSpan w:val="4"/>
            <w:shd w:val="clear" w:color="auto" w:fill="auto"/>
            <w:noWrap/>
            <w:vAlign w:val="center"/>
          </w:tcPr>
          <w:p w14:paraId="4A13F7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计算存储资源</w:t>
            </w:r>
          </w:p>
        </w:tc>
      </w:tr>
      <w:tr w14:paraId="04BF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9" w:hRule="atLeast"/>
        </w:trPr>
        <w:tc>
          <w:tcPr>
            <w:tcW w:w="509" w:type="pct"/>
            <w:shd w:val="clear" w:color="auto" w:fill="auto"/>
            <w:noWrap/>
            <w:vAlign w:val="center"/>
          </w:tcPr>
          <w:p w14:paraId="61ADBD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46" w:type="pct"/>
            <w:shd w:val="clear" w:color="auto" w:fill="auto"/>
            <w:noWrap/>
            <w:vAlign w:val="center"/>
          </w:tcPr>
          <w:p w14:paraId="754062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硬件服务器</w:t>
            </w:r>
          </w:p>
        </w:tc>
        <w:tc>
          <w:tcPr>
            <w:tcW w:w="3493" w:type="pct"/>
            <w:shd w:val="clear" w:color="auto" w:fill="auto"/>
            <w:vAlign w:val="center"/>
          </w:tcPr>
          <w:p w14:paraId="3179AC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CPU：配置≥2颗高性能处理器，核数≥12核，主频≥2.4GHz；内存：配置≥128G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shd w:val="clear" w:color="auto" w:fill="auto"/>
            <w:noWrap/>
            <w:vAlign w:val="center"/>
          </w:tcPr>
          <w:p w14:paraId="212845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43F5F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99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1CE8F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46" w:type="pct"/>
            <w:shd w:val="clear" w:color="auto" w:fill="auto"/>
            <w:noWrap/>
            <w:vAlign w:val="center"/>
          </w:tcPr>
          <w:p w14:paraId="62EC8A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校时系统</w:t>
            </w:r>
          </w:p>
        </w:tc>
        <w:tc>
          <w:tcPr>
            <w:tcW w:w="3493" w:type="pct"/>
            <w:shd w:val="clear" w:color="auto" w:fill="auto"/>
            <w:vAlign w:val="center"/>
          </w:tcPr>
          <w:p w14:paraId="36A735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守时精度：≤28us；跟踪通道数：≥32；捕获通道数：≥128；授时容量：≥10000次/每秒（单端口）；授时精度：≤5us；授时频段：GPS:1575.42±1.023MHz，北斗:1561.098±2.046MHz</w:t>
            </w:r>
          </w:p>
        </w:tc>
        <w:tc>
          <w:tcPr>
            <w:tcW w:w="221" w:type="pct"/>
            <w:shd w:val="clear" w:color="auto" w:fill="auto"/>
            <w:noWrap/>
            <w:vAlign w:val="center"/>
          </w:tcPr>
          <w:p w14:paraId="36B220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3BD0C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810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F5F8C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46" w:type="pct"/>
            <w:shd w:val="clear" w:color="auto" w:fill="auto"/>
            <w:noWrap/>
            <w:vAlign w:val="center"/>
          </w:tcPr>
          <w:p w14:paraId="763283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NTP天线</w:t>
            </w:r>
          </w:p>
        </w:tc>
        <w:tc>
          <w:tcPr>
            <w:tcW w:w="3493" w:type="pct"/>
            <w:shd w:val="clear" w:color="auto" w:fill="auto"/>
            <w:vAlign w:val="center"/>
          </w:tcPr>
          <w:p w14:paraId="6D153C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NTP60米天馈包是一套用于NTP时钟接收GPS/BD信号的天馈包。天馈包包括1套GPS/BD授时天线接收器、60米RG58成品馈线、1套安装套件、1套防雷包组成。</w:t>
            </w:r>
          </w:p>
        </w:tc>
        <w:tc>
          <w:tcPr>
            <w:tcW w:w="221" w:type="pct"/>
            <w:shd w:val="clear" w:color="auto" w:fill="auto"/>
            <w:noWrap/>
            <w:vAlign w:val="center"/>
          </w:tcPr>
          <w:p w14:paraId="2898CF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45EC2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4DA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509" w:type="pct"/>
            <w:shd w:val="clear" w:color="auto" w:fill="auto"/>
            <w:noWrap/>
            <w:vAlign w:val="center"/>
          </w:tcPr>
          <w:p w14:paraId="4FD22D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46" w:type="pct"/>
            <w:shd w:val="clear" w:color="auto" w:fill="auto"/>
            <w:noWrap/>
            <w:vAlign w:val="center"/>
          </w:tcPr>
          <w:p w14:paraId="3901BC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录像存储</w:t>
            </w:r>
          </w:p>
        </w:tc>
        <w:tc>
          <w:tcPr>
            <w:tcW w:w="3493" w:type="pct"/>
            <w:shd w:val="clear" w:color="auto" w:fill="auto"/>
            <w:vAlign w:val="center"/>
          </w:tcPr>
          <w:p w14:paraId="048AC9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网络存储设备，可接入硬盘≥48块，配置≥48块8T企业级硬盘；不低于64位处理器，≥8GB内存，≥2个USB3.0接口，≥1个VGA接口，不低于1200W、1+1冗余电源；2.支持RAID0、1、5、6等RAID模式，支持全局、局部等多种热备选择，支持坏盘自动重构；支持当磁盘处于非工作状态下，进入休眠状态，进行读写操作时可被唤醒，增加磁盘寿命；支持智能风扇调速，支持智能CPU调频等功能；3.接入带宽≥1500Mbps，支持对视音频、图片、智能数据（智能行为分析录像）流进行混合直存，无须存储服务器和图片服务器的参与，平台服务器宕机时，存储业务正常；4.具备≥4个2.5G数据网口，≥1个HDMI接口，具有定位灯、报警灯、网络状态灯、系统盘状态灯、硬盘状态灯，机箱具备防尘滤网，采用双立柱防震设计，设备左右侧面各有不少于2个抬手，具备前面板抽拉标签卡，需提供公安部所属检验机构出具的检测报告；5.每个控制单元支持双系统应用，当主系统出现故障时，备用系统可接管工作，外置系统盘支持RAID1模式，系统盘支持热插拔，支持系统盘为独立的2块HDD（SATA、SAS）或SSD盘，组成RAID1，需提供公安部所属检验机构出具的检测报告；6.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支持向导型快速配置，在配置前期对主机进行包括但不限于物理环境、域环境、平台环境扫描并提示包括但不限于硬盘数量异常、docker服务异常、镜像异常情况，需提供公安部所属检验机构出具的检测报告；7. 支持病毒感知与评估，针对被攻击的主机提供日志和病毒样本，内置病毒检测引擎和不少于百万级病毒特征库。</w:t>
            </w:r>
          </w:p>
        </w:tc>
        <w:tc>
          <w:tcPr>
            <w:tcW w:w="221" w:type="pct"/>
            <w:shd w:val="clear" w:color="auto" w:fill="auto"/>
            <w:noWrap/>
            <w:vAlign w:val="center"/>
          </w:tcPr>
          <w:p w14:paraId="2E9878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27D66D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218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509" w:type="pct"/>
            <w:shd w:val="clear" w:color="auto" w:fill="auto"/>
            <w:noWrap/>
            <w:vAlign w:val="center"/>
          </w:tcPr>
          <w:p w14:paraId="585392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46" w:type="pct"/>
            <w:shd w:val="clear" w:color="auto" w:fill="auto"/>
            <w:noWrap/>
            <w:vAlign w:val="center"/>
          </w:tcPr>
          <w:p w14:paraId="19DDD1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案件存储管理软件</w:t>
            </w:r>
          </w:p>
        </w:tc>
        <w:tc>
          <w:tcPr>
            <w:tcW w:w="3493" w:type="pct"/>
            <w:shd w:val="clear" w:color="auto" w:fill="auto"/>
            <w:vAlign w:val="center"/>
          </w:tcPr>
          <w:p w14:paraId="5B589A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存储软件可提供海量、安全、高可靠的数据存储能力，具有最少1台存储节点即可构建云存储系统；2.具有云存储系统一键部署，一键部署包含组建集群、创建域、自动创建资源池等；3.一套云存储系统可提供多种类型数据混合存储，同时具有分布式流式存储，分布式对象存储、分布式文件存储、分布式块存储；4.对象存储系统支持对数据重构进行策略控制；支持重构中的磁盘重新上线后重构中止；磁盘故障后，支持在重构过程中进行暂停或取消暂停恢复重构操作；支持根据业务情况，调整设置重构的等级，可分别调整为高速重构、中速重构、低速重构；支持重构速度展示；支持设置立即重构或不执行重构，支持设备为降级状态时可以正常读取对象数据；5.支持图形化页面对图片数据进行处理，包括图片预览、压缩、裁剪、旋转、缩放、格式转换、马赛克、归一化及打文字水印，并支持通过图形化页面下载处理成功的图片数据。支持进行图片处理的图片格式包括jpg，jpeg，bmp，png等；6.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7.对象存储系统支持按需分配存储空间，分配的存储空间支持在线扩大和缩小；系统支持存储空间弹性伸缩，不影响读写业务；系统支持周期在线动态扩大或缩小，存储周期内的业务数据不丢失，业务不受影响；支持在线扩大或缩小存储容量时，同时调整存储周期，业务不受影响；8.对象存储支持三级分层存储机制，即内存缓存层、SSD高速缓存层、传统硬盘存储层；支持动态分级存储，新写入的数据采用内存缓存加速，热点数据智能迁移至SSD存储，数据热度降低之后转存入SATA盘存储 支持历史数据缓存加速，支持对已存入SATA盘的历史数据，根据访问热度策略自动加载至SSD。</w:t>
            </w:r>
          </w:p>
        </w:tc>
        <w:tc>
          <w:tcPr>
            <w:tcW w:w="221" w:type="pct"/>
            <w:shd w:val="clear" w:color="auto" w:fill="auto"/>
            <w:noWrap/>
            <w:vAlign w:val="center"/>
          </w:tcPr>
          <w:p w14:paraId="472850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8C1D6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025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509" w:type="pct"/>
            <w:shd w:val="clear" w:color="auto" w:fill="auto"/>
            <w:noWrap/>
            <w:vAlign w:val="center"/>
          </w:tcPr>
          <w:p w14:paraId="0F6331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46" w:type="pct"/>
            <w:shd w:val="clear" w:color="auto" w:fill="auto"/>
            <w:noWrap/>
            <w:vAlign w:val="center"/>
          </w:tcPr>
          <w:p w14:paraId="610380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案件存储主机</w:t>
            </w:r>
          </w:p>
        </w:tc>
        <w:tc>
          <w:tcPr>
            <w:tcW w:w="3493" w:type="pct"/>
            <w:shd w:val="clear" w:color="auto" w:fill="auto"/>
            <w:vAlign w:val="center"/>
          </w:tcPr>
          <w:p w14:paraId="4325DF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1.专用存储主机，可接入硬盘≥24块，配置≥24块8T企业级硬盘，内置≥1块SSD索引盘、容量≥960GB，≥2颗64位处理器，≥32GB内存，≥2个千兆网口，≥2个万兆口，不低于1+1冗余电源；2.具有热插拔1+1AC220V 或 1+1 直流冗余金牌电源供电，机箱具备防尘滤网，采用双立柱防震；3.具有≥24块硬盘热插拔插槽；具有硬盘热插拔设备在读写数据时，热插拔设备内的任意块硬盘，设备正常运行不宕机，硬盘不损坏，数据不丢失，业务不中断；4.系统具有数据智能重构，可根据不同场景设定重构优先级及重构策略，其中策略包含1~4级：1级：即时读取时重构；2级：自定义点位与时间段重构；3级：用户锁定数据优先重构；4级：存储池安全级别，重构优先级级别依次递减；同时重构系统根据当前负载情况自动调整数据恢复速度，在整个数据恢复过程中，业务不中断，需提供公安部所属检验机构出具的检测报告；5.系统以流直存模式进行录像、图片数据存储。系统中的实时视频流、抓拍图片无需经过任何转发服务器/虚拟机即可实现数据流直存，视频与图片数据直存后可即存即取；6.具有磁盘故障预测，通过对硬盘SMART信息进行周期性检测，监测会导致硬盘故障的关键指标，通过分析关键指标的变化趋势实现硬盘故障预测；7.设备可对硬盘进行加密解密；具有录像加密功能，当前端相机不具有加密功能时，具有在数据落盘前进行加密；具有从存储出去的数据均为加密后的数据，下载的录像无法通过普通播放器播放，且使用专用播放器播放时，也必须经过授权才可正常解码播放； 8.具有 iSCSI 协议（IP-SAN）、FC 协议（FC-SAN）、NFS/CIFS 协议（NAS）、S3协议、OSS协议等异构接入第三方存储，通过虚拟化功能将存储资源统一管理和分配、流直存方式实现视音频数据直写、存储资源池生命周期自主管理。同时具有对存储资源自动分配，当异构服务器宕机，业务和异构存储资源漂移到集群内正常异构服务器，业务不中断、数据不丢失，需提供公安部所属检验机构出具的检测报告；9. 需支持病毒感知与评估，针对被攻击的主机提供日志和病毒样本，内置病毒检测引擎和不少于百万级病毒特征库，需提供公安部所属检验机构出具的检测报告；10.需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需提供公安部所属检验机构出具的检测报告。</w:t>
            </w:r>
          </w:p>
        </w:tc>
        <w:tc>
          <w:tcPr>
            <w:tcW w:w="221" w:type="pct"/>
            <w:shd w:val="clear" w:color="auto" w:fill="auto"/>
            <w:noWrap/>
            <w:vAlign w:val="center"/>
          </w:tcPr>
          <w:p w14:paraId="19460B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B7E3F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C55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249DEA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46" w:type="pct"/>
            <w:shd w:val="clear" w:color="auto" w:fill="auto"/>
            <w:noWrap/>
            <w:vAlign w:val="center"/>
          </w:tcPr>
          <w:p w14:paraId="0FF0AC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3493" w:type="pct"/>
            <w:shd w:val="clear" w:color="auto" w:fill="auto"/>
            <w:vAlign w:val="center"/>
          </w:tcPr>
          <w:p w14:paraId="36EBB5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基础规格：可用千兆电接口数量≥24，复用的千兆光口数量≥8，非复用万兆光接口数量≥4，支持≥1个扩展槽位，支持≥40G（QSFP+）端口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功能特性：1.设备内存容量≥2048Mbytes，端口平均转发时延≤3us，支持IPv4 ACL表入方向≥2K条+出方向≥512条；2.支持STP/RSTP/MSTP/PVST，支持ERPS/RRPP/smartlink并且收敛时间均在50ms之内，支持虚拟化本地负载分担、虚拟化单点管理功能、9台设备堆叠、虚拟化堆叠链路冗余保护收敛时间小于50ms；3.支持DHCP snooping、DHCPv6 snooping、DHCP Relay、SAVI功能，支持BFD for VRRP，BFD for IPv4路由，BFD for IPv6路由，策略路由，等价路由，支持链路聚合功能及聚合零丢包功能；4.支持通过网管平台对接入设备间的链路详情展示，包括传输速率、链路两端设备信息和链路带宽告警，支持通过网管平台在网络拓扑中展示设备详情，包括设备基本信息、性能使用信息、面板状态和端口信息；5.支持通过网管平台实现统一运维管理，在平台上实现对接入的交换机和终端设备进行系统拓扑展示及管理，支持以不同图标展示接入设备间的连接方式，包括网线、光纤和无线连接；6.支持用户的分级分权控制，可以为用户分配不同权限，每个用户只能进行其权限所允许的操作。</w:t>
            </w:r>
          </w:p>
        </w:tc>
        <w:tc>
          <w:tcPr>
            <w:tcW w:w="221" w:type="pct"/>
            <w:shd w:val="clear" w:color="auto" w:fill="auto"/>
            <w:noWrap/>
            <w:vAlign w:val="center"/>
          </w:tcPr>
          <w:p w14:paraId="405CC2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BD7A8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E9D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ABD2B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46" w:type="pct"/>
            <w:shd w:val="clear" w:color="auto" w:fill="auto"/>
            <w:noWrap/>
            <w:vAlign w:val="center"/>
          </w:tcPr>
          <w:p w14:paraId="654BC2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汇聚交换机</w:t>
            </w:r>
          </w:p>
        </w:tc>
        <w:tc>
          <w:tcPr>
            <w:tcW w:w="3493" w:type="pct"/>
            <w:shd w:val="clear" w:color="auto" w:fill="auto"/>
            <w:vAlign w:val="center"/>
          </w:tcPr>
          <w:p w14:paraId="795011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规格：可用千兆电接口数量≥24，万兆光接口数≥4；交换容量≥336Gbps/3.36Tbps，转发性能≥108Mpps/126Mpps；功能特性：1.支持IPv4/IPv6双协议栈,支持多种隧道技术，支持IPv4/IPv6的组播技术；2.支持标准和扩展ACL；支持基于VLAN的ACL；3.支持CPU保护技术支持VRRP、RRPP、ERPS；4.支持广播风暴抑制，支持IGMP Snooping，可以为远程连接用户提供访问控制，拒绝未通过验证的连接；5.支持基于源MAC地址、目的MAC地址的流分类功能；6.可以为远程连接用户提供访问控制，拒绝未通过验证的连接；7.设备支持Console、Telnet管理登录方式。</w:t>
            </w:r>
          </w:p>
        </w:tc>
        <w:tc>
          <w:tcPr>
            <w:tcW w:w="221" w:type="pct"/>
            <w:shd w:val="clear" w:color="auto" w:fill="auto"/>
            <w:noWrap/>
            <w:vAlign w:val="center"/>
          </w:tcPr>
          <w:p w14:paraId="2E5B6E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8BC2D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D7F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4B8AF02">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4490" w:type="pct"/>
            <w:gridSpan w:val="4"/>
            <w:shd w:val="clear" w:color="auto" w:fill="auto"/>
            <w:noWrap/>
            <w:vAlign w:val="center"/>
          </w:tcPr>
          <w:p w14:paraId="45680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执法办案分中心办公区域信息化设备</w:t>
            </w:r>
          </w:p>
        </w:tc>
      </w:tr>
      <w:tr w14:paraId="413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7B2059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4490" w:type="pct"/>
            <w:gridSpan w:val="4"/>
            <w:shd w:val="clear" w:color="auto" w:fill="auto"/>
            <w:noWrap/>
            <w:vAlign w:val="center"/>
          </w:tcPr>
          <w:p w14:paraId="41F3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合成作战室</w:t>
            </w:r>
          </w:p>
        </w:tc>
      </w:tr>
      <w:tr w14:paraId="0E97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0C44DDA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 w:type="pct"/>
            <w:shd w:val="clear" w:color="auto" w:fill="auto"/>
            <w:noWrap/>
            <w:vAlign w:val="center"/>
          </w:tcPr>
          <w:p w14:paraId="2A7B78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3493" w:type="pct"/>
            <w:shd w:val="clear" w:color="auto" w:fill="auto"/>
            <w:vAlign w:val="center"/>
          </w:tcPr>
          <w:p w14:paraId="2F6EE7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2人位办公桌，环保板材，木制坚固，玻璃屏风</w:t>
            </w:r>
          </w:p>
        </w:tc>
        <w:tc>
          <w:tcPr>
            <w:tcW w:w="221" w:type="pct"/>
            <w:shd w:val="clear" w:color="auto" w:fill="auto"/>
            <w:noWrap/>
            <w:vAlign w:val="center"/>
          </w:tcPr>
          <w:p w14:paraId="51133D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216DD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599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47575C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 w:type="pct"/>
            <w:shd w:val="clear" w:color="auto" w:fill="auto"/>
            <w:noWrap/>
            <w:vAlign w:val="center"/>
          </w:tcPr>
          <w:p w14:paraId="080F49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操作椅</w:t>
            </w:r>
          </w:p>
        </w:tc>
        <w:tc>
          <w:tcPr>
            <w:tcW w:w="3493" w:type="pct"/>
            <w:shd w:val="clear" w:color="auto" w:fill="auto"/>
            <w:vAlign w:val="center"/>
          </w:tcPr>
          <w:p w14:paraId="7951C1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1、面材：采用优质西皮厚度0.9~1.5mm，摩擦色牢度干擦≥4级，经过防虫防腐处理，耐磨性好，纹理清晰自然，色泽千致，表面光滑平整，无节疤、腐朽、裂纹、虫眼、夹皮、变色等缺陷，无色差；</w:t>
            </w:r>
          </w:p>
        </w:tc>
        <w:tc>
          <w:tcPr>
            <w:tcW w:w="221" w:type="pct"/>
            <w:shd w:val="clear" w:color="auto" w:fill="auto"/>
            <w:noWrap/>
            <w:vAlign w:val="center"/>
          </w:tcPr>
          <w:p w14:paraId="7E44EE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BB2B8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208D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 w:type="pct"/>
            <w:shd w:val="clear" w:color="auto" w:fill="auto"/>
            <w:noWrap/>
            <w:vAlign w:val="center"/>
          </w:tcPr>
          <w:p w14:paraId="5CAB2C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6" w:type="pct"/>
            <w:shd w:val="clear" w:color="auto" w:fill="auto"/>
            <w:noWrap/>
            <w:vAlign w:val="center"/>
          </w:tcPr>
          <w:p w14:paraId="61F553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巡查平板</w:t>
            </w:r>
          </w:p>
        </w:tc>
        <w:tc>
          <w:tcPr>
            <w:tcW w:w="3493" w:type="pct"/>
            <w:shd w:val="clear" w:color="auto" w:fill="auto"/>
            <w:vAlign w:val="center"/>
          </w:tcPr>
          <w:p w14:paraId="288B9E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支持部署办案区巡查应用。1.≥8核≥1.8GHZ主频；2.≥10英寸显示屏，IPS LTPS 1920x1200；3.专业扫码头，可识别多种码制的条码，算法鲁棒性强，可有效应对条码脏污、缺损、低对比度等情形，采用暖白补光；4.前置≥500万像素相机，后置≥1300万像素相机；5.≥8800mAh大容量电池，续航更持久；6.支持标准HDMI输出接口；7.防护等级：≥IP68；8.供电方式：电池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9.工作湿度：5%-95%；10.工作温度：-15 ~ 55⁰C；11.指示灯：充电指示灯；</w:t>
            </w:r>
          </w:p>
        </w:tc>
        <w:tc>
          <w:tcPr>
            <w:tcW w:w="221" w:type="pct"/>
            <w:shd w:val="clear" w:color="auto" w:fill="auto"/>
            <w:noWrap/>
            <w:vAlign w:val="center"/>
          </w:tcPr>
          <w:p w14:paraId="6EC3C6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7269D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9D2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88004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6" w:type="pct"/>
            <w:shd w:val="clear" w:color="auto" w:fill="auto"/>
            <w:noWrap/>
            <w:vAlign w:val="center"/>
          </w:tcPr>
          <w:p w14:paraId="77B79E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Type-C网线转换器</w:t>
            </w:r>
          </w:p>
        </w:tc>
        <w:tc>
          <w:tcPr>
            <w:tcW w:w="3493" w:type="pct"/>
            <w:shd w:val="clear" w:color="auto" w:fill="auto"/>
            <w:vAlign w:val="center"/>
          </w:tcPr>
          <w:p w14:paraId="030D15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221" w:type="pct"/>
            <w:shd w:val="clear" w:color="auto" w:fill="auto"/>
            <w:noWrap/>
            <w:vAlign w:val="center"/>
          </w:tcPr>
          <w:p w14:paraId="7DDAF3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61B1E1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61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3F8D6B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6" w:type="pct"/>
            <w:shd w:val="clear" w:color="auto" w:fill="auto"/>
            <w:noWrap/>
            <w:vAlign w:val="center"/>
          </w:tcPr>
          <w:p w14:paraId="6C6917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00B825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3FC5D2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8F47B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29D2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45D87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6" w:type="pct"/>
            <w:shd w:val="clear" w:color="auto" w:fill="auto"/>
            <w:noWrap/>
            <w:vAlign w:val="center"/>
          </w:tcPr>
          <w:p w14:paraId="219B0F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报警管理主机</w:t>
            </w:r>
          </w:p>
        </w:tc>
        <w:tc>
          <w:tcPr>
            <w:tcW w:w="3493" w:type="pct"/>
            <w:shd w:val="clear" w:color="auto" w:fill="auto"/>
            <w:vAlign w:val="center"/>
          </w:tcPr>
          <w:p w14:paraId="578946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shd w:val="clear" w:color="auto" w:fill="auto"/>
            <w:noWrap/>
            <w:vAlign w:val="center"/>
          </w:tcPr>
          <w:p w14:paraId="7175B7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69DFA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D16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65C8B9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6" w:type="pct"/>
            <w:shd w:val="clear" w:color="auto" w:fill="auto"/>
            <w:noWrap/>
            <w:vAlign w:val="center"/>
          </w:tcPr>
          <w:p w14:paraId="6B401D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无线会议话筒</w:t>
            </w:r>
          </w:p>
        </w:tc>
        <w:tc>
          <w:tcPr>
            <w:tcW w:w="3493" w:type="pct"/>
            <w:shd w:val="clear" w:color="auto" w:fill="auto"/>
            <w:vAlign w:val="center"/>
          </w:tcPr>
          <w:p w14:paraId="4B2C49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载波频率范围：UHF602~634MHz；2.调制方式：FM调频；3.音频频率响应：80Hz~15kHz±3dB；4.频率稳定性：±0.005%；5.最大偏移度：±45kHz；6.总谐波失真：&lt;0.7%@1kHz；7.信噪比：≥65dBA@1kHz（声测法）；8.有效工作距离：≥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接收机参数：1.通道数量：双通道；2.载波频率范围：UHF602~634MHz；3.可用带宽：每通道30MHz；4.信道数目：≥2×100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5.频率稳定性：±0.005%；6.天线接口：BNC座；7.天线阻抗：50Ω；发射器参数：1.换能原理：电容式；2.指向性：心形；3.供电：2×AA电池</w:t>
            </w:r>
          </w:p>
        </w:tc>
        <w:tc>
          <w:tcPr>
            <w:tcW w:w="221" w:type="pct"/>
            <w:shd w:val="clear" w:color="auto" w:fill="auto"/>
            <w:noWrap/>
            <w:vAlign w:val="center"/>
          </w:tcPr>
          <w:p w14:paraId="514B93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ABCDD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56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50817A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6" w:type="pct"/>
            <w:shd w:val="clear" w:color="auto" w:fill="auto"/>
            <w:noWrap/>
            <w:vAlign w:val="center"/>
          </w:tcPr>
          <w:p w14:paraId="7E5597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3493" w:type="pct"/>
            <w:shd w:val="clear" w:color="auto" w:fill="auto"/>
            <w:vAlign w:val="center"/>
          </w:tcPr>
          <w:p w14:paraId="6395AC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源：AC220V±10%50Hz或60Hz；2.输出电源：AC220V±10%50Hz或60Hz；3.输出电源：≥8路时序输出，≥2路直通输出；4.输出通道延时：默认2s（0~999s可设置）；5.输出电流：≥4路10A+4路16A；6.控制方式：RS232；7.场景设置：≥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8.级联：支持；9.时间设置：支持</w:t>
            </w:r>
          </w:p>
        </w:tc>
        <w:tc>
          <w:tcPr>
            <w:tcW w:w="221" w:type="pct"/>
            <w:shd w:val="clear" w:color="auto" w:fill="auto"/>
            <w:noWrap/>
            <w:vAlign w:val="center"/>
          </w:tcPr>
          <w:p w14:paraId="091D84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E47C2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C0C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7C1EDF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6" w:type="pct"/>
            <w:shd w:val="clear" w:color="auto" w:fill="auto"/>
            <w:noWrap/>
            <w:vAlign w:val="center"/>
          </w:tcPr>
          <w:p w14:paraId="321B4F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3493" w:type="pct"/>
            <w:shd w:val="clear" w:color="auto" w:fill="auto"/>
            <w:vAlign w:val="center"/>
          </w:tcPr>
          <w:p w14:paraId="494D40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话筒增益：70±2dB；2.频率响应：20Hz~20kHz（+1，-3dB）；3.总谐波失真：20Hz~20kHz≤0.01%@+4dBu；4.信噪比：≥100dB（A计权）；5.串音：≤-50dB；6.最大输入电平：≥10dBu；7.最大输出电平：≥16dBu；8.额定电源电压：AC220V，50/60Hz</w:t>
            </w:r>
          </w:p>
        </w:tc>
        <w:tc>
          <w:tcPr>
            <w:tcW w:w="221" w:type="pct"/>
            <w:shd w:val="clear" w:color="auto" w:fill="auto"/>
            <w:noWrap/>
            <w:vAlign w:val="center"/>
          </w:tcPr>
          <w:p w14:paraId="507B95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3FD50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308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1CE34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46" w:type="pct"/>
            <w:shd w:val="clear" w:color="auto" w:fill="auto"/>
            <w:noWrap/>
            <w:vAlign w:val="center"/>
          </w:tcPr>
          <w:p w14:paraId="282081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3493" w:type="pct"/>
            <w:shd w:val="clear" w:color="auto" w:fill="auto"/>
            <w:vAlign w:val="center"/>
          </w:tcPr>
          <w:p w14:paraId="6BA4C76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1.频率响应：80Hz~15kHz，±2dB；2.正常工作条件下的总谐波失真：≤0.5%；3.失真限制的输出电压：≥3V；4.信噪比：≥105dB5.串音：≥80dB；6.增益差：≤1dB；7.移频：4±1Hz</w:t>
            </w:r>
          </w:p>
        </w:tc>
        <w:tc>
          <w:tcPr>
            <w:tcW w:w="221" w:type="pct"/>
            <w:shd w:val="clear" w:color="auto" w:fill="auto"/>
            <w:noWrap/>
            <w:vAlign w:val="center"/>
          </w:tcPr>
          <w:p w14:paraId="3FB3E6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E4BD6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4E3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9" w:type="pct"/>
            <w:shd w:val="clear" w:color="auto" w:fill="auto"/>
            <w:noWrap/>
            <w:vAlign w:val="center"/>
          </w:tcPr>
          <w:p w14:paraId="2933AB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46" w:type="pct"/>
            <w:shd w:val="clear" w:color="auto" w:fill="auto"/>
            <w:noWrap/>
            <w:vAlign w:val="center"/>
          </w:tcPr>
          <w:p w14:paraId="3FC619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3493" w:type="pct"/>
            <w:shd w:val="clear" w:color="auto" w:fill="auto"/>
            <w:vAlign w:val="center"/>
          </w:tcPr>
          <w:p w14:paraId="22B56C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样频率:≥48kHz；2.输入到输出动态范围:≥108dB（A计权）；3.幻像供电:DC48±6V,10mA；4.输入共模制:75dBu@+20dBu,60Hz5.通道隔离度:≥100dB；6.频率响应:20Hz~20kHz；7.本底噪(A-计权):-90dBu；8.等效输入噪声EIN:≤-125dBu；9.总谐波失(THD+N):≤0.005%@1kHz，+4dBu；10.最大输入增益:≥40dB；11.输入阻抗:≥2kΩbalance；12.最大输出电平:20dBu；13.工作电压:110~220V（50/60Hz）；14.功率:≤35</w:t>
            </w:r>
          </w:p>
        </w:tc>
        <w:tc>
          <w:tcPr>
            <w:tcW w:w="221" w:type="pct"/>
            <w:shd w:val="clear" w:color="auto" w:fill="auto"/>
            <w:noWrap/>
            <w:vAlign w:val="center"/>
          </w:tcPr>
          <w:p w14:paraId="56BF1C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05F02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2B3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54FF4C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46" w:type="pct"/>
            <w:shd w:val="clear" w:color="auto" w:fill="auto"/>
            <w:noWrap/>
            <w:vAlign w:val="center"/>
          </w:tcPr>
          <w:p w14:paraId="294D13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会议音频输出终端</w:t>
            </w:r>
          </w:p>
        </w:tc>
        <w:tc>
          <w:tcPr>
            <w:tcW w:w="3493" w:type="pct"/>
            <w:shd w:val="clear" w:color="auto" w:fill="auto"/>
            <w:vAlign w:val="center"/>
          </w:tcPr>
          <w:p w14:paraId="18BE14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1.额定阻抗：≥8Ω；2.额定频率范围：75Hz~20kHz；3.额定功率：≥80W；4.峰值功率：≥320W；5.高音扬声器：HF:≥1×1.35"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6.中低音扬声器：LF:≥1×6.5"；7.灵敏度：≥91dB；8.连续声压级：≥110dB；9.最大声压级：≥116dB；10.覆盖角度（H×V）：60°×40°；11.安装方式：壁挂安装，自带支架</w:t>
            </w:r>
          </w:p>
        </w:tc>
        <w:tc>
          <w:tcPr>
            <w:tcW w:w="221" w:type="pct"/>
            <w:shd w:val="clear" w:color="auto" w:fill="auto"/>
            <w:noWrap/>
            <w:vAlign w:val="center"/>
          </w:tcPr>
          <w:p w14:paraId="61F5D9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8" w:type="pct"/>
            <w:shd w:val="clear" w:color="auto" w:fill="auto"/>
            <w:noWrap/>
            <w:vAlign w:val="center"/>
          </w:tcPr>
          <w:p w14:paraId="3BC1FF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26F2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70EE4B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346" w:type="pct"/>
            <w:shd w:val="clear" w:color="auto" w:fill="auto"/>
            <w:noWrap/>
            <w:vAlign w:val="center"/>
          </w:tcPr>
          <w:p w14:paraId="29C939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功率放大器</w:t>
            </w:r>
          </w:p>
        </w:tc>
        <w:tc>
          <w:tcPr>
            <w:tcW w:w="3493" w:type="pct"/>
            <w:shd w:val="clear" w:color="auto" w:fill="auto"/>
            <w:vAlign w:val="center"/>
          </w:tcPr>
          <w:p w14:paraId="1DF356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shd w:val="clear" w:color="auto" w:fill="auto"/>
            <w:noWrap/>
            <w:vAlign w:val="center"/>
          </w:tcPr>
          <w:p w14:paraId="3FF77E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7FD74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F26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7FB038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46" w:type="pct"/>
            <w:shd w:val="clear" w:color="auto" w:fill="auto"/>
            <w:noWrap/>
            <w:vAlign w:val="center"/>
          </w:tcPr>
          <w:p w14:paraId="7817C2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会议音频输出终端</w:t>
            </w:r>
          </w:p>
        </w:tc>
        <w:tc>
          <w:tcPr>
            <w:tcW w:w="3493" w:type="pct"/>
            <w:shd w:val="clear" w:color="auto" w:fill="auto"/>
            <w:vAlign w:val="center"/>
          </w:tcPr>
          <w:p w14:paraId="1DF6B0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.额定阻抗：≥8Ω；2.额定频率范围：100Hz~20kHz；3.额定功率：≥40W；4.峰值功率：≥160W；5.同轴扬声器：LF:≥1×4"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6.灵敏度：≥86dB；7.连续声压级：≥102dB；8.最大声压级：≥108dB</w:t>
            </w:r>
          </w:p>
        </w:tc>
        <w:tc>
          <w:tcPr>
            <w:tcW w:w="221" w:type="pct"/>
            <w:shd w:val="clear" w:color="auto" w:fill="auto"/>
            <w:noWrap/>
            <w:vAlign w:val="center"/>
          </w:tcPr>
          <w:p w14:paraId="2811F5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8" w:type="pct"/>
            <w:shd w:val="clear" w:color="auto" w:fill="auto"/>
            <w:noWrap/>
            <w:vAlign w:val="center"/>
          </w:tcPr>
          <w:p w14:paraId="1C560D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2E49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0F6568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46" w:type="pct"/>
            <w:shd w:val="clear" w:color="auto" w:fill="auto"/>
            <w:noWrap/>
            <w:vAlign w:val="center"/>
          </w:tcPr>
          <w:p w14:paraId="030A17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功率放大器</w:t>
            </w:r>
          </w:p>
        </w:tc>
        <w:tc>
          <w:tcPr>
            <w:tcW w:w="3493" w:type="pct"/>
            <w:shd w:val="clear" w:color="auto" w:fill="auto"/>
            <w:vAlign w:val="center"/>
          </w:tcPr>
          <w:p w14:paraId="06F1FE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shd w:val="clear" w:color="auto" w:fill="auto"/>
            <w:noWrap/>
            <w:vAlign w:val="center"/>
          </w:tcPr>
          <w:p w14:paraId="2A210B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3AC4D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8F2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vAlign w:val="center"/>
          </w:tcPr>
          <w:p w14:paraId="2EE62E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46" w:type="pct"/>
            <w:shd w:val="clear" w:color="auto" w:fill="auto"/>
            <w:noWrap/>
            <w:vAlign w:val="center"/>
          </w:tcPr>
          <w:p w14:paraId="5C766E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LED显示屏</w:t>
            </w:r>
          </w:p>
        </w:tc>
        <w:tc>
          <w:tcPr>
            <w:tcW w:w="3493" w:type="pct"/>
            <w:shd w:val="clear" w:color="auto" w:fill="auto"/>
            <w:vAlign w:val="center"/>
          </w:tcPr>
          <w:p w14:paraId="690473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1.LED像素点间距≤1.25mm;像素密度≥640000点/㎡，SMD封装1R1G1B， 三合一封装；2.单元尺寸≤600x337.5x29.5（mm），误差±10%，重量＜3.5kg；3.显示屏幕峰值亮度≥600nits,峰值功耗＜460W/㎡ （600nits亮度），平均功耗＜160W/㎡；4.支架组装式设计，支架采用组装式设计，支持拆装；5.LED单元箱体间连接网线具备L型等非矩形框架走线方式，网线利用率＞95%；6.LED屏幕通过局域网客户端，局域网WEB端，红外遥控器，射频遥控器，物理按键五种种方式实现亮度调节；7.高精度压铸箱体结构设计，支持灯板、电源、接收卡正面拆卸；8.采用动态引擎算法，高亮刺眼画面细节自动识别，局部区域亮度无感调控，观看柔和舒适，图像质量提升的同时降低不必要的功耗；9.支持自动除湿，有效保护长时间不用或潮湿环境下的灯珠；10.支持通过扫描LED箱体后的设备机身标签二维码，观看产品实际生产过程视频，需提供能看到机身二维码的产品实物照片及操作过程演示文档或视频证明。</w:t>
            </w:r>
          </w:p>
        </w:tc>
        <w:tc>
          <w:tcPr>
            <w:tcW w:w="221" w:type="pct"/>
            <w:shd w:val="clear" w:color="auto" w:fill="auto"/>
            <w:noWrap/>
            <w:vAlign w:val="center"/>
          </w:tcPr>
          <w:p w14:paraId="5107ED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8" w:type="pct"/>
            <w:shd w:val="clear" w:color="auto" w:fill="auto"/>
            <w:noWrap/>
            <w:vAlign w:val="center"/>
          </w:tcPr>
          <w:p w14:paraId="1E15FC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r>
      <w:tr w14:paraId="0383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0F1F4B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46" w:type="pct"/>
            <w:shd w:val="clear" w:color="auto" w:fill="auto"/>
            <w:noWrap/>
            <w:vAlign w:val="center"/>
          </w:tcPr>
          <w:p w14:paraId="631F36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大屏支架</w:t>
            </w:r>
          </w:p>
        </w:tc>
        <w:tc>
          <w:tcPr>
            <w:tcW w:w="3493" w:type="pct"/>
            <w:shd w:val="clear" w:color="auto" w:fill="auto"/>
            <w:vAlign w:val="center"/>
          </w:tcPr>
          <w:p w14:paraId="5EA7AB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大屏支架，材料SPCC 高强度钢板，表面静电喷塑处理。</w:t>
            </w:r>
          </w:p>
        </w:tc>
        <w:tc>
          <w:tcPr>
            <w:tcW w:w="221" w:type="pct"/>
            <w:shd w:val="clear" w:color="auto" w:fill="auto"/>
            <w:noWrap/>
            <w:vAlign w:val="center"/>
          </w:tcPr>
          <w:p w14:paraId="74563E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8" w:type="pct"/>
            <w:shd w:val="clear" w:color="auto" w:fill="auto"/>
            <w:noWrap/>
            <w:vAlign w:val="center"/>
          </w:tcPr>
          <w:p w14:paraId="2E862F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r>
      <w:tr w14:paraId="0C4E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5A6546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46" w:type="pct"/>
            <w:shd w:val="clear" w:color="auto" w:fill="auto"/>
            <w:noWrap/>
            <w:vAlign w:val="center"/>
          </w:tcPr>
          <w:p w14:paraId="4F4BCA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发送卡</w:t>
            </w:r>
          </w:p>
        </w:tc>
        <w:tc>
          <w:tcPr>
            <w:tcW w:w="3493" w:type="pct"/>
            <w:shd w:val="clear" w:color="auto" w:fill="auto"/>
            <w:vAlign w:val="center"/>
          </w:tcPr>
          <w:p w14:paraId="24F1E0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发送卡采用机架式设计；2.支持≥1路HDMI视频信号输入，≥4路网口带载输出，带载高达≥260万像素；3.支持视频信号输入全屏缩放及自定义缩放；4.支持多发送卡通过网络进行级联管理和统一控制；5.支持热备份、支持设备间备份和网口间备份；6.支持通过客户端等多软件端进行操作支持；7.支持屏幕底图配置设置和更换、屏保和开机logo配置；8.支持屏幕除湿配置；9.支持遥控器扩展，支持通过遥控器操作控制屏幕显示遥控UI菜单；10.支持对屏幕进行逐点校正配置有效消除色差，有效提高显示屏的画质；11.支持查看设备运行状态、设备内存、CPU使用率、设备运行温度和网口使用率等参数。</w:t>
            </w:r>
          </w:p>
        </w:tc>
        <w:tc>
          <w:tcPr>
            <w:tcW w:w="221" w:type="pct"/>
            <w:shd w:val="clear" w:color="auto" w:fill="auto"/>
            <w:noWrap/>
            <w:vAlign w:val="center"/>
          </w:tcPr>
          <w:p w14:paraId="194ABE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9915E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6CB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509" w:type="pct"/>
            <w:shd w:val="clear" w:color="auto" w:fill="auto"/>
            <w:noWrap/>
            <w:vAlign w:val="center"/>
          </w:tcPr>
          <w:p w14:paraId="08AFEB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46" w:type="pct"/>
            <w:shd w:val="clear" w:color="auto" w:fill="auto"/>
            <w:noWrap/>
            <w:vAlign w:val="center"/>
          </w:tcPr>
          <w:p w14:paraId="6C7642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解码拼控一体机</w:t>
            </w:r>
          </w:p>
        </w:tc>
        <w:tc>
          <w:tcPr>
            <w:tcW w:w="3493" w:type="pct"/>
            <w:shd w:val="clear" w:color="auto" w:fill="auto"/>
            <w:vAlign w:val="center"/>
          </w:tcPr>
          <w:p w14:paraId="65D2C8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1.框架式结构，机箱高度≤3U，≥2个10M/100M/1000M自适应以太网口，≥2个RS485/232复用口，≥8路HDMI输入接口、≥16路HDMI输出接口，输出分辨率支持≥3840×2160@30 Hz；2.支持对HDMI输入视频源进行编码，编码分辨率不低于1080P，支持≥128路1080P视频同时解码输出，支持≥128个窗口；；3.支持网络、数字视频信号的接入和切换输出，支持解码H.265、H.264、MPEG4、MJPEG等主流的编码格式，支持PS、TS、ES、RTP等主流封装格式，支持ONVIF协议接入设备解码；4.产品采用嵌入式架构，无需要操作系统，具有开窗、漫游、漂移、改变形状等功能，同时支持在底图上开窗漫游，支持窗口置底、置顶操作，支持断电保护功能，支持自动保存断电前的运行参数，重新加电后可恢复到断电前的状态；5.支持将窗口、底图、字符叠加信息保存成场景，支持一键调用，场景保存方式支持以布局缩略图方式显示，输入信号切换时无花屏、无蓝屏、无肉眼可见的黑场现象；6.支持用户添加、删除、修改、密码设置等操作，支持为不同用户设置不同管理权限（资源权限、配置权限、操作权限），支持设置≥64个用户；7.支持通过抓屏软可将远程桌面实时解码上墙显示，实时画面帧率≥30fps，同时抓取≥8个4K信号上墙显示，且上墙前后CPU占用率无明显变化，支持在电视墙进行≥8画面分割显示，支持对远程桌面进行整屏、单窗口、自定义区域抓屏上墙；8.支持将一路输入视频图像发送至多个输出接口进行拼接显示，支持将多路输入视频图像发送至多个输出接口拼接显示；支持拼接不少于32路分辨率为1920×1080的视频图像；拼接时不同输出之间画面应同步、无撕裂感、无错位；支持多块屏幕图像的拼接，可将显示单元拼接成一个高分辨率的单一逻辑屏；全屏刷新时间≤20ms，需提供公安部所属检验机构出具的检验报告；9.单输出接口支持不少于16个分辨率≥4096×2160图层或16个分辨率≥1920×1080图层；单张输出板卡支持不少于30个分辨率≥4096×2160图层；10.输出分辨率支持支持自定义，设置范围宽不低于1280～3840、高不低于720～2160可设；支持根据屏的点数及显示面积制定输出分辨率，通过软件内部界面设置及相应的点数划分制定功能实现自适应，支持将自定义分辨率添加到系统默认列表中;10.支持获取序列号、软件版本、工作时长设备温度等屏幕关键信息;支持控制拼接屏开关;支持获取并调节屏幕背光;支持获取并调节屏幕图像模式；支持客户端软件上添加、删除、修改用户，可为不同用户设置不同画面管理区域，包括资源权限、配置权限、操作权限，需提供功能截图。</w:t>
            </w:r>
          </w:p>
        </w:tc>
        <w:tc>
          <w:tcPr>
            <w:tcW w:w="221" w:type="pct"/>
            <w:shd w:val="clear" w:color="auto" w:fill="auto"/>
            <w:noWrap/>
            <w:vAlign w:val="center"/>
          </w:tcPr>
          <w:p w14:paraId="1883E5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73439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6F9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noWrap/>
            <w:vAlign w:val="center"/>
          </w:tcPr>
          <w:p w14:paraId="270E19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346" w:type="pct"/>
            <w:shd w:val="clear" w:color="auto" w:fill="auto"/>
            <w:noWrap/>
            <w:vAlign w:val="center"/>
          </w:tcPr>
          <w:p w14:paraId="17F009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3493" w:type="pct"/>
            <w:shd w:val="clear" w:color="auto" w:fill="auto"/>
            <w:vAlign w:val="center"/>
          </w:tcPr>
          <w:p w14:paraId="00F59B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KW，输入电压380V，输出电压220V，具有≥3个输出回路，支持回路状态监测、远程控制、计划任务上电、分步逐级上电，内置PLC控制器、PLC控制电源模块；2.设备壳体采用折弯焊接加固，钣金厚度≥1.2mm，外壳无划痕，结构稳固，具有塑壳断路器输入保护，微型断路器输出保护， 两级均有断路器保护措施；3.设备一次回路电缆不低于 GB/T 19666-2019标准，一次回路铜电缆线规格不低于ZC-BVR2.5、6mm²，二次回路电缆不低于GB/T 5023.3-2008标准，二次回路铜电缆线规格不低于RV-0.75mm²，线径较标称值余量≥20%；4.设备具有 TCP/IP 网络通讯端口、 RS232串口通讯端口，支持PC 软件、 C/S、B/S 及手机 APP 软件进行远程控制，支持串口、网络同时进行控制；5.支持实时温度数据叠加，支持调整OSD叠加位置，支持实时温度曲线叠加在可视化画面中，触发报警后温度曲线自动变为红色；具备温度突升、突降的差温报警功能，支持设定不低于1℃～120℃温度突升或突降的差温报警阈值，不低于1～30秒温度突升或者突降报警时间阈值，当环境温度满足设定高温报警阈值和时间阈值时，触发设备温度突升或突降差温报警，叠加温度突升/突降报警信息，报警指示灯自动点亮，需提供公安部所属检验机构出具的检测报告。</w:t>
            </w:r>
          </w:p>
        </w:tc>
        <w:tc>
          <w:tcPr>
            <w:tcW w:w="221" w:type="pct"/>
            <w:shd w:val="clear" w:color="auto" w:fill="auto"/>
            <w:noWrap/>
            <w:vAlign w:val="center"/>
          </w:tcPr>
          <w:p w14:paraId="6FDBB4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BE4D0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F70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7773BF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46" w:type="pct"/>
            <w:shd w:val="clear" w:color="auto" w:fill="auto"/>
            <w:noWrap/>
            <w:vAlign w:val="center"/>
          </w:tcPr>
          <w:p w14:paraId="7CFB3C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493" w:type="pct"/>
            <w:shd w:val="clear" w:color="auto" w:fill="auto"/>
            <w:vAlign w:val="center"/>
          </w:tcPr>
          <w:p w14:paraId="1B34D3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大屏配套线缆，10米HDMI线缆*10、LED室内箱体网线组件包*3、LED室内箱体电源线组件包*1</w:t>
            </w:r>
          </w:p>
        </w:tc>
        <w:tc>
          <w:tcPr>
            <w:tcW w:w="221" w:type="pct"/>
            <w:shd w:val="clear" w:color="auto" w:fill="auto"/>
            <w:noWrap/>
            <w:vAlign w:val="center"/>
          </w:tcPr>
          <w:p w14:paraId="2FA52F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4372F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B1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6236D4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46" w:type="pct"/>
            <w:shd w:val="clear" w:color="auto" w:fill="auto"/>
            <w:noWrap/>
            <w:vAlign w:val="center"/>
          </w:tcPr>
          <w:p w14:paraId="09D9B6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797209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CPU：高清能处理器，≥8核，≥2.9 GHz；内存：DDR4 ≥2666MHz, ≥16GB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≥2个内存插槽，最大可扩展至≥32GB；存储：≥1个256G SSD，≥1个2T HHD；硬盘接口：主板自带≥4个SATA 3.0接口（支持3.5寸硬盘，2.5寸硬盘，支持DVD光驱）可配置支持≥1个M.2-NVME接口；显卡：独立显卡，≥2G显存；显示接口：主板自带接口：≥1个VGA接口、≥1个HDM接口、≥1个DVI接口，独显接口：≥1个VGA、≥1个HDMI；显示屏：≥23.8寸；光驱：DVD-RW 刻录光驱；散热：≥1个CPU风扇；机箱：立式小机箱（≤11L），拆卸式前面板，≥1个电源开关机按键，≥1个系统工作指示灯；配置正版配套操作系统</w:t>
            </w:r>
          </w:p>
        </w:tc>
        <w:tc>
          <w:tcPr>
            <w:tcW w:w="221" w:type="pct"/>
            <w:shd w:val="clear" w:color="auto" w:fill="auto"/>
            <w:noWrap/>
            <w:vAlign w:val="center"/>
          </w:tcPr>
          <w:p w14:paraId="39D437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315E3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02DE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79DB5B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4490" w:type="pct"/>
            <w:gridSpan w:val="4"/>
            <w:shd w:val="clear" w:color="auto" w:fill="auto"/>
            <w:noWrap/>
            <w:vAlign w:val="center"/>
          </w:tcPr>
          <w:p w14:paraId="59DA74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民警休息室</w:t>
            </w:r>
          </w:p>
        </w:tc>
      </w:tr>
      <w:tr w14:paraId="5CAD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0A3E4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6" w:type="pct"/>
            <w:shd w:val="clear" w:color="auto" w:fill="auto"/>
            <w:noWrap/>
            <w:vAlign w:val="center"/>
          </w:tcPr>
          <w:p w14:paraId="47AFBF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衣柜</w:t>
            </w:r>
          </w:p>
        </w:tc>
        <w:tc>
          <w:tcPr>
            <w:tcW w:w="3493" w:type="pct"/>
            <w:shd w:val="clear" w:color="auto" w:fill="auto"/>
            <w:vAlign w:val="center"/>
          </w:tcPr>
          <w:p w14:paraId="15618F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二门更衣柜，实木，宽度900-1200mm,深度550-600mm,根据现场定制</w:t>
            </w:r>
          </w:p>
        </w:tc>
        <w:tc>
          <w:tcPr>
            <w:tcW w:w="221" w:type="pct"/>
            <w:shd w:val="clear" w:color="auto" w:fill="auto"/>
            <w:noWrap/>
            <w:vAlign w:val="center"/>
          </w:tcPr>
          <w:p w14:paraId="494818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76B935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FAB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ECF9A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6" w:type="pct"/>
            <w:shd w:val="clear" w:color="auto" w:fill="auto"/>
            <w:noWrap/>
            <w:vAlign w:val="center"/>
          </w:tcPr>
          <w:p w14:paraId="07FCA6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报警管理主机</w:t>
            </w:r>
          </w:p>
        </w:tc>
        <w:tc>
          <w:tcPr>
            <w:tcW w:w="3493" w:type="pct"/>
            <w:shd w:val="clear" w:color="auto" w:fill="auto"/>
            <w:vAlign w:val="center"/>
          </w:tcPr>
          <w:p w14:paraId="5B2FB4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shd w:val="clear" w:color="auto" w:fill="auto"/>
            <w:noWrap/>
            <w:vAlign w:val="center"/>
          </w:tcPr>
          <w:p w14:paraId="594F51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B7890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DD7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1D5D12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6" w:type="pct"/>
            <w:shd w:val="clear" w:color="auto" w:fill="auto"/>
            <w:noWrap/>
            <w:vAlign w:val="center"/>
          </w:tcPr>
          <w:p w14:paraId="51694C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031591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5FC284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75E15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r>
      <w:tr w14:paraId="3E6C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0D87E2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6" w:type="pct"/>
            <w:shd w:val="clear" w:color="auto" w:fill="auto"/>
            <w:noWrap/>
            <w:vAlign w:val="center"/>
          </w:tcPr>
          <w:p w14:paraId="341581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业务办理工作站</w:t>
            </w:r>
          </w:p>
        </w:tc>
        <w:tc>
          <w:tcPr>
            <w:tcW w:w="3493" w:type="pct"/>
            <w:shd w:val="clear" w:color="auto" w:fill="auto"/>
            <w:vAlign w:val="center"/>
          </w:tcPr>
          <w:p w14:paraId="643777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硬盘数据及时还原，还原到指定还原点;支持硬盘断电保护;支持双网口绑定、双网口使用；2.支持超高清4K解码实景播放;支持多显卡调度，可在相同应用里使用双显卡，双显卡同时工作；3.支持多窗口播放：可进行≥16个窗口同时1或2倍速播放，≥9个窗口同时≥4倍速播放，≥4个窗口同时≥8倍速或≥16倍速播放；4.支持windows系统、UOS系统、麒麟系统、CentOS系统、Windows 7系统、LINUX系统安装；支持双系统、三系统、四系统安装；5.整机品牌：支持硬盘拆卸安装;支持存储硬盘与主机同一品牌。以上参数1~5条需提供公安部所属检验机构出具的检测报告。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硬件规格：处理器：主频≥2.5Ghz，≥6核≥12线程，≥18M三级缓存；内存：≥8GB DDR4，≥3200MHz频率以上，≥2个内存插槽，可扩展支持≥64GB DDR4内存；不小于256G SATA SSD；支持不低于4个SATA 3.0接口，1个M.2接口；USB接口≥10个，其中USB3.0接口≥4个，机箱后置USB接口≥6个；≥1个VGA和≥1个HDMI，主板原生接口不可使用转接口；预留DVD刻录机位置，可内嵌DVD刻录机；配置≥2G独显，配置≥23.8英寸显示器，支持≥1920*1080分辨率；支持扩展接2.5寸SSD硬盘，SSD硬盘容量可选配128GB、256GB、512GB、1TB等；音频接口支持后置≥1个IN接口、≥1个OUT接口、≥1个MIC接口。前置≥1个MIC接口、≥1个耳机接口。</w:t>
            </w:r>
          </w:p>
        </w:tc>
        <w:tc>
          <w:tcPr>
            <w:tcW w:w="221" w:type="pct"/>
            <w:shd w:val="clear" w:color="auto" w:fill="auto"/>
            <w:noWrap/>
            <w:vAlign w:val="center"/>
          </w:tcPr>
          <w:p w14:paraId="6EB209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2E57A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r>
      <w:tr w14:paraId="6D9D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72D39F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6" w:type="pct"/>
            <w:shd w:val="clear" w:color="auto" w:fill="auto"/>
            <w:noWrap/>
            <w:vAlign w:val="center"/>
          </w:tcPr>
          <w:p w14:paraId="637F47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3493" w:type="pct"/>
            <w:shd w:val="clear" w:color="auto" w:fill="auto"/>
            <w:vAlign w:val="center"/>
          </w:tcPr>
          <w:p w14:paraId="691554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12代酷睿i5-1240P24G内存512GB固态</w:t>
            </w:r>
          </w:p>
        </w:tc>
        <w:tc>
          <w:tcPr>
            <w:tcW w:w="221" w:type="pct"/>
            <w:shd w:val="clear" w:color="auto" w:fill="auto"/>
            <w:noWrap/>
            <w:vAlign w:val="center"/>
          </w:tcPr>
          <w:p w14:paraId="7A1F1B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7DA24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B64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1C11F1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6" w:type="pct"/>
            <w:shd w:val="clear" w:color="auto" w:fill="auto"/>
            <w:noWrap/>
            <w:vAlign w:val="center"/>
          </w:tcPr>
          <w:p w14:paraId="70C1AA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台账输出终端</w:t>
            </w:r>
          </w:p>
        </w:tc>
        <w:tc>
          <w:tcPr>
            <w:tcW w:w="3493" w:type="pct"/>
            <w:shd w:val="clear" w:color="auto" w:fill="auto"/>
            <w:vAlign w:val="center"/>
          </w:tcPr>
          <w:p w14:paraId="022CDE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最大打印幅面A4；最高分辨率HQ1200，600×600dpi；黑白打印速度A4：18ppm，letter：26ppm彩色打印速度A4：4ppm，letter：12ppm处理器400MHz内存标配：64MB，最大：64MB。打印性能：首页打印时间黑白＜14秒，彩色＜26秒</w:t>
            </w:r>
          </w:p>
        </w:tc>
        <w:tc>
          <w:tcPr>
            <w:tcW w:w="221" w:type="pct"/>
            <w:shd w:val="clear" w:color="auto" w:fill="auto"/>
            <w:noWrap/>
            <w:vAlign w:val="center"/>
          </w:tcPr>
          <w:p w14:paraId="2E2C90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FAF68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5F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6D49CF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6" w:type="pct"/>
            <w:shd w:val="clear" w:color="auto" w:fill="auto"/>
            <w:noWrap/>
            <w:vAlign w:val="center"/>
          </w:tcPr>
          <w:p w14:paraId="16B40E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493" w:type="pct"/>
            <w:shd w:val="clear" w:color="auto" w:fill="auto"/>
            <w:vAlign w:val="center"/>
          </w:tcPr>
          <w:p w14:paraId="063886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中二斗文件柜，材质：板材，玻璃；尺寸：不小于180*85*39cm</w:t>
            </w:r>
          </w:p>
        </w:tc>
        <w:tc>
          <w:tcPr>
            <w:tcW w:w="221" w:type="pct"/>
            <w:shd w:val="clear" w:color="auto" w:fill="auto"/>
            <w:noWrap/>
            <w:vAlign w:val="center"/>
          </w:tcPr>
          <w:p w14:paraId="25B056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B11A7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4C5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4C5EBA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6" w:type="pct"/>
            <w:shd w:val="clear" w:color="auto" w:fill="auto"/>
            <w:noWrap/>
            <w:vAlign w:val="center"/>
          </w:tcPr>
          <w:p w14:paraId="48921D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茶吧机</w:t>
            </w:r>
          </w:p>
        </w:tc>
        <w:tc>
          <w:tcPr>
            <w:tcW w:w="3493" w:type="pct"/>
            <w:shd w:val="clear" w:color="auto" w:fill="auto"/>
            <w:vAlign w:val="center"/>
          </w:tcPr>
          <w:p w14:paraId="3D5BDE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智能水位识别，九段智能调温，双壶独立出水口，钢化玻璃触屏，功率：不低于水壶1400w，保温15w。</w:t>
            </w:r>
          </w:p>
        </w:tc>
        <w:tc>
          <w:tcPr>
            <w:tcW w:w="221" w:type="pct"/>
            <w:shd w:val="clear" w:color="auto" w:fill="auto"/>
            <w:noWrap/>
            <w:vAlign w:val="center"/>
          </w:tcPr>
          <w:p w14:paraId="308A90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9BB22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96D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79CCA9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6" w:type="pct"/>
            <w:shd w:val="clear" w:color="auto" w:fill="auto"/>
            <w:noWrap/>
            <w:vAlign w:val="center"/>
          </w:tcPr>
          <w:p w14:paraId="7B7D9E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单人床</w:t>
            </w:r>
          </w:p>
        </w:tc>
        <w:tc>
          <w:tcPr>
            <w:tcW w:w="3493" w:type="pct"/>
            <w:shd w:val="clear" w:color="auto" w:fill="auto"/>
            <w:vAlign w:val="center"/>
          </w:tcPr>
          <w:p w14:paraId="5057B4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实木单人床 1.2 米，框架架构，框架材质：橡胶木，含床垫，被套，床头柜</w:t>
            </w:r>
          </w:p>
        </w:tc>
        <w:tc>
          <w:tcPr>
            <w:tcW w:w="221" w:type="pct"/>
            <w:shd w:val="clear" w:color="auto" w:fill="auto"/>
            <w:noWrap/>
            <w:vAlign w:val="center"/>
          </w:tcPr>
          <w:p w14:paraId="50A62C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28" w:type="pct"/>
            <w:shd w:val="clear" w:color="auto" w:fill="auto"/>
            <w:noWrap/>
            <w:vAlign w:val="center"/>
          </w:tcPr>
          <w:p w14:paraId="5BDB7F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F8D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89656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346" w:type="pct"/>
            <w:shd w:val="clear" w:color="auto" w:fill="auto"/>
            <w:noWrap/>
            <w:vAlign w:val="center"/>
          </w:tcPr>
          <w:p w14:paraId="4E9902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493" w:type="pct"/>
            <w:shd w:val="clear" w:color="auto" w:fill="auto"/>
            <w:vAlign w:val="center"/>
          </w:tcPr>
          <w:p w14:paraId="77CF65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人位皮艺沙发，高回弹压缩棉，优质加厚西皮</w:t>
            </w:r>
          </w:p>
        </w:tc>
        <w:tc>
          <w:tcPr>
            <w:tcW w:w="221" w:type="pct"/>
            <w:shd w:val="clear" w:color="auto" w:fill="auto"/>
            <w:noWrap/>
            <w:vAlign w:val="center"/>
          </w:tcPr>
          <w:p w14:paraId="5F5290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5D7C1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221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220E1F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4490" w:type="pct"/>
            <w:gridSpan w:val="4"/>
            <w:shd w:val="clear" w:color="auto" w:fill="auto"/>
            <w:noWrap/>
            <w:vAlign w:val="center"/>
          </w:tcPr>
          <w:p w14:paraId="4923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辅材及其他</w:t>
            </w:r>
          </w:p>
        </w:tc>
      </w:tr>
      <w:tr w14:paraId="1B02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45E77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6" w:type="pct"/>
            <w:shd w:val="clear" w:color="auto" w:fill="auto"/>
            <w:noWrap/>
            <w:vAlign w:val="center"/>
          </w:tcPr>
          <w:p w14:paraId="1259D1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人脸门禁一体机</w:t>
            </w:r>
          </w:p>
        </w:tc>
        <w:tc>
          <w:tcPr>
            <w:tcW w:w="3493" w:type="pct"/>
            <w:shd w:val="clear" w:color="auto" w:fill="auto"/>
            <w:vAlign w:val="center"/>
          </w:tcPr>
          <w:p w14:paraId="23AB1E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幕参数：≥7英寸触摸显示屏，屏幕比例9:16，屏幕分辨率≥600*1024；摄像头参数：采用宽动态≥200万双目摄像头；认证方式：支持人脸、刷卡、密码、指纹认证方式，可外接身份证、社保卡功能模块；存储容量：本地支持≥2万人脸库、≥5万张卡，≥1万枚指纹、≥15万条事件记录；通信方式：有线网络；使用环境：≥IP65，室内外环境；安装方式：壁挂安装；电源输入： DC12V/2A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含终端电源</w:t>
            </w:r>
          </w:p>
        </w:tc>
        <w:tc>
          <w:tcPr>
            <w:tcW w:w="221" w:type="pct"/>
            <w:shd w:val="clear" w:color="auto" w:fill="auto"/>
            <w:noWrap/>
            <w:vAlign w:val="center"/>
          </w:tcPr>
          <w:p w14:paraId="6982A1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58F20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r>
      <w:tr w14:paraId="7328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593F30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46" w:type="pct"/>
            <w:shd w:val="clear" w:color="auto" w:fill="auto"/>
            <w:noWrap/>
            <w:vAlign w:val="center"/>
          </w:tcPr>
          <w:p w14:paraId="638B92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单门磁力锁套件</w:t>
            </w:r>
          </w:p>
        </w:tc>
        <w:tc>
          <w:tcPr>
            <w:tcW w:w="3493" w:type="pct"/>
            <w:shd w:val="clear" w:color="auto" w:fill="auto"/>
            <w:vAlign w:val="center"/>
          </w:tcPr>
          <w:p w14:paraId="173379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单门磁力锁、磁力锁支架、闭门器、开门按钮等</w:t>
            </w:r>
          </w:p>
        </w:tc>
        <w:tc>
          <w:tcPr>
            <w:tcW w:w="221" w:type="pct"/>
            <w:shd w:val="clear" w:color="auto" w:fill="auto"/>
            <w:noWrap/>
            <w:vAlign w:val="center"/>
          </w:tcPr>
          <w:p w14:paraId="49EBD0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43B90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71B1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577971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46" w:type="pct"/>
            <w:shd w:val="clear" w:color="auto" w:fill="auto"/>
            <w:noWrap/>
            <w:vAlign w:val="center"/>
          </w:tcPr>
          <w:p w14:paraId="54AD98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双门磁力锁套件</w:t>
            </w:r>
          </w:p>
        </w:tc>
        <w:tc>
          <w:tcPr>
            <w:tcW w:w="3493" w:type="pct"/>
            <w:shd w:val="clear" w:color="auto" w:fill="auto"/>
            <w:vAlign w:val="center"/>
          </w:tcPr>
          <w:p w14:paraId="083738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双门磁力锁、磁力锁支架、闭门器、开门按钮等</w:t>
            </w:r>
          </w:p>
        </w:tc>
        <w:tc>
          <w:tcPr>
            <w:tcW w:w="221" w:type="pct"/>
            <w:shd w:val="clear" w:color="auto" w:fill="auto"/>
            <w:noWrap/>
            <w:vAlign w:val="center"/>
          </w:tcPr>
          <w:p w14:paraId="719226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3822E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5BE4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43058C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46" w:type="pct"/>
            <w:shd w:val="clear" w:color="auto" w:fill="auto"/>
            <w:noWrap/>
            <w:vAlign w:val="center"/>
          </w:tcPr>
          <w:p w14:paraId="3A6B6A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人脸采集终端</w:t>
            </w:r>
          </w:p>
        </w:tc>
        <w:tc>
          <w:tcPr>
            <w:tcW w:w="3493" w:type="pct"/>
            <w:shd w:val="clear" w:color="auto" w:fill="auto"/>
            <w:vAlign w:val="center"/>
          </w:tcPr>
          <w:p w14:paraId="6E3285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英寸触摸显示屏，屏幕分辨率≥800*480；2、采用≥200万双目摄像头，有照片视频防假功能；3、支持人脸采集、指纹采集、卡片录入、身份证采集；4、支持有线网络、无线WiFi、USB口通信；5、支持在线采集，通过网络协议或USB口对接到平台，平台进行在线采集，采集信息实时上传；6、工作电压：DC12V/1.5A (自带电源适配器）</w:t>
            </w:r>
          </w:p>
        </w:tc>
        <w:tc>
          <w:tcPr>
            <w:tcW w:w="221" w:type="pct"/>
            <w:shd w:val="clear" w:color="auto" w:fill="auto"/>
            <w:noWrap/>
            <w:vAlign w:val="center"/>
          </w:tcPr>
          <w:p w14:paraId="612CCC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7460B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D8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1CDC0A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46" w:type="pct"/>
            <w:shd w:val="clear" w:color="auto" w:fill="auto"/>
            <w:noWrap/>
            <w:vAlign w:val="center"/>
          </w:tcPr>
          <w:p w14:paraId="69DAF7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93" w:type="pct"/>
            <w:shd w:val="clear" w:color="auto" w:fill="auto"/>
            <w:vAlign w:val="center"/>
          </w:tcPr>
          <w:p w14:paraId="3279F3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线缆类型（电源线）：RVV；导体类型：无氧铜；护套类型：PVC；线缆芯数：2芯</w:t>
            </w:r>
          </w:p>
        </w:tc>
        <w:tc>
          <w:tcPr>
            <w:tcW w:w="221" w:type="pct"/>
            <w:shd w:val="clear" w:color="auto" w:fill="auto"/>
            <w:noWrap/>
            <w:vAlign w:val="center"/>
          </w:tcPr>
          <w:p w14:paraId="1BA4F2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shd w:val="clear" w:color="auto" w:fill="auto"/>
            <w:noWrap/>
            <w:vAlign w:val="center"/>
          </w:tcPr>
          <w:p w14:paraId="64B2B1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45CB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3EF03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46" w:type="pct"/>
            <w:shd w:val="clear" w:color="auto" w:fill="auto"/>
            <w:noWrap/>
            <w:vAlign w:val="center"/>
          </w:tcPr>
          <w:p w14:paraId="732256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3493" w:type="pct"/>
            <w:shd w:val="clear" w:color="auto" w:fill="auto"/>
            <w:vAlign w:val="center"/>
          </w:tcPr>
          <w:p w14:paraId="1ABD28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超5类网线，4对8芯双绞线</w:t>
            </w:r>
          </w:p>
        </w:tc>
        <w:tc>
          <w:tcPr>
            <w:tcW w:w="221" w:type="pct"/>
            <w:shd w:val="clear" w:color="auto" w:fill="auto"/>
            <w:noWrap/>
            <w:vAlign w:val="center"/>
          </w:tcPr>
          <w:p w14:paraId="4FBB20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428" w:type="pct"/>
            <w:shd w:val="clear" w:color="auto" w:fill="auto"/>
            <w:noWrap/>
            <w:vAlign w:val="center"/>
          </w:tcPr>
          <w:p w14:paraId="57BCE5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7C2E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36A9EF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46" w:type="pct"/>
            <w:shd w:val="clear" w:color="auto" w:fill="auto"/>
            <w:noWrap/>
            <w:vAlign w:val="center"/>
          </w:tcPr>
          <w:p w14:paraId="37050E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PVC线管</w:t>
            </w:r>
          </w:p>
        </w:tc>
        <w:tc>
          <w:tcPr>
            <w:tcW w:w="3493" w:type="pct"/>
            <w:shd w:val="clear" w:color="auto" w:fill="auto"/>
            <w:vAlign w:val="center"/>
          </w:tcPr>
          <w:p w14:paraId="2A2C39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1" w:type="pct"/>
            <w:shd w:val="clear" w:color="auto" w:fill="auto"/>
            <w:noWrap/>
            <w:vAlign w:val="center"/>
          </w:tcPr>
          <w:p w14:paraId="184E0A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shd w:val="clear" w:color="auto" w:fill="auto"/>
            <w:noWrap/>
            <w:vAlign w:val="center"/>
          </w:tcPr>
          <w:p w14:paraId="72B081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r>
      <w:tr w14:paraId="17B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7D0CDF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46" w:type="pct"/>
            <w:shd w:val="clear" w:color="auto" w:fill="auto"/>
            <w:noWrap/>
            <w:vAlign w:val="center"/>
          </w:tcPr>
          <w:p w14:paraId="7D7193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493" w:type="pct"/>
            <w:shd w:val="clear" w:color="auto" w:fill="auto"/>
            <w:vAlign w:val="center"/>
          </w:tcPr>
          <w:p w14:paraId="0349BD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视频线、音频线、排插、扎带、水晶头、管线以及8口交换等</w:t>
            </w:r>
          </w:p>
        </w:tc>
        <w:tc>
          <w:tcPr>
            <w:tcW w:w="221" w:type="pct"/>
            <w:shd w:val="clear" w:color="auto" w:fill="auto"/>
            <w:noWrap/>
            <w:vAlign w:val="center"/>
          </w:tcPr>
          <w:p w14:paraId="7119F1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8" w:type="pct"/>
            <w:shd w:val="clear" w:color="auto" w:fill="auto"/>
            <w:noWrap/>
            <w:vAlign w:val="center"/>
          </w:tcPr>
          <w:p w14:paraId="615306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E0B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4A2AFD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46" w:type="pct"/>
            <w:shd w:val="clear" w:color="auto" w:fill="auto"/>
            <w:noWrap/>
            <w:vAlign w:val="center"/>
          </w:tcPr>
          <w:p w14:paraId="669AA6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标识标牌</w:t>
            </w:r>
          </w:p>
        </w:tc>
        <w:tc>
          <w:tcPr>
            <w:tcW w:w="3493" w:type="pct"/>
            <w:shd w:val="clear" w:color="auto" w:fill="auto"/>
            <w:vAlign w:val="center"/>
          </w:tcPr>
          <w:p w14:paraId="385437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标志字及标牌、制度牌，走廊内办案流程图，宣传栏，警示标识牌</w:t>
            </w:r>
          </w:p>
        </w:tc>
        <w:tc>
          <w:tcPr>
            <w:tcW w:w="221" w:type="pct"/>
            <w:shd w:val="clear" w:color="auto" w:fill="auto"/>
            <w:noWrap/>
            <w:vAlign w:val="center"/>
          </w:tcPr>
          <w:p w14:paraId="29E151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223018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F9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20AFE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 </w:t>
            </w:r>
          </w:p>
        </w:tc>
        <w:tc>
          <w:tcPr>
            <w:tcW w:w="346" w:type="pct"/>
            <w:shd w:val="clear" w:color="auto" w:fill="auto"/>
            <w:noWrap/>
            <w:vAlign w:val="center"/>
          </w:tcPr>
          <w:p w14:paraId="0E37B0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投影灯</w:t>
            </w:r>
          </w:p>
        </w:tc>
        <w:tc>
          <w:tcPr>
            <w:tcW w:w="3493" w:type="pct"/>
            <w:shd w:val="clear" w:color="auto" w:fill="auto"/>
            <w:vAlign w:val="center"/>
          </w:tcPr>
          <w:p w14:paraId="573A98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显色指数≥85Ra，色温指数8000-8500K,使用寿命≥50000H,额定电压110-240V;支持遥控距离不低于20米。</w:t>
            </w:r>
          </w:p>
        </w:tc>
        <w:tc>
          <w:tcPr>
            <w:tcW w:w="221" w:type="pct"/>
            <w:shd w:val="clear" w:color="auto" w:fill="auto"/>
            <w:noWrap/>
            <w:vAlign w:val="center"/>
          </w:tcPr>
          <w:p w14:paraId="420A3B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F3C5F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r>
      <w:tr w14:paraId="60E8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BC473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46" w:type="pct"/>
            <w:shd w:val="clear" w:color="auto" w:fill="auto"/>
            <w:noWrap/>
            <w:vAlign w:val="center"/>
          </w:tcPr>
          <w:p w14:paraId="3D43BE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控制线</w:t>
            </w:r>
          </w:p>
        </w:tc>
        <w:tc>
          <w:tcPr>
            <w:tcW w:w="3493" w:type="pct"/>
            <w:shd w:val="clear" w:color="auto" w:fill="auto"/>
            <w:vAlign w:val="center"/>
          </w:tcPr>
          <w:p w14:paraId="55FCDE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国标4*1.5</w:t>
            </w:r>
          </w:p>
        </w:tc>
        <w:tc>
          <w:tcPr>
            <w:tcW w:w="221" w:type="pct"/>
            <w:shd w:val="clear" w:color="auto" w:fill="auto"/>
            <w:noWrap/>
            <w:vAlign w:val="center"/>
          </w:tcPr>
          <w:p w14:paraId="17E6A8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shd w:val="clear" w:color="auto" w:fill="auto"/>
            <w:noWrap/>
            <w:vAlign w:val="center"/>
          </w:tcPr>
          <w:p w14:paraId="504A6D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2A76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5D88851">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4490" w:type="pct"/>
            <w:gridSpan w:val="4"/>
            <w:shd w:val="clear" w:color="auto" w:fill="auto"/>
            <w:noWrap/>
            <w:vAlign w:val="center"/>
          </w:tcPr>
          <w:p w14:paraId="47D0DA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案件管理分中心信息化系统建设</w:t>
            </w:r>
          </w:p>
        </w:tc>
      </w:tr>
      <w:tr w14:paraId="714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7B3494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4490" w:type="pct"/>
            <w:gridSpan w:val="4"/>
            <w:shd w:val="clear" w:color="auto" w:fill="auto"/>
            <w:noWrap/>
            <w:vAlign w:val="center"/>
          </w:tcPr>
          <w:p w14:paraId="3E4BA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材料登记查询上传及卷宗保管室</w:t>
            </w:r>
          </w:p>
        </w:tc>
      </w:tr>
      <w:tr w14:paraId="0922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noWrap/>
            <w:vAlign w:val="center"/>
          </w:tcPr>
          <w:p w14:paraId="0BD2DB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46" w:type="pct"/>
            <w:shd w:val="clear" w:color="auto" w:fill="auto"/>
            <w:noWrap/>
            <w:vAlign w:val="center"/>
          </w:tcPr>
          <w:p w14:paraId="3DB26D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7AEECD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70833D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2BAF4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2B99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5E0832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46" w:type="pct"/>
            <w:shd w:val="clear" w:color="auto" w:fill="auto"/>
            <w:noWrap/>
            <w:vAlign w:val="center"/>
          </w:tcPr>
          <w:p w14:paraId="0B596B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高保真全向拾音器</w:t>
            </w:r>
          </w:p>
        </w:tc>
        <w:tc>
          <w:tcPr>
            <w:tcW w:w="3493" w:type="pct"/>
            <w:shd w:val="clear" w:color="auto" w:fill="auto"/>
            <w:vAlign w:val="center"/>
          </w:tcPr>
          <w:p w14:paraId="664D83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shd w:val="clear" w:color="auto" w:fill="auto"/>
            <w:noWrap/>
            <w:vAlign w:val="center"/>
          </w:tcPr>
          <w:p w14:paraId="754F3E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342E86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20C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9" w:type="pct"/>
            <w:shd w:val="clear" w:color="auto" w:fill="auto"/>
            <w:noWrap/>
            <w:vAlign w:val="center"/>
          </w:tcPr>
          <w:p w14:paraId="4D6A75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346" w:type="pct"/>
            <w:shd w:val="clear" w:color="auto" w:fill="auto"/>
            <w:noWrap/>
            <w:vAlign w:val="center"/>
          </w:tcPr>
          <w:p w14:paraId="388BBF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蓝光集中打印刻录一体机</w:t>
            </w:r>
          </w:p>
        </w:tc>
        <w:tc>
          <w:tcPr>
            <w:tcW w:w="3493" w:type="pct"/>
            <w:shd w:val="clear" w:color="auto" w:fill="auto"/>
            <w:vAlign w:val="center"/>
          </w:tcPr>
          <w:p w14:paraId="44C041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1.全自动≥100片BD/DVD/CD蓝光光盘批量打印刻录,支持不同类型光盘自动混装；2.自助式前置≥50片光盘外置输出；3.集成≥2个BD-R/DVD±R/CD-R企业级蓝光光盘刻录机；4.采用全自动智能机械手取盘技术；5.高达≥4800 dpi彩色打印分辨率，照片级打印质量，≥1670万色；6.≥1个高容量CMY 彩色墨盒，可快速更换墨盒；7.彩色墨盒集成打印头，保证打印质量，终身无需更换单独的打印头；8.USB 3.0高速数据接口，实现BD/DVD/CD高速数据刻录；9.光盘打印及刻录/回读速度：≥8片BD/小时；≥24片DVD/小时；≥40片CD/小时</w:t>
            </w:r>
          </w:p>
        </w:tc>
        <w:tc>
          <w:tcPr>
            <w:tcW w:w="221" w:type="pct"/>
            <w:shd w:val="clear" w:color="auto" w:fill="auto"/>
            <w:noWrap/>
            <w:vAlign w:val="center"/>
          </w:tcPr>
          <w:p w14:paraId="1D1370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04CB9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E2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28DDC1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346" w:type="pct"/>
            <w:shd w:val="clear" w:color="auto" w:fill="auto"/>
            <w:noWrap/>
            <w:vAlign w:val="center"/>
          </w:tcPr>
          <w:p w14:paraId="74DA6E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审讯刻录专用光盘</w:t>
            </w:r>
          </w:p>
        </w:tc>
        <w:tc>
          <w:tcPr>
            <w:tcW w:w="3493" w:type="pct"/>
            <w:shd w:val="clear" w:color="auto" w:fill="auto"/>
            <w:vAlign w:val="center"/>
          </w:tcPr>
          <w:p w14:paraId="1620D9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专业级高品质哑光可打印蓝光光盘，≥50GB,防划耐磨；≥50片桶装</w:t>
            </w:r>
          </w:p>
        </w:tc>
        <w:tc>
          <w:tcPr>
            <w:tcW w:w="221" w:type="pct"/>
            <w:shd w:val="clear" w:color="auto" w:fill="auto"/>
            <w:noWrap/>
            <w:vAlign w:val="center"/>
          </w:tcPr>
          <w:p w14:paraId="7C8E83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60EA3B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11D9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480211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346" w:type="pct"/>
            <w:shd w:val="clear" w:color="auto" w:fill="auto"/>
            <w:noWrap/>
            <w:vAlign w:val="center"/>
          </w:tcPr>
          <w:p w14:paraId="565A1BD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智能光盘管理柜</w:t>
            </w:r>
          </w:p>
        </w:tc>
        <w:tc>
          <w:tcPr>
            <w:tcW w:w="3493" w:type="pct"/>
            <w:shd w:val="clear" w:color="auto" w:fill="auto"/>
            <w:vAlign w:val="center"/>
          </w:tcPr>
          <w:p w14:paraId="626AF9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光盘管理柜，单柜盒存储容量大于810张,单盒双盒面存储容量不小于1620张，支持多柜级联，双LED灯珠；标识，存取光盘时闪烁指示盘仓位，内置光盘管理软件，支持光盘检索、光盘入柜、借出及归还管理等；防潮，防磁，防静电，防灰尘，防倾倒，防挤压</w:t>
            </w:r>
          </w:p>
        </w:tc>
        <w:tc>
          <w:tcPr>
            <w:tcW w:w="221" w:type="pct"/>
            <w:shd w:val="clear" w:color="auto" w:fill="auto"/>
            <w:noWrap/>
            <w:vAlign w:val="center"/>
          </w:tcPr>
          <w:p w14:paraId="5885F4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85ACF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8B0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4D3B83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346" w:type="pct"/>
            <w:shd w:val="clear" w:color="auto" w:fill="auto"/>
            <w:noWrap/>
            <w:vAlign w:val="center"/>
          </w:tcPr>
          <w:p w14:paraId="286EA0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智能人脸RFID卷宗主柜</w:t>
            </w:r>
          </w:p>
        </w:tc>
        <w:tc>
          <w:tcPr>
            <w:tcW w:w="3493" w:type="pct"/>
            <w:shd w:val="clear" w:color="auto" w:fill="auto"/>
            <w:vAlign w:val="center"/>
          </w:tcPr>
          <w:p w14:paraId="642F8E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整机尺寸：1985*900*475mm，误差±5%；箱体个数：≥10个；屏幕尺寸：≥17寸；锁体结构：机械电子锁；最大功率：≤30W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身份识别：人脸；卷宗识别：RFID；通讯方式：以太网</w:t>
            </w:r>
          </w:p>
        </w:tc>
        <w:tc>
          <w:tcPr>
            <w:tcW w:w="221" w:type="pct"/>
            <w:shd w:val="clear" w:color="auto" w:fill="auto"/>
            <w:noWrap/>
            <w:vAlign w:val="center"/>
          </w:tcPr>
          <w:p w14:paraId="23D1BB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8D505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6BD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22B0B2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346" w:type="pct"/>
            <w:shd w:val="clear" w:color="auto" w:fill="auto"/>
            <w:noWrap/>
            <w:vAlign w:val="center"/>
          </w:tcPr>
          <w:p w14:paraId="3A9172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智能人脸RFID卷宗副柜</w:t>
            </w:r>
          </w:p>
        </w:tc>
        <w:tc>
          <w:tcPr>
            <w:tcW w:w="3493" w:type="pct"/>
            <w:shd w:val="clear" w:color="auto" w:fill="auto"/>
            <w:vAlign w:val="center"/>
          </w:tcPr>
          <w:p w14:paraId="7445D1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整机尺寸：高1985*宽900*深475（mm），误差±5%；箱体空间：深450*高230*宽359（mm），误差±5%；箱体个数：≥12个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供电电源：12VDC；最大功率：≤15W；工作温度：0℃~60℃；存储温度：-40℃~85℃</w:t>
            </w:r>
          </w:p>
        </w:tc>
        <w:tc>
          <w:tcPr>
            <w:tcW w:w="221" w:type="pct"/>
            <w:shd w:val="clear" w:color="auto" w:fill="auto"/>
            <w:noWrap/>
            <w:vAlign w:val="center"/>
          </w:tcPr>
          <w:p w14:paraId="5202C8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155CB3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4180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noWrap/>
            <w:vAlign w:val="center"/>
          </w:tcPr>
          <w:p w14:paraId="75A73D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346" w:type="pct"/>
            <w:shd w:val="clear" w:color="auto" w:fill="auto"/>
            <w:noWrap/>
            <w:vAlign w:val="center"/>
          </w:tcPr>
          <w:p w14:paraId="376B47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电子标签发卡器</w:t>
            </w:r>
          </w:p>
        </w:tc>
        <w:tc>
          <w:tcPr>
            <w:tcW w:w="3493" w:type="pct"/>
            <w:shd w:val="clear" w:color="auto" w:fill="auto"/>
            <w:vAlign w:val="center"/>
          </w:tcPr>
          <w:p w14:paraId="2887E9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指示灯：LED电源指示、LED状态指示灯；工作频率：超高频（840~960MHz，多国频率标准可按需要定制）默认频率920~925MHz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协议标准：EPCC1GEN2/ISO18000-6C；供电电源：5VDC，最大电流500mA；功耗：&lt;2.5W</w:t>
            </w:r>
          </w:p>
        </w:tc>
        <w:tc>
          <w:tcPr>
            <w:tcW w:w="221" w:type="pct"/>
            <w:shd w:val="clear" w:color="auto" w:fill="auto"/>
            <w:noWrap/>
            <w:vAlign w:val="center"/>
          </w:tcPr>
          <w:p w14:paraId="709271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875A3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515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0E3805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346" w:type="pct"/>
            <w:shd w:val="clear" w:color="auto" w:fill="auto"/>
            <w:noWrap/>
            <w:vAlign w:val="center"/>
          </w:tcPr>
          <w:p w14:paraId="1C923B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RFID标签</w:t>
            </w:r>
          </w:p>
        </w:tc>
        <w:tc>
          <w:tcPr>
            <w:tcW w:w="3493" w:type="pct"/>
            <w:shd w:val="clear" w:color="auto" w:fill="auto"/>
            <w:vAlign w:val="center"/>
          </w:tcPr>
          <w:p w14:paraId="1B584D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尺寸：50*50mm，每份卷宗贴一张,100张/卷，最小单位为1卷</w:t>
            </w:r>
          </w:p>
        </w:tc>
        <w:tc>
          <w:tcPr>
            <w:tcW w:w="221" w:type="pct"/>
            <w:shd w:val="clear" w:color="auto" w:fill="auto"/>
            <w:noWrap/>
            <w:vAlign w:val="center"/>
          </w:tcPr>
          <w:p w14:paraId="277A46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28" w:type="pct"/>
            <w:shd w:val="clear" w:color="auto" w:fill="auto"/>
            <w:noWrap/>
            <w:vAlign w:val="center"/>
          </w:tcPr>
          <w:p w14:paraId="7E34EC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r>
      <w:tr w14:paraId="46CD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3327AD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46" w:type="pct"/>
            <w:shd w:val="clear" w:color="auto" w:fill="auto"/>
            <w:noWrap/>
            <w:vAlign w:val="center"/>
          </w:tcPr>
          <w:p w14:paraId="1065EA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执法办案终端机</w:t>
            </w:r>
          </w:p>
        </w:tc>
        <w:tc>
          <w:tcPr>
            <w:tcW w:w="3493" w:type="pct"/>
            <w:shd w:val="clear" w:color="auto" w:fill="auto"/>
            <w:vAlign w:val="center"/>
          </w:tcPr>
          <w:p w14:paraId="2DEF03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CPU：高性能处理器，≥6核，≥12线程，≥2.5GHz；内存：≥8GB，≥3200MHz；硬盘：≥256GSSD；显示器：≥23.8英寸；显卡：≥2G独显；机箱：≤11L立式机箱，满配重量≤8kg；硬盘接口：≥4×SATA 3.0接口；≥1×M.2接口；扩展插槽：≥1×PCI-E 1x插槽；≥1×PCI-E 16x插槽；外设：标配键鼠一套；操作系统：配套正版操作系统；硬盘断电保护：可支持硬盘数据及时还原，还原到指定还原点;支持硬盘断电保护;支持双网口绑定、双网口使用；整机品牌：支持硬盘拆卸安装;支持存储硬盘与主机同一品牌；产品进行软硬件适配调优，兼容主流安防应用软件及视频处理软件，视频显示更加流畅。</w:t>
            </w:r>
          </w:p>
        </w:tc>
        <w:tc>
          <w:tcPr>
            <w:tcW w:w="221" w:type="pct"/>
            <w:shd w:val="clear" w:color="auto" w:fill="auto"/>
            <w:noWrap/>
            <w:vAlign w:val="center"/>
          </w:tcPr>
          <w:p w14:paraId="69D42E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9F3DD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642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60380B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 </w:t>
            </w:r>
          </w:p>
        </w:tc>
        <w:tc>
          <w:tcPr>
            <w:tcW w:w="346" w:type="pct"/>
            <w:shd w:val="clear" w:color="auto" w:fill="auto"/>
            <w:noWrap/>
            <w:vAlign w:val="center"/>
          </w:tcPr>
          <w:p w14:paraId="1E93C6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登记台</w:t>
            </w:r>
          </w:p>
        </w:tc>
        <w:tc>
          <w:tcPr>
            <w:tcW w:w="3493" w:type="pct"/>
            <w:shd w:val="clear" w:color="auto" w:fill="auto"/>
            <w:vAlign w:val="center"/>
          </w:tcPr>
          <w:p w14:paraId="256F32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1、基材：精选高密度板，板材厚度不小于2.5cm，厚度升级承重有力，桌子更加平稳，木纹纹理清晰，经防潮、防虫、防腐处理，抗弯力强，不易变形。2、产品经过新工艺多层覆合，无异味、0甲醛，通过各项检测，更环保；油漆：四道底漆，三道面漆，底漆采用环保油漆，面漆采用环保聚酯漆，色泽均匀、光滑耐用可长期保持表面效果</w:t>
            </w:r>
          </w:p>
        </w:tc>
        <w:tc>
          <w:tcPr>
            <w:tcW w:w="221" w:type="pct"/>
            <w:shd w:val="clear" w:color="auto" w:fill="auto"/>
            <w:noWrap/>
            <w:vAlign w:val="center"/>
          </w:tcPr>
          <w:p w14:paraId="02953D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B2AC8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B33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69D190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346" w:type="pct"/>
            <w:shd w:val="clear" w:color="auto" w:fill="auto"/>
            <w:noWrap/>
            <w:vAlign w:val="center"/>
          </w:tcPr>
          <w:p w14:paraId="06ABEE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登记椅子</w:t>
            </w:r>
          </w:p>
        </w:tc>
        <w:tc>
          <w:tcPr>
            <w:tcW w:w="3493" w:type="pct"/>
            <w:shd w:val="clear" w:color="auto" w:fill="auto"/>
            <w:vAlign w:val="center"/>
          </w:tcPr>
          <w:p w14:paraId="7E63B2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56B072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5E64B3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38D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09" w:type="pct"/>
            <w:shd w:val="clear" w:color="auto" w:fill="auto"/>
            <w:noWrap/>
            <w:vAlign w:val="center"/>
          </w:tcPr>
          <w:p w14:paraId="110D37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346" w:type="pct"/>
            <w:shd w:val="clear" w:color="auto" w:fill="auto"/>
            <w:noWrap/>
            <w:vAlign w:val="center"/>
          </w:tcPr>
          <w:p w14:paraId="386556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案卷管理平台</w:t>
            </w:r>
          </w:p>
        </w:tc>
        <w:tc>
          <w:tcPr>
            <w:tcW w:w="3493" w:type="pct"/>
            <w:shd w:val="clear" w:color="auto" w:fill="auto"/>
            <w:vAlign w:val="center"/>
          </w:tcPr>
          <w:p w14:paraId="11D603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根据案件名称、案件编号、犯罪嫌疑人、关联嫌疑人、案件状态、受案日期、承办单位、案件类别等关键字使用组合或全文检索方式查询各类数据；2.支持县局/市局法制审核人员对各单位案件办理进行审核，对案件中存在的问题列出清单并限期整改，整改期限到期前2日进行提醒；3.支持串并案分析，可根据案件办人员、案件嫌疑人姓名、错号、案件发生地点等信息，查询出关联案件信息，对案件进行串并关联；4.支持对案件多发地点进行分析，可预定义案件常发地点关键词，查询统计出现地点关键词的案件并进行排名，也可根据地点关键字和案件受理时间段进行统计；5.支持对案件发生时段进行分析，可对刑事案件和行政案件分别按案件受理月份以及案件受理时间情况进行分析，给出直观图表，并支持增加案发地点关键字和受理时段等条件进行分析；6.支持管理人员对各种预警提醒的时间以及规则进行配置。支持新增和删除预警提醒，预警类型包括案件督办提醒、卷宗久放未办理、上交检察院提醒、借阅提醒、未贴标签提醒、离柜超期提醒、整改提醒等；7.支持对案件类别进行统计，支持对近期、近半年、今年等各个时期，各个不同单位的行政案件和刑事案件进行统计、环比分析等；8.支持对于单位民警的案件处理措施打处情况进行分析，支持按罚款、行政拘留、刑事拘留、取保候审、批准逮捕、移送起诉、监视居住、移送管辖处理措施进行统计；9.支持将系统当前的案件总数、刑事案件数、行政案件数、案件比例、案卷情况、打处情况、提醒情况、考评情况等用直观图标展示，同时每部分内容均支持查看各单位的详细信息列表；10.可视化首页支持将系统当前的案件总数、刑事案件数、行政案件数、案件比例、案卷情况、打处情况、提醒情况、考评情况等用直观图标展示，同时每部分内容均支持查看各单位的详细信息列表。</w:t>
            </w:r>
          </w:p>
        </w:tc>
        <w:tc>
          <w:tcPr>
            <w:tcW w:w="221" w:type="pct"/>
            <w:shd w:val="clear" w:color="auto" w:fill="auto"/>
            <w:noWrap/>
            <w:vAlign w:val="center"/>
          </w:tcPr>
          <w:p w14:paraId="3804D4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0A3DD2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A2F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3684C1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 </w:t>
            </w:r>
          </w:p>
        </w:tc>
        <w:tc>
          <w:tcPr>
            <w:tcW w:w="346" w:type="pct"/>
            <w:shd w:val="clear" w:color="auto" w:fill="auto"/>
            <w:noWrap/>
            <w:vAlign w:val="center"/>
          </w:tcPr>
          <w:p w14:paraId="7A9A74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案卷管理平台服务器</w:t>
            </w:r>
          </w:p>
        </w:tc>
        <w:tc>
          <w:tcPr>
            <w:tcW w:w="3493" w:type="pct"/>
            <w:shd w:val="clear" w:color="auto" w:fill="auto"/>
            <w:vAlign w:val="center"/>
          </w:tcPr>
          <w:p w14:paraId="02CE5F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CPU：配置≥2颗高性能处理器，核数≥12核，主频≥2.4GHz；内存：配置≥128G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shd w:val="clear" w:color="auto" w:fill="auto"/>
            <w:noWrap/>
            <w:vAlign w:val="center"/>
          </w:tcPr>
          <w:p w14:paraId="28553D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08A24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BD2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noWrap/>
            <w:vAlign w:val="center"/>
          </w:tcPr>
          <w:p w14:paraId="089165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 </w:t>
            </w:r>
          </w:p>
        </w:tc>
        <w:tc>
          <w:tcPr>
            <w:tcW w:w="346" w:type="pct"/>
            <w:shd w:val="clear" w:color="auto" w:fill="auto"/>
            <w:noWrap/>
            <w:vAlign w:val="center"/>
          </w:tcPr>
          <w:p w14:paraId="4BA09D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人脸门禁一体机</w:t>
            </w:r>
          </w:p>
        </w:tc>
        <w:tc>
          <w:tcPr>
            <w:tcW w:w="3493" w:type="pct"/>
            <w:shd w:val="clear" w:color="auto" w:fill="auto"/>
            <w:vAlign w:val="center"/>
          </w:tcPr>
          <w:p w14:paraId="02B6BF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参数：≥7英寸触摸显示屏，分辨率≥600*1024；2.摄像头参数：采用≥200万双目摄像头；3.认证方式：支持人脸、刷卡、密码等认证方式；4.人脸验证：采用深度学习算法，支持单人或多人识别功能；支持照片、视频防假；1:N人脸验证速度≤0.2s；5.存储容量：本地支持≥10000人脸库、≥50000张卡，≥15万条事件记录；6.通信方式及网络协议：有线网络；7.使用环境：≥IP65，室内外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含终端电源、门控安全模块、门锁套件。</w:t>
            </w:r>
          </w:p>
        </w:tc>
        <w:tc>
          <w:tcPr>
            <w:tcW w:w="221" w:type="pct"/>
            <w:shd w:val="clear" w:color="auto" w:fill="auto"/>
            <w:noWrap/>
            <w:vAlign w:val="center"/>
          </w:tcPr>
          <w:p w14:paraId="1F7A19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EE6DD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3FB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9" w:type="pct"/>
            <w:shd w:val="clear" w:color="auto" w:fill="auto"/>
            <w:noWrap/>
            <w:vAlign w:val="center"/>
          </w:tcPr>
          <w:p w14:paraId="02FA99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346" w:type="pct"/>
            <w:shd w:val="clear" w:color="auto" w:fill="auto"/>
            <w:noWrap/>
            <w:vAlign w:val="center"/>
          </w:tcPr>
          <w:p w14:paraId="34A17B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697827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1F50DC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879FC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A3C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2DF3F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 </w:t>
            </w:r>
          </w:p>
        </w:tc>
        <w:tc>
          <w:tcPr>
            <w:tcW w:w="346" w:type="pct"/>
            <w:shd w:val="clear" w:color="auto" w:fill="auto"/>
            <w:noWrap/>
            <w:vAlign w:val="center"/>
          </w:tcPr>
          <w:p w14:paraId="221470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便携式恒温箱</w:t>
            </w:r>
          </w:p>
        </w:tc>
        <w:tc>
          <w:tcPr>
            <w:tcW w:w="3493" w:type="pct"/>
            <w:shd w:val="clear" w:color="auto" w:fill="auto"/>
            <w:vAlign w:val="center"/>
          </w:tcPr>
          <w:p w14:paraId="42DC809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符合办案区定制，10L以上恒温箱，可显示温度</w:t>
            </w:r>
          </w:p>
        </w:tc>
        <w:tc>
          <w:tcPr>
            <w:tcW w:w="221" w:type="pct"/>
            <w:shd w:val="clear" w:color="auto" w:fill="auto"/>
            <w:noWrap/>
            <w:vAlign w:val="center"/>
          </w:tcPr>
          <w:p w14:paraId="324686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7EF16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5A0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0213D7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 </w:t>
            </w:r>
          </w:p>
        </w:tc>
        <w:tc>
          <w:tcPr>
            <w:tcW w:w="346" w:type="pct"/>
            <w:shd w:val="clear" w:color="auto" w:fill="auto"/>
            <w:noWrap/>
            <w:vAlign w:val="center"/>
          </w:tcPr>
          <w:p w14:paraId="1BA690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高速扫描终端</w:t>
            </w:r>
          </w:p>
        </w:tc>
        <w:tc>
          <w:tcPr>
            <w:tcW w:w="3493" w:type="pct"/>
            <w:shd w:val="clear" w:color="auto" w:fill="auto"/>
            <w:vAlign w:val="center"/>
          </w:tcPr>
          <w:p w14:paraId="338BBA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扫描速度：35ppm/70ipm；扫描范围：A4；接口：USB3.0</w:t>
            </w:r>
          </w:p>
        </w:tc>
        <w:tc>
          <w:tcPr>
            <w:tcW w:w="221" w:type="pct"/>
            <w:shd w:val="clear" w:color="auto" w:fill="auto"/>
            <w:noWrap/>
            <w:vAlign w:val="center"/>
          </w:tcPr>
          <w:p w14:paraId="78DD42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A5C0A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5E7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585FDD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c>
          <w:tcPr>
            <w:tcW w:w="346" w:type="pct"/>
            <w:shd w:val="clear" w:color="auto" w:fill="auto"/>
            <w:noWrap/>
            <w:vAlign w:val="center"/>
          </w:tcPr>
          <w:p w14:paraId="5272BC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高拍仪</w:t>
            </w:r>
          </w:p>
        </w:tc>
        <w:tc>
          <w:tcPr>
            <w:tcW w:w="3493" w:type="pct"/>
            <w:shd w:val="clear" w:color="auto" w:fill="auto"/>
            <w:vAlign w:val="center"/>
          </w:tcPr>
          <w:p w14:paraId="7C83BE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shd w:val="clear" w:color="auto" w:fill="auto"/>
            <w:noWrap/>
            <w:vAlign w:val="center"/>
          </w:tcPr>
          <w:p w14:paraId="7E894D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23CF3E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419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18CFC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346" w:type="pct"/>
            <w:shd w:val="clear" w:color="auto" w:fill="auto"/>
            <w:noWrap/>
            <w:vAlign w:val="center"/>
          </w:tcPr>
          <w:p w14:paraId="5A63AD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台账输出终端</w:t>
            </w:r>
          </w:p>
        </w:tc>
        <w:tc>
          <w:tcPr>
            <w:tcW w:w="3493" w:type="pct"/>
            <w:shd w:val="clear" w:color="auto" w:fill="auto"/>
            <w:vAlign w:val="center"/>
          </w:tcPr>
          <w:p w14:paraId="088DEF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黑白激光多功能一体机三合一打印复印扫描</w:t>
            </w:r>
          </w:p>
        </w:tc>
        <w:tc>
          <w:tcPr>
            <w:tcW w:w="221" w:type="pct"/>
            <w:shd w:val="clear" w:color="auto" w:fill="auto"/>
            <w:noWrap/>
            <w:vAlign w:val="center"/>
          </w:tcPr>
          <w:p w14:paraId="35CB36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6F57CD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9ED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567812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4490" w:type="pct"/>
            <w:gridSpan w:val="4"/>
            <w:shd w:val="clear" w:color="auto" w:fill="auto"/>
            <w:noWrap/>
            <w:vAlign w:val="center"/>
          </w:tcPr>
          <w:p w14:paraId="5AE9EC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涉案财物管理分中心信息化系统建设</w:t>
            </w:r>
          </w:p>
        </w:tc>
      </w:tr>
      <w:tr w14:paraId="1C5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1841C4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4490" w:type="pct"/>
            <w:gridSpan w:val="4"/>
            <w:shd w:val="clear" w:color="auto" w:fill="auto"/>
            <w:noWrap/>
            <w:vAlign w:val="center"/>
          </w:tcPr>
          <w:p w14:paraId="541E3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涉案财物登记管理室</w:t>
            </w:r>
          </w:p>
        </w:tc>
      </w:tr>
      <w:tr w14:paraId="4BB0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09" w:type="pct"/>
            <w:shd w:val="clear" w:color="auto" w:fill="auto"/>
            <w:noWrap/>
            <w:vAlign w:val="center"/>
          </w:tcPr>
          <w:p w14:paraId="1374299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46" w:type="pct"/>
            <w:shd w:val="clear" w:color="auto" w:fill="auto"/>
            <w:noWrap/>
            <w:vAlign w:val="center"/>
          </w:tcPr>
          <w:p w14:paraId="7118CE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w:t>
            </w:r>
          </w:p>
        </w:tc>
        <w:tc>
          <w:tcPr>
            <w:tcW w:w="3493" w:type="pct"/>
            <w:shd w:val="clear" w:color="auto" w:fill="auto"/>
            <w:vAlign w:val="center"/>
          </w:tcPr>
          <w:p w14:paraId="3F3A60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shd w:val="clear" w:color="auto" w:fill="auto"/>
            <w:noWrap/>
            <w:vAlign w:val="center"/>
          </w:tcPr>
          <w:p w14:paraId="4DC942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E4DDC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32F4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509" w:type="pct"/>
            <w:shd w:val="clear" w:color="auto" w:fill="auto"/>
            <w:noWrap/>
            <w:vAlign w:val="center"/>
          </w:tcPr>
          <w:p w14:paraId="7CE0AF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46" w:type="pct"/>
            <w:shd w:val="clear" w:color="auto" w:fill="auto"/>
            <w:noWrap/>
            <w:vAlign w:val="center"/>
          </w:tcPr>
          <w:p w14:paraId="761087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涉案财物管理模块</w:t>
            </w:r>
          </w:p>
        </w:tc>
        <w:tc>
          <w:tcPr>
            <w:tcW w:w="3493" w:type="pct"/>
            <w:shd w:val="clear" w:color="auto" w:fill="auto"/>
            <w:vAlign w:val="center"/>
          </w:tcPr>
          <w:p w14:paraId="53FD3F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对入库案物品的位置登记和修改，生成对应涉案物品（处理）入库记录；2.支持对案件的涉案物品出库功能，对于因办案需要临时出库的物品需特殊登记；3.支持对临时出库涉案财物回库的核实功能，提供原入库照片供民警核实查验；4.支持仓库内涉案财物的扫码盘点（条码）；支持仓库内涉案财物的手持机盘点（电子标签）；5.支持定制对各类文书、台账的生成、预览、下载、打印功能；6.支持定制各类文书表格，包括《入库登记表》、《出库登记表》，各类《处理登记表》等；7.具备报警功能，当涉案财物在未授权状态下被拿出时，系统会自动进行报警；8.支持对涉案财物的数据进行统计分析，包括各仓库、各区域、各货架、存储物箱存放的物品数量统计；9.支持对月入库、月出库涉案财物数量统计；支持对办案区各类数据的报告生成导出；支持通过图形化工具展示统计数据；10.支持对损毁，变质物品的处置需进行拍摄照片留档；以便追溯。</w:t>
            </w:r>
          </w:p>
        </w:tc>
        <w:tc>
          <w:tcPr>
            <w:tcW w:w="221" w:type="pct"/>
            <w:shd w:val="clear" w:color="auto" w:fill="auto"/>
            <w:noWrap/>
            <w:vAlign w:val="center"/>
          </w:tcPr>
          <w:p w14:paraId="628F08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72F8AE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2FC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3A28F0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346" w:type="pct"/>
            <w:shd w:val="clear" w:color="auto" w:fill="auto"/>
            <w:noWrap/>
            <w:vAlign w:val="center"/>
          </w:tcPr>
          <w:p w14:paraId="51659E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物证管理工作台</w:t>
            </w:r>
          </w:p>
        </w:tc>
        <w:tc>
          <w:tcPr>
            <w:tcW w:w="3493" w:type="pct"/>
            <w:shd w:val="clear" w:color="auto" w:fill="auto"/>
            <w:vAlign w:val="center"/>
          </w:tcPr>
          <w:p w14:paraId="44CE88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1.高度集成电脑、高拍仪、RFID打印机、文档打印机、RFID读写器；2.实现物品登记、借用、归还、入库、出库的操作流程；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现出入库的图片留档；4.实现入库物品信息标签发放；5.实现所有可导出信息的纸质打印工作；6.实现物品进出库的标签快速群读，智能化出入库管理；7.尺寸：1230mm（长）*500mm（宽）*1104mm（高），误差±5%；8.操作电脑：≥4核高性能处理器，内存≥4G，硬盘≥1T，显示屏≥21英寸；9.高拍仪：像素≥500万，拍摄范围A3，色彩≥24位，双USB2.0接口，自带LED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10.文档打印机：分辨率≥600dpi，打印速度≥22页/分钟（A4），激光打印，USB2.0接口；11.RFID条码打印机：分辨率≥300dpi，打印速度≥6 IPS，支持RFID读写，支持一维码、二维码打印，具有RS232串口、10/100M网口、USB2.0接口；12.RFID读写器：嵌入工作台中，支持RFID读写，读写区域≥35mm（长）*30mm（宽）。</w:t>
            </w:r>
          </w:p>
        </w:tc>
        <w:tc>
          <w:tcPr>
            <w:tcW w:w="221" w:type="pct"/>
            <w:shd w:val="clear" w:color="auto" w:fill="auto"/>
            <w:noWrap/>
            <w:vAlign w:val="center"/>
          </w:tcPr>
          <w:p w14:paraId="0B1C3A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DEC12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1EE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3649AE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346" w:type="pct"/>
            <w:shd w:val="clear" w:color="auto" w:fill="auto"/>
            <w:noWrap/>
            <w:vAlign w:val="center"/>
          </w:tcPr>
          <w:p w14:paraId="7DA2DA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RFID手持机</w:t>
            </w:r>
          </w:p>
        </w:tc>
        <w:tc>
          <w:tcPr>
            <w:tcW w:w="3493" w:type="pct"/>
            <w:shd w:val="clear" w:color="auto" w:fill="auto"/>
            <w:vAlign w:val="center"/>
          </w:tcPr>
          <w:p w14:paraId="1841B0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1.跌落：≥1.2米自然跌落；2.WIFI：支持IEEE 802.11b/g/n；3.显示屏：≥4"TFT IP可触液晶显示屏，加厚钢化玻璃≥1mm厚，支持≥10点触摸，支持双击唤醒；4.≥800万像素带自动对焦，并且具备补光功能；5.耳机：支持，3.5mm耳机，支持蓝牙耳机；6.电池容量≥3800mAh。手柄电池≥5000mAh；7.待机：待机电流＜10mA。</w:t>
            </w:r>
          </w:p>
        </w:tc>
        <w:tc>
          <w:tcPr>
            <w:tcW w:w="221" w:type="pct"/>
            <w:shd w:val="clear" w:color="auto" w:fill="auto"/>
            <w:noWrap/>
            <w:vAlign w:val="center"/>
          </w:tcPr>
          <w:p w14:paraId="00CE3C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8" w:type="pct"/>
            <w:shd w:val="clear" w:color="auto" w:fill="auto"/>
            <w:noWrap/>
            <w:vAlign w:val="center"/>
          </w:tcPr>
          <w:p w14:paraId="2A4004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26A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0BFEB5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346" w:type="pct"/>
            <w:shd w:val="clear" w:color="auto" w:fill="auto"/>
            <w:noWrap/>
            <w:vAlign w:val="center"/>
          </w:tcPr>
          <w:p w14:paraId="761B76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RFID读写器</w:t>
            </w:r>
          </w:p>
        </w:tc>
        <w:tc>
          <w:tcPr>
            <w:tcW w:w="3493" w:type="pct"/>
            <w:shd w:val="clear" w:color="auto" w:fill="auto"/>
            <w:vAlign w:val="center"/>
          </w:tcPr>
          <w:p w14:paraId="6B8FB49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电源输入：DC12V，1.5A；内存：≥128MB；Flash：≥16MB；湿度：10-85%，不结露；操作系统：Linux；开发接口：XML 或二进制流</w:t>
            </w:r>
          </w:p>
        </w:tc>
        <w:tc>
          <w:tcPr>
            <w:tcW w:w="221" w:type="pct"/>
            <w:shd w:val="clear" w:color="auto" w:fill="auto"/>
            <w:noWrap/>
            <w:vAlign w:val="center"/>
          </w:tcPr>
          <w:p w14:paraId="09DCF0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47CB51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DAD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4C35D0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346" w:type="pct"/>
            <w:shd w:val="clear" w:color="auto" w:fill="auto"/>
            <w:noWrap/>
            <w:vAlign w:val="center"/>
          </w:tcPr>
          <w:p w14:paraId="438AEB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声光报警器</w:t>
            </w:r>
          </w:p>
        </w:tc>
        <w:tc>
          <w:tcPr>
            <w:tcW w:w="3493" w:type="pct"/>
            <w:shd w:val="clear" w:color="auto" w:fill="auto"/>
            <w:vAlign w:val="center"/>
          </w:tcPr>
          <w:p w14:paraId="4E6A03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声光报警器；12VDC 压电警号；防火ABS阻燃外壳</w:t>
            </w:r>
          </w:p>
        </w:tc>
        <w:tc>
          <w:tcPr>
            <w:tcW w:w="221" w:type="pct"/>
            <w:shd w:val="clear" w:color="auto" w:fill="auto"/>
            <w:noWrap/>
            <w:vAlign w:val="center"/>
          </w:tcPr>
          <w:p w14:paraId="3D171A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463A22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B33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A39BE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346" w:type="pct"/>
            <w:shd w:val="clear" w:color="auto" w:fill="auto"/>
            <w:noWrap/>
            <w:vAlign w:val="center"/>
          </w:tcPr>
          <w:p w14:paraId="7F756C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普通材质RFID标签</w:t>
            </w:r>
          </w:p>
        </w:tc>
        <w:tc>
          <w:tcPr>
            <w:tcW w:w="3493" w:type="pct"/>
            <w:shd w:val="clear" w:color="auto" w:fill="auto"/>
            <w:vAlign w:val="center"/>
          </w:tcPr>
          <w:p w14:paraId="761FED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工作频率：860-960 MHz；普通物品采用此类标签；100张/卷，最小单位为1卷</w:t>
            </w:r>
          </w:p>
        </w:tc>
        <w:tc>
          <w:tcPr>
            <w:tcW w:w="221" w:type="pct"/>
            <w:shd w:val="clear" w:color="auto" w:fill="auto"/>
            <w:noWrap/>
            <w:vAlign w:val="center"/>
          </w:tcPr>
          <w:p w14:paraId="6B6FAB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7094FA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4EFB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57CC96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346" w:type="pct"/>
            <w:shd w:val="clear" w:color="auto" w:fill="auto"/>
            <w:noWrap/>
            <w:vAlign w:val="center"/>
          </w:tcPr>
          <w:p w14:paraId="7C8B33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金属或液体类RFID标签</w:t>
            </w:r>
          </w:p>
        </w:tc>
        <w:tc>
          <w:tcPr>
            <w:tcW w:w="3493" w:type="pct"/>
            <w:shd w:val="clear" w:color="auto" w:fill="auto"/>
            <w:vAlign w:val="center"/>
          </w:tcPr>
          <w:p w14:paraId="2D93F6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工作频率：860-960 MHz；金属材质物品，或者是液体类物品，采用此类标签</w:t>
            </w:r>
          </w:p>
        </w:tc>
        <w:tc>
          <w:tcPr>
            <w:tcW w:w="221" w:type="pct"/>
            <w:shd w:val="clear" w:color="auto" w:fill="auto"/>
            <w:noWrap/>
            <w:vAlign w:val="center"/>
          </w:tcPr>
          <w:p w14:paraId="309673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794593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4018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253193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346" w:type="pct"/>
            <w:shd w:val="clear" w:color="auto" w:fill="auto"/>
            <w:noWrap/>
            <w:vAlign w:val="center"/>
          </w:tcPr>
          <w:p w14:paraId="65FFE1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无黏贴位置类RFID标签</w:t>
            </w:r>
          </w:p>
        </w:tc>
        <w:tc>
          <w:tcPr>
            <w:tcW w:w="3493" w:type="pct"/>
            <w:shd w:val="clear" w:color="auto" w:fill="auto"/>
            <w:vAlign w:val="center"/>
          </w:tcPr>
          <w:p w14:paraId="5BB52F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工作频率：860-960 MHz；异型物品无标签粘贴位置的，采用此类标签</w:t>
            </w:r>
          </w:p>
        </w:tc>
        <w:tc>
          <w:tcPr>
            <w:tcW w:w="221" w:type="pct"/>
            <w:shd w:val="clear" w:color="auto" w:fill="auto"/>
            <w:noWrap/>
            <w:vAlign w:val="center"/>
          </w:tcPr>
          <w:p w14:paraId="3CF4CE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3F2156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79E6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525C5D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46" w:type="pct"/>
            <w:shd w:val="clear" w:color="auto" w:fill="auto"/>
            <w:noWrap/>
            <w:vAlign w:val="center"/>
          </w:tcPr>
          <w:p w14:paraId="7CB230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登记坐具</w:t>
            </w:r>
          </w:p>
        </w:tc>
        <w:tc>
          <w:tcPr>
            <w:tcW w:w="3493" w:type="pct"/>
            <w:shd w:val="clear" w:color="auto" w:fill="auto"/>
            <w:vAlign w:val="center"/>
          </w:tcPr>
          <w:p w14:paraId="36F7AE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shd w:val="clear" w:color="auto" w:fill="auto"/>
            <w:noWrap/>
            <w:vAlign w:val="center"/>
          </w:tcPr>
          <w:p w14:paraId="4E3481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202260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060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454A68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 </w:t>
            </w:r>
          </w:p>
        </w:tc>
        <w:tc>
          <w:tcPr>
            <w:tcW w:w="346" w:type="pct"/>
            <w:shd w:val="clear" w:color="auto" w:fill="auto"/>
            <w:noWrap/>
            <w:vAlign w:val="center"/>
          </w:tcPr>
          <w:p w14:paraId="59FE71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3298B3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72A126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2545F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038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33D5F0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840" w:type="pct"/>
            <w:gridSpan w:val="2"/>
            <w:shd w:val="clear" w:color="auto" w:fill="auto"/>
            <w:noWrap/>
            <w:vAlign w:val="center"/>
          </w:tcPr>
          <w:p w14:paraId="1BD9D9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特殊涉案财物保管室</w:t>
            </w:r>
          </w:p>
        </w:tc>
        <w:tc>
          <w:tcPr>
            <w:tcW w:w="221" w:type="pct"/>
            <w:shd w:val="clear" w:color="auto" w:fill="auto"/>
            <w:noWrap/>
            <w:vAlign w:val="center"/>
          </w:tcPr>
          <w:p w14:paraId="21B27A3B">
            <w:pPr>
              <w:jc w:val="both"/>
              <w:rPr>
                <w:rFonts w:hint="eastAsia" w:ascii="宋体" w:hAnsi="宋体" w:eastAsia="宋体" w:cs="宋体"/>
                <w:i w:val="0"/>
                <w:iCs w:val="0"/>
                <w:color w:val="000000"/>
                <w:sz w:val="22"/>
                <w:szCs w:val="22"/>
                <w:u w:val="none"/>
              </w:rPr>
            </w:pPr>
          </w:p>
        </w:tc>
        <w:tc>
          <w:tcPr>
            <w:tcW w:w="428" w:type="pct"/>
            <w:shd w:val="clear" w:color="auto" w:fill="auto"/>
            <w:noWrap/>
            <w:vAlign w:val="center"/>
          </w:tcPr>
          <w:p w14:paraId="4606CAB2">
            <w:pPr>
              <w:jc w:val="both"/>
              <w:rPr>
                <w:rFonts w:hint="eastAsia" w:ascii="宋体" w:hAnsi="宋体" w:eastAsia="宋体" w:cs="宋体"/>
                <w:i w:val="0"/>
                <w:iCs w:val="0"/>
                <w:color w:val="000000"/>
                <w:sz w:val="22"/>
                <w:szCs w:val="22"/>
                <w:u w:val="none"/>
              </w:rPr>
            </w:pPr>
          </w:p>
        </w:tc>
      </w:tr>
      <w:tr w14:paraId="3F92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3FC159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6" w:type="pct"/>
            <w:shd w:val="clear" w:color="auto" w:fill="auto"/>
            <w:noWrap/>
            <w:vAlign w:val="center"/>
          </w:tcPr>
          <w:p w14:paraId="5312ED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物证柜主柜</w:t>
            </w:r>
          </w:p>
        </w:tc>
        <w:tc>
          <w:tcPr>
            <w:tcW w:w="3493" w:type="pct"/>
            <w:shd w:val="clear" w:color="auto" w:fill="auto"/>
            <w:vAlign w:val="center"/>
          </w:tcPr>
          <w:p w14:paraId="23645A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门数：≥9门 ；屏幕：≥17寸液晶触摸屏；指纹仪：认假率：≤ 0.0001%；拒真率：≤ 0.01%；材料：符合SPCC冷轧碳钢板，厚度≥1.0mm；锁具：独立电控锁，机械应急锁；协议：TCP/IP协议、WebSocket协议、WebService协议；操控方式：通过网络通信接口进行控制；输入电源：交流AC220V；功率：≤30W；工作环境：工作温度：0℃～+60℃；工作湿度：10％～90％，无凝露；存储温度：--40℃～85℃</w:t>
            </w:r>
          </w:p>
        </w:tc>
        <w:tc>
          <w:tcPr>
            <w:tcW w:w="221" w:type="pct"/>
            <w:shd w:val="clear" w:color="auto" w:fill="auto"/>
            <w:noWrap/>
            <w:vAlign w:val="center"/>
          </w:tcPr>
          <w:p w14:paraId="5461DB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3CDA03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B55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9" w:type="pct"/>
            <w:shd w:val="clear" w:color="auto" w:fill="auto"/>
            <w:noWrap/>
            <w:vAlign w:val="center"/>
          </w:tcPr>
          <w:p w14:paraId="7E6B48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6" w:type="pct"/>
            <w:shd w:val="clear" w:color="auto" w:fill="auto"/>
            <w:noWrap/>
            <w:vAlign w:val="center"/>
          </w:tcPr>
          <w:p w14:paraId="161503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物证柜副柜</w:t>
            </w:r>
          </w:p>
        </w:tc>
        <w:tc>
          <w:tcPr>
            <w:tcW w:w="3493" w:type="pct"/>
            <w:shd w:val="clear" w:color="auto" w:fill="auto"/>
            <w:vAlign w:val="center"/>
          </w:tcPr>
          <w:p w14:paraId="398256A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门数：≥10门 ；材料：符合SPCC冷轧碳钢板，厚度≥1.0mm；锁具：独立电控锁，机械应急锁；协议：TCP/IP协议、WebSocket协议、WebService协议；操控方式：通过网络通信接口进行控制；输入电源：交流AC220V；功率：≤15W；工作环境 工作温度：0℃～+60℃；工作湿度：10％～90％，无凝露；存储温度：--40℃～85℃；接  口：RS485</w:t>
            </w:r>
          </w:p>
        </w:tc>
        <w:tc>
          <w:tcPr>
            <w:tcW w:w="221" w:type="pct"/>
            <w:shd w:val="clear" w:color="auto" w:fill="auto"/>
            <w:noWrap/>
            <w:vAlign w:val="center"/>
          </w:tcPr>
          <w:p w14:paraId="572977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9F669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3FAE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6BD12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6" w:type="pct"/>
            <w:shd w:val="clear" w:color="auto" w:fill="auto"/>
            <w:noWrap/>
            <w:vAlign w:val="center"/>
          </w:tcPr>
          <w:p w14:paraId="5C1CC5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保鲜柜</w:t>
            </w:r>
          </w:p>
        </w:tc>
        <w:tc>
          <w:tcPr>
            <w:tcW w:w="3493" w:type="pct"/>
            <w:shd w:val="clear" w:color="auto" w:fill="auto"/>
            <w:vAlign w:val="center"/>
          </w:tcPr>
          <w:p w14:paraId="24BA73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真铜制冷360°万向轮；机身材质 ；201不锈钢 ；产品尺寸 层架数量 ；1200*700*1885mm535*520(6个)；制冷类型 温度范围 ；四门冷藏 0~10℃</w:t>
            </w:r>
          </w:p>
        </w:tc>
        <w:tc>
          <w:tcPr>
            <w:tcW w:w="221" w:type="pct"/>
            <w:shd w:val="clear" w:color="auto" w:fill="auto"/>
            <w:noWrap/>
            <w:vAlign w:val="center"/>
          </w:tcPr>
          <w:p w14:paraId="7DB705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DC2CD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215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6A6099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6" w:type="pct"/>
            <w:shd w:val="clear" w:color="auto" w:fill="auto"/>
            <w:noWrap/>
            <w:vAlign w:val="center"/>
          </w:tcPr>
          <w:p w14:paraId="1953D3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w:t>
            </w:r>
          </w:p>
        </w:tc>
        <w:tc>
          <w:tcPr>
            <w:tcW w:w="3493" w:type="pct"/>
            <w:shd w:val="clear" w:color="auto" w:fill="auto"/>
            <w:vAlign w:val="center"/>
          </w:tcPr>
          <w:p w14:paraId="474A5B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八门保密柜颜色:灰白色锁具:电子密码锁；电子密码锁；≥高1850mm宽900mm深420mm</w:t>
            </w:r>
          </w:p>
        </w:tc>
        <w:tc>
          <w:tcPr>
            <w:tcW w:w="221" w:type="pct"/>
            <w:shd w:val="clear" w:color="auto" w:fill="auto"/>
            <w:noWrap/>
            <w:vAlign w:val="center"/>
          </w:tcPr>
          <w:p w14:paraId="7A4CAF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0494DE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FBB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noWrap/>
            <w:vAlign w:val="center"/>
          </w:tcPr>
          <w:p w14:paraId="330C9D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6" w:type="pct"/>
            <w:shd w:val="clear" w:color="auto" w:fill="auto"/>
            <w:noWrap/>
            <w:vAlign w:val="center"/>
          </w:tcPr>
          <w:p w14:paraId="02875E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冷藏柜</w:t>
            </w:r>
          </w:p>
        </w:tc>
        <w:tc>
          <w:tcPr>
            <w:tcW w:w="3493" w:type="pct"/>
            <w:shd w:val="clear" w:color="auto" w:fill="auto"/>
            <w:vAlign w:val="center"/>
          </w:tcPr>
          <w:p w14:paraId="383D6B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尺寸（mm）：≥1200*700*1885；容量：≥500L 以上；冷藏容积（L）：≥802；温区：单温区；控温方式：机械控温；制冷方式：直冷；开门方式：侧开门放置方式：立式</w:t>
            </w:r>
          </w:p>
        </w:tc>
        <w:tc>
          <w:tcPr>
            <w:tcW w:w="221" w:type="pct"/>
            <w:shd w:val="clear" w:color="auto" w:fill="auto"/>
            <w:noWrap/>
            <w:vAlign w:val="center"/>
          </w:tcPr>
          <w:p w14:paraId="4065BD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43E1C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68E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1375B8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6" w:type="pct"/>
            <w:shd w:val="clear" w:color="auto" w:fill="auto"/>
            <w:noWrap/>
            <w:vAlign w:val="center"/>
          </w:tcPr>
          <w:p w14:paraId="25D002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防磁柜</w:t>
            </w:r>
          </w:p>
        </w:tc>
        <w:tc>
          <w:tcPr>
            <w:tcW w:w="3493" w:type="pct"/>
            <w:shd w:val="clear" w:color="auto" w:fill="auto"/>
            <w:vAlign w:val="center"/>
          </w:tcPr>
          <w:p w14:paraId="23C25A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防磁信息安全柜：防磁/防潮/防火/防静电；规格:≥1520x700x500mm</w:t>
            </w:r>
          </w:p>
        </w:tc>
        <w:tc>
          <w:tcPr>
            <w:tcW w:w="221" w:type="pct"/>
            <w:shd w:val="clear" w:color="auto" w:fill="auto"/>
            <w:noWrap/>
            <w:vAlign w:val="center"/>
          </w:tcPr>
          <w:p w14:paraId="03BDE3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265A9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B24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0" w:hRule="atLeast"/>
        </w:trPr>
        <w:tc>
          <w:tcPr>
            <w:tcW w:w="509" w:type="pct"/>
            <w:shd w:val="clear" w:color="auto" w:fill="auto"/>
            <w:noWrap/>
            <w:vAlign w:val="center"/>
          </w:tcPr>
          <w:p w14:paraId="12BFEF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6" w:type="pct"/>
            <w:shd w:val="clear" w:color="auto" w:fill="auto"/>
            <w:noWrap/>
            <w:vAlign w:val="center"/>
          </w:tcPr>
          <w:p w14:paraId="2949F5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冷冻柜</w:t>
            </w:r>
          </w:p>
        </w:tc>
        <w:tc>
          <w:tcPr>
            <w:tcW w:w="3493" w:type="pct"/>
            <w:shd w:val="clear" w:color="auto" w:fill="auto"/>
            <w:vAlign w:val="center"/>
          </w:tcPr>
          <w:p w14:paraId="24CD31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环境温度16~32℃，环境湿度：20~80%RH，电压：198~242V，频率：(50±1)Hz。2.样式：立式，上下双门。3.有效容积（L）：至少满足289(冷藏186L、冷冻103L)。4.外部尺寸（宽*深*高mm）：至少满足700*640*1845。5.内部尺寸（宽*深*高mm）：上室冷藏室至少满足600*510*710，下室冷冻室至少满足500*460*505。6.净重/毛重（KG）：≤146/160。7.箱体材料：优质结构钢板，经先进防腐磷化、喷涂工艺。8.内胆材料：冷藏室、冷冻室均为SUS304不锈钢板。9.保温材料：无CFC聚氨酯发泡。10.压缩机：采用高效压缩机，品牌风扇电机，节能高效、静音。11.高精度微电脑温度控制系统，内置上、下室显示控制报警、环境温度、蒸发器温度等传感器，确保运行状态安全稳定。12.1英寸高亮度数码温度显示，上室冷藏室可通过设定使箱内温度保持在2℃～8℃范围内，下室冷冻室可通过设定使箱内温度保持在-10℃～-40℃范围内，显示精度0.1℃。13.双压缩机双系统，上冷藏室和下冷冻室可独立控制运行，其中一个出现故障不影响另外一个正常运行使用。14.冷藏强制风循环，箱内多个出风口，确保箱体内部温度均匀性保持在±2℃。15.搭载DC/DC电源管理模块，节能效率大幅提升；电压控制精度高，电压和整机性能稳定；冗余热量少，杜绝过热安全隐患。16.完善的声光报警功能：具有高温、低温、传感器故障、开门、断电报警等多种功能。开门持续1分钟，蜂鸣报警，门关闭报警消除。17.报警模式：声音蜂鸣、报警代码3秒/次间隔闪烁，物品存放更安全。18.当上、下室显示控制/报警传感器发生故障时，压缩机以正常开停规律运行，确保物品存储安全。19.视窗防凝露：电加热+LOW-E，双重保障。20.冷藏发泡门体厚度达67mm，冷冻门体厚度达到90mm，冷冻箱体发泡层厚度达到100mm。21.冷藏视窗玻璃电加热模式：自动加热模式、一直加热模式、关闭模式。22.标配USB数据导出接口，接入U盘可自动存储当月及上月数据，数据输出PDF格式（中英文格式可选），最大存储条数100000条，最大存储时限48年。U盘持续连接可自动持续存储温度数据。蓄电池可提供不少于24小时报警及为温度记录打印机、USB端口供电。23.上下间室独立外挂锁，防止随意开启，保证样本存储安全。24.带状LED照明系统，箱体内部一目了然。2.25、箱体标配两个测试孔，冷藏冷冻各一个</w:t>
            </w:r>
          </w:p>
        </w:tc>
        <w:tc>
          <w:tcPr>
            <w:tcW w:w="221" w:type="pct"/>
            <w:shd w:val="clear" w:color="auto" w:fill="auto"/>
            <w:noWrap/>
            <w:vAlign w:val="center"/>
          </w:tcPr>
          <w:p w14:paraId="48A8C7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482355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8ED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noWrap/>
            <w:vAlign w:val="center"/>
          </w:tcPr>
          <w:p w14:paraId="3C1F68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6" w:type="pct"/>
            <w:shd w:val="clear" w:color="auto" w:fill="auto"/>
            <w:noWrap/>
            <w:vAlign w:val="center"/>
          </w:tcPr>
          <w:p w14:paraId="74FDD0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便携式恒温箱</w:t>
            </w:r>
          </w:p>
        </w:tc>
        <w:tc>
          <w:tcPr>
            <w:tcW w:w="3493" w:type="pct"/>
            <w:shd w:val="clear" w:color="auto" w:fill="auto"/>
            <w:vAlign w:val="center"/>
          </w:tcPr>
          <w:p w14:paraId="48811D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结构为立式箱体。主体分为四部分：电气控制系统，制冷系统、制热系统、显示系统。2、箱体内部采用高密度聚氨酯整体发泡，具有重量轻、保温性能好等特点。3、适合高温高湿地区，外门防凝露技术的应用，85%湿度无凝露。4、智能电脑温度控制器，数码显示、控温精度高。具有高低温报警、温感器故障报警和安全锁功能，防止出现意外。5、精准温感探头，自动显示箱体内部温度，便于随时观察箱体内温度变化。6、采用新型风道设计，多孔入风使箱体内温度更均匀。温度偏差范围小。7、制冷系统与制热系统匹配合理，采用强制空气循环，确保箱体内整体恒温无死角。降温或制热速度快，设定的温度在短时间里，即可达到设置温度要求。8、使用三层高强度中空玻璃，中间层为真空处理，保温效果好，透明度高，便于随时观察箱体内部存放的物品。9、采用新型全封闭压缩机，运转平衡，噪音低，使用寿命长。10、此产品为嵌入式恒温箱，可将产品直接嵌入在壁橱或墙壁中，不占用多余空间。11、箱体采用优质钢板，内部搁架可随意调整，便于存放不同物品。箱体内部具备照明设施，方便夜间观察储存的物品。</w:t>
            </w:r>
          </w:p>
        </w:tc>
        <w:tc>
          <w:tcPr>
            <w:tcW w:w="221" w:type="pct"/>
            <w:shd w:val="clear" w:color="auto" w:fill="auto"/>
            <w:noWrap/>
            <w:vAlign w:val="center"/>
          </w:tcPr>
          <w:p w14:paraId="501C4C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1A2303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49A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noWrap/>
            <w:vAlign w:val="center"/>
          </w:tcPr>
          <w:p w14:paraId="59DBA6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6" w:type="pct"/>
            <w:shd w:val="clear" w:color="auto" w:fill="auto"/>
            <w:noWrap/>
            <w:vAlign w:val="center"/>
          </w:tcPr>
          <w:p w14:paraId="1578F4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报警设备</w:t>
            </w:r>
          </w:p>
        </w:tc>
        <w:tc>
          <w:tcPr>
            <w:tcW w:w="3493" w:type="pct"/>
            <w:shd w:val="clear" w:color="auto" w:fill="auto"/>
            <w:vAlign w:val="center"/>
          </w:tcPr>
          <w:p w14:paraId="3123C4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shd w:val="clear" w:color="auto" w:fill="auto"/>
            <w:noWrap/>
            <w:vAlign w:val="center"/>
          </w:tcPr>
          <w:p w14:paraId="7C14EE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1772A7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B7B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noWrap/>
            <w:vAlign w:val="center"/>
          </w:tcPr>
          <w:p w14:paraId="6A2EC50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4490" w:type="pct"/>
            <w:gridSpan w:val="4"/>
            <w:shd w:val="clear" w:color="auto" w:fill="auto"/>
            <w:noWrap/>
            <w:vAlign w:val="center"/>
          </w:tcPr>
          <w:p w14:paraId="42B8F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执法办案管理中心配套设施建设</w:t>
            </w:r>
          </w:p>
        </w:tc>
      </w:tr>
      <w:tr w14:paraId="1D27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vAlign w:val="center"/>
          </w:tcPr>
          <w:p w14:paraId="58F65A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 w:type="pct"/>
            <w:shd w:val="clear" w:color="auto" w:fill="auto"/>
            <w:noWrap/>
            <w:vAlign w:val="center"/>
          </w:tcPr>
          <w:p w14:paraId="1513B9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智慧新风现场管理软件基础模块</w:t>
            </w:r>
          </w:p>
        </w:tc>
        <w:tc>
          <w:tcPr>
            <w:tcW w:w="3493" w:type="pct"/>
            <w:shd w:val="clear" w:color="auto" w:fill="auto"/>
            <w:vAlign w:val="center"/>
          </w:tcPr>
          <w:p w14:paraId="07330C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慧空间控制中心；2.支持云端后台，远程控制中心；3.支持手机APP查看数据，远程控制；4.可PC端查看数据，远程控制；5.多层级架构管理，账号权限划分；6.支持数据上传至智慧云平台，可以提供API接口到客户指定的监管平台；7.软件厂商符合智慧管理系统ISO9001质量管理体系认证，ISO14001环境管理体系，ISO45001职业健康安全管理体系；8.软件厂商需具备知识产权管理体系认证证书，信息安全管理体系认证证书，信息服务技术管理体系证书；9.为确保整套系统的稳定性，智慧新风现场管理软件须和前端传感器、物联网新风净化系统、终端设备、组件等为同一厂商产品；10.需提供生产厂商出具的销售和技术授权</w:t>
            </w:r>
          </w:p>
        </w:tc>
        <w:tc>
          <w:tcPr>
            <w:tcW w:w="221" w:type="pct"/>
            <w:shd w:val="clear" w:color="auto" w:fill="auto"/>
            <w:noWrap/>
            <w:vAlign w:val="center"/>
          </w:tcPr>
          <w:p w14:paraId="716A0D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5D8CD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348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509" w:type="pct"/>
            <w:shd w:val="clear" w:color="auto" w:fill="auto"/>
            <w:vAlign w:val="center"/>
          </w:tcPr>
          <w:p w14:paraId="4B08F56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 w:type="pct"/>
            <w:shd w:val="clear" w:color="auto" w:fill="auto"/>
            <w:noWrap/>
            <w:vAlign w:val="center"/>
          </w:tcPr>
          <w:p w14:paraId="61EB1C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智慧新风现场管理软件数据展示模块</w:t>
            </w:r>
          </w:p>
        </w:tc>
        <w:tc>
          <w:tcPr>
            <w:tcW w:w="3493" w:type="pct"/>
            <w:shd w:val="clear" w:color="auto" w:fill="auto"/>
            <w:vAlign w:val="center"/>
          </w:tcPr>
          <w:p w14:paraId="7B65E5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1.支持根据平面图设计体现空间状态、环境数据，报警等数据实时显示；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2.支持实时显示天气预报，可播放视频和图片；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3.支持3D模型对接,动态呈现相关数据</w:t>
            </w:r>
          </w:p>
        </w:tc>
        <w:tc>
          <w:tcPr>
            <w:tcW w:w="221" w:type="pct"/>
            <w:shd w:val="clear" w:color="auto" w:fill="auto"/>
            <w:noWrap/>
            <w:vAlign w:val="center"/>
          </w:tcPr>
          <w:p w14:paraId="449652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3CB58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414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vAlign w:val="center"/>
          </w:tcPr>
          <w:p w14:paraId="36EF67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6" w:type="pct"/>
            <w:shd w:val="clear" w:color="auto" w:fill="auto"/>
            <w:noWrap/>
            <w:vAlign w:val="center"/>
          </w:tcPr>
          <w:p w14:paraId="5FC1D4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设备云接入路数授权</w:t>
            </w:r>
          </w:p>
        </w:tc>
        <w:tc>
          <w:tcPr>
            <w:tcW w:w="3493" w:type="pct"/>
            <w:shd w:val="clear" w:color="auto" w:fill="auto"/>
            <w:vAlign w:val="center"/>
          </w:tcPr>
          <w:p w14:paraId="681B21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传感器、新风净化系统、终端设备、组件等接入路数授权</w:t>
            </w:r>
          </w:p>
        </w:tc>
        <w:tc>
          <w:tcPr>
            <w:tcW w:w="221" w:type="pct"/>
            <w:shd w:val="clear" w:color="auto" w:fill="auto"/>
            <w:noWrap/>
            <w:vAlign w:val="center"/>
          </w:tcPr>
          <w:p w14:paraId="0ADF06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428" w:type="pct"/>
            <w:shd w:val="clear" w:color="auto" w:fill="auto"/>
            <w:noWrap/>
            <w:vAlign w:val="center"/>
          </w:tcPr>
          <w:p w14:paraId="07FA4B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0ED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094894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6" w:type="pct"/>
            <w:shd w:val="clear" w:color="auto" w:fill="auto"/>
            <w:noWrap/>
            <w:vAlign w:val="center"/>
          </w:tcPr>
          <w:p w14:paraId="06D6FA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手机端APP授权</w:t>
            </w:r>
          </w:p>
        </w:tc>
        <w:tc>
          <w:tcPr>
            <w:tcW w:w="3493" w:type="pct"/>
            <w:shd w:val="clear" w:color="auto" w:fill="auto"/>
            <w:vAlign w:val="center"/>
          </w:tcPr>
          <w:p w14:paraId="411B02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手机端APP授权</w:t>
            </w:r>
          </w:p>
        </w:tc>
        <w:tc>
          <w:tcPr>
            <w:tcW w:w="221" w:type="pct"/>
            <w:shd w:val="clear" w:color="auto" w:fill="auto"/>
            <w:noWrap/>
            <w:vAlign w:val="center"/>
          </w:tcPr>
          <w:p w14:paraId="6EB04C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039ABD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r>
      <w:tr w14:paraId="6D0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vAlign w:val="center"/>
          </w:tcPr>
          <w:p w14:paraId="09DFC9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6" w:type="pct"/>
            <w:shd w:val="clear" w:color="auto" w:fill="auto"/>
            <w:noWrap/>
            <w:vAlign w:val="center"/>
          </w:tcPr>
          <w:p w14:paraId="628B6A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建筑空间及新风系统点位3D建模</w:t>
            </w:r>
          </w:p>
        </w:tc>
        <w:tc>
          <w:tcPr>
            <w:tcW w:w="3493" w:type="pct"/>
            <w:shd w:val="clear" w:color="auto" w:fill="auto"/>
            <w:vAlign w:val="center"/>
          </w:tcPr>
          <w:p w14:paraId="7FE13F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根据现场建筑空间及新风系统布局，定制3D模型，并支持与智慧新风现场管理软件对接，动态呈现相关数据。</w:t>
            </w:r>
          </w:p>
        </w:tc>
        <w:tc>
          <w:tcPr>
            <w:tcW w:w="221" w:type="pct"/>
            <w:shd w:val="clear" w:color="auto" w:fill="auto"/>
            <w:noWrap/>
            <w:vAlign w:val="center"/>
          </w:tcPr>
          <w:p w14:paraId="3B4704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365447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CDB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338B01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6" w:type="pct"/>
            <w:shd w:val="clear" w:color="auto" w:fill="auto"/>
            <w:noWrap/>
            <w:vAlign w:val="center"/>
          </w:tcPr>
          <w:p w14:paraId="16A42F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控制PC</w:t>
            </w:r>
          </w:p>
        </w:tc>
        <w:tc>
          <w:tcPr>
            <w:tcW w:w="3493" w:type="pct"/>
            <w:shd w:val="clear" w:color="auto" w:fill="auto"/>
            <w:vAlign w:val="center"/>
          </w:tcPr>
          <w:p w14:paraId="6BF2CC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处理器（CPU）：高性能处理器；内存：16GB(8G×2)套装 DDR4；硬盘：256+1T；显卡：4G独显；显示器：24英寸；</w:t>
            </w:r>
          </w:p>
        </w:tc>
        <w:tc>
          <w:tcPr>
            <w:tcW w:w="221" w:type="pct"/>
            <w:shd w:val="clear" w:color="auto" w:fill="auto"/>
            <w:noWrap/>
            <w:vAlign w:val="center"/>
          </w:tcPr>
          <w:p w14:paraId="67CD1A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3C6E18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F1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09" w:type="pct"/>
            <w:shd w:val="clear" w:color="auto" w:fill="auto"/>
            <w:vAlign w:val="center"/>
          </w:tcPr>
          <w:p w14:paraId="1C77C1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6" w:type="pct"/>
            <w:shd w:val="clear" w:color="auto" w:fill="auto"/>
            <w:noWrap/>
            <w:vAlign w:val="center"/>
          </w:tcPr>
          <w:p w14:paraId="460D80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外置式房间人体感应器</w:t>
            </w:r>
          </w:p>
        </w:tc>
        <w:tc>
          <w:tcPr>
            <w:tcW w:w="3493" w:type="pct"/>
            <w:shd w:val="clear" w:color="auto" w:fill="auto"/>
            <w:vAlign w:val="center"/>
          </w:tcPr>
          <w:p w14:paraId="4C3BD6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1.60G毫米波雷达检测传感器， 1patch；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2.夹角120°，水平测量距离8米；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3.蓝牙通信，可加入蓝牙组网；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电源：5V/2A；</w:t>
            </w:r>
          </w:p>
        </w:tc>
        <w:tc>
          <w:tcPr>
            <w:tcW w:w="221" w:type="pct"/>
            <w:shd w:val="clear" w:color="auto" w:fill="auto"/>
            <w:noWrap/>
            <w:vAlign w:val="center"/>
          </w:tcPr>
          <w:p w14:paraId="0C1790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DCF8C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r>
      <w:tr w14:paraId="1D96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509" w:type="pct"/>
            <w:shd w:val="clear" w:color="auto" w:fill="auto"/>
            <w:vAlign w:val="center"/>
          </w:tcPr>
          <w:p w14:paraId="312994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6" w:type="pct"/>
            <w:shd w:val="clear" w:color="auto" w:fill="auto"/>
            <w:noWrap/>
            <w:vAlign w:val="center"/>
          </w:tcPr>
          <w:p w14:paraId="67940B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智慧显示大屏</w:t>
            </w:r>
          </w:p>
        </w:tc>
        <w:tc>
          <w:tcPr>
            <w:tcW w:w="3493" w:type="pct"/>
            <w:shd w:val="clear" w:color="auto" w:fill="auto"/>
            <w:vAlign w:val="center"/>
          </w:tcPr>
          <w:p w14:paraId="7EF52F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1.工业显示屏，持1080P视频解码；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2.360度UI旋转；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3.滚动字幕，定时开关；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5.支持WiFi，以太网，蓝牙组网；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6.700流明高亮；</w:t>
            </w:r>
          </w:p>
        </w:tc>
        <w:tc>
          <w:tcPr>
            <w:tcW w:w="221" w:type="pct"/>
            <w:shd w:val="clear" w:color="auto" w:fill="auto"/>
            <w:noWrap/>
            <w:vAlign w:val="center"/>
          </w:tcPr>
          <w:p w14:paraId="1F1049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9C36E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2698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9" w:type="pct"/>
            <w:shd w:val="clear" w:color="auto" w:fill="auto"/>
            <w:vAlign w:val="center"/>
          </w:tcPr>
          <w:p w14:paraId="06FE46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6" w:type="pct"/>
            <w:shd w:val="clear" w:color="auto" w:fill="auto"/>
            <w:noWrap/>
            <w:vAlign w:val="center"/>
          </w:tcPr>
          <w:p w14:paraId="0717716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联网信号中继器</w:t>
            </w:r>
          </w:p>
        </w:tc>
        <w:tc>
          <w:tcPr>
            <w:tcW w:w="3493" w:type="pct"/>
            <w:shd w:val="clear" w:color="auto" w:fill="auto"/>
            <w:vAlign w:val="center"/>
          </w:tcPr>
          <w:p w14:paraId="3CB109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1.蓝牙mesh信号中继节点，信号强度可达到-1dBm；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2.扩大蓝牙通信距离，空旷情况下覆盖距离最远20米；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3.可在高低温循环环境下使用，须提供第三方检测报告并加盖厂商公章；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4.需提供生产厂商出具的销售和技术授权；</w:t>
            </w:r>
          </w:p>
        </w:tc>
        <w:tc>
          <w:tcPr>
            <w:tcW w:w="221" w:type="pct"/>
            <w:shd w:val="clear" w:color="auto" w:fill="auto"/>
            <w:noWrap/>
            <w:vAlign w:val="center"/>
          </w:tcPr>
          <w:p w14:paraId="38C894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7B366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r>
      <w:tr w14:paraId="5888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509" w:type="pct"/>
            <w:shd w:val="clear" w:color="auto" w:fill="auto"/>
            <w:vAlign w:val="center"/>
          </w:tcPr>
          <w:p w14:paraId="1C0237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46" w:type="pct"/>
            <w:shd w:val="clear" w:color="auto" w:fill="auto"/>
            <w:noWrap/>
            <w:vAlign w:val="center"/>
          </w:tcPr>
          <w:p w14:paraId="2A1E55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物联网新风净化系统</w:t>
            </w:r>
          </w:p>
        </w:tc>
        <w:tc>
          <w:tcPr>
            <w:tcW w:w="3493" w:type="pct"/>
            <w:shd w:val="clear" w:color="auto" w:fill="auto"/>
            <w:vAlign w:val="center"/>
          </w:tcPr>
          <w:p w14:paraId="7E7B8E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1.高效能量回收全热交换管道风机；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2.145mm风管，DC电机，吊顶式安装；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3.恒风量控制系统；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甲醛，TVOC，氨气，硫化氢等有害气体可被快速分解，初滤网结合HEPA以及蜂窝活性炭三重过滤；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RS485标准化接口，物联网支持4g上传数据；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150Pa静压350M3风量；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新风设备可以和本地气体传感器互联，当有害气体阈值超标时新风设备会自动开启自动净化功能，当净化值在标准范围内设备会自动关闭或以低频模式运转，同时，净化效率会网络上传至云端后台以及系统屏幕上，用户可直观看到净化结果，也可手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8.恒温控制,通过高效全热交换芯，高效能量回收，透风透气,暖风辅。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9.运用阿基米德原理双向换气通风，配合网络智能控制；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10.为确保整套系统的稳定性，物联网新风净化系统须与智慧新风现场管理软件为同一厂商产品；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11.需提供生产厂商出具的销售和技术授权</w:t>
            </w:r>
          </w:p>
        </w:tc>
        <w:tc>
          <w:tcPr>
            <w:tcW w:w="221" w:type="pct"/>
            <w:shd w:val="clear" w:color="auto" w:fill="auto"/>
            <w:noWrap/>
            <w:vAlign w:val="center"/>
          </w:tcPr>
          <w:p w14:paraId="198803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599E1F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42A4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9" w:type="pct"/>
            <w:shd w:val="clear" w:color="auto" w:fill="auto"/>
            <w:vAlign w:val="center"/>
          </w:tcPr>
          <w:p w14:paraId="0989BC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46" w:type="pct"/>
            <w:shd w:val="clear" w:color="auto" w:fill="auto"/>
            <w:noWrap/>
            <w:vAlign w:val="center"/>
          </w:tcPr>
          <w:p w14:paraId="1D7CC5D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新风通信模块</w:t>
            </w:r>
          </w:p>
        </w:tc>
        <w:tc>
          <w:tcPr>
            <w:tcW w:w="3493" w:type="pct"/>
            <w:shd w:val="clear" w:color="auto" w:fill="auto"/>
            <w:vAlign w:val="center"/>
          </w:tcPr>
          <w:p w14:paraId="6E51CA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1.新风通信模块；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2.可定时开关新风机，实时远程控制。</w:t>
            </w:r>
          </w:p>
        </w:tc>
        <w:tc>
          <w:tcPr>
            <w:tcW w:w="221" w:type="pct"/>
            <w:shd w:val="clear" w:color="auto" w:fill="auto"/>
            <w:noWrap/>
            <w:vAlign w:val="center"/>
          </w:tcPr>
          <w:p w14:paraId="799E32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6E01AB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7040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509" w:type="pct"/>
            <w:shd w:val="clear" w:color="auto" w:fill="auto"/>
            <w:vAlign w:val="center"/>
          </w:tcPr>
          <w:p w14:paraId="582AFF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346" w:type="pct"/>
            <w:shd w:val="clear" w:color="auto" w:fill="auto"/>
            <w:noWrap/>
            <w:vAlign w:val="center"/>
          </w:tcPr>
          <w:p w14:paraId="587A48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多合一气体传感器</w:t>
            </w:r>
          </w:p>
        </w:tc>
        <w:tc>
          <w:tcPr>
            <w:tcW w:w="3493" w:type="pct"/>
            <w:shd w:val="clear" w:color="auto" w:fill="auto"/>
            <w:vAlign w:val="center"/>
          </w:tcPr>
          <w:p w14:paraId="428CC7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本设备是一款高精度、高灵敏度的集 TVOC 传感器，激光粉尘传感器、红外二氧化碳传感器、温度、湿度传感器为一体的多合一传感器， 所有传感器均单独存在，所有数值均是测试所得，不是通过算法等效得出；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CO2量程0~5000ppm，PM2.5量程0~1000ug/m3，温度量程-40～125℃，温度精度0.3℃(0~60℃)，湿度量程0~100%RH，湿度精度±2%RH(@25℃，20%~80%RH)；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传感器具有高精度， 高稳定性，较强的抗干扰能力；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检测数据实时传输至智能网关；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DC5V,1A供电；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蓝牙MESH组网，增强功率输出；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7.可在高低温循环环境下使用，须提供第三方检测报告并加盖厂商公章；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8.需提供生产厂商出具的销售和技术授权；</w:t>
            </w:r>
          </w:p>
        </w:tc>
        <w:tc>
          <w:tcPr>
            <w:tcW w:w="221" w:type="pct"/>
            <w:shd w:val="clear" w:color="auto" w:fill="auto"/>
            <w:noWrap/>
            <w:vAlign w:val="center"/>
          </w:tcPr>
          <w:p w14:paraId="78E6D0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05AD20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r>
      <w:tr w14:paraId="5C44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509" w:type="pct"/>
            <w:shd w:val="clear" w:color="auto" w:fill="auto"/>
            <w:vAlign w:val="center"/>
          </w:tcPr>
          <w:p w14:paraId="5FDB7C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46" w:type="pct"/>
            <w:shd w:val="clear" w:color="auto" w:fill="auto"/>
            <w:noWrap/>
            <w:vAlign w:val="center"/>
          </w:tcPr>
          <w:p w14:paraId="147DC4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3493" w:type="pct"/>
            <w:shd w:val="clear" w:color="auto" w:fill="auto"/>
            <w:vAlign w:val="center"/>
          </w:tcPr>
          <w:p w14:paraId="159645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1.不小于30KW并带漏电保护和智控功能；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2.安全性：内部线材需采用4平方厘米及以上国标纯铜导线；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3.开关控制：需具备自动/手动控制设备供电的开启和关闭；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4.输出控制，需支持多组输出回路，每组可独立控制，如照明输出、风机/空调输出分路、显示屏输出分路分开控制；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5.上电保护功能：需具有延时启动、浪涌保护、防雷、过流、短路等保护功能；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6.功能性检测：需具有电源状态指示、运行状态指示等功能；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7.额定工作电压：380V/220V；</w:t>
            </w:r>
          </w:p>
        </w:tc>
        <w:tc>
          <w:tcPr>
            <w:tcW w:w="221" w:type="pct"/>
            <w:shd w:val="clear" w:color="auto" w:fill="auto"/>
            <w:noWrap/>
            <w:vAlign w:val="center"/>
          </w:tcPr>
          <w:p w14:paraId="18888B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shd w:val="clear" w:color="auto" w:fill="auto"/>
            <w:noWrap/>
            <w:vAlign w:val="center"/>
          </w:tcPr>
          <w:p w14:paraId="77A649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24C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257D9D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 </w:t>
            </w:r>
          </w:p>
        </w:tc>
        <w:tc>
          <w:tcPr>
            <w:tcW w:w="346" w:type="pct"/>
            <w:shd w:val="clear" w:color="auto" w:fill="auto"/>
            <w:noWrap/>
            <w:vAlign w:val="center"/>
          </w:tcPr>
          <w:p w14:paraId="5DD5CD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信号线缆</w:t>
            </w:r>
          </w:p>
        </w:tc>
        <w:tc>
          <w:tcPr>
            <w:tcW w:w="3493" w:type="pct"/>
            <w:shd w:val="clear" w:color="auto" w:fill="auto"/>
            <w:vAlign w:val="center"/>
          </w:tcPr>
          <w:p w14:paraId="0A93E9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4芯*1.0平方；优质无氧铜丝，聚氯乙烯绝缘屏蔽聚氯乙烯护套；</w:t>
            </w:r>
          </w:p>
        </w:tc>
        <w:tc>
          <w:tcPr>
            <w:tcW w:w="221" w:type="pct"/>
            <w:shd w:val="clear" w:color="auto" w:fill="auto"/>
            <w:noWrap/>
            <w:vAlign w:val="center"/>
          </w:tcPr>
          <w:p w14:paraId="398254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shd w:val="clear" w:color="auto" w:fill="auto"/>
            <w:noWrap/>
            <w:vAlign w:val="center"/>
          </w:tcPr>
          <w:p w14:paraId="42C32F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6BE7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50716D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46" w:type="pct"/>
            <w:shd w:val="clear" w:color="auto" w:fill="auto"/>
            <w:noWrap/>
            <w:vAlign w:val="center"/>
          </w:tcPr>
          <w:p w14:paraId="33A3FA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93" w:type="pct"/>
            <w:shd w:val="clear" w:color="auto" w:fill="auto"/>
            <w:vAlign w:val="center"/>
          </w:tcPr>
          <w:p w14:paraId="7297D6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3芯*1.5平方；优质无氧铜丝，聚氯乙烯绝缘，聚氯乙烯护套；</w:t>
            </w:r>
          </w:p>
        </w:tc>
        <w:tc>
          <w:tcPr>
            <w:tcW w:w="221" w:type="pct"/>
            <w:shd w:val="clear" w:color="auto" w:fill="auto"/>
            <w:noWrap/>
            <w:vAlign w:val="center"/>
          </w:tcPr>
          <w:p w14:paraId="521D07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shd w:val="clear" w:color="auto" w:fill="auto"/>
            <w:noWrap/>
            <w:vAlign w:val="center"/>
          </w:tcPr>
          <w:p w14:paraId="59E631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601E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vAlign w:val="center"/>
          </w:tcPr>
          <w:p w14:paraId="3346D1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346" w:type="pct"/>
            <w:shd w:val="clear" w:color="auto" w:fill="auto"/>
            <w:noWrap/>
            <w:vAlign w:val="center"/>
          </w:tcPr>
          <w:p w14:paraId="5394D9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93" w:type="pct"/>
            <w:shd w:val="clear" w:color="auto" w:fill="auto"/>
            <w:vAlign w:val="center"/>
          </w:tcPr>
          <w:p w14:paraId="0A20C6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GB/T12706-2008 国标，3芯*2.5平方；优质无氧铜，交联聚乙烯绝缘，聚氯乙烯护套；</w:t>
            </w:r>
          </w:p>
        </w:tc>
        <w:tc>
          <w:tcPr>
            <w:tcW w:w="221" w:type="pct"/>
            <w:shd w:val="clear" w:color="auto" w:fill="auto"/>
            <w:noWrap/>
            <w:vAlign w:val="center"/>
          </w:tcPr>
          <w:p w14:paraId="2E6872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shd w:val="clear" w:color="auto" w:fill="auto"/>
            <w:noWrap/>
            <w:vAlign w:val="center"/>
          </w:tcPr>
          <w:p w14:paraId="6B7848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845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9" w:type="pct"/>
            <w:shd w:val="clear" w:color="auto" w:fill="auto"/>
            <w:vAlign w:val="center"/>
          </w:tcPr>
          <w:p w14:paraId="644F1B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46" w:type="pct"/>
            <w:shd w:val="clear" w:color="auto" w:fill="auto"/>
            <w:noWrap/>
            <w:vAlign w:val="center"/>
          </w:tcPr>
          <w:p w14:paraId="3CD2AB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3493" w:type="pct"/>
            <w:shd w:val="clear" w:color="auto" w:fill="auto"/>
            <w:vAlign w:val="center"/>
          </w:tcPr>
          <w:p w14:paraId="0553CA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支持千兆以太网信号传输；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无氧铜芯，线径≥0.55mm，聚乙烯(PE)护套；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均匀双绞结构，搭配十字骨架；</w:t>
            </w:r>
          </w:p>
        </w:tc>
        <w:tc>
          <w:tcPr>
            <w:tcW w:w="221" w:type="pct"/>
            <w:shd w:val="clear" w:color="auto" w:fill="auto"/>
            <w:noWrap/>
            <w:vAlign w:val="center"/>
          </w:tcPr>
          <w:p w14:paraId="05FAE1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428" w:type="pct"/>
            <w:shd w:val="clear" w:color="auto" w:fill="auto"/>
            <w:noWrap/>
            <w:vAlign w:val="center"/>
          </w:tcPr>
          <w:p w14:paraId="48C386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4A0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vAlign w:val="center"/>
          </w:tcPr>
          <w:p w14:paraId="5971D9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46" w:type="pct"/>
            <w:shd w:val="clear" w:color="auto" w:fill="auto"/>
            <w:noWrap/>
            <w:vAlign w:val="center"/>
          </w:tcPr>
          <w:p w14:paraId="21B27D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消音管</w:t>
            </w:r>
          </w:p>
        </w:tc>
        <w:tc>
          <w:tcPr>
            <w:tcW w:w="3493" w:type="pct"/>
            <w:shd w:val="clear" w:color="auto" w:fill="auto"/>
            <w:vAlign w:val="center"/>
          </w:tcPr>
          <w:p w14:paraId="433506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PVC材质，φ=200</w:t>
            </w:r>
          </w:p>
        </w:tc>
        <w:tc>
          <w:tcPr>
            <w:tcW w:w="221" w:type="pct"/>
            <w:shd w:val="clear" w:color="auto" w:fill="auto"/>
            <w:noWrap/>
            <w:vAlign w:val="center"/>
          </w:tcPr>
          <w:p w14:paraId="65BFCA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40339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r>
      <w:tr w14:paraId="1E5B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494D9E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c>
          <w:tcPr>
            <w:tcW w:w="346" w:type="pct"/>
            <w:shd w:val="clear" w:color="auto" w:fill="auto"/>
            <w:noWrap/>
            <w:vAlign w:val="center"/>
          </w:tcPr>
          <w:p w14:paraId="5C683E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分风箱</w:t>
            </w:r>
          </w:p>
        </w:tc>
        <w:tc>
          <w:tcPr>
            <w:tcW w:w="3493" w:type="pct"/>
            <w:shd w:val="clear" w:color="auto" w:fill="auto"/>
            <w:vAlign w:val="center"/>
          </w:tcPr>
          <w:p w14:paraId="16C043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多点分支，风量可控，内置消音棉，可根据实际需要自由调节风管风量，镀锌铝加厚材质，接头处采用卡扣设计并带有密封条，φ=200-110</w:t>
            </w:r>
          </w:p>
        </w:tc>
        <w:tc>
          <w:tcPr>
            <w:tcW w:w="221" w:type="pct"/>
            <w:shd w:val="clear" w:color="auto" w:fill="auto"/>
            <w:noWrap/>
            <w:vAlign w:val="center"/>
          </w:tcPr>
          <w:p w14:paraId="5C2C9C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shd w:val="clear" w:color="auto" w:fill="auto"/>
            <w:noWrap/>
            <w:vAlign w:val="center"/>
          </w:tcPr>
          <w:p w14:paraId="5FDA01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73FE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vAlign w:val="center"/>
          </w:tcPr>
          <w:p w14:paraId="6C81C5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346" w:type="pct"/>
            <w:shd w:val="clear" w:color="auto" w:fill="auto"/>
            <w:noWrap/>
            <w:vAlign w:val="center"/>
          </w:tcPr>
          <w:p w14:paraId="6965F3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93" w:type="pct"/>
            <w:shd w:val="clear" w:color="auto" w:fill="auto"/>
            <w:vAlign w:val="center"/>
          </w:tcPr>
          <w:p w14:paraId="2CB04A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新风系统专用PE管，φ=200</w:t>
            </w:r>
          </w:p>
        </w:tc>
        <w:tc>
          <w:tcPr>
            <w:tcW w:w="221" w:type="pct"/>
            <w:shd w:val="clear" w:color="auto" w:fill="auto"/>
            <w:noWrap/>
            <w:vAlign w:val="center"/>
          </w:tcPr>
          <w:p w14:paraId="3799EB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shd w:val="clear" w:color="auto" w:fill="auto"/>
            <w:noWrap/>
            <w:vAlign w:val="center"/>
          </w:tcPr>
          <w:p w14:paraId="23AB63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r>
      <w:tr w14:paraId="2A75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697BF5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46" w:type="pct"/>
            <w:shd w:val="clear" w:color="auto" w:fill="auto"/>
            <w:noWrap/>
            <w:vAlign w:val="center"/>
          </w:tcPr>
          <w:p w14:paraId="582DE9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93" w:type="pct"/>
            <w:shd w:val="clear" w:color="auto" w:fill="auto"/>
            <w:vAlign w:val="center"/>
          </w:tcPr>
          <w:p w14:paraId="5AD137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新风系统专用PE管，φ=110</w:t>
            </w:r>
          </w:p>
        </w:tc>
        <w:tc>
          <w:tcPr>
            <w:tcW w:w="221" w:type="pct"/>
            <w:shd w:val="clear" w:color="auto" w:fill="auto"/>
            <w:noWrap/>
            <w:vAlign w:val="center"/>
          </w:tcPr>
          <w:p w14:paraId="7C6A8A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shd w:val="clear" w:color="auto" w:fill="auto"/>
            <w:noWrap/>
            <w:vAlign w:val="center"/>
          </w:tcPr>
          <w:p w14:paraId="12F0CC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2344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019A84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c>
          <w:tcPr>
            <w:tcW w:w="346" w:type="pct"/>
            <w:shd w:val="clear" w:color="auto" w:fill="auto"/>
            <w:noWrap/>
            <w:vAlign w:val="center"/>
          </w:tcPr>
          <w:p w14:paraId="080487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PE管件</w:t>
            </w:r>
          </w:p>
        </w:tc>
        <w:tc>
          <w:tcPr>
            <w:tcW w:w="3493" w:type="pct"/>
            <w:shd w:val="clear" w:color="auto" w:fill="auto"/>
            <w:vAlign w:val="center"/>
          </w:tcPr>
          <w:p w14:paraId="599ED8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管道配套弯头、三通、变径</w:t>
            </w:r>
          </w:p>
        </w:tc>
        <w:tc>
          <w:tcPr>
            <w:tcW w:w="221" w:type="pct"/>
            <w:shd w:val="clear" w:color="auto" w:fill="auto"/>
            <w:noWrap/>
            <w:vAlign w:val="center"/>
          </w:tcPr>
          <w:p w14:paraId="5155DE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shd w:val="clear" w:color="auto" w:fill="auto"/>
            <w:noWrap/>
            <w:vAlign w:val="center"/>
          </w:tcPr>
          <w:p w14:paraId="56AE7C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91B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48E849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46" w:type="pct"/>
            <w:shd w:val="clear" w:color="auto" w:fill="auto"/>
            <w:noWrap/>
            <w:vAlign w:val="center"/>
          </w:tcPr>
          <w:p w14:paraId="456747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末端软管</w:t>
            </w:r>
          </w:p>
        </w:tc>
        <w:tc>
          <w:tcPr>
            <w:tcW w:w="3493" w:type="pct"/>
            <w:shd w:val="clear" w:color="auto" w:fill="auto"/>
            <w:vAlign w:val="center"/>
          </w:tcPr>
          <w:p w14:paraId="02E889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新风系统专用软管，φ=110</w:t>
            </w:r>
          </w:p>
        </w:tc>
        <w:tc>
          <w:tcPr>
            <w:tcW w:w="221" w:type="pct"/>
            <w:shd w:val="clear" w:color="auto" w:fill="auto"/>
            <w:noWrap/>
            <w:vAlign w:val="center"/>
          </w:tcPr>
          <w:p w14:paraId="0C2478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499FA2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2C3D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9" w:type="pct"/>
            <w:shd w:val="clear" w:color="auto" w:fill="auto"/>
            <w:vAlign w:val="center"/>
          </w:tcPr>
          <w:p w14:paraId="4EA2FC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46" w:type="pct"/>
            <w:shd w:val="clear" w:color="auto" w:fill="auto"/>
            <w:noWrap/>
            <w:vAlign w:val="center"/>
          </w:tcPr>
          <w:p w14:paraId="0DCB70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风口</w:t>
            </w:r>
          </w:p>
        </w:tc>
        <w:tc>
          <w:tcPr>
            <w:tcW w:w="3493" w:type="pct"/>
            <w:shd w:val="clear" w:color="auto" w:fill="auto"/>
            <w:vAlign w:val="center"/>
          </w:tcPr>
          <w:p w14:paraId="5E242E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根据现场风口实际情况定制，φ=110</w:t>
            </w:r>
          </w:p>
        </w:tc>
        <w:tc>
          <w:tcPr>
            <w:tcW w:w="221" w:type="pct"/>
            <w:shd w:val="clear" w:color="auto" w:fill="auto"/>
            <w:noWrap/>
            <w:vAlign w:val="center"/>
          </w:tcPr>
          <w:p w14:paraId="5CA08B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shd w:val="clear" w:color="auto" w:fill="auto"/>
            <w:noWrap/>
            <w:vAlign w:val="center"/>
          </w:tcPr>
          <w:p w14:paraId="1A9646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3333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9" w:type="pct"/>
            <w:shd w:val="clear" w:color="auto" w:fill="auto"/>
            <w:vAlign w:val="center"/>
          </w:tcPr>
          <w:p w14:paraId="1B17CF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46" w:type="pct"/>
            <w:shd w:val="clear" w:color="auto" w:fill="auto"/>
            <w:noWrap/>
            <w:vAlign w:val="center"/>
          </w:tcPr>
          <w:p w14:paraId="4BDCC4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493" w:type="pct"/>
            <w:shd w:val="clear" w:color="auto" w:fill="auto"/>
            <w:vAlign w:val="center"/>
          </w:tcPr>
          <w:p w14:paraId="6038CC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整套系统安装所需辅材</w:t>
            </w:r>
          </w:p>
        </w:tc>
        <w:tc>
          <w:tcPr>
            <w:tcW w:w="221" w:type="pct"/>
            <w:shd w:val="clear" w:color="auto" w:fill="auto"/>
            <w:noWrap/>
            <w:vAlign w:val="center"/>
          </w:tcPr>
          <w:p w14:paraId="13241E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shd w:val="clear" w:color="auto" w:fill="auto"/>
            <w:noWrap/>
            <w:vAlign w:val="center"/>
          </w:tcPr>
          <w:p w14:paraId="5D9251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bl>
    <w:p w14:paraId="6183D2CB">
      <w:pPr>
        <w:pStyle w:val="219"/>
        <w:numPr>
          <w:ilvl w:val="0"/>
          <w:numId w:val="0"/>
        </w:numPr>
        <w:rPr>
          <w:rFonts w:hint="eastAsia" w:ascii="仿宋_GB2312" w:hAnsi="仿宋_GB2312" w:eastAsia="仿宋_GB2312" w:cs="仿宋_GB2312"/>
          <w:color w:val="000000"/>
          <w:sz w:val="32"/>
          <w:szCs w:val="32"/>
        </w:rPr>
      </w:pPr>
    </w:p>
    <w:p w14:paraId="71C8B7BC">
      <w:pPr>
        <w:pStyle w:val="219"/>
        <w:numPr>
          <w:ilvl w:val="0"/>
          <w:numId w:val="12"/>
        </w:numPr>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商务要求</w:t>
      </w:r>
      <w:r>
        <w:rPr>
          <w:rFonts w:hint="eastAsia" w:ascii="宋体" w:hAnsi="宋体" w:eastAsia="宋体" w:cs="宋体"/>
          <w:color w:val="000000"/>
          <w:sz w:val="24"/>
          <w:szCs w:val="24"/>
        </w:rPr>
        <w:t>（是指取得采购标的的时间、地点、财务和服务要求，包括交</w:t>
      </w:r>
    </w:p>
    <w:p w14:paraId="33697184">
      <w:pPr>
        <w:pStyle w:val="219"/>
        <w:numPr>
          <w:ilvl w:val="0"/>
          <w:numId w:val="0"/>
        </w:numPr>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付（实施）的时间（期限）和地点（范围），付款条件（进度和方式），包装和运输，售后服务，保险等。）</w:t>
      </w:r>
    </w:p>
    <w:tbl>
      <w:tblPr>
        <w:tblStyle w:val="241"/>
        <w:tblW w:w="9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59"/>
        <w:gridCol w:w="7113"/>
      </w:tblGrid>
      <w:tr w14:paraId="6534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78" w:type="dxa"/>
            <w:noWrap w:val="0"/>
            <w:vAlign w:val="center"/>
          </w:tcPr>
          <w:p w14:paraId="1DBE15A5">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2059" w:type="dxa"/>
            <w:noWrap w:val="0"/>
            <w:vAlign w:val="center"/>
          </w:tcPr>
          <w:p w14:paraId="007A1A9F">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商务要求</w:t>
            </w:r>
          </w:p>
        </w:tc>
        <w:tc>
          <w:tcPr>
            <w:tcW w:w="7113" w:type="dxa"/>
            <w:noWrap w:val="0"/>
            <w:vAlign w:val="center"/>
          </w:tcPr>
          <w:p w14:paraId="128ED3BE">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全部商务要求明细</w:t>
            </w:r>
          </w:p>
        </w:tc>
      </w:tr>
      <w:tr w14:paraId="5C41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4C0E6719">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59" w:type="dxa"/>
            <w:noWrap w:val="0"/>
            <w:vAlign w:val="center"/>
          </w:tcPr>
          <w:p w14:paraId="6EBFDBD5">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交付（实施）的时间（期限）</w:t>
            </w:r>
          </w:p>
        </w:tc>
        <w:tc>
          <w:tcPr>
            <w:tcW w:w="7113" w:type="dxa"/>
            <w:noWrap w:val="0"/>
            <w:vAlign w:val="center"/>
          </w:tcPr>
          <w:p w14:paraId="0C47BE80">
            <w:pPr>
              <w:spacing w:line="300" w:lineRule="exact"/>
              <w:jc w:val="center"/>
              <w:rPr>
                <w:rFonts w:hint="eastAsia" w:ascii="宋体" w:hAnsi="宋体" w:eastAsia="宋体" w:cs="宋体"/>
                <w:color w:val="000000"/>
                <w:sz w:val="22"/>
                <w:szCs w:val="22"/>
                <w:lang w:eastAsia="zh-CN"/>
              </w:rPr>
            </w:pPr>
            <w:r>
              <w:rPr>
                <w:rFonts w:hint="eastAsia" w:ascii="宋体" w:hAnsi="宋体" w:eastAsia="宋体" w:cs="宋体"/>
                <w:b/>
                <w:bCs/>
                <w:color w:val="000000"/>
                <w:sz w:val="22"/>
                <w:szCs w:val="22"/>
              </w:rPr>
              <w:t>合同签订后60</w:t>
            </w:r>
            <w:r>
              <w:rPr>
                <w:rFonts w:hint="eastAsia" w:ascii="宋体" w:hAnsi="宋体" w:eastAsia="宋体" w:cs="宋体"/>
                <w:b/>
                <w:bCs/>
                <w:color w:val="000000"/>
                <w:sz w:val="22"/>
                <w:szCs w:val="22"/>
                <w:lang w:eastAsia="zh-CN"/>
              </w:rPr>
              <w:t>日历日</w:t>
            </w:r>
          </w:p>
        </w:tc>
      </w:tr>
      <w:tr w14:paraId="23EC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B73DE87">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059" w:type="dxa"/>
            <w:noWrap w:val="0"/>
            <w:vAlign w:val="center"/>
          </w:tcPr>
          <w:p w14:paraId="004150E0">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w:t>
            </w:r>
          </w:p>
          <w:p w14:paraId="66B599E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地点（范围）</w:t>
            </w:r>
          </w:p>
        </w:tc>
        <w:tc>
          <w:tcPr>
            <w:tcW w:w="7113" w:type="dxa"/>
            <w:noWrap w:val="0"/>
            <w:vAlign w:val="center"/>
          </w:tcPr>
          <w:p w14:paraId="158747F1">
            <w:pPr>
              <w:spacing w:line="30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刚察县公安局</w:t>
            </w:r>
          </w:p>
        </w:tc>
      </w:tr>
      <w:tr w14:paraId="66F8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7083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59" w:type="dxa"/>
            <w:noWrap w:val="0"/>
            <w:vAlign w:val="center"/>
          </w:tcPr>
          <w:p w14:paraId="78418203">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付款条件</w:t>
            </w:r>
          </w:p>
          <w:p w14:paraId="25A970CB">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（进度和方式）</w:t>
            </w:r>
          </w:p>
        </w:tc>
        <w:tc>
          <w:tcPr>
            <w:tcW w:w="7113" w:type="dxa"/>
            <w:noWrap w:val="0"/>
            <w:vAlign w:val="center"/>
          </w:tcPr>
          <w:p w14:paraId="6EC3600C">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签订合同时约定</w:t>
            </w:r>
          </w:p>
        </w:tc>
      </w:tr>
      <w:tr w14:paraId="60DA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011864E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059" w:type="dxa"/>
            <w:noWrap w:val="0"/>
            <w:vAlign w:val="center"/>
          </w:tcPr>
          <w:p w14:paraId="4FEE73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包装和运输</w:t>
            </w:r>
          </w:p>
        </w:tc>
        <w:tc>
          <w:tcPr>
            <w:tcW w:w="7113" w:type="dxa"/>
            <w:noWrap w:val="0"/>
            <w:vAlign w:val="center"/>
          </w:tcPr>
          <w:p w14:paraId="167AAF99">
            <w:pPr>
              <w:spacing w:line="30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按照国家及行业相关标准执行</w:t>
            </w:r>
          </w:p>
        </w:tc>
      </w:tr>
      <w:tr w14:paraId="6FF4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78" w:type="dxa"/>
            <w:noWrap w:val="0"/>
            <w:vAlign w:val="center"/>
          </w:tcPr>
          <w:p w14:paraId="7311088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2059" w:type="dxa"/>
            <w:noWrap w:val="0"/>
            <w:vAlign w:val="center"/>
          </w:tcPr>
          <w:p w14:paraId="71729FE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售后服务</w:t>
            </w:r>
          </w:p>
        </w:tc>
        <w:tc>
          <w:tcPr>
            <w:tcW w:w="7113" w:type="dxa"/>
            <w:noWrap w:val="0"/>
            <w:vAlign w:val="center"/>
          </w:tcPr>
          <w:p w14:paraId="5492BCBA">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质保期及免费服务期：3 年</w:t>
            </w:r>
          </w:p>
        </w:tc>
      </w:tr>
      <w:tr w14:paraId="1FE7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5A7FF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2059" w:type="dxa"/>
            <w:noWrap w:val="0"/>
            <w:vAlign w:val="center"/>
          </w:tcPr>
          <w:p w14:paraId="095E0CD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保险</w:t>
            </w:r>
          </w:p>
        </w:tc>
        <w:tc>
          <w:tcPr>
            <w:tcW w:w="7113" w:type="dxa"/>
            <w:noWrap w:val="0"/>
            <w:vAlign w:val="center"/>
          </w:tcPr>
          <w:p w14:paraId="213DA1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由乙方承担</w:t>
            </w:r>
          </w:p>
        </w:tc>
      </w:tr>
    </w:tbl>
    <w:p w14:paraId="370034C2">
      <w:pPr>
        <w:pStyle w:val="36"/>
        <w:rPr>
          <w:rFonts w:hint="eastAsia" w:ascii="宋体" w:hAnsi="宋体" w:eastAsia="宋体" w:cs="宋体"/>
          <w:sz w:val="24"/>
          <w:szCs w:val="24"/>
        </w:rPr>
      </w:pPr>
    </w:p>
    <w:sectPr>
      <w:pgSz w:w="11906" w:h="16838" w:orient="landscape"/>
      <w:pgMar w:top="1440" w:right="1797" w:bottom="1440"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20B0604020202020204"/>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86D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077A993">
                          <w:pPr>
                            <w:pStyle w:val="3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wps:txbx>
                    <wps:bodyPr wrap="none" lIns="0" tIns="0" rIns="0" bIns="0" upright="1">
                      <a:spAutoFit/>
                    </wps:bodyPr>
                  </wps:wsp>
                </a:graphicData>
              </a:graphic>
            </wp:anchor>
          </w:drawing>
        </mc:Choice>
        <mc:Fallback>
          <w:pict>
            <v:shape id="_x0000_s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3AqMxgEAAKgDAAAOAAAAAAAAAAEAIAAAAB4BAABkcnMvZTJvRG9jLnht&#10;bFBLBQYAAAAABgAGAFkBAABWBQAAAAA=&#10;">
              <v:fill on="f" focussize="0,0"/>
              <v:stroke on="f"/>
              <v:imagedata o:title=""/>
              <o:lock v:ext="edit" aspectratio="f"/>
              <v:textbox inset="0mm,0mm,0mm,0mm" style="mso-fit-shape-to-text:t;">
                <w:txbxContent>
                  <w:p w14:paraId="3077A993">
                    <w:pPr>
                      <w:pStyle w:val="3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4CB9">
    <w:pPr>
      <w:pStyle w:val="36"/>
      <w:framePr w:wrap="around" w:vAnchor="text" w:hAnchor="margin" w:xAlign="center" w:y="1"/>
      <w:rPr>
        <w:rStyle w:val="243"/>
      </w:rPr>
    </w:pPr>
    <w:r>
      <w:fldChar w:fldCharType="begin"/>
    </w:r>
    <w:r>
      <w:rPr>
        <w:rStyle w:val="243"/>
      </w:rPr>
      <w:instrText xml:space="preserve">PAGE  </w:instrText>
    </w:r>
    <w:r>
      <w:fldChar w:fldCharType="end"/>
    </w:r>
  </w:p>
  <w:p w14:paraId="7F679C66">
    <w:pPr>
      <w:pStyle w:val="3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FE99">
    <w:pPr>
      <w:pStyle w:val="225"/>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C8879AEF"/>
    <w:multiLevelType w:val="multilevel"/>
    <w:tmpl w:val="C8879AEF"/>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decimal"/>
      <w:suff w:val="space"/>
      <w:lvlText w:val="%1."/>
      <w:lvlJc w:val="left"/>
      <w:pPr>
        <w:ind w:left="432" w:hanging="432"/>
      </w:pPr>
    </w:lvl>
    <w:lvl w:ilvl="1" w:tentative="0">
      <w:start w:val="1"/>
      <w:numFmt w:val="decimal"/>
      <w:suff w:val="space"/>
      <w:lvlText w:val="%1.%2."/>
      <w:lvlJc w:val="left"/>
      <w:pPr>
        <w:ind w:left="575" w:hanging="575"/>
      </w:pPr>
      <w:rPr>
        <w:rFonts w:ascii="宋体" w:hAnsi="宋体" w:cs="宋体"/>
        <w:b/>
        <w:bCs/>
        <w:sz w:val="24"/>
        <w:szCs w:val="24"/>
      </w:rPr>
    </w:lvl>
    <w:lvl w:ilvl="2" w:tentative="0">
      <w:start w:val="1"/>
      <w:numFmt w:val="decimal"/>
      <w:pStyle w:val="302"/>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suff w:val="space"/>
      <w:lvlText w:val="%1.%2.%3.%4.%5.%6."/>
      <w:lvlJc w:val="left"/>
      <w:pPr>
        <w:ind w:left="1151" w:hanging="1151"/>
      </w:pPr>
    </w:lvl>
    <w:lvl w:ilvl="6" w:tentative="0">
      <w:start w:val="1"/>
      <w:numFmt w:val="decimal"/>
      <w:suff w:val="space"/>
      <w:lvlText w:val="%1.%2.%3.%4.%5.%6.%7."/>
      <w:lvlJc w:val="left"/>
      <w:pPr>
        <w:ind w:left="1296" w:hanging="1296"/>
      </w:pPr>
    </w:lvl>
    <w:lvl w:ilvl="7" w:tentative="0">
      <w:start w:val="1"/>
      <w:numFmt w:val="decimal"/>
      <w:suff w:val="space"/>
      <w:lvlText w:val="%1.%2.%3.%4.%5.%6.%7.%8."/>
      <w:lvlJc w:val="left"/>
      <w:pPr>
        <w:ind w:left="1440" w:hanging="1440"/>
      </w:pPr>
    </w:lvl>
    <w:lvl w:ilvl="8" w:tentative="0">
      <w:start w:val="1"/>
      <w:numFmt w:val="decimal"/>
      <w:suff w:val="space"/>
      <w:lvlText w:val="%1.%2.%3.%4.%5.%6.%7.%8.%9."/>
      <w:lvlJc w:val="left"/>
      <w:pPr>
        <w:ind w:left="1583" w:hanging="1583"/>
      </w:pPr>
    </w:lvl>
  </w:abstractNum>
  <w:abstractNum w:abstractNumId="5">
    <w:nsid w:val="0248C179"/>
    <w:multiLevelType w:val="multilevel"/>
    <w:tmpl w:val="0248C17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4"/>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59ADCABA"/>
    <w:multiLevelType w:val="multilevel"/>
    <w:tmpl w:val="59ADCABA"/>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5A241D34"/>
    <w:multiLevelType w:val="multilevel"/>
    <w:tmpl w:val="5A241D34"/>
    <w:lvl w:ilvl="0" w:tentative="0">
      <w:start w:val="5"/>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72183CF9"/>
    <w:multiLevelType w:val="multilevel"/>
    <w:tmpl w:val="72183CF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4"/>
  </w:num>
  <w:num w:numId="2">
    <w:abstractNumId w:val="9"/>
  </w:num>
  <w:num w:numId="3">
    <w:abstractNumId w:val="2"/>
  </w:num>
  <w:num w:numId="4">
    <w:abstractNumId w:val="1"/>
  </w:num>
  <w:num w:numId="5">
    <w:abstractNumId w:val="6"/>
  </w:num>
  <w:num w:numId="6">
    <w:abstractNumId w:val="7"/>
  </w:num>
  <w:num w:numId="7">
    <w:abstractNumId w:val="11"/>
  </w:num>
  <w:num w:numId="8">
    <w:abstractNumId w:val="5"/>
  </w:num>
  <w:num w:numId="9">
    <w:abstractNumId w:val="0"/>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useAltKinsokuLineBreakRules/>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jliYjEyYzRiMzU3NjRhYWJiZWU0NDlhZDg4MTQifQ=="/>
  </w:docVars>
  <w:rsids>
    <w:rsidRoot w:val="00000000"/>
    <w:rsid w:val="093B5E16"/>
    <w:rsid w:val="0A785749"/>
    <w:rsid w:val="0DB3608B"/>
    <w:rsid w:val="0DF225AF"/>
    <w:rsid w:val="0F201BF3"/>
    <w:rsid w:val="17940DEC"/>
    <w:rsid w:val="1F2E702D"/>
    <w:rsid w:val="2AAC3D6A"/>
    <w:rsid w:val="3BA10781"/>
    <w:rsid w:val="3FFF2A05"/>
    <w:rsid w:val="4BC44B03"/>
    <w:rsid w:val="50D47A8A"/>
    <w:rsid w:val="62E52C95"/>
    <w:rsid w:val="71097F7D"/>
    <w:rsid w:val="71696914"/>
    <w:rsid w:val="7A735A72"/>
    <w:rsid w:val="7C327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9"/>
    <w:qFormat/>
    <w:uiPriority w:val="0"/>
    <w:pPr>
      <w:widowControl w:val="0"/>
      <w:jc w:val="both"/>
    </w:pPr>
    <w:rPr>
      <w:rFonts w:hint="default" w:ascii="Times New Roman" w:hAnsi="Times New Roman" w:eastAsia="宋体" w:cs="Times New Roman"/>
      <w:sz w:val="24"/>
      <w:szCs w:val="24"/>
      <w:lang w:val="en-US" w:eastAsia="zh-CN" w:bidi="ar-SA"/>
    </w:rPr>
  </w:style>
  <w:style w:type="paragraph" w:styleId="2">
    <w:name w:val="heading 1"/>
    <w:basedOn w:val="1"/>
    <w:next w:val="1"/>
    <w:link w:val="37"/>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8"/>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9"/>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0"/>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1"/>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2"/>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3"/>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5"/>
    <w:unhideWhenUsed/>
    <w:qFormat/>
    <w:uiPriority w:val="9"/>
    <w:pPr>
      <w:keepNext/>
      <w:keepLines/>
      <w:spacing w:before="320" w:after="200"/>
      <w:outlineLvl w:val="8"/>
    </w:pPr>
    <w:rPr>
      <w:rFonts w:ascii="等线" w:hAnsi="等线" w:eastAsia="等线" w:cs="等线"/>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Body Text"/>
    <w:basedOn w:val="1"/>
    <w:next w:val="14"/>
    <w:semiHidden/>
    <w:unhideWhenUsed/>
    <w:qFormat/>
    <w:uiPriority w:val="0"/>
    <w:pPr>
      <w:spacing w:after="120"/>
    </w:pPr>
    <w:rPr>
      <w:rFonts w:ascii="Calibri" w:hAnsi="Calibri" w:eastAsia="宋体" w:cs="Times New Roman"/>
      <w:sz w:val="24"/>
    </w:rPr>
  </w:style>
  <w:style w:type="paragraph" w:styleId="14">
    <w:name w:val="Plain Text"/>
    <w:basedOn w:val="1"/>
    <w:next w:val="1"/>
    <w:qFormat/>
    <w:uiPriority w:val="0"/>
    <w:rPr>
      <w:rFonts w:ascii="宋体" w:hAnsi="Courier New" w:eastAsia="宋体" w:cs="Times New Roman"/>
      <w:szCs w:val="20"/>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3"/>
    <w:semiHidden/>
    <w:unhideWhenUsed/>
    <w:qFormat/>
    <w:uiPriority w:val="99"/>
    <w:pPr>
      <w:spacing w:after="0" w:line="240" w:lineRule="auto"/>
    </w:pPr>
    <w:rPr>
      <w:sz w:val="20"/>
    </w:rPr>
  </w:style>
  <w:style w:type="paragraph" w:styleId="19">
    <w:name w:val="footer"/>
    <w:basedOn w:val="1"/>
    <w:link w:val="56"/>
    <w:unhideWhenUsed/>
    <w:qFormat/>
    <w:uiPriority w:val="99"/>
    <w:pPr>
      <w:tabs>
        <w:tab w:val="center" w:pos="7143"/>
        <w:tab w:val="right" w:pos="14287"/>
      </w:tabs>
      <w:spacing w:after="0" w:line="240" w:lineRule="auto"/>
    </w:pPr>
  </w:style>
  <w:style w:type="paragraph" w:styleId="20">
    <w:name w:val="header"/>
    <w:basedOn w:val="1"/>
    <w:link w:val="54"/>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9"/>
    <w:qFormat/>
    <w:uiPriority w:val="11"/>
    <w:pPr>
      <w:spacing w:before="200" w:after="200"/>
    </w:pPr>
    <w:rPr>
      <w:sz w:val="24"/>
      <w:szCs w:val="24"/>
    </w:rPr>
  </w:style>
  <w:style w:type="paragraph" w:styleId="24">
    <w:name w:val="footnote text"/>
    <w:basedOn w:val="1"/>
    <w:link w:val="182"/>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8"/>
    <w:qFormat/>
    <w:uiPriority w:val="10"/>
    <w:pPr>
      <w:spacing w:before="300" w:after="200"/>
      <w:contextualSpacing/>
    </w:pPr>
    <w:rPr>
      <w:sz w:val="48"/>
      <w:szCs w:val="48"/>
    </w:rPr>
  </w:style>
  <w:style w:type="table" w:styleId="3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rPr>
  </w:style>
  <w:style w:type="character" w:styleId="35">
    <w:name w:val="footnote reference"/>
    <w:unhideWhenUsed/>
    <w:qFormat/>
    <w:uiPriority w:val="99"/>
    <w:rPr>
      <w:vertAlign w:val="superscript"/>
    </w:rPr>
  </w:style>
  <w:style w:type="paragraph" w:customStyle="1" w:styleId="36">
    <w:name w:val="页脚1"/>
    <w:basedOn w:val="1"/>
    <w:link w:val="196"/>
    <w:qFormat/>
    <w:uiPriority w:val="0"/>
    <w:pPr>
      <w:tabs>
        <w:tab w:val="center" w:pos="4153"/>
        <w:tab w:val="right" w:pos="8306"/>
      </w:tabs>
      <w:jc w:val="left"/>
    </w:pPr>
    <w:rPr>
      <w:sz w:val="18"/>
      <w:szCs w:val="18"/>
    </w:rPr>
  </w:style>
  <w:style w:type="character" w:customStyle="1" w:styleId="37">
    <w:name w:val="Heading 1 Char"/>
    <w:link w:val="2"/>
    <w:qFormat/>
    <w:uiPriority w:val="9"/>
    <w:rPr>
      <w:rFonts w:ascii="等线" w:hAnsi="等线" w:eastAsia="等线" w:cs="等线"/>
      <w:sz w:val="40"/>
      <w:szCs w:val="40"/>
    </w:rPr>
  </w:style>
  <w:style w:type="character" w:customStyle="1" w:styleId="38">
    <w:name w:val="Heading 2 Char"/>
    <w:link w:val="3"/>
    <w:qFormat/>
    <w:uiPriority w:val="9"/>
    <w:rPr>
      <w:rFonts w:ascii="等线" w:hAnsi="等线" w:eastAsia="等线" w:cs="等线"/>
      <w:sz w:val="34"/>
    </w:rPr>
  </w:style>
  <w:style w:type="character" w:customStyle="1" w:styleId="39">
    <w:name w:val="Heading 3 Char"/>
    <w:link w:val="4"/>
    <w:qFormat/>
    <w:uiPriority w:val="9"/>
    <w:rPr>
      <w:rFonts w:ascii="等线" w:hAnsi="等线" w:eastAsia="等线" w:cs="等线"/>
      <w:sz w:val="30"/>
      <w:szCs w:val="30"/>
    </w:rPr>
  </w:style>
  <w:style w:type="character" w:customStyle="1" w:styleId="40">
    <w:name w:val="Heading 4 Char"/>
    <w:link w:val="5"/>
    <w:qFormat/>
    <w:uiPriority w:val="9"/>
    <w:rPr>
      <w:rFonts w:ascii="等线" w:hAnsi="等线" w:eastAsia="等线" w:cs="等线"/>
      <w:b/>
      <w:bCs/>
      <w:sz w:val="26"/>
      <w:szCs w:val="26"/>
    </w:rPr>
  </w:style>
  <w:style w:type="character" w:customStyle="1" w:styleId="41">
    <w:name w:val="Heading 5 Char"/>
    <w:link w:val="6"/>
    <w:qFormat/>
    <w:uiPriority w:val="9"/>
    <w:rPr>
      <w:rFonts w:ascii="等线" w:hAnsi="等线" w:eastAsia="等线" w:cs="等线"/>
      <w:b/>
      <w:bCs/>
      <w:sz w:val="24"/>
      <w:szCs w:val="24"/>
    </w:rPr>
  </w:style>
  <w:style w:type="character" w:customStyle="1" w:styleId="42">
    <w:name w:val="Heading 6 Char"/>
    <w:link w:val="7"/>
    <w:qFormat/>
    <w:uiPriority w:val="9"/>
    <w:rPr>
      <w:rFonts w:ascii="等线" w:hAnsi="等线" w:eastAsia="等线" w:cs="等线"/>
      <w:b/>
      <w:bCs/>
      <w:sz w:val="22"/>
      <w:szCs w:val="22"/>
    </w:rPr>
  </w:style>
  <w:style w:type="character" w:customStyle="1" w:styleId="43">
    <w:name w:val="Heading 7 Char"/>
    <w:link w:val="8"/>
    <w:qFormat/>
    <w:uiPriority w:val="9"/>
    <w:rPr>
      <w:rFonts w:ascii="等线" w:hAnsi="等线" w:eastAsia="等线" w:cs="等线"/>
      <w:b/>
      <w:bCs/>
      <w:i/>
      <w:iCs/>
      <w:sz w:val="22"/>
      <w:szCs w:val="22"/>
    </w:rPr>
  </w:style>
  <w:style w:type="character" w:customStyle="1" w:styleId="44">
    <w:name w:val="Heading 8 Char"/>
    <w:link w:val="9"/>
    <w:qFormat/>
    <w:uiPriority w:val="9"/>
    <w:rPr>
      <w:rFonts w:ascii="等线" w:hAnsi="等线" w:eastAsia="等线" w:cs="等线"/>
      <w:i/>
      <w:iCs/>
      <w:sz w:val="22"/>
      <w:szCs w:val="22"/>
    </w:rPr>
  </w:style>
  <w:style w:type="character" w:customStyle="1" w:styleId="45">
    <w:name w:val="Heading 9 Char"/>
    <w:link w:val="10"/>
    <w:qFormat/>
    <w:uiPriority w:val="9"/>
    <w:rPr>
      <w:rFonts w:ascii="等线" w:hAnsi="等线" w:eastAsia="等线" w:cs="等线"/>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29"/>
    <w:qFormat/>
    <w:uiPriority w:val="10"/>
    <w:rPr>
      <w:sz w:val="48"/>
      <w:szCs w:val="48"/>
    </w:rPr>
  </w:style>
  <w:style w:type="character" w:customStyle="1" w:styleId="49">
    <w:name w:val="Subtitle Char"/>
    <w:link w:val="23"/>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20"/>
    <w:qFormat/>
    <w:uiPriority w:val="99"/>
  </w:style>
  <w:style w:type="character" w:customStyle="1" w:styleId="55">
    <w:name w:val="Footer Char"/>
    <w:link w:val="19"/>
    <w:qFormat/>
    <w:uiPriority w:val="99"/>
  </w:style>
  <w:style w:type="character" w:customStyle="1" w:styleId="56">
    <w:name w:val="Caption Char"/>
    <w:link w:val="19"/>
    <w:qFormat/>
    <w:uiPriority w:val="99"/>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tblStylePr w:type="neCell"/>
    <w:tblStylePr w:type="nwCell"/>
    <w:tblStylePr w:type="seCell"/>
    <w:tblStylePr w:type="swCell"/>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59">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2">
    <w:name w:val="Footnote Text Char"/>
    <w:link w:val="24"/>
    <w:qFormat/>
    <w:uiPriority w:val="99"/>
    <w:rPr>
      <w:sz w:val="18"/>
    </w:rPr>
  </w:style>
  <w:style w:type="character" w:customStyle="1" w:styleId="183">
    <w:name w:val="Endnote Text Char"/>
    <w:link w:val="18"/>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197"/>
    <w:qFormat/>
    <w:uiPriority w:val="0"/>
    <w:pPr>
      <w:keepNext/>
      <w:keepLines/>
      <w:spacing w:before="340" w:after="330" w:line="576" w:lineRule="auto"/>
      <w:outlineLvl w:val="0"/>
    </w:pPr>
    <w:rPr>
      <w:b/>
      <w:bCs/>
      <w:sz w:val="30"/>
      <w:szCs w:val="44"/>
    </w:rPr>
  </w:style>
  <w:style w:type="paragraph" w:customStyle="1" w:styleId="186">
    <w:name w:val="标题 21"/>
    <w:basedOn w:val="1"/>
    <w:next w:val="1"/>
    <w:link w:val="198"/>
    <w:qFormat/>
    <w:uiPriority w:val="0"/>
    <w:pPr>
      <w:keepNext/>
      <w:keepLines/>
      <w:spacing w:before="260" w:after="260" w:line="415" w:lineRule="auto"/>
      <w:outlineLvl w:val="1"/>
    </w:pPr>
    <w:rPr>
      <w:rFonts w:ascii="Cambria" w:hAnsi="Cambria"/>
      <w:b/>
      <w:bCs/>
      <w:sz w:val="32"/>
      <w:szCs w:val="32"/>
    </w:rPr>
  </w:style>
  <w:style w:type="paragraph" w:customStyle="1" w:styleId="187">
    <w:name w:val="标题 31"/>
    <w:basedOn w:val="1"/>
    <w:next w:val="1"/>
    <w:link w:val="199"/>
    <w:qFormat/>
    <w:uiPriority w:val="0"/>
    <w:pPr>
      <w:keepNext/>
      <w:keepLines/>
      <w:spacing w:before="260" w:after="260" w:line="416" w:lineRule="auto"/>
      <w:outlineLvl w:val="2"/>
    </w:pPr>
    <w:rPr>
      <w:b/>
      <w:bCs/>
      <w:sz w:val="32"/>
      <w:szCs w:val="32"/>
    </w:rPr>
  </w:style>
  <w:style w:type="paragraph" w:customStyle="1" w:styleId="188">
    <w:name w:val="标题 41"/>
    <w:basedOn w:val="1"/>
    <w:next w:val="1"/>
    <w:link w:val="200"/>
    <w:qFormat/>
    <w:uiPriority w:val="0"/>
    <w:pPr>
      <w:keepNext/>
      <w:keepLines/>
      <w:spacing w:before="240" w:after="240" w:line="376" w:lineRule="auto"/>
      <w:ind w:left="1588" w:hanging="1588"/>
      <w:outlineLvl w:val="3"/>
    </w:pPr>
    <w:rPr>
      <w:bCs/>
      <w:sz w:val="28"/>
      <w:szCs w:val="28"/>
    </w:rPr>
  </w:style>
  <w:style w:type="paragraph" w:customStyle="1" w:styleId="189">
    <w:name w:val="标题 51"/>
    <w:basedOn w:val="1"/>
    <w:next w:val="1"/>
    <w:link w:val="201"/>
    <w:qFormat/>
    <w:uiPriority w:val="0"/>
    <w:pPr>
      <w:keepNext/>
      <w:keepLines/>
      <w:spacing w:before="280" w:after="290" w:line="376" w:lineRule="auto"/>
      <w:ind w:left="1985" w:hanging="1985"/>
      <w:outlineLvl w:val="4"/>
    </w:pPr>
    <w:rPr>
      <w:rFonts w:ascii="Calibri" w:hAnsi="Calibri"/>
      <w:b/>
      <w:bCs/>
      <w:sz w:val="28"/>
      <w:szCs w:val="28"/>
    </w:rPr>
  </w:style>
  <w:style w:type="paragraph" w:customStyle="1" w:styleId="190">
    <w:name w:val="标题 61"/>
    <w:basedOn w:val="1"/>
    <w:next w:val="1"/>
    <w:link w:val="202"/>
    <w:qFormat/>
    <w:uiPriority w:val="0"/>
    <w:pPr>
      <w:keepNext/>
      <w:keepLines/>
      <w:tabs>
        <w:tab w:val="left" w:pos="0"/>
      </w:tabs>
      <w:spacing w:before="240" w:after="64" w:line="319" w:lineRule="auto"/>
      <w:outlineLvl w:val="5"/>
    </w:pPr>
    <w:rPr>
      <w:rFonts w:ascii="Arial" w:hAnsi="Arial"/>
      <w:b/>
      <w:bCs/>
      <w:lang w:val="zh-CN"/>
    </w:rPr>
  </w:style>
  <w:style w:type="paragraph" w:customStyle="1" w:styleId="191">
    <w:name w:val="标题 71"/>
    <w:basedOn w:val="1"/>
    <w:next w:val="1"/>
    <w:link w:val="203"/>
    <w:qFormat/>
    <w:uiPriority w:val="0"/>
    <w:pPr>
      <w:keepNext/>
      <w:keepLines/>
      <w:tabs>
        <w:tab w:val="left" w:pos="0"/>
      </w:tabs>
      <w:spacing w:before="240" w:after="64" w:line="319" w:lineRule="auto"/>
      <w:outlineLvl w:val="6"/>
    </w:pPr>
    <w:rPr>
      <w:b/>
      <w:bCs/>
    </w:rPr>
  </w:style>
  <w:style w:type="paragraph" w:customStyle="1" w:styleId="192">
    <w:name w:val="标题 81"/>
    <w:basedOn w:val="1"/>
    <w:next w:val="1"/>
    <w:link w:val="204"/>
    <w:qFormat/>
    <w:uiPriority w:val="0"/>
    <w:pPr>
      <w:keepNext/>
      <w:keepLines/>
      <w:tabs>
        <w:tab w:val="left" w:pos="0"/>
      </w:tabs>
      <w:spacing w:before="240" w:after="64" w:line="319" w:lineRule="auto"/>
      <w:outlineLvl w:val="7"/>
    </w:pPr>
    <w:rPr>
      <w:rFonts w:ascii="Arial" w:hAnsi="Arial" w:eastAsia="黑体"/>
    </w:rPr>
  </w:style>
  <w:style w:type="paragraph" w:customStyle="1" w:styleId="193">
    <w:name w:val="标题 91"/>
    <w:basedOn w:val="1"/>
    <w:next w:val="1"/>
    <w:link w:val="205"/>
    <w:qFormat/>
    <w:uiPriority w:val="0"/>
    <w:pPr>
      <w:keepNext/>
      <w:keepLines/>
      <w:tabs>
        <w:tab w:val="left" w:pos="0"/>
      </w:tabs>
      <w:spacing w:before="240" w:after="64" w:line="319" w:lineRule="auto"/>
      <w:outlineLvl w:val="8"/>
    </w:pPr>
    <w:rPr>
      <w:rFonts w:ascii="Arial" w:hAnsi="Arial" w:eastAsia="黑体"/>
      <w:szCs w:val="21"/>
    </w:rPr>
  </w:style>
  <w:style w:type="character" w:customStyle="1" w:styleId="194">
    <w:name w:val="默认段落字体1"/>
    <w:link w:val="1"/>
    <w:qFormat/>
    <w:uiPriority w:val="0"/>
    <w:rPr>
      <w:rFonts w:ascii="Times New Roman" w:hAnsi="Times New Roman" w:eastAsia="宋体" w:cs="Times New Roman"/>
    </w:rPr>
  </w:style>
  <w:style w:type="table" w:customStyle="1" w:styleId="195">
    <w:name w:val="普通表格1"/>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6">
    <w:name w:val="页脚 Char"/>
    <w:link w:val="36"/>
    <w:qFormat/>
    <w:uiPriority w:val="0"/>
    <w:rPr>
      <w:rFonts w:ascii="Times New Roman" w:hAnsi="Times New Roman" w:eastAsia="宋体" w:cs="Times New Roman"/>
      <w:sz w:val="18"/>
      <w:szCs w:val="18"/>
    </w:rPr>
  </w:style>
  <w:style w:type="character" w:customStyle="1" w:styleId="197">
    <w:name w:val="标题 1 Char"/>
    <w:link w:val="185"/>
    <w:qFormat/>
    <w:uiPriority w:val="0"/>
    <w:rPr>
      <w:rFonts w:ascii="Times New Roman" w:hAnsi="Times New Roman" w:eastAsia="宋体" w:cs="Times New Roman"/>
      <w:b/>
      <w:bCs/>
      <w:sz w:val="30"/>
      <w:szCs w:val="44"/>
    </w:rPr>
  </w:style>
  <w:style w:type="character" w:customStyle="1" w:styleId="198">
    <w:name w:val="标题 2 Char"/>
    <w:link w:val="186"/>
    <w:qFormat/>
    <w:uiPriority w:val="0"/>
    <w:rPr>
      <w:rFonts w:ascii="Cambria" w:hAnsi="Cambria" w:eastAsia="宋体" w:cs="Times New Roman"/>
      <w:b/>
      <w:bCs/>
      <w:sz w:val="32"/>
      <w:szCs w:val="32"/>
    </w:rPr>
  </w:style>
  <w:style w:type="character" w:customStyle="1" w:styleId="199">
    <w:name w:val="标题 3 Char"/>
    <w:link w:val="187"/>
    <w:qFormat/>
    <w:uiPriority w:val="0"/>
    <w:rPr>
      <w:rFonts w:ascii="Times New Roman" w:hAnsi="Times New Roman" w:eastAsia="宋体" w:cs="Times New Roman"/>
      <w:b/>
      <w:bCs/>
      <w:sz w:val="32"/>
      <w:szCs w:val="32"/>
    </w:rPr>
  </w:style>
  <w:style w:type="character" w:customStyle="1" w:styleId="200">
    <w:name w:val="标题 4 Char"/>
    <w:link w:val="188"/>
    <w:qFormat/>
    <w:uiPriority w:val="0"/>
    <w:rPr>
      <w:rFonts w:ascii="Times New Roman" w:hAnsi="Times New Roman" w:eastAsia="宋体" w:cs="Times New Roman"/>
      <w:bCs/>
      <w:sz w:val="28"/>
      <w:szCs w:val="28"/>
    </w:rPr>
  </w:style>
  <w:style w:type="character" w:customStyle="1" w:styleId="201">
    <w:name w:val="标题 5 Char"/>
    <w:link w:val="189"/>
    <w:qFormat/>
    <w:uiPriority w:val="0"/>
    <w:rPr>
      <w:rFonts w:ascii="Calibri" w:hAnsi="Calibri" w:eastAsia="宋体" w:cs="Times New Roman"/>
      <w:b/>
      <w:bCs/>
      <w:sz w:val="28"/>
      <w:szCs w:val="28"/>
    </w:rPr>
  </w:style>
  <w:style w:type="character" w:customStyle="1" w:styleId="202">
    <w:name w:val="标题 6 Char"/>
    <w:link w:val="190"/>
    <w:qFormat/>
    <w:uiPriority w:val="0"/>
    <w:rPr>
      <w:rFonts w:ascii="Arial" w:hAnsi="Arial" w:eastAsia="宋体" w:cs="Times New Roman"/>
      <w:b/>
      <w:bCs/>
      <w:sz w:val="24"/>
      <w:szCs w:val="24"/>
      <w:lang w:val="zh-CN"/>
    </w:rPr>
  </w:style>
  <w:style w:type="character" w:customStyle="1" w:styleId="203">
    <w:name w:val="标题 7 Char"/>
    <w:link w:val="191"/>
    <w:qFormat/>
    <w:uiPriority w:val="0"/>
    <w:rPr>
      <w:rFonts w:ascii="Times New Roman" w:hAnsi="Times New Roman" w:eastAsia="宋体" w:cs="Times New Roman"/>
      <w:b/>
      <w:bCs/>
      <w:sz w:val="24"/>
      <w:szCs w:val="24"/>
    </w:rPr>
  </w:style>
  <w:style w:type="character" w:customStyle="1" w:styleId="204">
    <w:name w:val="标题 8 Char"/>
    <w:link w:val="192"/>
    <w:qFormat/>
    <w:uiPriority w:val="0"/>
    <w:rPr>
      <w:rFonts w:ascii="Arial" w:hAnsi="Arial" w:eastAsia="黑体" w:cs="Times New Roman"/>
      <w:sz w:val="24"/>
      <w:szCs w:val="24"/>
    </w:rPr>
  </w:style>
  <w:style w:type="character" w:customStyle="1" w:styleId="205">
    <w:name w:val="标题 9 Char"/>
    <w:link w:val="193"/>
    <w:qFormat/>
    <w:uiPriority w:val="0"/>
    <w:rPr>
      <w:rFonts w:ascii="Arial" w:hAnsi="Arial" w:eastAsia="黑体" w:cs="Times New Roman"/>
      <w:sz w:val="24"/>
      <w:szCs w:val="21"/>
    </w:rPr>
  </w:style>
  <w:style w:type="paragraph" w:customStyle="1" w:styleId="206">
    <w:name w:val="正文缩进1"/>
    <w:basedOn w:val="1"/>
    <w:qFormat/>
    <w:uiPriority w:val="0"/>
    <w:pPr>
      <w:ind w:firstLine="420"/>
    </w:pPr>
    <w:rPr>
      <w:rFonts w:ascii="Times New Roman" w:hAnsi="Times New Roman" w:eastAsia="宋体" w:cs="Times New Roman"/>
      <w:szCs w:val="20"/>
    </w:rPr>
  </w:style>
  <w:style w:type="paragraph" w:customStyle="1" w:styleId="207">
    <w:name w:val="文档结构图1"/>
    <w:basedOn w:val="1"/>
    <w:qFormat/>
    <w:uiPriority w:val="0"/>
    <w:pPr>
      <w:shd w:val="clear" w:color="auto" w:fill="000080"/>
    </w:pPr>
    <w:rPr>
      <w:rFonts w:ascii="Times New Roman" w:hAnsi="Times New Roman" w:eastAsia="宋体" w:cs="Times New Roman"/>
    </w:rPr>
  </w:style>
  <w:style w:type="paragraph" w:customStyle="1" w:styleId="208">
    <w:name w:val="批注文字1"/>
    <w:basedOn w:val="1"/>
    <w:link w:val="209"/>
    <w:qFormat/>
    <w:uiPriority w:val="0"/>
    <w:pPr>
      <w:jc w:val="left"/>
    </w:pPr>
  </w:style>
  <w:style w:type="character" w:customStyle="1" w:styleId="209">
    <w:name w:val="批注文字 Char"/>
    <w:link w:val="208"/>
    <w:qFormat/>
    <w:uiPriority w:val="0"/>
    <w:rPr>
      <w:rFonts w:ascii="Times New Roman" w:hAnsi="Times New Roman" w:eastAsia="宋体" w:cs="Times New Roman"/>
      <w:sz w:val="24"/>
      <w:szCs w:val="24"/>
    </w:rPr>
  </w:style>
  <w:style w:type="paragraph" w:customStyle="1" w:styleId="210">
    <w:name w:val="正文文本1"/>
    <w:basedOn w:val="1"/>
    <w:next w:val="211"/>
    <w:link w:val="214"/>
    <w:qFormat/>
    <w:uiPriority w:val="0"/>
    <w:pPr>
      <w:spacing w:after="120"/>
    </w:pPr>
  </w:style>
  <w:style w:type="paragraph" w:customStyle="1" w:styleId="211">
    <w:name w:val="一级条标题"/>
    <w:basedOn w:val="212"/>
    <w:next w:val="213"/>
    <w:qFormat/>
    <w:uiPriority w:val="0"/>
    <w:pPr>
      <w:spacing w:line="240" w:lineRule="auto"/>
      <w:ind w:left="420"/>
      <w:outlineLvl w:val="2"/>
    </w:pPr>
  </w:style>
  <w:style w:type="paragraph" w:customStyle="1" w:styleId="212">
    <w:name w:val="章标题"/>
    <w:next w:val="1"/>
    <w:qFormat/>
    <w:uiPriority w:val="0"/>
    <w:pPr>
      <w:spacing w:line="360" w:lineRule="auto"/>
      <w:jc w:val="both"/>
      <w:outlineLvl w:val="1"/>
    </w:pPr>
    <w:rPr>
      <w:rFonts w:hint="default" w:ascii="黑体" w:hAnsi="Times New Roman" w:eastAsia="黑体" w:cs="Times New Roman"/>
      <w:sz w:val="21"/>
      <w:szCs w:val="22"/>
      <w:lang w:val="en-US" w:eastAsia="zh-CN" w:bidi="ar-SA"/>
    </w:rPr>
  </w:style>
  <w:style w:type="paragraph" w:customStyle="1" w:styleId="213">
    <w:name w:val="段"/>
    <w:next w:val="1"/>
    <w:qFormat/>
    <w:uiPriority w:val="0"/>
    <w:pPr>
      <w:ind w:firstLine="200"/>
      <w:jc w:val="both"/>
    </w:pPr>
    <w:rPr>
      <w:rFonts w:hint="default" w:ascii="宋体" w:hAnsi="Times New Roman" w:eastAsia="宋体" w:cs="Times New Roman"/>
      <w:sz w:val="21"/>
      <w:szCs w:val="22"/>
      <w:lang w:val="en-US" w:eastAsia="zh-CN" w:bidi="ar-SA"/>
    </w:rPr>
  </w:style>
  <w:style w:type="character" w:customStyle="1" w:styleId="214">
    <w:name w:val="正文文本 Char"/>
    <w:link w:val="210"/>
    <w:qFormat/>
    <w:uiPriority w:val="0"/>
    <w:rPr>
      <w:rFonts w:ascii="Times New Roman" w:hAnsi="Times New Roman" w:eastAsia="宋体" w:cs="Times New Roman"/>
      <w:sz w:val="24"/>
      <w:szCs w:val="24"/>
    </w:rPr>
  </w:style>
  <w:style w:type="paragraph" w:customStyle="1" w:styleId="215">
    <w:name w:val="正文文本缩进1"/>
    <w:basedOn w:val="1"/>
    <w:next w:val="216"/>
    <w:link w:val="217"/>
    <w:qFormat/>
    <w:uiPriority w:val="0"/>
    <w:pPr>
      <w:spacing w:after="120"/>
      <w:ind w:left="420"/>
    </w:pPr>
    <w:rPr>
      <w:sz w:val="21"/>
    </w:rPr>
  </w:style>
  <w:style w:type="paragraph" w:customStyle="1" w:styleId="216">
    <w:name w:val="寄信人地址1"/>
    <w:basedOn w:val="1"/>
    <w:qFormat/>
    <w:uiPriority w:val="0"/>
    <w:rPr>
      <w:rFonts w:ascii="Arial" w:hAnsi="Arial" w:eastAsia="宋体" w:cs="Times New Roman"/>
    </w:rPr>
  </w:style>
  <w:style w:type="character" w:customStyle="1" w:styleId="217">
    <w:name w:val="正文文本缩进 Char"/>
    <w:link w:val="215"/>
    <w:qFormat/>
    <w:uiPriority w:val="0"/>
    <w:rPr>
      <w:rFonts w:ascii="Times New Roman" w:hAnsi="Times New Roman" w:eastAsia="宋体" w:cs="Times New Roman"/>
      <w:sz w:val="21"/>
      <w:szCs w:val="24"/>
    </w:rPr>
  </w:style>
  <w:style w:type="paragraph" w:customStyle="1" w:styleId="218">
    <w:name w:val="目录 31"/>
    <w:basedOn w:val="1"/>
    <w:next w:val="1"/>
    <w:qFormat/>
    <w:uiPriority w:val="0"/>
    <w:pPr>
      <w:ind w:left="840"/>
    </w:pPr>
    <w:rPr>
      <w:rFonts w:ascii="Times New Roman" w:hAnsi="Times New Roman" w:eastAsia="宋体" w:cs="Times New Roman"/>
    </w:rPr>
  </w:style>
  <w:style w:type="paragraph" w:customStyle="1" w:styleId="219">
    <w:name w:val="纯文本11"/>
    <w:basedOn w:val="1"/>
    <w:link w:val="220"/>
    <w:qFormat/>
    <w:uiPriority w:val="0"/>
    <w:rPr>
      <w:rFonts w:ascii="宋体" w:hAnsi="Courier New"/>
      <w:sz w:val="21"/>
      <w:szCs w:val="21"/>
    </w:rPr>
  </w:style>
  <w:style w:type="character" w:customStyle="1" w:styleId="220">
    <w:name w:val="纯文本 Char"/>
    <w:link w:val="219"/>
    <w:qFormat/>
    <w:uiPriority w:val="0"/>
    <w:rPr>
      <w:rFonts w:ascii="宋体" w:hAnsi="Courier New" w:eastAsia="宋体" w:cs="Courier New"/>
      <w:sz w:val="21"/>
      <w:szCs w:val="21"/>
    </w:rPr>
  </w:style>
  <w:style w:type="paragraph" w:customStyle="1" w:styleId="221">
    <w:name w:val="日期1"/>
    <w:basedOn w:val="1"/>
    <w:next w:val="1"/>
    <w:link w:val="222"/>
    <w:qFormat/>
    <w:uiPriority w:val="0"/>
    <w:pPr>
      <w:ind w:left="100"/>
    </w:pPr>
    <w:rPr>
      <w:rFonts w:eastAsia="仿宋_GB2312"/>
      <w:sz w:val="32"/>
    </w:rPr>
  </w:style>
  <w:style w:type="character" w:customStyle="1" w:styleId="222">
    <w:name w:val="日期 Char"/>
    <w:link w:val="221"/>
    <w:qFormat/>
    <w:uiPriority w:val="0"/>
    <w:rPr>
      <w:rFonts w:ascii="Times New Roman" w:hAnsi="Times New Roman" w:eastAsia="仿宋_GB2312" w:cs="Times New Roman"/>
      <w:sz w:val="32"/>
      <w:szCs w:val="24"/>
    </w:rPr>
  </w:style>
  <w:style w:type="paragraph" w:customStyle="1" w:styleId="223">
    <w:name w:val="批注框文本1"/>
    <w:basedOn w:val="1"/>
    <w:link w:val="224"/>
    <w:qFormat/>
    <w:uiPriority w:val="0"/>
    <w:rPr>
      <w:sz w:val="18"/>
      <w:szCs w:val="18"/>
    </w:rPr>
  </w:style>
  <w:style w:type="character" w:customStyle="1" w:styleId="224">
    <w:name w:val="批注框文本 Char"/>
    <w:link w:val="223"/>
    <w:qFormat/>
    <w:uiPriority w:val="0"/>
    <w:rPr>
      <w:rFonts w:ascii="Times New Roman" w:hAnsi="Times New Roman" w:eastAsia="宋体" w:cs="Times New Roman"/>
      <w:sz w:val="18"/>
      <w:szCs w:val="18"/>
    </w:rPr>
  </w:style>
  <w:style w:type="paragraph" w:customStyle="1" w:styleId="225">
    <w:name w:val="页眉1"/>
    <w:basedOn w:val="1"/>
    <w:link w:val="226"/>
    <w:qFormat/>
    <w:uiPriority w:val="0"/>
    <w:pPr>
      <w:pBdr>
        <w:bottom w:val="single" w:color="000000" w:sz="6" w:space="1"/>
      </w:pBdr>
      <w:tabs>
        <w:tab w:val="center" w:pos="4153"/>
        <w:tab w:val="right" w:pos="8306"/>
      </w:tabs>
      <w:jc w:val="center"/>
    </w:pPr>
    <w:rPr>
      <w:sz w:val="18"/>
      <w:szCs w:val="18"/>
    </w:rPr>
  </w:style>
  <w:style w:type="character" w:customStyle="1" w:styleId="226">
    <w:name w:val="页眉 Char"/>
    <w:link w:val="225"/>
    <w:qFormat/>
    <w:uiPriority w:val="0"/>
    <w:rPr>
      <w:rFonts w:ascii="Times New Roman" w:hAnsi="Times New Roman" w:eastAsia="宋体" w:cs="Times New Roman"/>
      <w:sz w:val="18"/>
      <w:szCs w:val="18"/>
    </w:rPr>
  </w:style>
  <w:style w:type="paragraph" w:customStyle="1" w:styleId="227">
    <w:name w:val="目录 11"/>
    <w:basedOn w:val="1"/>
    <w:next w:val="1"/>
    <w:qFormat/>
    <w:uiPriority w:val="0"/>
    <w:pPr>
      <w:spacing w:before="120" w:after="120" w:line="400" w:lineRule="exact"/>
      <w:ind w:firstLine="200"/>
      <w:jc w:val="left"/>
    </w:pPr>
    <w:rPr>
      <w:rFonts w:ascii="Calibri" w:hAnsi="Calibri" w:eastAsia="宋体" w:cs="Times New Roman"/>
      <w:b/>
      <w:bCs/>
      <w:caps/>
      <w:sz w:val="24"/>
      <w:szCs w:val="20"/>
    </w:rPr>
  </w:style>
  <w:style w:type="paragraph" w:customStyle="1" w:styleId="228">
    <w:name w:val="副标题1"/>
    <w:basedOn w:val="1"/>
    <w:next w:val="1"/>
    <w:link w:val="229"/>
    <w:qFormat/>
    <w:uiPriority w:val="0"/>
    <w:pPr>
      <w:spacing w:before="240" w:after="60" w:line="312" w:lineRule="auto"/>
      <w:jc w:val="center"/>
      <w:outlineLvl w:val="1"/>
    </w:pPr>
    <w:rPr>
      <w:rFonts w:ascii="Cambria" w:hAnsi="Cambria"/>
      <w:b/>
      <w:bCs/>
      <w:sz w:val="32"/>
      <w:szCs w:val="32"/>
    </w:rPr>
  </w:style>
  <w:style w:type="character" w:customStyle="1" w:styleId="229">
    <w:name w:val="副标题 Char"/>
    <w:link w:val="228"/>
    <w:qFormat/>
    <w:uiPriority w:val="0"/>
    <w:rPr>
      <w:rFonts w:ascii="Cambria" w:hAnsi="Cambria" w:eastAsia="宋体" w:cs="Times New Roman"/>
      <w:b/>
      <w:bCs/>
      <w:sz w:val="32"/>
      <w:szCs w:val="32"/>
    </w:rPr>
  </w:style>
  <w:style w:type="paragraph" w:customStyle="1" w:styleId="230">
    <w:name w:val="目录 21"/>
    <w:basedOn w:val="1"/>
    <w:next w:val="1"/>
    <w:qFormat/>
    <w:uiPriority w:val="0"/>
    <w:pPr>
      <w:tabs>
        <w:tab w:val="left" w:pos="840"/>
        <w:tab w:val="right" w:leader="dot" w:pos="8296"/>
      </w:tabs>
      <w:ind w:left="640"/>
      <w:jc w:val="left"/>
    </w:pPr>
    <w:rPr>
      <w:rFonts w:ascii="仿宋_GB2312" w:hAnsi="Times New Roman" w:eastAsia="仿宋_GB2312" w:cs="Times New Roman"/>
      <w:sz w:val="32"/>
      <w:szCs w:val="32"/>
    </w:rPr>
  </w:style>
  <w:style w:type="paragraph" w:customStyle="1" w:styleId="231">
    <w:name w:val="正文文本 21"/>
    <w:basedOn w:val="1"/>
    <w:link w:val="232"/>
    <w:qFormat/>
    <w:uiPriority w:val="0"/>
    <w:pPr>
      <w:spacing w:line="480" w:lineRule="atLeast"/>
    </w:pPr>
    <w:rPr>
      <w:rFonts w:ascii="宋体" w:hAnsi="宋体"/>
      <w:sz w:val="28"/>
      <w:szCs w:val="22"/>
    </w:rPr>
  </w:style>
  <w:style w:type="character" w:customStyle="1" w:styleId="232">
    <w:name w:val="正文文本 2 Char1"/>
    <w:link w:val="231"/>
    <w:qFormat/>
    <w:uiPriority w:val="0"/>
    <w:rPr>
      <w:rFonts w:ascii="宋体" w:hAnsi="宋体" w:eastAsia="宋体" w:cs="Times New Roman"/>
      <w:sz w:val="28"/>
      <w:szCs w:val="22"/>
    </w:rPr>
  </w:style>
  <w:style w:type="paragraph" w:customStyle="1" w:styleId="233">
    <w:name w:val="普通(网站)1"/>
    <w:basedOn w:val="1"/>
    <w:next w:val="1"/>
    <w:qFormat/>
    <w:uiPriority w:val="0"/>
    <w:pPr>
      <w:spacing w:before="100" w:beforeAutospacing="1" w:after="100" w:afterAutospacing="1"/>
      <w:ind w:left="0" w:right="0"/>
      <w:jc w:val="left"/>
    </w:pPr>
    <w:rPr>
      <w:rFonts w:ascii="Times New Roman" w:hAnsi="Times New Roman" w:eastAsia="宋体" w:cs="Times New Roman"/>
      <w:sz w:val="24"/>
      <w:lang w:val="en-US" w:eastAsia="zh-CN" w:bidi="ar"/>
    </w:rPr>
  </w:style>
  <w:style w:type="paragraph" w:customStyle="1" w:styleId="234">
    <w:name w:val="标题1"/>
    <w:basedOn w:val="1"/>
    <w:next w:val="1"/>
    <w:link w:val="235"/>
    <w:qFormat/>
    <w:uiPriority w:val="0"/>
    <w:pPr>
      <w:spacing w:before="240" w:after="60"/>
      <w:jc w:val="center"/>
      <w:outlineLvl w:val="0"/>
    </w:pPr>
    <w:rPr>
      <w:rFonts w:ascii="Cambria" w:hAnsi="Cambria"/>
      <w:b/>
      <w:bCs/>
      <w:sz w:val="36"/>
      <w:szCs w:val="32"/>
    </w:rPr>
  </w:style>
  <w:style w:type="character" w:customStyle="1" w:styleId="235">
    <w:name w:val="标题 Char"/>
    <w:link w:val="234"/>
    <w:qFormat/>
    <w:uiPriority w:val="0"/>
    <w:rPr>
      <w:rFonts w:ascii="Cambria" w:hAnsi="Cambria" w:eastAsia="宋体" w:cs="Times New Roman"/>
      <w:b/>
      <w:bCs/>
      <w:sz w:val="36"/>
      <w:szCs w:val="32"/>
    </w:rPr>
  </w:style>
  <w:style w:type="paragraph" w:customStyle="1" w:styleId="236">
    <w:name w:val="批注主题1"/>
    <w:basedOn w:val="208"/>
    <w:next w:val="208"/>
    <w:link w:val="237"/>
    <w:qFormat/>
    <w:uiPriority w:val="0"/>
    <w:rPr>
      <w:rFonts w:ascii="Calibri" w:hAnsi="Calibri"/>
      <w:b/>
      <w:bCs/>
      <w:sz w:val="21"/>
      <w:szCs w:val="22"/>
    </w:rPr>
  </w:style>
  <w:style w:type="character" w:customStyle="1" w:styleId="237">
    <w:name w:val="批注主题 Char"/>
    <w:link w:val="236"/>
    <w:qFormat/>
    <w:uiPriority w:val="0"/>
    <w:rPr>
      <w:rFonts w:ascii="Calibri" w:hAnsi="Calibri" w:eastAsia="宋体" w:cs="Times New Roman"/>
      <w:b/>
      <w:bCs/>
      <w:sz w:val="21"/>
      <w:szCs w:val="22"/>
    </w:rPr>
  </w:style>
  <w:style w:type="paragraph" w:customStyle="1" w:styleId="238">
    <w:name w:val="正文首行缩进1"/>
    <w:basedOn w:val="210"/>
    <w:next w:val="1"/>
    <w:qFormat/>
    <w:uiPriority w:val="0"/>
    <w:pPr>
      <w:ind w:firstLine="420"/>
    </w:pPr>
    <w:rPr>
      <w:rFonts w:ascii="Times New Roman" w:hAnsi="Times New Roman" w:eastAsia="宋体" w:cs="Times New Roman"/>
    </w:rPr>
  </w:style>
  <w:style w:type="paragraph" w:customStyle="1" w:styleId="239">
    <w:name w:val="正文首行缩进 21"/>
    <w:basedOn w:val="215"/>
    <w:next w:val="240"/>
    <w:qFormat/>
    <w:uiPriority w:val="0"/>
    <w:rPr>
      <w:rFonts w:ascii="Times New Roman" w:hAnsi="Times New Roman" w:eastAsia="宋体" w:cs="Times New Roman"/>
    </w:rPr>
  </w:style>
  <w:style w:type="paragraph" w:customStyle="1" w:styleId="240">
    <w:name w:val="正文1"/>
    <w:basedOn w:val="1"/>
    <w:next w:val="1"/>
    <w:qFormat/>
    <w:uiPriority w:val="0"/>
    <w:pPr>
      <w:spacing w:after="120" w:line="276" w:lineRule="auto"/>
      <w:ind w:left="141" w:firstLine="424"/>
    </w:pPr>
    <w:rPr>
      <w:rFonts w:ascii="微软雅黑" w:hAnsi="宋体" w:eastAsia="微软雅黑" w:cs="Times New Roman"/>
      <w:sz w:val="24"/>
      <w:szCs w:val="24"/>
    </w:rPr>
  </w:style>
  <w:style w:type="table" w:customStyle="1" w:styleId="241">
    <w:name w:val="网格型1"/>
    <w:basedOn w:val="195"/>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42">
    <w:name w:val="要点1"/>
    <w:link w:val="1"/>
    <w:qFormat/>
    <w:uiPriority w:val="0"/>
    <w:rPr>
      <w:rFonts w:ascii="Times New Roman" w:hAnsi="Times New Roman" w:eastAsia="宋体" w:cs="Times New Roman"/>
      <w:b/>
      <w:bCs/>
    </w:rPr>
  </w:style>
  <w:style w:type="character" w:customStyle="1" w:styleId="243">
    <w:name w:val="页码1"/>
    <w:link w:val="1"/>
    <w:qFormat/>
    <w:uiPriority w:val="0"/>
    <w:rPr>
      <w:rFonts w:ascii="Times New Roman" w:hAnsi="Times New Roman" w:eastAsia="宋体" w:cs="Times New Roman"/>
    </w:rPr>
  </w:style>
  <w:style w:type="character" w:customStyle="1" w:styleId="244">
    <w:name w:val="已访问的超链接1"/>
    <w:link w:val="1"/>
    <w:qFormat/>
    <w:uiPriority w:val="0"/>
    <w:rPr>
      <w:rFonts w:ascii="Times New Roman" w:hAnsi="Times New Roman" w:eastAsia="宋体" w:cs="Times New Roman"/>
      <w:color w:val="000000"/>
      <w:u w:val="none"/>
    </w:rPr>
  </w:style>
  <w:style w:type="character" w:customStyle="1" w:styleId="245">
    <w:name w:val="强调1"/>
    <w:link w:val="1"/>
    <w:qFormat/>
    <w:uiPriority w:val="0"/>
    <w:rPr>
      <w:rFonts w:ascii="Times New Roman" w:hAnsi="Times New Roman" w:eastAsia="宋体" w:cs="Times New Roman"/>
    </w:rPr>
  </w:style>
  <w:style w:type="character" w:customStyle="1" w:styleId="246">
    <w:name w:val="超链接1"/>
    <w:link w:val="1"/>
    <w:qFormat/>
    <w:uiPriority w:val="0"/>
    <w:rPr>
      <w:rFonts w:ascii="Times New Roman" w:hAnsi="Times New Roman" w:eastAsia="宋体" w:cs="Times New Roman"/>
      <w:color w:val="000000"/>
      <w:u w:val="none"/>
    </w:rPr>
  </w:style>
  <w:style w:type="character" w:customStyle="1" w:styleId="247">
    <w:name w:val="批注引用1"/>
    <w:link w:val="1"/>
    <w:qFormat/>
    <w:uiPriority w:val="0"/>
    <w:rPr>
      <w:rFonts w:ascii="Times New Roman" w:hAnsi="Times New Roman" w:eastAsia="宋体" w:cs="Times New Roman"/>
      <w:sz w:val="21"/>
      <w:szCs w:val="21"/>
    </w:rPr>
  </w:style>
  <w:style w:type="paragraph" w:customStyle="1" w:styleId="248">
    <w:name w:val="Default"/>
    <w:qFormat/>
    <w:uiPriority w:val="0"/>
    <w:pPr>
      <w:widowControl w:val="0"/>
    </w:pPr>
    <w:rPr>
      <w:rFonts w:hint="default" w:ascii="Tahoma" w:hAnsi="Tahoma" w:eastAsia="宋体" w:cs="Tahoma"/>
      <w:color w:val="000000"/>
      <w:sz w:val="24"/>
      <w:szCs w:val="24"/>
      <w:lang w:val="en-US" w:eastAsia="zh-CN" w:bidi="ar-SA"/>
    </w:rPr>
  </w:style>
  <w:style w:type="paragraph" w:customStyle="1" w:styleId="249">
    <w:name w:val="表格文字"/>
    <w:basedOn w:val="1"/>
    <w:qFormat/>
    <w:uiPriority w:val="0"/>
    <w:pPr>
      <w:spacing w:before="25" w:after="25"/>
    </w:pPr>
    <w:rPr>
      <w:rFonts w:ascii="Times New Roman" w:hAnsi="Times New Roman" w:eastAsia="宋体" w:cs="Times New Roman"/>
      <w:bCs/>
      <w:spacing w:val="10"/>
    </w:rPr>
  </w:style>
  <w:style w:type="character" w:customStyle="1" w:styleId="250">
    <w:name w:val="font01"/>
    <w:link w:val="1"/>
    <w:qFormat/>
    <w:uiPriority w:val="0"/>
    <w:rPr>
      <w:rFonts w:hint="eastAsia" w:ascii="宋体" w:hAnsi="宋体" w:eastAsia="宋体" w:cs="宋体"/>
      <w:color w:val="000000"/>
      <w:sz w:val="15"/>
      <w:szCs w:val="15"/>
      <w:u w:val="none"/>
    </w:rPr>
  </w:style>
  <w:style w:type="character" w:customStyle="1" w:styleId="251">
    <w:name w:val="font61"/>
    <w:link w:val="1"/>
    <w:qFormat/>
    <w:uiPriority w:val="0"/>
    <w:rPr>
      <w:rFonts w:ascii="Times New Roman" w:hAnsi="Times New Roman" w:eastAsia="宋体" w:cs="Times New Roman"/>
      <w:color w:val="000000"/>
      <w:sz w:val="22"/>
      <w:szCs w:val="22"/>
      <w:u w:val="none"/>
    </w:rPr>
  </w:style>
  <w:style w:type="paragraph" w:customStyle="1" w:styleId="252">
    <w:name w:val="my正文"/>
    <w:basedOn w:val="1"/>
    <w:link w:val="253"/>
    <w:qFormat/>
    <w:uiPriority w:val="0"/>
    <w:pPr>
      <w:spacing w:line="360" w:lineRule="auto"/>
      <w:ind w:firstLine="480"/>
    </w:pPr>
  </w:style>
  <w:style w:type="character" w:customStyle="1" w:styleId="253">
    <w:name w:val="my正文 Char"/>
    <w:link w:val="252"/>
    <w:qFormat/>
    <w:uiPriority w:val="0"/>
    <w:rPr>
      <w:rFonts w:ascii="Times New Roman" w:hAnsi="Times New Roman" w:eastAsia="宋体" w:cs="Times New Roman"/>
      <w:sz w:val="24"/>
      <w:szCs w:val="24"/>
    </w:rPr>
  </w:style>
  <w:style w:type="character" w:customStyle="1" w:styleId="254">
    <w:name w:val="more"/>
    <w:link w:val="1"/>
    <w:qFormat/>
    <w:uiPriority w:val="0"/>
    <w:rPr>
      <w:rFonts w:ascii="Times New Roman" w:hAnsi="Times New Roman" w:eastAsia="宋体" w:cs="Times New Roman"/>
      <w:color w:val="666666"/>
      <w:sz w:val="18"/>
      <w:szCs w:val="18"/>
    </w:rPr>
  </w:style>
  <w:style w:type="paragraph" w:customStyle="1" w:styleId="255">
    <w:name w:val="A2"/>
    <w:basedOn w:val="186"/>
    <w:next w:val="1"/>
    <w:link w:val="256"/>
    <w:qFormat/>
    <w:uiPriority w:val="0"/>
    <w:pPr>
      <w:spacing w:before="0" w:after="0" w:line="240" w:lineRule="auto"/>
      <w:ind w:left="737" w:hanging="737"/>
    </w:pPr>
    <w:rPr>
      <w:rFonts w:eastAsia="等线"/>
      <w:sz w:val="22"/>
    </w:rPr>
  </w:style>
  <w:style w:type="character" w:customStyle="1" w:styleId="256">
    <w:name w:val="A2 字符"/>
    <w:link w:val="255"/>
    <w:qFormat/>
    <w:uiPriority w:val="0"/>
    <w:rPr>
      <w:rFonts w:ascii="Cambria" w:hAnsi="Cambria" w:eastAsia="等线" w:cs="Times New Roman"/>
      <w:b/>
      <w:bCs/>
      <w:sz w:val="22"/>
      <w:szCs w:val="32"/>
    </w:rPr>
  </w:style>
  <w:style w:type="character" w:customStyle="1" w:styleId="257">
    <w:name w:val="font11"/>
    <w:link w:val="1"/>
    <w:qFormat/>
    <w:uiPriority w:val="0"/>
    <w:rPr>
      <w:rFonts w:hint="eastAsia" w:ascii="宋体" w:hAnsi="宋体" w:eastAsia="宋体" w:cs="宋体"/>
      <w:color w:val="000000"/>
      <w:sz w:val="15"/>
      <w:szCs w:val="15"/>
      <w:u w:val="none"/>
    </w:rPr>
  </w:style>
  <w:style w:type="character" w:customStyle="1" w:styleId="258">
    <w:name w:val="正文文本 2 Char"/>
    <w:link w:val="1"/>
    <w:qFormat/>
    <w:uiPriority w:val="0"/>
    <w:rPr>
      <w:rFonts w:ascii="Times New Roman" w:hAnsi="Times New Roman" w:eastAsia="宋体" w:cs="Times New Roman"/>
      <w:sz w:val="24"/>
      <w:szCs w:val="24"/>
    </w:rPr>
  </w:style>
  <w:style w:type="paragraph" w:customStyle="1" w:styleId="259">
    <w:name w:val="A33"/>
    <w:basedOn w:val="1"/>
    <w:link w:val="260"/>
    <w:qFormat/>
    <w:uiPriority w:val="0"/>
    <w:pPr>
      <w:keepNext/>
      <w:keepLines/>
      <w:outlineLvl w:val="2"/>
    </w:pPr>
    <w:rPr>
      <w:rFonts w:ascii="等线" w:hAnsi="等线" w:eastAsia="等线"/>
      <w:b/>
      <w:bCs/>
      <w:sz w:val="22"/>
      <w:szCs w:val="28"/>
    </w:rPr>
  </w:style>
  <w:style w:type="character" w:customStyle="1" w:styleId="260">
    <w:name w:val="A33 字符"/>
    <w:link w:val="259"/>
    <w:qFormat/>
    <w:uiPriority w:val="0"/>
    <w:rPr>
      <w:rFonts w:ascii="等线" w:hAnsi="等线" w:eastAsia="等线" w:cs="Times New Roman"/>
      <w:b/>
      <w:bCs/>
      <w:sz w:val="22"/>
      <w:szCs w:val="28"/>
    </w:rPr>
  </w:style>
  <w:style w:type="character" w:customStyle="1" w:styleId="261">
    <w:name w:val="font71"/>
    <w:link w:val="1"/>
    <w:qFormat/>
    <w:uiPriority w:val="0"/>
    <w:rPr>
      <w:rFonts w:ascii="仿宋_GB2312" w:hAnsi="Times New Roman" w:eastAsia="仿宋_GB2312" w:cs="仿宋_GB2312"/>
      <w:color w:val="000000"/>
      <w:sz w:val="22"/>
      <w:szCs w:val="22"/>
      <w:u w:val="none"/>
    </w:rPr>
  </w:style>
  <w:style w:type="character" w:customStyle="1" w:styleId="262">
    <w:name w:val="bg02"/>
    <w:link w:val="1"/>
    <w:qFormat/>
    <w:uiPriority w:val="0"/>
    <w:rPr>
      <w:rFonts w:ascii="Times New Roman" w:hAnsi="Times New Roman" w:eastAsia="宋体" w:cs="Times New Roman"/>
    </w:rPr>
  </w:style>
  <w:style w:type="paragraph" w:customStyle="1" w:styleId="263">
    <w:name w:val="A_Figure"/>
    <w:basedOn w:val="1"/>
    <w:next w:val="1"/>
    <w:link w:val="264"/>
    <w:qFormat/>
    <w:uiPriority w:val="0"/>
    <w:pPr>
      <w:widowControl/>
      <w:jc w:val="center"/>
    </w:pPr>
    <w:rPr>
      <w:rFonts w:eastAsia="等线"/>
      <w:b/>
      <w:sz w:val="20"/>
      <w:szCs w:val="20"/>
    </w:rPr>
  </w:style>
  <w:style w:type="character" w:customStyle="1" w:styleId="264">
    <w:name w:val="A_Figure 字符"/>
    <w:link w:val="263"/>
    <w:qFormat/>
    <w:uiPriority w:val="0"/>
    <w:rPr>
      <w:rFonts w:ascii="Times New Roman" w:hAnsi="Times New Roman" w:eastAsia="等线" w:cs="Times New Roman"/>
      <w:b/>
    </w:rPr>
  </w:style>
  <w:style w:type="character" w:customStyle="1" w:styleId="265">
    <w:name w:val="bg01"/>
    <w:link w:val="1"/>
    <w:qFormat/>
    <w:uiPriority w:val="0"/>
    <w:rPr>
      <w:rFonts w:ascii="Times New Roman" w:hAnsi="Times New Roman" w:eastAsia="宋体" w:cs="Times New Roman"/>
    </w:rPr>
  </w:style>
  <w:style w:type="character" w:customStyle="1" w:styleId="266">
    <w:name w:val="font91"/>
    <w:link w:val="1"/>
    <w:qFormat/>
    <w:uiPriority w:val="0"/>
    <w:rPr>
      <w:rFonts w:ascii="Times New Roman" w:hAnsi="Times New Roman" w:eastAsia="宋体" w:cs="Times New Roman"/>
      <w:color w:val="000000"/>
      <w:sz w:val="22"/>
      <w:szCs w:val="22"/>
      <w:u w:val="none"/>
    </w:rPr>
  </w:style>
  <w:style w:type="character" w:customStyle="1" w:styleId="267">
    <w:name w:val="font112"/>
    <w:link w:val="1"/>
    <w:qFormat/>
    <w:uiPriority w:val="0"/>
    <w:rPr>
      <w:rFonts w:ascii="仿宋_GB2312" w:hAnsi="Times New Roman" w:eastAsia="仿宋_GB2312" w:cs="仿宋_GB2312"/>
      <w:color w:val="000000"/>
      <w:sz w:val="24"/>
      <w:szCs w:val="24"/>
      <w:u w:val="none"/>
    </w:rPr>
  </w:style>
  <w:style w:type="character" w:customStyle="1" w:styleId="268">
    <w:name w:val="副标题 Char1"/>
    <w:link w:val="1"/>
    <w:qFormat/>
    <w:uiPriority w:val="0"/>
    <w:rPr>
      <w:rFonts w:ascii="Cambria" w:hAnsi="Cambria" w:eastAsia="宋体" w:cs="Times New Roman"/>
      <w:b/>
      <w:bCs/>
      <w:sz w:val="32"/>
      <w:szCs w:val="32"/>
    </w:rPr>
  </w:style>
  <w:style w:type="character" w:customStyle="1" w:styleId="269">
    <w:name w:val="font81"/>
    <w:link w:val="1"/>
    <w:qFormat/>
    <w:uiPriority w:val="0"/>
    <w:rPr>
      <w:rFonts w:ascii="Times New Roman" w:hAnsi="Times New Roman" w:eastAsia="宋体" w:cs="Times New Roman"/>
      <w:color w:val="000000"/>
      <w:sz w:val="24"/>
      <w:szCs w:val="24"/>
      <w:u w:val="none"/>
    </w:rPr>
  </w:style>
  <w:style w:type="character" w:customStyle="1" w:styleId="270">
    <w:name w:val="tabg"/>
    <w:link w:val="1"/>
    <w:qFormat/>
    <w:uiPriority w:val="0"/>
    <w:rPr>
      <w:rFonts w:ascii="微软雅黑" w:hAnsi="微软雅黑" w:eastAsia="微软雅黑" w:cs="微软雅黑"/>
      <w:color w:val="FFFFFF"/>
      <w:sz w:val="27"/>
      <w:szCs w:val="27"/>
    </w:rPr>
  </w:style>
  <w:style w:type="character" w:customStyle="1" w:styleId="271">
    <w:name w:val="font31"/>
    <w:link w:val="1"/>
    <w:qFormat/>
    <w:uiPriority w:val="0"/>
    <w:rPr>
      <w:rFonts w:hint="eastAsia" w:ascii="微软雅黑" w:hAnsi="微软雅黑" w:eastAsia="微软雅黑" w:cs="微软雅黑"/>
      <w:color w:val="000000"/>
      <w:sz w:val="22"/>
      <w:szCs w:val="22"/>
      <w:u w:val="none"/>
    </w:rPr>
  </w:style>
  <w:style w:type="character" w:customStyle="1" w:styleId="272">
    <w:name w:val="font51"/>
    <w:link w:val="1"/>
    <w:qFormat/>
    <w:uiPriority w:val="0"/>
    <w:rPr>
      <w:rFonts w:ascii="仿宋_GB2312" w:hAnsi="Times New Roman" w:eastAsia="仿宋_GB2312" w:cs="仿宋_GB2312"/>
      <w:color w:val="000000"/>
      <w:sz w:val="22"/>
      <w:szCs w:val="22"/>
      <w:u w:val="none"/>
    </w:rPr>
  </w:style>
  <w:style w:type="paragraph" w:customStyle="1" w:styleId="273">
    <w:name w:val="A1"/>
    <w:basedOn w:val="185"/>
    <w:link w:val="274"/>
    <w:qFormat/>
    <w:uiPriority w:val="0"/>
    <w:pPr>
      <w:spacing w:before="0" w:after="0" w:line="240" w:lineRule="auto"/>
      <w:ind w:left="737" w:hanging="737"/>
    </w:pPr>
    <w:rPr>
      <w:rFonts w:ascii="等线" w:hAnsi="等线" w:eastAsia="等线"/>
      <w:sz w:val="24"/>
      <w:szCs w:val="21"/>
    </w:rPr>
  </w:style>
  <w:style w:type="character" w:customStyle="1" w:styleId="274">
    <w:name w:val="A1 字符"/>
    <w:link w:val="273"/>
    <w:qFormat/>
    <w:uiPriority w:val="0"/>
    <w:rPr>
      <w:rFonts w:ascii="等线" w:hAnsi="等线" w:eastAsia="等线" w:cs="Times New Roman"/>
      <w:b/>
      <w:bCs/>
      <w:sz w:val="24"/>
      <w:szCs w:val="21"/>
    </w:rPr>
  </w:style>
  <w:style w:type="character" w:customStyle="1" w:styleId="275">
    <w:name w:val="point_normal"/>
    <w:link w:val="1"/>
    <w:qFormat/>
    <w:uiPriority w:val="0"/>
    <w:rPr>
      <w:rFonts w:ascii="Times New Roman" w:hAnsi="Times New Roman" w:eastAsia="宋体" w:cs="Times New Roman"/>
    </w:rPr>
  </w:style>
  <w:style w:type="paragraph" w:customStyle="1" w:styleId="276">
    <w:name w:val="文档正文"/>
    <w:basedOn w:val="1"/>
    <w:link w:val="277"/>
    <w:qFormat/>
    <w:uiPriority w:val="0"/>
    <w:pPr>
      <w:widowControl/>
      <w:spacing w:before="60" w:after="60" w:line="360" w:lineRule="auto"/>
      <w:ind w:firstLine="482"/>
    </w:pPr>
    <w:rPr>
      <w:szCs w:val="20"/>
    </w:rPr>
  </w:style>
  <w:style w:type="character" w:customStyle="1" w:styleId="277">
    <w:name w:val="文档正文 Char"/>
    <w:link w:val="276"/>
    <w:qFormat/>
    <w:uiPriority w:val="0"/>
    <w:rPr>
      <w:rFonts w:ascii="Times New Roman" w:hAnsi="Times New Roman" w:eastAsia="宋体" w:cs="Times New Roman"/>
      <w:sz w:val="24"/>
    </w:rPr>
  </w:style>
  <w:style w:type="character" w:customStyle="1" w:styleId="278">
    <w:name w:val="标题 Char1"/>
    <w:link w:val="1"/>
    <w:qFormat/>
    <w:uiPriority w:val="0"/>
    <w:rPr>
      <w:rFonts w:ascii="Cambria" w:hAnsi="Cambria" w:eastAsia="宋体" w:cs="Times New Roman"/>
      <w:b/>
      <w:bCs/>
      <w:sz w:val="32"/>
      <w:szCs w:val="32"/>
    </w:rPr>
  </w:style>
  <w:style w:type="paragraph" w:customStyle="1" w:styleId="27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default" w:ascii="宋体" w:hAnsi="宋体" w:eastAsia="宋体" w:cs="Times New Roman"/>
      <w:sz w:val="21"/>
      <w:szCs w:val="24"/>
      <w:lang w:val="en-US" w:eastAsia="zh-CN" w:bidi="ar-SA"/>
    </w:rPr>
  </w:style>
  <w:style w:type="paragraph" w:customStyle="1" w:styleId="280">
    <w:name w:val="所-2级"/>
    <w:basedOn w:val="1"/>
    <w:qFormat/>
    <w:uiPriority w:val="0"/>
    <w:pPr>
      <w:keepNext/>
      <w:keepLines/>
      <w:spacing w:after="160" w:line="360" w:lineRule="auto"/>
      <w:outlineLvl w:val="1"/>
    </w:pPr>
    <w:rPr>
      <w:rFonts w:ascii="Times New Roman" w:hAnsi="Times New Roman" w:eastAsia="宋体" w:cs="Times New Roman"/>
      <w:b/>
      <w:bCs/>
      <w:sz w:val="32"/>
      <w:szCs w:val="32"/>
    </w:rPr>
  </w:style>
  <w:style w:type="paragraph" w:customStyle="1" w:styleId="281">
    <w:name w:val="列出段落"/>
    <w:basedOn w:val="1"/>
    <w:qFormat/>
    <w:uiPriority w:val="0"/>
    <w:pPr>
      <w:ind w:firstLine="420"/>
    </w:pPr>
    <w:rPr>
      <w:rFonts w:ascii="Calibri" w:hAnsi="Calibri" w:eastAsia="宋体" w:cs="Times New Roman"/>
    </w:rPr>
  </w:style>
  <w:style w:type="paragraph" w:customStyle="1" w:styleId="282">
    <w:name w:val="p16"/>
    <w:basedOn w:val="1"/>
    <w:qFormat/>
    <w:uiPriority w:val="0"/>
    <w:pPr>
      <w:widowControl/>
      <w:ind w:firstLine="420"/>
    </w:pPr>
    <w:rPr>
      <w:rFonts w:ascii="Times New Roman" w:hAnsi="Times New Roman" w:eastAsia="宋体" w:cs="Times New Roman"/>
      <w:szCs w:val="20"/>
    </w:rPr>
  </w:style>
  <w:style w:type="paragraph" w:customStyle="1" w:styleId="283">
    <w:name w:val="正文 "/>
    <w:basedOn w:val="1"/>
    <w:qFormat/>
    <w:uiPriority w:val="0"/>
    <w:pPr>
      <w:spacing w:line="318" w:lineRule="atLeast"/>
      <w:ind w:left="369" w:firstLine="369"/>
    </w:pPr>
    <w:rPr>
      <w:rFonts w:ascii="宋体" w:hAnsi="Times New Roman" w:eastAsia="宋体" w:cs="Times New Roman"/>
      <w:sz w:val="21"/>
      <w:szCs w:val="20"/>
    </w:rPr>
  </w:style>
  <w:style w:type="paragraph" w:customStyle="1" w:styleId="284">
    <w:name w:val="_Style 1"/>
    <w:basedOn w:val="1"/>
    <w:qFormat/>
    <w:uiPriority w:val="0"/>
    <w:pPr>
      <w:ind w:firstLine="200"/>
    </w:pPr>
    <w:rPr>
      <w:rFonts w:ascii="Times New Roman" w:hAnsi="Times New Roman" w:eastAsia="宋体" w:cs="Times New Roman"/>
      <w:szCs w:val="20"/>
    </w:rPr>
  </w:style>
  <w:style w:type="paragraph" w:customStyle="1" w:styleId="285">
    <w:name w:val="样式2"/>
    <w:basedOn w:val="1"/>
    <w:qFormat/>
    <w:uiPriority w:val="0"/>
    <w:rPr>
      <w:rFonts w:ascii="Times New Roman" w:hAnsi="Times New Roman" w:eastAsia="华文中宋" w:cs="Times New Roman"/>
      <w:sz w:val="44"/>
    </w:rPr>
  </w:style>
  <w:style w:type="paragraph" w:customStyle="1" w:styleId="286">
    <w:name w:val="样式1"/>
    <w:basedOn w:val="1"/>
    <w:qFormat/>
    <w:uiPriority w:val="0"/>
    <w:rPr>
      <w:rFonts w:ascii="Times New Roman" w:hAnsi="Times New Roman" w:eastAsia="仿宋_GB2312" w:cs="Times New Roman"/>
      <w:sz w:val="32"/>
    </w:rPr>
  </w:style>
  <w:style w:type="paragraph" w:customStyle="1" w:styleId="287">
    <w:name w:val=" Char"/>
    <w:basedOn w:val="1"/>
    <w:qFormat/>
    <w:uiPriority w:val="0"/>
    <w:rPr>
      <w:rFonts w:ascii="Times New Roman" w:hAnsi="Times New Roman" w:eastAsia="宋体" w:cs="Times New Roman"/>
      <w:szCs w:val="21"/>
    </w:rPr>
  </w:style>
  <w:style w:type="paragraph" w:customStyle="1" w:styleId="288">
    <w:name w:val="TOC 标题1"/>
    <w:basedOn w:val="185"/>
    <w:next w:val="1"/>
    <w:qFormat/>
    <w:uiPriority w:val="0"/>
    <w:pPr>
      <w:widowControl/>
      <w:spacing w:before="480" w:after="0" w:line="276" w:lineRule="auto"/>
      <w:jc w:val="left"/>
      <w:outlineLvl w:val="9"/>
    </w:pPr>
    <w:rPr>
      <w:rFonts w:ascii="Cambria" w:hAnsi="Cambria" w:eastAsia="宋体" w:cs="Times New Roman"/>
      <w:color w:val="365F91"/>
      <w:sz w:val="28"/>
      <w:szCs w:val="28"/>
      <w:lang w:val="en-US" w:eastAsia="zh-CN"/>
    </w:rPr>
  </w:style>
  <w:style w:type="paragraph" w:customStyle="1" w:styleId="289">
    <w:name w:val="11"/>
    <w:basedOn w:val="1"/>
    <w:qFormat/>
    <w:uiPriority w:val="0"/>
    <w:pPr>
      <w:widowControl/>
      <w:spacing w:line="360" w:lineRule="auto"/>
      <w:ind w:firstLine="420"/>
      <w:jc w:val="left"/>
    </w:pPr>
    <w:rPr>
      <w:rFonts w:ascii="Arial" w:hAnsi="Arial" w:eastAsia="宋体" w:cs="宋体"/>
      <w:color w:val="000000"/>
      <w:sz w:val="21"/>
      <w:szCs w:val="20"/>
    </w:rPr>
  </w:style>
  <w:style w:type="paragraph" w:customStyle="1" w:styleId="290">
    <w:name w:val="_Style 31"/>
    <w:basedOn w:val="207"/>
    <w:qFormat/>
    <w:uiPriority w:val="0"/>
    <w:rPr>
      <w:rFonts w:ascii="Times New Roman" w:hAnsi="Times New Roman" w:eastAsia="宋体" w:cs="Times New Roman"/>
      <w:szCs w:val="20"/>
      <w:shd w:val="clear" w:color="auto" w:fill="000080"/>
    </w:rPr>
  </w:style>
  <w:style w:type="paragraph" w:customStyle="1" w:styleId="291">
    <w:name w:val="正文 New"/>
    <w:qFormat/>
    <w:uiPriority w:val="0"/>
    <w:pPr>
      <w:widowControl w:val="0"/>
      <w:jc w:val="both"/>
    </w:pPr>
    <w:rPr>
      <w:rFonts w:hint="default" w:ascii="宋体" w:hAnsi="宋体" w:eastAsia="宋体" w:cs="Times New Roman"/>
      <w:sz w:val="21"/>
      <w:szCs w:val="24"/>
      <w:lang w:val="en-US" w:eastAsia="zh-CN" w:bidi="ar-SA"/>
    </w:rPr>
  </w:style>
  <w:style w:type="paragraph" w:customStyle="1" w:styleId="292">
    <w:name w:val="样式3"/>
    <w:basedOn w:val="285"/>
    <w:qFormat/>
    <w:uiPriority w:val="0"/>
    <w:pPr>
      <w:jc w:val="center"/>
    </w:pPr>
    <w:rPr>
      <w:rFonts w:ascii="Times New Roman" w:hAnsi="Times New Roman" w:eastAsia="宋体" w:cs="Times New Roman"/>
    </w:rPr>
  </w:style>
  <w:style w:type="paragraph" w:customStyle="1" w:styleId="293">
    <w:name w:val="表身（左）"/>
    <w:qFormat/>
    <w:uiPriority w:val="0"/>
    <w:pPr>
      <w:spacing w:line="300" w:lineRule="auto"/>
    </w:pPr>
    <w:rPr>
      <w:rFonts w:hint="default" w:ascii="Times New Roman" w:hAnsi="Times New Roman" w:eastAsia="宋体" w:cs="Times New Roman"/>
      <w:sz w:val="16"/>
      <w:lang w:val="en-US" w:eastAsia="zh-CN" w:bidi="ar-SA"/>
    </w:rPr>
  </w:style>
  <w:style w:type="paragraph" w:customStyle="1" w:styleId="294">
    <w:name w:val="所-4级"/>
    <w:basedOn w:val="1"/>
    <w:qFormat/>
    <w:uiPriority w:val="0"/>
    <w:pPr>
      <w:spacing w:line="360" w:lineRule="auto"/>
      <w:outlineLvl w:val="3"/>
    </w:pPr>
    <w:rPr>
      <w:rFonts w:ascii="Times New Roman" w:hAnsi="Times New Roman" w:eastAsia="宋体" w:cs="Times New Roman"/>
      <w:b/>
      <w:bCs/>
      <w:szCs w:val="20"/>
    </w:rPr>
  </w:style>
  <w:style w:type="paragraph" w:customStyle="1" w:styleId="295">
    <w:name w:val="列出段落1"/>
    <w:basedOn w:val="1"/>
    <w:qFormat/>
    <w:uiPriority w:val="0"/>
    <w:pPr>
      <w:ind w:firstLine="420"/>
    </w:pPr>
    <w:rPr>
      <w:rFonts w:ascii="Calibri" w:hAnsi="Calibri" w:eastAsia="宋体" w:cs="Times New Roman"/>
      <w:sz w:val="21"/>
      <w:szCs w:val="22"/>
    </w:rPr>
  </w:style>
  <w:style w:type="paragraph" w:customStyle="1" w:styleId="296">
    <w:name w:val="_Style 2"/>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paragraph" w:customStyle="1" w:styleId="297">
    <w:name w:val="所-1级"/>
    <w:basedOn w:val="1"/>
    <w:qFormat/>
    <w:uiPriority w:val="0"/>
    <w:pPr>
      <w:keepNext/>
      <w:keepLines/>
      <w:pageBreakBefore/>
      <w:spacing w:after="160" w:line="360" w:lineRule="auto"/>
      <w:jc w:val="center"/>
      <w:outlineLvl w:val="0"/>
    </w:pPr>
    <w:rPr>
      <w:rFonts w:ascii="Times New Roman" w:hAnsi="Times New Roman" w:eastAsia="黑体" w:cs="Times New Roman"/>
      <w:b/>
      <w:bCs/>
      <w:sz w:val="44"/>
      <w:szCs w:val="44"/>
    </w:rPr>
  </w:style>
  <w:style w:type="character" w:customStyle="1" w:styleId="298">
    <w:name w:val="NormalCharacter1"/>
    <w:link w:val="1"/>
    <w:qFormat/>
    <w:uiPriority w:val="0"/>
    <w:rPr>
      <w:rFonts w:ascii="Times New Roman" w:hAnsi="Times New Roman" w:eastAsia="宋体" w:cs="Times New Roman"/>
    </w:rPr>
  </w:style>
  <w:style w:type="character" w:customStyle="1" w:styleId="299">
    <w:name w:val="正文文本缩进 Char1"/>
    <w:link w:val="1"/>
    <w:qFormat/>
    <w:uiPriority w:val="0"/>
    <w:rPr>
      <w:rFonts w:ascii="Times New Roman" w:hAnsi="Times New Roman" w:eastAsia="宋体" w:cs="Times New Roman"/>
      <w:sz w:val="21"/>
      <w:szCs w:val="24"/>
    </w:rPr>
  </w:style>
  <w:style w:type="paragraph" w:customStyle="1" w:styleId="300">
    <w:name w:val="无间隔"/>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character" w:customStyle="1" w:styleId="301">
    <w:name w:val="标题 3（绿盟科技） Char"/>
    <w:link w:val="302"/>
    <w:qFormat/>
    <w:uiPriority w:val="0"/>
    <w:rPr>
      <w:rFonts w:ascii="Times New Roman" w:hAnsi="Times New Roman" w:eastAsia="宋体" w:cs="Times New Roman"/>
      <w:sz w:val="24"/>
      <w:szCs w:val="24"/>
    </w:rPr>
  </w:style>
  <w:style w:type="paragraph" w:customStyle="1" w:styleId="302">
    <w:name w:val="标题 3（绿盟科技）"/>
    <w:basedOn w:val="1"/>
    <w:link w:val="301"/>
    <w:qFormat/>
    <w:uiPriority w:val="0"/>
    <w:pPr>
      <w:numPr>
        <w:ilvl w:val="2"/>
        <w:numId w:val="1"/>
      </w:numPr>
      <w:spacing w:line="360" w:lineRule="auto"/>
      <w:ind w:firstLine="0"/>
    </w:pPr>
  </w:style>
  <w:style w:type="paragraph" w:customStyle="1" w:styleId="303">
    <w:name w:val="列表段落1"/>
    <w:basedOn w:val="1"/>
    <w:qFormat/>
    <w:uiPriority w:val="0"/>
    <w:pPr>
      <w:ind w:firstLine="420"/>
    </w:pPr>
    <w:rPr>
      <w:rFonts w:ascii="Calibri" w:hAnsi="Calibri" w:eastAsia="宋体" w:cs="Times New Roman"/>
      <w:sz w:val="21"/>
      <w:szCs w:val="22"/>
    </w:rPr>
  </w:style>
  <w:style w:type="paragraph" w:customStyle="1" w:styleId="304">
    <w:name w:val="!正文"/>
    <w:basedOn w:val="1"/>
    <w:qFormat/>
    <w:uiPriority w:val="0"/>
    <w:pPr>
      <w:spacing w:line="360" w:lineRule="auto"/>
      <w:ind w:firstLine="200"/>
      <w:jc w:val="left"/>
    </w:pPr>
    <w:rPr>
      <w:rFonts w:ascii="Calibri" w:hAnsi="Calibri" w:cs="宋体"/>
      <w:color w:val="000000"/>
    </w:rPr>
  </w:style>
  <w:style w:type="paragraph" w:customStyle="1" w:styleId="305">
    <w:name w:val="纯文本1"/>
    <w:basedOn w:val="1"/>
    <w:qFormat/>
    <w:uiPriority w:val="0"/>
    <w:rPr>
      <w:rFonts w:ascii="宋体" w:hAnsi="Courier New" w:cs="Times New Roman"/>
      <w:sz w:val="24"/>
      <w:szCs w:val="20"/>
    </w:rPr>
  </w:style>
  <w:style w:type="character" w:customStyle="1" w:styleId="306">
    <w:name w:val="font41"/>
    <w:basedOn w:val="3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128</Pages>
  <Words>17662</Words>
  <Characters>18331</Characters>
  <TotalTime>35</TotalTime>
  <ScaleCrop>false</ScaleCrop>
  <LinksUpToDate>false</LinksUpToDate>
  <CharactersWithSpaces>19170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dc:creator>
  <cp:lastModifiedBy>缠绕</cp:lastModifiedBy>
  <dcterms:modified xsi:type="dcterms:W3CDTF">2024-11-13T03:32:07Z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289A24A2BBCC42BFB26EFF27D101932C_12</vt:lpwstr>
  </property>
</Properties>
</file>