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jpeg" ContentType="image/jpeg"/>
  <Default Extension="JPG" ContentType="image/.jp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B1A47B0">
      <w:pPr>
        <w:pStyle w:val="9"/>
        <w:snapToGrid w:val="0"/>
        <w:spacing w:before="0" w:beforeAutospacing="0" w:after="0" w:afterAutospacing="0" w:line="360" w:lineRule="auto"/>
        <w:jc w:val="left"/>
        <w:textAlignment w:val="baseline"/>
        <w:rPr>
          <w:rFonts w:hint="default" w:ascii="宋体" w:hAnsi="宋体" w:eastAsia="宋体" w:cs="宋体"/>
          <w:b w:val="0"/>
          <w:i w:val="0"/>
          <w:caps w:val="0"/>
          <w:color w:val="auto"/>
          <w:spacing w:val="0"/>
          <w:w w:val="100"/>
          <w:sz w:val="30"/>
          <w:highlight w:val="none"/>
          <w:lang w:val="en-US" w:eastAsia="zh-CN"/>
        </w:rPr>
      </w:pPr>
      <w:r>
        <w:rPr>
          <w:rFonts w:hint="eastAsia" w:ascii="宋体" w:hAnsi="宋体" w:eastAsia="宋体" w:cs="宋体"/>
          <w:b w:val="0"/>
          <w:i w:val="0"/>
          <w:caps w:val="0"/>
          <w:color w:val="auto"/>
          <w:spacing w:val="0"/>
          <w:w w:val="100"/>
          <w:sz w:val="30"/>
          <w:highlight w:val="none"/>
          <w:lang w:eastAsia="zh-CN"/>
        </w:rPr>
        <w:t>招标项目编号</w:t>
      </w:r>
      <w:r>
        <w:rPr>
          <w:rFonts w:hint="eastAsia" w:ascii="宋体" w:hAnsi="宋体" w:eastAsia="宋体" w:cs="宋体"/>
          <w:b w:val="0"/>
          <w:i w:val="0"/>
          <w:caps w:val="0"/>
          <w:color w:val="auto"/>
          <w:spacing w:val="0"/>
          <w:w w:val="100"/>
          <w:sz w:val="30"/>
          <w:highlight w:val="none"/>
        </w:rPr>
        <w:t>：</w:t>
      </w:r>
      <w:r>
        <w:rPr>
          <w:rFonts w:hint="eastAsia" w:ascii="宋体" w:hAnsi="宋体" w:eastAsia="宋体" w:cs="宋体"/>
          <w:b w:val="0"/>
          <w:i w:val="0"/>
          <w:caps w:val="0"/>
          <w:color w:val="auto"/>
          <w:spacing w:val="0"/>
          <w:w w:val="100"/>
          <w:sz w:val="30"/>
          <w:highlight w:val="none"/>
          <w:lang w:eastAsia="zh-CN"/>
        </w:rPr>
        <w:t>青海佳荣竞磋(工程)2024-086</w:t>
      </w:r>
    </w:p>
    <w:p w14:paraId="39B50BC8">
      <w:pPr>
        <w:pStyle w:val="10"/>
        <w:rPr>
          <w:rFonts w:hint="eastAsia"/>
          <w:color w:val="auto"/>
        </w:rPr>
      </w:pPr>
    </w:p>
    <w:p w14:paraId="3294D926">
      <w:pPr>
        <w:pStyle w:val="11"/>
        <w:rPr>
          <w:rFonts w:hint="eastAsia"/>
          <w:color w:val="auto"/>
        </w:rPr>
      </w:pPr>
    </w:p>
    <w:p w14:paraId="0E3ADE44">
      <w:pPr>
        <w:pStyle w:val="9"/>
        <w:jc w:val="center"/>
        <w:rPr>
          <w:rFonts w:hint="eastAsia" w:ascii="宋体" w:hAnsi="宋体" w:eastAsia="宋体" w:cs="宋体"/>
          <w:color w:val="auto"/>
          <w:sz w:val="52"/>
          <w:szCs w:val="52"/>
        </w:rPr>
      </w:pPr>
      <w:r>
        <w:rPr>
          <w:rFonts w:hint="eastAsia" w:ascii="宋体" w:hAnsi="宋体" w:eastAsia="宋体" w:cs="宋体"/>
          <w:b w:val="0"/>
          <w:i w:val="0"/>
          <w:caps w:val="0"/>
          <w:color w:val="auto"/>
          <w:spacing w:val="0"/>
          <w:w w:val="100"/>
          <w:kern w:val="2"/>
          <w:sz w:val="52"/>
          <w:szCs w:val="52"/>
          <w:highlight w:val="none"/>
          <w:lang w:eastAsia="zh-CN"/>
        </w:rPr>
        <w:t>G315国道茫崖市黄瓜梁至茫崖镇路口路域环境整治项目</w:t>
      </w:r>
    </w:p>
    <w:p w14:paraId="2E84EA06">
      <w:pPr>
        <w:pStyle w:val="10"/>
        <w:rPr>
          <w:rFonts w:hint="eastAsia"/>
          <w:color w:val="auto"/>
        </w:rPr>
      </w:pPr>
    </w:p>
    <w:p w14:paraId="4F9C7B1E">
      <w:pPr>
        <w:pStyle w:val="11"/>
        <w:rPr>
          <w:rFonts w:hint="eastAsia"/>
          <w:color w:val="auto"/>
        </w:rPr>
      </w:pPr>
    </w:p>
    <w:p w14:paraId="6B8CA265">
      <w:pPr>
        <w:pStyle w:val="21"/>
        <w:snapToGrid w:val="0"/>
        <w:spacing w:before="0" w:beforeAutospacing="0" w:after="0" w:afterAutospacing="0" w:line="360" w:lineRule="auto"/>
        <w:jc w:val="center"/>
        <w:textAlignment w:val="baseline"/>
        <w:outlineLvl w:val="9"/>
        <w:rPr>
          <w:rFonts w:hint="eastAsia" w:ascii="宋体" w:hAnsi="宋体" w:eastAsia="宋体" w:cs="宋体"/>
          <w:b w:val="0"/>
          <w:bCs w:val="0"/>
          <w:i w:val="0"/>
          <w:caps w:val="0"/>
          <w:color w:val="auto"/>
          <w:spacing w:val="0"/>
          <w:w w:val="100"/>
          <w:sz w:val="96"/>
          <w:highlight w:val="none"/>
        </w:rPr>
      </w:pPr>
      <w:bookmarkStart w:id="0" w:name="_Toc18364"/>
      <w:bookmarkStart w:id="1" w:name="_Toc22260"/>
      <w:bookmarkStart w:id="2" w:name="_Toc7867"/>
      <w:bookmarkStart w:id="3" w:name="_Toc24770"/>
      <w:bookmarkStart w:id="4" w:name="_Toc17044"/>
      <w:bookmarkStart w:id="5" w:name="_Toc4324"/>
      <w:bookmarkStart w:id="6" w:name="_Toc13609"/>
      <w:bookmarkStart w:id="7" w:name="_Toc31424"/>
      <w:bookmarkStart w:id="8" w:name="_Toc23710"/>
      <w:r>
        <w:rPr>
          <w:rFonts w:hint="eastAsia" w:ascii="宋体" w:hAnsi="宋体" w:eastAsia="宋体" w:cs="宋体"/>
          <w:b w:val="0"/>
          <w:bCs w:val="0"/>
          <w:i w:val="0"/>
          <w:caps w:val="0"/>
          <w:color w:val="auto"/>
          <w:spacing w:val="0"/>
          <w:w w:val="100"/>
          <w:sz w:val="96"/>
          <w:highlight w:val="none"/>
        </w:rPr>
        <w:t>竞争性磋商文件</w:t>
      </w:r>
      <w:bookmarkEnd w:id="0"/>
      <w:bookmarkEnd w:id="1"/>
      <w:bookmarkEnd w:id="2"/>
      <w:bookmarkEnd w:id="3"/>
      <w:bookmarkEnd w:id="4"/>
      <w:bookmarkEnd w:id="5"/>
      <w:bookmarkEnd w:id="6"/>
      <w:bookmarkEnd w:id="7"/>
      <w:bookmarkEnd w:id="8"/>
    </w:p>
    <w:p w14:paraId="3E612E58">
      <w:pPr>
        <w:snapToGrid w:val="0"/>
        <w:spacing w:before="0" w:beforeAutospacing="0" w:after="0" w:afterAutospacing="0" w:line="480" w:lineRule="auto"/>
        <w:jc w:val="center"/>
        <w:textAlignment w:val="baseline"/>
        <w:rPr>
          <w:rFonts w:hint="eastAsia" w:ascii="宋体" w:hAnsi="宋体" w:eastAsia="宋体" w:cs="宋体"/>
          <w:b w:val="0"/>
          <w:i w:val="0"/>
          <w:caps w:val="0"/>
          <w:color w:val="auto"/>
          <w:spacing w:val="0"/>
          <w:w w:val="100"/>
          <w:sz w:val="32"/>
          <w:szCs w:val="32"/>
          <w:highlight w:val="none"/>
          <w:lang w:val="en-US" w:eastAsia="zh-CN"/>
        </w:rPr>
      </w:pPr>
    </w:p>
    <w:p w14:paraId="287E84F9">
      <w:pPr>
        <w:pStyle w:val="38"/>
        <w:rPr>
          <w:rFonts w:hint="eastAsia"/>
          <w:color w:val="auto"/>
          <w:lang w:val="en-US" w:eastAsia="zh-CN"/>
        </w:rPr>
      </w:pPr>
    </w:p>
    <w:p w14:paraId="16197E8C">
      <w:pPr>
        <w:pStyle w:val="39"/>
        <w:rPr>
          <w:rFonts w:hint="eastAsia" w:ascii="宋体" w:hAnsi="宋体" w:eastAsia="宋体" w:cs="宋体"/>
          <w:b w:val="0"/>
          <w:i w:val="0"/>
          <w:caps w:val="0"/>
          <w:color w:val="auto"/>
          <w:spacing w:val="0"/>
          <w:w w:val="100"/>
          <w:sz w:val="32"/>
          <w:szCs w:val="32"/>
          <w:highlight w:val="none"/>
          <w:lang w:val="en-US" w:eastAsia="zh-CN"/>
        </w:rPr>
      </w:pPr>
    </w:p>
    <w:p w14:paraId="5817F99A">
      <w:pPr>
        <w:pStyle w:val="38"/>
        <w:rPr>
          <w:rFonts w:hint="eastAsia"/>
          <w:color w:val="auto"/>
          <w:lang w:val="en-US" w:eastAsia="zh-CN"/>
        </w:rPr>
      </w:pPr>
    </w:p>
    <w:p w14:paraId="4CBC3A83">
      <w:pPr>
        <w:snapToGrid w:val="0"/>
        <w:spacing w:before="0" w:beforeAutospacing="0" w:after="0" w:afterAutospacing="0" w:line="360" w:lineRule="auto"/>
        <w:ind w:firstLine="600" w:firstLineChars="200"/>
        <w:textAlignment w:val="baseline"/>
        <w:outlineLvl w:val="9"/>
        <w:rPr>
          <w:rFonts w:hint="eastAsia" w:ascii="宋体" w:hAnsi="宋体" w:eastAsia="宋体" w:cs="宋体"/>
          <w:b w:val="0"/>
          <w:i w:val="0"/>
          <w:caps w:val="0"/>
          <w:color w:val="auto"/>
          <w:spacing w:val="0"/>
          <w:w w:val="100"/>
          <w:sz w:val="32"/>
          <w:szCs w:val="32"/>
          <w:highlight w:val="none"/>
          <w:lang w:eastAsia="zh-CN"/>
        </w:rPr>
      </w:pPr>
      <w:r>
        <w:rPr>
          <w:rFonts w:hint="eastAsia" w:ascii="宋体" w:hAnsi="宋体" w:eastAsia="宋体" w:cs="宋体"/>
          <w:b w:val="0"/>
          <w:i w:val="0"/>
          <w:caps w:val="0"/>
          <w:color w:val="auto"/>
          <w:spacing w:val="0"/>
          <w:w w:val="100"/>
          <w:sz w:val="30"/>
          <w:szCs w:val="30"/>
          <w:highlight w:val="none"/>
        </w:rPr>
        <w:t xml:space="preserve">招 </w:t>
      </w:r>
      <w:r>
        <w:rPr>
          <w:rFonts w:hint="eastAsia" w:ascii="宋体" w:hAnsi="宋体" w:eastAsia="宋体" w:cs="宋体"/>
          <w:b w:val="0"/>
          <w:i w:val="0"/>
          <w:caps w:val="0"/>
          <w:color w:val="auto"/>
          <w:spacing w:val="0"/>
          <w:w w:val="100"/>
          <w:sz w:val="30"/>
          <w:szCs w:val="30"/>
          <w:highlight w:val="none"/>
          <w:lang w:val="en-US" w:eastAsia="zh-CN"/>
        </w:rPr>
        <w:t xml:space="preserve">  </w:t>
      </w:r>
      <w:r>
        <w:rPr>
          <w:rFonts w:hint="eastAsia" w:ascii="宋体" w:hAnsi="宋体" w:eastAsia="宋体" w:cs="宋体"/>
          <w:b w:val="0"/>
          <w:i w:val="0"/>
          <w:caps w:val="0"/>
          <w:color w:val="auto"/>
          <w:spacing w:val="0"/>
          <w:w w:val="100"/>
          <w:sz w:val="30"/>
          <w:szCs w:val="30"/>
          <w:highlight w:val="none"/>
        </w:rPr>
        <w:t xml:space="preserve">标 </w:t>
      </w:r>
      <w:r>
        <w:rPr>
          <w:rFonts w:hint="eastAsia" w:ascii="宋体" w:hAnsi="宋体" w:eastAsia="宋体" w:cs="宋体"/>
          <w:b w:val="0"/>
          <w:i w:val="0"/>
          <w:caps w:val="0"/>
          <w:color w:val="auto"/>
          <w:spacing w:val="0"/>
          <w:w w:val="100"/>
          <w:sz w:val="30"/>
          <w:szCs w:val="30"/>
          <w:highlight w:val="none"/>
          <w:lang w:val="en-US" w:eastAsia="zh-CN"/>
        </w:rPr>
        <w:t xml:space="preserve">  </w:t>
      </w:r>
      <w:r>
        <w:rPr>
          <w:rFonts w:hint="eastAsia" w:ascii="宋体" w:hAnsi="宋体" w:eastAsia="宋体" w:cs="宋体"/>
          <w:b w:val="0"/>
          <w:i w:val="0"/>
          <w:caps w:val="0"/>
          <w:color w:val="auto"/>
          <w:spacing w:val="0"/>
          <w:w w:val="100"/>
          <w:sz w:val="30"/>
          <w:szCs w:val="30"/>
          <w:highlight w:val="none"/>
        </w:rPr>
        <w:t>人：</w:t>
      </w:r>
      <w:r>
        <w:rPr>
          <w:rFonts w:hint="eastAsia" w:ascii="宋体" w:hAnsi="宋体" w:cs="宋体"/>
          <w:b w:val="0"/>
          <w:i w:val="0"/>
          <w:caps w:val="0"/>
          <w:color w:val="auto"/>
          <w:spacing w:val="0"/>
          <w:w w:val="100"/>
          <w:sz w:val="30"/>
          <w:szCs w:val="30"/>
          <w:highlight w:val="none"/>
          <w:lang w:eastAsia="zh-CN"/>
        </w:rPr>
        <w:t>茫崖市建设和交通运输局</w:t>
      </w:r>
    </w:p>
    <w:p w14:paraId="6341942C">
      <w:pPr>
        <w:snapToGrid w:val="0"/>
        <w:spacing w:before="0" w:beforeAutospacing="0" w:after="0" w:afterAutospacing="0" w:line="360" w:lineRule="auto"/>
        <w:ind w:firstLine="588" w:firstLineChars="196"/>
        <w:textAlignment w:val="baseline"/>
        <w:rPr>
          <w:rFonts w:hint="eastAsia" w:ascii="宋体" w:hAnsi="宋体" w:eastAsia="宋体" w:cs="宋体"/>
          <w:b/>
          <w:bCs/>
          <w:i w:val="0"/>
          <w:caps w:val="0"/>
          <w:color w:val="auto"/>
          <w:spacing w:val="0"/>
          <w:w w:val="100"/>
          <w:sz w:val="30"/>
          <w:szCs w:val="30"/>
          <w:highlight w:val="none"/>
          <w:lang w:eastAsia="zh-CN"/>
        </w:rPr>
      </w:pPr>
      <w:r>
        <w:rPr>
          <w:rFonts w:hint="eastAsia" w:ascii="宋体" w:hAnsi="宋体" w:eastAsia="宋体" w:cs="宋体"/>
          <w:b w:val="0"/>
          <w:i w:val="0"/>
          <w:caps w:val="0"/>
          <w:color w:val="auto"/>
          <w:spacing w:val="0"/>
          <w:w w:val="100"/>
          <w:sz w:val="30"/>
          <w:szCs w:val="30"/>
          <w:highlight w:val="none"/>
        </w:rPr>
        <w:t>招标代理机构：</w:t>
      </w:r>
      <w:r>
        <w:rPr>
          <w:rFonts w:hint="eastAsia" w:ascii="宋体" w:hAnsi="宋体" w:cs="宋体"/>
          <w:b w:val="0"/>
          <w:i w:val="0"/>
          <w:caps w:val="0"/>
          <w:color w:val="auto"/>
          <w:spacing w:val="0"/>
          <w:w w:val="100"/>
          <w:sz w:val="30"/>
          <w:szCs w:val="30"/>
          <w:highlight w:val="none"/>
          <w:lang w:eastAsia="zh-CN"/>
        </w:rPr>
        <w:t>青海佳荣工程项目管理有限公司</w:t>
      </w:r>
    </w:p>
    <w:p w14:paraId="13089EE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32"/>
          <w:szCs w:val="32"/>
          <w:highlight w:val="none"/>
        </w:rPr>
      </w:pPr>
    </w:p>
    <w:p w14:paraId="6DB0E1E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32"/>
          <w:szCs w:val="32"/>
          <w:highlight w:val="none"/>
        </w:rPr>
      </w:pPr>
      <w:r>
        <w:rPr>
          <w:rFonts w:hint="eastAsia" w:ascii="宋体" w:hAnsi="宋体" w:eastAsia="宋体" w:cs="宋体"/>
          <w:b w:val="0"/>
          <w:i w:val="0"/>
          <w:caps w:val="0"/>
          <w:color w:val="auto"/>
          <w:spacing w:val="0"/>
          <w:w w:val="100"/>
          <w:sz w:val="32"/>
          <w:szCs w:val="32"/>
          <w:highlight w:val="none"/>
        </w:rPr>
        <w:t>20</w:t>
      </w:r>
      <w:r>
        <w:rPr>
          <w:rFonts w:hint="eastAsia" w:ascii="宋体" w:hAnsi="宋体" w:cs="宋体"/>
          <w:b w:val="0"/>
          <w:i w:val="0"/>
          <w:caps w:val="0"/>
          <w:color w:val="auto"/>
          <w:spacing w:val="0"/>
          <w:w w:val="100"/>
          <w:sz w:val="32"/>
          <w:szCs w:val="32"/>
          <w:highlight w:val="none"/>
          <w:lang w:val="en-US" w:eastAsia="zh-CN"/>
        </w:rPr>
        <w:t>24</w:t>
      </w:r>
      <w:r>
        <w:rPr>
          <w:rFonts w:hint="eastAsia" w:ascii="宋体" w:hAnsi="宋体" w:eastAsia="宋体" w:cs="宋体"/>
          <w:b w:val="0"/>
          <w:i w:val="0"/>
          <w:caps w:val="0"/>
          <w:color w:val="auto"/>
          <w:spacing w:val="0"/>
          <w:w w:val="100"/>
          <w:sz w:val="32"/>
          <w:szCs w:val="32"/>
          <w:highlight w:val="none"/>
        </w:rPr>
        <w:t>年</w:t>
      </w:r>
      <w:r>
        <w:rPr>
          <w:rFonts w:hint="eastAsia" w:ascii="宋体" w:hAnsi="宋体" w:cs="宋体"/>
          <w:b w:val="0"/>
          <w:i w:val="0"/>
          <w:caps w:val="0"/>
          <w:color w:val="auto"/>
          <w:spacing w:val="0"/>
          <w:w w:val="100"/>
          <w:sz w:val="32"/>
          <w:szCs w:val="32"/>
          <w:highlight w:val="none"/>
          <w:lang w:val="en-US" w:eastAsia="zh-CN"/>
        </w:rPr>
        <w:t>08</w:t>
      </w:r>
      <w:r>
        <w:rPr>
          <w:rFonts w:hint="eastAsia" w:ascii="宋体" w:hAnsi="宋体" w:eastAsia="宋体" w:cs="宋体"/>
          <w:b w:val="0"/>
          <w:i w:val="0"/>
          <w:caps w:val="0"/>
          <w:color w:val="auto"/>
          <w:spacing w:val="0"/>
          <w:w w:val="100"/>
          <w:sz w:val="32"/>
          <w:szCs w:val="32"/>
          <w:highlight w:val="none"/>
        </w:rPr>
        <w:t>月</w:t>
      </w:r>
    </w:p>
    <w:p w14:paraId="7A11146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36"/>
          <w:szCs w:val="36"/>
          <w:highlight w:val="none"/>
        </w:rPr>
      </w:pPr>
      <w:r>
        <w:rPr>
          <w:rFonts w:hint="eastAsia" w:ascii="宋体" w:hAnsi="宋体" w:eastAsia="宋体" w:cs="宋体"/>
          <w:b w:val="0"/>
          <w:i w:val="0"/>
          <w:caps w:val="0"/>
          <w:color w:val="auto"/>
          <w:spacing w:val="0"/>
          <w:w w:val="100"/>
          <w:sz w:val="32"/>
          <w:szCs w:val="32"/>
          <w:highlight w:val="none"/>
        </w:rPr>
        <w:t>青海西宁</w:t>
      </w:r>
    </w:p>
    <w:p w14:paraId="55F70EC7">
      <w:pPr>
        <w:rPr>
          <w:rFonts w:hint="eastAsia" w:ascii="宋体" w:hAnsi="宋体" w:eastAsia="宋体" w:cs="宋体"/>
          <w:b/>
          <w:i w:val="0"/>
          <w:caps w:val="0"/>
          <w:color w:val="auto"/>
          <w:spacing w:val="0"/>
          <w:w w:val="100"/>
          <w:sz w:val="36"/>
          <w:szCs w:val="36"/>
          <w:highlight w:val="none"/>
          <w:lang w:val="zh-CN"/>
        </w:rPr>
      </w:pPr>
      <w:bookmarkStart w:id="9" w:name="_Toc27525"/>
      <w:bookmarkStart w:id="10" w:name="_Toc16824"/>
      <w:bookmarkStart w:id="11" w:name="_Toc20824"/>
      <w:r>
        <w:rPr>
          <w:rFonts w:hint="eastAsia" w:ascii="宋体" w:hAnsi="宋体" w:eastAsia="宋体" w:cs="宋体"/>
          <w:b/>
          <w:i w:val="0"/>
          <w:caps w:val="0"/>
          <w:color w:val="auto"/>
          <w:spacing w:val="0"/>
          <w:w w:val="100"/>
          <w:sz w:val="36"/>
          <w:szCs w:val="36"/>
          <w:highlight w:val="none"/>
          <w:lang w:val="zh-CN"/>
        </w:rPr>
        <w:br w:type="page"/>
      </w:r>
    </w:p>
    <w:p w14:paraId="6D9A2505">
      <w:pPr>
        <w:rPr>
          <w:rFonts w:hint="eastAsia"/>
          <w:color w:val="auto"/>
          <w:lang w:val="zh-CN"/>
        </w:rPr>
        <w:sectPr>
          <w:headerReference r:id="rId7" w:type="first"/>
          <w:footerReference r:id="rId10" w:type="first"/>
          <w:headerReference r:id="rId5" w:type="default"/>
          <w:footerReference r:id="rId8" w:type="default"/>
          <w:headerReference r:id="rId6" w:type="even"/>
          <w:footerReference r:id="rId9" w:type="even"/>
          <w:type w:val="continuous"/>
          <w:pgSz w:w="11905" w:h="16838"/>
          <w:pgMar w:top="1361" w:right="1361" w:bottom="1361" w:left="1361" w:header="850" w:footer="992" w:gutter="0"/>
          <w:pgBorders w:offsetFrom="page">
            <w:top w:val="single" w:color="BFBFBF" w:sz="24" w:space="24"/>
            <w:left w:val="single" w:color="BFBFBF" w:sz="24" w:space="24"/>
            <w:bottom w:val="single" w:color="BFBFBF" w:sz="24" w:space="24"/>
            <w:right w:val="single" w:color="BFBFBF" w:sz="24" w:space="24"/>
          </w:pgBorders>
          <w:pgNumType w:fmt="decimal"/>
          <w:cols w:space="0" w:num="1"/>
          <w:titlePg/>
          <w:rtlGutter w:val="0"/>
          <w:docGrid w:linePitch="312" w:charSpace="0"/>
        </w:sectPr>
      </w:pPr>
    </w:p>
    <w:bookmarkEnd w:id="9"/>
    <w:bookmarkEnd w:id="10"/>
    <w:bookmarkEnd w:id="11"/>
    <w:sdt>
      <w:sdtPr>
        <w:rPr>
          <w:rFonts w:ascii="宋体" w:hAnsi="宋体" w:eastAsia="宋体" w:cstheme="minorBidi"/>
          <w:color w:val="auto"/>
          <w:sz w:val="21"/>
          <w:szCs w:val="22"/>
          <w:lang w:val="en-US" w:eastAsia="zh-CN" w:bidi="ar-SA"/>
        </w:rPr>
        <w:id w:val="147477320"/>
        <w15:color w:val="DBDBDB"/>
        <w:docPartObj>
          <w:docPartGallery w:val="Table of Contents"/>
          <w:docPartUnique/>
        </w:docPartObj>
      </w:sdtPr>
      <w:sdtEndPr>
        <w:rPr>
          <w:rFonts w:ascii="宋体" w:hAnsi="宋体" w:eastAsia="宋体" w:cstheme="minorBidi"/>
          <w:color w:val="auto"/>
          <w:sz w:val="21"/>
          <w:szCs w:val="22"/>
          <w:lang w:val="en-US" w:eastAsia="zh-CN" w:bidi="ar-SA"/>
        </w:rPr>
      </w:sdtEndPr>
      <w:sdtContent>
        <w:p w14:paraId="7632F788">
          <w:pPr>
            <w:spacing w:before="0" w:beforeLines="0" w:after="0" w:afterLines="0" w:line="240" w:lineRule="auto"/>
            <w:ind w:left="0" w:leftChars="0" w:right="0" w:righ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目录</w:t>
          </w:r>
        </w:p>
        <w:p w14:paraId="277FEB61">
          <w:pPr>
            <w:pStyle w:val="17"/>
            <w:tabs>
              <w:tab w:val="right" w:leader="dot" w:pos="9183"/>
            </w:tabs>
            <w:rPr>
              <w:color w:val="auto"/>
            </w:rPr>
          </w:pPr>
          <w:r>
            <w:rPr>
              <w:rFonts w:hint="eastAsia" w:ascii="宋体" w:hAnsi="宋体" w:eastAsia="宋体" w:cs="宋体"/>
              <w:color w:val="auto"/>
              <w:sz w:val="24"/>
              <w:szCs w:val="24"/>
            </w:rPr>
            <w:fldChar w:fldCharType="begin"/>
          </w:r>
          <w:r>
            <w:rPr>
              <w:rFonts w:hint="eastAsia" w:ascii="宋体" w:hAnsi="宋体" w:eastAsia="宋体" w:cs="宋体"/>
              <w:color w:val="auto"/>
              <w:sz w:val="24"/>
              <w:szCs w:val="24"/>
            </w:rPr>
            <w:instrText xml:space="preserve">TOC \o "1-1" \h \u </w:instrText>
          </w:r>
          <w:r>
            <w:rPr>
              <w:rFonts w:hint="eastAsia" w:ascii="宋体" w:hAnsi="宋体" w:eastAsia="宋体" w:cs="宋体"/>
              <w:color w:val="auto"/>
              <w:sz w:val="24"/>
              <w:szCs w:val="24"/>
            </w:rPr>
            <w:fldChar w:fldCharType="separate"/>
          </w: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_Toc12404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36"/>
              <w:highlight w:val="none"/>
            </w:rPr>
            <w:t>第一章  磋商邀请</w:t>
          </w:r>
          <w:r>
            <w:rPr>
              <w:color w:val="auto"/>
            </w:rPr>
            <w:tab/>
          </w:r>
          <w:r>
            <w:rPr>
              <w:color w:val="auto"/>
            </w:rPr>
            <w:fldChar w:fldCharType="begin"/>
          </w:r>
          <w:r>
            <w:rPr>
              <w:color w:val="auto"/>
            </w:rPr>
            <w:instrText xml:space="preserve"> PAGEREF _Toc12404 \h </w:instrText>
          </w:r>
          <w:r>
            <w:rPr>
              <w:color w:val="auto"/>
            </w:rPr>
            <w:fldChar w:fldCharType="separate"/>
          </w:r>
          <w:r>
            <w:rPr>
              <w:color w:val="auto"/>
            </w:rPr>
            <w:t>4</w:t>
          </w:r>
          <w:r>
            <w:rPr>
              <w:color w:val="auto"/>
            </w:rPr>
            <w:fldChar w:fldCharType="end"/>
          </w:r>
          <w:r>
            <w:rPr>
              <w:rFonts w:hint="eastAsia" w:ascii="宋体" w:hAnsi="宋体" w:eastAsia="宋体" w:cs="宋体"/>
              <w:color w:val="auto"/>
              <w:szCs w:val="24"/>
            </w:rPr>
            <w:fldChar w:fldCharType="end"/>
          </w:r>
        </w:p>
        <w:p w14:paraId="4A949E41">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_Toc3696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36"/>
              <w:highlight w:val="none"/>
            </w:rPr>
            <w:t xml:space="preserve">第二章  </w:t>
          </w:r>
          <w:r>
            <w:rPr>
              <w:rFonts w:hint="eastAsia" w:ascii="宋体" w:hAnsi="宋体" w:eastAsia="宋体" w:cs="宋体"/>
              <w:i w:val="0"/>
              <w:caps w:val="0"/>
              <w:color w:val="auto"/>
              <w:spacing w:val="0"/>
              <w:w w:val="100"/>
              <w:szCs w:val="36"/>
              <w:highlight w:val="none"/>
              <w:lang w:eastAsia="zh-CN"/>
            </w:rPr>
            <w:t>磋商响应人</w:t>
          </w:r>
          <w:r>
            <w:rPr>
              <w:rFonts w:hint="eastAsia" w:ascii="宋体" w:hAnsi="宋体" w:eastAsia="宋体" w:cs="宋体"/>
              <w:i w:val="0"/>
              <w:caps w:val="0"/>
              <w:color w:val="auto"/>
              <w:spacing w:val="0"/>
              <w:w w:val="100"/>
              <w:szCs w:val="36"/>
              <w:highlight w:val="none"/>
            </w:rPr>
            <w:t>须知前附表</w:t>
          </w:r>
          <w:r>
            <w:rPr>
              <w:color w:val="auto"/>
            </w:rPr>
            <w:tab/>
          </w:r>
          <w:r>
            <w:rPr>
              <w:color w:val="auto"/>
            </w:rPr>
            <w:fldChar w:fldCharType="begin"/>
          </w:r>
          <w:r>
            <w:rPr>
              <w:color w:val="auto"/>
            </w:rPr>
            <w:instrText xml:space="preserve"> PAGEREF _Toc3696 \h </w:instrText>
          </w:r>
          <w:r>
            <w:rPr>
              <w:color w:val="auto"/>
            </w:rPr>
            <w:fldChar w:fldCharType="separate"/>
          </w:r>
          <w:r>
            <w:rPr>
              <w:color w:val="auto"/>
            </w:rPr>
            <w:t>7</w:t>
          </w:r>
          <w:r>
            <w:rPr>
              <w:color w:val="auto"/>
            </w:rPr>
            <w:fldChar w:fldCharType="end"/>
          </w:r>
          <w:r>
            <w:rPr>
              <w:rFonts w:hint="eastAsia" w:ascii="宋体" w:hAnsi="宋体" w:eastAsia="宋体" w:cs="宋体"/>
              <w:color w:val="auto"/>
              <w:szCs w:val="24"/>
            </w:rPr>
            <w:fldChar w:fldCharType="end"/>
          </w:r>
        </w:p>
        <w:p w14:paraId="3FF371B4">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_Toc661 </w:instrText>
          </w:r>
          <w:r>
            <w:rPr>
              <w:rFonts w:hint="eastAsia" w:ascii="宋体" w:hAnsi="宋体" w:eastAsia="宋体" w:cs="宋体"/>
              <w:color w:val="auto"/>
              <w:szCs w:val="24"/>
            </w:rPr>
            <w:fldChar w:fldCharType="separate"/>
          </w:r>
          <w:r>
            <w:rPr>
              <w:rFonts w:hint="eastAsia"/>
              <w:color w:val="auto"/>
            </w:rPr>
            <w:t xml:space="preserve">第三章 </w:t>
          </w:r>
          <w:r>
            <w:rPr>
              <w:rFonts w:hint="eastAsia"/>
              <w:color w:val="auto"/>
              <w:szCs w:val="30"/>
            </w:rPr>
            <w:t>评审办法</w:t>
          </w:r>
          <w:r>
            <w:rPr>
              <w:color w:val="auto"/>
            </w:rPr>
            <w:tab/>
          </w:r>
          <w:r>
            <w:rPr>
              <w:color w:val="auto"/>
            </w:rPr>
            <w:fldChar w:fldCharType="begin"/>
          </w:r>
          <w:r>
            <w:rPr>
              <w:color w:val="auto"/>
            </w:rPr>
            <w:instrText xml:space="preserve"> PAGEREF _Toc661 \h </w:instrText>
          </w:r>
          <w:r>
            <w:rPr>
              <w:color w:val="auto"/>
            </w:rPr>
            <w:fldChar w:fldCharType="separate"/>
          </w:r>
          <w:r>
            <w:rPr>
              <w:color w:val="auto"/>
            </w:rPr>
            <w:t>27</w:t>
          </w:r>
          <w:r>
            <w:rPr>
              <w:color w:val="auto"/>
            </w:rPr>
            <w:fldChar w:fldCharType="end"/>
          </w:r>
          <w:r>
            <w:rPr>
              <w:rFonts w:hint="eastAsia" w:ascii="宋体" w:hAnsi="宋体" w:eastAsia="宋体" w:cs="宋体"/>
              <w:color w:val="auto"/>
              <w:szCs w:val="24"/>
            </w:rPr>
            <w:fldChar w:fldCharType="end"/>
          </w:r>
        </w:p>
        <w:p w14:paraId="7C0EBE75">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_Toc11528 </w:instrText>
          </w:r>
          <w:r>
            <w:rPr>
              <w:rFonts w:hint="eastAsia" w:ascii="宋体" w:hAnsi="宋体" w:eastAsia="宋体" w:cs="宋体"/>
              <w:color w:val="auto"/>
              <w:szCs w:val="24"/>
            </w:rPr>
            <w:fldChar w:fldCharType="separate"/>
          </w:r>
          <w:r>
            <w:rPr>
              <w:rFonts w:hint="eastAsia"/>
              <w:color w:val="auto"/>
              <w:lang w:val="zh-CN"/>
            </w:rPr>
            <w:t>第四</w:t>
          </w:r>
          <w:r>
            <w:rPr>
              <w:rFonts w:hint="eastAsia"/>
              <w:color w:val="auto"/>
              <w:lang w:val="en-US" w:eastAsia="zh-CN"/>
            </w:rPr>
            <w:t>章</w:t>
          </w:r>
          <w:r>
            <w:rPr>
              <w:rFonts w:hint="eastAsia"/>
              <w:color w:val="auto"/>
            </w:rPr>
            <w:t xml:space="preserve"> </w:t>
          </w:r>
          <w:r>
            <w:rPr>
              <w:rFonts w:hint="eastAsia"/>
              <w:color w:val="auto"/>
              <w:lang w:val="zh-CN"/>
            </w:rPr>
            <w:t>合同条款及格式</w:t>
          </w:r>
          <w:r>
            <w:rPr>
              <w:color w:val="auto"/>
            </w:rPr>
            <w:tab/>
          </w:r>
          <w:r>
            <w:rPr>
              <w:color w:val="auto"/>
            </w:rPr>
            <w:fldChar w:fldCharType="begin"/>
          </w:r>
          <w:r>
            <w:rPr>
              <w:color w:val="auto"/>
            </w:rPr>
            <w:instrText xml:space="preserve"> PAGEREF _Toc11528 \h </w:instrText>
          </w:r>
          <w:r>
            <w:rPr>
              <w:color w:val="auto"/>
            </w:rPr>
            <w:fldChar w:fldCharType="separate"/>
          </w:r>
          <w:r>
            <w:rPr>
              <w:color w:val="auto"/>
            </w:rPr>
            <w:t>32</w:t>
          </w:r>
          <w:r>
            <w:rPr>
              <w:color w:val="auto"/>
            </w:rPr>
            <w:fldChar w:fldCharType="end"/>
          </w:r>
          <w:r>
            <w:rPr>
              <w:rFonts w:hint="eastAsia" w:ascii="宋体" w:hAnsi="宋体" w:eastAsia="宋体" w:cs="宋体"/>
              <w:color w:val="auto"/>
              <w:szCs w:val="24"/>
            </w:rPr>
            <w:fldChar w:fldCharType="end"/>
          </w:r>
        </w:p>
        <w:p w14:paraId="21EAE41C">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_Toc17788 </w:instrText>
          </w:r>
          <w:r>
            <w:rPr>
              <w:rFonts w:hint="eastAsia" w:ascii="宋体" w:hAnsi="宋体" w:eastAsia="宋体" w:cs="宋体"/>
              <w:color w:val="auto"/>
              <w:szCs w:val="24"/>
            </w:rPr>
            <w:fldChar w:fldCharType="separate"/>
          </w:r>
          <w:r>
            <w:rPr>
              <w:rFonts w:hint="eastAsia"/>
              <w:i w:val="0"/>
              <w:caps w:val="0"/>
              <w:color w:val="auto"/>
              <w:spacing w:val="0"/>
              <w:w w:val="100"/>
            </w:rPr>
            <w:t xml:space="preserve">（三） </w:t>
          </w:r>
          <w:r>
            <w:rPr>
              <w:rFonts w:hint="eastAsia" w:ascii="宋体" w:hAnsi="宋体" w:eastAsia="宋体" w:cs="宋体"/>
              <w:i w:val="0"/>
              <w:caps w:val="0"/>
              <w:color w:val="auto"/>
              <w:spacing w:val="0"/>
              <w:w w:val="100"/>
              <w:highlight w:val="none"/>
            </w:rPr>
            <w:t>专用合同条款</w:t>
          </w:r>
          <w:r>
            <w:rPr>
              <w:color w:val="auto"/>
            </w:rPr>
            <w:tab/>
          </w:r>
          <w:r>
            <w:rPr>
              <w:color w:val="auto"/>
            </w:rPr>
            <w:fldChar w:fldCharType="begin"/>
          </w:r>
          <w:r>
            <w:rPr>
              <w:color w:val="auto"/>
            </w:rPr>
            <w:instrText xml:space="preserve"> PAGEREF _Toc17788 \h </w:instrText>
          </w:r>
          <w:r>
            <w:rPr>
              <w:color w:val="auto"/>
            </w:rPr>
            <w:fldChar w:fldCharType="separate"/>
          </w:r>
          <w:r>
            <w:rPr>
              <w:color w:val="auto"/>
            </w:rPr>
            <w:t>125</w:t>
          </w:r>
          <w:r>
            <w:rPr>
              <w:color w:val="auto"/>
            </w:rPr>
            <w:fldChar w:fldCharType="end"/>
          </w:r>
          <w:r>
            <w:rPr>
              <w:rFonts w:hint="eastAsia" w:ascii="宋体" w:hAnsi="宋体" w:eastAsia="宋体" w:cs="宋体"/>
              <w:color w:val="auto"/>
              <w:szCs w:val="24"/>
            </w:rPr>
            <w:fldChar w:fldCharType="end"/>
          </w:r>
        </w:p>
        <w:p w14:paraId="65AB2469">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_Toc28517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附件1：承包人承揽工程项目一览表</w:t>
          </w:r>
          <w:r>
            <w:rPr>
              <w:color w:val="auto"/>
            </w:rPr>
            <w:tab/>
          </w:r>
          <w:r>
            <w:rPr>
              <w:color w:val="auto"/>
            </w:rPr>
            <w:fldChar w:fldCharType="begin"/>
          </w:r>
          <w:r>
            <w:rPr>
              <w:color w:val="auto"/>
            </w:rPr>
            <w:instrText xml:space="preserve"> PAGEREF _Toc28517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251D57F3">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_Toc10190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附件2：发包人供应材料设备一览表</w:t>
          </w:r>
          <w:r>
            <w:rPr>
              <w:color w:val="auto"/>
            </w:rPr>
            <w:tab/>
          </w:r>
          <w:r>
            <w:rPr>
              <w:color w:val="auto"/>
            </w:rPr>
            <w:fldChar w:fldCharType="begin"/>
          </w:r>
          <w:r>
            <w:rPr>
              <w:color w:val="auto"/>
            </w:rPr>
            <w:instrText xml:space="preserve"> PAGEREF _Toc10190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5E629D90">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_Toc27729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附件3：工程质量保修书</w:t>
          </w:r>
          <w:r>
            <w:rPr>
              <w:color w:val="auto"/>
            </w:rPr>
            <w:tab/>
          </w:r>
          <w:r>
            <w:rPr>
              <w:color w:val="auto"/>
            </w:rPr>
            <w:fldChar w:fldCharType="begin"/>
          </w:r>
          <w:r>
            <w:rPr>
              <w:color w:val="auto"/>
            </w:rPr>
            <w:instrText xml:space="preserve"> PAGEREF _Toc27729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23F86974">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_Toc25857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附件4：主要建设工程文件目录</w:t>
          </w:r>
          <w:r>
            <w:rPr>
              <w:color w:val="auto"/>
            </w:rPr>
            <w:tab/>
          </w:r>
          <w:r>
            <w:rPr>
              <w:color w:val="auto"/>
            </w:rPr>
            <w:fldChar w:fldCharType="begin"/>
          </w:r>
          <w:r>
            <w:rPr>
              <w:color w:val="auto"/>
            </w:rPr>
            <w:instrText xml:space="preserve"> PAGEREF _Toc25857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7AB302F9">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_Toc14840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附件5：承包人用于本工程施工的机械设备表</w:t>
          </w:r>
          <w:r>
            <w:rPr>
              <w:color w:val="auto"/>
            </w:rPr>
            <w:tab/>
          </w:r>
          <w:r>
            <w:rPr>
              <w:color w:val="auto"/>
            </w:rPr>
            <w:fldChar w:fldCharType="begin"/>
          </w:r>
          <w:r>
            <w:rPr>
              <w:color w:val="auto"/>
            </w:rPr>
            <w:instrText xml:space="preserve"> PAGEREF _Toc14840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31E89977">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_Toc2289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附件6：承包人主要施工管理人员表</w:t>
          </w:r>
          <w:r>
            <w:rPr>
              <w:color w:val="auto"/>
            </w:rPr>
            <w:tab/>
          </w:r>
          <w:r>
            <w:rPr>
              <w:color w:val="auto"/>
            </w:rPr>
            <w:fldChar w:fldCharType="begin"/>
          </w:r>
          <w:r>
            <w:rPr>
              <w:color w:val="auto"/>
            </w:rPr>
            <w:instrText xml:space="preserve"> PAGEREF _Toc2289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3689C99E">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_Toc20891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附件7：分包人主要施工管理人员表</w:t>
          </w:r>
          <w:r>
            <w:rPr>
              <w:color w:val="auto"/>
            </w:rPr>
            <w:tab/>
          </w:r>
          <w:r>
            <w:rPr>
              <w:color w:val="auto"/>
            </w:rPr>
            <w:fldChar w:fldCharType="begin"/>
          </w:r>
          <w:r>
            <w:rPr>
              <w:color w:val="auto"/>
            </w:rPr>
            <w:instrText xml:space="preserve"> PAGEREF _Toc20891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1B011721">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_Toc14668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附件8：履约担保格式</w:t>
          </w:r>
          <w:r>
            <w:rPr>
              <w:color w:val="auto"/>
            </w:rPr>
            <w:tab/>
          </w:r>
          <w:r>
            <w:rPr>
              <w:color w:val="auto"/>
            </w:rPr>
            <w:fldChar w:fldCharType="begin"/>
          </w:r>
          <w:r>
            <w:rPr>
              <w:color w:val="auto"/>
            </w:rPr>
            <w:instrText xml:space="preserve"> PAGEREF _Toc14668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34A31BDC">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_Toc21982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附件9：预付款担保格式</w:t>
          </w:r>
          <w:r>
            <w:rPr>
              <w:color w:val="auto"/>
            </w:rPr>
            <w:tab/>
          </w:r>
          <w:r>
            <w:rPr>
              <w:color w:val="auto"/>
            </w:rPr>
            <w:fldChar w:fldCharType="begin"/>
          </w:r>
          <w:r>
            <w:rPr>
              <w:color w:val="auto"/>
            </w:rPr>
            <w:instrText xml:space="preserve"> PAGEREF _Toc21982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7828B70F">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_Toc31529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附件10：支付担保格式</w:t>
          </w:r>
          <w:r>
            <w:rPr>
              <w:color w:val="auto"/>
            </w:rPr>
            <w:tab/>
          </w:r>
          <w:r>
            <w:rPr>
              <w:color w:val="auto"/>
            </w:rPr>
            <w:fldChar w:fldCharType="begin"/>
          </w:r>
          <w:r>
            <w:rPr>
              <w:color w:val="auto"/>
            </w:rPr>
            <w:instrText xml:space="preserve"> PAGEREF _Toc31529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3CBFD9C8">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_Toc30835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附件11：暂估价一览表</w:t>
          </w:r>
          <w:r>
            <w:rPr>
              <w:color w:val="auto"/>
            </w:rPr>
            <w:tab/>
          </w:r>
          <w:r>
            <w:rPr>
              <w:color w:val="auto"/>
            </w:rPr>
            <w:fldChar w:fldCharType="begin"/>
          </w:r>
          <w:r>
            <w:rPr>
              <w:color w:val="auto"/>
            </w:rPr>
            <w:instrText xml:space="preserve"> PAGEREF _Toc30835 \h </w:instrText>
          </w:r>
          <w:r>
            <w:rPr>
              <w:color w:val="auto"/>
            </w:rPr>
            <w:fldChar w:fldCharType="separate"/>
          </w:r>
          <w:r>
            <w:rPr>
              <w:color w:val="auto"/>
            </w:rPr>
            <w:t>142</w:t>
          </w:r>
          <w:r>
            <w:rPr>
              <w:color w:val="auto"/>
            </w:rPr>
            <w:fldChar w:fldCharType="end"/>
          </w:r>
          <w:r>
            <w:rPr>
              <w:rFonts w:hint="eastAsia" w:ascii="宋体" w:hAnsi="宋体" w:eastAsia="宋体" w:cs="宋体"/>
              <w:color w:val="auto"/>
              <w:szCs w:val="24"/>
            </w:rPr>
            <w:fldChar w:fldCharType="end"/>
          </w:r>
        </w:p>
        <w:p w14:paraId="55080C07">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_Toc24196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附件1：承包人承揽工程项目一览表</w:t>
          </w:r>
          <w:r>
            <w:rPr>
              <w:color w:val="auto"/>
            </w:rPr>
            <w:tab/>
          </w:r>
          <w:r>
            <w:rPr>
              <w:color w:val="auto"/>
            </w:rPr>
            <w:fldChar w:fldCharType="begin"/>
          </w:r>
          <w:r>
            <w:rPr>
              <w:color w:val="auto"/>
            </w:rPr>
            <w:instrText xml:space="preserve"> PAGEREF _Toc24196 \h </w:instrText>
          </w:r>
          <w:r>
            <w:rPr>
              <w:color w:val="auto"/>
            </w:rPr>
            <w:fldChar w:fldCharType="separate"/>
          </w:r>
          <w:r>
            <w:rPr>
              <w:color w:val="auto"/>
            </w:rPr>
            <w:t>143</w:t>
          </w:r>
          <w:r>
            <w:rPr>
              <w:color w:val="auto"/>
            </w:rPr>
            <w:fldChar w:fldCharType="end"/>
          </w:r>
          <w:r>
            <w:rPr>
              <w:rFonts w:hint="eastAsia" w:ascii="宋体" w:hAnsi="宋体" w:eastAsia="宋体" w:cs="宋体"/>
              <w:color w:val="auto"/>
              <w:szCs w:val="24"/>
            </w:rPr>
            <w:fldChar w:fldCharType="end"/>
          </w:r>
        </w:p>
        <w:p w14:paraId="025C9088">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_Toc25138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附件2：发包人供应材料设备一览表</w:t>
          </w:r>
          <w:r>
            <w:rPr>
              <w:color w:val="auto"/>
            </w:rPr>
            <w:tab/>
          </w:r>
          <w:r>
            <w:rPr>
              <w:color w:val="auto"/>
            </w:rPr>
            <w:fldChar w:fldCharType="begin"/>
          </w:r>
          <w:r>
            <w:rPr>
              <w:color w:val="auto"/>
            </w:rPr>
            <w:instrText xml:space="preserve"> PAGEREF _Toc25138 \h </w:instrText>
          </w:r>
          <w:r>
            <w:rPr>
              <w:color w:val="auto"/>
            </w:rPr>
            <w:fldChar w:fldCharType="separate"/>
          </w:r>
          <w:r>
            <w:rPr>
              <w:color w:val="auto"/>
            </w:rPr>
            <w:t>144</w:t>
          </w:r>
          <w:r>
            <w:rPr>
              <w:color w:val="auto"/>
            </w:rPr>
            <w:fldChar w:fldCharType="end"/>
          </w:r>
          <w:r>
            <w:rPr>
              <w:rFonts w:hint="eastAsia" w:ascii="宋体" w:hAnsi="宋体" w:eastAsia="宋体" w:cs="宋体"/>
              <w:color w:val="auto"/>
              <w:szCs w:val="24"/>
            </w:rPr>
            <w:fldChar w:fldCharType="end"/>
          </w:r>
        </w:p>
        <w:p w14:paraId="3AA65E74">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_Toc1658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附件3：工程质量保修书</w:t>
          </w:r>
          <w:r>
            <w:rPr>
              <w:color w:val="auto"/>
            </w:rPr>
            <w:tab/>
          </w:r>
          <w:r>
            <w:rPr>
              <w:color w:val="auto"/>
            </w:rPr>
            <w:fldChar w:fldCharType="begin"/>
          </w:r>
          <w:r>
            <w:rPr>
              <w:color w:val="auto"/>
            </w:rPr>
            <w:instrText xml:space="preserve"> PAGEREF _Toc1658 \h </w:instrText>
          </w:r>
          <w:r>
            <w:rPr>
              <w:color w:val="auto"/>
            </w:rPr>
            <w:fldChar w:fldCharType="separate"/>
          </w:r>
          <w:r>
            <w:rPr>
              <w:color w:val="auto"/>
            </w:rPr>
            <w:t>145</w:t>
          </w:r>
          <w:r>
            <w:rPr>
              <w:color w:val="auto"/>
            </w:rPr>
            <w:fldChar w:fldCharType="end"/>
          </w:r>
          <w:r>
            <w:rPr>
              <w:rFonts w:hint="eastAsia" w:ascii="宋体" w:hAnsi="宋体" w:eastAsia="宋体" w:cs="宋体"/>
              <w:color w:val="auto"/>
              <w:szCs w:val="24"/>
            </w:rPr>
            <w:fldChar w:fldCharType="end"/>
          </w:r>
        </w:p>
        <w:p w14:paraId="74F67120">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_Toc22748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附件4：主要建设工程文件目录</w:t>
          </w:r>
          <w:r>
            <w:rPr>
              <w:color w:val="auto"/>
            </w:rPr>
            <w:tab/>
          </w:r>
          <w:r>
            <w:rPr>
              <w:color w:val="auto"/>
            </w:rPr>
            <w:fldChar w:fldCharType="begin"/>
          </w:r>
          <w:r>
            <w:rPr>
              <w:color w:val="auto"/>
            </w:rPr>
            <w:instrText xml:space="preserve"> PAGEREF _Toc22748 \h </w:instrText>
          </w:r>
          <w:r>
            <w:rPr>
              <w:color w:val="auto"/>
            </w:rPr>
            <w:fldChar w:fldCharType="separate"/>
          </w:r>
          <w:r>
            <w:rPr>
              <w:color w:val="auto"/>
            </w:rPr>
            <w:t>147</w:t>
          </w:r>
          <w:r>
            <w:rPr>
              <w:color w:val="auto"/>
            </w:rPr>
            <w:fldChar w:fldCharType="end"/>
          </w:r>
          <w:r>
            <w:rPr>
              <w:rFonts w:hint="eastAsia" w:ascii="宋体" w:hAnsi="宋体" w:eastAsia="宋体" w:cs="宋体"/>
              <w:color w:val="auto"/>
              <w:szCs w:val="24"/>
            </w:rPr>
            <w:fldChar w:fldCharType="end"/>
          </w:r>
        </w:p>
        <w:p w14:paraId="30C695DF">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_Toc31860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附件5：承包人用于本工程施工的机械设备表</w:t>
          </w:r>
          <w:r>
            <w:rPr>
              <w:color w:val="auto"/>
            </w:rPr>
            <w:tab/>
          </w:r>
          <w:r>
            <w:rPr>
              <w:color w:val="auto"/>
            </w:rPr>
            <w:fldChar w:fldCharType="begin"/>
          </w:r>
          <w:r>
            <w:rPr>
              <w:color w:val="auto"/>
            </w:rPr>
            <w:instrText xml:space="preserve"> PAGEREF _Toc31860 \h </w:instrText>
          </w:r>
          <w:r>
            <w:rPr>
              <w:color w:val="auto"/>
            </w:rPr>
            <w:fldChar w:fldCharType="separate"/>
          </w:r>
          <w:r>
            <w:rPr>
              <w:color w:val="auto"/>
            </w:rPr>
            <w:t>148</w:t>
          </w:r>
          <w:r>
            <w:rPr>
              <w:color w:val="auto"/>
            </w:rPr>
            <w:fldChar w:fldCharType="end"/>
          </w:r>
          <w:r>
            <w:rPr>
              <w:rFonts w:hint="eastAsia" w:ascii="宋体" w:hAnsi="宋体" w:eastAsia="宋体" w:cs="宋体"/>
              <w:color w:val="auto"/>
              <w:szCs w:val="24"/>
            </w:rPr>
            <w:fldChar w:fldCharType="end"/>
          </w:r>
        </w:p>
        <w:p w14:paraId="59830DBE">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_Toc30754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附件6：承包人主要施工管理人员表</w:t>
          </w:r>
          <w:r>
            <w:rPr>
              <w:color w:val="auto"/>
            </w:rPr>
            <w:tab/>
          </w:r>
          <w:r>
            <w:rPr>
              <w:color w:val="auto"/>
            </w:rPr>
            <w:fldChar w:fldCharType="begin"/>
          </w:r>
          <w:r>
            <w:rPr>
              <w:color w:val="auto"/>
            </w:rPr>
            <w:instrText xml:space="preserve"> PAGEREF _Toc30754 \h </w:instrText>
          </w:r>
          <w:r>
            <w:rPr>
              <w:color w:val="auto"/>
            </w:rPr>
            <w:fldChar w:fldCharType="separate"/>
          </w:r>
          <w:r>
            <w:rPr>
              <w:color w:val="auto"/>
            </w:rPr>
            <w:t>149</w:t>
          </w:r>
          <w:r>
            <w:rPr>
              <w:color w:val="auto"/>
            </w:rPr>
            <w:fldChar w:fldCharType="end"/>
          </w:r>
          <w:r>
            <w:rPr>
              <w:rFonts w:hint="eastAsia" w:ascii="宋体" w:hAnsi="宋体" w:eastAsia="宋体" w:cs="宋体"/>
              <w:color w:val="auto"/>
              <w:szCs w:val="24"/>
            </w:rPr>
            <w:fldChar w:fldCharType="end"/>
          </w:r>
        </w:p>
        <w:p w14:paraId="613193BE">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_Toc28071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附件7：分包人主要施工管理人员表</w:t>
          </w:r>
          <w:r>
            <w:rPr>
              <w:color w:val="auto"/>
            </w:rPr>
            <w:tab/>
          </w:r>
          <w:r>
            <w:rPr>
              <w:color w:val="auto"/>
            </w:rPr>
            <w:fldChar w:fldCharType="begin"/>
          </w:r>
          <w:r>
            <w:rPr>
              <w:color w:val="auto"/>
            </w:rPr>
            <w:instrText xml:space="preserve"> PAGEREF _Toc28071 \h </w:instrText>
          </w:r>
          <w:r>
            <w:rPr>
              <w:color w:val="auto"/>
            </w:rPr>
            <w:fldChar w:fldCharType="separate"/>
          </w:r>
          <w:r>
            <w:rPr>
              <w:color w:val="auto"/>
            </w:rPr>
            <w:t>150</w:t>
          </w:r>
          <w:r>
            <w:rPr>
              <w:color w:val="auto"/>
            </w:rPr>
            <w:fldChar w:fldCharType="end"/>
          </w:r>
          <w:r>
            <w:rPr>
              <w:rFonts w:hint="eastAsia" w:ascii="宋体" w:hAnsi="宋体" w:eastAsia="宋体" w:cs="宋体"/>
              <w:color w:val="auto"/>
              <w:szCs w:val="24"/>
            </w:rPr>
            <w:fldChar w:fldCharType="end"/>
          </w:r>
        </w:p>
        <w:p w14:paraId="0A95CA7A">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_Toc16287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附件8：履约担保</w:t>
          </w:r>
          <w:r>
            <w:rPr>
              <w:color w:val="auto"/>
            </w:rPr>
            <w:tab/>
          </w:r>
          <w:r>
            <w:rPr>
              <w:color w:val="auto"/>
            </w:rPr>
            <w:fldChar w:fldCharType="begin"/>
          </w:r>
          <w:r>
            <w:rPr>
              <w:color w:val="auto"/>
            </w:rPr>
            <w:instrText xml:space="preserve"> PAGEREF _Toc16287 \h </w:instrText>
          </w:r>
          <w:r>
            <w:rPr>
              <w:color w:val="auto"/>
            </w:rPr>
            <w:fldChar w:fldCharType="separate"/>
          </w:r>
          <w:r>
            <w:rPr>
              <w:color w:val="auto"/>
            </w:rPr>
            <w:t>151</w:t>
          </w:r>
          <w:r>
            <w:rPr>
              <w:color w:val="auto"/>
            </w:rPr>
            <w:fldChar w:fldCharType="end"/>
          </w:r>
          <w:r>
            <w:rPr>
              <w:rFonts w:hint="eastAsia" w:ascii="宋体" w:hAnsi="宋体" w:eastAsia="宋体" w:cs="宋体"/>
              <w:color w:val="auto"/>
              <w:szCs w:val="24"/>
            </w:rPr>
            <w:fldChar w:fldCharType="end"/>
          </w:r>
        </w:p>
        <w:p w14:paraId="0819BB69">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_Toc11663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附件9 ：预付款担保</w:t>
          </w:r>
          <w:r>
            <w:rPr>
              <w:color w:val="auto"/>
            </w:rPr>
            <w:tab/>
          </w:r>
          <w:r>
            <w:rPr>
              <w:color w:val="auto"/>
            </w:rPr>
            <w:fldChar w:fldCharType="begin"/>
          </w:r>
          <w:r>
            <w:rPr>
              <w:color w:val="auto"/>
            </w:rPr>
            <w:instrText xml:space="preserve"> PAGEREF _Toc11663 \h </w:instrText>
          </w:r>
          <w:r>
            <w:rPr>
              <w:color w:val="auto"/>
            </w:rPr>
            <w:fldChar w:fldCharType="separate"/>
          </w:r>
          <w:r>
            <w:rPr>
              <w:color w:val="auto"/>
            </w:rPr>
            <w:t>152</w:t>
          </w:r>
          <w:r>
            <w:rPr>
              <w:color w:val="auto"/>
            </w:rPr>
            <w:fldChar w:fldCharType="end"/>
          </w:r>
          <w:r>
            <w:rPr>
              <w:rFonts w:hint="eastAsia" w:ascii="宋体" w:hAnsi="宋体" w:eastAsia="宋体" w:cs="宋体"/>
              <w:color w:val="auto"/>
              <w:szCs w:val="24"/>
            </w:rPr>
            <w:fldChar w:fldCharType="end"/>
          </w:r>
        </w:p>
        <w:p w14:paraId="64064B91">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_Toc1512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附件10:  支付担保</w:t>
          </w:r>
          <w:r>
            <w:rPr>
              <w:color w:val="auto"/>
            </w:rPr>
            <w:tab/>
          </w:r>
          <w:r>
            <w:rPr>
              <w:color w:val="auto"/>
            </w:rPr>
            <w:fldChar w:fldCharType="begin"/>
          </w:r>
          <w:r>
            <w:rPr>
              <w:color w:val="auto"/>
            </w:rPr>
            <w:instrText xml:space="preserve"> PAGEREF _Toc1512 \h </w:instrText>
          </w:r>
          <w:r>
            <w:rPr>
              <w:color w:val="auto"/>
            </w:rPr>
            <w:fldChar w:fldCharType="separate"/>
          </w:r>
          <w:r>
            <w:rPr>
              <w:color w:val="auto"/>
            </w:rPr>
            <w:t>153</w:t>
          </w:r>
          <w:r>
            <w:rPr>
              <w:color w:val="auto"/>
            </w:rPr>
            <w:fldChar w:fldCharType="end"/>
          </w:r>
          <w:r>
            <w:rPr>
              <w:rFonts w:hint="eastAsia" w:ascii="宋体" w:hAnsi="宋体" w:eastAsia="宋体" w:cs="宋体"/>
              <w:color w:val="auto"/>
              <w:szCs w:val="24"/>
            </w:rPr>
            <w:fldChar w:fldCharType="end"/>
          </w:r>
        </w:p>
        <w:p w14:paraId="7FE105D8">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_Toc27987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附件11：</w:t>
          </w:r>
          <w:r>
            <w:rPr>
              <w:color w:val="auto"/>
            </w:rPr>
            <w:tab/>
          </w:r>
          <w:r>
            <w:rPr>
              <w:color w:val="auto"/>
            </w:rPr>
            <w:fldChar w:fldCharType="begin"/>
          </w:r>
          <w:r>
            <w:rPr>
              <w:color w:val="auto"/>
            </w:rPr>
            <w:instrText xml:space="preserve"> PAGEREF _Toc27987 \h </w:instrText>
          </w:r>
          <w:r>
            <w:rPr>
              <w:color w:val="auto"/>
            </w:rPr>
            <w:fldChar w:fldCharType="separate"/>
          </w:r>
          <w:r>
            <w:rPr>
              <w:color w:val="auto"/>
            </w:rPr>
            <w:t>156</w:t>
          </w:r>
          <w:r>
            <w:rPr>
              <w:color w:val="auto"/>
            </w:rPr>
            <w:fldChar w:fldCharType="end"/>
          </w:r>
          <w:r>
            <w:rPr>
              <w:rFonts w:hint="eastAsia" w:ascii="宋体" w:hAnsi="宋体" w:eastAsia="宋体" w:cs="宋体"/>
              <w:color w:val="auto"/>
              <w:szCs w:val="24"/>
            </w:rPr>
            <w:fldChar w:fldCharType="end"/>
          </w:r>
        </w:p>
        <w:p w14:paraId="359286F6">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_Toc8418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highlight w:val="none"/>
            </w:rPr>
            <w:t>附件12：廉政责任书格式</w:t>
          </w:r>
          <w:r>
            <w:rPr>
              <w:color w:val="auto"/>
            </w:rPr>
            <w:tab/>
          </w:r>
          <w:r>
            <w:rPr>
              <w:color w:val="auto"/>
            </w:rPr>
            <w:fldChar w:fldCharType="begin"/>
          </w:r>
          <w:r>
            <w:rPr>
              <w:color w:val="auto"/>
            </w:rPr>
            <w:instrText xml:space="preserve"> PAGEREF _Toc8418 \h </w:instrText>
          </w:r>
          <w:r>
            <w:rPr>
              <w:color w:val="auto"/>
            </w:rPr>
            <w:fldChar w:fldCharType="separate"/>
          </w:r>
          <w:r>
            <w:rPr>
              <w:color w:val="auto"/>
            </w:rPr>
            <w:t>159</w:t>
          </w:r>
          <w:r>
            <w:rPr>
              <w:color w:val="auto"/>
            </w:rPr>
            <w:fldChar w:fldCharType="end"/>
          </w:r>
          <w:r>
            <w:rPr>
              <w:rFonts w:hint="eastAsia" w:ascii="宋体" w:hAnsi="宋体" w:eastAsia="宋体" w:cs="宋体"/>
              <w:color w:val="auto"/>
              <w:szCs w:val="24"/>
            </w:rPr>
            <w:fldChar w:fldCharType="end"/>
          </w:r>
        </w:p>
        <w:p w14:paraId="45B272AC">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_Toc22321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4"/>
              <w:highlight w:val="none"/>
            </w:rPr>
            <w:t>一、双方的责任</w:t>
          </w:r>
          <w:r>
            <w:rPr>
              <w:color w:val="auto"/>
            </w:rPr>
            <w:tab/>
          </w:r>
          <w:r>
            <w:rPr>
              <w:color w:val="auto"/>
            </w:rPr>
            <w:fldChar w:fldCharType="begin"/>
          </w:r>
          <w:r>
            <w:rPr>
              <w:color w:val="auto"/>
            </w:rPr>
            <w:instrText xml:space="preserve"> PAGEREF _Toc22321 \h </w:instrText>
          </w:r>
          <w:r>
            <w:rPr>
              <w:color w:val="auto"/>
            </w:rPr>
            <w:fldChar w:fldCharType="separate"/>
          </w:r>
          <w:r>
            <w:rPr>
              <w:color w:val="auto"/>
            </w:rPr>
            <w:t>159</w:t>
          </w:r>
          <w:r>
            <w:rPr>
              <w:color w:val="auto"/>
            </w:rPr>
            <w:fldChar w:fldCharType="end"/>
          </w:r>
          <w:r>
            <w:rPr>
              <w:rFonts w:hint="eastAsia" w:ascii="宋体" w:hAnsi="宋体" w:eastAsia="宋体" w:cs="宋体"/>
              <w:color w:val="auto"/>
              <w:szCs w:val="24"/>
            </w:rPr>
            <w:fldChar w:fldCharType="end"/>
          </w:r>
        </w:p>
        <w:p w14:paraId="665A3F76">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_Toc22012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4"/>
              <w:highlight w:val="none"/>
            </w:rPr>
            <w:t>二、发包人责任</w:t>
          </w:r>
          <w:r>
            <w:rPr>
              <w:color w:val="auto"/>
            </w:rPr>
            <w:tab/>
          </w:r>
          <w:r>
            <w:rPr>
              <w:color w:val="auto"/>
            </w:rPr>
            <w:fldChar w:fldCharType="begin"/>
          </w:r>
          <w:r>
            <w:rPr>
              <w:color w:val="auto"/>
            </w:rPr>
            <w:instrText xml:space="preserve"> PAGEREF _Toc22012 \h </w:instrText>
          </w:r>
          <w:r>
            <w:rPr>
              <w:color w:val="auto"/>
            </w:rPr>
            <w:fldChar w:fldCharType="separate"/>
          </w:r>
          <w:r>
            <w:rPr>
              <w:color w:val="auto"/>
            </w:rPr>
            <w:t>159</w:t>
          </w:r>
          <w:r>
            <w:rPr>
              <w:color w:val="auto"/>
            </w:rPr>
            <w:fldChar w:fldCharType="end"/>
          </w:r>
          <w:r>
            <w:rPr>
              <w:rFonts w:hint="eastAsia" w:ascii="宋体" w:hAnsi="宋体" w:eastAsia="宋体" w:cs="宋体"/>
              <w:color w:val="auto"/>
              <w:szCs w:val="24"/>
            </w:rPr>
            <w:fldChar w:fldCharType="end"/>
          </w:r>
        </w:p>
        <w:p w14:paraId="57467E67">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_Toc30310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4"/>
              <w:highlight w:val="none"/>
            </w:rPr>
            <w:t>三、承包人责任</w:t>
          </w:r>
          <w:r>
            <w:rPr>
              <w:color w:val="auto"/>
            </w:rPr>
            <w:tab/>
          </w:r>
          <w:r>
            <w:rPr>
              <w:color w:val="auto"/>
            </w:rPr>
            <w:fldChar w:fldCharType="begin"/>
          </w:r>
          <w:r>
            <w:rPr>
              <w:color w:val="auto"/>
            </w:rPr>
            <w:instrText xml:space="preserve"> PAGEREF _Toc30310 \h </w:instrText>
          </w:r>
          <w:r>
            <w:rPr>
              <w:color w:val="auto"/>
            </w:rPr>
            <w:fldChar w:fldCharType="separate"/>
          </w:r>
          <w:r>
            <w:rPr>
              <w:color w:val="auto"/>
            </w:rPr>
            <w:t>160</w:t>
          </w:r>
          <w:r>
            <w:rPr>
              <w:color w:val="auto"/>
            </w:rPr>
            <w:fldChar w:fldCharType="end"/>
          </w:r>
          <w:r>
            <w:rPr>
              <w:rFonts w:hint="eastAsia" w:ascii="宋体" w:hAnsi="宋体" w:eastAsia="宋体" w:cs="宋体"/>
              <w:color w:val="auto"/>
              <w:szCs w:val="24"/>
            </w:rPr>
            <w:fldChar w:fldCharType="end"/>
          </w:r>
        </w:p>
        <w:p w14:paraId="614B1944">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_Toc30972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4"/>
              <w:highlight w:val="none"/>
            </w:rPr>
            <w:t>四、违约责任</w:t>
          </w:r>
          <w:r>
            <w:rPr>
              <w:color w:val="auto"/>
            </w:rPr>
            <w:tab/>
          </w:r>
          <w:r>
            <w:rPr>
              <w:color w:val="auto"/>
            </w:rPr>
            <w:fldChar w:fldCharType="begin"/>
          </w:r>
          <w:r>
            <w:rPr>
              <w:color w:val="auto"/>
            </w:rPr>
            <w:instrText xml:space="preserve"> PAGEREF _Toc30972 \h </w:instrText>
          </w:r>
          <w:r>
            <w:rPr>
              <w:color w:val="auto"/>
            </w:rPr>
            <w:fldChar w:fldCharType="separate"/>
          </w:r>
          <w:r>
            <w:rPr>
              <w:color w:val="auto"/>
            </w:rPr>
            <w:t>160</w:t>
          </w:r>
          <w:r>
            <w:rPr>
              <w:color w:val="auto"/>
            </w:rPr>
            <w:fldChar w:fldCharType="end"/>
          </w:r>
          <w:r>
            <w:rPr>
              <w:rFonts w:hint="eastAsia" w:ascii="宋体" w:hAnsi="宋体" w:eastAsia="宋体" w:cs="宋体"/>
              <w:color w:val="auto"/>
              <w:szCs w:val="24"/>
            </w:rPr>
            <w:fldChar w:fldCharType="end"/>
          </w:r>
        </w:p>
        <w:p w14:paraId="137D76ED">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_Toc22312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1"/>
              <w:highlight w:val="none"/>
            </w:rPr>
            <w:t>五、</w:t>
          </w:r>
          <w:r>
            <w:rPr>
              <w:rFonts w:hint="eastAsia" w:ascii="宋体" w:hAnsi="宋体" w:eastAsia="宋体" w:cs="宋体"/>
              <w:i w:val="0"/>
              <w:caps w:val="0"/>
              <w:color w:val="auto"/>
              <w:spacing w:val="0"/>
              <w:w w:val="100"/>
              <w:szCs w:val="24"/>
              <w:highlight w:val="none"/>
            </w:rPr>
            <w:t>责任书有效期</w:t>
          </w:r>
          <w:r>
            <w:rPr>
              <w:color w:val="auto"/>
            </w:rPr>
            <w:tab/>
          </w:r>
          <w:r>
            <w:rPr>
              <w:color w:val="auto"/>
            </w:rPr>
            <w:fldChar w:fldCharType="begin"/>
          </w:r>
          <w:r>
            <w:rPr>
              <w:color w:val="auto"/>
            </w:rPr>
            <w:instrText xml:space="preserve"> PAGEREF _Toc22312 \h </w:instrText>
          </w:r>
          <w:r>
            <w:rPr>
              <w:color w:val="auto"/>
            </w:rPr>
            <w:fldChar w:fldCharType="separate"/>
          </w:r>
          <w:r>
            <w:rPr>
              <w:color w:val="auto"/>
            </w:rPr>
            <w:t>160</w:t>
          </w:r>
          <w:r>
            <w:rPr>
              <w:color w:val="auto"/>
            </w:rPr>
            <w:fldChar w:fldCharType="end"/>
          </w:r>
          <w:r>
            <w:rPr>
              <w:rFonts w:hint="eastAsia" w:ascii="宋体" w:hAnsi="宋体" w:eastAsia="宋体" w:cs="宋体"/>
              <w:color w:val="auto"/>
              <w:szCs w:val="24"/>
            </w:rPr>
            <w:fldChar w:fldCharType="end"/>
          </w:r>
        </w:p>
        <w:p w14:paraId="2FE4B86B">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_Toc5767 </w:instrText>
          </w:r>
          <w:r>
            <w:rPr>
              <w:rFonts w:hint="eastAsia" w:ascii="宋体" w:hAnsi="宋体" w:eastAsia="宋体" w:cs="宋体"/>
              <w:color w:val="auto"/>
              <w:szCs w:val="24"/>
            </w:rPr>
            <w:fldChar w:fldCharType="separate"/>
          </w:r>
          <w:r>
            <w:rPr>
              <w:rFonts w:hint="eastAsia" w:ascii="宋体" w:hAnsi="宋体" w:eastAsia="宋体" w:cs="宋体"/>
              <w:i w:val="0"/>
              <w:caps w:val="0"/>
              <w:color w:val="auto"/>
              <w:spacing w:val="0"/>
              <w:w w:val="100"/>
              <w:szCs w:val="24"/>
              <w:highlight w:val="none"/>
            </w:rPr>
            <w:t>六、责任书份数</w:t>
          </w:r>
          <w:r>
            <w:rPr>
              <w:color w:val="auto"/>
            </w:rPr>
            <w:tab/>
          </w:r>
          <w:r>
            <w:rPr>
              <w:color w:val="auto"/>
            </w:rPr>
            <w:fldChar w:fldCharType="begin"/>
          </w:r>
          <w:r>
            <w:rPr>
              <w:color w:val="auto"/>
            </w:rPr>
            <w:instrText xml:space="preserve"> PAGEREF _Toc5767 \h </w:instrText>
          </w:r>
          <w:r>
            <w:rPr>
              <w:color w:val="auto"/>
            </w:rPr>
            <w:fldChar w:fldCharType="separate"/>
          </w:r>
          <w:r>
            <w:rPr>
              <w:color w:val="auto"/>
            </w:rPr>
            <w:t>160</w:t>
          </w:r>
          <w:r>
            <w:rPr>
              <w:color w:val="auto"/>
            </w:rPr>
            <w:fldChar w:fldCharType="end"/>
          </w:r>
          <w:r>
            <w:rPr>
              <w:rFonts w:hint="eastAsia" w:ascii="宋体" w:hAnsi="宋体" w:eastAsia="宋体" w:cs="宋体"/>
              <w:color w:val="auto"/>
              <w:szCs w:val="24"/>
            </w:rPr>
            <w:fldChar w:fldCharType="end"/>
          </w:r>
        </w:p>
        <w:p w14:paraId="7C262158">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_Toc26546 </w:instrText>
          </w:r>
          <w:r>
            <w:rPr>
              <w:rFonts w:hint="eastAsia" w:ascii="宋体" w:hAnsi="宋体" w:eastAsia="宋体" w:cs="宋体"/>
              <w:color w:val="auto"/>
              <w:szCs w:val="24"/>
            </w:rPr>
            <w:fldChar w:fldCharType="separate"/>
          </w:r>
          <w:r>
            <w:rPr>
              <w:rFonts w:hint="eastAsia"/>
              <w:color w:val="auto"/>
            </w:rPr>
            <w:t>第五章  磋商响应文件格式</w:t>
          </w:r>
          <w:r>
            <w:rPr>
              <w:color w:val="auto"/>
            </w:rPr>
            <w:tab/>
          </w:r>
          <w:r>
            <w:rPr>
              <w:color w:val="auto"/>
            </w:rPr>
            <w:fldChar w:fldCharType="begin"/>
          </w:r>
          <w:r>
            <w:rPr>
              <w:color w:val="auto"/>
            </w:rPr>
            <w:instrText xml:space="preserve"> PAGEREF _Toc26546 \h </w:instrText>
          </w:r>
          <w:r>
            <w:rPr>
              <w:color w:val="auto"/>
            </w:rPr>
            <w:fldChar w:fldCharType="separate"/>
          </w:r>
          <w:r>
            <w:rPr>
              <w:color w:val="auto"/>
            </w:rPr>
            <w:t>162</w:t>
          </w:r>
          <w:r>
            <w:rPr>
              <w:color w:val="auto"/>
            </w:rPr>
            <w:fldChar w:fldCharType="end"/>
          </w:r>
          <w:r>
            <w:rPr>
              <w:rFonts w:hint="eastAsia" w:ascii="宋体" w:hAnsi="宋体" w:eastAsia="宋体" w:cs="宋体"/>
              <w:color w:val="auto"/>
              <w:szCs w:val="24"/>
            </w:rPr>
            <w:fldChar w:fldCharType="end"/>
          </w:r>
        </w:p>
        <w:p w14:paraId="300E43C2">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_Toc12168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一、响应函及响应函附录</w:t>
          </w:r>
          <w:r>
            <w:rPr>
              <w:color w:val="auto"/>
            </w:rPr>
            <w:tab/>
          </w:r>
          <w:r>
            <w:rPr>
              <w:color w:val="auto"/>
            </w:rPr>
            <w:fldChar w:fldCharType="begin"/>
          </w:r>
          <w:r>
            <w:rPr>
              <w:color w:val="auto"/>
            </w:rPr>
            <w:instrText xml:space="preserve"> PAGEREF _Toc12168 \h </w:instrText>
          </w:r>
          <w:r>
            <w:rPr>
              <w:color w:val="auto"/>
            </w:rPr>
            <w:fldChar w:fldCharType="separate"/>
          </w:r>
          <w:r>
            <w:rPr>
              <w:color w:val="auto"/>
            </w:rPr>
            <w:t>164</w:t>
          </w:r>
          <w:r>
            <w:rPr>
              <w:color w:val="auto"/>
            </w:rPr>
            <w:fldChar w:fldCharType="end"/>
          </w:r>
          <w:r>
            <w:rPr>
              <w:rFonts w:hint="eastAsia" w:ascii="宋体" w:hAnsi="宋体" w:eastAsia="宋体" w:cs="宋体"/>
              <w:color w:val="auto"/>
              <w:szCs w:val="24"/>
            </w:rPr>
            <w:fldChar w:fldCharType="end"/>
          </w:r>
        </w:p>
        <w:p w14:paraId="46B3C421">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_Toc10867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二、首次报价表格式</w:t>
          </w:r>
          <w:r>
            <w:rPr>
              <w:color w:val="auto"/>
            </w:rPr>
            <w:tab/>
          </w:r>
          <w:r>
            <w:rPr>
              <w:color w:val="auto"/>
            </w:rPr>
            <w:fldChar w:fldCharType="begin"/>
          </w:r>
          <w:r>
            <w:rPr>
              <w:color w:val="auto"/>
            </w:rPr>
            <w:instrText xml:space="preserve"> PAGEREF _Toc10867 \h </w:instrText>
          </w:r>
          <w:r>
            <w:rPr>
              <w:color w:val="auto"/>
            </w:rPr>
            <w:fldChar w:fldCharType="separate"/>
          </w:r>
          <w:r>
            <w:rPr>
              <w:color w:val="auto"/>
            </w:rPr>
            <w:t>166</w:t>
          </w:r>
          <w:r>
            <w:rPr>
              <w:color w:val="auto"/>
            </w:rPr>
            <w:fldChar w:fldCharType="end"/>
          </w:r>
          <w:r>
            <w:rPr>
              <w:rFonts w:hint="eastAsia" w:ascii="宋体" w:hAnsi="宋体" w:eastAsia="宋体" w:cs="宋体"/>
              <w:color w:val="auto"/>
              <w:szCs w:val="24"/>
            </w:rPr>
            <w:fldChar w:fldCharType="end"/>
          </w:r>
        </w:p>
        <w:p w14:paraId="05329307">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_Toc29979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三、法定代表人证明书</w:t>
          </w:r>
          <w:r>
            <w:rPr>
              <w:color w:val="auto"/>
            </w:rPr>
            <w:tab/>
          </w:r>
          <w:r>
            <w:rPr>
              <w:color w:val="auto"/>
            </w:rPr>
            <w:fldChar w:fldCharType="begin"/>
          </w:r>
          <w:r>
            <w:rPr>
              <w:color w:val="auto"/>
            </w:rPr>
            <w:instrText xml:space="preserve"> PAGEREF _Toc29979 \h </w:instrText>
          </w:r>
          <w:r>
            <w:rPr>
              <w:color w:val="auto"/>
            </w:rPr>
            <w:fldChar w:fldCharType="separate"/>
          </w:r>
          <w:r>
            <w:rPr>
              <w:color w:val="auto"/>
            </w:rPr>
            <w:t>167</w:t>
          </w:r>
          <w:r>
            <w:rPr>
              <w:color w:val="auto"/>
            </w:rPr>
            <w:fldChar w:fldCharType="end"/>
          </w:r>
          <w:r>
            <w:rPr>
              <w:rFonts w:hint="eastAsia" w:ascii="宋体" w:hAnsi="宋体" w:eastAsia="宋体" w:cs="宋体"/>
              <w:color w:val="auto"/>
              <w:szCs w:val="24"/>
            </w:rPr>
            <w:fldChar w:fldCharType="end"/>
          </w:r>
        </w:p>
        <w:p w14:paraId="11E6D1E6">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_Toc2775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四、</w:t>
          </w:r>
          <w:r>
            <w:rPr>
              <w:rFonts w:hint="eastAsia" w:ascii="宋体" w:hAnsi="宋体" w:eastAsia="宋体" w:cs="宋体"/>
              <w:bCs/>
              <w:i w:val="0"/>
              <w:caps w:val="0"/>
              <w:color w:val="auto"/>
              <w:spacing w:val="0"/>
              <w:w w:val="100"/>
              <w:szCs w:val="32"/>
              <w:highlight w:val="none"/>
              <w:lang w:val="zh-CN" w:eastAsia="zh-CN" w:bidi="ar-SA"/>
            </w:rPr>
            <w:t>法定代表人授权书</w:t>
          </w:r>
          <w:r>
            <w:rPr>
              <w:color w:val="auto"/>
            </w:rPr>
            <w:tab/>
          </w:r>
          <w:r>
            <w:rPr>
              <w:color w:val="auto"/>
            </w:rPr>
            <w:fldChar w:fldCharType="begin"/>
          </w:r>
          <w:r>
            <w:rPr>
              <w:color w:val="auto"/>
            </w:rPr>
            <w:instrText xml:space="preserve"> PAGEREF _Toc2775 \h </w:instrText>
          </w:r>
          <w:r>
            <w:rPr>
              <w:color w:val="auto"/>
            </w:rPr>
            <w:fldChar w:fldCharType="separate"/>
          </w:r>
          <w:r>
            <w:rPr>
              <w:color w:val="auto"/>
            </w:rPr>
            <w:t>168</w:t>
          </w:r>
          <w:r>
            <w:rPr>
              <w:color w:val="auto"/>
            </w:rPr>
            <w:fldChar w:fldCharType="end"/>
          </w:r>
          <w:r>
            <w:rPr>
              <w:rFonts w:hint="eastAsia" w:ascii="宋体" w:hAnsi="宋体" w:eastAsia="宋体" w:cs="宋体"/>
              <w:color w:val="auto"/>
              <w:szCs w:val="24"/>
            </w:rPr>
            <w:fldChar w:fldCharType="end"/>
          </w:r>
        </w:p>
        <w:p w14:paraId="2AAC9929">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_Toc12472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五、磋商响应人诚信承诺书</w:t>
          </w:r>
          <w:r>
            <w:rPr>
              <w:color w:val="auto"/>
            </w:rPr>
            <w:tab/>
          </w:r>
          <w:r>
            <w:rPr>
              <w:color w:val="auto"/>
            </w:rPr>
            <w:fldChar w:fldCharType="begin"/>
          </w:r>
          <w:r>
            <w:rPr>
              <w:color w:val="auto"/>
            </w:rPr>
            <w:instrText xml:space="preserve"> PAGEREF _Toc12472 \h </w:instrText>
          </w:r>
          <w:r>
            <w:rPr>
              <w:color w:val="auto"/>
            </w:rPr>
            <w:fldChar w:fldCharType="separate"/>
          </w:r>
          <w:r>
            <w:rPr>
              <w:color w:val="auto"/>
            </w:rPr>
            <w:t>169</w:t>
          </w:r>
          <w:r>
            <w:rPr>
              <w:color w:val="auto"/>
            </w:rPr>
            <w:fldChar w:fldCharType="end"/>
          </w:r>
          <w:r>
            <w:rPr>
              <w:rFonts w:hint="eastAsia" w:ascii="宋体" w:hAnsi="宋体" w:eastAsia="宋体" w:cs="宋体"/>
              <w:color w:val="auto"/>
              <w:szCs w:val="24"/>
            </w:rPr>
            <w:fldChar w:fldCharType="end"/>
          </w:r>
        </w:p>
        <w:p w14:paraId="0DC8EF42">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_Toc29001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六、磋商磋商响应人承诺函</w:t>
          </w:r>
          <w:r>
            <w:rPr>
              <w:color w:val="auto"/>
            </w:rPr>
            <w:tab/>
          </w:r>
          <w:r>
            <w:rPr>
              <w:color w:val="auto"/>
            </w:rPr>
            <w:fldChar w:fldCharType="begin"/>
          </w:r>
          <w:r>
            <w:rPr>
              <w:color w:val="auto"/>
            </w:rPr>
            <w:instrText xml:space="preserve"> PAGEREF _Toc29001 \h </w:instrText>
          </w:r>
          <w:r>
            <w:rPr>
              <w:color w:val="auto"/>
            </w:rPr>
            <w:fldChar w:fldCharType="separate"/>
          </w:r>
          <w:r>
            <w:rPr>
              <w:color w:val="auto"/>
            </w:rPr>
            <w:t>170</w:t>
          </w:r>
          <w:r>
            <w:rPr>
              <w:color w:val="auto"/>
            </w:rPr>
            <w:fldChar w:fldCharType="end"/>
          </w:r>
          <w:r>
            <w:rPr>
              <w:rFonts w:hint="eastAsia" w:ascii="宋体" w:hAnsi="宋体" w:eastAsia="宋体" w:cs="宋体"/>
              <w:color w:val="auto"/>
              <w:szCs w:val="24"/>
            </w:rPr>
            <w:fldChar w:fldCharType="end"/>
          </w:r>
        </w:p>
        <w:p w14:paraId="13EC3E76">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_Toc8866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七、磋商响应人对投标材料质量的承诺</w:t>
          </w:r>
          <w:r>
            <w:rPr>
              <w:color w:val="auto"/>
            </w:rPr>
            <w:tab/>
          </w:r>
          <w:r>
            <w:rPr>
              <w:color w:val="auto"/>
            </w:rPr>
            <w:fldChar w:fldCharType="begin"/>
          </w:r>
          <w:r>
            <w:rPr>
              <w:color w:val="auto"/>
            </w:rPr>
            <w:instrText xml:space="preserve"> PAGEREF _Toc8866 \h </w:instrText>
          </w:r>
          <w:r>
            <w:rPr>
              <w:color w:val="auto"/>
            </w:rPr>
            <w:fldChar w:fldCharType="separate"/>
          </w:r>
          <w:r>
            <w:rPr>
              <w:color w:val="auto"/>
            </w:rPr>
            <w:t>171</w:t>
          </w:r>
          <w:r>
            <w:rPr>
              <w:color w:val="auto"/>
            </w:rPr>
            <w:fldChar w:fldCharType="end"/>
          </w:r>
          <w:r>
            <w:rPr>
              <w:rFonts w:hint="eastAsia" w:ascii="宋体" w:hAnsi="宋体" w:eastAsia="宋体" w:cs="宋体"/>
              <w:color w:val="auto"/>
              <w:szCs w:val="24"/>
            </w:rPr>
            <w:fldChar w:fldCharType="end"/>
          </w:r>
        </w:p>
        <w:p w14:paraId="4B3FFFF0">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_Toc22627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八、未被列入“失信被执行人”的证明</w:t>
          </w:r>
          <w:r>
            <w:rPr>
              <w:color w:val="auto"/>
            </w:rPr>
            <w:tab/>
          </w:r>
          <w:r>
            <w:rPr>
              <w:color w:val="auto"/>
            </w:rPr>
            <w:fldChar w:fldCharType="begin"/>
          </w:r>
          <w:r>
            <w:rPr>
              <w:color w:val="auto"/>
            </w:rPr>
            <w:instrText xml:space="preserve"> PAGEREF _Toc22627 \h </w:instrText>
          </w:r>
          <w:r>
            <w:rPr>
              <w:color w:val="auto"/>
            </w:rPr>
            <w:fldChar w:fldCharType="separate"/>
          </w:r>
          <w:r>
            <w:rPr>
              <w:color w:val="auto"/>
            </w:rPr>
            <w:t>172</w:t>
          </w:r>
          <w:r>
            <w:rPr>
              <w:color w:val="auto"/>
            </w:rPr>
            <w:fldChar w:fldCharType="end"/>
          </w:r>
          <w:r>
            <w:rPr>
              <w:rFonts w:hint="eastAsia" w:ascii="宋体" w:hAnsi="宋体" w:eastAsia="宋体" w:cs="宋体"/>
              <w:color w:val="auto"/>
              <w:szCs w:val="24"/>
            </w:rPr>
            <w:fldChar w:fldCharType="end"/>
          </w:r>
        </w:p>
        <w:p w14:paraId="3E9B3E0A">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_Toc12525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九、已标价工程量清单</w:t>
          </w:r>
          <w:r>
            <w:rPr>
              <w:color w:val="auto"/>
            </w:rPr>
            <w:tab/>
          </w:r>
          <w:r>
            <w:rPr>
              <w:color w:val="auto"/>
            </w:rPr>
            <w:fldChar w:fldCharType="begin"/>
          </w:r>
          <w:r>
            <w:rPr>
              <w:color w:val="auto"/>
            </w:rPr>
            <w:instrText xml:space="preserve"> PAGEREF _Toc12525 \h </w:instrText>
          </w:r>
          <w:r>
            <w:rPr>
              <w:color w:val="auto"/>
            </w:rPr>
            <w:fldChar w:fldCharType="separate"/>
          </w:r>
          <w:r>
            <w:rPr>
              <w:color w:val="auto"/>
            </w:rPr>
            <w:t>173</w:t>
          </w:r>
          <w:r>
            <w:rPr>
              <w:color w:val="auto"/>
            </w:rPr>
            <w:fldChar w:fldCharType="end"/>
          </w:r>
          <w:r>
            <w:rPr>
              <w:rFonts w:hint="eastAsia" w:ascii="宋体" w:hAnsi="宋体" w:eastAsia="宋体" w:cs="宋体"/>
              <w:color w:val="auto"/>
              <w:szCs w:val="24"/>
            </w:rPr>
            <w:fldChar w:fldCharType="end"/>
          </w:r>
        </w:p>
        <w:p w14:paraId="715D7871">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_Toc29790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十、施工组织设计</w:t>
          </w:r>
          <w:r>
            <w:rPr>
              <w:color w:val="auto"/>
            </w:rPr>
            <w:tab/>
          </w:r>
          <w:r>
            <w:rPr>
              <w:color w:val="auto"/>
            </w:rPr>
            <w:fldChar w:fldCharType="begin"/>
          </w:r>
          <w:r>
            <w:rPr>
              <w:color w:val="auto"/>
            </w:rPr>
            <w:instrText xml:space="preserve"> PAGEREF _Toc29790 \h </w:instrText>
          </w:r>
          <w:r>
            <w:rPr>
              <w:color w:val="auto"/>
            </w:rPr>
            <w:fldChar w:fldCharType="separate"/>
          </w:r>
          <w:r>
            <w:rPr>
              <w:color w:val="auto"/>
            </w:rPr>
            <w:t>174</w:t>
          </w:r>
          <w:r>
            <w:rPr>
              <w:color w:val="auto"/>
            </w:rPr>
            <w:fldChar w:fldCharType="end"/>
          </w:r>
          <w:r>
            <w:rPr>
              <w:rFonts w:hint="eastAsia" w:ascii="宋体" w:hAnsi="宋体" w:eastAsia="宋体" w:cs="宋体"/>
              <w:color w:val="auto"/>
              <w:szCs w:val="24"/>
            </w:rPr>
            <w:fldChar w:fldCharType="end"/>
          </w:r>
        </w:p>
        <w:p w14:paraId="67E07954">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_Toc21397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十一、项目管理机构</w:t>
          </w:r>
          <w:r>
            <w:rPr>
              <w:color w:val="auto"/>
            </w:rPr>
            <w:tab/>
          </w:r>
          <w:r>
            <w:rPr>
              <w:color w:val="auto"/>
            </w:rPr>
            <w:fldChar w:fldCharType="begin"/>
          </w:r>
          <w:r>
            <w:rPr>
              <w:color w:val="auto"/>
            </w:rPr>
            <w:instrText xml:space="preserve"> PAGEREF _Toc21397 \h </w:instrText>
          </w:r>
          <w:r>
            <w:rPr>
              <w:color w:val="auto"/>
            </w:rPr>
            <w:fldChar w:fldCharType="separate"/>
          </w:r>
          <w:r>
            <w:rPr>
              <w:color w:val="auto"/>
            </w:rPr>
            <w:t>182</w:t>
          </w:r>
          <w:r>
            <w:rPr>
              <w:color w:val="auto"/>
            </w:rPr>
            <w:fldChar w:fldCharType="end"/>
          </w:r>
          <w:r>
            <w:rPr>
              <w:rFonts w:hint="eastAsia" w:ascii="宋体" w:hAnsi="宋体" w:eastAsia="宋体" w:cs="宋体"/>
              <w:color w:val="auto"/>
              <w:szCs w:val="24"/>
            </w:rPr>
            <w:fldChar w:fldCharType="end"/>
          </w:r>
        </w:p>
        <w:p w14:paraId="4A98F1D3">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_Toc18238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十二、拟分包计划表（本项目不适用）</w:t>
          </w:r>
          <w:r>
            <w:rPr>
              <w:color w:val="auto"/>
            </w:rPr>
            <w:tab/>
          </w:r>
          <w:r>
            <w:rPr>
              <w:color w:val="auto"/>
            </w:rPr>
            <w:fldChar w:fldCharType="begin"/>
          </w:r>
          <w:r>
            <w:rPr>
              <w:color w:val="auto"/>
            </w:rPr>
            <w:instrText xml:space="preserve"> PAGEREF _Toc18238 \h </w:instrText>
          </w:r>
          <w:r>
            <w:rPr>
              <w:color w:val="auto"/>
            </w:rPr>
            <w:fldChar w:fldCharType="separate"/>
          </w:r>
          <w:r>
            <w:rPr>
              <w:color w:val="auto"/>
            </w:rPr>
            <w:t>186</w:t>
          </w:r>
          <w:r>
            <w:rPr>
              <w:color w:val="auto"/>
            </w:rPr>
            <w:fldChar w:fldCharType="end"/>
          </w:r>
          <w:r>
            <w:rPr>
              <w:rFonts w:hint="eastAsia" w:ascii="宋体" w:hAnsi="宋体" w:eastAsia="宋体" w:cs="宋体"/>
              <w:color w:val="auto"/>
              <w:szCs w:val="24"/>
            </w:rPr>
            <w:fldChar w:fldCharType="end"/>
          </w:r>
        </w:p>
        <w:p w14:paraId="109BC2ED">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_Toc20100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十三、资料审查</w:t>
          </w:r>
          <w:r>
            <w:rPr>
              <w:color w:val="auto"/>
            </w:rPr>
            <w:tab/>
          </w:r>
          <w:r>
            <w:rPr>
              <w:color w:val="auto"/>
            </w:rPr>
            <w:fldChar w:fldCharType="begin"/>
          </w:r>
          <w:r>
            <w:rPr>
              <w:color w:val="auto"/>
            </w:rPr>
            <w:instrText xml:space="preserve"> PAGEREF _Toc20100 \h </w:instrText>
          </w:r>
          <w:r>
            <w:rPr>
              <w:color w:val="auto"/>
            </w:rPr>
            <w:fldChar w:fldCharType="separate"/>
          </w:r>
          <w:r>
            <w:rPr>
              <w:color w:val="auto"/>
            </w:rPr>
            <w:t>187</w:t>
          </w:r>
          <w:r>
            <w:rPr>
              <w:color w:val="auto"/>
            </w:rPr>
            <w:fldChar w:fldCharType="end"/>
          </w:r>
          <w:r>
            <w:rPr>
              <w:rFonts w:hint="eastAsia" w:ascii="宋体" w:hAnsi="宋体" w:eastAsia="宋体" w:cs="宋体"/>
              <w:color w:val="auto"/>
              <w:szCs w:val="24"/>
            </w:rPr>
            <w:fldChar w:fldCharType="end"/>
          </w:r>
        </w:p>
        <w:p w14:paraId="0D3B34C2">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_Toc3937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2"/>
              <w:highlight w:val="none"/>
              <w:lang w:val="en-US" w:eastAsia="zh-CN" w:bidi="ar-SA"/>
            </w:rPr>
            <w:t>十四、磋商最终报价表</w:t>
          </w:r>
          <w:r>
            <w:rPr>
              <w:color w:val="auto"/>
            </w:rPr>
            <w:tab/>
          </w:r>
          <w:r>
            <w:rPr>
              <w:color w:val="auto"/>
            </w:rPr>
            <w:fldChar w:fldCharType="begin"/>
          </w:r>
          <w:r>
            <w:rPr>
              <w:color w:val="auto"/>
            </w:rPr>
            <w:instrText xml:space="preserve"> PAGEREF _Toc3937 \h </w:instrText>
          </w:r>
          <w:r>
            <w:rPr>
              <w:color w:val="auto"/>
            </w:rPr>
            <w:fldChar w:fldCharType="separate"/>
          </w:r>
          <w:r>
            <w:rPr>
              <w:color w:val="auto"/>
            </w:rPr>
            <w:t>193</w:t>
          </w:r>
          <w:r>
            <w:rPr>
              <w:color w:val="auto"/>
            </w:rPr>
            <w:fldChar w:fldCharType="end"/>
          </w:r>
          <w:r>
            <w:rPr>
              <w:rFonts w:hint="eastAsia" w:ascii="宋体" w:hAnsi="宋体" w:eastAsia="宋体" w:cs="宋体"/>
              <w:color w:val="auto"/>
              <w:szCs w:val="24"/>
            </w:rPr>
            <w:fldChar w:fldCharType="end"/>
          </w:r>
        </w:p>
        <w:p w14:paraId="2EF15A60">
          <w:pPr>
            <w:pStyle w:val="17"/>
            <w:tabs>
              <w:tab w:val="right" w:leader="dot" w:pos="9183"/>
            </w:tabs>
            <w:rPr>
              <w:color w:val="auto"/>
            </w:rPr>
          </w:pPr>
          <w:r>
            <w:rPr>
              <w:rFonts w:hint="eastAsia" w:ascii="宋体" w:hAnsi="宋体" w:eastAsia="宋体" w:cs="宋体"/>
              <w:color w:val="auto"/>
              <w:szCs w:val="24"/>
            </w:rPr>
            <w:fldChar w:fldCharType="begin"/>
          </w:r>
          <w:r>
            <w:rPr>
              <w:rFonts w:hint="eastAsia" w:ascii="宋体" w:hAnsi="宋体" w:eastAsia="宋体" w:cs="宋体"/>
              <w:color w:val="auto"/>
              <w:szCs w:val="24"/>
            </w:rPr>
            <w:instrText xml:space="preserve"> HYPERLINK \l _Toc11078 </w:instrText>
          </w:r>
          <w:r>
            <w:rPr>
              <w:rFonts w:hint="eastAsia" w:ascii="宋体" w:hAnsi="宋体" w:eastAsia="宋体" w:cs="宋体"/>
              <w:color w:val="auto"/>
              <w:szCs w:val="24"/>
            </w:rPr>
            <w:fldChar w:fldCharType="separate"/>
          </w:r>
          <w:r>
            <w:rPr>
              <w:rFonts w:hint="eastAsia" w:ascii="宋体" w:hAnsi="宋体" w:eastAsia="宋体" w:cs="宋体"/>
              <w:bCs/>
              <w:i w:val="0"/>
              <w:caps w:val="0"/>
              <w:color w:val="auto"/>
              <w:spacing w:val="0"/>
              <w:w w:val="100"/>
              <w:szCs w:val="36"/>
              <w:highlight w:val="none"/>
            </w:rPr>
            <w:t>第六章工程量清单</w:t>
          </w:r>
          <w:r>
            <w:rPr>
              <w:color w:val="auto"/>
            </w:rPr>
            <w:tab/>
          </w:r>
          <w:r>
            <w:rPr>
              <w:color w:val="auto"/>
            </w:rPr>
            <w:fldChar w:fldCharType="begin"/>
          </w:r>
          <w:r>
            <w:rPr>
              <w:color w:val="auto"/>
            </w:rPr>
            <w:instrText xml:space="preserve"> PAGEREF _Toc11078 \h </w:instrText>
          </w:r>
          <w:r>
            <w:rPr>
              <w:color w:val="auto"/>
            </w:rPr>
            <w:fldChar w:fldCharType="separate"/>
          </w:r>
          <w:r>
            <w:rPr>
              <w:color w:val="auto"/>
            </w:rPr>
            <w:t>198</w:t>
          </w:r>
          <w:r>
            <w:rPr>
              <w:color w:val="auto"/>
            </w:rPr>
            <w:fldChar w:fldCharType="end"/>
          </w:r>
          <w:r>
            <w:rPr>
              <w:rFonts w:hint="eastAsia" w:ascii="宋体" w:hAnsi="宋体" w:eastAsia="宋体" w:cs="宋体"/>
              <w:color w:val="auto"/>
              <w:szCs w:val="24"/>
            </w:rPr>
            <w:fldChar w:fldCharType="end"/>
          </w:r>
        </w:p>
        <w:p w14:paraId="3F0786BA">
          <w:pPr>
            <w:rPr>
              <w:color w:val="auto"/>
            </w:rPr>
          </w:pPr>
          <w:r>
            <w:rPr>
              <w:rFonts w:hint="eastAsia" w:ascii="宋体" w:hAnsi="宋体" w:eastAsia="宋体" w:cs="宋体"/>
              <w:color w:val="auto"/>
              <w:szCs w:val="24"/>
            </w:rPr>
            <w:fldChar w:fldCharType="end"/>
          </w:r>
        </w:p>
      </w:sdtContent>
    </w:sdt>
    <w:p w14:paraId="7FFE7E9D">
      <w:pPr>
        <w:rPr>
          <w:rFonts w:hint="eastAsia" w:ascii="宋体" w:hAnsi="宋体" w:eastAsia="宋体" w:cs="宋体"/>
          <w:b w:val="0"/>
          <w:i w:val="0"/>
          <w:caps w:val="0"/>
          <w:color w:val="auto"/>
          <w:spacing w:val="0"/>
          <w:w w:val="100"/>
          <w:sz w:val="36"/>
          <w:szCs w:val="36"/>
          <w:highlight w:val="none"/>
        </w:rPr>
      </w:pPr>
      <w:r>
        <w:rPr>
          <w:rFonts w:hint="eastAsia" w:ascii="宋体" w:hAnsi="宋体" w:eastAsia="宋体" w:cs="宋体"/>
          <w:b w:val="0"/>
          <w:i w:val="0"/>
          <w:caps w:val="0"/>
          <w:color w:val="auto"/>
          <w:spacing w:val="0"/>
          <w:w w:val="100"/>
          <w:sz w:val="36"/>
          <w:szCs w:val="36"/>
          <w:highlight w:val="none"/>
        </w:rPr>
        <w:br w:type="page"/>
      </w:r>
    </w:p>
    <w:p w14:paraId="789FD13C">
      <w:pPr>
        <w:snapToGrid w:val="0"/>
        <w:spacing w:before="0" w:beforeAutospacing="0" w:after="0" w:afterAutospacing="0" w:line="360" w:lineRule="auto"/>
        <w:jc w:val="center"/>
        <w:textAlignment w:val="baseline"/>
        <w:outlineLvl w:val="0"/>
        <w:rPr>
          <w:rFonts w:hint="eastAsia" w:ascii="宋体" w:hAnsi="宋体" w:eastAsia="宋体" w:cs="宋体"/>
          <w:b w:val="0"/>
          <w:i w:val="0"/>
          <w:caps w:val="0"/>
          <w:color w:val="auto"/>
          <w:spacing w:val="0"/>
          <w:w w:val="100"/>
          <w:sz w:val="36"/>
          <w:szCs w:val="36"/>
          <w:highlight w:val="none"/>
        </w:rPr>
      </w:pPr>
      <w:bookmarkStart w:id="12" w:name="_Toc12404"/>
      <w:r>
        <w:rPr>
          <w:rFonts w:hint="eastAsia" w:ascii="宋体" w:hAnsi="宋体" w:eastAsia="宋体" w:cs="宋体"/>
          <w:b w:val="0"/>
          <w:i w:val="0"/>
          <w:caps w:val="0"/>
          <w:color w:val="auto"/>
          <w:spacing w:val="0"/>
          <w:w w:val="100"/>
          <w:sz w:val="36"/>
          <w:szCs w:val="36"/>
          <w:highlight w:val="none"/>
        </w:rPr>
        <w:t>第一章  磋商邀请</w:t>
      </w:r>
      <w:bookmarkEnd w:id="12"/>
    </w:p>
    <w:tbl>
      <w:tblPr>
        <w:tblStyle w:val="2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99"/>
      </w:tblGrid>
      <w:tr w14:paraId="2BFE1A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9399" w:type="dxa"/>
          </w:tcPr>
          <w:p w14:paraId="09530156">
            <w:pPr>
              <w:pStyle w:val="13"/>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left="0" w:leftChars="0"/>
              <w:jc w:val="both"/>
              <w:textAlignment w:val="baseline"/>
              <w:rPr>
                <w:rFonts w:hint="eastAsia" w:ascii="宋体" w:hAnsi="宋体" w:cs="宋体"/>
                <w:b w:val="0"/>
                <w:i w:val="0"/>
                <w:caps w:val="0"/>
                <w:color w:val="auto"/>
                <w:spacing w:val="0"/>
                <w:w w:val="100"/>
                <w:sz w:val="24"/>
                <w:szCs w:val="24"/>
                <w:highlight w:val="none"/>
                <w:vertAlign w:val="baseline"/>
                <w:lang w:val="zh-CN"/>
              </w:rPr>
            </w:pPr>
            <w:r>
              <w:rPr>
                <w:rFonts w:hint="eastAsia" w:ascii="宋体" w:hAnsi="宋体" w:cs="宋体"/>
                <w:b w:val="0"/>
                <w:i w:val="0"/>
                <w:caps w:val="0"/>
                <w:color w:val="auto"/>
                <w:spacing w:val="0"/>
                <w:w w:val="100"/>
                <w:sz w:val="24"/>
                <w:szCs w:val="24"/>
                <w:highlight w:val="none"/>
                <w:vertAlign w:val="baseline"/>
                <w:lang w:val="zh-CN"/>
              </w:rPr>
              <w:t>项目概况</w:t>
            </w:r>
          </w:p>
          <w:p w14:paraId="691C0A4C">
            <w:pPr>
              <w:pStyle w:val="13"/>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left="0" w:leftChars="0" w:firstLine="480" w:firstLineChars="200"/>
              <w:jc w:val="both"/>
              <w:textAlignment w:val="baseline"/>
              <w:rPr>
                <w:rFonts w:hint="eastAsia" w:ascii="宋体" w:hAnsi="宋体" w:cs="宋体"/>
                <w:b w:val="0"/>
                <w:i w:val="0"/>
                <w:caps w:val="0"/>
                <w:color w:val="auto"/>
                <w:spacing w:val="0"/>
                <w:w w:val="100"/>
                <w:sz w:val="24"/>
                <w:szCs w:val="24"/>
                <w:highlight w:val="none"/>
                <w:vertAlign w:val="baseline"/>
                <w:lang w:val="zh-CN"/>
              </w:rPr>
            </w:pPr>
            <w:r>
              <w:rPr>
                <w:rFonts w:hint="eastAsia" w:ascii="宋体" w:hAnsi="宋体" w:cs="宋体"/>
                <w:b w:val="0"/>
                <w:i w:val="0"/>
                <w:caps w:val="0"/>
                <w:color w:val="auto"/>
                <w:spacing w:val="0"/>
                <w:w w:val="100"/>
                <w:sz w:val="24"/>
                <w:szCs w:val="24"/>
                <w:highlight w:val="none"/>
                <w:u w:val="single"/>
                <w:vertAlign w:val="baseline"/>
                <w:lang w:val="zh-CN" w:eastAsia="zh-CN"/>
              </w:rPr>
              <w:t>G315国道茫崖市黄瓜梁至茫崖镇路口路域环境整治项目</w:t>
            </w:r>
            <w:r>
              <w:rPr>
                <w:rFonts w:hint="eastAsia" w:ascii="宋体" w:hAnsi="宋体" w:cs="宋体"/>
                <w:b w:val="0"/>
                <w:i w:val="0"/>
                <w:caps w:val="0"/>
                <w:color w:val="auto"/>
                <w:spacing w:val="0"/>
                <w:w w:val="100"/>
                <w:sz w:val="24"/>
                <w:szCs w:val="24"/>
                <w:highlight w:val="none"/>
                <w:vertAlign w:val="baseline"/>
                <w:lang w:val="zh-CN"/>
              </w:rPr>
              <w:t>的潜在投标人应在政采云平台线上获取采购文件，并于2024年08月</w:t>
            </w:r>
            <w:r>
              <w:rPr>
                <w:rFonts w:hint="eastAsia" w:ascii="宋体" w:hAnsi="宋体" w:cs="宋体"/>
                <w:b w:val="0"/>
                <w:i w:val="0"/>
                <w:caps w:val="0"/>
                <w:color w:val="auto"/>
                <w:spacing w:val="0"/>
                <w:w w:val="100"/>
                <w:sz w:val="24"/>
                <w:szCs w:val="24"/>
                <w:highlight w:val="none"/>
                <w:vertAlign w:val="baseline"/>
                <w:lang w:val="en-US" w:eastAsia="zh-CN"/>
              </w:rPr>
              <w:t>23</w:t>
            </w:r>
            <w:r>
              <w:rPr>
                <w:rFonts w:hint="eastAsia" w:ascii="宋体" w:hAnsi="宋体" w:cs="宋体"/>
                <w:b w:val="0"/>
                <w:i w:val="0"/>
                <w:caps w:val="0"/>
                <w:color w:val="auto"/>
                <w:spacing w:val="0"/>
                <w:w w:val="100"/>
                <w:sz w:val="24"/>
                <w:szCs w:val="24"/>
                <w:highlight w:val="none"/>
                <w:vertAlign w:val="baseline"/>
                <w:lang w:val="zh-CN"/>
              </w:rPr>
              <w:t>日上午</w:t>
            </w:r>
            <w:r>
              <w:rPr>
                <w:rFonts w:hint="eastAsia" w:ascii="宋体" w:hAnsi="宋体" w:cs="宋体"/>
                <w:b w:val="0"/>
                <w:i w:val="0"/>
                <w:caps w:val="0"/>
                <w:color w:val="auto"/>
                <w:spacing w:val="0"/>
                <w:w w:val="100"/>
                <w:sz w:val="24"/>
                <w:szCs w:val="24"/>
                <w:highlight w:val="none"/>
                <w:vertAlign w:val="baseline"/>
                <w:lang w:val="en-US" w:eastAsia="zh-CN"/>
              </w:rPr>
              <w:t>9</w:t>
            </w:r>
            <w:r>
              <w:rPr>
                <w:rFonts w:hint="eastAsia" w:ascii="宋体" w:hAnsi="宋体" w:cs="宋体"/>
                <w:b w:val="0"/>
                <w:i w:val="0"/>
                <w:caps w:val="0"/>
                <w:color w:val="auto"/>
                <w:spacing w:val="0"/>
                <w:w w:val="100"/>
                <w:sz w:val="24"/>
                <w:szCs w:val="24"/>
                <w:highlight w:val="none"/>
                <w:vertAlign w:val="baseline"/>
                <w:lang w:val="zh-CN"/>
              </w:rPr>
              <w:t>:30（北京时间）前</w:t>
            </w:r>
            <w:r>
              <w:rPr>
                <w:rFonts w:hint="eastAsia" w:ascii="宋体" w:hAnsi="宋体" w:cs="宋体"/>
                <w:b w:val="0"/>
                <w:i w:val="0"/>
                <w:caps w:val="0"/>
                <w:color w:val="auto"/>
                <w:spacing w:val="0"/>
                <w:w w:val="100"/>
                <w:sz w:val="24"/>
                <w:szCs w:val="24"/>
                <w:highlight w:val="none"/>
                <w:vertAlign w:val="baseline"/>
                <w:lang w:val="zh-CN" w:eastAsia="zh-CN"/>
              </w:rPr>
              <w:t>上传</w:t>
            </w:r>
            <w:r>
              <w:rPr>
                <w:rFonts w:hint="eastAsia" w:ascii="宋体" w:hAnsi="宋体" w:cs="宋体"/>
                <w:b w:val="0"/>
                <w:i w:val="0"/>
                <w:caps w:val="0"/>
                <w:color w:val="auto"/>
                <w:spacing w:val="0"/>
                <w:w w:val="100"/>
                <w:sz w:val="24"/>
                <w:szCs w:val="24"/>
                <w:highlight w:val="none"/>
                <w:vertAlign w:val="baseline"/>
                <w:lang w:val="zh-CN"/>
              </w:rPr>
              <w:t>响应文件。</w:t>
            </w:r>
          </w:p>
        </w:tc>
      </w:tr>
    </w:tbl>
    <w:p w14:paraId="54A4ABE7">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right="0" w:firstLine="0"/>
        <w:jc w:val="both"/>
        <w:textAlignment w:val="auto"/>
        <w:rPr>
          <w:rFonts w:hint="eastAsia" w:ascii="宋体" w:hAnsi="宋体" w:eastAsia="宋体" w:cs="宋体"/>
          <w:i w:val="0"/>
          <w:iCs w:val="0"/>
          <w:caps w:val="0"/>
          <w:color w:val="auto"/>
          <w:spacing w:val="0"/>
          <w:sz w:val="24"/>
          <w:szCs w:val="24"/>
        </w:rPr>
      </w:pPr>
      <w:r>
        <w:rPr>
          <w:rStyle w:val="26"/>
          <w:rFonts w:hint="eastAsia" w:ascii="宋体" w:hAnsi="宋体" w:eastAsia="宋体" w:cs="宋体"/>
          <w:i w:val="0"/>
          <w:iCs w:val="0"/>
          <w:caps w:val="0"/>
          <w:color w:val="auto"/>
          <w:spacing w:val="0"/>
          <w:sz w:val="24"/>
          <w:szCs w:val="24"/>
        </w:rPr>
        <w:t>一、项目基本情况</w:t>
      </w:r>
    </w:p>
    <w:p w14:paraId="7DDCFA27">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default"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i w:val="0"/>
          <w:iCs w:val="0"/>
          <w:caps w:val="0"/>
          <w:color w:val="auto"/>
          <w:spacing w:val="0"/>
          <w:sz w:val="24"/>
          <w:szCs w:val="24"/>
          <w:lang w:eastAsia="zh-CN"/>
        </w:rPr>
        <w:t>项目编号</w:t>
      </w:r>
      <w:r>
        <w:rPr>
          <w:rFonts w:hint="eastAsia" w:asciiTheme="minorEastAsia" w:hAnsiTheme="minorEastAsia" w:eastAsiaTheme="minorEastAsia" w:cstheme="minorEastAsia"/>
          <w:i w:val="0"/>
          <w:iCs w:val="0"/>
          <w:caps w:val="0"/>
          <w:color w:val="auto"/>
          <w:spacing w:val="0"/>
          <w:sz w:val="24"/>
          <w:szCs w:val="24"/>
        </w:rPr>
        <w:t>：</w:t>
      </w:r>
      <w:r>
        <w:rPr>
          <w:rFonts w:hint="eastAsia" w:asciiTheme="minorEastAsia" w:hAnsiTheme="minorEastAsia" w:eastAsiaTheme="minorEastAsia" w:cstheme="minorEastAsia"/>
          <w:i w:val="0"/>
          <w:iCs w:val="0"/>
          <w:caps w:val="0"/>
          <w:color w:val="auto"/>
          <w:spacing w:val="0"/>
          <w:sz w:val="24"/>
          <w:szCs w:val="24"/>
          <w:lang w:eastAsia="zh-CN"/>
        </w:rPr>
        <w:t>青海佳荣竞磋(工程)2024-086</w:t>
      </w:r>
    </w:p>
    <w:p w14:paraId="225AB727">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Theme="minorEastAsia" w:hAnsiTheme="minorEastAsia" w:eastAsiaTheme="minorEastAsia" w:cstheme="minorEastAsia"/>
          <w:b w:val="0"/>
          <w:i w:val="0"/>
          <w:caps w:val="0"/>
          <w:color w:val="auto"/>
          <w:spacing w:val="0"/>
          <w:w w:val="100"/>
          <w:sz w:val="24"/>
          <w:szCs w:val="24"/>
          <w:highlight w:val="none"/>
          <w:vertAlign w:val="baseline"/>
          <w:lang w:val="zh-CN" w:eastAsia="zh-CN"/>
        </w:rPr>
      </w:pPr>
      <w:r>
        <w:rPr>
          <w:rFonts w:hint="eastAsia" w:asciiTheme="minorEastAsia" w:hAnsiTheme="minorEastAsia" w:eastAsiaTheme="minorEastAsia" w:cstheme="minorEastAsia"/>
          <w:i w:val="0"/>
          <w:iCs w:val="0"/>
          <w:caps w:val="0"/>
          <w:color w:val="auto"/>
          <w:spacing w:val="0"/>
          <w:sz w:val="24"/>
          <w:szCs w:val="24"/>
        </w:rPr>
        <w:t>项目名称：</w:t>
      </w:r>
      <w:r>
        <w:rPr>
          <w:rFonts w:hint="eastAsia" w:asciiTheme="minorEastAsia" w:hAnsiTheme="minorEastAsia" w:eastAsiaTheme="minorEastAsia" w:cstheme="minorEastAsia"/>
          <w:b w:val="0"/>
          <w:i w:val="0"/>
          <w:caps w:val="0"/>
          <w:color w:val="auto"/>
          <w:spacing w:val="0"/>
          <w:w w:val="100"/>
          <w:sz w:val="24"/>
          <w:szCs w:val="24"/>
          <w:highlight w:val="none"/>
          <w:vertAlign w:val="baseline"/>
          <w:lang w:val="zh-CN" w:eastAsia="zh-CN"/>
        </w:rPr>
        <w:t>G315国道茫崖市黄瓜梁至茫崖镇路口路域环境整治项目</w:t>
      </w:r>
    </w:p>
    <w:p w14:paraId="14A19B69">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i w:val="0"/>
          <w:iCs w:val="0"/>
          <w:caps w:val="0"/>
          <w:color w:val="auto"/>
          <w:spacing w:val="0"/>
          <w:sz w:val="24"/>
          <w:szCs w:val="24"/>
        </w:rPr>
        <w:t>采购方式：竞争性磋商</w:t>
      </w:r>
    </w:p>
    <w:p w14:paraId="5E4B4645">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i w:val="0"/>
          <w:iCs w:val="0"/>
          <w:caps w:val="0"/>
          <w:color w:val="auto"/>
          <w:spacing w:val="0"/>
          <w:sz w:val="24"/>
          <w:szCs w:val="24"/>
        </w:rPr>
        <w:t>预算金额（元）：</w:t>
      </w:r>
      <w:r>
        <w:rPr>
          <w:rStyle w:val="37"/>
          <w:rFonts w:hint="eastAsia" w:asciiTheme="minorEastAsia" w:hAnsiTheme="minorEastAsia" w:eastAsiaTheme="minorEastAsia" w:cstheme="minorEastAsia"/>
          <w:i w:val="0"/>
          <w:iCs w:val="0"/>
          <w:caps w:val="0"/>
          <w:color w:val="auto"/>
          <w:spacing w:val="0"/>
          <w:sz w:val="24"/>
          <w:szCs w:val="24"/>
          <w:lang w:val="en-US" w:eastAsia="zh-CN"/>
        </w:rPr>
        <w:t>1450000.00</w:t>
      </w:r>
    </w:p>
    <w:p w14:paraId="5515C920">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default" w:asciiTheme="minorEastAsia" w:hAnsiTheme="minorEastAsia" w:eastAsiaTheme="minorEastAsia" w:cstheme="minorEastAsia"/>
          <w:i w:val="0"/>
          <w:iCs w:val="0"/>
          <w:caps w:val="0"/>
          <w:color w:val="auto"/>
          <w:spacing w:val="0"/>
          <w:sz w:val="24"/>
          <w:szCs w:val="24"/>
          <w:lang w:val="en-US" w:eastAsia="zh-CN"/>
        </w:rPr>
      </w:pPr>
      <w:r>
        <w:rPr>
          <w:rFonts w:hint="eastAsia" w:asciiTheme="minorEastAsia" w:hAnsiTheme="minorEastAsia" w:eastAsiaTheme="minorEastAsia" w:cstheme="minorEastAsia"/>
          <w:i w:val="0"/>
          <w:iCs w:val="0"/>
          <w:caps w:val="0"/>
          <w:color w:val="auto"/>
          <w:spacing w:val="0"/>
          <w:sz w:val="24"/>
          <w:szCs w:val="24"/>
        </w:rPr>
        <w:t>最高限价（元）：</w:t>
      </w:r>
      <w:r>
        <w:rPr>
          <w:rStyle w:val="37"/>
          <w:rFonts w:hint="eastAsia" w:asciiTheme="minorEastAsia" w:hAnsiTheme="minorEastAsia" w:eastAsiaTheme="minorEastAsia" w:cstheme="minorEastAsia"/>
          <w:i w:val="0"/>
          <w:iCs w:val="0"/>
          <w:caps w:val="0"/>
          <w:color w:val="auto"/>
          <w:spacing w:val="0"/>
          <w:sz w:val="24"/>
          <w:szCs w:val="24"/>
          <w:lang w:val="en-US" w:eastAsia="zh-CN"/>
        </w:rPr>
        <w:t>1450000.00</w:t>
      </w:r>
    </w:p>
    <w:p w14:paraId="42219DC8">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i w:val="0"/>
          <w:iCs w:val="0"/>
          <w:caps w:val="0"/>
          <w:color w:val="auto"/>
          <w:spacing w:val="0"/>
          <w:sz w:val="24"/>
          <w:szCs w:val="24"/>
        </w:rPr>
        <w:t>采购需求：</w:t>
      </w:r>
    </w:p>
    <w:p w14:paraId="28CA931D">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Autospacing="0" w:afterAutospacing="0" w:line="360" w:lineRule="auto"/>
        <w:ind w:left="0" w:firstLine="0"/>
        <w:jc w:val="left"/>
        <w:textAlignment w:val="auto"/>
        <w:rPr>
          <w:rFonts w:hint="eastAsia" w:asciiTheme="minorEastAsia" w:hAnsiTheme="minorEastAsia" w:eastAsiaTheme="minorEastAsia" w:cstheme="minorEastAsia"/>
          <w:b w:val="0"/>
          <w:i w:val="0"/>
          <w:caps w:val="0"/>
          <w:color w:val="auto"/>
          <w:spacing w:val="0"/>
          <w:w w:val="100"/>
          <w:sz w:val="24"/>
          <w:szCs w:val="24"/>
          <w:highlight w:val="none"/>
          <w:vertAlign w:val="baseline"/>
          <w:lang w:val="zh-CN" w:eastAsia="zh-CN"/>
        </w:rPr>
      </w:pPr>
      <w:r>
        <w:rPr>
          <w:rFonts w:hint="eastAsia" w:asciiTheme="minorEastAsia" w:hAnsiTheme="minorEastAsia" w:eastAsiaTheme="minorEastAsia" w:cstheme="minorEastAsia"/>
          <w:i w:val="0"/>
          <w:iCs w:val="0"/>
          <w:caps w:val="0"/>
          <w:color w:val="auto"/>
          <w:spacing w:val="0"/>
          <w:sz w:val="24"/>
          <w:szCs w:val="24"/>
        </w:rPr>
        <w:t>标项名称</w:t>
      </w:r>
      <w:r>
        <w:rPr>
          <w:rFonts w:hint="eastAsia" w:asciiTheme="minorEastAsia" w:hAnsiTheme="minorEastAsia" w:eastAsiaTheme="minorEastAsia" w:cstheme="minorEastAsia"/>
          <w:i w:val="0"/>
          <w:iCs w:val="0"/>
          <w:caps w:val="0"/>
          <w:color w:val="auto"/>
          <w:spacing w:val="0"/>
          <w:sz w:val="24"/>
          <w:szCs w:val="24"/>
          <w:lang w:eastAsia="zh-CN"/>
        </w:rPr>
        <w:t>：</w:t>
      </w:r>
      <w:r>
        <w:rPr>
          <w:rFonts w:hint="eastAsia" w:asciiTheme="minorEastAsia" w:hAnsiTheme="minorEastAsia" w:eastAsiaTheme="minorEastAsia" w:cstheme="minorEastAsia"/>
          <w:b w:val="0"/>
          <w:i w:val="0"/>
          <w:caps w:val="0"/>
          <w:color w:val="auto"/>
          <w:spacing w:val="0"/>
          <w:w w:val="100"/>
          <w:sz w:val="24"/>
          <w:szCs w:val="24"/>
          <w:highlight w:val="none"/>
          <w:vertAlign w:val="baseline"/>
          <w:lang w:val="zh-CN" w:eastAsia="zh-CN"/>
        </w:rPr>
        <w:t>G315国道茫崖市黄瓜梁至茫崖镇路口路域环境整治项目</w:t>
      </w:r>
    </w:p>
    <w:p w14:paraId="7F949045">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Autospacing="0" w:afterAutospacing="0" w:line="360" w:lineRule="auto"/>
        <w:ind w:left="0" w:firstLine="0"/>
        <w:jc w:val="left"/>
        <w:textAlignment w:val="auto"/>
        <w:rPr>
          <w:rStyle w:val="37"/>
          <w:rFonts w:hint="eastAsia" w:asciiTheme="minorEastAsia" w:hAnsiTheme="minorEastAsia" w:eastAsiaTheme="minorEastAsia" w:cstheme="minorEastAsia"/>
          <w:i w:val="0"/>
          <w:iCs w:val="0"/>
          <w:caps w:val="0"/>
          <w:color w:val="auto"/>
          <w:spacing w:val="0"/>
          <w:sz w:val="24"/>
          <w:szCs w:val="24"/>
          <w:lang w:val="en-US" w:eastAsia="zh-CN"/>
        </w:rPr>
      </w:pPr>
      <w:r>
        <w:rPr>
          <w:rFonts w:hint="eastAsia" w:asciiTheme="minorEastAsia" w:hAnsiTheme="minorEastAsia" w:eastAsiaTheme="minorEastAsia" w:cstheme="minorEastAsia"/>
          <w:i w:val="0"/>
          <w:iCs w:val="0"/>
          <w:caps w:val="0"/>
          <w:color w:val="auto"/>
          <w:spacing w:val="0"/>
          <w:kern w:val="0"/>
          <w:sz w:val="24"/>
          <w:szCs w:val="24"/>
          <w:lang w:val="en-US" w:eastAsia="zh-CN" w:bidi="ar"/>
        </w:rPr>
        <w:t>预算金额（元）：</w:t>
      </w:r>
      <w:r>
        <w:rPr>
          <w:rStyle w:val="37"/>
          <w:rFonts w:hint="eastAsia" w:asciiTheme="minorEastAsia" w:hAnsiTheme="minorEastAsia" w:eastAsiaTheme="minorEastAsia" w:cstheme="minorEastAsia"/>
          <w:i w:val="0"/>
          <w:iCs w:val="0"/>
          <w:caps w:val="0"/>
          <w:color w:val="auto"/>
          <w:spacing w:val="0"/>
          <w:sz w:val="24"/>
          <w:szCs w:val="24"/>
          <w:lang w:val="en-US" w:eastAsia="zh-CN"/>
        </w:rPr>
        <w:t>1450000.00</w:t>
      </w:r>
    </w:p>
    <w:p w14:paraId="38E2A709">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Autospacing="0" w:afterAutospacing="0" w:line="360" w:lineRule="auto"/>
        <w:ind w:left="0" w:firstLine="0"/>
        <w:jc w:val="left"/>
        <w:textAlignment w:val="auto"/>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i w:val="0"/>
          <w:iCs w:val="0"/>
          <w:caps w:val="0"/>
          <w:color w:val="auto"/>
          <w:spacing w:val="0"/>
          <w:kern w:val="0"/>
          <w:sz w:val="24"/>
          <w:szCs w:val="24"/>
          <w:lang w:val="en-US" w:eastAsia="zh-CN" w:bidi="ar"/>
        </w:rPr>
        <w:t>简要规格描述：对茫崖镇至黄瓜梁路段全长约200公里，开展路域环境整治工作。服务内容主要包括:1、负责茫崖镇至黄瓜梁G315国道公路用地范围内垃圾清运工作，保持路域环境干净整洁;2、及时排查清理公路路域范围内路面、边沟、边坡等区域垃圾及杂物;3、全面清理公路沿线服务区、停车区、公路驿站、停车港湾、互通匝道出入口等区域内的生活垃圾、污水、建筑垃圾;4、将垃圾清运至指定地点，含工程量清单全部内容</w:t>
      </w:r>
      <w:r>
        <w:rPr>
          <w:rFonts w:hint="eastAsia" w:asciiTheme="minorEastAsia" w:hAnsiTheme="minorEastAsia" w:eastAsiaTheme="minorEastAsia" w:cstheme="minorEastAsia"/>
          <w:b w:val="0"/>
          <w:bCs/>
          <w:i w:val="0"/>
          <w:caps w:val="0"/>
          <w:color w:val="auto"/>
          <w:spacing w:val="0"/>
          <w:w w:val="100"/>
          <w:sz w:val="24"/>
          <w:szCs w:val="24"/>
          <w:highlight w:val="none"/>
          <w:lang w:val="en-US" w:eastAsia="zh-CN"/>
        </w:rPr>
        <w:t>；</w:t>
      </w:r>
    </w:p>
    <w:p w14:paraId="544CF81D">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highlight w:val="none"/>
          <w:lang w:eastAsia="zh-CN"/>
        </w:rPr>
      </w:pPr>
      <w:r>
        <w:rPr>
          <w:rStyle w:val="37"/>
          <w:rFonts w:hint="eastAsia" w:ascii="宋体" w:hAnsi="宋体" w:eastAsia="宋体" w:cs="宋体"/>
          <w:i w:val="0"/>
          <w:iCs w:val="0"/>
          <w:caps w:val="0"/>
          <w:color w:val="auto"/>
          <w:spacing w:val="0"/>
          <w:sz w:val="24"/>
          <w:szCs w:val="24"/>
          <w:highlight w:val="none"/>
        </w:rPr>
        <w:t>计划工期：</w:t>
      </w:r>
      <w:r>
        <w:rPr>
          <w:rFonts w:hint="eastAsia" w:asciiTheme="minorEastAsia" w:hAnsiTheme="minorEastAsia" w:eastAsiaTheme="minorEastAsia" w:cstheme="minorEastAsia"/>
          <w:i w:val="0"/>
          <w:iCs w:val="0"/>
          <w:caps w:val="0"/>
          <w:color w:val="auto"/>
          <w:spacing w:val="0"/>
          <w:kern w:val="0"/>
          <w:sz w:val="24"/>
          <w:szCs w:val="24"/>
          <w:lang w:val="en-US" w:eastAsia="zh-CN" w:bidi="ar"/>
        </w:rPr>
        <w:t>365天；</w:t>
      </w:r>
    </w:p>
    <w:p w14:paraId="4112B7D9">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本项目（</w:t>
      </w:r>
      <w:r>
        <w:rPr>
          <w:rStyle w:val="37"/>
          <w:rFonts w:hint="eastAsia" w:ascii="宋体" w:hAnsi="宋体" w:eastAsia="宋体" w:cs="宋体"/>
          <w:i w:val="0"/>
          <w:iCs w:val="0"/>
          <w:caps w:val="0"/>
          <w:color w:val="auto"/>
          <w:spacing w:val="0"/>
          <w:sz w:val="24"/>
          <w:szCs w:val="24"/>
        </w:rPr>
        <w:t>否</w:t>
      </w:r>
      <w:r>
        <w:rPr>
          <w:rFonts w:hint="eastAsia" w:ascii="宋体" w:hAnsi="宋体" w:eastAsia="宋体" w:cs="宋体"/>
          <w:i w:val="0"/>
          <w:iCs w:val="0"/>
          <w:caps w:val="0"/>
          <w:color w:val="auto"/>
          <w:spacing w:val="0"/>
          <w:sz w:val="24"/>
          <w:szCs w:val="24"/>
        </w:rPr>
        <w:t>）接受联合体投标。</w:t>
      </w:r>
    </w:p>
    <w:p w14:paraId="56674ECE">
      <w:pPr>
        <w:pStyle w:val="20"/>
        <w:keepNext w:val="0"/>
        <w:keepLines w:val="0"/>
        <w:pageBreakBefore w:val="0"/>
        <w:widowControl/>
        <w:numPr>
          <w:ilvl w:val="0"/>
          <w:numId w:val="2"/>
        </w:numPr>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Style w:val="26"/>
          <w:rFonts w:hint="default" w:ascii="宋体" w:hAnsi="宋体" w:eastAsia="宋体" w:cs="宋体"/>
          <w:i w:val="0"/>
          <w:iCs w:val="0"/>
          <w:caps w:val="0"/>
          <w:color w:val="auto"/>
          <w:spacing w:val="0"/>
          <w:sz w:val="24"/>
          <w:szCs w:val="24"/>
          <w:lang w:val="en-US" w:eastAsia="zh-CN"/>
        </w:rPr>
      </w:pPr>
      <w:r>
        <w:rPr>
          <w:rStyle w:val="26"/>
          <w:rFonts w:hint="eastAsia" w:ascii="宋体" w:hAnsi="宋体" w:eastAsia="宋体" w:cs="宋体"/>
          <w:i w:val="0"/>
          <w:iCs w:val="0"/>
          <w:caps w:val="0"/>
          <w:color w:val="auto"/>
          <w:spacing w:val="0"/>
          <w:sz w:val="24"/>
          <w:szCs w:val="24"/>
        </w:rPr>
        <w:t>申请人的资格要求：</w:t>
      </w:r>
    </w:p>
    <w:p w14:paraId="3BECA72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1、</w:t>
      </w:r>
      <w:r>
        <w:rPr>
          <w:rFonts w:hint="eastAsia" w:ascii="宋体" w:hAnsi="宋体" w:eastAsia="宋体" w:cs="宋体"/>
          <w:b w:val="0"/>
          <w:i w:val="0"/>
          <w:caps w:val="0"/>
          <w:color w:val="auto"/>
          <w:spacing w:val="0"/>
          <w:w w:val="100"/>
          <w:sz w:val="24"/>
          <w:highlight w:val="none"/>
          <w:lang w:val="zh-CN"/>
        </w:rPr>
        <w:t>符合《政府采购法》第22条条件，并提供下列材料：</w:t>
      </w:r>
    </w:p>
    <w:p w14:paraId="240117C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1)</w:t>
      </w:r>
      <w:r>
        <w:rPr>
          <w:rFonts w:hint="eastAsia" w:ascii="宋体" w:hAnsi="宋体" w:eastAsia="宋体" w:cs="宋体"/>
          <w:b w:val="0"/>
          <w:i w:val="0"/>
          <w:caps w:val="0"/>
          <w:color w:val="auto"/>
          <w:spacing w:val="0"/>
          <w:w w:val="100"/>
          <w:sz w:val="24"/>
          <w:highlight w:val="none"/>
          <w:lang w:val="zh-CN"/>
        </w:rPr>
        <w:t>磋商响应人的营业执照等证明文件，自然人的身份证明。</w:t>
      </w:r>
    </w:p>
    <w:p w14:paraId="4C493F7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2)</w:t>
      </w:r>
      <w:r>
        <w:rPr>
          <w:rFonts w:hint="eastAsia" w:ascii="宋体" w:hAnsi="宋体" w:eastAsia="宋体" w:cs="宋体"/>
          <w:b w:val="0"/>
          <w:i w:val="0"/>
          <w:caps w:val="0"/>
          <w:color w:val="auto"/>
          <w:spacing w:val="0"/>
          <w:w w:val="100"/>
          <w:sz w:val="24"/>
          <w:highlight w:val="none"/>
          <w:lang w:val="zh-CN"/>
        </w:rPr>
        <w:t>财务状况报告，依法缴纳税收和社会保障资金的相关材料。</w:t>
      </w:r>
    </w:p>
    <w:p w14:paraId="64F8E84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3)</w:t>
      </w:r>
      <w:r>
        <w:rPr>
          <w:rFonts w:hint="eastAsia" w:ascii="宋体" w:hAnsi="宋体" w:eastAsia="宋体" w:cs="宋体"/>
          <w:b w:val="0"/>
          <w:i w:val="0"/>
          <w:caps w:val="0"/>
          <w:color w:val="auto"/>
          <w:spacing w:val="0"/>
          <w:w w:val="100"/>
          <w:sz w:val="24"/>
          <w:highlight w:val="none"/>
          <w:lang w:val="zh-CN"/>
        </w:rPr>
        <w:t>具备履行合同所必需的设备和专业技术能力的证明材料。</w:t>
      </w:r>
    </w:p>
    <w:p w14:paraId="044004F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4)</w:t>
      </w:r>
      <w:r>
        <w:rPr>
          <w:rFonts w:hint="eastAsia" w:ascii="宋体" w:hAnsi="宋体" w:eastAsia="宋体" w:cs="宋体"/>
          <w:b w:val="0"/>
          <w:i w:val="0"/>
          <w:caps w:val="0"/>
          <w:color w:val="auto"/>
          <w:spacing w:val="0"/>
          <w:w w:val="100"/>
          <w:sz w:val="24"/>
          <w:highlight w:val="none"/>
          <w:lang w:val="zh-CN"/>
        </w:rPr>
        <w:t>参加政府采购活动前3年内在经营活动中没有重大违法记录的书面声明。</w:t>
      </w:r>
    </w:p>
    <w:p w14:paraId="17286CA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5)</w:t>
      </w:r>
      <w:r>
        <w:rPr>
          <w:rFonts w:hint="eastAsia" w:ascii="宋体" w:hAnsi="宋体" w:eastAsia="宋体" w:cs="宋体"/>
          <w:b w:val="0"/>
          <w:i w:val="0"/>
          <w:caps w:val="0"/>
          <w:color w:val="auto"/>
          <w:spacing w:val="0"/>
          <w:w w:val="100"/>
          <w:sz w:val="24"/>
          <w:highlight w:val="none"/>
          <w:lang w:val="zh-CN"/>
        </w:rPr>
        <w:t>具备法律、行政法规规定的其他条件的证明材料。</w:t>
      </w:r>
    </w:p>
    <w:p w14:paraId="5BEDBD6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2、</w:t>
      </w:r>
      <w:r>
        <w:rPr>
          <w:rFonts w:hint="eastAsia" w:ascii="宋体" w:hAnsi="宋体" w:eastAsia="宋体" w:cs="宋体"/>
          <w:b w:val="0"/>
          <w:i w:val="0"/>
          <w:caps w:val="0"/>
          <w:color w:val="auto"/>
          <w:spacing w:val="0"/>
          <w:w w:val="100"/>
          <w:sz w:val="24"/>
          <w:highlight w:val="none"/>
          <w:lang w:val="zh-CN"/>
        </w:rPr>
        <w:t>单位负责人为同一人或者存在直接控股、管理关系的不同磋商响应人，不得参加同一合同项下的政府采购活动。否则，皆取消投标资格；</w:t>
      </w:r>
    </w:p>
    <w:p w14:paraId="7B8F8D4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3、</w:t>
      </w:r>
      <w:r>
        <w:rPr>
          <w:rFonts w:hint="eastAsia" w:ascii="宋体" w:hAnsi="宋体" w:eastAsia="宋体" w:cs="宋体"/>
          <w:b w:val="0"/>
          <w:i w:val="0"/>
          <w:caps w:val="0"/>
          <w:color w:val="auto"/>
          <w:spacing w:val="0"/>
          <w:w w:val="100"/>
          <w:sz w:val="24"/>
          <w:highlight w:val="none"/>
          <w:lang w:val="zh-CN"/>
        </w:rPr>
        <w:t>为本采购项目提供整体设计、规范编制或者项目管理、监理、检测等服务的磋商响应人，不得再参加该采购项目的其他采购活动；</w:t>
      </w:r>
    </w:p>
    <w:p w14:paraId="213F2A3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4、</w:t>
      </w:r>
      <w:r>
        <w:rPr>
          <w:rFonts w:hint="eastAsia" w:ascii="宋体" w:hAnsi="宋体" w:eastAsia="宋体" w:cs="宋体"/>
          <w:b w:val="0"/>
          <w:i w:val="0"/>
          <w:caps w:val="0"/>
          <w:color w:val="auto"/>
          <w:spacing w:val="0"/>
          <w:w w:val="100"/>
          <w:sz w:val="24"/>
          <w:highlight w:val="none"/>
          <w:lang w:val="zh-CN"/>
        </w:rPr>
        <w:t>本项目不接受磋商响应人以联合体方式进行投标；</w:t>
      </w:r>
    </w:p>
    <w:p w14:paraId="77FBFF9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lang w:val="en-US" w:eastAsia="zh-CN"/>
        </w:rPr>
        <w:t>5、</w:t>
      </w:r>
      <w:r>
        <w:rPr>
          <w:rFonts w:hint="eastAsia" w:ascii="宋体" w:hAnsi="宋体" w:eastAsia="宋体" w:cs="宋体"/>
          <w:b w:val="0"/>
          <w:i w:val="0"/>
          <w:caps w:val="0"/>
          <w:color w:val="auto"/>
          <w:spacing w:val="0"/>
          <w:w w:val="100"/>
          <w:sz w:val="24"/>
          <w:highlight w:val="none"/>
          <w:lang w:val="zh-CN" w:eastAsia="zh-CN"/>
        </w:rPr>
        <w:t>经信用中国（www.creditchina.gov.cn）、中国政府采购网（www.ccgp.gov.cn）等渠道查询后，列入失信被执行人、重大税收违法案件当事人名单、政府采购严重违法失信行为记录名单的，取消投标资格。（提供 “信用中国及中国政府采购网”网站无任何不良记录的查询截图，时间为投标截止时间前20天内）；</w:t>
      </w:r>
    </w:p>
    <w:p w14:paraId="5D753847">
      <w:pPr>
        <w:snapToGrid w:val="0"/>
        <w:spacing w:before="0" w:beforeAutospacing="0" w:after="0" w:afterAutospacing="0" w:line="360" w:lineRule="auto"/>
        <w:jc w:val="both"/>
        <w:textAlignment w:val="baseline"/>
        <w:rPr>
          <w:rFonts w:hint="default" w:ascii="宋体" w:hAnsi="宋体" w:eastAsia="宋体" w:cs="宋体"/>
          <w:b w:val="0"/>
          <w:i w:val="0"/>
          <w:caps w:val="0"/>
          <w:color w:val="auto"/>
          <w:spacing w:val="0"/>
          <w:w w:val="100"/>
          <w:sz w:val="20"/>
          <w:highlight w:val="none"/>
          <w:lang w:val="en-US" w:eastAsia="zh-CN"/>
        </w:rPr>
      </w:pPr>
      <w:r>
        <w:rPr>
          <w:rFonts w:hint="eastAsia" w:ascii="宋体" w:hAnsi="宋体" w:eastAsia="宋体" w:cs="宋体"/>
          <w:b w:val="0"/>
          <w:i w:val="0"/>
          <w:caps w:val="0"/>
          <w:color w:val="auto"/>
          <w:spacing w:val="0"/>
          <w:w w:val="100"/>
          <w:sz w:val="24"/>
          <w:highlight w:val="none"/>
        </w:rPr>
        <w:t>6、其他资质条件：</w:t>
      </w:r>
    </w:p>
    <w:p w14:paraId="2FBBB6BA">
      <w:pPr>
        <w:ind w:firstLine="420" w:firstLineChars="0"/>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1）磋商响应人须</w:t>
      </w:r>
      <w:r>
        <w:rPr>
          <w:rFonts w:hint="eastAsia" w:asciiTheme="majorEastAsia" w:hAnsiTheme="majorEastAsia" w:eastAsiaTheme="majorEastAsia" w:cstheme="majorEastAsia"/>
          <w:color w:val="auto"/>
          <w:szCs w:val="24"/>
          <w:highlight w:val="none"/>
        </w:rPr>
        <w:t>具有</w:t>
      </w:r>
      <w:r>
        <w:rPr>
          <w:rFonts w:hint="eastAsia" w:asciiTheme="majorEastAsia" w:hAnsiTheme="majorEastAsia" w:eastAsiaTheme="majorEastAsia" w:cstheme="majorEastAsia"/>
          <w:color w:val="auto"/>
          <w:szCs w:val="24"/>
          <w:highlight w:val="none"/>
          <w:lang w:val="en-US" w:eastAsia="zh-CN"/>
        </w:rPr>
        <w:t>市政工程总承包叁级</w:t>
      </w:r>
      <w:r>
        <w:rPr>
          <w:rFonts w:hint="eastAsia" w:asciiTheme="majorEastAsia" w:hAnsiTheme="majorEastAsia" w:eastAsiaTheme="majorEastAsia" w:cstheme="majorEastAsia"/>
          <w:color w:val="auto"/>
          <w:szCs w:val="24"/>
          <w:highlight w:val="none"/>
          <w:lang w:eastAsia="zh-CN"/>
        </w:rPr>
        <w:t>（含）及以上资质，并在</w:t>
      </w:r>
      <w:r>
        <w:rPr>
          <w:rFonts w:hint="eastAsia" w:asciiTheme="majorEastAsia" w:hAnsiTheme="majorEastAsia" w:eastAsiaTheme="majorEastAsia" w:cstheme="majorEastAsia"/>
          <w:color w:val="auto"/>
          <w:szCs w:val="24"/>
          <w:lang w:eastAsia="zh-CN"/>
        </w:rPr>
        <w:t>人员、设备资金等方面具有相应的能力(含)</w:t>
      </w:r>
      <w:r>
        <w:rPr>
          <w:rFonts w:hint="eastAsia" w:asciiTheme="majorEastAsia" w:hAnsiTheme="majorEastAsia" w:eastAsiaTheme="majorEastAsia" w:cstheme="majorEastAsia"/>
          <w:color w:val="auto"/>
          <w:szCs w:val="24"/>
        </w:rPr>
        <w:t>及以上资质，并在人员、设备、资金等方面具有承担本工程相应的施工能力；</w:t>
      </w:r>
    </w:p>
    <w:p w14:paraId="321029D6">
      <w:pPr>
        <w:ind w:firstLine="420" w:firstLineChars="0"/>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2）磋商响应人拟</w:t>
      </w:r>
      <w:r>
        <w:rPr>
          <w:rFonts w:hint="eastAsia" w:asciiTheme="majorEastAsia" w:hAnsiTheme="majorEastAsia" w:eastAsiaTheme="majorEastAsia" w:cstheme="majorEastAsia"/>
          <w:color w:val="auto"/>
          <w:szCs w:val="24"/>
          <w:highlight w:val="none"/>
        </w:rPr>
        <w:t>派项目经理须具备</w:t>
      </w:r>
      <w:r>
        <w:rPr>
          <w:rFonts w:hint="eastAsia" w:asciiTheme="majorEastAsia" w:hAnsiTheme="majorEastAsia" w:eastAsiaTheme="majorEastAsia" w:cstheme="majorEastAsia"/>
          <w:color w:val="auto"/>
          <w:szCs w:val="24"/>
          <w:highlight w:val="none"/>
          <w:lang w:val="en-US" w:eastAsia="zh-CN"/>
        </w:rPr>
        <w:t>市政</w:t>
      </w:r>
      <w:r>
        <w:rPr>
          <w:rFonts w:hint="eastAsia" w:asciiTheme="majorEastAsia" w:hAnsiTheme="majorEastAsia" w:eastAsiaTheme="majorEastAsia" w:cstheme="majorEastAsia"/>
          <w:color w:val="auto"/>
          <w:szCs w:val="24"/>
          <w:highlight w:val="none"/>
          <w:lang w:eastAsia="zh-CN"/>
        </w:rPr>
        <w:t>工程专业</w:t>
      </w:r>
      <w:r>
        <w:rPr>
          <w:rFonts w:hint="eastAsia" w:asciiTheme="majorEastAsia" w:hAnsiTheme="majorEastAsia" w:eastAsiaTheme="majorEastAsia" w:cstheme="majorEastAsia"/>
          <w:color w:val="auto"/>
          <w:szCs w:val="24"/>
          <w:highlight w:val="none"/>
          <w:lang w:val="en-US" w:eastAsia="zh-CN"/>
        </w:rPr>
        <w:t>二</w:t>
      </w:r>
      <w:r>
        <w:rPr>
          <w:rFonts w:hint="eastAsia" w:asciiTheme="majorEastAsia" w:hAnsiTheme="majorEastAsia" w:eastAsiaTheme="majorEastAsia" w:cstheme="majorEastAsia"/>
          <w:color w:val="auto"/>
          <w:szCs w:val="24"/>
          <w:highlight w:val="none"/>
          <w:lang w:eastAsia="zh-CN"/>
        </w:rPr>
        <w:t>级（含以上级）注册建造</w:t>
      </w:r>
      <w:r>
        <w:rPr>
          <w:rFonts w:hint="eastAsia" w:asciiTheme="majorEastAsia" w:hAnsiTheme="majorEastAsia" w:eastAsiaTheme="majorEastAsia" w:cstheme="majorEastAsia"/>
          <w:color w:val="auto"/>
          <w:szCs w:val="24"/>
          <w:lang w:eastAsia="zh-CN"/>
        </w:rPr>
        <w:t>师执业资格，具备有效的安全生产考核合格证书</w:t>
      </w:r>
      <w:r>
        <w:rPr>
          <w:rFonts w:hint="eastAsia" w:asciiTheme="majorEastAsia" w:hAnsiTheme="majorEastAsia" w:eastAsiaTheme="majorEastAsia" w:cstheme="majorEastAsia"/>
          <w:color w:val="auto"/>
          <w:szCs w:val="24"/>
        </w:rPr>
        <w:t>；</w:t>
      </w:r>
    </w:p>
    <w:p w14:paraId="1D82574D">
      <w:pPr>
        <w:ind w:firstLine="420" w:firstLineChars="0"/>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3）</w:t>
      </w:r>
      <w:r>
        <w:rPr>
          <w:rFonts w:hint="eastAsia" w:asciiTheme="majorEastAsia" w:hAnsiTheme="majorEastAsia" w:eastAsiaTheme="majorEastAsia" w:cstheme="majorEastAsia"/>
          <w:color w:val="auto"/>
          <w:szCs w:val="24"/>
          <w:lang w:eastAsia="zh-CN"/>
        </w:rPr>
        <w:t>磋商</w:t>
      </w:r>
      <w:r>
        <w:rPr>
          <w:rFonts w:hint="eastAsia" w:asciiTheme="majorEastAsia" w:hAnsiTheme="majorEastAsia" w:eastAsiaTheme="majorEastAsia" w:cstheme="majorEastAsia"/>
          <w:color w:val="auto"/>
          <w:szCs w:val="24"/>
        </w:rPr>
        <w:t>响应人须具有有效的安全生产许可证；</w:t>
      </w:r>
    </w:p>
    <w:p w14:paraId="3055249C">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420" w:firstLineChars="0"/>
        <w:jc w:val="both"/>
        <w:textAlignment w:val="auto"/>
        <w:rPr>
          <w:rFonts w:hint="eastAsia" w:asciiTheme="majorEastAsia" w:hAnsiTheme="majorEastAsia" w:eastAsiaTheme="majorEastAsia" w:cstheme="majorEastAsia"/>
          <w:color w:val="auto"/>
          <w:szCs w:val="24"/>
          <w:lang w:val="en-US" w:eastAsia="zh-CN"/>
        </w:rPr>
      </w:pPr>
      <w:r>
        <w:rPr>
          <w:rFonts w:hint="eastAsia" w:asciiTheme="majorEastAsia" w:hAnsiTheme="majorEastAsia" w:eastAsiaTheme="majorEastAsia" w:cstheme="majorEastAsia"/>
          <w:color w:val="auto"/>
          <w:szCs w:val="24"/>
          <w:lang w:val="en-US" w:eastAsia="zh-CN"/>
        </w:rPr>
        <w:t>4）省外企业须提供有效期内的进青备案登记手续；</w:t>
      </w:r>
    </w:p>
    <w:p w14:paraId="1CACAC59">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Theme="majorEastAsia" w:hAnsiTheme="majorEastAsia" w:eastAsiaTheme="majorEastAsia" w:cstheme="majorEastAsia"/>
          <w:color w:val="auto"/>
          <w:szCs w:val="24"/>
          <w:lang w:val="en-US" w:eastAsia="zh-CN"/>
        </w:rPr>
      </w:pPr>
      <w:r>
        <w:rPr>
          <w:rFonts w:hint="eastAsia" w:asciiTheme="majorEastAsia" w:hAnsiTheme="majorEastAsia" w:eastAsiaTheme="majorEastAsia" w:cstheme="majorEastAsia"/>
          <w:color w:val="auto"/>
          <w:szCs w:val="24"/>
          <w:lang w:val="en-US" w:eastAsia="zh-CN"/>
        </w:rPr>
        <w:t>7.</w:t>
      </w:r>
      <w:r>
        <w:rPr>
          <w:rFonts w:hint="eastAsia" w:ascii="宋体" w:hAnsi="宋体" w:cs="宋体" w:eastAsiaTheme="minorEastAsia"/>
          <w:b w:val="0"/>
          <w:bCs w:val="0"/>
          <w:color w:val="auto"/>
          <w:kern w:val="0"/>
          <w:sz w:val="24"/>
          <w:szCs w:val="24"/>
          <w:lang w:val="en-US" w:eastAsia="zh-CN" w:bidi="ar"/>
        </w:rPr>
        <w:t>本项目落实政府采购需满足的资格条件：本项目专门面向中小企业采购，投标人须提供中小企业声明函或监狱企业、残疾人企业证明材料。</w:t>
      </w:r>
    </w:p>
    <w:p w14:paraId="55F7D84F">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Fonts w:hint="eastAsia" w:ascii="宋体" w:hAnsi="宋体" w:eastAsia="宋体" w:cs="宋体"/>
          <w:i w:val="0"/>
          <w:iCs w:val="0"/>
          <w:caps w:val="0"/>
          <w:color w:val="auto"/>
          <w:spacing w:val="0"/>
          <w:sz w:val="24"/>
          <w:szCs w:val="24"/>
        </w:rPr>
      </w:pPr>
      <w:r>
        <w:rPr>
          <w:rStyle w:val="26"/>
          <w:rFonts w:hint="eastAsia" w:ascii="宋体" w:hAnsi="宋体" w:eastAsia="宋体" w:cs="宋体"/>
          <w:i w:val="0"/>
          <w:iCs w:val="0"/>
          <w:caps w:val="0"/>
          <w:color w:val="auto"/>
          <w:spacing w:val="0"/>
          <w:sz w:val="24"/>
          <w:szCs w:val="24"/>
        </w:rPr>
        <w:t>三、获取采购文件</w:t>
      </w:r>
    </w:p>
    <w:p w14:paraId="57304198">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时间</w:t>
      </w:r>
      <w:r>
        <w:rPr>
          <w:rFonts w:hint="eastAsia" w:ascii="宋体" w:hAnsi="宋体" w:eastAsia="宋体" w:cs="宋体"/>
          <w:i w:val="0"/>
          <w:iCs w:val="0"/>
          <w:caps w:val="0"/>
          <w:color w:val="auto"/>
          <w:spacing w:val="0"/>
          <w:sz w:val="24"/>
          <w:szCs w:val="24"/>
          <w:highlight w:val="none"/>
        </w:rPr>
        <w:t>：</w:t>
      </w:r>
      <w:r>
        <w:rPr>
          <w:rFonts w:hint="eastAsia" w:ascii="宋体" w:hAnsi="宋体" w:cs="宋体"/>
          <w:b w:val="0"/>
          <w:i w:val="0"/>
          <w:caps w:val="0"/>
          <w:color w:val="auto"/>
          <w:spacing w:val="0"/>
          <w:w w:val="100"/>
          <w:kern w:val="0"/>
          <w:sz w:val="24"/>
          <w:szCs w:val="24"/>
          <w:highlight w:val="none"/>
          <w:lang w:val="en-US" w:eastAsia="zh-CN" w:bidi="ar-SA"/>
        </w:rPr>
        <w:t>2024年08月12</w:t>
      </w:r>
      <w:r>
        <w:rPr>
          <w:rFonts w:hint="eastAsia" w:ascii="宋体" w:hAnsi="宋体" w:eastAsia="宋体" w:cs="宋体"/>
          <w:b w:val="0"/>
          <w:i w:val="0"/>
          <w:caps w:val="0"/>
          <w:color w:val="auto"/>
          <w:spacing w:val="0"/>
          <w:w w:val="100"/>
          <w:kern w:val="0"/>
          <w:sz w:val="24"/>
          <w:szCs w:val="24"/>
          <w:highlight w:val="none"/>
          <w:lang w:val="zh-CN" w:eastAsia="zh-CN" w:bidi="ar-SA"/>
        </w:rPr>
        <w:t>至20</w:t>
      </w:r>
      <w:r>
        <w:rPr>
          <w:rFonts w:hint="eastAsia" w:ascii="宋体" w:hAnsi="宋体" w:cs="宋体"/>
          <w:b w:val="0"/>
          <w:i w:val="0"/>
          <w:caps w:val="0"/>
          <w:color w:val="auto"/>
          <w:spacing w:val="0"/>
          <w:w w:val="100"/>
          <w:kern w:val="0"/>
          <w:sz w:val="24"/>
          <w:szCs w:val="24"/>
          <w:highlight w:val="none"/>
          <w:lang w:val="en-US" w:eastAsia="zh-CN" w:bidi="ar-SA"/>
        </w:rPr>
        <w:t>24</w:t>
      </w:r>
      <w:r>
        <w:rPr>
          <w:rFonts w:hint="eastAsia" w:ascii="宋体" w:hAnsi="宋体" w:eastAsia="宋体" w:cs="宋体"/>
          <w:b w:val="0"/>
          <w:i w:val="0"/>
          <w:caps w:val="0"/>
          <w:color w:val="auto"/>
          <w:spacing w:val="0"/>
          <w:w w:val="100"/>
          <w:kern w:val="0"/>
          <w:sz w:val="24"/>
          <w:szCs w:val="24"/>
          <w:highlight w:val="none"/>
          <w:lang w:val="zh-CN" w:eastAsia="zh-CN" w:bidi="ar-SA"/>
        </w:rPr>
        <w:t>年</w:t>
      </w:r>
      <w:r>
        <w:rPr>
          <w:rFonts w:hint="eastAsia" w:ascii="宋体" w:hAnsi="宋体" w:cs="宋体"/>
          <w:b w:val="0"/>
          <w:i w:val="0"/>
          <w:caps w:val="0"/>
          <w:color w:val="auto"/>
          <w:spacing w:val="0"/>
          <w:w w:val="100"/>
          <w:kern w:val="0"/>
          <w:sz w:val="24"/>
          <w:szCs w:val="24"/>
          <w:highlight w:val="none"/>
          <w:lang w:val="en-US" w:eastAsia="zh-CN" w:bidi="ar-SA"/>
        </w:rPr>
        <w:t>08</w:t>
      </w:r>
      <w:r>
        <w:rPr>
          <w:rFonts w:hint="eastAsia" w:ascii="宋体" w:hAnsi="宋体" w:eastAsia="宋体" w:cs="宋体"/>
          <w:b w:val="0"/>
          <w:i w:val="0"/>
          <w:caps w:val="0"/>
          <w:color w:val="auto"/>
          <w:spacing w:val="0"/>
          <w:w w:val="100"/>
          <w:kern w:val="0"/>
          <w:sz w:val="24"/>
          <w:szCs w:val="24"/>
          <w:highlight w:val="none"/>
          <w:lang w:val="en-US" w:eastAsia="zh-CN" w:bidi="ar-SA"/>
        </w:rPr>
        <w:t>月</w:t>
      </w:r>
      <w:r>
        <w:rPr>
          <w:rFonts w:hint="eastAsia" w:ascii="宋体" w:hAnsi="宋体" w:cs="宋体"/>
          <w:b w:val="0"/>
          <w:i w:val="0"/>
          <w:caps w:val="0"/>
          <w:color w:val="auto"/>
          <w:spacing w:val="0"/>
          <w:w w:val="100"/>
          <w:kern w:val="0"/>
          <w:sz w:val="24"/>
          <w:szCs w:val="24"/>
          <w:highlight w:val="none"/>
          <w:lang w:val="en-US" w:eastAsia="zh-CN" w:bidi="ar-SA"/>
        </w:rPr>
        <w:t>19</w:t>
      </w:r>
      <w:r>
        <w:rPr>
          <w:rFonts w:hint="eastAsia" w:ascii="宋体" w:hAnsi="宋体" w:eastAsia="宋体" w:cs="宋体"/>
          <w:b w:val="0"/>
          <w:i w:val="0"/>
          <w:caps w:val="0"/>
          <w:color w:val="auto"/>
          <w:spacing w:val="0"/>
          <w:w w:val="100"/>
          <w:kern w:val="0"/>
          <w:sz w:val="24"/>
          <w:szCs w:val="24"/>
          <w:highlight w:val="none"/>
          <w:lang w:val="en-US" w:eastAsia="zh-CN" w:bidi="ar-SA"/>
        </w:rPr>
        <w:t>日</w:t>
      </w:r>
      <w:r>
        <w:rPr>
          <w:rFonts w:hint="eastAsia" w:ascii="宋体" w:hAnsi="宋体" w:eastAsia="宋体" w:cs="宋体"/>
          <w:b w:val="0"/>
          <w:i w:val="0"/>
          <w:caps w:val="0"/>
          <w:color w:val="auto"/>
          <w:spacing w:val="0"/>
          <w:w w:val="100"/>
          <w:kern w:val="0"/>
          <w:sz w:val="24"/>
          <w:szCs w:val="24"/>
          <w:highlight w:val="none"/>
          <w:lang w:val="zh-CN" w:eastAsia="zh-CN" w:bidi="ar-SA"/>
        </w:rPr>
        <w:t>（</w:t>
      </w:r>
      <w:r>
        <w:rPr>
          <w:rFonts w:hint="eastAsia" w:cs="宋体"/>
          <w:i w:val="0"/>
          <w:iCs w:val="0"/>
          <w:caps w:val="0"/>
          <w:color w:val="auto"/>
          <w:spacing w:val="0"/>
          <w:sz w:val="24"/>
          <w:szCs w:val="24"/>
          <w:highlight w:val="none"/>
          <w:lang w:eastAsia="zh-CN"/>
        </w:rPr>
        <w:t>每</w:t>
      </w:r>
      <w:r>
        <w:rPr>
          <w:rFonts w:hint="eastAsia" w:ascii="宋体" w:hAnsi="宋体" w:eastAsia="宋体" w:cs="宋体"/>
          <w:b w:val="0"/>
          <w:i w:val="0"/>
          <w:caps w:val="0"/>
          <w:color w:val="auto"/>
          <w:spacing w:val="0"/>
          <w:w w:val="100"/>
          <w:kern w:val="0"/>
          <w:sz w:val="24"/>
          <w:szCs w:val="24"/>
          <w:highlight w:val="none"/>
          <w:lang w:val="en-US" w:eastAsia="zh-CN" w:bidi="ar-SA"/>
        </w:rPr>
        <w:t>天上午00:00至12:00，下午12:00至23:59。</w:t>
      </w:r>
      <w:r>
        <w:rPr>
          <w:rFonts w:hint="eastAsia" w:ascii="宋体" w:hAnsi="宋体" w:eastAsia="宋体" w:cs="宋体"/>
          <w:b w:val="0"/>
          <w:i w:val="0"/>
          <w:caps w:val="0"/>
          <w:color w:val="auto"/>
          <w:spacing w:val="0"/>
          <w:w w:val="100"/>
          <w:kern w:val="0"/>
          <w:sz w:val="24"/>
          <w:szCs w:val="24"/>
          <w:highlight w:val="none"/>
          <w:lang w:val="zh-CN" w:eastAsia="zh-CN" w:bidi="ar-SA"/>
        </w:rPr>
        <w:t>休息日和节假日除外）</w:t>
      </w:r>
    </w:p>
    <w:p w14:paraId="53A60B84">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地点：</w:t>
      </w:r>
      <w:r>
        <w:rPr>
          <w:rStyle w:val="37"/>
          <w:rFonts w:hint="eastAsia" w:ascii="宋体" w:hAnsi="宋体" w:eastAsia="宋体" w:cs="宋体"/>
          <w:i w:val="0"/>
          <w:iCs w:val="0"/>
          <w:caps w:val="0"/>
          <w:color w:val="auto"/>
          <w:spacing w:val="0"/>
          <w:sz w:val="24"/>
          <w:szCs w:val="24"/>
        </w:rPr>
        <w:t>政采云平台线上获取</w:t>
      </w:r>
    </w:p>
    <w:p w14:paraId="5DC4B4F3">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方式：</w:t>
      </w:r>
      <w:r>
        <w:rPr>
          <w:rStyle w:val="37"/>
          <w:rFonts w:hint="eastAsia" w:ascii="宋体" w:hAnsi="宋体" w:eastAsia="宋体" w:cs="宋体"/>
          <w:i w:val="0"/>
          <w:iCs w:val="0"/>
          <w:caps w:val="0"/>
          <w:color w:val="auto"/>
          <w:spacing w:val="0"/>
          <w:sz w:val="24"/>
          <w:szCs w:val="24"/>
        </w:rPr>
        <w:t>供应商登录政采云平台https://www.zcygov.cn/在线申请获取采购文件（进入“项目采购”应用，在获取采购文件菜单中选择项目，申请获取采购文件）</w:t>
      </w:r>
    </w:p>
    <w:p w14:paraId="5DA2D36D">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售价（元）：</w:t>
      </w:r>
      <w:r>
        <w:rPr>
          <w:rStyle w:val="37"/>
          <w:rFonts w:hint="eastAsia" w:ascii="宋体" w:hAnsi="宋体" w:eastAsia="宋体" w:cs="宋体"/>
          <w:i w:val="0"/>
          <w:iCs w:val="0"/>
          <w:caps w:val="0"/>
          <w:color w:val="auto"/>
          <w:spacing w:val="0"/>
          <w:sz w:val="24"/>
          <w:szCs w:val="24"/>
        </w:rPr>
        <w:t>0</w:t>
      </w:r>
    </w:p>
    <w:p w14:paraId="173A7872">
      <w:pPr>
        <w:keepNext w:val="0"/>
        <w:keepLines w:val="0"/>
        <w:pageBreakBefore w:val="0"/>
        <w:numPr>
          <w:ilvl w:val="0"/>
          <w:numId w:val="0"/>
        </w:numPr>
        <w:kinsoku/>
        <w:wordWrap/>
        <w:overflowPunct/>
        <w:topLinePunct w:val="0"/>
        <w:autoSpaceDE w:val="0"/>
        <w:autoSpaceDN w:val="0"/>
        <w:bidi w:val="0"/>
        <w:adjustRightInd/>
        <w:snapToGrid/>
        <w:spacing w:line="360" w:lineRule="auto"/>
        <w:ind w:right="0" w:rightChars="0"/>
        <w:textAlignment w:val="auto"/>
        <w:rPr>
          <w:rFonts w:hint="eastAsia"/>
          <w:b/>
          <w:bCs/>
          <w:color w:val="auto"/>
          <w:sz w:val="24"/>
          <w:lang w:val="zh-CN"/>
        </w:rPr>
      </w:pPr>
      <w:r>
        <w:rPr>
          <w:rFonts w:hint="eastAsia"/>
          <w:b/>
          <w:bCs/>
          <w:color w:val="auto"/>
          <w:sz w:val="24"/>
          <w:lang w:val="zh-CN"/>
        </w:rPr>
        <w:t>四、提交响应文件截止时间、开标时间和地点</w:t>
      </w:r>
    </w:p>
    <w:p w14:paraId="69427F9E">
      <w:pPr>
        <w:keepNext w:val="0"/>
        <w:keepLines w:val="0"/>
        <w:pageBreakBefore w:val="0"/>
        <w:kinsoku/>
        <w:wordWrap/>
        <w:overflowPunct/>
        <w:topLinePunct w:val="0"/>
        <w:autoSpaceDE w:val="0"/>
        <w:autoSpaceDN w:val="0"/>
        <w:bidi w:val="0"/>
        <w:adjustRightInd/>
        <w:snapToGrid/>
        <w:spacing w:line="360" w:lineRule="auto"/>
        <w:textAlignment w:val="auto"/>
        <w:rPr>
          <w:rFonts w:hint="default" w:ascii="Arial" w:hAnsi="Arial" w:eastAsia="宋体" w:cs="Arial"/>
          <w:color w:val="auto"/>
          <w:kern w:val="0"/>
          <w:sz w:val="24"/>
          <w:lang w:val="zh-CN" w:eastAsia="zh-CN"/>
        </w:rPr>
      </w:pPr>
      <w:r>
        <w:rPr>
          <w:rFonts w:hint="default" w:ascii="Arial" w:hAnsi="Arial" w:eastAsia="宋体" w:cs="Arial"/>
          <w:color w:val="auto"/>
          <w:kern w:val="0"/>
          <w:sz w:val="24"/>
          <w:lang w:val="zh-CN" w:eastAsia="zh-CN"/>
        </w:rPr>
        <w:t>提交响应文件截止时间</w:t>
      </w:r>
      <w:r>
        <w:rPr>
          <w:rFonts w:hint="eastAsia" w:ascii="Arial" w:hAnsi="Arial" w:eastAsia="宋体" w:cs="Arial"/>
          <w:color w:val="auto"/>
          <w:kern w:val="0"/>
          <w:sz w:val="24"/>
          <w:lang w:val="zh-CN" w:eastAsia="zh-CN"/>
        </w:rPr>
        <w:t>：</w:t>
      </w:r>
      <w:r>
        <w:rPr>
          <w:rFonts w:hint="eastAsia" w:cs="Arial"/>
          <w:color w:val="auto"/>
          <w:kern w:val="0"/>
          <w:sz w:val="24"/>
          <w:lang w:val="zh-CN" w:eastAsia="zh-CN"/>
        </w:rPr>
        <w:t>2024年08月23日上午9:30</w:t>
      </w:r>
      <w:r>
        <w:rPr>
          <w:rFonts w:hint="default" w:ascii="Arial" w:hAnsi="Arial" w:eastAsia="宋体" w:cs="Arial"/>
          <w:color w:val="auto"/>
          <w:kern w:val="0"/>
          <w:sz w:val="24"/>
          <w:lang w:val="zh-CN" w:eastAsia="zh-CN"/>
        </w:rPr>
        <w:t>（</w:t>
      </w:r>
      <w:r>
        <w:rPr>
          <w:rFonts w:hint="default" w:ascii="Arial" w:hAnsi="Arial" w:eastAsia="宋体" w:cs="Arial"/>
          <w:color w:val="auto"/>
          <w:kern w:val="0"/>
          <w:sz w:val="24"/>
          <w:lang w:val="en-US" w:eastAsia="zh-CN"/>
        </w:rPr>
        <w:t>北京时间</w:t>
      </w:r>
      <w:r>
        <w:rPr>
          <w:rFonts w:hint="default" w:ascii="Arial" w:hAnsi="Arial" w:eastAsia="宋体" w:cs="Arial"/>
          <w:color w:val="auto"/>
          <w:kern w:val="0"/>
          <w:sz w:val="24"/>
          <w:lang w:val="zh-CN" w:eastAsia="zh-CN"/>
        </w:rPr>
        <w:t>）</w:t>
      </w:r>
    </w:p>
    <w:p w14:paraId="7FEC7476">
      <w:pPr>
        <w:keepNext w:val="0"/>
        <w:keepLines w:val="0"/>
        <w:pageBreakBefore w:val="0"/>
        <w:kinsoku/>
        <w:wordWrap/>
        <w:overflowPunct/>
        <w:topLinePunct w:val="0"/>
        <w:autoSpaceDE w:val="0"/>
        <w:autoSpaceDN w:val="0"/>
        <w:bidi w:val="0"/>
        <w:adjustRightInd/>
        <w:snapToGrid/>
        <w:spacing w:line="360" w:lineRule="auto"/>
        <w:textAlignment w:val="auto"/>
        <w:rPr>
          <w:rFonts w:hint="default" w:ascii="Arial" w:hAnsi="Arial" w:eastAsia="宋体" w:cs="Arial"/>
          <w:color w:val="auto"/>
          <w:kern w:val="0"/>
          <w:sz w:val="24"/>
          <w:lang w:val="zh-CN" w:eastAsia="zh-CN"/>
        </w:rPr>
      </w:pPr>
      <w:r>
        <w:rPr>
          <w:rFonts w:hint="default" w:ascii="Arial" w:hAnsi="Arial" w:eastAsia="宋体" w:cs="Arial"/>
          <w:color w:val="auto"/>
          <w:kern w:val="0"/>
          <w:sz w:val="24"/>
          <w:lang w:val="zh-CN" w:eastAsia="zh-CN"/>
        </w:rPr>
        <w:t>投标地点（</w:t>
      </w:r>
      <w:r>
        <w:rPr>
          <w:rFonts w:hint="default" w:ascii="Arial" w:hAnsi="Arial" w:eastAsia="宋体" w:cs="Arial"/>
          <w:color w:val="auto"/>
          <w:kern w:val="0"/>
          <w:sz w:val="24"/>
          <w:lang w:val="en-US" w:eastAsia="zh-CN"/>
        </w:rPr>
        <w:t>网址）</w:t>
      </w:r>
      <w:r>
        <w:rPr>
          <w:rFonts w:hint="default" w:ascii="Arial" w:hAnsi="Arial" w:eastAsia="宋体" w:cs="Arial"/>
          <w:color w:val="auto"/>
          <w:kern w:val="0"/>
          <w:sz w:val="24"/>
          <w:lang w:val="zh-CN" w:eastAsia="zh-CN"/>
        </w:rPr>
        <w:t>:请登录政采云投标客户端</w:t>
      </w:r>
    </w:p>
    <w:p w14:paraId="72FB0F83">
      <w:pPr>
        <w:keepNext w:val="0"/>
        <w:keepLines w:val="0"/>
        <w:pageBreakBefore w:val="0"/>
        <w:kinsoku/>
        <w:wordWrap/>
        <w:overflowPunct/>
        <w:topLinePunct w:val="0"/>
        <w:autoSpaceDE w:val="0"/>
        <w:autoSpaceDN w:val="0"/>
        <w:bidi w:val="0"/>
        <w:adjustRightInd/>
        <w:snapToGrid/>
        <w:spacing w:line="360" w:lineRule="auto"/>
        <w:textAlignment w:val="auto"/>
        <w:rPr>
          <w:rFonts w:hint="default" w:ascii="Arial" w:hAnsi="Arial" w:eastAsia="宋体" w:cs="Arial"/>
          <w:color w:val="auto"/>
          <w:kern w:val="0"/>
          <w:sz w:val="24"/>
          <w:lang w:val="zh-CN" w:eastAsia="zh-CN"/>
        </w:rPr>
      </w:pPr>
      <w:r>
        <w:rPr>
          <w:rFonts w:hint="default" w:ascii="Arial" w:hAnsi="Arial" w:eastAsia="宋体" w:cs="Arial"/>
          <w:color w:val="auto"/>
          <w:kern w:val="0"/>
          <w:sz w:val="24"/>
          <w:lang w:val="zh-CN" w:eastAsia="zh-CN"/>
        </w:rPr>
        <w:t>投标开标时间</w:t>
      </w:r>
      <w:r>
        <w:rPr>
          <w:rFonts w:hint="eastAsia" w:ascii="Arial" w:hAnsi="Arial" w:eastAsia="宋体" w:cs="Arial"/>
          <w:color w:val="auto"/>
          <w:kern w:val="0"/>
          <w:sz w:val="24"/>
          <w:lang w:val="zh-CN" w:eastAsia="zh-CN"/>
        </w:rPr>
        <w:t>：</w:t>
      </w:r>
      <w:r>
        <w:rPr>
          <w:rFonts w:hint="eastAsia" w:cs="Arial"/>
          <w:color w:val="auto"/>
          <w:kern w:val="0"/>
          <w:sz w:val="24"/>
          <w:lang w:val="zh-CN" w:eastAsia="zh-CN"/>
        </w:rPr>
        <w:t>2024年08月23日上午9:30</w:t>
      </w:r>
    </w:p>
    <w:p w14:paraId="1CE19042">
      <w:pPr>
        <w:keepNext w:val="0"/>
        <w:keepLines w:val="0"/>
        <w:pageBreakBefore w:val="0"/>
        <w:kinsoku/>
        <w:wordWrap/>
        <w:overflowPunct/>
        <w:topLinePunct w:val="0"/>
        <w:autoSpaceDE w:val="0"/>
        <w:autoSpaceDN w:val="0"/>
        <w:bidi w:val="0"/>
        <w:adjustRightInd/>
        <w:snapToGrid/>
        <w:spacing w:line="360" w:lineRule="auto"/>
        <w:textAlignment w:val="auto"/>
        <w:rPr>
          <w:rFonts w:hint="default" w:ascii="Arial" w:hAnsi="Arial" w:eastAsia="宋体" w:cs="Arial"/>
          <w:color w:val="auto"/>
          <w:sz w:val="24"/>
          <w:szCs w:val="24"/>
          <w:lang w:val="en-US"/>
        </w:rPr>
      </w:pPr>
      <w:r>
        <w:rPr>
          <w:rFonts w:hint="default" w:ascii="Arial" w:hAnsi="Arial" w:eastAsia="宋体" w:cs="Arial"/>
          <w:color w:val="auto"/>
          <w:kern w:val="0"/>
          <w:sz w:val="24"/>
          <w:lang w:val="zh-CN" w:eastAsia="zh-CN"/>
        </w:rPr>
        <w:t>开标地点:青海省西宁市西川南路76号万达中心1号写字楼6楼10609室（</w:t>
      </w:r>
      <w:r>
        <w:rPr>
          <w:rFonts w:hint="default" w:ascii="Arial" w:hAnsi="Arial" w:eastAsia="宋体" w:cs="Arial"/>
          <w:color w:val="auto"/>
          <w:kern w:val="0"/>
          <w:sz w:val="24"/>
          <w:lang w:val="en-US" w:eastAsia="zh-CN"/>
        </w:rPr>
        <w:t>政采云平台）</w:t>
      </w:r>
    </w:p>
    <w:p w14:paraId="3860F6C4">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Fonts w:hint="eastAsia" w:ascii="宋体" w:hAnsi="宋体" w:eastAsia="宋体" w:cs="宋体"/>
          <w:i w:val="0"/>
          <w:iCs w:val="0"/>
          <w:caps w:val="0"/>
          <w:color w:val="auto"/>
          <w:spacing w:val="0"/>
          <w:sz w:val="24"/>
          <w:szCs w:val="24"/>
        </w:rPr>
      </w:pPr>
      <w:r>
        <w:rPr>
          <w:rStyle w:val="26"/>
          <w:rFonts w:hint="eastAsia" w:ascii="宋体" w:hAnsi="宋体" w:cs="宋体"/>
          <w:i w:val="0"/>
          <w:iCs w:val="0"/>
          <w:caps w:val="0"/>
          <w:color w:val="auto"/>
          <w:spacing w:val="0"/>
          <w:sz w:val="24"/>
          <w:szCs w:val="24"/>
          <w:lang w:val="en-US" w:eastAsia="zh-CN"/>
        </w:rPr>
        <w:t>五</w:t>
      </w:r>
      <w:r>
        <w:rPr>
          <w:rStyle w:val="26"/>
          <w:rFonts w:hint="eastAsia" w:ascii="宋体" w:hAnsi="宋体" w:eastAsia="宋体" w:cs="宋体"/>
          <w:i w:val="0"/>
          <w:iCs w:val="0"/>
          <w:caps w:val="0"/>
          <w:color w:val="auto"/>
          <w:spacing w:val="0"/>
          <w:sz w:val="24"/>
          <w:szCs w:val="24"/>
        </w:rPr>
        <w:t>、公告期限</w:t>
      </w:r>
    </w:p>
    <w:p w14:paraId="223CA6C4">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i w:val="0"/>
          <w:iCs w:val="0"/>
          <w:caps w:val="0"/>
          <w:color w:val="auto"/>
          <w:spacing w:val="0"/>
          <w:sz w:val="24"/>
          <w:szCs w:val="24"/>
        </w:rPr>
      </w:pPr>
      <w:r>
        <w:rPr>
          <w:rFonts w:hint="eastAsia" w:ascii="宋体" w:hAnsi="宋体" w:eastAsia="宋体" w:cs="宋体"/>
          <w:i w:val="0"/>
          <w:iCs w:val="0"/>
          <w:caps w:val="0"/>
          <w:color w:val="auto"/>
          <w:spacing w:val="0"/>
          <w:sz w:val="24"/>
          <w:szCs w:val="24"/>
        </w:rPr>
        <w:t>自本公告发布之日起5个工作日</w:t>
      </w:r>
    </w:p>
    <w:p w14:paraId="67681B30">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Fonts w:hint="eastAsia" w:ascii="宋体" w:hAnsi="宋体" w:eastAsia="宋体" w:cs="宋体"/>
          <w:i w:val="0"/>
          <w:iCs w:val="0"/>
          <w:caps w:val="0"/>
          <w:color w:val="auto"/>
          <w:spacing w:val="0"/>
          <w:sz w:val="24"/>
          <w:szCs w:val="24"/>
        </w:rPr>
      </w:pPr>
      <w:r>
        <w:rPr>
          <w:rStyle w:val="26"/>
          <w:rFonts w:hint="eastAsia" w:ascii="宋体" w:hAnsi="宋体" w:cs="宋体"/>
          <w:i w:val="0"/>
          <w:iCs w:val="0"/>
          <w:caps w:val="0"/>
          <w:color w:val="auto"/>
          <w:spacing w:val="0"/>
          <w:sz w:val="24"/>
          <w:szCs w:val="24"/>
          <w:lang w:val="en-US" w:eastAsia="zh-CN"/>
        </w:rPr>
        <w:t>六</w:t>
      </w:r>
      <w:r>
        <w:rPr>
          <w:rStyle w:val="26"/>
          <w:rFonts w:hint="eastAsia" w:ascii="宋体" w:hAnsi="宋体" w:eastAsia="宋体" w:cs="宋体"/>
          <w:i w:val="0"/>
          <w:iCs w:val="0"/>
          <w:caps w:val="0"/>
          <w:color w:val="auto"/>
          <w:spacing w:val="0"/>
          <w:sz w:val="24"/>
          <w:szCs w:val="24"/>
        </w:rPr>
        <w:t>、其他补充事宜</w:t>
      </w:r>
    </w:p>
    <w:p w14:paraId="79DC9BAD">
      <w:pPr>
        <w:pStyle w:val="20"/>
        <w:keepNext w:val="0"/>
        <w:keepLines w:val="0"/>
        <w:widowControl/>
        <w:suppressLineNumbers w:val="0"/>
        <w:spacing w:before="45" w:beforeAutospacing="0" w:after="45" w:afterAutospacing="0" w:line="360" w:lineRule="auto"/>
        <w:ind w:left="0" w:right="0"/>
        <w:rPr>
          <w:rFonts w:hint="eastAsia" w:ascii="宋体" w:hAnsi="宋体" w:eastAsia="宋体" w:cs="宋体"/>
          <w:color w:val="auto"/>
          <w:sz w:val="24"/>
          <w:szCs w:val="24"/>
          <w:lang w:val="zh-CN"/>
        </w:rPr>
      </w:pPr>
      <w:r>
        <w:rPr>
          <w:rFonts w:hint="eastAsia" w:ascii="宋体" w:hAnsi="宋体" w:eastAsia="宋体" w:cs="宋体"/>
          <w:color w:val="auto"/>
          <w:sz w:val="24"/>
          <w:szCs w:val="24"/>
        </w:rPr>
        <w:t>1.</w:t>
      </w:r>
      <w:r>
        <w:rPr>
          <w:rFonts w:hint="eastAsia" w:ascii="宋体" w:hAnsi="宋体" w:eastAsia="宋体" w:cs="宋体"/>
          <w:color w:val="auto"/>
          <w:sz w:val="24"/>
          <w:szCs w:val="24"/>
          <w:lang w:val="zh-CN"/>
        </w:rPr>
        <w:t>本项目竞争性磋商公告在</w:t>
      </w:r>
      <w:r>
        <w:rPr>
          <w:rFonts w:hint="eastAsia" w:ascii="宋体" w:hAnsi="宋体" w:eastAsia="宋体" w:cs="宋体"/>
          <w:color w:val="auto"/>
          <w:sz w:val="24"/>
          <w:szCs w:val="24"/>
        </w:rPr>
        <w:t>中国采购与招标网、青海政府采购网、青海省电子招标投标公共服务平台、</w:t>
      </w:r>
      <w:r>
        <w:rPr>
          <w:rFonts w:hint="eastAsia" w:ascii="宋体" w:hAnsi="宋体" w:eastAsia="宋体" w:cs="宋体"/>
          <w:color w:val="auto"/>
          <w:sz w:val="24"/>
          <w:szCs w:val="24"/>
          <w:lang w:val="zh-CN" w:eastAsia="zh-CN"/>
        </w:rPr>
        <w:t>青海项目信息网</w:t>
      </w:r>
      <w:r>
        <w:rPr>
          <w:rFonts w:hint="eastAsia" w:ascii="宋体" w:hAnsi="宋体" w:eastAsia="宋体" w:cs="宋体"/>
          <w:color w:val="auto"/>
          <w:sz w:val="24"/>
          <w:szCs w:val="24"/>
          <w:lang w:val="zh-CN"/>
        </w:rPr>
        <w:t>同时发布</w:t>
      </w:r>
      <w:r>
        <w:rPr>
          <w:rFonts w:hint="eastAsia" w:cs="宋体"/>
          <w:color w:val="auto"/>
          <w:sz w:val="24"/>
          <w:szCs w:val="24"/>
          <w:lang w:val="zh-CN"/>
        </w:rPr>
        <w:t>；</w:t>
      </w:r>
    </w:p>
    <w:p w14:paraId="2CEC5BFF">
      <w:pPr>
        <w:pStyle w:val="20"/>
        <w:keepNext w:val="0"/>
        <w:keepLines w:val="0"/>
        <w:widowControl/>
        <w:suppressLineNumbers w:val="0"/>
        <w:spacing w:before="45" w:beforeAutospacing="0" w:after="45" w:afterAutospacing="0" w:line="360" w:lineRule="auto"/>
        <w:ind w:left="0" w:right="0"/>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公告期限：自青海政府采购网发布之日起5个工作日</w:t>
      </w:r>
    </w:p>
    <w:p w14:paraId="7F3879B1">
      <w:pPr>
        <w:pStyle w:val="20"/>
        <w:keepNext w:val="0"/>
        <w:keepLines w:val="0"/>
        <w:widowControl/>
        <w:suppressLineNumbers w:val="0"/>
        <w:spacing w:before="45" w:beforeAutospacing="0" w:after="45" w:afterAutospacing="0" w:line="360" w:lineRule="auto"/>
        <w:ind w:left="0" w:right="0"/>
        <w:rPr>
          <w:rFonts w:hint="eastAsia" w:ascii="宋体" w:hAnsi="宋体" w:eastAsia="宋体" w:cs="宋体"/>
          <w:color w:val="auto"/>
          <w:sz w:val="24"/>
          <w:szCs w:val="24"/>
        </w:rPr>
      </w:pPr>
      <w:r>
        <w:rPr>
          <w:rFonts w:hint="eastAsia" w:ascii="宋体" w:hAnsi="宋体" w:eastAsia="宋体" w:cs="宋体"/>
          <w:color w:val="auto"/>
          <w:sz w:val="24"/>
          <w:szCs w:val="24"/>
          <w:lang w:val="zh-CN"/>
        </w:rPr>
        <w:t>公告内容以青海政府采购网发布的为准</w:t>
      </w:r>
    </w:p>
    <w:p w14:paraId="20B21967">
      <w:pPr>
        <w:pStyle w:val="20"/>
        <w:keepNext w:val="0"/>
        <w:keepLines w:val="0"/>
        <w:widowControl/>
        <w:suppressLineNumbers w:val="0"/>
        <w:spacing w:before="45" w:beforeAutospacing="0" w:after="45" w:afterAutospacing="0" w:line="360" w:lineRule="auto"/>
        <w:ind w:left="0" w:right="0"/>
        <w:rPr>
          <w:rFonts w:hint="eastAsia" w:ascii="宋体" w:hAnsi="宋体" w:eastAsia="宋体" w:cs="宋体"/>
          <w:color w:val="auto"/>
          <w:sz w:val="24"/>
          <w:szCs w:val="22"/>
          <w:highlight w:val="none"/>
          <w:lang w:val="zh-CN" w:eastAsia="zh-CN" w:bidi="ar-SA"/>
        </w:rPr>
      </w:pPr>
      <w:r>
        <w:rPr>
          <w:rFonts w:hint="eastAsia" w:ascii="宋体" w:hAnsi="宋体" w:eastAsia="宋体" w:cs="宋体"/>
          <w:color w:val="auto"/>
          <w:sz w:val="24"/>
          <w:szCs w:val="24"/>
          <w:lang w:val="zh-CN"/>
        </w:rPr>
        <w:t>2</w:t>
      </w:r>
      <w:r>
        <w:rPr>
          <w:rFonts w:hint="eastAsia" w:ascii="宋体" w:hAnsi="宋体" w:eastAsia="宋体" w:cs="宋体"/>
          <w:color w:val="auto"/>
          <w:sz w:val="24"/>
          <w:szCs w:val="24"/>
          <w:lang w:val="en-US" w:eastAsia="zh-CN"/>
        </w:rPr>
        <w:t>.</w:t>
      </w:r>
      <w:r>
        <w:rPr>
          <w:rFonts w:hint="eastAsia" w:ascii="宋体" w:hAnsi="宋体" w:eastAsia="宋体" w:cs="宋体"/>
          <w:color w:val="auto"/>
          <w:sz w:val="24"/>
          <w:szCs w:val="24"/>
          <w:lang w:val="zh-CN"/>
        </w:rPr>
        <w:t>线上电子化开评标系统操作及办理CA锁等相关事宜请咨询政采云：咨询电话：95763。线上CA：PC咨询网址（可及时反馈问题截图，让客服快速定位问</w:t>
      </w:r>
      <w:r>
        <w:rPr>
          <w:rFonts w:hint="eastAsia" w:ascii="宋体" w:hAnsi="宋体" w:eastAsia="宋体" w:cs="宋体"/>
          <w:color w:val="auto"/>
          <w:sz w:val="24"/>
          <w:szCs w:val="22"/>
          <w:highlight w:val="none"/>
          <w:lang w:val="zh-CN" w:eastAsia="zh-CN" w:bidi="ar-SA"/>
        </w:rPr>
        <w:t>题）:http://tseal.cn/k.html，咨询电话：95763。</w:t>
      </w:r>
    </w:p>
    <w:p w14:paraId="17113E70">
      <w:pPr>
        <w:pStyle w:val="20"/>
        <w:keepNext w:val="0"/>
        <w:keepLines w:val="0"/>
        <w:pageBreakBefore w:val="0"/>
        <w:widowControl/>
        <w:numPr>
          <w:ilvl w:val="0"/>
          <w:numId w:val="3"/>
        </w:numPr>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b w:val="0"/>
          <w:bCs/>
          <w:i w:val="0"/>
          <w:caps w:val="0"/>
          <w:color w:val="auto"/>
          <w:spacing w:val="0"/>
          <w:w w:val="100"/>
          <w:sz w:val="24"/>
          <w:highlight w:val="none"/>
        </w:rPr>
      </w:pPr>
      <w:r>
        <w:rPr>
          <w:rFonts w:hint="eastAsia" w:ascii="宋体" w:hAnsi="宋体" w:eastAsia="宋体" w:cs="宋体"/>
          <w:color w:val="auto"/>
          <w:sz w:val="24"/>
          <w:szCs w:val="22"/>
          <w:highlight w:val="none"/>
          <w:lang w:val="en-US" w:eastAsia="zh-CN" w:bidi="ar-SA"/>
        </w:rPr>
        <w:t>本次招标采用线上提交响应文件的方式进行评审，线上响应文件必须在响应文件递交截止时间前上传政采云平台；</w:t>
      </w:r>
    </w:p>
    <w:p w14:paraId="489DC9CD">
      <w:pPr>
        <w:pStyle w:val="20"/>
        <w:keepNext w:val="0"/>
        <w:keepLines w:val="0"/>
        <w:pageBreakBefore w:val="0"/>
        <w:widowControl/>
        <w:numPr>
          <w:ilvl w:val="0"/>
          <w:numId w:val="3"/>
        </w:numPr>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b w:val="0"/>
          <w:bCs/>
          <w:i w:val="0"/>
          <w:caps w:val="0"/>
          <w:color w:val="auto"/>
          <w:spacing w:val="0"/>
          <w:w w:val="100"/>
          <w:sz w:val="24"/>
          <w:highlight w:val="none"/>
        </w:rPr>
      </w:pPr>
      <w:r>
        <w:rPr>
          <w:rFonts w:hint="eastAsia" w:ascii="宋体" w:hAnsi="宋体" w:eastAsia="宋体" w:cs="宋体"/>
          <w:b w:val="0"/>
          <w:bCs/>
          <w:i w:val="0"/>
          <w:caps w:val="0"/>
          <w:color w:val="auto"/>
          <w:spacing w:val="0"/>
          <w:w w:val="100"/>
          <w:sz w:val="24"/>
          <w:highlight w:val="none"/>
        </w:rPr>
        <w:t>财政部门监督电话</w:t>
      </w:r>
    </w:p>
    <w:p w14:paraId="43C1ACF5">
      <w:pPr>
        <w:autoSpaceDE w:val="0"/>
        <w:autoSpaceDN w:val="0"/>
        <w:adjustRightInd w:val="0"/>
        <w:spacing w:line="360" w:lineRule="auto"/>
        <w:rPr>
          <w:rFonts w:hint="eastAsia" w:ascii="Arial" w:hAnsi="Arial" w:eastAsia="宋体" w:cs="Arial"/>
          <w:color w:val="auto"/>
          <w:kern w:val="0"/>
          <w:lang w:val="zh-CN" w:eastAsia="zh-CN"/>
        </w:rPr>
      </w:pPr>
      <w:r>
        <w:rPr>
          <w:rFonts w:ascii="Arial" w:hAnsi="Arial" w:cs="Arial"/>
          <w:color w:val="auto"/>
          <w:kern w:val="0"/>
          <w:lang w:val="zh-CN"/>
        </w:rPr>
        <w:t>单位名称：</w:t>
      </w:r>
      <w:r>
        <w:rPr>
          <w:rFonts w:hint="eastAsia" w:cs="Arial"/>
          <w:color w:val="auto"/>
          <w:kern w:val="0"/>
          <w:lang w:val="en-US" w:eastAsia="zh-CN"/>
        </w:rPr>
        <w:t>茫崖市财政局</w:t>
      </w:r>
    </w:p>
    <w:p w14:paraId="5E1F9B37">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default" w:ascii="宋体" w:hAnsi="宋体" w:eastAsia="宋体" w:cs="宋体"/>
          <w:i w:val="0"/>
          <w:iCs w:val="0"/>
          <w:caps w:val="0"/>
          <w:color w:val="auto"/>
          <w:spacing w:val="0"/>
          <w:sz w:val="24"/>
          <w:szCs w:val="24"/>
          <w:lang w:val="en-US"/>
        </w:rPr>
      </w:pPr>
      <w:r>
        <w:rPr>
          <w:rStyle w:val="37"/>
          <w:rFonts w:hint="eastAsia" w:ascii="宋体" w:hAnsi="宋体" w:eastAsia="宋体" w:cs="宋体"/>
          <w:i w:val="0"/>
          <w:iCs w:val="0"/>
          <w:caps w:val="0"/>
          <w:color w:val="auto"/>
          <w:spacing w:val="0"/>
          <w:sz w:val="24"/>
          <w:szCs w:val="24"/>
          <w:lang w:val="zh-CN"/>
        </w:rPr>
        <w:t>联系电话：</w:t>
      </w:r>
      <w:r>
        <w:rPr>
          <w:rStyle w:val="37"/>
          <w:rFonts w:hint="eastAsia" w:ascii="宋体" w:hAnsi="宋体" w:cs="宋体"/>
          <w:i w:val="0"/>
          <w:iCs w:val="0"/>
          <w:caps w:val="0"/>
          <w:color w:val="auto"/>
          <w:spacing w:val="0"/>
          <w:sz w:val="24"/>
          <w:szCs w:val="24"/>
          <w:lang w:val="en-US" w:eastAsia="zh-CN"/>
        </w:rPr>
        <w:t>0977-8251028</w:t>
      </w:r>
      <w:r>
        <w:rPr>
          <w:rStyle w:val="37"/>
          <w:rFonts w:hint="eastAsia" w:ascii="宋体" w:hAnsi="宋体" w:cs="宋体"/>
          <w:i w:val="0"/>
          <w:iCs w:val="0"/>
          <w:caps w:val="0"/>
          <w:color w:val="auto"/>
          <w:spacing w:val="0"/>
          <w:sz w:val="24"/>
          <w:szCs w:val="24"/>
          <w:lang w:val="en-US" w:eastAsia="zh-CN"/>
        </w:rPr>
        <w:t xml:space="preserve"> </w:t>
      </w:r>
    </w:p>
    <w:p w14:paraId="6C4E7F9C">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Fonts w:hint="eastAsia" w:ascii="宋体" w:hAnsi="宋体" w:eastAsia="宋体" w:cs="宋体"/>
          <w:i w:val="0"/>
          <w:iCs w:val="0"/>
          <w:caps w:val="0"/>
          <w:color w:val="auto"/>
          <w:spacing w:val="0"/>
          <w:sz w:val="24"/>
          <w:szCs w:val="24"/>
        </w:rPr>
      </w:pPr>
      <w:r>
        <w:rPr>
          <w:rStyle w:val="26"/>
          <w:rFonts w:hint="eastAsia" w:ascii="宋体" w:hAnsi="宋体" w:cs="宋体"/>
          <w:i w:val="0"/>
          <w:iCs w:val="0"/>
          <w:caps w:val="0"/>
          <w:color w:val="auto"/>
          <w:spacing w:val="0"/>
          <w:sz w:val="24"/>
          <w:szCs w:val="24"/>
          <w:lang w:val="en-US" w:eastAsia="zh-CN"/>
        </w:rPr>
        <w:t>七</w:t>
      </w:r>
      <w:r>
        <w:rPr>
          <w:rStyle w:val="26"/>
          <w:rFonts w:hint="eastAsia" w:ascii="宋体" w:hAnsi="宋体" w:eastAsia="宋体" w:cs="宋体"/>
          <w:i w:val="0"/>
          <w:iCs w:val="0"/>
          <w:caps w:val="0"/>
          <w:color w:val="auto"/>
          <w:spacing w:val="0"/>
          <w:sz w:val="24"/>
          <w:szCs w:val="24"/>
        </w:rPr>
        <w:t>、凡对本次招标提出询问，请按以下方式联系</w:t>
      </w:r>
    </w:p>
    <w:p w14:paraId="7153DB83">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1.</w:t>
      </w:r>
      <w:r>
        <w:rPr>
          <w:rFonts w:hint="eastAsia" w:ascii="宋体" w:hAnsi="宋体" w:cs="宋体"/>
          <w:i w:val="0"/>
          <w:iCs w:val="0"/>
          <w:caps w:val="0"/>
          <w:color w:val="auto"/>
          <w:spacing w:val="0"/>
          <w:sz w:val="24"/>
          <w:szCs w:val="24"/>
          <w:lang w:eastAsia="zh-CN"/>
        </w:rPr>
        <w:t>招标人</w:t>
      </w:r>
      <w:r>
        <w:rPr>
          <w:rFonts w:hint="eastAsia" w:ascii="宋体" w:hAnsi="宋体" w:eastAsia="宋体" w:cs="宋体"/>
          <w:i w:val="0"/>
          <w:iCs w:val="0"/>
          <w:caps w:val="0"/>
          <w:color w:val="auto"/>
          <w:spacing w:val="0"/>
          <w:sz w:val="24"/>
          <w:szCs w:val="24"/>
        </w:rPr>
        <w:t>信息</w:t>
      </w:r>
    </w:p>
    <w:p w14:paraId="6986C339">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名 称：</w:t>
      </w:r>
      <w:r>
        <w:rPr>
          <w:rFonts w:hint="eastAsia" w:ascii="宋体" w:hAnsi="宋体" w:cs="宋体"/>
          <w:i w:val="0"/>
          <w:iCs w:val="0"/>
          <w:caps w:val="0"/>
          <w:color w:val="auto"/>
          <w:spacing w:val="0"/>
          <w:sz w:val="24"/>
          <w:szCs w:val="24"/>
          <w:lang w:val="zh-CN"/>
        </w:rPr>
        <w:t>茫崖市建设和交通运输局</w:t>
      </w:r>
    </w:p>
    <w:p w14:paraId="0DF7C4FB">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default" w:ascii="宋体" w:hAnsi="宋体" w:eastAsia="宋体" w:cs="宋体"/>
          <w:i w:val="0"/>
          <w:iCs w:val="0"/>
          <w:caps w:val="0"/>
          <w:color w:val="auto"/>
          <w:spacing w:val="0"/>
          <w:sz w:val="24"/>
          <w:szCs w:val="24"/>
          <w:lang w:val="en-US" w:eastAsia="zh-CN"/>
        </w:rPr>
      </w:pPr>
      <w:r>
        <w:rPr>
          <w:rFonts w:hint="eastAsia" w:ascii="宋体" w:hAnsi="宋体" w:eastAsia="宋体" w:cs="宋体"/>
          <w:i w:val="0"/>
          <w:iCs w:val="0"/>
          <w:caps w:val="0"/>
          <w:color w:val="auto"/>
          <w:spacing w:val="0"/>
          <w:sz w:val="24"/>
          <w:szCs w:val="24"/>
        </w:rPr>
        <w:t>地 址</w:t>
      </w:r>
      <w:r>
        <w:rPr>
          <w:rFonts w:hint="eastAsia" w:ascii="宋体" w:hAnsi="宋体" w:eastAsia="宋体" w:cs="宋体"/>
          <w:i w:val="0"/>
          <w:iCs w:val="0"/>
          <w:caps w:val="0"/>
          <w:color w:val="auto"/>
          <w:spacing w:val="0"/>
          <w:sz w:val="24"/>
          <w:szCs w:val="24"/>
          <w:lang w:val="zh-CN"/>
        </w:rPr>
        <w:t>：</w:t>
      </w:r>
      <w:r>
        <w:rPr>
          <w:rFonts w:hint="eastAsia" w:ascii="宋体" w:hAnsi="宋体" w:cs="宋体"/>
          <w:i w:val="0"/>
          <w:iCs w:val="0"/>
          <w:caps w:val="0"/>
          <w:color w:val="auto"/>
          <w:spacing w:val="0"/>
          <w:sz w:val="24"/>
          <w:szCs w:val="24"/>
          <w:lang w:val="zh-CN" w:eastAsia="zh-CN"/>
        </w:rPr>
        <w:t>青海省海西州花土沟镇创业路 155 号</w:t>
      </w:r>
    </w:p>
    <w:p w14:paraId="1FA8FAF0">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cs="宋体"/>
          <w:i w:val="0"/>
          <w:iCs w:val="0"/>
          <w:caps w:val="0"/>
          <w:color w:val="auto"/>
          <w:spacing w:val="0"/>
          <w:sz w:val="24"/>
          <w:szCs w:val="24"/>
          <w:highlight w:val="none"/>
          <w:lang w:eastAsia="zh-CN"/>
        </w:rPr>
      </w:pPr>
      <w:r>
        <w:rPr>
          <w:rFonts w:hint="eastAsia" w:ascii="宋体" w:hAnsi="宋体" w:cs="宋体"/>
          <w:i w:val="0"/>
          <w:iCs w:val="0"/>
          <w:caps w:val="0"/>
          <w:color w:val="auto"/>
          <w:spacing w:val="0"/>
          <w:sz w:val="24"/>
          <w:szCs w:val="24"/>
          <w:highlight w:val="none"/>
          <w:lang w:eastAsia="zh-CN"/>
        </w:rPr>
        <w:t>联系人：</w:t>
      </w:r>
      <w:r>
        <w:rPr>
          <w:rFonts w:hint="eastAsia" w:ascii="宋体" w:hAnsi="宋体" w:cs="宋体"/>
          <w:i w:val="0"/>
          <w:iCs w:val="0"/>
          <w:caps w:val="0"/>
          <w:color w:val="auto"/>
          <w:spacing w:val="0"/>
          <w:sz w:val="24"/>
          <w:szCs w:val="24"/>
          <w:highlight w:val="none"/>
          <w:lang w:val="en-US" w:eastAsia="zh-CN"/>
        </w:rPr>
        <w:t>张先生</w:t>
      </w:r>
    </w:p>
    <w:p w14:paraId="250A473C">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default" w:ascii="宋体" w:hAnsi="宋体" w:eastAsia="宋体" w:cs="宋体"/>
          <w:i w:val="0"/>
          <w:iCs w:val="0"/>
          <w:caps w:val="0"/>
          <w:color w:val="auto"/>
          <w:spacing w:val="0"/>
          <w:sz w:val="24"/>
          <w:szCs w:val="24"/>
          <w:highlight w:val="none"/>
          <w:lang w:val="en-US" w:eastAsia="zh-CN"/>
        </w:rPr>
      </w:pPr>
      <w:r>
        <w:rPr>
          <w:rFonts w:hint="eastAsia" w:ascii="宋体" w:hAnsi="宋体" w:eastAsia="宋体" w:cs="宋体"/>
          <w:i w:val="0"/>
          <w:iCs w:val="0"/>
          <w:caps w:val="0"/>
          <w:color w:val="auto"/>
          <w:spacing w:val="0"/>
          <w:sz w:val="24"/>
          <w:szCs w:val="24"/>
          <w:highlight w:val="none"/>
        </w:rPr>
        <w:t>联系方式：</w:t>
      </w:r>
      <w:r>
        <w:rPr>
          <w:rFonts w:hint="eastAsia" w:ascii="宋体" w:hAnsi="宋体" w:cs="宋体"/>
          <w:i w:val="0"/>
          <w:iCs w:val="0"/>
          <w:caps w:val="0"/>
          <w:color w:val="auto"/>
          <w:spacing w:val="0"/>
          <w:sz w:val="24"/>
          <w:szCs w:val="24"/>
          <w:lang w:val="en-US" w:eastAsia="zh-CN"/>
        </w:rPr>
        <w:t>0977-8252721</w:t>
      </w:r>
    </w:p>
    <w:p w14:paraId="44359C5E">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2.</w:t>
      </w:r>
      <w:r>
        <w:rPr>
          <w:rFonts w:hint="eastAsia" w:ascii="宋体" w:hAnsi="宋体" w:cs="宋体"/>
          <w:i w:val="0"/>
          <w:iCs w:val="0"/>
          <w:caps w:val="0"/>
          <w:color w:val="auto"/>
          <w:spacing w:val="0"/>
          <w:sz w:val="24"/>
          <w:szCs w:val="24"/>
          <w:lang w:val="en-US" w:eastAsia="zh-CN"/>
        </w:rPr>
        <w:t>招标</w:t>
      </w:r>
      <w:r>
        <w:rPr>
          <w:rFonts w:hint="eastAsia" w:ascii="宋体" w:hAnsi="宋体" w:eastAsia="宋体" w:cs="宋体"/>
          <w:i w:val="0"/>
          <w:iCs w:val="0"/>
          <w:caps w:val="0"/>
          <w:color w:val="auto"/>
          <w:spacing w:val="0"/>
          <w:sz w:val="24"/>
          <w:szCs w:val="24"/>
        </w:rPr>
        <w:t>代理机构信息</w:t>
      </w:r>
    </w:p>
    <w:p w14:paraId="18747242">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名 称：</w:t>
      </w:r>
      <w:r>
        <w:rPr>
          <w:rFonts w:hint="eastAsia" w:ascii="宋体" w:hAnsi="宋体" w:cs="宋体"/>
          <w:b w:val="0"/>
          <w:i w:val="0"/>
          <w:caps w:val="0"/>
          <w:color w:val="auto"/>
          <w:spacing w:val="0"/>
          <w:w w:val="100"/>
          <w:sz w:val="24"/>
          <w:szCs w:val="24"/>
          <w:highlight w:val="none"/>
          <w:lang w:eastAsia="zh-CN"/>
        </w:rPr>
        <w:t>青海佳荣工程项目管理有限公司</w:t>
      </w:r>
    </w:p>
    <w:p w14:paraId="25D1D874">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lang w:eastAsia="zh-CN"/>
        </w:rPr>
      </w:pPr>
      <w:r>
        <w:rPr>
          <w:rFonts w:hint="eastAsia" w:ascii="宋体" w:hAnsi="宋体" w:eastAsia="宋体" w:cs="宋体"/>
          <w:i w:val="0"/>
          <w:iCs w:val="0"/>
          <w:caps w:val="0"/>
          <w:color w:val="auto"/>
          <w:spacing w:val="0"/>
          <w:sz w:val="24"/>
          <w:szCs w:val="24"/>
        </w:rPr>
        <w:t>地 址：青海省西宁市西川南路76号万达中心1号写字楼6楼10609室</w:t>
      </w:r>
      <w:r>
        <w:rPr>
          <w:rFonts w:hint="eastAsia" w:ascii="宋体" w:hAnsi="宋体" w:cs="宋体"/>
          <w:b w:val="0"/>
          <w:i w:val="0"/>
          <w:caps w:val="0"/>
          <w:color w:val="auto"/>
          <w:spacing w:val="0"/>
          <w:w w:val="100"/>
          <w:sz w:val="24"/>
          <w:szCs w:val="24"/>
          <w:highlight w:val="none"/>
          <w:lang w:val="en-US" w:eastAsia="zh-CN"/>
        </w:rPr>
        <w:tab/>
      </w:r>
    </w:p>
    <w:p w14:paraId="4EA678B5">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color w:val="auto"/>
          <w:sz w:val="24"/>
          <w:szCs w:val="24"/>
        </w:rPr>
      </w:pPr>
      <w:r>
        <w:rPr>
          <w:rFonts w:hint="eastAsia" w:ascii="宋体" w:hAnsi="宋体" w:eastAsia="宋体" w:cs="宋体"/>
          <w:i w:val="0"/>
          <w:iCs w:val="0"/>
          <w:caps w:val="0"/>
          <w:color w:val="auto"/>
          <w:spacing w:val="0"/>
          <w:sz w:val="24"/>
          <w:szCs w:val="24"/>
        </w:rPr>
        <w:t>联系方式：</w:t>
      </w:r>
      <w:r>
        <w:rPr>
          <w:rFonts w:hint="eastAsia" w:ascii="宋体" w:hAnsi="宋体" w:eastAsia="宋体" w:cs="宋体"/>
          <w:b w:val="0"/>
          <w:i w:val="0"/>
          <w:caps w:val="0"/>
          <w:color w:val="auto"/>
          <w:spacing w:val="0"/>
          <w:w w:val="100"/>
          <w:sz w:val="24"/>
          <w:szCs w:val="24"/>
          <w:highlight w:val="none"/>
        </w:rPr>
        <w:t>0971-</w:t>
      </w:r>
      <w:r>
        <w:rPr>
          <w:rFonts w:hint="eastAsia" w:ascii="宋体" w:hAnsi="宋体" w:cs="宋体"/>
          <w:b w:val="0"/>
          <w:i w:val="0"/>
          <w:caps w:val="0"/>
          <w:color w:val="auto"/>
          <w:spacing w:val="0"/>
          <w:w w:val="100"/>
          <w:sz w:val="24"/>
          <w:szCs w:val="24"/>
          <w:highlight w:val="none"/>
          <w:lang w:val="en-US" w:eastAsia="zh-CN"/>
        </w:rPr>
        <w:t>8829828</w:t>
      </w:r>
    </w:p>
    <w:p w14:paraId="52D84BC3">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i w:val="0"/>
          <w:iCs w:val="0"/>
          <w:caps w:val="0"/>
          <w:color w:val="auto"/>
          <w:spacing w:val="0"/>
          <w:sz w:val="24"/>
          <w:szCs w:val="24"/>
        </w:rPr>
      </w:pPr>
      <w:r>
        <w:rPr>
          <w:rFonts w:hint="eastAsia" w:ascii="宋体" w:hAnsi="宋体" w:eastAsia="宋体" w:cs="宋体"/>
          <w:i w:val="0"/>
          <w:iCs w:val="0"/>
          <w:caps w:val="0"/>
          <w:color w:val="auto"/>
          <w:spacing w:val="0"/>
          <w:sz w:val="24"/>
          <w:szCs w:val="24"/>
        </w:rPr>
        <w:t>项目联系人：</w:t>
      </w:r>
      <w:r>
        <w:rPr>
          <w:rFonts w:hint="eastAsia" w:ascii="宋体" w:hAnsi="宋体" w:cs="宋体"/>
          <w:i w:val="0"/>
          <w:iCs w:val="0"/>
          <w:caps w:val="0"/>
          <w:color w:val="auto"/>
          <w:spacing w:val="0"/>
          <w:sz w:val="24"/>
          <w:szCs w:val="24"/>
          <w:lang w:val="en-US" w:eastAsia="zh-CN"/>
        </w:rPr>
        <w:t>董女士</w:t>
      </w:r>
    </w:p>
    <w:p w14:paraId="4D704050">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Style w:val="37"/>
          <w:rFonts w:hint="default" w:ascii="宋体" w:hAnsi="宋体" w:eastAsia="宋体" w:cs="宋体"/>
          <w:i w:val="0"/>
          <w:iCs w:val="0"/>
          <w:caps w:val="0"/>
          <w:color w:val="auto"/>
          <w:spacing w:val="0"/>
          <w:sz w:val="24"/>
          <w:szCs w:val="24"/>
          <w:lang w:val="en-US" w:eastAsia="zh-CN"/>
        </w:rPr>
      </w:pPr>
    </w:p>
    <w:p w14:paraId="449D5915">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right"/>
        <w:textAlignment w:val="auto"/>
        <w:rPr>
          <w:rFonts w:hint="eastAsia" w:ascii="宋体" w:hAnsi="宋体" w:eastAsia="宋体" w:cs="宋体"/>
          <w:i w:val="0"/>
          <w:iCs w:val="0"/>
          <w:caps w:val="0"/>
          <w:color w:val="auto"/>
          <w:spacing w:val="0"/>
          <w:sz w:val="24"/>
          <w:szCs w:val="24"/>
          <w:lang w:eastAsia="zh-CN"/>
        </w:rPr>
      </w:pPr>
      <w:r>
        <w:rPr>
          <w:rFonts w:hint="eastAsia" w:ascii="宋体" w:hAnsi="宋体" w:eastAsia="宋体" w:cs="宋体"/>
          <w:i w:val="0"/>
          <w:iCs w:val="0"/>
          <w:caps w:val="0"/>
          <w:color w:val="auto"/>
          <w:spacing w:val="0"/>
          <w:sz w:val="24"/>
          <w:szCs w:val="24"/>
          <w:lang w:eastAsia="zh-CN"/>
        </w:rPr>
        <w:t>青海佳荣工程项目管理有限公司</w:t>
      </w:r>
    </w:p>
    <w:p w14:paraId="6CCC5139">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center"/>
        <w:textAlignment w:val="auto"/>
        <w:rPr>
          <w:rFonts w:hint="eastAsia" w:ascii="宋体" w:hAnsi="宋体" w:eastAsia="宋体" w:cs="宋体"/>
          <w:b w:val="0"/>
          <w:i w:val="0"/>
          <w:caps w:val="0"/>
          <w:color w:val="auto"/>
          <w:spacing w:val="0"/>
          <w:w w:val="100"/>
          <w:sz w:val="36"/>
          <w:highlight w:val="none"/>
        </w:rPr>
      </w:pPr>
      <w:r>
        <w:rPr>
          <w:rFonts w:hint="eastAsia" w:ascii="宋体" w:hAnsi="宋体" w:eastAsia="宋体" w:cs="宋体"/>
          <w:i w:val="0"/>
          <w:iCs w:val="0"/>
          <w:caps w:val="0"/>
          <w:color w:val="auto"/>
          <w:spacing w:val="0"/>
          <w:sz w:val="24"/>
          <w:szCs w:val="24"/>
          <w:highlight w:val="none"/>
          <w:lang w:val="en-US" w:eastAsia="zh-CN"/>
        </w:rPr>
        <w:t>202</w:t>
      </w:r>
      <w:r>
        <w:rPr>
          <w:rFonts w:hint="eastAsia" w:ascii="宋体" w:hAnsi="宋体" w:cs="宋体"/>
          <w:i w:val="0"/>
          <w:iCs w:val="0"/>
          <w:caps w:val="0"/>
          <w:color w:val="auto"/>
          <w:spacing w:val="0"/>
          <w:sz w:val="24"/>
          <w:szCs w:val="24"/>
          <w:highlight w:val="none"/>
          <w:lang w:val="en-US" w:eastAsia="zh-CN"/>
        </w:rPr>
        <w:t>4</w:t>
      </w:r>
      <w:r>
        <w:rPr>
          <w:rFonts w:hint="eastAsia" w:ascii="宋体" w:hAnsi="宋体" w:eastAsia="宋体" w:cs="宋体"/>
          <w:i w:val="0"/>
          <w:iCs w:val="0"/>
          <w:caps w:val="0"/>
          <w:color w:val="auto"/>
          <w:spacing w:val="0"/>
          <w:sz w:val="24"/>
          <w:szCs w:val="24"/>
          <w:highlight w:val="none"/>
          <w:lang w:val="en-US" w:eastAsia="zh-CN"/>
        </w:rPr>
        <w:t>年</w:t>
      </w:r>
      <w:r>
        <w:rPr>
          <w:rFonts w:hint="eastAsia" w:ascii="宋体" w:hAnsi="宋体" w:cs="宋体"/>
          <w:i w:val="0"/>
          <w:iCs w:val="0"/>
          <w:caps w:val="0"/>
          <w:color w:val="auto"/>
          <w:spacing w:val="0"/>
          <w:sz w:val="24"/>
          <w:szCs w:val="24"/>
          <w:highlight w:val="none"/>
          <w:lang w:val="en-US" w:eastAsia="zh-CN"/>
        </w:rPr>
        <w:t>08</w:t>
      </w:r>
      <w:r>
        <w:rPr>
          <w:rFonts w:hint="eastAsia" w:ascii="宋体" w:hAnsi="宋体" w:eastAsia="宋体" w:cs="宋体"/>
          <w:i w:val="0"/>
          <w:iCs w:val="0"/>
          <w:caps w:val="0"/>
          <w:color w:val="auto"/>
          <w:spacing w:val="0"/>
          <w:sz w:val="24"/>
          <w:szCs w:val="24"/>
          <w:highlight w:val="none"/>
          <w:lang w:val="en-US" w:eastAsia="zh-CN"/>
        </w:rPr>
        <w:t>月</w:t>
      </w:r>
      <w:r>
        <w:rPr>
          <w:rFonts w:hint="eastAsia" w:ascii="宋体" w:hAnsi="宋体" w:cs="宋体"/>
          <w:i w:val="0"/>
          <w:iCs w:val="0"/>
          <w:caps w:val="0"/>
          <w:color w:val="auto"/>
          <w:spacing w:val="0"/>
          <w:sz w:val="24"/>
          <w:szCs w:val="24"/>
          <w:highlight w:val="none"/>
          <w:lang w:val="en-US" w:eastAsia="zh-CN"/>
        </w:rPr>
        <w:t>12</w:t>
      </w:r>
      <w:r>
        <w:rPr>
          <w:rFonts w:hint="eastAsia" w:ascii="宋体" w:hAnsi="宋体" w:eastAsia="宋体" w:cs="宋体"/>
          <w:i w:val="0"/>
          <w:iCs w:val="0"/>
          <w:caps w:val="0"/>
          <w:color w:val="auto"/>
          <w:spacing w:val="0"/>
          <w:sz w:val="24"/>
          <w:szCs w:val="24"/>
          <w:highlight w:val="none"/>
          <w:lang w:val="en-US" w:eastAsia="zh-CN"/>
        </w:rPr>
        <w:t>日</w:t>
      </w:r>
      <w:r>
        <w:rPr>
          <w:rFonts w:hint="eastAsia" w:ascii="宋体" w:hAnsi="宋体" w:eastAsia="宋体" w:cs="宋体"/>
          <w:b/>
          <w:i w:val="0"/>
          <w:caps w:val="0"/>
          <w:color w:val="auto"/>
          <w:spacing w:val="0"/>
          <w:w w:val="100"/>
          <w:sz w:val="24"/>
          <w:szCs w:val="24"/>
          <w:highlight w:val="none"/>
        </w:rPr>
        <w:br w:type="page"/>
      </w:r>
      <w:bookmarkStart w:id="13" w:name="_Toc29456"/>
      <w:bookmarkStart w:id="14" w:name="_Toc3696"/>
      <w:bookmarkStart w:id="15" w:name="_Toc16702"/>
      <w:r>
        <w:rPr>
          <w:rFonts w:hint="eastAsia" w:ascii="宋体" w:hAnsi="宋体" w:eastAsia="宋体" w:cs="宋体"/>
          <w:b w:val="0"/>
          <w:i w:val="0"/>
          <w:caps w:val="0"/>
          <w:color w:val="auto"/>
          <w:spacing w:val="0"/>
          <w:w w:val="100"/>
          <w:sz w:val="36"/>
          <w:szCs w:val="36"/>
          <w:highlight w:val="none"/>
        </w:rPr>
        <w:t xml:space="preserve">第二章  </w:t>
      </w:r>
      <w:r>
        <w:rPr>
          <w:rFonts w:hint="eastAsia" w:ascii="宋体" w:hAnsi="宋体" w:eastAsia="宋体" w:cs="宋体"/>
          <w:b w:val="0"/>
          <w:i w:val="0"/>
          <w:caps w:val="0"/>
          <w:color w:val="auto"/>
          <w:spacing w:val="0"/>
          <w:w w:val="100"/>
          <w:sz w:val="36"/>
          <w:szCs w:val="36"/>
          <w:highlight w:val="none"/>
          <w:lang w:eastAsia="zh-CN"/>
        </w:rPr>
        <w:t>磋商响应人</w:t>
      </w:r>
      <w:r>
        <w:rPr>
          <w:rFonts w:hint="eastAsia" w:ascii="宋体" w:hAnsi="宋体" w:eastAsia="宋体" w:cs="宋体"/>
          <w:b w:val="0"/>
          <w:i w:val="0"/>
          <w:caps w:val="0"/>
          <w:color w:val="auto"/>
          <w:spacing w:val="0"/>
          <w:w w:val="100"/>
          <w:sz w:val="36"/>
          <w:szCs w:val="36"/>
          <w:highlight w:val="none"/>
        </w:rPr>
        <w:t>须知前附表</w:t>
      </w:r>
      <w:bookmarkEnd w:id="13"/>
      <w:bookmarkEnd w:id="14"/>
      <w:bookmarkEnd w:id="15"/>
    </w:p>
    <w:tbl>
      <w:tblPr>
        <w:tblStyle w:val="23"/>
        <w:tblW w:w="101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8"/>
        <w:gridCol w:w="3023"/>
        <w:gridCol w:w="6369"/>
      </w:tblGrid>
      <w:tr w14:paraId="7C4E7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56B9390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序号</w:t>
            </w:r>
          </w:p>
        </w:tc>
        <w:tc>
          <w:tcPr>
            <w:tcW w:w="3023" w:type="dxa"/>
            <w:vAlign w:val="center"/>
          </w:tcPr>
          <w:p w14:paraId="24F7037C">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条款名称</w:t>
            </w:r>
          </w:p>
        </w:tc>
        <w:tc>
          <w:tcPr>
            <w:tcW w:w="6369" w:type="dxa"/>
            <w:vAlign w:val="center"/>
          </w:tcPr>
          <w:p w14:paraId="6726B11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编列内容</w:t>
            </w:r>
          </w:p>
        </w:tc>
      </w:tr>
      <w:tr w14:paraId="45741F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748" w:type="dxa"/>
            <w:vAlign w:val="center"/>
          </w:tcPr>
          <w:p w14:paraId="18037F94">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w:t>
            </w:r>
          </w:p>
        </w:tc>
        <w:tc>
          <w:tcPr>
            <w:tcW w:w="3023" w:type="dxa"/>
            <w:vAlign w:val="center"/>
          </w:tcPr>
          <w:p w14:paraId="1D0CF8B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cs="宋体"/>
                <w:b w:val="0"/>
                <w:i w:val="0"/>
                <w:caps w:val="0"/>
                <w:color w:val="auto"/>
                <w:spacing w:val="0"/>
                <w:w w:val="100"/>
                <w:sz w:val="24"/>
                <w:szCs w:val="24"/>
                <w:highlight w:val="none"/>
                <w:lang w:eastAsia="zh-CN"/>
              </w:rPr>
              <w:t>招标人</w:t>
            </w:r>
          </w:p>
        </w:tc>
        <w:tc>
          <w:tcPr>
            <w:tcW w:w="6369" w:type="dxa"/>
            <w:vAlign w:val="center"/>
          </w:tcPr>
          <w:p w14:paraId="6AC9B8C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eastAsia="zh-CN"/>
              </w:rPr>
            </w:pPr>
            <w:r>
              <w:rPr>
                <w:rFonts w:hint="eastAsia" w:ascii="宋体" w:hAnsi="宋体" w:cs="宋体"/>
                <w:b w:val="0"/>
                <w:i w:val="0"/>
                <w:caps w:val="0"/>
                <w:color w:val="auto"/>
                <w:spacing w:val="0"/>
                <w:w w:val="100"/>
                <w:sz w:val="24"/>
                <w:highlight w:val="none"/>
                <w:lang w:eastAsia="zh-CN"/>
              </w:rPr>
              <w:t>招标人</w:t>
            </w:r>
            <w:r>
              <w:rPr>
                <w:rFonts w:hint="eastAsia" w:ascii="宋体" w:hAnsi="宋体" w:eastAsia="宋体" w:cs="宋体"/>
                <w:b w:val="0"/>
                <w:i w:val="0"/>
                <w:caps w:val="0"/>
                <w:color w:val="auto"/>
                <w:spacing w:val="0"/>
                <w:w w:val="100"/>
                <w:sz w:val="24"/>
                <w:highlight w:val="none"/>
              </w:rPr>
              <w:t>：</w:t>
            </w:r>
            <w:r>
              <w:rPr>
                <w:rFonts w:hint="eastAsia" w:ascii="宋体" w:hAnsi="宋体" w:cs="宋体"/>
                <w:b w:val="0"/>
                <w:i w:val="0"/>
                <w:caps w:val="0"/>
                <w:color w:val="auto"/>
                <w:spacing w:val="0"/>
                <w:w w:val="100"/>
                <w:sz w:val="24"/>
                <w:highlight w:val="none"/>
                <w:lang w:eastAsia="zh-CN"/>
              </w:rPr>
              <w:t>茫崖市建设和交通运输局</w:t>
            </w:r>
          </w:p>
          <w:p w14:paraId="52AC69DD">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i w:val="0"/>
                <w:iCs w:val="0"/>
                <w:caps w:val="0"/>
                <w:color w:val="auto"/>
                <w:spacing w:val="0"/>
                <w:sz w:val="24"/>
                <w:szCs w:val="24"/>
              </w:rPr>
            </w:pPr>
            <w:r>
              <w:rPr>
                <w:rFonts w:hint="eastAsia" w:ascii="宋体" w:hAnsi="宋体" w:eastAsia="宋体" w:cs="宋体"/>
                <w:i w:val="0"/>
                <w:iCs w:val="0"/>
                <w:caps w:val="0"/>
                <w:color w:val="auto"/>
                <w:spacing w:val="0"/>
                <w:sz w:val="24"/>
                <w:szCs w:val="24"/>
              </w:rPr>
              <w:t>地 址</w:t>
            </w:r>
            <w:r>
              <w:rPr>
                <w:rFonts w:hint="eastAsia" w:ascii="宋体" w:hAnsi="宋体" w:eastAsia="宋体" w:cs="宋体"/>
                <w:i w:val="0"/>
                <w:iCs w:val="0"/>
                <w:caps w:val="0"/>
                <w:color w:val="auto"/>
                <w:spacing w:val="0"/>
                <w:sz w:val="24"/>
                <w:szCs w:val="24"/>
                <w:lang w:val="zh-CN"/>
              </w:rPr>
              <w:t>：</w:t>
            </w:r>
            <w:r>
              <w:rPr>
                <w:rFonts w:hint="eastAsia" w:ascii="宋体" w:hAnsi="宋体" w:cs="宋体"/>
                <w:i w:val="0"/>
                <w:iCs w:val="0"/>
                <w:caps w:val="0"/>
                <w:color w:val="auto"/>
                <w:spacing w:val="0"/>
                <w:sz w:val="24"/>
                <w:szCs w:val="24"/>
                <w:lang w:val="zh-CN" w:eastAsia="zh-CN"/>
              </w:rPr>
              <w:t>青海省海西州花土沟镇创业路 155 号</w:t>
            </w:r>
          </w:p>
          <w:p w14:paraId="48F020BE">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default" w:ascii="宋体" w:hAnsi="宋体" w:cs="宋体"/>
                <w:i w:val="0"/>
                <w:iCs w:val="0"/>
                <w:caps w:val="0"/>
                <w:color w:val="auto"/>
                <w:spacing w:val="0"/>
                <w:sz w:val="24"/>
                <w:szCs w:val="24"/>
                <w:lang w:val="en-US" w:eastAsia="zh-CN"/>
              </w:rPr>
            </w:pPr>
            <w:r>
              <w:rPr>
                <w:rFonts w:hint="eastAsia" w:ascii="宋体" w:hAnsi="宋体" w:cs="宋体"/>
                <w:i w:val="0"/>
                <w:iCs w:val="0"/>
                <w:caps w:val="0"/>
                <w:color w:val="auto"/>
                <w:spacing w:val="0"/>
                <w:sz w:val="24"/>
                <w:szCs w:val="24"/>
                <w:lang w:eastAsia="zh-CN"/>
              </w:rPr>
              <w:t>联系人：</w:t>
            </w:r>
            <w:r>
              <w:rPr>
                <w:rFonts w:hint="eastAsia" w:ascii="宋体" w:hAnsi="宋体" w:cs="宋体"/>
                <w:i w:val="0"/>
                <w:iCs w:val="0"/>
                <w:caps w:val="0"/>
                <w:color w:val="auto"/>
                <w:spacing w:val="0"/>
                <w:sz w:val="24"/>
                <w:szCs w:val="24"/>
                <w:highlight w:val="none"/>
                <w:lang w:val="en-US" w:eastAsia="zh-CN"/>
              </w:rPr>
              <w:t>张先生</w:t>
            </w:r>
          </w:p>
          <w:p w14:paraId="3A20026B">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textAlignment w:val="auto"/>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eastAsia="宋体" w:cs="宋体"/>
                <w:i w:val="0"/>
                <w:iCs w:val="0"/>
                <w:caps w:val="0"/>
                <w:color w:val="auto"/>
                <w:spacing w:val="0"/>
                <w:sz w:val="24"/>
                <w:szCs w:val="24"/>
              </w:rPr>
              <w:t>联系方式：</w:t>
            </w:r>
            <w:r>
              <w:rPr>
                <w:rFonts w:hint="eastAsia" w:ascii="宋体" w:hAnsi="宋体" w:cs="宋体"/>
                <w:i w:val="0"/>
                <w:iCs w:val="0"/>
                <w:caps w:val="0"/>
                <w:color w:val="auto"/>
                <w:spacing w:val="0"/>
                <w:sz w:val="24"/>
                <w:szCs w:val="24"/>
                <w:lang w:val="en-US" w:eastAsia="zh-CN"/>
              </w:rPr>
              <w:t>0977-8252721</w:t>
            </w:r>
          </w:p>
        </w:tc>
      </w:tr>
      <w:tr w14:paraId="3A9AA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jc w:val="center"/>
        </w:trPr>
        <w:tc>
          <w:tcPr>
            <w:tcW w:w="748" w:type="dxa"/>
            <w:vAlign w:val="center"/>
          </w:tcPr>
          <w:p w14:paraId="2870B2C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w:t>
            </w:r>
          </w:p>
        </w:tc>
        <w:tc>
          <w:tcPr>
            <w:tcW w:w="3023" w:type="dxa"/>
            <w:vAlign w:val="center"/>
          </w:tcPr>
          <w:p w14:paraId="49C7AFF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采购代理机构</w:t>
            </w:r>
          </w:p>
        </w:tc>
        <w:tc>
          <w:tcPr>
            <w:tcW w:w="6369" w:type="dxa"/>
            <w:vAlign w:val="center"/>
          </w:tcPr>
          <w:p w14:paraId="6031A780">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eastAsia="宋体" w:cs="宋体"/>
                <w:b w:val="0"/>
                <w:i w:val="0"/>
                <w:caps w:val="0"/>
                <w:color w:val="auto"/>
                <w:spacing w:val="0"/>
                <w:w w:val="100"/>
                <w:sz w:val="24"/>
                <w:szCs w:val="24"/>
                <w:highlight w:val="none"/>
              </w:rPr>
              <w:t>名称：</w:t>
            </w:r>
            <w:r>
              <w:rPr>
                <w:rFonts w:hint="eastAsia" w:ascii="宋体" w:hAnsi="宋体" w:cs="宋体"/>
                <w:b w:val="0"/>
                <w:i w:val="0"/>
                <w:caps w:val="0"/>
                <w:color w:val="auto"/>
                <w:spacing w:val="0"/>
                <w:w w:val="100"/>
                <w:sz w:val="24"/>
                <w:szCs w:val="24"/>
                <w:highlight w:val="none"/>
                <w:lang w:eastAsia="zh-CN"/>
              </w:rPr>
              <w:t>青海佳荣工程项目管理有限公司</w:t>
            </w:r>
          </w:p>
          <w:p w14:paraId="74DCAAC1">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地址：青海省西宁市城西区西川南路76号1号写字楼6楼1060</w:t>
            </w:r>
            <w:r>
              <w:rPr>
                <w:rFonts w:hint="eastAsia" w:ascii="宋体" w:hAnsi="宋体" w:cs="宋体"/>
                <w:b w:val="0"/>
                <w:i w:val="0"/>
                <w:caps w:val="0"/>
                <w:color w:val="auto"/>
                <w:spacing w:val="0"/>
                <w:w w:val="100"/>
                <w:sz w:val="24"/>
                <w:szCs w:val="24"/>
                <w:highlight w:val="none"/>
                <w:lang w:val="en-US" w:eastAsia="zh-CN"/>
              </w:rPr>
              <w:t>9</w:t>
            </w:r>
            <w:r>
              <w:rPr>
                <w:rFonts w:hint="eastAsia" w:ascii="宋体" w:hAnsi="宋体" w:eastAsia="宋体" w:cs="宋体"/>
                <w:b w:val="0"/>
                <w:i w:val="0"/>
                <w:caps w:val="0"/>
                <w:color w:val="auto"/>
                <w:spacing w:val="0"/>
                <w:w w:val="100"/>
                <w:sz w:val="24"/>
                <w:szCs w:val="24"/>
                <w:highlight w:val="none"/>
              </w:rPr>
              <w:t>室</w:t>
            </w:r>
          </w:p>
          <w:p w14:paraId="35F7BD60">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联系人：</w:t>
            </w:r>
            <w:r>
              <w:rPr>
                <w:rFonts w:hint="eastAsia" w:ascii="宋体" w:hAnsi="宋体" w:cs="宋体"/>
                <w:b w:val="0"/>
                <w:i w:val="0"/>
                <w:caps w:val="0"/>
                <w:color w:val="auto"/>
                <w:spacing w:val="0"/>
                <w:w w:val="100"/>
                <w:sz w:val="24"/>
                <w:szCs w:val="24"/>
                <w:highlight w:val="none"/>
                <w:lang w:val="en-US" w:eastAsia="zh-CN"/>
              </w:rPr>
              <w:t>董女士</w:t>
            </w:r>
          </w:p>
          <w:p w14:paraId="1E393759">
            <w:pPr>
              <w:snapToGrid w:val="0"/>
              <w:spacing w:before="0" w:beforeAutospacing="0" w:after="0" w:afterAutospacing="0" w:line="360" w:lineRule="auto"/>
              <w:jc w:val="both"/>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eastAsia="宋体" w:cs="宋体"/>
                <w:b w:val="0"/>
                <w:i w:val="0"/>
                <w:caps w:val="0"/>
                <w:color w:val="auto"/>
                <w:spacing w:val="0"/>
                <w:w w:val="100"/>
                <w:sz w:val="24"/>
                <w:szCs w:val="24"/>
                <w:highlight w:val="none"/>
              </w:rPr>
              <w:t>电话：0971-</w:t>
            </w:r>
            <w:r>
              <w:rPr>
                <w:rFonts w:hint="eastAsia" w:ascii="宋体" w:hAnsi="宋体" w:cs="宋体"/>
                <w:b w:val="0"/>
                <w:i w:val="0"/>
                <w:caps w:val="0"/>
                <w:color w:val="auto"/>
                <w:spacing w:val="0"/>
                <w:w w:val="100"/>
                <w:sz w:val="24"/>
                <w:szCs w:val="24"/>
                <w:highlight w:val="none"/>
                <w:lang w:val="en-US" w:eastAsia="zh-CN"/>
              </w:rPr>
              <w:t>8829828</w:t>
            </w:r>
          </w:p>
          <w:p w14:paraId="62BF1176">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电子邮件：</w:t>
            </w:r>
            <w:r>
              <w:rPr>
                <w:rFonts w:ascii="Arial" w:hAnsi="Arial" w:cs="Arial"/>
                <w:color w:val="auto"/>
                <w:sz w:val="24"/>
                <w:szCs w:val="24"/>
              </w:rPr>
              <w:t>qhjrxmglyxgs@163.com</w:t>
            </w:r>
          </w:p>
        </w:tc>
      </w:tr>
      <w:tr w14:paraId="53D7C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41FD391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w:t>
            </w:r>
          </w:p>
        </w:tc>
        <w:tc>
          <w:tcPr>
            <w:tcW w:w="3023" w:type="dxa"/>
            <w:vAlign w:val="center"/>
          </w:tcPr>
          <w:p w14:paraId="4ADD79C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项目名称</w:t>
            </w:r>
          </w:p>
        </w:tc>
        <w:tc>
          <w:tcPr>
            <w:tcW w:w="6369" w:type="dxa"/>
            <w:vAlign w:val="center"/>
          </w:tcPr>
          <w:p w14:paraId="345CBD67">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cs="宋体"/>
                <w:b w:val="0"/>
                <w:bCs/>
                <w:i w:val="0"/>
                <w:caps w:val="0"/>
                <w:color w:val="auto"/>
                <w:spacing w:val="0"/>
                <w:w w:val="100"/>
                <w:sz w:val="24"/>
                <w:szCs w:val="24"/>
                <w:highlight w:val="none"/>
                <w:lang w:eastAsia="zh-CN"/>
              </w:rPr>
              <w:t>G315国道茫崖市黄瓜梁至茫崖镇路口路域环境整治项目</w:t>
            </w:r>
          </w:p>
        </w:tc>
      </w:tr>
      <w:tr w14:paraId="1D74A3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3BE8ABD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w:t>
            </w:r>
          </w:p>
        </w:tc>
        <w:tc>
          <w:tcPr>
            <w:tcW w:w="3023" w:type="dxa"/>
            <w:vAlign w:val="center"/>
          </w:tcPr>
          <w:p w14:paraId="7E155BB4">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szCs w:val="24"/>
                <w:highlight w:val="none"/>
                <w:lang w:eastAsia="zh-CN"/>
              </w:rPr>
            </w:pPr>
            <w:r>
              <w:rPr>
                <w:rFonts w:hint="eastAsia" w:ascii="宋体" w:hAnsi="宋体" w:eastAsia="宋体" w:cs="宋体"/>
                <w:b w:val="0"/>
                <w:i w:val="0"/>
                <w:caps w:val="0"/>
                <w:color w:val="auto"/>
                <w:spacing w:val="0"/>
                <w:w w:val="100"/>
                <w:sz w:val="24"/>
                <w:szCs w:val="24"/>
                <w:highlight w:val="none"/>
                <w:lang w:eastAsia="zh-CN"/>
              </w:rPr>
              <w:t>建设地点</w:t>
            </w:r>
          </w:p>
        </w:tc>
        <w:tc>
          <w:tcPr>
            <w:tcW w:w="6369" w:type="dxa"/>
            <w:vAlign w:val="center"/>
          </w:tcPr>
          <w:p w14:paraId="7EC38795">
            <w:pPr>
              <w:snapToGrid w:val="0"/>
              <w:spacing w:before="0" w:beforeAutospacing="0" w:after="0" w:afterAutospacing="0" w:line="360" w:lineRule="auto"/>
              <w:jc w:val="both"/>
              <w:textAlignment w:val="baseline"/>
              <w:rPr>
                <w:rFonts w:hint="default" w:ascii="宋体" w:hAnsi="宋体" w:eastAsia="宋体" w:cs="宋体"/>
                <w:b w:val="0"/>
                <w:i w:val="0"/>
                <w:caps w:val="0"/>
                <w:color w:val="auto"/>
                <w:spacing w:val="0"/>
                <w:w w:val="100"/>
                <w:sz w:val="24"/>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青海省海西州茫崖市</w:t>
            </w:r>
          </w:p>
        </w:tc>
      </w:tr>
      <w:tr w14:paraId="6A0B9F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0240038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5</w:t>
            </w:r>
          </w:p>
        </w:tc>
        <w:tc>
          <w:tcPr>
            <w:tcW w:w="3023" w:type="dxa"/>
            <w:vAlign w:val="center"/>
          </w:tcPr>
          <w:p w14:paraId="353ACF6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资金来源</w:t>
            </w:r>
          </w:p>
        </w:tc>
        <w:tc>
          <w:tcPr>
            <w:tcW w:w="6369" w:type="dxa"/>
            <w:vAlign w:val="center"/>
          </w:tcPr>
          <w:p w14:paraId="3083CAC0">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cs="宋体"/>
                <w:b w:val="0"/>
                <w:i w:val="0"/>
                <w:caps w:val="0"/>
                <w:color w:val="auto"/>
                <w:spacing w:val="0"/>
                <w:w w:val="100"/>
                <w:sz w:val="24"/>
                <w:szCs w:val="24"/>
                <w:highlight w:val="none"/>
                <w:lang w:val="en-US" w:eastAsia="zh-CN"/>
              </w:rPr>
              <w:t>财政资金</w:t>
            </w:r>
          </w:p>
        </w:tc>
      </w:tr>
      <w:tr w14:paraId="0481E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767BEFD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6</w:t>
            </w:r>
          </w:p>
        </w:tc>
        <w:tc>
          <w:tcPr>
            <w:tcW w:w="3023" w:type="dxa"/>
            <w:vAlign w:val="center"/>
          </w:tcPr>
          <w:p w14:paraId="480FE5C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出资比例</w:t>
            </w:r>
          </w:p>
        </w:tc>
        <w:tc>
          <w:tcPr>
            <w:tcW w:w="6369" w:type="dxa"/>
            <w:vAlign w:val="center"/>
          </w:tcPr>
          <w:p w14:paraId="41E05291">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100%</w:t>
            </w:r>
          </w:p>
        </w:tc>
      </w:tr>
      <w:tr w14:paraId="50FBA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6CAEE47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w:t>
            </w:r>
          </w:p>
        </w:tc>
        <w:tc>
          <w:tcPr>
            <w:tcW w:w="3023" w:type="dxa"/>
            <w:vAlign w:val="center"/>
          </w:tcPr>
          <w:p w14:paraId="15BEB42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资金落实情况</w:t>
            </w:r>
          </w:p>
        </w:tc>
        <w:tc>
          <w:tcPr>
            <w:tcW w:w="6369" w:type="dxa"/>
            <w:vAlign w:val="center"/>
          </w:tcPr>
          <w:p w14:paraId="6BE2AC3F">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已落实</w:t>
            </w:r>
          </w:p>
        </w:tc>
      </w:tr>
      <w:tr w14:paraId="299B0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6DA0250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8</w:t>
            </w:r>
          </w:p>
        </w:tc>
        <w:tc>
          <w:tcPr>
            <w:tcW w:w="3023" w:type="dxa"/>
            <w:vAlign w:val="center"/>
          </w:tcPr>
          <w:p w14:paraId="585E398A">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招标范围</w:t>
            </w:r>
          </w:p>
        </w:tc>
        <w:tc>
          <w:tcPr>
            <w:tcW w:w="6369" w:type="dxa"/>
            <w:vAlign w:val="center"/>
          </w:tcPr>
          <w:p w14:paraId="1864474A">
            <w:pPr>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val="0"/>
              <w:snapToGrid w:val="0"/>
              <w:spacing w:beforeAutospacing="0" w:afterAutospacing="0" w:line="360" w:lineRule="auto"/>
              <w:ind w:left="0" w:firstLine="0"/>
              <w:jc w:val="left"/>
              <w:textAlignment w:val="auto"/>
              <w:rPr>
                <w:rFonts w:hint="eastAsia" w:ascii="宋体" w:hAnsi="宋体" w:eastAsia="宋体" w:cs="宋体"/>
                <w:b w:val="0"/>
                <w:i w:val="0"/>
                <w:caps w:val="0"/>
                <w:color w:val="auto"/>
                <w:spacing w:val="0"/>
                <w:w w:val="100"/>
                <w:sz w:val="20"/>
                <w:szCs w:val="24"/>
                <w:highlight w:val="none"/>
              </w:rPr>
            </w:pPr>
            <w:r>
              <w:rPr>
                <w:rFonts w:hint="eastAsia" w:asciiTheme="minorEastAsia" w:hAnsiTheme="minorEastAsia" w:eastAsiaTheme="minorEastAsia" w:cstheme="minorEastAsia"/>
                <w:i w:val="0"/>
                <w:iCs w:val="0"/>
                <w:caps w:val="0"/>
                <w:color w:val="auto"/>
                <w:spacing w:val="0"/>
                <w:kern w:val="0"/>
                <w:sz w:val="24"/>
                <w:szCs w:val="24"/>
                <w:lang w:val="en-US" w:eastAsia="zh-CN" w:bidi="ar"/>
              </w:rPr>
              <w:t>对茫崖镇至黄瓜梁路段全长约200公里，开展路域环境整治工作。服务内容主要包括:1、负责茫崖镇至黄瓜梁G315国道公路用地范围内垃圾清运工作，保持路域环境干净整洁;2、及时排查清理公路路域范围内路面、边沟、边坡等区域垃圾及杂物;3、全面清理公路沿线服务区、停车区、公路驿站、停车港湾、互通匝道出入口等区域内的生活垃圾、污水、建筑垃圾;4、将垃圾清运至指定地点，含工程量清单全部内容</w:t>
            </w:r>
            <w:r>
              <w:rPr>
                <w:rFonts w:hint="eastAsia" w:asciiTheme="minorEastAsia" w:hAnsiTheme="minorEastAsia" w:eastAsiaTheme="minorEastAsia" w:cstheme="minorEastAsia"/>
                <w:b w:val="0"/>
                <w:bCs/>
                <w:i w:val="0"/>
                <w:caps w:val="0"/>
                <w:color w:val="auto"/>
                <w:spacing w:val="0"/>
                <w:w w:val="100"/>
                <w:sz w:val="24"/>
                <w:szCs w:val="24"/>
                <w:highlight w:val="none"/>
                <w:lang w:val="en-US" w:eastAsia="zh-CN"/>
              </w:rPr>
              <w:t>；</w:t>
            </w:r>
          </w:p>
        </w:tc>
      </w:tr>
      <w:tr w14:paraId="7A986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5" w:hRule="atLeast"/>
          <w:jc w:val="center"/>
        </w:trPr>
        <w:tc>
          <w:tcPr>
            <w:tcW w:w="748" w:type="dxa"/>
            <w:vAlign w:val="center"/>
          </w:tcPr>
          <w:p w14:paraId="60D4B49A">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9</w:t>
            </w:r>
          </w:p>
        </w:tc>
        <w:tc>
          <w:tcPr>
            <w:tcW w:w="3023" w:type="dxa"/>
            <w:vAlign w:val="center"/>
          </w:tcPr>
          <w:p w14:paraId="5986A420">
            <w:pPr>
              <w:snapToGrid w:val="0"/>
              <w:spacing w:before="0" w:beforeAutospacing="0" w:after="0" w:afterAutospacing="0" w:line="360" w:lineRule="auto"/>
              <w:jc w:val="center"/>
              <w:textAlignment w:val="baseline"/>
              <w:rPr>
                <w:rFonts w:hint="eastAsia" w:ascii="宋体" w:hAnsi="宋体" w:cs="宋体"/>
                <w:b w:val="0"/>
                <w:bCs/>
                <w:i w:val="0"/>
                <w:caps w:val="0"/>
                <w:color w:val="auto"/>
                <w:spacing w:val="0"/>
                <w:w w:val="100"/>
                <w:sz w:val="24"/>
                <w:szCs w:val="24"/>
                <w:highlight w:val="none"/>
                <w:lang w:val="en-US" w:eastAsia="zh-CN"/>
              </w:rPr>
            </w:pPr>
            <w:r>
              <w:rPr>
                <w:rFonts w:hint="eastAsia" w:ascii="宋体" w:hAnsi="宋体" w:cs="宋体"/>
                <w:b w:val="0"/>
                <w:bCs/>
                <w:i w:val="0"/>
                <w:caps w:val="0"/>
                <w:color w:val="auto"/>
                <w:spacing w:val="0"/>
                <w:w w:val="100"/>
                <w:sz w:val="24"/>
                <w:szCs w:val="24"/>
                <w:highlight w:val="none"/>
                <w:lang w:val="en-US" w:eastAsia="zh-CN"/>
              </w:rPr>
              <w:t>计划工期及开工日期</w:t>
            </w:r>
          </w:p>
        </w:tc>
        <w:tc>
          <w:tcPr>
            <w:tcW w:w="6369" w:type="dxa"/>
            <w:vAlign w:val="center"/>
          </w:tcPr>
          <w:p w14:paraId="4EEFD7A8">
            <w:pPr>
              <w:snapToGrid w:val="0"/>
              <w:spacing w:before="0" w:beforeAutospacing="0" w:after="0" w:afterAutospacing="0" w:line="360" w:lineRule="auto"/>
              <w:jc w:val="both"/>
              <w:textAlignment w:val="baseline"/>
              <w:rPr>
                <w:rFonts w:hint="eastAsia" w:ascii="宋体" w:hAnsi="宋体" w:cs="宋体"/>
                <w:b w:val="0"/>
                <w:bCs/>
                <w:i w:val="0"/>
                <w:caps w:val="0"/>
                <w:color w:val="auto"/>
                <w:spacing w:val="0"/>
                <w:w w:val="100"/>
                <w:sz w:val="24"/>
                <w:szCs w:val="24"/>
                <w:highlight w:val="none"/>
                <w:lang w:val="en-US" w:eastAsia="zh-CN"/>
              </w:rPr>
            </w:pPr>
            <w:r>
              <w:rPr>
                <w:rFonts w:hint="eastAsia" w:ascii="宋体" w:hAnsi="宋体" w:cs="宋体"/>
                <w:b w:val="0"/>
                <w:bCs/>
                <w:i w:val="0"/>
                <w:caps w:val="0"/>
                <w:color w:val="auto"/>
                <w:spacing w:val="0"/>
                <w:w w:val="100"/>
                <w:sz w:val="24"/>
                <w:szCs w:val="24"/>
                <w:highlight w:val="none"/>
                <w:lang w:val="en-US" w:eastAsia="zh-CN"/>
              </w:rPr>
              <w:t>计划工期：3</w:t>
            </w:r>
            <w:r>
              <w:rPr>
                <w:rFonts w:hint="eastAsia" w:ascii="宋体" w:hAnsi="宋体" w:cs="宋体"/>
                <w:b w:val="0"/>
                <w:bCs/>
                <w:i w:val="0"/>
                <w:caps w:val="0"/>
                <w:color w:val="auto"/>
                <w:spacing w:val="0"/>
                <w:w w:val="100"/>
                <w:sz w:val="24"/>
                <w:szCs w:val="24"/>
                <w:highlight w:val="none"/>
                <w:lang w:val="en-US" w:eastAsia="zh-CN"/>
              </w:rPr>
              <w:t>65天</w:t>
            </w:r>
          </w:p>
          <w:p w14:paraId="7EFED4C7">
            <w:pPr>
              <w:snapToGrid w:val="0"/>
              <w:spacing w:before="0" w:beforeAutospacing="0" w:after="0" w:afterAutospacing="0" w:line="360" w:lineRule="auto"/>
              <w:jc w:val="both"/>
              <w:textAlignment w:val="baseline"/>
              <w:rPr>
                <w:rFonts w:hint="eastAsia" w:ascii="宋体" w:hAnsi="宋体" w:cs="宋体"/>
                <w:b w:val="0"/>
                <w:bCs/>
                <w:i w:val="0"/>
                <w:caps w:val="0"/>
                <w:color w:val="auto"/>
                <w:spacing w:val="0"/>
                <w:w w:val="100"/>
                <w:sz w:val="24"/>
                <w:szCs w:val="24"/>
                <w:highlight w:val="none"/>
                <w:lang w:val="en-US" w:eastAsia="zh-CN"/>
              </w:rPr>
            </w:pPr>
            <w:r>
              <w:rPr>
                <w:rFonts w:hint="eastAsia" w:ascii="宋体" w:hAnsi="宋体" w:cs="宋体"/>
                <w:b w:val="0"/>
                <w:bCs/>
                <w:i w:val="0"/>
                <w:caps w:val="0"/>
                <w:color w:val="auto"/>
                <w:spacing w:val="0"/>
                <w:w w:val="100"/>
                <w:sz w:val="24"/>
                <w:szCs w:val="24"/>
                <w:highlight w:val="none"/>
                <w:lang w:val="en-US" w:eastAsia="zh-CN"/>
              </w:rPr>
              <w:t>计划开工日期：</w:t>
            </w:r>
            <w:r>
              <w:rPr>
                <w:rFonts w:hint="eastAsia" w:ascii="宋体" w:hAnsi="宋体" w:cs="宋体"/>
                <w:b w:val="0"/>
                <w:bCs/>
                <w:i w:val="0"/>
                <w:caps w:val="0"/>
                <w:color w:val="auto"/>
                <w:spacing w:val="0"/>
                <w:w w:val="100"/>
                <w:sz w:val="24"/>
                <w:szCs w:val="24"/>
                <w:highlight w:val="none"/>
                <w:lang w:val="en-US" w:eastAsia="zh-CN"/>
              </w:rPr>
              <w:t>2024年08月28日</w:t>
            </w:r>
          </w:p>
          <w:p w14:paraId="3C081F12">
            <w:pPr>
              <w:snapToGrid w:val="0"/>
              <w:spacing w:before="0" w:beforeAutospacing="0" w:after="0" w:afterAutospacing="0" w:line="360" w:lineRule="auto"/>
              <w:jc w:val="both"/>
              <w:textAlignment w:val="baseline"/>
              <w:rPr>
                <w:rFonts w:hint="eastAsia" w:ascii="宋体" w:hAnsi="宋体" w:cs="宋体"/>
                <w:b w:val="0"/>
                <w:bCs/>
                <w:i w:val="0"/>
                <w:caps w:val="0"/>
                <w:color w:val="auto"/>
                <w:spacing w:val="0"/>
                <w:w w:val="100"/>
                <w:sz w:val="24"/>
                <w:szCs w:val="24"/>
                <w:highlight w:val="none"/>
                <w:lang w:val="en-US" w:eastAsia="zh-CN"/>
              </w:rPr>
            </w:pPr>
            <w:r>
              <w:rPr>
                <w:rFonts w:hint="eastAsia" w:ascii="宋体" w:hAnsi="宋体" w:cs="宋体"/>
                <w:b w:val="0"/>
                <w:bCs/>
                <w:i w:val="0"/>
                <w:caps w:val="0"/>
                <w:color w:val="auto"/>
                <w:spacing w:val="0"/>
                <w:w w:val="100"/>
                <w:sz w:val="24"/>
                <w:szCs w:val="24"/>
                <w:highlight w:val="none"/>
                <w:lang w:val="en-US" w:eastAsia="zh-CN"/>
              </w:rPr>
              <w:t>计划竣工日期：</w:t>
            </w:r>
            <w:r>
              <w:rPr>
                <w:rFonts w:hint="eastAsia" w:ascii="宋体" w:hAnsi="宋体" w:cs="宋体"/>
                <w:b w:val="0"/>
                <w:bCs/>
                <w:i w:val="0"/>
                <w:caps w:val="0"/>
                <w:color w:val="auto"/>
                <w:spacing w:val="0"/>
                <w:w w:val="100"/>
                <w:sz w:val="24"/>
                <w:szCs w:val="24"/>
                <w:highlight w:val="none"/>
                <w:lang w:val="en-US" w:eastAsia="zh-CN"/>
              </w:rPr>
              <w:t>2025年08月28日</w:t>
            </w:r>
          </w:p>
        </w:tc>
      </w:tr>
      <w:tr w14:paraId="6EA74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4600F8B7">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10</w:t>
            </w:r>
          </w:p>
        </w:tc>
        <w:tc>
          <w:tcPr>
            <w:tcW w:w="3023" w:type="dxa"/>
            <w:vAlign w:val="center"/>
          </w:tcPr>
          <w:p w14:paraId="3188844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质量要求</w:t>
            </w:r>
          </w:p>
        </w:tc>
        <w:tc>
          <w:tcPr>
            <w:tcW w:w="6369" w:type="dxa"/>
            <w:vAlign w:val="center"/>
          </w:tcPr>
          <w:p w14:paraId="415C85F8">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达到国家质量与评定标准</w:t>
            </w:r>
            <w:r>
              <w:rPr>
                <w:rFonts w:hint="eastAsia" w:ascii="宋体" w:hAnsi="宋体" w:eastAsia="宋体" w:cs="宋体"/>
                <w:b w:val="0"/>
                <w:bCs/>
                <w:i w:val="0"/>
                <w:caps w:val="0"/>
                <w:color w:val="auto"/>
                <w:spacing w:val="0"/>
                <w:w w:val="100"/>
                <w:sz w:val="24"/>
                <w:szCs w:val="24"/>
                <w:highlight w:val="none"/>
              </w:rPr>
              <w:t>合格</w:t>
            </w:r>
            <w:r>
              <w:rPr>
                <w:rFonts w:hint="eastAsia" w:ascii="宋体" w:hAnsi="宋体" w:eastAsia="宋体" w:cs="宋体"/>
                <w:b w:val="0"/>
                <w:i w:val="0"/>
                <w:caps w:val="0"/>
                <w:color w:val="auto"/>
                <w:spacing w:val="0"/>
                <w:w w:val="100"/>
                <w:sz w:val="24"/>
                <w:szCs w:val="24"/>
                <w:highlight w:val="none"/>
              </w:rPr>
              <w:t>质量等级</w:t>
            </w:r>
          </w:p>
        </w:tc>
      </w:tr>
      <w:tr w14:paraId="6E8F3B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3" w:hRule="atLeast"/>
          <w:jc w:val="center"/>
        </w:trPr>
        <w:tc>
          <w:tcPr>
            <w:tcW w:w="748" w:type="dxa"/>
            <w:vAlign w:val="center"/>
          </w:tcPr>
          <w:p w14:paraId="14F1B23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11</w:t>
            </w:r>
          </w:p>
        </w:tc>
        <w:tc>
          <w:tcPr>
            <w:tcW w:w="3023" w:type="dxa"/>
            <w:vAlign w:val="center"/>
          </w:tcPr>
          <w:p w14:paraId="4699F2B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竞争性磋商响应人</w:t>
            </w:r>
          </w:p>
          <w:p w14:paraId="5B0FA84A">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highlight w:val="none"/>
              </w:rPr>
              <w:t>资格条件</w:t>
            </w:r>
          </w:p>
        </w:tc>
        <w:tc>
          <w:tcPr>
            <w:tcW w:w="6369" w:type="dxa"/>
            <w:vAlign w:val="center"/>
          </w:tcPr>
          <w:p w14:paraId="0A64260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1、</w:t>
            </w:r>
            <w:r>
              <w:rPr>
                <w:rFonts w:hint="eastAsia" w:ascii="宋体" w:hAnsi="宋体" w:eastAsia="宋体" w:cs="宋体"/>
                <w:b w:val="0"/>
                <w:i w:val="0"/>
                <w:caps w:val="0"/>
                <w:color w:val="auto"/>
                <w:spacing w:val="0"/>
                <w:w w:val="100"/>
                <w:sz w:val="24"/>
                <w:highlight w:val="none"/>
                <w:lang w:val="zh-CN"/>
              </w:rPr>
              <w:t>符合《政府采购法》第22条条件，并提供下列材料：</w:t>
            </w:r>
          </w:p>
          <w:p w14:paraId="08EE227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1)</w:t>
            </w:r>
            <w:r>
              <w:rPr>
                <w:rFonts w:hint="eastAsia" w:ascii="宋体" w:hAnsi="宋体" w:eastAsia="宋体" w:cs="宋体"/>
                <w:b w:val="0"/>
                <w:i w:val="0"/>
                <w:caps w:val="0"/>
                <w:color w:val="auto"/>
                <w:spacing w:val="0"/>
                <w:w w:val="100"/>
                <w:sz w:val="24"/>
                <w:highlight w:val="none"/>
                <w:lang w:val="zh-CN"/>
              </w:rPr>
              <w:t>磋商响应人的营业执照等证明文件，自然人的身份证明。</w:t>
            </w:r>
          </w:p>
          <w:p w14:paraId="0AEB9C1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2)</w:t>
            </w:r>
            <w:r>
              <w:rPr>
                <w:rFonts w:hint="eastAsia" w:ascii="宋体" w:hAnsi="宋体" w:eastAsia="宋体" w:cs="宋体"/>
                <w:b w:val="0"/>
                <w:i w:val="0"/>
                <w:caps w:val="0"/>
                <w:color w:val="auto"/>
                <w:spacing w:val="0"/>
                <w:w w:val="100"/>
                <w:sz w:val="24"/>
                <w:highlight w:val="none"/>
                <w:lang w:val="zh-CN"/>
              </w:rPr>
              <w:t>财务状况报告，依法缴纳税收和社会保障资金的相关材料。</w:t>
            </w:r>
          </w:p>
          <w:p w14:paraId="1E5907F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3)</w:t>
            </w:r>
            <w:r>
              <w:rPr>
                <w:rFonts w:hint="eastAsia" w:ascii="宋体" w:hAnsi="宋体" w:eastAsia="宋体" w:cs="宋体"/>
                <w:b w:val="0"/>
                <w:i w:val="0"/>
                <w:caps w:val="0"/>
                <w:color w:val="auto"/>
                <w:spacing w:val="0"/>
                <w:w w:val="100"/>
                <w:sz w:val="24"/>
                <w:highlight w:val="none"/>
                <w:lang w:val="zh-CN"/>
              </w:rPr>
              <w:t>具备履行合同所必需的设备和专业技术能力的证明材料。</w:t>
            </w:r>
          </w:p>
          <w:p w14:paraId="3BDADB7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4)</w:t>
            </w:r>
            <w:r>
              <w:rPr>
                <w:rFonts w:hint="eastAsia" w:ascii="宋体" w:hAnsi="宋体" w:eastAsia="宋体" w:cs="宋体"/>
                <w:b w:val="0"/>
                <w:i w:val="0"/>
                <w:caps w:val="0"/>
                <w:color w:val="auto"/>
                <w:spacing w:val="0"/>
                <w:w w:val="100"/>
                <w:sz w:val="24"/>
                <w:highlight w:val="none"/>
                <w:lang w:val="zh-CN"/>
              </w:rPr>
              <w:t>参加政府采购活动前3年内在经营活动中没有重大违法记录的书面声明。</w:t>
            </w:r>
          </w:p>
          <w:p w14:paraId="2DE270E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rPr>
              <w:t>5)</w:t>
            </w:r>
            <w:r>
              <w:rPr>
                <w:rFonts w:hint="eastAsia" w:ascii="宋体" w:hAnsi="宋体" w:eastAsia="宋体" w:cs="宋体"/>
                <w:b w:val="0"/>
                <w:i w:val="0"/>
                <w:caps w:val="0"/>
                <w:color w:val="auto"/>
                <w:spacing w:val="0"/>
                <w:w w:val="100"/>
                <w:sz w:val="24"/>
                <w:highlight w:val="none"/>
                <w:lang w:val="zh-CN"/>
              </w:rPr>
              <w:t>具备法律、行政法规规定的其他条件的证明材料。</w:t>
            </w:r>
          </w:p>
          <w:p w14:paraId="2581B9C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2、</w:t>
            </w:r>
            <w:r>
              <w:rPr>
                <w:rFonts w:hint="eastAsia" w:ascii="宋体" w:hAnsi="宋体" w:eastAsia="宋体" w:cs="宋体"/>
                <w:b w:val="0"/>
                <w:i w:val="0"/>
                <w:caps w:val="0"/>
                <w:color w:val="auto"/>
                <w:spacing w:val="0"/>
                <w:w w:val="100"/>
                <w:sz w:val="24"/>
                <w:highlight w:val="none"/>
                <w:lang w:val="zh-CN"/>
              </w:rPr>
              <w:t>单位负责人为同一人或者存在直接控股、管理关系的不同磋商响应人，不得参加同一合同项下的政府采购活动。否则，皆取消投标资格；</w:t>
            </w:r>
          </w:p>
          <w:p w14:paraId="013297E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3、</w:t>
            </w:r>
            <w:r>
              <w:rPr>
                <w:rFonts w:hint="eastAsia" w:ascii="宋体" w:hAnsi="宋体" w:eastAsia="宋体" w:cs="宋体"/>
                <w:b w:val="0"/>
                <w:i w:val="0"/>
                <w:caps w:val="0"/>
                <w:color w:val="auto"/>
                <w:spacing w:val="0"/>
                <w:w w:val="100"/>
                <w:sz w:val="24"/>
                <w:highlight w:val="none"/>
                <w:lang w:val="zh-CN"/>
              </w:rPr>
              <w:t>为本采购项目提供整体设计、规范编制或者项目管理、监理、检测等服务的磋商响应人，不得再参加该采购项目的其他采购活动；</w:t>
            </w:r>
          </w:p>
          <w:p w14:paraId="53FCA97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en-US" w:eastAsia="zh-CN"/>
              </w:rPr>
              <w:t>4、</w:t>
            </w:r>
            <w:r>
              <w:rPr>
                <w:rFonts w:hint="eastAsia" w:ascii="宋体" w:hAnsi="宋体" w:eastAsia="宋体" w:cs="宋体"/>
                <w:b w:val="0"/>
                <w:i w:val="0"/>
                <w:caps w:val="0"/>
                <w:color w:val="auto"/>
                <w:spacing w:val="0"/>
                <w:w w:val="100"/>
                <w:sz w:val="24"/>
                <w:highlight w:val="none"/>
                <w:lang w:val="zh-CN"/>
              </w:rPr>
              <w:t>本项目不接受磋商响应人以联合体方式进行投标；</w:t>
            </w:r>
          </w:p>
          <w:p w14:paraId="03B204D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lang w:val="en-US" w:eastAsia="zh-CN"/>
              </w:rPr>
              <w:t>5、</w:t>
            </w:r>
            <w:r>
              <w:rPr>
                <w:rFonts w:hint="eastAsia" w:ascii="宋体" w:hAnsi="宋体" w:eastAsia="宋体" w:cs="宋体"/>
                <w:b w:val="0"/>
                <w:i w:val="0"/>
                <w:caps w:val="0"/>
                <w:color w:val="auto"/>
                <w:spacing w:val="0"/>
                <w:w w:val="100"/>
                <w:sz w:val="24"/>
                <w:highlight w:val="none"/>
                <w:lang w:val="zh-CN" w:eastAsia="zh-CN"/>
              </w:rPr>
              <w:t>经信用中国（www.creditchina.gov.cn）、中国政府采购网（www.ccgp.gov.cn）等渠道查询后，列入失信被执行人、重大税收违法案件当事人名单、政府采购严重违法失信行为记录名单的，取消投标资格。（提供“信用中国及中国政府采购网”网站无任何不良记录的查询截图，时间为投标截止时间前20天内）；</w:t>
            </w:r>
          </w:p>
          <w:p w14:paraId="30B7F950">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6、其他资质条件：</w:t>
            </w:r>
          </w:p>
          <w:p w14:paraId="7E898CD6">
            <w:pPr>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1）磋商响应人须具有</w:t>
            </w:r>
            <w:r>
              <w:rPr>
                <w:rFonts w:hint="eastAsia" w:asciiTheme="majorEastAsia" w:hAnsiTheme="majorEastAsia" w:eastAsiaTheme="majorEastAsia" w:cstheme="majorEastAsia"/>
                <w:color w:val="auto"/>
                <w:szCs w:val="24"/>
                <w:lang w:val="en-US" w:eastAsia="zh-CN"/>
              </w:rPr>
              <w:t>市政工程总承包叁级</w:t>
            </w:r>
            <w:r>
              <w:rPr>
                <w:rFonts w:hint="eastAsia" w:asciiTheme="majorEastAsia" w:hAnsiTheme="majorEastAsia" w:eastAsiaTheme="majorEastAsia" w:cstheme="majorEastAsia"/>
                <w:color w:val="auto"/>
                <w:szCs w:val="24"/>
                <w:lang w:eastAsia="zh-CN"/>
              </w:rPr>
              <w:t>（含）及以上资质，并在人员、设备资金等方面具有相应的能力(含)</w:t>
            </w:r>
            <w:r>
              <w:rPr>
                <w:rFonts w:hint="eastAsia" w:asciiTheme="majorEastAsia" w:hAnsiTheme="majorEastAsia" w:eastAsiaTheme="majorEastAsia" w:cstheme="majorEastAsia"/>
                <w:color w:val="auto"/>
                <w:szCs w:val="24"/>
              </w:rPr>
              <w:t>及以上资质，并在人员、设备、资金等方面具有承担本工程相应的施工能力；</w:t>
            </w:r>
          </w:p>
          <w:p w14:paraId="6DFD7590">
            <w:pPr>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2）磋商响应人拟派项目经理须具备</w:t>
            </w:r>
            <w:r>
              <w:rPr>
                <w:rFonts w:hint="eastAsia" w:asciiTheme="majorEastAsia" w:hAnsiTheme="majorEastAsia" w:eastAsiaTheme="majorEastAsia" w:cstheme="majorEastAsia"/>
                <w:color w:val="auto"/>
                <w:szCs w:val="24"/>
                <w:lang w:val="en-US" w:eastAsia="zh-CN"/>
              </w:rPr>
              <w:t>市政</w:t>
            </w:r>
            <w:r>
              <w:rPr>
                <w:rFonts w:hint="eastAsia" w:asciiTheme="majorEastAsia" w:hAnsiTheme="majorEastAsia" w:eastAsiaTheme="majorEastAsia" w:cstheme="majorEastAsia"/>
                <w:color w:val="auto"/>
                <w:szCs w:val="24"/>
                <w:lang w:eastAsia="zh-CN"/>
              </w:rPr>
              <w:t>工程专业二级（含以上级）注册建造师执业资格，具备有效的安全生产考核合格证书</w:t>
            </w:r>
            <w:r>
              <w:rPr>
                <w:rFonts w:hint="eastAsia" w:asciiTheme="majorEastAsia" w:hAnsiTheme="majorEastAsia" w:eastAsiaTheme="majorEastAsia" w:cstheme="majorEastAsia"/>
                <w:color w:val="auto"/>
                <w:szCs w:val="24"/>
              </w:rPr>
              <w:t>；</w:t>
            </w:r>
          </w:p>
          <w:p w14:paraId="12125D56">
            <w:pPr>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3）</w:t>
            </w:r>
            <w:r>
              <w:rPr>
                <w:rFonts w:hint="eastAsia" w:asciiTheme="majorEastAsia" w:hAnsiTheme="majorEastAsia" w:eastAsiaTheme="majorEastAsia" w:cstheme="majorEastAsia"/>
                <w:color w:val="auto"/>
                <w:szCs w:val="24"/>
                <w:lang w:eastAsia="zh-CN"/>
              </w:rPr>
              <w:t>磋商</w:t>
            </w:r>
            <w:r>
              <w:rPr>
                <w:rFonts w:hint="eastAsia" w:asciiTheme="majorEastAsia" w:hAnsiTheme="majorEastAsia" w:eastAsiaTheme="majorEastAsia" w:cstheme="majorEastAsia"/>
                <w:color w:val="auto"/>
                <w:szCs w:val="24"/>
              </w:rPr>
              <w:t>响应人须具有有效的安全生产许可证；</w:t>
            </w:r>
          </w:p>
          <w:p w14:paraId="333B52B5">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Theme="majorEastAsia" w:hAnsiTheme="majorEastAsia" w:eastAsiaTheme="majorEastAsia" w:cstheme="majorEastAsia"/>
                <w:color w:val="auto"/>
                <w:szCs w:val="24"/>
                <w:lang w:val="en-US" w:eastAsia="zh-CN"/>
              </w:rPr>
            </w:pPr>
            <w:r>
              <w:rPr>
                <w:rFonts w:hint="eastAsia" w:asciiTheme="majorEastAsia" w:hAnsiTheme="majorEastAsia" w:eastAsiaTheme="majorEastAsia" w:cstheme="majorEastAsia"/>
                <w:color w:val="auto"/>
                <w:szCs w:val="24"/>
                <w:lang w:val="en-US" w:eastAsia="zh-CN"/>
              </w:rPr>
              <w:t>4）省外企业须提供有效期内的进青备案登记手续；</w:t>
            </w:r>
          </w:p>
          <w:p w14:paraId="0888E87E">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color w:val="auto"/>
                <w:lang w:val="zh-CN" w:eastAsia="zh-CN"/>
              </w:rPr>
            </w:pPr>
            <w:r>
              <w:rPr>
                <w:rFonts w:hint="eastAsia" w:asciiTheme="majorEastAsia" w:hAnsiTheme="majorEastAsia" w:eastAsiaTheme="majorEastAsia" w:cstheme="majorEastAsia"/>
                <w:color w:val="auto"/>
                <w:szCs w:val="24"/>
                <w:lang w:val="en-US" w:eastAsia="zh-CN"/>
              </w:rPr>
              <w:t>7.</w:t>
            </w:r>
            <w:r>
              <w:rPr>
                <w:rFonts w:hint="eastAsia" w:ascii="宋体" w:hAnsi="宋体" w:cs="宋体" w:eastAsiaTheme="minorEastAsia"/>
                <w:b w:val="0"/>
                <w:bCs w:val="0"/>
                <w:color w:val="auto"/>
                <w:kern w:val="0"/>
                <w:sz w:val="24"/>
                <w:szCs w:val="24"/>
                <w:lang w:val="en-US" w:eastAsia="zh-CN" w:bidi="ar"/>
              </w:rPr>
              <w:t>本项目落实政府采购需满足的资格条件：本项目专门面向中小企业采购，投标人须提供中小企业声明函或监狱企业、残疾人企业证明材料。</w:t>
            </w:r>
          </w:p>
        </w:tc>
      </w:tr>
      <w:tr w14:paraId="4570A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04AF801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12</w:t>
            </w:r>
          </w:p>
        </w:tc>
        <w:tc>
          <w:tcPr>
            <w:tcW w:w="3023" w:type="dxa"/>
            <w:vAlign w:val="center"/>
          </w:tcPr>
          <w:p w14:paraId="296D9CE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是否接受联合体投标</w:t>
            </w:r>
          </w:p>
        </w:tc>
        <w:tc>
          <w:tcPr>
            <w:tcW w:w="6369" w:type="dxa"/>
            <w:vAlign w:val="center"/>
          </w:tcPr>
          <w:p w14:paraId="7C3B561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val="zh-CN" w:eastAsia="zh-CN"/>
              </w:rPr>
            </w:pPr>
            <w:r>
              <w:rPr>
                <w:rFonts w:hint="eastAsia" w:ascii="宋体" w:hAnsi="宋体" w:eastAsia="宋体" w:cs="宋体"/>
                <w:b w:val="0"/>
                <w:i w:val="0"/>
                <w:caps w:val="0"/>
                <w:color w:val="auto"/>
                <w:spacing w:val="0"/>
                <w:w w:val="100"/>
                <w:sz w:val="24"/>
                <w:highlight w:val="none"/>
                <w:lang w:val="zh-CN" w:eastAsia="zh-CN"/>
              </w:rPr>
              <w:t>不接受</w:t>
            </w:r>
          </w:p>
        </w:tc>
      </w:tr>
      <w:tr w14:paraId="680EE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413873DC">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13</w:t>
            </w:r>
          </w:p>
        </w:tc>
        <w:tc>
          <w:tcPr>
            <w:tcW w:w="3023" w:type="dxa"/>
            <w:vAlign w:val="center"/>
          </w:tcPr>
          <w:p w14:paraId="70E4F2F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踏勘现场</w:t>
            </w:r>
          </w:p>
        </w:tc>
        <w:tc>
          <w:tcPr>
            <w:tcW w:w="6369" w:type="dxa"/>
            <w:vAlign w:val="center"/>
          </w:tcPr>
          <w:p w14:paraId="3AC1B7E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val="zh-CN" w:eastAsia="zh-CN"/>
              </w:rPr>
            </w:pPr>
            <w:r>
              <w:rPr>
                <w:rFonts w:hint="eastAsia" w:ascii="宋体" w:hAnsi="宋体" w:eastAsia="宋体" w:cs="宋体"/>
                <w:b w:val="0"/>
                <w:i w:val="0"/>
                <w:caps w:val="0"/>
                <w:color w:val="auto"/>
                <w:spacing w:val="0"/>
                <w:w w:val="100"/>
                <w:sz w:val="24"/>
                <w:highlight w:val="none"/>
                <w:lang w:val="zh-CN" w:eastAsia="zh-CN"/>
              </w:rPr>
              <w:t>不组织</w:t>
            </w:r>
          </w:p>
        </w:tc>
      </w:tr>
      <w:tr w14:paraId="6D59E4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497C14E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14</w:t>
            </w:r>
          </w:p>
        </w:tc>
        <w:tc>
          <w:tcPr>
            <w:tcW w:w="3023" w:type="dxa"/>
            <w:vAlign w:val="center"/>
          </w:tcPr>
          <w:p w14:paraId="19B97EB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投标预备会</w:t>
            </w:r>
          </w:p>
        </w:tc>
        <w:tc>
          <w:tcPr>
            <w:tcW w:w="6369" w:type="dxa"/>
            <w:vAlign w:val="center"/>
          </w:tcPr>
          <w:p w14:paraId="0490358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val="zh-CN" w:eastAsia="zh-CN"/>
              </w:rPr>
            </w:pPr>
            <w:r>
              <w:rPr>
                <w:rFonts w:hint="eastAsia" w:ascii="宋体" w:hAnsi="宋体" w:eastAsia="宋体" w:cs="宋体"/>
                <w:b w:val="0"/>
                <w:i w:val="0"/>
                <w:caps w:val="0"/>
                <w:color w:val="auto"/>
                <w:spacing w:val="0"/>
                <w:w w:val="100"/>
                <w:sz w:val="24"/>
                <w:highlight w:val="none"/>
                <w:lang w:val="zh-CN" w:eastAsia="zh-CN"/>
              </w:rPr>
              <w:t>不组织</w:t>
            </w:r>
          </w:p>
        </w:tc>
      </w:tr>
      <w:tr w14:paraId="2148C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4E27321C">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15</w:t>
            </w:r>
          </w:p>
        </w:tc>
        <w:tc>
          <w:tcPr>
            <w:tcW w:w="3023" w:type="dxa"/>
            <w:vAlign w:val="center"/>
          </w:tcPr>
          <w:p w14:paraId="644A6B37">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分包</w:t>
            </w:r>
          </w:p>
        </w:tc>
        <w:tc>
          <w:tcPr>
            <w:tcW w:w="6369" w:type="dxa"/>
            <w:vAlign w:val="center"/>
          </w:tcPr>
          <w:p w14:paraId="576839B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val="zh-CN" w:eastAsia="zh-CN"/>
              </w:rPr>
            </w:pPr>
            <w:r>
              <w:rPr>
                <w:rFonts w:hint="eastAsia" w:ascii="宋体" w:hAnsi="宋体" w:eastAsia="宋体" w:cs="宋体"/>
                <w:b w:val="0"/>
                <w:i w:val="0"/>
                <w:caps w:val="0"/>
                <w:color w:val="auto"/>
                <w:spacing w:val="0"/>
                <w:w w:val="100"/>
                <w:sz w:val="24"/>
                <w:highlight w:val="none"/>
                <w:lang w:val="zh-CN" w:eastAsia="zh-CN"/>
              </w:rPr>
              <w:t>不允许</w:t>
            </w:r>
          </w:p>
        </w:tc>
      </w:tr>
      <w:tr w14:paraId="7868F5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5184D34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16</w:t>
            </w:r>
          </w:p>
        </w:tc>
        <w:tc>
          <w:tcPr>
            <w:tcW w:w="3023" w:type="dxa"/>
            <w:vAlign w:val="center"/>
          </w:tcPr>
          <w:p w14:paraId="08DF1B4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偏离</w:t>
            </w:r>
          </w:p>
        </w:tc>
        <w:tc>
          <w:tcPr>
            <w:tcW w:w="6369" w:type="dxa"/>
            <w:vAlign w:val="center"/>
          </w:tcPr>
          <w:p w14:paraId="331F898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val="zh-CN" w:eastAsia="zh-CN"/>
              </w:rPr>
            </w:pPr>
            <w:r>
              <w:rPr>
                <w:rFonts w:hint="eastAsia" w:ascii="宋体" w:hAnsi="宋体" w:eastAsia="宋体" w:cs="宋体"/>
                <w:b w:val="0"/>
                <w:i w:val="0"/>
                <w:caps w:val="0"/>
                <w:color w:val="auto"/>
                <w:spacing w:val="0"/>
                <w:w w:val="100"/>
                <w:sz w:val="24"/>
                <w:highlight w:val="none"/>
                <w:lang w:val="zh-CN" w:eastAsia="zh-CN"/>
              </w:rPr>
              <w:t>不允许</w:t>
            </w:r>
          </w:p>
        </w:tc>
      </w:tr>
      <w:tr w14:paraId="1DE41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3110B237">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17</w:t>
            </w:r>
          </w:p>
        </w:tc>
        <w:tc>
          <w:tcPr>
            <w:tcW w:w="3023" w:type="dxa"/>
            <w:vAlign w:val="center"/>
          </w:tcPr>
          <w:p w14:paraId="1E4ECDD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构成磋商文件的</w:t>
            </w:r>
          </w:p>
          <w:p w14:paraId="562EFD4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其他材料</w:t>
            </w:r>
          </w:p>
        </w:tc>
        <w:tc>
          <w:tcPr>
            <w:tcW w:w="6369" w:type="dxa"/>
            <w:vAlign w:val="center"/>
          </w:tcPr>
          <w:p w14:paraId="0A3BAEB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val="zh-CN" w:eastAsia="zh-CN"/>
              </w:rPr>
            </w:pPr>
            <w:r>
              <w:rPr>
                <w:rFonts w:hint="eastAsia" w:ascii="宋体" w:hAnsi="宋体" w:eastAsia="宋体" w:cs="宋体"/>
                <w:b w:val="0"/>
                <w:i w:val="0"/>
                <w:caps w:val="0"/>
                <w:color w:val="auto"/>
                <w:spacing w:val="0"/>
                <w:w w:val="100"/>
                <w:sz w:val="24"/>
                <w:highlight w:val="none"/>
                <w:lang w:val="zh-CN" w:eastAsia="zh-CN"/>
              </w:rPr>
              <w:t>无</w:t>
            </w:r>
          </w:p>
        </w:tc>
      </w:tr>
      <w:tr w14:paraId="183DE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48" w:type="dxa"/>
            <w:vAlign w:val="center"/>
          </w:tcPr>
          <w:p w14:paraId="2F54CC4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18</w:t>
            </w:r>
          </w:p>
        </w:tc>
        <w:tc>
          <w:tcPr>
            <w:tcW w:w="3023" w:type="dxa"/>
            <w:vAlign w:val="center"/>
          </w:tcPr>
          <w:p w14:paraId="06271C6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磋商响应人要求澄清竞争性磋商文件的截止时间</w:t>
            </w:r>
          </w:p>
        </w:tc>
        <w:tc>
          <w:tcPr>
            <w:tcW w:w="6369" w:type="dxa"/>
            <w:vAlign w:val="center"/>
          </w:tcPr>
          <w:p w14:paraId="51391A17">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响应文件递交截止时间5日前</w:t>
            </w:r>
          </w:p>
        </w:tc>
      </w:tr>
      <w:tr w14:paraId="03A796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01560246">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19</w:t>
            </w:r>
          </w:p>
        </w:tc>
        <w:tc>
          <w:tcPr>
            <w:tcW w:w="3023" w:type="dxa"/>
            <w:vAlign w:val="center"/>
          </w:tcPr>
          <w:p w14:paraId="7684995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磋商时间</w:t>
            </w:r>
          </w:p>
        </w:tc>
        <w:tc>
          <w:tcPr>
            <w:tcW w:w="6369" w:type="dxa"/>
            <w:vAlign w:val="center"/>
          </w:tcPr>
          <w:p w14:paraId="2A61669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cs="宋体"/>
                <w:b w:val="0"/>
                <w:i w:val="0"/>
                <w:caps w:val="0"/>
                <w:color w:val="auto"/>
                <w:spacing w:val="0"/>
                <w:w w:val="100"/>
                <w:kern w:val="2"/>
                <w:sz w:val="24"/>
                <w:szCs w:val="24"/>
                <w:highlight w:val="none"/>
                <w:u w:val="none" w:color="auto"/>
                <w:lang w:val="zh-CN" w:eastAsia="zh-CN" w:bidi="ar-SA"/>
              </w:rPr>
              <w:t>2024年08月23日上午9:30（北京时间）</w:t>
            </w:r>
          </w:p>
        </w:tc>
      </w:tr>
      <w:tr w14:paraId="6534C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48" w:type="dxa"/>
            <w:vAlign w:val="center"/>
          </w:tcPr>
          <w:p w14:paraId="47CF9AB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20</w:t>
            </w:r>
          </w:p>
        </w:tc>
        <w:tc>
          <w:tcPr>
            <w:tcW w:w="3023" w:type="dxa"/>
            <w:vAlign w:val="center"/>
          </w:tcPr>
          <w:p w14:paraId="60A931A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磋商响应人确认收到竞争性磋商文件澄清的时间</w:t>
            </w:r>
          </w:p>
        </w:tc>
        <w:tc>
          <w:tcPr>
            <w:tcW w:w="6369" w:type="dxa"/>
            <w:vAlign w:val="center"/>
          </w:tcPr>
          <w:p w14:paraId="115B7A69">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在收到澄清文件后24小时内</w:t>
            </w:r>
          </w:p>
        </w:tc>
      </w:tr>
      <w:tr w14:paraId="589CE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48" w:type="dxa"/>
            <w:vAlign w:val="center"/>
          </w:tcPr>
          <w:p w14:paraId="109BFC1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w:t>
            </w:r>
          </w:p>
        </w:tc>
        <w:tc>
          <w:tcPr>
            <w:tcW w:w="3023" w:type="dxa"/>
            <w:vAlign w:val="center"/>
          </w:tcPr>
          <w:p w14:paraId="2602F27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磋商响应人确认收到竞争性磋商文件修改的时间</w:t>
            </w:r>
          </w:p>
        </w:tc>
        <w:tc>
          <w:tcPr>
            <w:tcW w:w="6369" w:type="dxa"/>
            <w:vAlign w:val="center"/>
          </w:tcPr>
          <w:p w14:paraId="39F19644">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在收到澄清文件后24小时内</w:t>
            </w:r>
          </w:p>
        </w:tc>
      </w:tr>
      <w:tr w14:paraId="47F24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8" w:hRule="atLeast"/>
          <w:jc w:val="center"/>
        </w:trPr>
        <w:tc>
          <w:tcPr>
            <w:tcW w:w="748" w:type="dxa"/>
            <w:vAlign w:val="center"/>
          </w:tcPr>
          <w:p w14:paraId="0D833D9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22</w:t>
            </w:r>
          </w:p>
        </w:tc>
        <w:tc>
          <w:tcPr>
            <w:tcW w:w="3023" w:type="dxa"/>
            <w:vAlign w:val="center"/>
          </w:tcPr>
          <w:p w14:paraId="18ACB7E1">
            <w:pPr>
              <w:numPr>
                <w:ilvl w:val="0"/>
                <w:numId w:val="0"/>
              </w:num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构成竞争性磋商文件的</w:t>
            </w:r>
          </w:p>
          <w:p w14:paraId="4483B707">
            <w:pPr>
              <w:numPr>
                <w:ilvl w:val="0"/>
                <w:numId w:val="0"/>
              </w:num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其他材料</w:t>
            </w:r>
          </w:p>
        </w:tc>
        <w:tc>
          <w:tcPr>
            <w:tcW w:w="6369" w:type="dxa"/>
            <w:vAlign w:val="center"/>
          </w:tcPr>
          <w:p w14:paraId="3AC42D66">
            <w:pPr>
              <w:numPr>
                <w:ilvl w:val="0"/>
                <w:numId w:val="4"/>
              </w:num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eastAsia="zh-CN"/>
              </w:rPr>
            </w:pPr>
            <w:r>
              <w:rPr>
                <w:rFonts w:hint="eastAsia" w:ascii="宋体" w:hAnsi="宋体" w:eastAsia="宋体" w:cs="宋体"/>
                <w:b w:val="0"/>
                <w:i w:val="0"/>
                <w:caps w:val="0"/>
                <w:color w:val="auto"/>
                <w:spacing w:val="0"/>
                <w:w w:val="100"/>
                <w:sz w:val="24"/>
                <w:highlight w:val="none"/>
              </w:rPr>
              <w:t>磋商响应人的书面澄清、说明和通知（但不得改变响应文件的实质性内容）</w:t>
            </w:r>
            <w:r>
              <w:rPr>
                <w:rFonts w:hint="eastAsia" w:ascii="宋体" w:hAnsi="宋体" w:eastAsia="宋体" w:cs="宋体"/>
                <w:b w:val="0"/>
                <w:i w:val="0"/>
                <w:caps w:val="0"/>
                <w:color w:val="auto"/>
                <w:spacing w:val="0"/>
                <w:w w:val="100"/>
                <w:sz w:val="24"/>
                <w:highlight w:val="none"/>
                <w:lang w:eastAsia="zh-CN"/>
              </w:rPr>
              <w:t>；</w:t>
            </w:r>
          </w:p>
          <w:p w14:paraId="617BD4F2">
            <w:pPr>
              <w:numPr>
                <w:ilvl w:val="0"/>
                <w:numId w:val="4"/>
              </w:num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eastAsia="zh-CN"/>
              </w:rPr>
            </w:pPr>
            <w:r>
              <w:rPr>
                <w:rFonts w:hint="eastAsia" w:ascii="宋体" w:hAnsi="宋体" w:eastAsia="宋体" w:cs="宋体"/>
                <w:b w:val="0"/>
                <w:i w:val="0"/>
                <w:caps w:val="0"/>
                <w:color w:val="auto"/>
                <w:spacing w:val="0"/>
                <w:w w:val="100"/>
                <w:sz w:val="24"/>
                <w:highlight w:val="none"/>
                <w:lang w:val="zh-CN" w:eastAsia="zh-CN"/>
              </w:rPr>
              <w:t>近半年内任意</w:t>
            </w:r>
            <w:r>
              <w:rPr>
                <w:rFonts w:hint="eastAsia" w:ascii="宋体" w:hAnsi="宋体" w:cs="宋体"/>
                <w:b w:val="0"/>
                <w:i w:val="0"/>
                <w:caps w:val="0"/>
                <w:color w:val="auto"/>
                <w:spacing w:val="0"/>
                <w:w w:val="100"/>
                <w:sz w:val="24"/>
                <w:highlight w:val="none"/>
                <w:lang w:val="en-US" w:eastAsia="zh-CN"/>
              </w:rPr>
              <w:t>一</w:t>
            </w:r>
            <w:r>
              <w:rPr>
                <w:rFonts w:hint="eastAsia" w:ascii="宋体" w:hAnsi="宋体" w:eastAsia="宋体" w:cs="宋体"/>
                <w:b w:val="0"/>
                <w:i w:val="0"/>
                <w:caps w:val="0"/>
                <w:color w:val="auto"/>
                <w:spacing w:val="0"/>
                <w:w w:val="100"/>
                <w:sz w:val="24"/>
                <w:highlight w:val="none"/>
                <w:lang w:val="zh-CN" w:eastAsia="zh-CN"/>
              </w:rPr>
              <w:t>个月依法缴纳税收和近半年内任意</w:t>
            </w:r>
            <w:r>
              <w:rPr>
                <w:rFonts w:hint="eastAsia" w:ascii="宋体" w:hAnsi="宋体" w:cs="宋体"/>
                <w:b w:val="0"/>
                <w:i w:val="0"/>
                <w:caps w:val="0"/>
                <w:color w:val="auto"/>
                <w:spacing w:val="0"/>
                <w:w w:val="100"/>
                <w:sz w:val="24"/>
                <w:highlight w:val="none"/>
                <w:lang w:val="en-US" w:eastAsia="zh-CN"/>
              </w:rPr>
              <w:t>一</w:t>
            </w:r>
            <w:r>
              <w:rPr>
                <w:rFonts w:hint="eastAsia" w:ascii="宋体" w:hAnsi="宋体" w:eastAsia="宋体" w:cs="宋体"/>
                <w:b w:val="0"/>
                <w:i w:val="0"/>
                <w:caps w:val="0"/>
                <w:color w:val="auto"/>
                <w:spacing w:val="0"/>
                <w:w w:val="100"/>
                <w:sz w:val="24"/>
                <w:highlight w:val="none"/>
                <w:lang w:val="zh-CN" w:eastAsia="zh-CN"/>
              </w:rPr>
              <w:t>个月内社会保障资金记录的证明材料；依法免税或不需要缴纳社会保障资金的投标人须提供相应文件证明其依法免税或不需要缴纳社会保障资金。</w:t>
            </w:r>
          </w:p>
        </w:tc>
      </w:tr>
      <w:tr w14:paraId="5FF7C3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0A081AB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23</w:t>
            </w:r>
          </w:p>
        </w:tc>
        <w:tc>
          <w:tcPr>
            <w:tcW w:w="3023" w:type="dxa"/>
            <w:vAlign w:val="center"/>
          </w:tcPr>
          <w:p w14:paraId="7954A73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bookmarkStart w:id="16" w:name="_Toc488673624"/>
            <w:r>
              <w:rPr>
                <w:rFonts w:hint="eastAsia" w:ascii="宋体" w:hAnsi="宋体" w:eastAsia="宋体" w:cs="宋体"/>
                <w:b w:val="0"/>
                <w:bCs/>
                <w:i w:val="0"/>
                <w:caps w:val="0"/>
                <w:color w:val="auto"/>
                <w:spacing w:val="0"/>
                <w:w w:val="100"/>
                <w:sz w:val="24"/>
                <w:highlight w:val="none"/>
              </w:rPr>
              <w:t>磋商有效期</w:t>
            </w:r>
            <w:bookmarkEnd w:id="16"/>
          </w:p>
        </w:tc>
        <w:tc>
          <w:tcPr>
            <w:tcW w:w="6369" w:type="dxa"/>
            <w:vAlign w:val="center"/>
          </w:tcPr>
          <w:p w14:paraId="48DAF6F8">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本次磋商有效期为自磋商之日起</w:t>
            </w:r>
            <w:r>
              <w:rPr>
                <w:rFonts w:hint="eastAsia" w:ascii="宋体" w:hAnsi="宋体" w:eastAsia="宋体" w:cs="宋体"/>
                <w:b w:val="0"/>
                <w:i w:val="0"/>
                <w:caps w:val="0"/>
                <w:color w:val="auto"/>
                <w:spacing w:val="0"/>
                <w:w w:val="100"/>
                <w:sz w:val="24"/>
                <w:szCs w:val="24"/>
                <w:highlight w:val="none"/>
                <w:lang w:val="en-US" w:eastAsia="zh-CN"/>
              </w:rPr>
              <w:t>90</w:t>
            </w:r>
            <w:r>
              <w:rPr>
                <w:rFonts w:hint="eastAsia" w:ascii="宋体" w:hAnsi="宋体" w:eastAsia="宋体" w:cs="宋体"/>
                <w:b w:val="0"/>
                <w:i w:val="0"/>
                <w:caps w:val="0"/>
                <w:color w:val="auto"/>
                <w:spacing w:val="0"/>
                <w:w w:val="100"/>
                <w:sz w:val="24"/>
                <w:szCs w:val="24"/>
                <w:highlight w:val="none"/>
              </w:rPr>
              <w:t>个日历日</w:t>
            </w:r>
          </w:p>
        </w:tc>
      </w:tr>
      <w:tr w14:paraId="7F58A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1" w:hRule="atLeast"/>
          <w:jc w:val="center"/>
        </w:trPr>
        <w:tc>
          <w:tcPr>
            <w:tcW w:w="748" w:type="dxa"/>
            <w:vAlign w:val="center"/>
          </w:tcPr>
          <w:p w14:paraId="5D4E8A0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24</w:t>
            </w:r>
          </w:p>
        </w:tc>
        <w:tc>
          <w:tcPr>
            <w:tcW w:w="3023" w:type="dxa"/>
            <w:vAlign w:val="center"/>
          </w:tcPr>
          <w:p w14:paraId="4A96DA2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磋商保证金</w:t>
            </w:r>
          </w:p>
        </w:tc>
        <w:tc>
          <w:tcPr>
            <w:tcW w:w="6369" w:type="dxa"/>
            <w:vAlign w:val="center"/>
          </w:tcPr>
          <w:p w14:paraId="71E21D3B">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szCs w:val="24"/>
                <w:highlight w:val="none"/>
              </w:rPr>
              <w:t>磋商人须在磋商截止期前按以下要求交纳磋商保证金</w:t>
            </w:r>
            <w:r>
              <w:rPr>
                <w:rFonts w:hint="eastAsia" w:ascii="宋体" w:hAnsi="宋体" w:eastAsia="宋体" w:cs="宋体"/>
                <w:b w:val="0"/>
                <w:i w:val="0"/>
                <w:caps w:val="0"/>
                <w:color w:val="auto"/>
                <w:spacing w:val="0"/>
                <w:w w:val="100"/>
                <w:sz w:val="24"/>
                <w:highlight w:val="none"/>
              </w:rPr>
              <w:t>：</w:t>
            </w:r>
          </w:p>
          <w:p w14:paraId="313E942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both"/>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（大写）：</w:t>
            </w:r>
            <w:r>
              <w:rPr>
                <w:rFonts w:hint="eastAsia" w:ascii="宋体" w:hAnsi="宋体" w:cs="宋体"/>
                <w:b w:val="0"/>
                <w:i w:val="0"/>
                <w:caps w:val="0"/>
                <w:color w:val="auto"/>
                <w:spacing w:val="0"/>
                <w:w w:val="100"/>
                <w:sz w:val="24"/>
                <w:highlight w:val="none"/>
                <w:lang w:val="en-US" w:eastAsia="zh-CN"/>
              </w:rPr>
              <w:t>贰万元整</w:t>
            </w:r>
            <w:r>
              <w:rPr>
                <w:rFonts w:hint="eastAsia" w:ascii="宋体" w:hAnsi="宋体" w:eastAsia="宋体" w:cs="宋体"/>
                <w:b w:val="0"/>
                <w:i w:val="0"/>
                <w:caps w:val="0"/>
                <w:color w:val="auto"/>
                <w:spacing w:val="0"/>
                <w:w w:val="100"/>
                <w:sz w:val="24"/>
                <w:highlight w:val="none"/>
              </w:rPr>
              <w:t>；</w:t>
            </w:r>
          </w:p>
          <w:p w14:paraId="0F85888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（小写）：</w:t>
            </w:r>
            <w:r>
              <w:rPr>
                <w:rFonts w:hint="eastAsia" w:ascii="宋体" w:hAnsi="宋体" w:cs="宋体"/>
                <w:b w:val="0"/>
                <w:i w:val="0"/>
                <w:caps w:val="0"/>
                <w:color w:val="auto"/>
                <w:spacing w:val="0"/>
                <w:w w:val="100"/>
                <w:sz w:val="24"/>
                <w:highlight w:val="none"/>
                <w:lang w:val="en-US" w:eastAsia="zh-CN"/>
              </w:rPr>
              <w:t>20000</w:t>
            </w:r>
            <w:r>
              <w:rPr>
                <w:rFonts w:hint="eastAsia" w:ascii="宋体" w:hAnsi="宋体" w:eastAsia="宋体" w:cs="宋体"/>
                <w:b w:val="0"/>
                <w:i w:val="0"/>
                <w:caps w:val="0"/>
                <w:color w:val="auto"/>
                <w:spacing w:val="0"/>
                <w:w w:val="100"/>
                <w:sz w:val="24"/>
                <w:highlight w:val="none"/>
                <w:lang w:val="en-US" w:eastAsia="zh-CN"/>
              </w:rPr>
              <w:t>.00</w:t>
            </w:r>
            <w:r>
              <w:rPr>
                <w:rFonts w:hint="eastAsia" w:ascii="宋体" w:hAnsi="宋体" w:eastAsia="宋体" w:cs="宋体"/>
                <w:b w:val="0"/>
                <w:i w:val="0"/>
                <w:caps w:val="0"/>
                <w:color w:val="auto"/>
                <w:spacing w:val="0"/>
                <w:w w:val="100"/>
                <w:sz w:val="24"/>
                <w:highlight w:val="none"/>
              </w:rPr>
              <w:t>元</w:t>
            </w:r>
          </w:p>
          <w:p w14:paraId="6277B4C1">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缴纳磋商保证金时须注明此次</w:t>
            </w:r>
            <w:r>
              <w:rPr>
                <w:rFonts w:hint="eastAsia" w:ascii="宋体" w:hAnsi="宋体" w:cs="宋体"/>
                <w:b w:val="0"/>
                <w:bCs/>
                <w:i w:val="0"/>
                <w:caps w:val="0"/>
                <w:color w:val="auto"/>
                <w:spacing w:val="0"/>
                <w:w w:val="100"/>
                <w:sz w:val="24"/>
                <w:highlight w:val="none"/>
                <w:lang w:eastAsia="zh-CN"/>
              </w:rPr>
              <w:t>项目编号</w:t>
            </w:r>
            <w:r>
              <w:rPr>
                <w:rFonts w:hint="eastAsia" w:ascii="宋体" w:hAnsi="宋体" w:eastAsia="宋体" w:cs="宋体"/>
                <w:b w:val="0"/>
                <w:bCs/>
                <w:i w:val="0"/>
                <w:caps w:val="0"/>
                <w:color w:val="auto"/>
                <w:spacing w:val="0"/>
                <w:w w:val="100"/>
                <w:sz w:val="24"/>
                <w:highlight w:val="none"/>
              </w:rPr>
              <w:t>及项目名称（可简写）</w:t>
            </w:r>
          </w:p>
          <w:p w14:paraId="75B3FBAF">
            <w:pPr>
              <w:snapToGrid w:val="0"/>
              <w:spacing w:before="0" w:beforeAutospacing="0" w:after="0" w:afterAutospacing="0" w:line="360" w:lineRule="auto"/>
              <w:jc w:val="both"/>
              <w:textAlignment w:val="baseline"/>
              <w:rPr>
                <w:rFonts w:hint="eastAsia" w:ascii="宋体" w:hAnsi="宋体" w:eastAsia="宋体" w:cs="宋体"/>
                <w:b/>
                <w:bCs w:val="0"/>
                <w:i w:val="0"/>
                <w:caps w:val="0"/>
                <w:color w:val="auto"/>
                <w:spacing w:val="0"/>
                <w:w w:val="100"/>
                <w:sz w:val="24"/>
                <w:szCs w:val="24"/>
                <w:highlight w:val="none"/>
                <w:lang w:val="en-US" w:eastAsia="zh-CN"/>
              </w:rPr>
            </w:pPr>
            <w:r>
              <w:rPr>
                <w:rFonts w:hint="eastAsia" w:ascii="宋体" w:hAnsi="宋体" w:eastAsia="宋体" w:cs="宋体"/>
                <w:b/>
                <w:bCs w:val="0"/>
                <w:i w:val="0"/>
                <w:caps w:val="0"/>
                <w:color w:val="auto"/>
                <w:spacing w:val="0"/>
                <w:w w:val="100"/>
                <w:sz w:val="24"/>
                <w:szCs w:val="24"/>
                <w:highlight w:val="none"/>
                <w:lang w:val="en-US" w:eastAsia="zh-CN"/>
              </w:rPr>
              <w:t>收款单位：青海佳荣工程项目管理有限公司</w:t>
            </w:r>
          </w:p>
          <w:p w14:paraId="5AA55FDE">
            <w:pPr>
              <w:snapToGrid w:val="0"/>
              <w:spacing w:before="0" w:beforeAutospacing="0" w:after="0" w:afterAutospacing="0" w:line="360" w:lineRule="auto"/>
              <w:jc w:val="both"/>
              <w:textAlignment w:val="baseline"/>
              <w:rPr>
                <w:rFonts w:hint="eastAsia" w:ascii="宋体" w:hAnsi="宋体" w:eastAsia="宋体" w:cs="宋体"/>
                <w:b/>
                <w:bCs w:val="0"/>
                <w:i w:val="0"/>
                <w:caps w:val="0"/>
                <w:color w:val="auto"/>
                <w:spacing w:val="0"/>
                <w:w w:val="100"/>
                <w:sz w:val="24"/>
                <w:szCs w:val="24"/>
                <w:highlight w:val="none"/>
                <w:lang w:val="en-US" w:eastAsia="zh-CN"/>
              </w:rPr>
            </w:pPr>
            <w:r>
              <w:rPr>
                <w:rFonts w:hint="eastAsia" w:ascii="宋体" w:hAnsi="宋体" w:eastAsia="宋体" w:cs="宋体"/>
                <w:b/>
                <w:bCs w:val="0"/>
                <w:i w:val="0"/>
                <w:caps w:val="0"/>
                <w:color w:val="auto"/>
                <w:spacing w:val="0"/>
                <w:w w:val="100"/>
                <w:sz w:val="24"/>
                <w:szCs w:val="24"/>
                <w:highlight w:val="none"/>
                <w:lang w:val="en-US" w:eastAsia="zh-CN"/>
              </w:rPr>
              <w:t>开 户 行：中信银行股份有限公司西宁西大街支行</w:t>
            </w:r>
          </w:p>
          <w:p w14:paraId="229F790A">
            <w:pPr>
              <w:snapToGrid w:val="0"/>
              <w:spacing w:before="0" w:beforeAutospacing="0" w:after="0" w:afterAutospacing="0" w:line="360" w:lineRule="auto"/>
              <w:jc w:val="both"/>
              <w:textAlignment w:val="baseline"/>
              <w:rPr>
                <w:rFonts w:hint="eastAsia" w:ascii="宋体" w:hAnsi="宋体" w:eastAsia="宋体" w:cs="宋体"/>
                <w:b/>
                <w:bCs w:val="0"/>
                <w:i w:val="0"/>
                <w:caps w:val="0"/>
                <w:color w:val="auto"/>
                <w:spacing w:val="0"/>
                <w:w w:val="100"/>
                <w:sz w:val="24"/>
                <w:szCs w:val="24"/>
                <w:highlight w:val="none"/>
                <w:lang w:val="en-US" w:eastAsia="zh-CN"/>
              </w:rPr>
            </w:pPr>
            <w:r>
              <w:rPr>
                <w:rFonts w:hint="eastAsia" w:ascii="宋体" w:hAnsi="宋体" w:eastAsia="宋体" w:cs="宋体"/>
                <w:b/>
                <w:bCs w:val="0"/>
                <w:i w:val="0"/>
                <w:caps w:val="0"/>
                <w:color w:val="auto"/>
                <w:spacing w:val="0"/>
                <w:w w:val="100"/>
                <w:sz w:val="24"/>
                <w:szCs w:val="24"/>
                <w:highlight w:val="none"/>
                <w:lang w:val="en-US" w:eastAsia="zh-CN"/>
              </w:rPr>
              <w:t>银行账号：7590310182600006837</w:t>
            </w:r>
          </w:p>
          <w:p w14:paraId="506DE965">
            <w:pPr>
              <w:numPr>
                <w:ilvl w:val="0"/>
                <w:numId w:val="0"/>
              </w:numPr>
              <w:snapToGrid w:val="0"/>
              <w:spacing w:before="0" w:beforeAutospacing="0" w:after="0" w:afterAutospacing="0" w:line="360" w:lineRule="auto"/>
              <w:jc w:val="both"/>
              <w:textAlignment w:val="baseline"/>
              <w:rPr>
                <w:rFonts w:hint="eastAsia" w:ascii="宋体" w:hAnsi="宋体" w:eastAsia="宋体" w:cs="宋体"/>
                <w:b w:val="0"/>
                <w:bCs/>
                <w:i w:val="0"/>
                <w:caps w:val="0"/>
                <w:color w:val="auto"/>
                <w:spacing w:val="0"/>
                <w:w w:val="100"/>
                <w:sz w:val="24"/>
                <w:szCs w:val="24"/>
                <w:highlight w:val="none"/>
              </w:rPr>
            </w:pPr>
            <w:r>
              <w:rPr>
                <w:rFonts w:hint="eastAsia" w:ascii="宋体" w:hAnsi="宋体" w:eastAsia="宋体" w:cs="宋体"/>
                <w:b w:val="0"/>
                <w:bCs/>
                <w:i w:val="0"/>
                <w:caps w:val="0"/>
                <w:color w:val="auto"/>
                <w:spacing w:val="0"/>
                <w:w w:val="100"/>
                <w:sz w:val="24"/>
                <w:szCs w:val="24"/>
                <w:highlight w:val="none"/>
                <w:lang w:val="en-US" w:eastAsia="zh-CN"/>
              </w:rPr>
              <w:t>（1）</w:t>
            </w:r>
            <w:r>
              <w:rPr>
                <w:rFonts w:hint="eastAsia" w:ascii="宋体" w:hAnsi="宋体" w:cs="宋体"/>
                <w:b w:val="0"/>
                <w:bCs/>
                <w:i w:val="0"/>
                <w:caps w:val="0"/>
                <w:color w:val="auto"/>
                <w:spacing w:val="0"/>
                <w:w w:val="100"/>
                <w:sz w:val="24"/>
                <w:szCs w:val="24"/>
                <w:highlight w:val="none"/>
                <w:lang w:val="en-US" w:eastAsia="zh-CN"/>
              </w:rPr>
              <w:t>磋商保证金缴纳时间以响应文件递交截止时间前，</w:t>
            </w:r>
            <w:r>
              <w:rPr>
                <w:rFonts w:hint="eastAsia" w:ascii="宋体" w:hAnsi="宋体" w:eastAsia="宋体" w:cs="宋体"/>
                <w:b w:val="0"/>
                <w:bCs/>
                <w:i w:val="0"/>
                <w:caps w:val="0"/>
                <w:color w:val="auto"/>
                <w:spacing w:val="0"/>
                <w:w w:val="100"/>
                <w:sz w:val="24"/>
                <w:szCs w:val="24"/>
                <w:highlight w:val="none"/>
              </w:rPr>
              <w:t>不接受个人名义或现金形式递交的保证金，磋商</w:t>
            </w:r>
            <w:r>
              <w:rPr>
                <w:rFonts w:hint="eastAsia" w:ascii="宋体" w:hAnsi="宋体" w:eastAsia="宋体" w:cs="宋体"/>
                <w:b w:val="0"/>
                <w:bCs/>
                <w:i w:val="0"/>
                <w:caps w:val="0"/>
                <w:color w:val="auto"/>
                <w:spacing w:val="0"/>
                <w:w w:val="100"/>
                <w:sz w:val="24"/>
                <w:szCs w:val="24"/>
                <w:highlight w:val="none"/>
                <w:lang w:eastAsia="zh-CN"/>
              </w:rPr>
              <w:t>响应人</w:t>
            </w:r>
            <w:r>
              <w:rPr>
                <w:rFonts w:hint="eastAsia" w:ascii="宋体" w:hAnsi="宋体" w:eastAsia="宋体" w:cs="宋体"/>
                <w:b w:val="0"/>
                <w:bCs/>
                <w:i w:val="0"/>
                <w:caps w:val="0"/>
                <w:color w:val="auto"/>
                <w:spacing w:val="0"/>
                <w:w w:val="100"/>
                <w:sz w:val="24"/>
                <w:szCs w:val="24"/>
                <w:highlight w:val="none"/>
              </w:rPr>
              <w:t>应该单独提交磋商保证金；</w:t>
            </w:r>
          </w:p>
          <w:p w14:paraId="46B1E0BB">
            <w:pPr>
              <w:numPr>
                <w:ilvl w:val="0"/>
                <w:numId w:val="0"/>
              </w:numPr>
              <w:snapToGrid w:val="0"/>
              <w:spacing w:before="0" w:beforeAutospacing="0" w:after="0" w:afterAutospacing="0" w:line="360" w:lineRule="auto"/>
              <w:jc w:val="both"/>
              <w:textAlignment w:val="baseline"/>
              <w:rPr>
                <w:rFonts w:hint="eastAsia" w:ascii="宋体" w:hAnsi="宋体" w:eastAsia="宋体" w:cs="宋体"/>
                <w:b w:val="0"/>
                <w:bCs/>
                <w:i w:val="0"/>
                <w:caps w:val="0"/>
                <w:color w:val="auto"/>
                <w:spacing w:val="0"/>
                <w:w w:val="100"/>
                <w:sz w:val="24"/>
                <w:szCs w:val="24"/>
                <w:highlight w:val="none"/>
                <w:lang w:eastAsia="zh-CN"/>
              </w:rPr>
            </w:pPr>
            <w:r>
              <w:rPr>
                <w:rFonts w:hint="eastAsia" w:ascii="宋体" w:hAnsi="宋体" w:cs="宋体"/>
                <w:b w:val="0"/>
                <w:bCs/>
                <w:i w:val="0"/>
                <w:caps w:val="0"/>
                <w:color w:val="auto"/>
                <w:spacing w:val="0"/>
                <w:w w:val="100"/>
                <w:sz w:val="24"/>
                <w:szCs w:val="24"/>
                <w:highlight w:val="none"/>
                <w:lang w:eastAsia="zh-CN"/>
              </w:rPr>
              <w:t>（</w:t>
            </w:r>
            <w:r>
              <w:rPr>
                <w:rFonts w:hint="eastAsia" w:ascii="宋体" w:hAnsi="宋体" w:cs="宋体"/>
                <w:b w:val="0"/>
                <w:bCs/>
                <w:i w:val="0"/>
                <w:caps w:val="0"/>
                <w:color w:val="auto"/>
                <w:spacing w:val="0"/>
                <w:w w:val="100"/>
                <w:sz w:val="24"/>
                <w:szCs w:val="24"/>
                <w:highlight w:val="none"/>
                <w:lang w:val="en-US" w:eastAsia="zh-CN"/>
              </w:rPr>
              <w:t>2</w:t>
            </w:r>
            <w:r>
              <w:rPr>
                <w:rFonts w:hint="eastAsia" w:ascii="宋体" w:hAnsi="宋体" w:cs="宋体"/>
                <w:b w:val="0"/>
                <w:bCs/>
                <w:i w:val="0"/>
                <w:caps w:val="0"/>
                <w:color w:val="auto"/>
                <w:spacing w:val="0"/>
                <w:w w:val="100"/>
                <w:sz w:val="24"/>
                <w:szCs w:val="24"/>
                <w:highlight w:val="none"/>
                <w:lang w:eastAsia="zh-CN"/>
              </w:rPr>
              <w:t>）</w:t>
            </w:r>
            <w:r>
              <w:rPr>
                <w:rFonts w:hint="eastAsia" w:ascii="宋体" w:hAnsi="宋体" w:eastAsia="宋体" w:cs="宋体"/>
                <w:b w:val="0"/>
                <w:bCs/>
                <w:i w:val="0"/>
                <w:caps w:val="0"/>
                <w:color w:val="auto"/>
                <w:spacing w:val="0"/>
                <w:w w:val="100"/>
                <w:sz w:val="24"/>
                <w:szCs w:val="24"/>
                <w:highlight w:val="none"/>
              </w:rPr>
              <w:t>投标保证金应当以支票、汇票、本票或者金融机构、担保机构出具的保函等非现金形式提交。通过银行转账的，必须由投标人从其基本账户（包括开户许可证复印件或基本账户开户信息）汇（转）</w:t>
            </w:r>
            <w:r>
              <w:rPr>
                <w:rFonts w:hint="eastAsia" w:ascii="宋体" w:hAnsi="宋体" w:eastAsia="宋体" w:cs="宋体"/>
                <w:b w:val="0"/>
                <w:bCs/>
                <w:i w:val="0"/>
                <w:caps w:val="0"/>
                <w:color w:val="auto"/>
                <w:spacing w:val="0"/>
                <w:w w:val="100"/>
                <w:sz w:val="24"/>
                <w:szCs w:val="24"/>
                <w:highlight w:val="none"/>
                <w:lang w:eastAsia="zh-CN"/>
              </w:rPr>
              <w:t>至磋商文件规定账户；</w:t>
            </w:r>
            <w:r>
              <w:rPr>
                <w:rFonts w:hint="eastAsia" w:ascii="宋体" w:hAnsi="宋体" w:eastAsia="宋体" w:cs="宋体"/>
                <w:b w:val="0"/>
                <w:bCs/>
                <w:i w:val="0"/>
                <w:caps w:val="0"/>
                <w:color w:val="auto"/>
                <w:spacing w:val="0"/>
                <w:w w:val="100"/>
                <w:sz w:val="24"/>
                <w:szCs w:val="24"/>
                <w:highlight w:val="none"/>
              </w:rPr>
              <w:t>磋商保证金必须从企业基本账户中支付，磋商响应文件中须附企业</w:t>
            </w:r>
            <w:r>
              <w:rPr>
                <w:rFonts w:hint="eastAsia" w:ascii="宋体" w:hAnsi="宋体" w:eastAsia="宋体" w:cs="宋体"/>
                <w:b w:val="0"/>
                <w:bCs/>
                <w:i w:val="0"/>
                <w:caps w:val="0"/>
                <w:color w:val="auto"/>
                <w:spacing w:val="0"/>
                <w:w w:val="100"/>
                <w:sz w:val="24"/>
                <w:szCs w:val="24"/>
                <w:highlight w:val="none"/>
                <w:lang w:eastAsia="zh-CN"/>
              </w:rPr>
              <w:t>基本账户信息</w:t>
            </w:r>
            <w:r>
              <w:rPr>
                <w:rFonts w:hint="eastAsia" w:ascii="宋体" w:hAnsi="宋体" w:cs="宋体"/>
                <w:b w:val="0"/>
                <w:bCs/>
                <w:i w:val="0"/>
                <w:caps w:val="0"/>
                <w:color w:val="auto"/>
                <w:spacing w:val="0"/>
                <w:w w:val="100"/>
                <w:sz w:val="24"/>
                <w:szCs w:val="24"/>
                <w:highlight w:val="none"/>
                <w:lang w:eastAsia="zh-CN"/>
              </w:rPr>
              <w:t>；</w:t>
            </w:r>
          </w:p>
          <w:p w14:paraId="4305D9E6">
            <w:pPr>
              <w:numPr>
                <w:ilvl w:val="0"/>
                <w:numId w:val="0"/>
              </w:numPr>
              <w:snapToGrid w:val="0"/>
              <w:spacing w:before="0" w:beforeAutospacing="0" w:after="0" w:afterAutospacing="0" w:line="360" w:lineRule="auto"/>
              <w:jc w:val="both"/>
              <w:textAlignment w:val="baseline"/>
              <w:rPr>
                <w:rFonts w:hint="eastAsia" w:ascii="宋体" w:hAnsi="宋体" w:eastAsia="宋体" w:cs="宋体"/>
                <w:b w:val="0"/>
                <w:bCs/>
                <w:i w:val="0"/>
                <w:caps w:val="0"/>
                <w:color w:val="auto"/>
                <w:spacing w:val="0"/>
                <w:w w:val="100"/>
                <w:sz w:val="24"/>
                <w:szCs w:val="24"/>
                <w:highlight w:val="none"/>
                <w:lang w:eastAsia="zh-CN"/>
              </w:rPr>
            </w:pPr>
            <w:r>
              <w:rPr>
                <w:rFonts w:hint="eastAsia" w:ascii="宋体" w:hAnsi="宋体" w:eastAsia="宋体" w:cs="宋体"/>
                <w:b w:val="0"/>
                <w:bCs/>
                <w:i w:val="0"/>
                <w:caps w:val="0"/>
                <w:color w:val="auto"/>
                <w:spacing w:val="0"/>
                <w:w w:val="100"/>
                <w:sz w:val="24"/>
                <w:szCs w:val="24"/>
                <w:highlight w:val="none"/>
                <w:lang w:val="en-US" w:eastAsia="zh-CN"/>
              </w:rPr>
              <w:t>（3）</w:t>
            </w:r>
            <w:r>
              <w:rPr>
                <w:rFonts w:hint="eastAsia" w:ascii="宋体" w:hAnsi="宋体" w:eastAsia="宋体" w:cs="宋体"/>
                <w:b w:val="0"/>
                <w:bCs/>
                <w:i w:val="0"/>
                <w:caps w:val="0"/>
                <w:color w:val="auto"/>
                <w:spacing w:val="0"/>
                <w:w w:val="100"/>
                <w:sz w:val="24"/>
                <w:szCs w:val="24"/>
                <w:highlight w:val="none"/>
              </w:rPr>
              <w:t>磋商</w:t>
            </w:r>
            <w:r>
              <w:rPr>
                <w:rFonts w:hint="eastAsia" w:ascii="宋体" w:hAnsi="宋体" w:eastAsia="宋体" w:cs="宋体"/>
                <w:b w:val="0"/>
                <w:bCs/>
                <w:i w:val="0"/>
                <w:caps w:val="0"/>
                <w:color w:val="auto"/>
                <w:spacing w:val="0"/>
                <w:w w:val="100"/>
                <w:sz w:val="24"/>
                <w:szCs w:val="24"/>
                <w:highlight w:val="none"/>
                <w:lang w:eastAsia="zh-CN"/>
              </w:rPr>
              <w:t>响应人</w:t>
            </w:r>
            <w:r>
              <w:rPr>
                <w:rFonts w:hint="eastAsia" w:ascii="宋体" w:hAnsi="宋体" w:eastAsia="宋体" w:cs="宋体"/>
                <w:b w:val="0"/>
                <w:bCs/>
                <w:i w:val="0"/>
                <w:caps w:val="0"/>
                <w:color w:val="auto"/>
                <w:spacing w:val="0"/>
                <w:w w:val="100"/>
                <w:sz w:val="24"/>
                <w:szCs w:val="24"/>
                <w:highlight w:val="none"/>
              </w:rPr>
              <w:t>未按磋商文件要求交纳磋商保证金的，招代理机构将拒绝接收磋商</w:t>
            </w:r>
            <w:r>
              <w:rPr>
                <w:rFonts w:hint="eastAsia" w:ascii="宋体" w:hAnsi="宋体" w:eastAsia="宋体" w:cs="宋体"/>
                <w:b w:val="0"/>
                <w:bCs/>
                <w:i w:val="0"/>
                <w:caps w:val="0"/>
                <w:color w:val="auto"/>
                <w:spacing w:val="0"/>
                <w:w w:val="100"/>
                <w:sz w:val="24"/>
                <w:szCs w:val="24"/>
                <w:highlight w:val="none"/>
                <w:lang w:eastAsia="zh-CN"/>
              </w:rPr>
              <w:t>响应人</w:t>
            </w:r>
            <w:r>
              <w:rPr>
                <w:rFonts w:hint="eastAsia" w:ascii="宋体" w:hAnsi="宋体" w:eastAsia="宋体" w:cs="宋体"/>
                <w:b w:val="0"/>
                <w:bCs/>
                <w:i w:val="0"/>
                <w:caps w:val="0"/>
                <w:color w:val="auto"/>
                <w:spacing w:val="0"/>
                <w:w w:val="100"/>
                <w:sz w:val="24"/>
                <w:szCs w:val="24"/>
                <w:highlight w:val="none"/>
              </w:rPr>
              <w:t>的磋商响应文件</w:t>
            </w:r>
            <w:r>
              <w:rPr>
                <w:rFonts w:hint="eastAsia" w:ascii="宋体" w:hAnsi="宋体" w:cs="宋体"/>
                <w:b w:val="0"/>
                <w:bCs/>
                <w:i w:val="0"/>
                <w:caps w:val="0"/>
                <w:color w:val="auto"/>
                <w:spacing w:val="0"/>
                <w:w w:val="100"/>
                <w:sz w:val="24"/>
                <w:szCs w:val="24"/>
                <w:highlight w:val="none"/>
                <w:lang w:eastAsia="zh-CN"/>
              </w:rPr>
              <w:t>；</w:t>
            </w:r>
          </w:p>
          <w:p w14:paraId="2B0B1B70">
            <w:pPr>
              <w:numPr>
                <w:ilvl w:val="0"/>
                <w:numId w:val="0"/>
              </w:numPr>
              <w:snapToGrid w:val="0"/>
              <w:spacing w:before="0" w:beforeAutospacing="0" w:after="0" w:afterAutospacing="0" w:line="360" w:lineRule="auto"/>
              <w:jc w:val="both"/>
              <w:textAlignment w:val="baseline"/>
              <w:rPr>
                <w:rFonts w:hint="eastAsia" w:ascii="宋体" w:hAnsi="宋体" w:eastAsia="宋体" w:cs="宋体"/>
                <w:b w:val="0"/>
                <w:bCs/>
                <w:i w:val="0"/>
                <w:caps w:val="0"/>
                <w:color w:val="auto"/>
                <w:spacing w:val="0"/>
                <w:w w:val="100"/>
                <w:sz w:val="20"/>
                <w:szCs w:val="24"/>
                <w:highlight w:val="none"/>
                <w:lang w:eastAsia="zh-CN"/>
              </w:rPr>
            </w:pPr>
            <w:r>
              <w:rPr>
                <w:rFonts w:hint="eastAsia" w:ascii="宋体" w:hAnsi="宋体" w:eastAsia="宋体" w:cs="宋体"/>
                <w:b w:val="0"/>
                <w:bCs/>
                <w:i w:val="0"/>
                <w:caps w:val="0"/>
                <w:color w:val="auto"/>
                <w:spacing w:val="0"/>
                <w:w w:val="100"/>
                <w:sz w:val="24"/>
                <w:szCs w:val="24"/>
                <w:highlight w:val="none"/>
              </w:rPr>
              <w:t>（4）磋商保证金退还日期：未成交磋商</w:t>
            </w:r>
            <w:r>
              <w:rPr>
                <w:rFonts w:hint="eastAsia" w:ascii="宋体" w:hAnsi="宋体" w:eastAsia="宋体" w:cs="宋体"/>
                <w:b w:val="0"/>
                <w:bCs/>
                <w:i w:val="0"/>
                <w:caps w:val="0"/>
                <w:color w:val="auto"/>
                <w:spacing w:val="0"/>
                <w:w w:val="100"/>
                <w:sz w:val="24"/>
                <w:szCs w:val="24"/>
                <w:highlight w:val="none"/>
                <w:lang w:eastAsia="zh-CN"/>
              </w:rPr>
              <w:t>响应人</w:t>
            </w:r>
            <w:r>
              <w:rPr>
                <w:rFonts w:hint="eastAsia" w:ascii="宋体" w:hAnsi="宋体" w:eastAsia="宋体" w:cs="宋体"/>
                <w:b w:val="0"/>
                <w:bCs/>
                <w:i w:val="0"/>
                <w:caps w:val="0"/>
                <w:color w:val="auto"/>
                <w:spacing w:val="0"/>
                <w:w w:val="100"/>
                <w:sz w:val="24"/>
                <w:szCs w:val="24"/>
                <w:highlight w:val="none"/>
              </w:rPr>
              <w:t>的磋商保证金自成交通知书发出之日起5个工作日内退还（不退现金）；成交单位的成交保证金，自合同签订之日起5个工作日内退还（不退现金）</w:t>
            </w:r>
            <w:r>
              <w:rPr>
                <w:rFonts w:hint="eastAsia" w:ascii="宋体" w:hAnsi="宋体" w:cs="宋体"/>
                <w:b w:val="0"/>
                <w:bCs/>
                <w:i w:val="0"/>
                <w:caps w:val="0"/>
                <w:color w:val="auto"/>
                <w:spacing w:val="0"/>
                <w:w w:val="100"/>
                <w:sz w:val="24"/>
                <w:szCs w:val="24"/>
                <w:highlight w:val="none"/>
                <w:lang w:eastAsia="zh-CN"/>
              </w:rPr>
              <w:t>；</w:t>
            </w:r>
          </w:p>
          <w:p w14:paraId="60446411">
            <w:pPr>
              <w:snapToGrid w:val="0"/>
              <w:spacing w:before="0" w:beforeAutospacing="0" w:after="0" w:afterAutospacing="0" w:line="360" w:lineRule="auto"/>
              <w:jc w:val="both"/>
              <w:textAlignment w:val="baseline"/>
              <w:rPr>
                <w:rFonts w:hint="eastAsia" w:ascii="宋体" w:hAnsi="宋体" w:eastAsia="宋体" w:cs="宋体"/>
                <w:b/>
                <w:bCs/>
                <w:i w:val="0"/>
                <w:caps w:val="0"/>
                <w:color w:val="auto"/>
                <w:spacing w:val="0"/>
                <w:w w:val="100"/>
                <w:sz w:val="20"/>
                <w:szCs w:val="24"/>
                <w:highlight w:val="none"/>
                <w:lang w:eastAsia="zh-CN"/>
              </w:rPr>
            </w:pPr>
            <w:r>
              <w:rPr>
                <w:rFonts w:hint="eastAsia" w:ascii="宋体" w:hAnsi="宋体" w:eastAsia="宋体" w:cs="宋体"/>
                <w:b w:val="0"/>
                <w:bCs/>
                <w:i w:val="0"/>
                <w:caps w:val="0"/>
                <w:color w:val="auto"/>
                <w:spacing w:val="0"/>
                <w:w w:val="100"/>
                <w:sz w:val="24"/>
                <w:szCs w:val="24"/>
                <w:highlight w:val="none"/>
              </w:rPr>
              <w:t>磋商</w:t>
            </w:r>
            <w:r>
              <w:rPr>
                <w:rFonts w:hint="eastAsia" w:ascii="宋体" w:hAnsi="宋体" w:eastAsia="宋体" w:cs="宋体"/>
                <w:b w:val="0"/>
                <w:bCs/>
                <w:i w:val="0"/>
                <w:caps w:val="0"/>
                <w:color w:val="auto"/>
                <w:spacing w:val="0"/>
                <w:w w:val="100"/>
                <w:sz w:val="24"/>
                <w:szCs w:val="24"/>
                <w:highlight w:val="none"/>
                <w:lang w:eastAsia="zh-CN"/>
              </w:rPr>
              <w:t>响应人</w:t>
            </w:r>
            <w:r>
              <w:rPr>
                <w:rFonts w:hint="eastAsia" w:ascii="宋体" w:hAnsi="宋体" w:eastAsia="宋体" w:cs="宋体"/>
                <w:b w:val="0"/>
                <w:bCs/>
                <w:i w:val="0"/>
                <w:caps w:val="0"/>
                <w:color w:val="auto"/>
                <w:spacing w:val="0"/>
                <w:w w:val="100"/>
                <w:sz w:val="24"/>
                <w:szCs w:val="24"/>
                <w:highlight w:val="none"/>
              </w:rPr>
              <w:t>未按照磋商文件要求提交磋商保证金的，投标无效。磋商</w:t>
            </w:r>
            <w:r>
              <w:rPr>
                <w:rFonts w:hint="eastAsia" w:ascii="宋体" w:hAnsi="宋体" w:eastAsia="宋体" w:cs="宋体"/>
                <w:b w:val="0"/>
                <w:bCs/>
                <w:i w:val="0"/>
                <w:caps w:val="0"/>
                <w:color w:val="auto"/>
                <w:spacing w:val="0"/>
                <w:w w:val="100"/>
                <w:sz w:val="24"/>
                <w:szCs w:val="24"/>
                <w:highlight w:val="none"/>
                <w:lang w:eastAsia="zh-CN"/>
              </w:rPr>
              <w:t>响应人</w:t>
            </w:r>
            <w:r>
              <w:rPr>
                <w:rFonts w:hint="eastAsia" w:ascii="宋体" w:hAnsi="宋体" w:eastAsia="宋体" w:cs="宋体"/>
                <w:b w:val="0"/>
                <w:bCs/>
                <w:i w:val="0"/>
                <w:caps w:val="0"/>
                <w:color w:val="auto"/>
                <w:spacing w:val="0"/>
                <w:w w:val="100"/>
                <w:sz w:val="24"/>
                <w:szCs w:val="24"/>
                <w:highlight w:val="none"/>
              </w:rPr>
              <w:t>须自行查询保证金到账情况</w:t>
            </w:r>
            <w:r>
              <w:rPr>
                <w:rFonts w:hint="eastAsia" w:ascii="宋体" w:hAnsi="宋体" w:eastAsia="宋体" w:cs="宋体"/>
                <w:b w:val="0"/>
                <w:bCs/>
                <w:i w:val="0"/>
                <w:caps w:val="0"/>
                <w:color w:val="auto"/>
                <w:spacing w:val="0"/>
                <w:w w:val="100"/>
                <w:sz w:val="24"/>
                <w:szCs w:val="24"/>
                <w:highlight w:val="none"/>
                <w:lang w:eastAsia="zh-CN"/>
              </w:rPr>
              <w:t>。</w:t>
            </w:r>
          </w:p>
        </w:tc>
      </w:tr>
      <w:tr w14:paraId="65D5D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48" w:type="dxa"/>
            <w:vAlign w:val="center"/>
          </w:tcPr>
          <w:p w14:paraId="74F61D2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25</w:t>
            </w:r>
          </w:p>
        </w:tc>
        <w:tc>
          <w:tcPr>
            <w:tcW w:w="3023" w:type="dxa"/>
            <w:vAlign w:val="center"/>
          </w:tcPr>
          <w:p w14:paraId="305E34A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近年财务状况的年份</w:t>
            </w:r>
          </w:p>
          <w:p w14:paraId="163FB8E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要求</w:t>
            </w:r>
          </w:p>
        </w:tc>
        <w:tc>
          <w:tcPr>
            <w:tcW w:w="6369" w:type="dxa"/>
            <w:vAlign w:val="center"/>
          </w:tcPr>
          <w:p w14:paraId="59FAF942">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提供2023年度</w:t>
            </w:r>
            <w:r>
              <w:rPr>
                <w:rFonts w:hint="eastAsia" w:ascii="宋体" w:hAnsi="宋体" w:eastAsia="宋体" w:cs="宋体"/>
                <w:b w:val="0"/>
                <w:i w:val="0"/>
                <w:caps w:val="0"/>
                <w:color w:val="auto"/>
                <w:spacing w:val="0"/>
                <w:w w:val="100"/>
                <w:sz w:val="24"/>
                <w:szCs w:val="24"/>
                <w:highlight w:val="none"/>
                <w:lang w:eastAsia="zh-CN"/>
              </w:rPr>
              <w:t>经</w:t>
            </w:r>
            <w:bookmarkStart w:id="1356" w:name="_GoBack"/>
            <w:bookmarkEnd w:id="1356"/>
            <w:r>
              <w:rPr>
                <w:rFonts w:hint="eastAsia" w:ascii="宋体" w:hAnsi="宋体" w:eastAsia="宋体" w:cs="宋体"/>
                <w:b w:val="0"/>
                <w:i w:val="0"/>
                <w:caps w:val="0"/>
                <w:color w:val="auto"/>
                <w:spacing w:val="0"/>
                <w:w w:val="100"/>
                <w:sz w:val="24"/>
                <w:szCs w:val="24"/>
                <w:highlight w:val="none"/>
                <w:lang w:eastAsia="zh-CN"/>
              </w:rPr>
              <w:t>第三方审计的财务状况报告扫描或复印件，包括资产负债表、现金流量表、利润表和财务（会计）报表附注，并提供第三方机构的营业执照、执业证书。磋商响应人是其他组织和自然人或新成立的公司，没有经审计的财务报告，可以提供基本开户银行</w:t>
            </w:r>
            <w:r>
              <w:rPr>
                <w:rFonts w:hint="eastAsia" w:ascii="宋体" w:hAnsi="宋体" w:cs="宋体"/>
                <w:b w:val="0"/>
                <w:i w:val="0"/>
                <w:caps w:val="0"/>
                <w:color w:val="auto"/>
                <w:spacing w:val="0"/>
                <w:w w:val="100"/>
                <w:sz w:val="24"/>
                <w:szCs w:val="24"/>
                <w:highlight w:val="none"/>
                <w:lang w:eastAsia="zh-CN"/>
              </w:rPr>
              <w:t>近三个月内银行</w:t>
            </w:r>
            <w:r>
              <w:rPr>
                <w:rFonts w:hint="eastAsia" w:ascii="宋体" w:hAnsi="宋体" w:eastAsia="宋体" w:cs="宋体"/>
                <w:b w:val="0"/>
                <w:i w:val="0"/>
                <w:caps w:val="0"/>
                <w:color w:val="auto"/>
                <w:spacing w:val="0"/>
                <w:w w:val="100"/>
                <w:sz w:val="24"/>
                <w:szCs w:val="24"/>
                <w:highlight w:val="none"/>
                <w:lang w:eastAsia="zh-CN"/>
              </w:rPr>
              <w:t>出具的资信证明（同时提供基本存款账户基本开户信息）；新成立的公司不受此限制。</w:t>
            </w:r>
          </w:p>
        </w:tc>
      </w:tr>
      <w:tr w14:paraId="6FD58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48" w:type="dxa"/>
            <w:vAlign w:val="center"/>
          </w:tcPr>
          <w:p w14:paraId="54CA6D7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26</w:t>
            </w:r>
          </w:p>
        </w:tc>
        <w:tc>
          <w:tcPr>
            <w:tcW w:w="3023" w:type="dxa"/>
            <w:vAlign w:val="center"/>
          </w:tcPr>
          <w:p w14:paraId="1C5D491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近年完成的类似项目的年份要求</w:t>
            </w:r>
          </w:p>
        </w:tc>
        <w:tc>
          <w:tcPr>
            <w:tcW w:w="6369" w:type="dxa"/>
            <w:vAlign w:val="center"/>
          </w:tcPr>
          <w:p w14:paraId="28F5C61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szCs w:val="24"/>
                <w:highlight w:val="none"/>
                <w:lang w:eastAsia="zh-CN"/>
              </w:rPr>
            </w:pPr>
            <w:r>
              <w:rPr>
                <w:rFonts w:hint="eastAsia" w:ascii="宋体" w:hAnsi="宋体" w:eastAsia="宋体" w:cs="宋体"/>
                <w:b w:val="0"/>
                <w:i w:val="0"/>
                <w:caps w:val="0"/>
                <w:color w:val="auto"/>
                <w:spacing w:val="0"/>
                <w:w w:val="100"/>
                <w:sz w:val="24"/>
                <w:szCs w:val="24"/>
                <w:highlight w:val="none"/>
              </w:rPr>
              <w:t>近</w:t>
            </w:r>
            <w:r>
              <w:rPr>
                <w:rFonts w:hint="eastAsia" w:ascii="宋体" w:hAnsi="宋体" w:eastAsia="宋体" w:cs="宋体"/>
                <w:b w:val="0"/>
                <w:i w:val="0"/>
                <w:caps w:val="0"/>
                <w:color w:val="auto"/>
                <w:spacing w:val="0"/>
                <w:w w:val="100"/>
                <w:sz w:val="24"/>
                <w:szCs w:val="24"/>
                <w:highlight w:val="none"/>
                <w:lang w:val="en-US" w:eastAsia="zh-CN"/>
              </w:rPr>
              <w:t>三年内，指</w:t>
            </w:r>
            <w:r>
              <w:rPr>
                <w:rFonts w:hint="eastAsia" w:ascii="宋体" w:hAnsi="宋体" w:cs="宋体"/>
                <w:b w:val="0"/>
                <w:i w:val="0"/>
                <w:caps w:val="0"/>
                <w:color w:val="auto"/>
                <w:spacing w:val="0"/>
                <w:w w:val="100"/>
                <w:sz w:val="24"/>
                <w:szCs w:val="24"/>
                <w:highlight w:val="none"/>
                <w:lang w:val="en-US" w:eastAsia="zh-CN"/>
              </w:rPr>
              <w:t>2021年08月23日至2024年08月23日</w:t>
            </w:r>
          </w:p>
        </w:tc>
      </w:tr>
      <w:tr w14:paraId="0EA9C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58624A7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27</w:t>
            </w:r>
          </w:p>
        </w:tc>
        <w:tc>
          <w:tcPr>
            <w:tcW w:w="3023" w:type="dxa"/>
            <w:vAlign w:val="center"/>
          </w:tcPr>
          <w:p w14:paraId="3B48D59A">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近年发生的诉讼及仲裁</w:t>
            </w:r>
          </w:p>
          <w:p w14:paraId="28A2C6D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情况</w:t>
            </w:r>
          </w:p>
        </w:tc>
        <w:tc>
          <w:tcPr>
            <w:tcW w:w="6369" w:type="dxa"/>
            <w:vAlign w:val="center"/>
          </w:tcPr>
          <w:p w14:paraId="558059A3">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近</w:t>
            </w:r>
            <w:r>
              <w:rPr>
                <w:rFonts w:hint="eastAsia" w:ascii="宋体" w:hAnsi="宋体" w:eastAsia="宋体" w:cs="宋体"/>
                <w:b w:val="0"/>
                <w:i w:val="0"/>
                <w:caps w:val="0"/>
                <w:color w:val="auto"/>
                <w:spacing w:val="0"/>
                <w:w w:val="100"/>
                <w:sz w:val="24"/>
                <w:szCs w:val="24"/>
                <w:highlight w:val="none"/>
                <w:lang w:val="en-US" w:eastAsia="zh-CN"/>
              </w:rPr>
              <w:t>三年内，指</w:t>
            </w:r>
            <w:r>
              <w:rPr>
                <w:rFonts w:hint="eastAsia" w:ascii="宋体" w:hAnsi="宋体" w:cs="宋体"/>
                <w:b w:val="0"/>
                <w:i w:val="0"/>
                <w:caps w:val="0"/>
                <w:color w:val="auto"/>
                <w:spacing w:val="0"/>
                <w:w w:val="100"/>
                <w:sz w:val="24"/>
                <w:szCs w:val="24"/>
                <w:highlight w:val="none"/>
                <w:lang w:val="en-US" w:eastAsia="zh-CN"/>
              </w:rPr>
              <w:t>2021年08月23日至2024年08月23日</w:t>
            </w:r>
          </w:p>
        </w:tc>
      </w:tr>
      <w:tr w14:paraId="21FDF5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5F8E077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28</w:t>
            </w:r>
          </w:p>
        </w:tc>
        <w:tc>
          <w:tcPr>
            <w:tcW w:w="3023" w:type="dxa"/>
            <w:vAlign w:val="center"/>
          </w:tcPr>
          <w:p w14:paraId="7800E22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是否允许递交备选投标</w:t>
            </w:r>
          </w:p>
          <w:p w14:paraId="1FBFF39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方案</w:t>
            </w:r>
          </w:p>
        </w:tc>
        <w:tc>
          <w:tcPr>
            <w:tcW w:w="6369" w:type="dxa"/>
            <w:vAlign w:val="center"/>
          </w:tcPr>
          <w:p w14:paraId="12177B9A">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不允许</w:t>
            </w:r>
          </w:p>
        </w:tc>
      </w:tr>
      <w:tr w14:paraId="45F5B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48" w:type="dxa"/>
            <w:vAlign w:val="center"/>
          </w:tcPr>
          <w:p w14:paraId="380C07A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29</w:t>
            </w:r>
          </w:p>
        </w:tc>
        <w:tc>
          <w:tcPr>
            <w:tcW w:w="3023" w:type="dxa"/>
            <w:vAlign w:val="center"/>
          </w:tcPr>
          <w:p w14:paraId="2E758D1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签字或盖章要求</w:t>
            </w:r>
          </w:p>
        </w:tc>
        <w:tc>
          <w:tcPr>
            <w:tcW w:w="6369" w:type="dxa"/>
            <w:vAlign w:val="center"/>
          </w:tcPr>
          <w:p w14:paraId="2165AC2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响应文件中法定代表人或其委托代理人按竞争性磋商文件要求签字、盖章（委托代理人签字的，须附法人代表授权委托书）。</w:t>
            </w:r>
          </w:p>
        </w:tc>
      </w:tr>
      <w:tr w14:paraId="29F348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10" w:hRule="atLeast"/>
          <w:jc w:val="center"/>
        </w:trPr>
        <w:tc>
          <w:tcPr>
            <w:tcW w:w="748" w:type="dxa"/>
            <w:vAlign w:val="center"/>
          </w:tcPr>
          <w:p w14:paraId="7E77089A">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30</w:t>
            </w:r>
          </w:p>
        </w:tc>
        <w:tc>
          <w:tcPr>
            <w:tcW w:w="3023" w:type="dxa"/>
            <w:vAlign w:val="center"/>
          </w:tcPr>
          <w:p w14:paraId="4A9CE5B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响应文件编制要求</w:t>
            </w:r>
          </w:p>
        </w:tc>
        <w:tc>
          <w:tcPr>
            <w:tcW w:w="6369" w:type="dxa"/>
            <w:vAlign w:val="center"/>
          </w:tcPr>
          <w:p w14:paraId="42DDAF9A">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供应商按照政府采购云平台投标客户端 （供应商应在响应文件递交截止时间前按竞争性磋商文件要求使用政府采购云平台电子投标客户端制作上传电子响应文件）。</w:t>
            </w:r>
          </w:p>
        </w:tc>
      </w:tr>
      <w:tr w14:paraId="3FF17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748" w:type="dxa"/>
            <w:vAlign w:val="center"/>
          </w:tcPr>
          <w:p w14:paraId="30D7083A">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31</w:t>
            </w:r>
          </w:p>
        </w:tc>
        <w:tc>
          <w:tcPr>
            <w:tcW w:w="3023" w:type="dxa"/>
            <w:vAlign w:val="center"/>
          </w:tcPr>
          <w:p w14:paraId="338F5034">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递交响应文件</w:t>
            </w:r>
          </w:p>
          <w:p w14:paraId="27FB304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地点及方式</w:t>
            </w:r>
          </w:p>
        </w:tc>
        <w:tc>
          <w:tcPr>
            <w:tcW w:w="6369" w:type="dxa"/>
            <w:vAlign w:val="center"/>
          </w:tcPr>
          <w:p w14:paraId="3A176661">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1.投标人应当在磋商文件要求提交投标文件的截止时间前，将投标文件上传至政采云投标客户端。</w:t>
            </w:r>
          </w:p>
          <w:p w14:paraId="355E4805">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2.投标人在磋商文件要求提交投标文件的截止时间及开标时间前，未将投标文件上传至政采云投标客户端或文件解密失败的，视为无效投标。</w:t>
            </w:r>
          </w:p>
        </w:tc>
      </w:tr>
      <w:tr w14:paraId="5627B2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748" w:type="dxa"/>
            <w:vAlign w:val="center"/>
          </w:tcPr>
          <w:p w14:paraId="75F0E8CA">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32</w:t>
            </w:r>
          </w:p>
        </w:tc>
        <w:tc>
          <w:tcPr>
            <w:tcW w:w="3023" w:type="dxa"/>
            <w:vAlign w:val="center"/>
          </w:tcPr>
          <w:p w14:paraId="06DCF2B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开标时间和地点</w:t>
            </w:r>
          </w:p>
        </w:tc>
        <w:tc>
          <w:tcPr>
            <w:tcW w:w="6369" w:type="dxa"/>
            <w:vAlign w:val="center"/>
          </w:tcPr>
          <w:p w14:paraId="7BA41791">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u w:val="none" w:color="auto"/>
              </w:rPr>
            </w:pPr>
            <w:r>
              <w:rPr>
                <w:rFonts w:hint="eastAsia" w:ascii="宋体" w:hAnsi="宋体" w:eastAsia="宋体" w:cs="宋体"/>
                <w:b w:val="0"/>
                <w:i w:val="0"/>
                <w:caps w:val="0"/>
                <w:color w:val="auto"/>
                <w:spacing w:val="0"/>
                <w:w w:val="100"/>
                <w:sz w:val="24"/>
                <w:szCs w:val="24"/>
                <w:highlight w:val="none"/>
              </w:rPr>
              <w:t>开标时间：</w:t>
            </w:r>
            <w:r>
              <w:rPr>
                <w:rFonts w:hint="eastAsia" w:ascii="宋体" w:hAnsi="宋体" w:cs="宋体"/>
                <w:b w:val="0"/>
                <w:i w:val="0"/>
                <w:caps w:val="0"/>
                <w:color w:val="auto"/>
                <w:spacing w:val="0"/>
                <w:w w:val="100"/>
                <w:kern w:val="2"/>
                <w:sz w:val="24"/>
                <w:szCs w:val="24"/>
                <w:highlight w:val="none"/>
                <w:u w:val="none" w:color="auto"/>
                <w:lang w:val="zh-CN" w:eastAsia="zh-CN" w:bidi="ar-SA"/>
              </w:rPr>
              <w:t>2024年08月23日上午9:30（北京时间）</w:t>
            </w:r>
          </w:p>
          <w:p w14:paraId="6B61F590">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开标地点：政采云投标客户端（供应商应在投标截止时间前按磋商文件要求使用政采云投标客户端制作上传电子投标文件，并在开标后 30 分钟内 远程解密投标文件）。</w:t>
            </w:r>
          </w:p>
        </w:tc>
      </w:tr>
      <w:tr w14:paraId="2CA08A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68428105">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33</w:t>
            </w:r>
          </w:p>
        </w:tc>
        <w:tc>
          <w:tcPr>
            <w:tcW w:w="3023" w:type="dxa"/>
            <w:vAlign w:val="center"/>
          </w:tcPr>
          <w:p w14:paraId="34CF115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答疑澄清方式</w:t>
            </w:r>
          </w:p>
        </w:tc>
        <w:tc>
          <w:tcPr>
            <w:tcW w:w="6369" w:type="dxa"/>
            <w:vAlign w:val="center"/>
          </w:tcPr>
          <w:p w14:paraId="27454900">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小组根据评审情况确定答疑时间，答疑或澄清在政采云平台上进行，供应商可在政采云平台上的“我的澄清”界面了解答疑时间等信息。供应商须提供准确的联系方式（手机和固定电话），在项目评审时须在线了解评审信息，掌握答疑时间，需由法定代表人或委托代理人对磋商小组提出的质疑做出应答。如在规定的时间内联系无果，无法进行电话或政采云平台上答疑者，视同放弃答疑。</w:t>
            </w:r>
          </w:p>
        </w:tc>
      </w:tr>
      <w:tr w14:paraId="059381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4B1B3232">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34</w:t>
            </w:r>
          </w:p>
        </w:tc>
        <w:tc>
          <w:tcPr>
            <w:tcW w:w="3023" w:type="dxa"/>
            <w:vAlign w:val="center"/>
          </w:tcPr>
          <w:p w14:paraId="0B4120F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highlight w:val="none"/>
              </w:rPr>
              <w:t>评分办法</w:t>
            </w:r>
          </w:p>
        </w:tc>
        <w:tc>
          <w:tcPr>
            <w:tcW w:w="6369" w:type="dxa"/>
            <w:vAlign w:val="top"/>
          </w:tcPr>
          <w:p w14:paraId="2AB7EB7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本次评标采用综合评估法。</w:t>
            </w:r>
            <w:r>
              <w:rPr>
                <w:rFonts w:hint="eastAsia" w:ascii="宋体" w:hAnsi="宋体" w:eastAsia="宋体" w:cs="宋体"/>
                <w:b w:val="0"/>
                <w:i w:val="0"/>
                <w:caps w:val="0"/>
                <w:color w:val="auto"/>
                <w:spacing w:val="0"/>
                <w:w w:val="100"/>
                <w:sz w:val="24"/>
                <w:szCs w:val="24"/>
                <w:highlight w:val="none"/>
                <w:lang w:eastAsia="zh-CN"/>
              </w:rPr>
              <w:t>磋商小组</w:t>
            </w:r>
            <w:r>
              <w:rPr>
                <w:rFonts w:hint="eastAsia" w:ascii="宋体" w:hAnsi="宋体" w:eastAsia="宋体" w:cs="宋体"/>
                <w:b w:val="0"/>
                <w:i w:val="0"/>
                <w:caps w:val="0"/>
                <w:color w:val="auto"/>
                <w:spacing w:val="0"/>
                <w:w w:val="100"/>
                <w:sz w:val="24"/>
                <w:szCs w:val="24"/>
                <w:highlight w:val="none"/>
              </w:rPr>
              <w:t>对满足</w:t>
            </w:r>
            <w:r>
              <w:rPr>
                <w:rFonts w:hint="eastAsia" w:ascii="宋体" w:hAnsi="宋体" w:eastAsia="宋体" w:cs="宋体"/>
                <w:b w:val="0"/>
                <w:i w:val="0"/>
                <w:caps w:val="0"/>
                <w:color w:val="auto"/>
                <w:spacing w:val="0"/>
                <w:w w:val="100"/>
                <w:sz w:val="24"/>
                <w:szCs w:val="24"/>
                <w:highlight w:val="none"/>
                <w:lang w:eastAsia="zh-CN"/>
              </w:rPr>
              <w:t>磋商</w:t>
            </w:r>
            <w:r>
              <w:rPr>
                <w:rFonts w:hint="eastAsia" w:ascii="宋体" w:hAnsi="宋体" w:eastAsia="宋体" w:cs="宋体"/>
                <w:b w:val="0"/>
                <w:i w:val="0"/>
                <w:caps w:val="0"/>
                <w:color w:val="auto"/>
                <w:spacing w:val="0"/>
                <w:w w:val="100"/>
                <w:sz w:val="24"/>
                <w:szCs w:val="24"/>
                <w:highlight w:val="none"/>
              </w:rPr>
              <w:t>文件实质性要求的</w:t>
            </w:r>
            <w:r>
              <w:rPr>
                <w:rFonts w:hint="eastAsia" w:ascii="宋体" w:hAnsi="宋体" w:eastAsia="宋体" w:cs="宋体"/>
                <w:b w:val="0"/>
                <w:i w:val="0"/>
                <w:caps w:val="0"/>
                <w:color w:val="auto"/>
                <w:spacing w:val="0"/>
                <w:w w:val="100"/>
                <w:sz w:val="24"/>
                <w:szCs w:val="24"/>
                <w:highlight w:val="none"/>
                <w:lang w:eastAsia="zh-CN"/>
              </w:rPr>
              <w:t>响应</w:t>
            </w:r>
            <w:r>
              <w:rPr>
                <w:rFonts w:hint="eastAsia" w:ascii="宋体" w:hAnsi="宋体" w:eastAsia="宋体" w:cs="宋体"/>
                <w:b w:val="0"/>
                <w:i w:val="0"/>
                <w:caps w:val="0"/>
                <w:color w:val="auto"/>
                <w:spacing w:val="0"/>
                <w:w w:val="100"/>
                <w:sz w:val="24"/>
                <w:szCs w:val="24"/>
                <w:highlight w:val="none"/>
              </w:rPr>
              <w:t>文件，按照</w:t>
            </w:r>
            <w:r>
              <w:rPr>
                <w:rFonts w:hint="eastAsia" w:ascii="宋体" w:hAnsi="宋体" w:eastAsia="宋体" w:cs="宋体"/>
                <w:b w:val="0"/>
                <w:i w:val="0"/>
                <w:caps w:val="0"/>
                <w:color w:val="auto"/>
                <w:spacing w:val="0"/>
                <w:w w:val="100"/>
                <w:sz w:val="24"/>
                <w:szCs w:val="24"/>
                <w:highlight w:val="none"/>
                <w:lang w:eastAsia="zh-CN"/>
              </w:rPr>
              <w:t>第三章评审办法</w:t>
            </w:r>
            <w:r>
              <w:rPr>
                <w:rFonts w:hint="eastAsia" w:ascii="宋体" w:hAnsi="宋体" w:eastAsia="宋体" w:cs="宋体"/>
                <w:b w:val="0"/>
                <w:i w:val="0"/>
                <w:caps w:val="0"/>
                <w:color w:val="auto"/>
                <w:spacing w:val="0"/>
                <w:w w:val="100"/>
                <w:sz w:val="24"/>
                <w:szCs w:val="24"/>
                <w:highlight w:val="none"/>
              </w:rPr>
              <w:t>规定的评分标准进行打分，并按打分由高到低顺序推荐</w:t>
            </w:r>
            <w:r>
              <w:rPr>
                <w:rFonts w:hint="eastAsia" w:ascii="宋体" w:hAnsi="宋体" w:eastAsia="宋体" w:cs="宋体"/>
                <w:b w:val="0"/>
                <w:i w:val="0"/>
                <w:caps w:val="0"/>
                <w:color w:val="auto"/>
                <w:spacing w:val="0"/>
                <w:w w:val="100"/>
                <w:sz w:val="24"/>
                <w:szCs w:val="24"/>
                <w:highlight w:val="none"/>
                <w:lang w:eastAsia="zh-CN"/>
              </w:rPr>
              <w:t>成交</w:t>
            </w:r>
            <w:r>
              <w:rPr>
                <w:rFonts w:hint="eastAsia" w:ascii="宋体" w:hAnsi="宋体" w:eastAsia="宋体" w:cs="宋体"/>
                <w:b w:val="0"/>
                <w:i w:val="0"/>
                <w:caps w:val="0"/>
                <w:color w:val="auto"/>
                <w:spacing w:val="0"/>
                <w:w w:val="100"/>
                <w:sz w:val="24"/>
                <w:szCs w:val="24"/>
                <w:highlight w:val="none"/>
              </w:rPr>
              <w:t>人，或根据招标人授权直接确定中标人，但投标报价低于其成本的除外。综合评分相等时，以投标报价低的优先；投标报价也相等的，由招标人自行确定。</w:t>
            </w:r>
          </w:p>
        </w:tc>
      </w:tr>
      <w:tr w14:paraId="395BB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48" w:type="dxa"/>
            <w:vAlign w:val="center"/>
          </w:tcPr>
          <w:p w14:paraId="510D9407">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35</w:t>
            </w:r>
          </w:p>
        </w:tc>
        <w:tc>
          <w:tcPr>
            <w:tcW w:w="3023" w:type="dxa"/>
            <w:vAlign w:val="center"/>
          </w:tcPr>
          <w:p w14:paraId="17E23216">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评标委员会的</w:t>
            </w:r>
          </w:p>
          <w:p w14:paraId="453B8C74">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组建</w:t>
            </w:r>
          </w:p>
        </w:tc>
        <w:tc>
          <w:tcPr>
            <w:tcW w:w="6369" w:type="dxa"/>
            <w:vAlign w:val="center"/>
          </w:tcPr>
          <w:p w14:paraId="42B2D431">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评标委员会构成：3人，其中</w:t>
            </w:r>
            <w:r>
              <w:rPr>
                <w:rFonts w:hint="eastAsia" w:ascii="宋体" w:hAnsi="宋体" w:eastAsia="宋体" w:cs="宋体"/>
                <w:b w:val="0"/>
                <w:i w:val="0"/>
                <w:caps w:val="0"/>
                <w:color w:val="auto"/>
                <w:spacing w:val="0"/>
                <w:w w:val="100"/>
                <w:sz w:val="24"/>
                <w:szCs w:val="24"/>
                <w:highlight w:val="none"/>
                <w:lang w:eastAsia="zh-CN"/>
              </w:rPr>
              <w:t>招标代表</w:t>
            </w:r>
            <w:r>
              <w:rPr>
                <w:rFonts w:hint="eastAsia" w:ascii="宋体" w:hAnsi="宋体" w:eastAsia="宋体" w:cs="宋体"/>
                <w:b w:val="0"/>
                <w:i w:val="0"/>
                <w:caps w:val="0"/>
                <w:color w:val="auto"/>
                <w:spacing w:val="0"/>
                <w:w w:val="100"/>
                <w:sz w:val="24"/>
                <w:szCs w:val="24"/>
                <w:highlight w:val="none"/>
              </w:rPr>
              <w:t>1人（限招标人在职人员，且应当具备评标专家相应的或者类似的条件），专家2人；</w:t>
            </w:r>
          </w:p>
        </w:tc>
      </w:tr>
      <w:tr w14:paraId="7B801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58474813">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36</w:t>
            </w:r>
          </w:p>
        </w:tc>
        <w:tc>
          <w:tcPr>
            <w:tcW w:w="3023" w:type="dxa"/>
            <w:vAlign w:val="center"/>
          </w:tcPr>
          <w:p w14:paraId="2BAA3EE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是否授权评标委员会确定中标人</w:t>
            </w:r>
          </w:p>
        </w:tc>
        <w:tc>
          <w:tcPr>
            <w:tcW w:w="6369" w:type="dxa"/>
            <w:vAlign w:val="center"/>
          </w:tcPr>
          <w:p w14:paraId="0948C71F">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是</w:t>
            </w:r>
          </w:p>
        </w:tc>
      </w:tr>
      <w:tr w14:paraId="24E1A5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1957A030">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37</w:t>
            </w:r>
          </w:p>
        </w:tc>
        <w:tc>
          <w:tcPr>
            <w:tcW w:w="3023" w:type="dxa"/>
            <w:vAlign w:val="center"/>
          </w:tcPr>
          <w:p w14:paraId="3224092C">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履约担保</w:t>
            </w:r>
          </w:p>
        </w:tc>
        <w:tc>
          <w:tcPr>
            <w:tcW w:w="6369" w:type="dxa"/>
            <w:vAlign w:val="center"/>
          </w:tcPr>
          <w:p w14:paraId="341B1E71">
            <w:pPr>
              <w:numPr>
                <w:ilvl w:val="0"/>
                <w:numId w:val="0"/>
              </w:num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cs="宋体"/>
                <w:b w:val="0"/>
                <w:i w:val="0"/>
                <w:caps w:val="0"/>
                <w:color w:val="auto"/>
                <w:spacing w:val="0"/>
                <w:w w:val="100"/>
                <w:sz w:val="24"/>
                <w:szCs w:val="24"/>
                <w:highlight w:val="none"/>
                <w:lang w:eastAsia="zh-CN"/>
              </w:rPr>
              <w:t>否</w:t>
            </w:r>
          </w:p>
        </w:tc>
      </w:tr>
      <w:tr w14:paraId="1B516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 w:hRule="atLeast"/>
          <w:jc w:val="center"/>
        </w:trPr>
        <w:tc>
          <w:tcPr>
            <w:tcW w:w="748" w:type="dxa"/>
            <w:vAlign w:val="center"/>
          </w:tcPr>
          <w:p w14:paraId="0B4760E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lang w:val="en-US" w:eastAsia="zh-CN" w:bidi="ar-SA"/>
              </w:rPr>
            </w:pPr>
            <w:r>
              <w:rPr>
                <w:rFonts w:hint="eastAsia" w:ascii="宋体" w:hAnsi="宋体" w:cs="宋体"/>
                <w:b w:val="0"/>
                <w:i w:val="0"/>
                <w:caps w:val="0"/>
                <w:color w:val="auto"/>
                <w:spacing w:val="0"/>
                <w:w w:val="100"/>
                <w:sz w:val="24"/>
                <w:szCs w:val="24"/>
                <w:highlight w:val="none"/>
                <w:lang w:val="en-US" w:eastAsia="zh-CN"/>
              </w:rPr>
              <w:t>38</w:t>
            </w:r>
          </w:p>
        </w:tc>
        <w:tc>
          <w:tcPr>
            <w:tcW w:w="3023" w:type="dxa"/>
            <w:vAlign w:val="center"/>
          </w:tcPr>
          <w:p w14:paraId="43E616D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lang w:val="en-US" w:eastAsia="zh-CN" w:bidi="ar-SA"/>
              </w:rPr>
            </w:pPr>
            <w:r>
              <w:rPr>
                <w:rFonts w:hint="eastAsia" w:ascii="宋体" w:hAnsi="宋体" w:eastAsia="宋体" w:cs="宋体"/>
                <w:b w:val="0"/>
                <w:i w:val="0"/>
                <w:caps w:val="0"/>
                <w:color w:val="auto"/>
                <w:spacing w:val="0"/>
                <w:w w:val="100"/>
                <w:sz w:val="24"/>
                <w:szCs w:val="24"/>
                <w:highlight w:val="none"/>
              </w:rPr>
              <w:t>招标控制价</w:t>
            </w:r>
          </w:p>
        </w:tc>
        <w:tc>
          <w:tcPr>
            <w:tcW w:w="6369" w:type="dxa"/>
            <w:vAlign w:val="center"/>
          </w:tcPr>
          <w:p w14:paraId="6BBE2DC3">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小写：</w:t>
            </w:r>
            <w:r>
              <w:rPr>
                <w:rFonts w:hint="eastAsia" w:ascii="宋体" w:hAnsi="宋体" w:eastAsia="宋体" w:cs="宋体"/>
                <w:b w:val="0"/>
                <w:i w:val="0"/>
                <w:caps w:val="0"/>
                <w:color w:val="auto"/>
                <w:spacing w:val="0"/>
                <w:w w:val="100"/>
                <w:sz w:val="24"/>
                <w:szCs w:val="24"/>
                <w:highlight w:val="none"/>
                <w:lang w:val="en-US" w:eastAsia="zh-CN"/>
              </w:rPr>
              <w:t>1450000.00元</w:t>
            </w:r>
            <w:r>
              <w:rPr>
                <w:rFonts w:hint="eastAsia" w:ascii="宋体" w:hAnsi="宋体" w:eastAsia="宋体" w:cs="宋体"/>
                <w:b w:val="0"/>
                <w:i w:val="0"/>
                <w:caps w:val="0"/>
                <w:color w:val="auto"/>
                <w:spacing w:val="0"/>
                <w:w w:val="100"/>
                <w:sz w:val="24"/>
                <w:szCs w:val="24"/>
                <w:highlight w:val="none"/>
              </w:rPr>
              <w:t>；</w:t>
            </w:r>
          </w:p>
          <w:p w14:paraId="793E5AEC">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lang w:val="en-US" w:eastAsia="zh-CN" w:bidi="ar-SA"/>
              </w:rPr>
            </w:pPr>
            <w:r>
              <w:rPr>
                <w:rFonts w:hint="eastAsia" w:ascii="宋体" w:hAnsi="宋体" w:eastAsia="宋体" w:cs="宋体"/>
                <w:b w:val="0"/>
                <w:i w:val="0"/>
                <w:caps w:val="0"/>
                <w:color w:val="auto"/>
                <w:spacing w:val="0"/>
                <w:w w:val="100"/>
                <w:sz w:val="24"/>
                <w:szCs w:val="24"/>
                <w:highlight w:val="none"/>
              </w:rPr>
              <w:t>大写：</w:t>
            </w:r>
            <w:r>
              <w:rPr>
                <w:rFonts w:hint="eastAsia" w:ascii="宋体" w:hAnsi="宋体" w:eastAsia="宋体" w:cs="宋体"/>
                <w:b w:val="0"/>
                <w:i w:val="0"/>
                <w:caps w:val="0"/>
                <w:color w:val="auto"/>
                <w:spacing w:val="0"/>
                <w:w w:val="100"/>
                <w:sz w:val="24"/>
                <w:szCs w:val="24"/>
                <w:highlight w:val="none"/>
                <w:lang w:val="en-US" w:eastAsia="zh-CN"/>
              </w:rPr>
              <w:t>壹佰肆拾伍万元整</w:t>
            </w:r>
            <w:r>
              <w:rPr>
                <w:rFonts w:hint="eastAsia" w:ascii="宋体" w:hAnsi="宋体" w:eastAsia="宋体" w:cs="宋体"/>
                <w:b w:val="0"/>
                <w:i w:val="0"/>
                <w:caps w:val="0"/>
                <w:color w:val="auto"/>
                <w:spacing w:val="0"/>
                <w:w w:val="100"/>
                <w:sz w:val="24"/>
                <w:szCs w:val="24"/>
                <w:highlight w:val="none"/>
                <w:lang w:eastAsia="zh-CN"/>
              </w:rPr>
              <w:t>；</w:t>
            </w:r>
          </w:p>
        </w:tc>
      </w:tr>
      <w:tr w14:paraId="5FCE7D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jc w:val="center"/>
        </w:trPr>
        <w:tc>
          <w:tcPr>
            <w:tcW w:w="748" w:type="dxa"/>
            <w:vAlign w:val="center"/>
          </w:tcPr>
          <w:p w14:paraId="3F0E2608">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39</w:t>
            </w:r>
          </w:p>
        </w:tc>
        <w:tc>
          <w:tcPr>
            <w:tcW w:w="3023" w:type="dxa"/>
            <w:vAlign w:val="center"/>
          </w:tcPr>
          <w:p w14:paraId="49817A1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知识产权</w:t>
            </w:r>
          </w:p>
        </w:tc>
        <w:tc>
          <w:tcPr>
            <w:tcW w:w="6369" w:type="dxa"/>
            <w:vAlign w:val="center"/>
          </w:tcPr>
          <w:p w14:paraId="266EBCD4">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lang w:val="en-US" w:eastAsia="zh-CN"/>
              </w:rPr>
            </w:pPr>
            <w:r>
              <w:rPr>
                <w:rFonts w:hint="eastAsia" w:ascii="宋体" w:hAnsi="宋体" w:eastAsia="宋体" w:cs="宋体"/>
                <w:b w:val="0"/>
                <w:i w:val="0"/>
                <w:caps w:val="0"/>
                <w:color w:val="auto"/>
                <w:spacing w:val="0"/>
                <w:w w:val="100"/>
                <w:sz w:val="24"/>
                <w:szCs w:val="24"/>
                <w:highlight w:val="none"/>
              </w:rPr>
              <w:t>构成本竞争性磋商文件各个组成部分的文件，未经招标代理机构书面同意，磋商响应人不得擅自复印和用于非本招标项目所需的其他目的。招标人全部或者部分使用未中标人响应文件中的技术成果或技术方案时，需征得其书面同意，并不得擅自复印或提供给第三人</w:t>
            </w:r>
            <w:r>
              <w:rPr>
                <w:rFonts w:hint="eastAsia" w:ascii="宋体" w:hAnsi="宋体" w:cs="宋体"/>
                <w:b w:val="0"/>
                <w:i w:val="0"/>
                <w:caps w:val="0"/>
                <w:color w:val="auto"/>
                <w:spacing w:val="0"/>
                <w:w w:val="100"/>
                <w:sz w:val="24"/>
                <w:szCs w:val="24"/>
                <w:highlight w:val="none"/>
                <w:lang w:eastAsia="zh-CN"/>
              </w:rPr>
              <w:t>；</w:t>
            </w:r>
          </w:p>
        </w:tc>
      </w:tr>
      <w:tr w14:paraId="0EC969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jc w:val="center"/>
        </w:trPr>
        <w:tc>
          <w:tcPr>
            <w:tcW w:w="748" w:type="dxa"/>
            <w:vAlign w:val="center"/>
          </w:tcPr>
          <w:p w14:paraId="1D44599B">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40</w:t>
            </w:r>
          </w:p>
        </w:tc>
        <w:tc>
          <w:tcPr>
            <w:tcW w:w="3023" w:type="dxa"/>
            <w:vAlign w:val="center"/>
          </w:tcPr>
          <w:p w14:paraId="453BCD4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重新招标的其他情形</w:t>
            </w:r>
          </w:p>
        </w:tc>
        <w:tc>
          <w:tcPr>
            <w:tcW w:w="6369" w:type="dxa"/>
            <w:vAlign w:val="center"/>
          </w:tcPr>
          <w:p w14:paraId="49943AF8">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除磋商响应人须知正文第8条规定的情形外，除非已经产生中标候选人，在磋商响应人有效期内同意延长投标有效期的磋商响应人少于三个的，招标人应当依法重新招标</w:t>
            </w:r>
          </w:p>
        </w:tc>
      </w:tr>
      <w:tr w14:paraId="018AC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 w:hRule="atLeast"/>
          <w:jc w:val="center"/>
        </w:trPr>
        <w:tc>
          <w:tcPr>
            <w:tcW w:w="748" w:type="dxa"/>
            <w:vAlign w:val="center"/>
          </w:tcPr>
          <w:p w14:paraId="7C2C3F66">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lang w:val="en-US" w:eastAsia="zh-CN"/>
              </w:rPr>
            </w:pPr>
            <w:r>
              <w:rPr>
                <w:rFonts w:hint="eastAsia" w:ascii="宋体" w:hAnsi="宋体" w:eastAsia="宋体" w:cs="宋体"/>
                <w:b w:val="0"/>
                <w:i w:val="0"/>
                <w:caps w:val="0"/>
                <w:color w:val="auto"/>
                <w:spacing w:val="0"/>
                <w:w w:val="100"/>
                <w:sz w:val="24"/>
                <w:szCs w:val="24"/>
                <w:highlight w:val="none"/>
              </w:rPr>
              <w:t>4</w:t>
            </w:r>
            <w:r>
              <w:rPr>
                <w:rFonts w:hint="eastAsia" w:ascii="宋体" w:hAnsi="宋体" w:cs="宋体"/>
                <w:b w:val="0"/>
                <w:i w:val="0"/>
                <w:caps w:val="0"/>
                <w:color w:val="auto"/>
                <w:spacing w:val="0"/>
                <w:w w:val="100"/>
                <w:sz w:val="24"/>
                <w:szCs w:val="24"/>
                <w:highlight w:val="none"/>
                <w:lang w:val="en-US" w:eastAsia="zh-CN"/>
              </w:rPr>
              <w:t>1</w:t>
            </w:r>
          </w:p>
        </w:tc>
        <w:tc>
          <w:tcPr>
            <w:tcW w:w="3023" w:type="dxa"/>
            <w:vAlign w:val="center"/>
          </w:tcPr>
          <w:p w14:paraId="2E44D70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同义词语</w:t>
            </w:r>
          </w:p>
        </w:tc>
        <w:tc>
          <w:tcPr>
            <w:tcW w:w="6369" w:type="dxa"/>
            <w:vAlign w:val="center"/>
          </w:tcPr>
          <w:p w14:paraId="30789A45">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构成竞争性磋商文件组成部分的“通用合同条款”、“专用合同条款”、“技术标准和要求”和“工程量清单”等章节中出现的措辞“发包人”和“承包人”，在招标投标阶段应当分别按“招标人”和“磋商响应人”进行理解</w:t>
            </w:r>
          </w:p>
        </w:tc>
      </w:tr>
      <w:tr w14:paraId="40B874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 w:hRule="atLeast"/>
          <w:jc w:val="center"/>
        </w:trPr>
        <w:tc>
          <w:tcPr>
            <w:tcW w:w="748" w:type="dxa"/>
            <w:vAlign w:val="center"/>
          </w:tcPr>
          <w:p w14:paraId="24560D9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lang w:val="en-US" w:eastAsia="zh-CN"/>
              </w:rPr>
            </w:pPr>
            <w:r>
              <w:rPr>
                <w:rFonts w:hint="eastAsia" w:ascii="宋体" w:hAnsi="宋体" w:eastAsia="宋体" w:cs="宋体"/>
                <w:b w:val="0"/>
                <w:i w:val="0"/>
                <w:caps w:val="0"/>
                <w:color w:val="auto"/>
                <w:spacing w:val="0"/>
                <w:w w:val="100"/>
                <w:sz w:val="24"/>
                <w:szCs w:val="24"/>
                <w:highlight w:val="none"/>
              </w:rPr>
              <w:t>4</w:t>
            </w:r>
            <w:r>
              <w:rPr>
                <w:rFonts w:hint="eastAsia" w:ascii="宋体" w:hAnsi="宋体" w:cs="宋体"/>
                <w:b w:val="0"/>
                <w:i w:val="0"/>
                <w:caps w:val="0"/>
                <w:color w:val="auto"/>
                <w:spacing w:val="0"/>
                <w:w w:val="100"/>
                <w:sz w:val="24"/>
                <w:szCs w:val="24"/>
                <w:highlight w:val="none"/>
                <w:lang w:val="en-US" w:eastAsia="zh-CN"/>
              </w:rPr>
              <w:t>2</w:t>
            </w:r>
          </w:p>
        </w:tc>
        <w:tc>
          <w:tcPr>
            <w:tcW w:w="3023" w:type="dxa"/>
            <w:vAlign w:val="center"/>
          </w:tcPr>
          <w:p w14:paraId="38D960A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监督</w:t>
            </w:r>
          </w:p>
        </w:tc>
        <w:tc>
          <w:tcPr>
            <w:tcW w:w="6369" w:type="dxa"/>
            <w:vAlign w:val="center"/>
          </w:tcPr>
          <w:p w14:paraId="6730B6CC">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本项目的招标投标活动及其相关当事人应当接受有管辖权的建设工程招标投标行政监督部门依法实施的监督</w:t>
            </w:r>
          </w:p>
        </w:tc>
      </w:tr>
      <w:tr w14:paraId="3C77C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748" w:type="dxa"/>
            <w:vAlign w:val="center"/>
          </w:tcPr>
          <w:p w14:paraId="6FC4E367">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43</w:t>
            </w:r>
          </w:p>
        </w:tc>
        <w:tc>
          <w:tcPr>
            <w:tcW w:w="3023" w:type="dxa"/>
            <w:vAlign w:val="center"/>
          </w:tcPr>
          <w:p w14:paraId="431223E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解释权</w:t>
            </w:r>
          </w:p>
        </w:tc>
        <w:tc>
          <w:tcPr>
            <w:tcW w:w="6369" w:type="dxa"/>
            <w:vAlign w:val="center"/>
          </w:tcPr>
          <w:p w14:paraId="57513390">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构成本竞争性磋商文件的各个组成文件应互为解释，互为说明；如有不明确或不一致，构成合同文件组成内容，以合同文件约定内容为准，且以专用合同条款约定的合同文件优先顺序解释；除竞争性磋商文件中有特别规定外，仅适用招标投标阶段的规定，按招标公告、磋商响应人须知、评标办法、响应文件格式的先后顺序解释；同一组成文件不同版本之间有不一致的，以形成时间在后者为准。按本款前述规定仍不能形成结论的，由招标代理机构负责解释。</w:t>
            </w:r>
          </w:p>
        </w:tc>
      </w:tr>
      <w:tr w14:paraId="74FEC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748" w:type="dxa"/>
            <w:vAlign w:val="center"/>
          </w:tcPr>
          <w:p w14:paraId="4D7262C6">
            <w:pPr>
              <w:snapToGrid w:val="0"/>
              <w:spacing w:before="0" w:beforeAutospacing="0" w:after="0" w:afterAutospacing="0" w:line="360" w:lineRule="auto"/>
              <w:jc w:val="center"/>
              <w:textAlignment w:val="baseline"/>
              <w:rPr>
                <w:rFonts w:hint="default" w:ascii="宋体" w:hAnsi="宋体" w:eastAsia="宋体" w:cs="宋体"/>
                <w:b w:val="0"/>
                <w:i w:val="0"/>
                <w:caps w:val="0"/>
                <w:color w:val="auto"/>
                <w:spacing w:val="0"/>
                <w:w w:val="100"/>
                <w:sz w:val="20"/>
                <w:szCs w:val="24"/>
                <w:highlight w:val="none"/>
                <w:lang w:val="en-US" w:eastAsia="zh-CN"/>
              </w:rPr>
            </w:pPr>
            <w:r>
              <w:rPr>
                <w:rFonts w:hint="eastAsia" w:ascii="宋体" w:hAnsi="宋体" w:cs="宋体"/>
                <w:b w:val="0"/>
                <w:i w:val="0"/>
                <w:caps w:val="0"/>
                <w:color w:val="auto"/>
                <w:spacing w:val="0"/>
                <w:w w:val="100"/>
                <w:sz w:val="24"/>
                <w:szCs w:val="24"/>
                <w:highlight w:val="none"/>
                <w:lang w:val="en-US" w:eastAsia="zh-CN"/>
              </w:rPr>
              <w:t>44</w:t>
            </w:r>
          </w:p>
        </w:tc>
        <w:tc>
          <w:tcPr>
            <w:tcW w:w="3023" w:type="dxa"/>
            <w:vAlign w:val="center"/>
          </w:tcPr>
          <w:p w14:paraId="4A91C35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招标服务费</w:t>
            </w:r>
          </w:p>
        </w:tc>
        <w:tc>
          <w:tcPr>
            <w:tcW w:w="6369" w:type="dxa"/>
            <w:vAlign w:val="center"/>
          </w:tcPr>
          <w:p w14:paraId="621492CC">
            <w:pPr>
              <w:snapToGrid w:val="0"/>
              <w:spacing w:before="0" w:beforeAutospacing="0" w:after="0" w:afterAutospacing="0" w:line="360" w:lineRule="auto"/>
              <w:textAlignment w:val="baseline"/>
              <w:rPr>
                <w:rFonts w:hint="default" w:ascii="宋体" w:hAnsi="宋体" w:eastAsia="宋体" w:cs="宋体"/>
                <w:b w:val="0"/>
                <w:i w:val="0"/>
                <w:caps w:val="0"/>
                <w:color w:val="auto"/>
                <w:spacing w:val="0"/>
                <w:w w:val="100"/>
                <w:sz w:val="20"/>
                <w:highlight w:val="none"/>
                <w:lang w:val="en-US" w:eastAsia="zh-CN"/>
              </w:rPr>
            </w:pPr>
            <w:r>
              <w:rPr>
                <w:rFonts w:hint="eastAsia" w:ascii="宋体" w:hAnsi="宋体" w:eastAsia="宋体" w:cs="宋体"/>
                <w:b w:val="0"/>
                <w:i w:val="0"/>
                <w:caps w:val="0"/>
                <w:color w:val="auto"/>
                <w:spacing w:val="0"/>
                <w:w w:val="100"/>
                <w:sz w:val="24"/>
                <w:highlight w:val="none"/>
              </w:rPr>
              <w:t>招标代理服务费：</w:t>
            </w:r>
            <w:r>
              <w:rPr>
                <w:rFonts w:hint="eastAsia" w:ascii="宋体" w:hAnsi="宋体" w:cs="宋体"/>
                <w:b w:val="0"/>
                <w:i w:val="0"/>
                <w:caps w:val="0"/>
                <w:color w:val="auto"/>
                <w:spacing w:val="0"/>
                <w:w w:val="100"/>
                <w:sz w:val="24"/>
                <w:highlight w:val="none"/>
                <w:lang w:val="en-US" w:eastAsia="zh-CN"/>
              </w:rPr>
              <w:t>12000.00元</w:t>
            </w:r>
          </w:p>
          <w:p w14:paraId="0544E1F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收取对象：</w:t>
            </w:r>
            <w:r>
              <w:rPr>
                <w:rFonts w:hint="eastAsia" w:ascii="宋体" w:hAnsi="宋体" w:eastAsia="宋体" w:cs="宋体"/>
                <w:b w:val="0"/>
                <w:i w:val="0"/>
                <w:caps w:val="0"/>
                <w:color w:val="auto"/>
                <w:spacing w:val="0"/>
                <w:w w:val="100"/>
                <w:sz w:val="24"/>
                <w:highlight w:val="none"/>
                <w:lang w:val="en-US" w:eastAsia="zh-CN"/>
              </w:rPr>
              <w:t>采购人</w:t>
            </w:r>
          </w:p>
          <w:p w14:paraId="253D4243">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收费标准：参照《关于进一步放开建设项目专项业务服务价格的通知》（发改价格[2015]299号）规定执行。</w:t>
            </w:r>
          </w:p>
          <w:p w14:paraId="335E3A17">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招标服务费的支付形式：转账、电汇。</w:t>
            </w:r>
          </w:p>
          <w:p w14:paraId="258E6EF6">
            <w:pPr>
              <w:pStyle w:val="10"/>
              <w:snapToGrid w:val="0"/>
              <w:spacing w:before="0" w:beforeAutospacing="0" w:after="0" w:afterAutospacing="0" w:line="360" w:lineRule="auto"/>
              <w:jc w:val="left"/>
              <w:textAlignment w:val="baseline"/>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收款单位：青海佳荣工程项目管理有限公司</w:t>
            </w:r>
          </w:p>
          <w:p w14:paraId="52F850EC">
            <w:pPr>
              <w:pStyle w:val="10"/>
              <w:snapToGrid w:val="0"/>
              <w:spacing w:before="0" w:beforeAutospacing="0" w:after="0" w:afterAutospacing="0" w:line="360" w:lineRule="auto"/>
              <w:jc w:val="left"/>
              <w:textAlignment w:val="baseline"/>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开 户 行：中信银行股份有限公司西宁西大街支行</w:t>
            </w:r>
          </w:p>
          <w:p w14:paraId="2F4E9E6F">
            <w:pPr>
              <w:pStyle w:val="10"/>
              <w:snapToGrid w:val="0"/>
              <w:spacing w:before="0" w:beforeAutospacing="0" w:after="0" w:afterAutospacing="0" w:line="360" w:lineRule="auto"/>
              <w:jc w:val="left"/>
              <w:textAlignment w:val="baseline"/>
              <w:rPr>
                <w:rFonts w:hint="eastAsia" w:ascii="宋体" w:hAnsi="宋体" w:eastAsia="宋体" w:cs="宋体"/>
                <w:b/>
                <w:bCs/>
                <w:i w:val="0"/>
                <w:caps w:val="0"/>
                <w:color w:val="auto"/>
                <w:spacing w:val="0"/>
                <w:w w:val="100"/>
                <w:sz w:val="24"/>
                <w:highlight w:val="none"/>
                <w:lang w:val="en-US" w:eastAsia="zh-CN"/>
              </w:rPr>
            </w:pPr>
            <w:r>
              <w:rPr>
                <w:rFonts w:hint="eastAsia" w:ascii="宋体" w:hAnsi="宋体" w:eastAsia="宋体" w:cs="宋体"/>
                <w:b/>
                <w:bCs/>
                <w:i w:val="0"/>
                <w:caps w:val="0"/>
                <w:color w:val="auto"/>
                <w:spacing w:val="0"/>
                <w:w w:val="100"/>
                <w:sz w:val="24"/>
                <w:highlight w:val="none"/>
                <w:lang w:val="en-US" w:eastAsia="zh-CN"/>
              </w:rPr>
              <w:t>银行账号：7590310182600006837</w:t>
            </w:r>
          </w:p>
          <w:p w14:paraId="7E3A529F">
            <w:pPr>
              <w:pStyle w:val="10"/>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中标服务费以人民币支付。</w:t>
            </w:r>
          </w:p>
          <w:p w14:paraId="7FE23B57">
            <w:pPr>
              <w:pStyle w:val="10"/>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中标服务费支付方式：自发出中标通知书之日起一次性支付全部金额。</w:t>
            </w:r>
          </w:p>
          <w:p w14:paraId="75544616">
            <w:pPr>
              <w:pStyle w:val="10"/>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中标服务费不在投标报价中单列。</w:t>
            </w:r>
          </w:p>
        </w:tc>
      </w:tr>
    </w:tbl>
    <w:p w14:paraId="2260126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bookmarkStart w:id="17" w:name="_Toc496776013"/>
      <w:bookmarkStart w:id="18" w:name="_Toc31687"/>
      <w:bookmarkStart w:id="19" w:name="_Toc414468187"/>
      <w:bookmarkStart w:id="20" w:name="_Toc20704"/>
      <w:bookmarkStart w:id="21" w:name="_Toc414468922"/>
      <w:bookmarkStart w:id="22" w:name="_Toc399690778"/>
      <w:bookmarkStart w:id="23" w:name="_Toc412629424"/>
      <w:r>
        <w:rPr>
          <w:rFonts w:hint="eastAsia" w:ascii="宋体" w:hAnsi="宋体" w:eastAsia="宋体" w:cs="宋体"/>
          <w:b w:val="0"/>
          <w:i w:val="0"/>
          <w:caps w:val="0"/>
          <w:color w:val="auto"/>
          <w:spacing w:val="0"/>
          <w:w w:val="100"/>
          <w:sz w:val="24"/>
          <w:highlight w:val="none"/>
        </w:rPr>
        <w:br w:type="page"/>
      </w:r>
    </w:p>
    <w:p w14:paraId="24F3D424">
      <w:pPr>
        <w:pStyle w:val="3"/>
        <w:snapToGrid w:val="0"/>
        <w:spacing w:before="260" w:beforeAutospacing="0" w:after="260" w:afterAutospacing="0" w:line="415" w:lineRule="auto"/>
        <w:textAlignment w:val="baseline"/>
        <w:rPr>
          <w:rFonts w:hint="eastAsia" w:ascii="宋体" w:hAnsi="宋体" w:eastAsia="宋体" w:cs="宋体"/>
          <w:b/>
          <w:i w:val="0"/>
          <w:caps w:val="0"/>
          <w:color w:val="auto"/>
          <w:spacing w:val="0"/>
          <w:w w:val="100"/>
          <w:sz w:val="24"/>
          <w:highlight w:val="none"/>
        </w:rPr>
      </w:pPr>
      <w:bookmarkStart w:id="24" w:name="_Toc9162"/>
      <w:bookmarkStart w:id="25" w:name="_Toc25841"/>
      <w:r>
        <w:rPr>
          <w:rFonts w:hint="eastAsia" w:ascii="宋体" w:hAnsi="宋体" w:eastAsia="宋体" w:cs="宋体"/>
          <w:b/>
          <w:i w:val="0"/>
          <w:caps w:val="0"/>
          <w:color w:val="auto"/>
          <w:spacing w:val="0"/>
          <w:w w:val="100"/>
          <w:sz w:val="24"/>
          <w:highlight w:val="none"/>
        </w:rPr>
        <w:t>1．总则</w:t>
      </w:r>
      <w:bookmarkEnd w:id="17"/>
      <w:bookmarkEnd w:id="18"/>
      <w:bookmarkEnd w:id="19"/>
      <w:bookmarkEnd w:id="20"/>
      <w:bookmarkEnd w:id="21"/>
      <w:bookmarkEnd w:id="24"/>
      <w:bookmarkEnd w:id="25"/>
    </w:p>
    <w:p w14:paraId="44FBD292">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6" w:name="_Toc414468923"/>
      <w:bookmarkStart w:id="27" w:name="_Toc13420"/>
      <w:bookmarkStart w:id="28" w:name="_Toc418670646"/>
      <w:bookmarkStart w:id="29" w:name="_Toc1851"/>
      <w:bookmarkStart w:id="30" w:name="_Toc414468188"/>
      <w:bookmarkStart w:id="31" w:name="_Toc496776014"/>
      <w:bookmarkStart w:id="32" w:name="_Toc21318"/>
      <w:bookmarkStart w:id="33" w:name="_Toc418594313"/>
      <w:r>
        <w:rPr>
          <w:rFonts w:hint="eastAsia" w:ascii="宋体" w:hAnsi="宋体" w:eastAsia="宋体" w:cs="宋体"/>
          <w:b/>
          <w:i w:val="0"/>
          <w:caps w:val="0"/>
          <w:color w:val="auto"/>
          <w:spacing w:val="0"/>
          <w:w w:val="100"/>
          <w:sz w:val="24"/>
          <w:szCs w:val="24"/>
          <w:highlight w:val="none"/>
        </w:rPr>
        <w:t>1.1项目概况</w:t>
      </w:r>
      <w:bookmarkEnd w:id="26"/>
      <w:bookmarkEnd w:id="27"/>
      <w:bookmarkEnd w:id="28"/>
      <w:bookmarkEnd w:id="29"/>
      <w:bookmarkEnd w:id="30"/>
      <w:bookmarkEnd w:id="31"/>
      <w:bookmarkEnd w:id="32"/>
      <w:bookmarkEnd w:id="33"/>
    </w:p>
    <w:p w14:paraId="05273B78">
      <w:pPr>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0"/>
          <w:szCs w:val="24"/>
          <w:highlight w:val="none"/>
        </w:rPr>
      </w:pPr>
      <w:bookmarkStart w:id="34" w:name="_Toc26212"/>
      <w:bookmarkStart w:id="35" w:name="_Toc32130"/>
      <w:bookmarkStart w:id="36" w:name="_Toc6636"/>
      <w:bookmarkStart w:id="37" w:name="_Toc496776015"/>
      <w:r>
        <w:rPr>
          <w:rFonts w:hint="eastAsia" w:ascii="宋体" w:hAnsi="宋体" w:eastAsia="宋体" w:cs="宋体"/>
          <w:b w:val="0"/>
          <w:i w:val="0"/>
          <w:caps w:val="0"/>
          <w:color w:val="auto"/>
          <w:spacing w:val="0"/>
          <w:w w:val="100"/>
          <w:sz w:val="24"/>
          <w:szCs w:val="24"/>
          <w:highlight w:val="none"/>
        </w:rPr>
        <w:t>1.1.1根据《中华人民共和国</w:t>
      </w:r>
      <w:r>
        <w:rPr>
          <w:rFonts w:hint="eastAsia" w:ascii="宋体" w:hAnsi="宋体" w:eastAsia="宋体" w:cs="宋体"/>
          <w:b w:val="0"/>
          <w:i w:val="0"/>
          <w:caps w:val="0"/>
          <w:color w:val="auto"/>
          <w:spacing w:val="0"/>
          <w:w w:val="100"/>
          <w:sz w:val="24"/>
          <w:szCs w:val="24"/>
          <w:highlight w:val="none"/>
          <w:lang w:eastAsia="zh-CN"/>
        </w:rPr>
        <w:t>政府采购法</w:t>
      </w:r>
      <w:r>
        <w:rPr>
          <w:rFonts w:hint="eastAsia" w:ascii="宋体" w:hAnsi="宋体" w:eastAsia="宋体" w:cs="宋体"/>
          <w:b w:val="0"/>
          <w:i w:val="0"/>
          <w:caps w:val="0"/>
          <w:color w:val="auto"/>
          <w:spacing w:val="0"/>
          <w:w w:val="100"/>
          <w:sz w:val="24"/>
          <w:szCs w:val="24"/>
          <w:highlight w:val="none"/>
        </w:rPr>
        <w:t>》等有关法律、法规和规章的规定，本招标项目已具备招标条件，现对本项目施工进行招标。</w:t>
      </w:r>
      <w:bookmarkEnd w:id="34"/>
      <w:bookmarkEnd w:id="35"/>
      <w:bookmarkEnd w:id="36"/>
      <w:bookmarkEnd w:id="37"/>
    </w:p>
    <w:p w14:paraId="370BA612">
      <w:pPr>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1.1.2本招标项目招标人：</w:t>
      </w:r>
      <w:r>
        <w:rPr>
          <w:rFonts w:hint="eastAsia" w:ascii="宋体" w:hAnsi="宋体" w:cs="宋体"/>
          <w:b w:val="0"/>
          <w:i w:val="0"/>
          <w:caps w:val="0"/>
          <w:color w:val="auto"/>
          <w:spacing w:val="0"/>
          <w:w w:val="100"/>
          <w:sz w:val="24"/>
          <w:szCs w:val="24"/>
          <w:highlight w:val="none"/>
          <w:lang w:eastAsia="zh-CN"/>
        </w:rPr>
        <w:t>茫崖市建设和交通运输局</w:t>
      </w:r>
    </w:p>
    <w:p w14:paraId="4C8497BB">
      <w:pPr>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eastAsia="宋体" w:cs="宋体"/>
          <w:b w:val="0"/>
          <w:i w:val="0"/>
          <w:caps w:val="0"/>
          <w:color w:val="auto"/>
          <w:spacing w:val="0"/>
          <w:w w:val="100"/>
          <w:sz w:val="24"/>
          <w:szCs w:val="24"/>
          <w:highlight w:val="none"/>
        </w:rPr>
        <w:t>1.1.3本项目招标代理机构：</w:t>
      </w:r>
      <w:r>
        <w:rPr>
          <w:rFonts w:hint="eastAsia" w:ascii="宋体" w:hAnsi="宋体" w:cs="宋体"/>
          <w:b w:val="0"/>
          <w:i w:val="0"/>
          <w:caps w:val="0"/>
          <w:color w:val="auto"/>
          <w:spacing w:val="0"/>
          <w:w w:val="100"/>
          <w:sz w:val="24"/>
          <w:szCs w:val="24"/>
          <w:highlight w:val="none"/>
          <w:lang w:eastAsia="zh-CN"/>
        </w:rPr>
        <w:t>青海佳荣工程项目管理有限公司</w:t>
      </w:r>
    </w:p>
    <w:p w14:paraId="07525B58">
      <w:pPr>
        <w:snapToGrid w:val="0"/>
        <w:spacing w:before="0" w:beforeAutospacing="0" w:after="0" w:afterAutospacing="0" w:line="360" w:lineRule="auto"/>
        <w:ind w:firstLine="480" w:firstLineChars="200"/>
        <w:jc w:val="both"/>
        <w:textAlignment w:val="baseline"/>
        <w:rPr>
          <w:rFonts w:hint="eastAsia" w:ascii="宋体" w:hAnsi="宋体" w:cs="宋体"/>
          <w:b w:val="0"/>
          <w:bCs/>
          <w:i w:val="0"/>
          <w:caps w:val="0"/>
          <w:color w:val="auto"/>
          <w:spacing w:val="0"/>
          <w:w w:val="100"/>
          <w:sz w:val="24"/>
          <w:szCs w:val="24"/>
          <w:highlight w:val="none"/>
          <w:lang w:eastAsia="zh-CN"/>
        </w:rPr>
      </w:pPr>
      <w:r>
        <w:rPr>
          <w:rFonts w:hint="eastAsia" w:ascii="宋体" w:hAnsi="宋体" w:eastAsia="宋体" w:cs="宋体"/>
          <w:b w:val="0"/>
          <w:i w:val="0"/>
          <w:caps w:val="0"/>
          <w:color w:val="auto"/>
          <w:spacing w:val="0"/>
          <w:w w:val="100"/>
          <w:sz w:val="24"/>
          <w:szCs w:val="24"/>
          <w:highlight w:val="none"/>
        </w:rPr>
        <w:t>1.1.4本招标项目名称：</w:t>
      </w:r>
      <w:r>
        <w:rPr>
          <w:rFonts w:hint="eastAsia" w:ascii="宋体" w:hAnsi="宋体" w:cs="宋体"/>
          <w:b w:val="0"/>
          <w:bCs/>
          <w:i w:val="0"/>
          <w:caps w:val="0"/>
          <w:color w:val="auto"/>
          <w:spacing w:val="0"/>
          <w:w w:val="100"/>
          <w:sz w:val="24"/>
          <w:szCs w:val="24"/>
          <w:highlight w:val="none"/>
          <w:lang w:eastAsia="zh-CN"/>
        </w:rPr>
        <w:t>G315国道茫崖市黄瓜梁至茫崖镇路口路域环境整治项目</w:t>
      </w:r>
    </w:p>
    <w:p w14:paraId="15A39FC0">
      <w:pPr>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0"/>
          <w:szCs w:val="24"/>
          <w:highlight w:val="none"/>
          <w:lang w:val="en-US" w:eastAsia="zh-CN"/>
        </w:rPr>
      </w:pPr>
      <w:r>
        <w:rPr>
          <w:rFonts w:hint="eastAsia" w:ascii="宋体" w:hAnsi="宋体" w:eastAsia="宋体" w:cs="宋体"/>
          <w:b w:val="0"/>
          <w:i w:val="0"/>
          <w:caps w:val="0"/>
          <w:color w:val="auto"/>
          <w:spacing w:val="0"/>
          <w:w w:val="100"/>
          <w:sz w:val="24"/>
          <w:szCs w:val="24"/>
          <w:highlight w:val="none"/>
        </w:rPr>
        <w:t>1.1.5本项目建设地点：</w:t>
      </w:r>
      <w:r>
        <w:rPr>
          <w:rFonts w:hint="eastAsia" w:ascii="宋体" w:hAnsi="宋体" w:cs="宋体"/>
          <w:b w:val="0"/>
          <w:bCs/>
          <w:i w:val="0"/>
          <w:caps w:val="0"/>
          <w:color w:val="auto"/>
          <w:spacing w:val="0"/>
          <w:w w:val="100"/>
          <w:sz w:val="24"/>
          <w:szCs w:val="24"/>
          <w:highlight w:val="none"/>
          <w:lang w:val="en-US" w:eastAsia="zh-CN"/>
        </w:rPr>
        <w:t>青海省海西州茫崖市</w:t>
      </w:r>
    </w:p>
    <w:p w14:paraId="5D7D8015">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8" w:name="_Toc17048"/>
      <w:bookmarkStart w:id="39" w:name="_Toc418594314"/>
      <w:bookmarkStart w:id="40" w:name="_Toc418670647"/>
      <w:bookmarkStart w:id="41" w:name="_Toc496776016"/>
      <w:bookmarkStart w:id="42" w:name="_Toc28098"/>
      <w:bookmarkStart w:id="43" w:name="_Toc414468924"/>
      <w:bookmarkStart w:id="44" w:name="_Toc414468189"/>
      <w:bookmarkStart w:id="45" w:name="_Toc31628"/>
      <w:r>
        <w:rPr>
          <w:rFonts w:hint="eastAsia" w:ascii="宋体" w:hAnsi="宋体" w:eastAsia="宋体" w:cs="宋体"/>
          <w:b/>
          <w:i w:val="0"/>
          <w:caps w:val="0"/>
          <w:color w:val="auto"/>
          <w:spacing w:val="0"/>
          <w:w w:val="100"/>
          <w:sz w:val="24"/>
          <w:szCs w:val="24"/>
          <w:highlight w:val="none"/>
        </w:rPr>
        <w:t>1.2资金来源和落实情况</w:t>
      </w:r>
      <w:bookmarkEnd w:id="38"/>
      <w:bookmarkEnd w:id="39"/>
      <w:bookmarkEnd w:id="40"/>
      <w:bookmarkEnd w:id="41"/>
      <w:bookmarkEnd w:id="42"/>
      <w:bookmarkEnd w:id="43"/>
      <w:bookmarkEnd w:id="44"/>
      <w:bookmarkEnd w:id="45"/>
    </w:p>
    <w:p w14:paraId="61A887CA">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1.2.1本招标项目的资金来源：</w:t>
      </w:r>
      <w:r>
        <w:rPr>
          <w:rFonts w:hint="eastAsia" w:ascii="宋体" w:hAnsi="宋体" w:cs="宋体"/>
          <w:b w:val="0"/>
          <w:i w:val="0"/>
          <w:caps w:val="0"/>
          <w:color w:val="auto"/>
          <w:spacing w:val="0"/>
          <w:w w:val="100"/>
          <w:sz w:val="24"/>
          <w:szCs w:val="24"/>
          <w:highlight w:val="none"/>
          <w:lang w:val="en-US" w:eastAsia="zh-CN"/>
        </w:rPr>
        <w:t>财政资金</w:t>
      </w:r>
      <w:r>
        <w:rPr>
          <w:rFonts w:hint="eastAsia" w:ascii="宋体" w:hAnsi="宋体" w:eastAsia="宋体" w:cs="宋体"/>
          <w:b w:val="0"/>
          <w:i w:val="0"/>
          <w:caps w:val="0"/>
          <w:color w:val="auto"/>
          <w:spacing w:val="0"/>
          <w:w w:val="100"/>
          <w:sz w:val="24"/>
          <w:szCs w:val="24"/>
          <w:highlight w:val="none"/>
        </w:rPr>
        <w:t>。</w:t>
      </w:r>
    </w:p>
    <w:p w14:paraId="2F8A913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1.2.2本招标项目的出资比例：100%。</w:t>
      </w:r>
    </w:p>
    <w:p w14:paraId="0F1F285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1.2.3本招标项目的资金落实情况：已落实。</w:t>
      </w:r>
    </w:p>
    <w:p w14:paraId="10F4C49E">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46" w:name="_Toc418670648"/>
      <w:bookmarkStart w:id="47" w:name="_Toc16024"/>
      <w:bookmarkStart w:id="48" w:name="_Toc414468925"/>
      <w:bookmarkStart w:id="49" w:name="_Toc418594315"/>
      <w:bookmarkStart w:id="50" w:name="_Toc496776017"/>
      <w:bookmarkStart w:id="51" w:name="_Toc414468190"/>
      <w:bookmarkStart w:id="52" w:name="_Toc1644"/>
      <w:bookmarkStart w:id="53" w:name="_Toc24866"/>
      <w:r>
        <w:rPr>
          <w:rFonts w:hint="eastAsia" w:ascii="宋体" w:hAnsi="宋体" w:eastAsia="宋体" w:cs="宋体"/>
          <w:b/>
          <w:i w:val="0"/>
          <w:caps w:val="0"/>
          <w:color w:val="auto"/>
          <w:spacing w:val="0"/>
          <w:w w:val="100"/>
          <w:sz w:val="24"/>
          <w:szCs w:val="24"/>
          <w:highlight w:val="none"/>
        </w:rPr>
        <w:t>1.3招标范围、计划工期和质量要求</w:t>
      </w:r>
      <w:bookmarkEnd w:id="46"/>
      <w:bookmarkEnd w:id="47"/>
      <w:bookmarkEnd w:id="48"/>
      <w:bookmarkEnd w:id="49"/>
      <w:bookmarkEnd w:id="50"/>
      <w:bookmarkEnd w:id="51"/>
      <w:bookmarkEnd w:id="52"/>
      <w:bookmarkEnd w:id="53"/>
    </w:p>
    <w:p w14:paraId="537465F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1.3.1本次招标范围：见磋商响应人须知前附表。</w:t>
      </w:r>
    </w:p>
    <w:p w14:paraId="037CB94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1.3.2本项目的计划工期</w:t>
      </w:r>
      <w:r>
        <w:rPr>
          <w:rFonts w:hint="eastAsia" w:ascii="宋体" w:hAnsi="宋体" w:eastAsia="宋体" w:cs="宋体"/>
          <w:b w:val="0"/>
          <w:i w:val="0"/>
          <w:caps w:val="0"/>
          <w:color w:val="auto"/>
          <w:spacing w:val="0"/>
          <w:w w:val="100"/>
          <w:sz w:val="24"/>
          <w:szCs w:val="24"/>
          <w:highlight w:val="none"/>
          <w:lang w:eastAsia="zh-CN"/>
        </w:rPr>
        <w:t>：</w:t>
      </w:r>
      <w:r>
        <w:rPr>
          <w:rFonts w:hint="eastAsia" w:ascii="宋体" w:hAnsi="宋体" w:eastAsia="宋体" w:cs="宋体"/>
          <w:b w:val="0"/>
          <w:i w:val="0"/>
          <w:caps w:val="0"/>
          <w:color w:val="auto"/>
          <w:spacing w:val="0"/>
          <w:w w:val="100"/>
          <w:sz w:val="24"/>
          <w:szCs w:val="24"/>
          <w:highlight w:val="none"/>
        </w:rPr>
        <w:t>见磋商响应人须知前附表。</w:t>
      </w:r>
    </w:p>
    <w:p w14:paraId="161F379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1.3.3本项目的质量要求：达到国家质量与评定标准合格质量等级。</w:t>
      </w:r>
    </w:p>
    <w:p w14:paraId="4298879F">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54" w:name="_Toc11701"/>
      <w:bookmarkStart w:id="55" w:name="_Toc414468926"/>
      <w:bookmarkStart w:id="56" w:name="_Toc418670649"/>
      <w:bookmarkStart w:id="57" w:name="_Toc414468191"/>
      <w:bookmarkStart w:id="58" w:name="_Toc24215"/>
      <w:bookmarkStart w:id="59" w:name="_Toc23650"/>
      <w:bookmarkStart w:id="60" w:name="_Toc496776018"/>
      <w:bookmarkStart w:id="61" w:name="_Toc418594316"/>
      <w:r>
        <w:rPr>
          <w:rFonts w:hint="eastAsia" w:ascii="宋体" w:hAnsi="宋体" w:eastAsia="宋体" w:cs="宋体"/>
          <w:b/>
          <w:i w:val="0"/>
          <w:caps w:val="0"/>
          <w:color w:val="auto"/>
          <w:spacing w:val="0"/>
          <w:w w:val="100"/>
          <w:sz w:val="24"/>
          <w:szCs w:val="24"/>
          <w:highlight w:val="none"/>
        </w:rPr>
        <w:t>1.4磋商响应人资格要求</w:t>
      </w:r>
      <w:bookmarkEnd w:id="54"/>
      <w:bookmarkEnd w:id="55"/>
      <w:bookmarkEnd w:id="56"/>
      <w:bookmarkEnd w:id="57"/>
      <w:bookmarkEnd w:id="58"/>
      <w:bookmarkEnd w:id="59"/>
      <w:bookmarkEnd w:id="60"/>
      <w:bookmarkEnd w:id="61"/>
    </w:p>
    <w:p w14:paraId="7C7633F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sz w:val="24"/>
          <w:szCs w:val="24"/>
          <w:highlight w:val="none"/>
        </w:rPr>
        <w:t>1.4.1、</w:t>
      </w:r>
      <w:r>
        <w:rPr>
          <w:rFonts w:hint="eastAsia" w:ascii="宋体" w:hAnsi="宋体" w:eastAsia="宋体" w:cs="宋体"/>
          <w:b w:val="0"/>
          <w:i w:val="0"/>
          <w:caps w:val="0"/>
          <w:color w:val="auto"/>
          <w:spacing w:val="0"/>
          <w:w w:val="100"/>
          <w:kern w:val="0"/>
          <w:sz w:val="24"/>
          <w:highlight w:val="none"/>
          <w:lang w:val="zh-CN"/>
        </w:rPr>
        <w:t>符合《政府采购法》第22条条件，并提供下列材料：</w:t>
      </w:r>
    </w:p>
    <w:p w14:paraId="38F977AE">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rPr>
        <w:t>1)</w:t>
      </w:r>
      <w:r>
        <w:rPr>
          <w:rFonts w:hint="eastAsia" w:ascii="宋体" w:hAnsi="宋体" w:eastAsia="宋体" w:cs="宋体"/>
          <w:b w:val="0"/>
          <w:i w:val="0"/>
          <w:caps w:val="0"/>
          <w:color w:val="auto"/>
          <w:spacing w:val="0"/>
          <w:w w:val="100"/>
          <w:kern w:val="0"/>
          <w:sz w:val="24"/>
          <w:highlight w:val="none"/>
          <w:lang w:val="zh-CN"/>
        </w:rPr>
        <w:t>磋商响应人的营业执照等证明文件，自然人的身份证明。</w:t>
      </w:r>
    </w:p>
    <w:p w14:paraId="524A7587">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rPr>
        <w:t>2)</w:t>
      </w:r>
      <w:r>
        <w:rPr>
          <w:rFonts w:hint="eastAsia" w:ascii="宋体" w:hAnsi="宋体" w:eastAsia="宋体" w:cs="宋体"/>
          <w:b w:val="0"/>
          <w:i w:val="0"/>
          <w:caps w:val="0"/>
          <w:color w:val="auto"/>
          <w:spacing w:val="0"/>
          <w:w w:val="100"/>
          <w:kern w:val="0"/>
          <w:sz w:val="24"/>
          <w:highlight w:val="none"/>
          <w:lang w:val="zh-CN"/>
        </w:rPr>
        <w:t>财务状况报告，依法缴纳税收和社会保障资金的相关材料。</w:t>
      </w:r>
    </w:p>
    <w:p w14:paraId="00297348">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rPr>
        <w:t>3)</w:t>
      </w:r>
      <w:r>
        <w:rPr>
          <w:rFonts w:hint="eastAsia" w:ascii="宋体" w:hAnsi="宋体" w:eastAsia="宋体" w:cs="宋体"/>
          <w:b w:val="0"/>
          <w:i w:val="0"/>
          <w:caps w:val="0"/>
          <w:color w:val="auto"/>
          <w:spacing w:val="0"/>
          <w:w w:val="100"/>
          <w:kern w:val="0"/>
          <w:sz w:val="24"/>
          <w:highlight w:val="none"/>
          <w:lang w:val="zh-CN"/>
        </w:rPr>
        <w:t>具备履行合同所必需的设备和专业技术能力的证明材料。</w:t>
      </w:r>
    </w:p>
    <w:p w14:paraId="06436609">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rPr>
        <w:t>4)</w:t>
      </w:r>
      <w:r>
        <w:rPr>
          <w:rFonts w:hint="eastAsia" w:ascii="宋体" w:hAnsi="宋体" w:eastAsia="宋体" w:cs="宋体"/>
          <w:b w:val="0"/>
          <w:i w:val="0"/>
          <w:caps w:val="0"/>
          <w:color w:val="auto"/>
          <w:spacing w:val="0"/>
          <w:w w:val="100"/>
          <w:kern w:val="0"/>
          <w:sz w:val="24"/>
          <w:highlight w:val="none"/>
          <w:lang w:val="zh-CN"/>
        </w:rPr>
        <w:t>参加政府采购活动前3年内在经营活动中没有重大违法记录的书面声明。</w:t>
      </w:r>
    </w:p>
    <w:p w14:paraId="0CA38333">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rPr>
        <w:t>5)</w:t>
      </w:r>
      <w:r>
        <w:rPr>
          <w:rFonts w:hint="eastAsia" w:ascii="宋体" w:hAnsi="宋体" w:eastAsia="宋体" w:cs="宋体"/>
          <w:b w:val="0"/>
          <w:i w:val="0"/>
          <w:caps w:val="0"/>
          <w:color w:val="auto"/>
          <w:spacing w:val="0"/>
          <w:w w:val="100"/>
          <w:kern w:val="0"/>
          <w:sz w:val="24"/>
          <w:highlight w:val="none"/>
          <w:lang w:val="zh-CN"/>
        </w:rPr>
        <w:t>具备法律、行政法规规定的其他条件的证明材料。</w:t>
      </w:r>
    </w:p>
    <w:p w14:paraId="1DDEB32F">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lang w:val="en-US" w:eastAsia="zh-CN"/>
        </w:rPr>
        <w:t>2、</w:t>
      </w:r>
      <w:r>
        <w:rPr>
          <w:rFonts w:hint="eastAsia" w:ascii="宋体" w:hAnsi="宋体" w:eastAsia="宋体" w:cs="宋体"/>
          <w:b w:val="0"/>
          <w:i w:val="0"/>
          <w:caps w:val="0"/>
          <w:color w:val="auto"/>
          <w:spacing w:val="0"/>
          <w:w w:val="100"/>
          <w:kern w:val="0"/>
          <w:sz w:val="24"/>
          <w:highlight w:val="none"/>
          <w:lang w:val="zh-CN"/>
        </w:rPr>
        <w:t xml:space="preserve"> 单位负责人为同一人或者存在直接控股、管理关系的不同磋商响应人，不得参加同一合同项下的政府采购活动。否则，皆取消投标资格；</w:t>
      </w:r>
    </w:p>
    <w:p w14:paraId="08FEB578">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lang w:val="en-US" w:eastAsia="zh-CN"/>
        </w:rPr>
        <w:t>3、</w:t>
      </w:r>
      <w:r>
        <w:rPr>
          <w:rFonts w:hint="eastAsia" w:ascii="宋体" w:hAnsi="宋体" w:eastAsia="宋体" w:cs="宋体"/>
          <w:b w:val="0"/>
          <w:i w:val="0"/>
          <w:caps w:val="0"/>
          <w:color w:val="auto"/>
          <w:spacing w:val="0"/>
          <w:w w:val="100"/>
          <w:kern w:val="0"/>
          <w:sz w:val="24"/>
          <w:highlight w:val="none"/>
          <w:lang w:val="zh-CN"/>
        </w:rPr>
        <w:t xml:space="preserve"> 为本采购项目提供整体设计、规范编制或者项目管理、监理、检测等服务的磋商响应人，不得再参加该采购项目的其他采购活动；</w:t>
      </w:r>
    </w:p>
    <w:p w14:paraId="7F575327">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kern w:val="0"/>
          <w:sz w:val="24"/>
          <w:highlight w:val="none"/>
          <w:lang w:val="zh-CN"/>
        </w:rPr>
      </w:pPr>
      <w:r>
        <w:rPr>
          <w:rFonts w:hint="eastAsia" w:ascii="宋体" w:hAnsi="宋体" w:eastAsia="宋体" w:cs="宋体"/>
          <w:b w:val="0"/>
          <w:i w:val="0"/>
          <w:caps w:val="0"/>
          <w:color w:val="auto"/>
          <w:spacing w:val="0"/>
          <w:w w:val="100"/>
          <w:kern w:val="0"/>
          <w:sz w:val="24"/>
          <w:highlight w:val="none"/>
          <w:lang w:val="en-US" w:eastAsia="zh-CN"/>
        </w:rPr>
        <w:t>4、</w:t>
      </w:r>
      <w:r>
        <w:rPr>
          <w:rFonts w:hint="eastAsia" w:ascii="宋体" w:hAnsi="宋体" w:eastAsia="宋体" w:cs="宋体"/>
          <w:b w:val="0"/>
          <w:i w:val="0"/>
          <w:caps w:val="0"/>
          <w:color w:val="auto"/>
          <w:spacing w:val="0"/>
          <w:w w:val="100"/>
          <w:kern w:val="0"/>
          <w:sz w:val="24"/>
          <w:highlight w:val="none"/>
          <w:lang w:val="zh-CN"/>
        </w:rPr>
        <w:t>本项目不接受磋商响应人以联合体方式进行投标；</w:t>
      </w:r>
    </w:p>
    <w:p w14:paraId="582C63C5">
      <w:pPr>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kern w:val="0"/>
          <w:sz w:val="24"/>
          <w:highlight w:val="none"/>
          <w:lang w:val="en-US" w:eastAsia="zh-CN"/>
        </w:rPr>
        <w:t>5、</w:t>
      </w:r>
      <w:r>
        <w:rPr>
          <w:rFonts w:hint="eastAsia" w:ascii="宋体" w:hAnsi="宋体" w:eastAsia="宋体" w:cs="宋体"/>
          <w:b w:val="0"/>
          <w:i w:val="0"/>
          <w:caps w:val="0"/>
          <w:color w:val="auto"/>
          <w:spacing w:val="0"/>
          <w:w w:val="100"/>
          <w:kern w:val="0"/>
          <w:sz w:val="24"/>
          <w:szCs w:val="24"/>
          <w:highlight w:val="none"/>
          <w:lang w:val="zh-CN" w:eastAsia="zh-CN" w:bidi="ar-SA"/>
        </w:rPr>
        <w:t xml:space="preserve"> 经信用中国（www.creditchina.gov.cn）、中国政府采购网（www.ccgp.gov.cn）等渠道查询后，列入失信被执行人、重大税收违法案件当事人名单、政府采购严重违法失信行为记录名单的，取消投标资格。（提供“信用中国及中国政府采购网”网站无任何不良记录的查询截图，时间为投标截止时间前20天内）；</w:t>
      </w:r>
    </w:p>
    <w:p w14:paraId="1FAC958C">
      <w:pPr>
        <w:snapToGrid w:val="0"/>
        <w:spacing w:before="0" w:beforeAutospacing="0" w:after="0" w:afterAutospacing="0" w:line="360" w:lineRule="auto"/>
        <w:ind w:firstLine="240" w:firstLineChars="100"/>
        <w:jc w:val="both"/>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6、其他资质条件：</w:t>
      </w:r>
    </w:p>
    <w:p w14:paraId="2580B84F">
      <w:pPr>
        <w:ind w:firstLine="240" w:firstLineChars="100"/>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1）磋商响应人须具有</w:t>
      </w:r>
      <w:r>
        <w:rPr>
          <w:rFonts w:hint="eastAsia" w:asciiTheme="majorEastAsia" w:hAnsiTheme="majorEastAsia" w:eastAsiaTheme="majorEastAsia" w:cstheme="majorEastAsia"/>
          <w:color w:val="auto"/>
          <w:szCs w:val="24"/>
          <w:lang w:eastAsia="zh-CN"/>
        </w:rPr>
        <w:t>市政工程总承包叁级（含）及以上资质，并在人员、设备资金等方面具有相应的能力(含)</w:t>
      </w:r>
      <w:r>
        <w:rPr>
          <w:rFonts w:hint="eastAsia" w:asciiTheme="majorEastAsia" w:hAnsiTheme="majorEastAsia" w:eastAsiaTheme="majorEastAsia" w:cstheme="majorEastAsia"/>
          <w:color w:val="auto"/>
          <w:szCs w:val="24"/>
        </w:rPr>
        <w:t>及以上资质，并在人员、设备、资金等方面具有承担本工程相应的施工能力；</w:t>
      </w:r>
    </w:p>
    <w:p w14:paraId="02E45DE3">
      <w:pPr>
        <w:ind w:firstLine="240" w:firstLineChars="100"/>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2）磋商响应人拟派项目经理须具备</w:t>
      </w:r>
      <w:r>
        <w:rPr>
          <w:rFonts w:hint="eastAsia" w:asciiTheme="majorEastAsia" w:hAnsiTheme="majorEastAsia" w:eastAsiaTheme="majorEastAsia" w:cstheme="majorEastAsia"/>
          <w:color w:val="auto"/>
          <w:szCs w:val="24"/>
          <w:lang w:eastAsia="zh-CN"/>
        </w:rPr>
        <w:t>市政工程专业二级（含以上级）注册建造师执业资格，具备有效的安全生产考核合格证书</w:t>
      </w:r>
      <w:r>
        <w:rPr>
          <w:rFonts w:hint="eastAsia" w:asciiTheme="majorEastAsia" w:hAnsiTheme="majorEastAsia" w:eastAsiaTheme="majorEastAsia" w:cstheme="majorEastAsia"/>
          <w:color w:val="auto"/>
          <w:szCs w:val="24"/>
        </w:rPr>
        <w:t>；</w:t>
      </w:r>
    </w:p>
    <w:p w14:paraId="02720A6C">
      <w:pPr>
        <w:ind w:firstLine="240" w:firstLineChars="100"/>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rPr>
        <w:t>3）</w:t>
      </w:r>
      <w:r>
        <w:rPr>
          <w:rFonts w:hint="eastAsia" w:asciiTheme="majorEastAsia" w:hAnsiTheme="majorEastAsia" w:eastAsiaTheme="majorEastAsia" w:cstheme="majorEastAsia"/>
          <w:color w:val="auto"/>
          <w:szCs w:val="24"/>
          <w:lang w:eastAsia="zh-CN"/>
        </w:rPr>
        <w:t>磋商</w:t>
      </w:r>
      <w:r>
        <w:rPr>
          <w:rFonts w:hint="eastAsia" w:asciiTheme="majorEastAsia" w:hAnsiTheme="majorEastAsia" w:eastAsiaTheme="majorEastAsia" w:cstheme="majorEastAsia"/>
          <w:color w:val="auto"/>
          <w:szCs w:val="24"/>
        </w:rPr>
        <w:t>响应人须具有有效的安全生产许可证；</w:t>
      </w:r>
    </w:p>
    <w:p w14:paraId="7B95D887">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Theme="majorEastAsia" w:hAnsiTheme="majorEastAsia" w:eastAsiaTheme="majorEastAsia" w:cstheme="majorEastAsia"/>
          <w:color w:val="auto"/>
          <w:szCs w:val="24"/>
          <w:highlight w:val="none"/>
          <w:lang w:val="en-US" w:eastAsia="zh-CN"/>
        </w:rPr>
      </w:pPr>
      <w:r>
        <w:rPr>
          <w:rFonts w:hint="eastAsia" w:asciiTheme="majorEastAsia" w:hAnsiTheme="majorEastAsia" w:eastAsiaTheme="majorEastAsia" w:cstheme="majorEastAsia"/>
          <w:color w:val="auto"/>
          <w:szCs w:val="24"/>
          <w:highlight w:val="none"/>
          <w:lang w:val="en-US" w:eastAsia="zh-CN"/>
        </w:rPr>
        <w:t>4）省外企业须提供有效期内的进青备案登记手续；</w:t>
      </w:r>
    </w:p>
    <w:p w14:paraId="3EF8BD98">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jc w:val="both"/>
        <w:textAlignment w:val="auto"/>
        <w:rPr>
          <w:rFonts w:hint="eastAsia" w:asciiTheme="majorEastAsia" w:hAnsiTheme="majorEastAsia" w:eastAsiaTheme="majorEastAsia" w:cstheme="majorEastAsia"/>
          <w:color w:val="auto"/>
          <w:szCs w:val="24"/>
          <w:highlight w:val="none"/>
          <w:lang w:val="en-US" w:eastAsia="zh-CN"/>
        </w:rPr>
      </w:pPr>
      <w:r>
        <w:rPr>
          <w:rFonts w:hint="eastAsia" w:asciiTheme="majorEastAsia" w:hAnsiTheme="majorEastAsia" w:eastAsiaTheme="majorEastAsia" w:cstheme="majorEastAsia"/>
          <w:color w:val="auto"/>
          <w:szCs w:val="24"/>
          <w:lang w:val="en-US" w:eastAsia="zh-CN"/>
        </w:rPr>
        <w:t>7、</w:t>
      </w:r>
      <w:r>
        <w:rPr>
          <w:rFonts w:hint="eastAsia" w:ascii="宋体" w:hAnsi="宋体" w:cs="宋体" w:eastAsiaTheme="minorEastAsia"/>
          <w:b w:val="0"/>
          <w:bCs w:val="0"/>
          <w:color w:val="auto"/>
          <w:kern w:val="0"/>
          <w:sz w:val="24"/>
          <w:szCs w:val="24"/>
          <w:lang w:val="en-US" w:eastAsia="zh-CN" w:bidi="ar"/>
        </w:rPr>
        <w:t>本项目落实政府采购需满足的资格条件：本项目专门面向中小企业采购，投标人须提供中小企业声明函或监狱企业、残疾人企业证明材料。</w:t>
      </w:r>
    </w:p>
    <w:p w14:paraId="686EAA21">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1.4.2磋商响应人须知前附表规定接受联合体投标的，除应符合本章第1.4.1项和磋商响应人须知前附表的要求外，还应遵守以下规定（本项目不适用）：</w:t>
      </w:r>
    </w:p>
    <w:p w14:paraId="4D2867C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（1）联合体各方应按竞争性磋商提供的格式签订联合体协议书，明确联合体牵头人和各方权利义务；</w:t>
      </w:r>
    </w:p>
    <w:p w14:paraId="1C6A7C20">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4"/>
          <w:highlight w:val="none"/>
        </w:rPr>
      </w:pPr>
      <w:bookmarkStart w:id="62" w:name="_Toc496776019"/>
      <w:r>
        <w:rPr>
          <w:rFonts w:hint="eastAsia" w:ascii="宋体" w:hAnsi="宋体" w:eastAsia="宋体" w:cs="宋体"/>
          <w:b w:val="0"/>
          <w:i w:val="0"/>
          <w:caps w:val="0"/>
          <w:color w:val="auto"/>
          <w:spacing w:val="0"/>
          <w:w w:val="100"/>
          <w:sz w:val="24"/>
          <w:szCs w:val="24"/>
          <w:highlight w:val="none"/>
        </w:rPr>
        <w:t>（2）由同一专业的单位组成的联合体，按照资质登记较低的单位确定资质等级；</w:t>
      </w:r>
      <w:bookmarkEnd w:id="62"/>
    </w:p>
    <w:p w14:paraId="0330025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（3）联合体各方不得再以自己名义单独或参加其他联合体在同一标段中投标。</w:t>
      </w:r>
    </w:p>
    <w:p w14:paraId="7F80308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1.4.3磋商响应人不得存在下列情形之一：</w:t>
      </w:r>
    </w:p>
    <w:p w14:paraId="4A3852E6">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4"/>
          <w:highlight w:val="none"/>
        </w:rPr>
      </w:pPr>
      <w:bookmarkStart w:id="63" w:name="_Toc496776020"/>
      <w:r>
        <w:rPr>
          <w:rFonts w:hint="eastAsia" w:ascii="宋体" w:hAnsi="宋体" w:eastAsia="宋体" w:cs="宋体"/>
          <w:b w:val="0"/>
          <w:i w:val="0"/>
          <w:caps w:val="0"/>
          <w:color w:val="auto"/>
          <w:spacing w:val="0"/>
          <w:w w:val="100"/>
          <w:sz w:val="24"/>
          <w:szCs w:val="24"/>
          <w:highlight w:val="none"/>
        </w:rPr>
        <w:t>（1）为招标人不具有独立法人资格的附属机构（单位）；</w:t>
      </w:r>
      <w:bookmarkEnd w:id="63"/>
    </w:p>
    <w:p w14:paraId="22F1D33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（2）为本项目前期准备提供设计或咨询服务的，但设计施工总承包的除外；</w:t>
      </w:r>
    </w:p>
    <w:p w14:paraId="1852A19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（3）为本项目的监理人；</w:t>
      </w:r>
    </w:p>
    <w:p w14:paraId="2A9C80A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（4）为本项目的代建人；</w:t>
      </w:r>
    </w:p>
    <w:p w14:paraId="6D64C99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（5）为本项目提供招标代理服务的；</w:t>
      </w:r>
    </w:p>
    <w:p w14:paraId="05EC902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（6）与本项目的监理人或代建人或招标代理机构同为一个法定代表人的；</w:t>
      </w:r>
    </w:p>
    <w:p w14:paraId="2B75486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（7）与本项目的监理人或代建人或招标代理机构相互控股或参股的；</w:t>
      </w:r>
    </w:p>
    <w:p w14:paraId="4205CFD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（8）与本项目的监理人或代建人或招标代理机构相互任职或工作的；</w:t>
      </w:r>
    </w:p>
    <w:p w14:paraId="7FA3713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（9）被责令停业的；</w:t>
      </w:r>
    </w:p>
    <w:p w14:paraId="16BB176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（10）被暂定或取消投标资格的；</w:t>
      </w:r>
    </w:p>
    <w:p w14:paraId="3338B11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（11）财产被接管或冻结的；</w:t>
      </w:r>
    </w:p>
    <w:p w14:paraId="3BAAA4A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（12）在最近三年内有骗取中标或严重违约或重大工程质量问题的。</w:t>
      </w:r>
    </w:p>
    <w:p w14:paraId="5A6A5490">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64" w:name="_Toc18009"/>
      <w:bookmarkStart w:id="65" w:name="_Toc9746"/>
      <w:bookmarkStart w:id="66" w:name="_Toc418670650"/>
      <w:bookmarkStart w:id="67" w:name="_Toc496776021"/>
      <w:bookmarkStart w:id="68" w:name="_Toc12579"/>
      <w:bookmarkStart w:id="69" w:name="_Toc418594317"/>
      <w:bookmarkStart w:id="70" w:name="_Toc414468192"/>
      <w:bookmarkStart w:id="71" w:name="_Toc414468927"/>
      <w:r>
        <w:rPr>
          <w:rFonts w:hint="eastAsia" w:ascii="宋体" w:hAnsi="宋体" w:eastAsia="宋体" w:cs="宋体"/>
          <w:b/>
          <w:i w:val="0"/>
          <w:caps w:val="0"/>
          <w:color w:val="auto"/>
          <w:spacing w:val="0"/>
          <w:w w:val="100"/>
          <w:sz w:val="24"/>
          <w:szCs w:val="24"/>
          <w:highlight w:val="none"/>
        </w:rPr>
        <w:t>1.5费用承担</w:t>
      </w:r>
      <w:bookmarkEnd w:id="64"/>
      <w:bookmarkEnd w:id="65"/>
      <w:bookmarkEnd w:id="66"/>
      <w:bookmarkEnd w:id="67"/>
      <w:bookmarkEnd w:id="68"/>
      <w:bookmarkEnd w:id="69"/>
      <w:bookmarkEnd w:id="70"/>
      <w:bookmarkEnd w:id="71"/>
    </w:p>
    <w:p w14:paraId="064FD15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磋商响应人准备和参加投标活动发生的费用自理。</w:t>
      </w:r>
    </w:p>
    <w:p w14:paraId="25954199">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72" w:name="_Toc23686"/>
      <w:bookmarkStart w:id="73" w:name="_Toc6167"/>
      <w:bookmarkStart w:id="74" w:name="_Toc418670651"/>
      <w:bookmarkStart w:id="75" w:name="_Toc418594318"/>
      <w:bookmarkStart w:id="76" w:name="_Toc496776022"/>
      <w:bookmarkStart w:id="77" w:name="_Toc414468928"/>
      <w:bookmarkStart w:id="78" w:name="_Toc9207"/>
      <w:bookmarkStart w:id="79" w:name="_Toc414468193"/>
      <w:r>
        <w:rPr>
          <w:rFonts w:hint="eastAsia" w:ascii="宋体" w:hAnsi="宋体" w:eastAsia="宋体" w:cs="宋体"/>
          <w:b/>
          <w:i w:val="0"/>
          <w:caps w:val="0"/>
          <w:color w:val="auto"/>
          <w:spacing w:val="0"/>
          <w:w w:val="100"/>
          <w:sz w:val="24"/>
          <w:szCs w:val="24"/>
          <w:highlight w:val="none"/>
        </w:rPr>
        <w:t>1.6保密</w:t>
      </w:r>
      <w:bookmarkEnd w:id="72"/>
      <w:bookmarkEnd w:id="73"/>
      <w:bookmarkEnd w:id="74"/>
      <w:bookmarkEnd w:id="75"/>
      <w:bookmarkEnd w:id="76"/>
      <w:bookmarkEnd w:id="77"/>
      <w:bookmarkEnd w:id="78"/>
      <w:bookmarkEnd w:id="79"/>
    </w:p>
    <w:p w14:paraId="4E94339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参与招标投标活动的各方应对竞争性磋商和投标文件中的商业和技术等秘密保密，违者应对由此造成的后果承担法律责任。</w:t>
      </w:r>
    </w:p>
    <w:p w14:paraId="2FADC31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80" w:name="_Toc414468194"/>
      <w:bookmarkStart w:id="81" w:name="_Toc9441"/>
      <w:bookmarkStart w:id="82" w:name="_Toc418670652"/>
      <w:bookmarkStart w:id="83" w:name="_Toc8280"/>
      <w:bookmarkStart w:id="84" w:name="_Toc418594319"/>
      <w:bookmarkStart w:id="85" w:name="_Toc414468929"/>
      <w:bookmarkStart w:id="86" w:name="_Toc496776023"/>
      <w:bookmarkStart w:id="87" w:name="_Toc10277"/>
      <w:r>
        <w:rPr>
          <w:rFonts w:hint="eastAsia" w:ascii="宋体" w:hAnsi="宋体" w:eastAsia="宋体" w:cs="宋体"/>
          <w:b/>
          <w:i w:val="0"/>
          <w:caps w:val="0"/>
          <w:color w:val="auto"/>
          <w:spacing w:val="0"/>
          <w:w w:val="100"/>
          <w:sz w:val="24"/>
          <w:szCs w:val="24"/>
          <w:highlight w:val="none"/>
        </w:rPr>
        <w:t>1.7语言文字</w:t>
      </w:r>
      <w:bookmarkEnd w:id="80"/>
      <w:bookmarkEnd w:id="81"/>
      <w:bookmarkEnd w:id="82"/>
      <w:bookmarkEnd w:id="83"/>
      <w:bookmarkEnd w:id="84"/>
      <w:bookmarkEnd w:id="85"/>
      <w:bookmarkEnd w:id="86"/>
      <w:bookmarkEnd w:id="87"/>
    </w:p>
    <w:p w14:paraId="47F91B3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除专用术语外，与招标投标有关的语言均使用中文。必要时专用术语应附有中文注释。</w:t>
      </w:r>
    </w:p>
    <w:p w14:paraId="53AEF931">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88" w:name="_Toc414468930"/>
      <w:bookmarkStart w:id="89" w:name="_Toc29746"/>
      <w:bookmarkStart w:id="90" w:name="_Toc20358"/>
      <w:bookmarkStart w:id="91" w:name="_Toc414468195"/>
      <w:bookmarkStart w:id="92" w:name="_Toc418594320"/>
      <w:bookmarkStart w:id="93" w:name="_Toc24896"/>
      <w:bookmarkStart w:id="94" w:name="_Toc418670653"/>
      <w:bookmarkStart w:id="95" w:name="_Toc496776024"/>
      <w:r>
        <w:rPr>
          <w:rFonts w:hint="eastAsia" w:ascii="宋体" w:hAnsi="宋体" w:eastAsia="宋体" w:cs="宋体"/>
          <w:b/>
          <w:i w:val="0"/>
          <w:caps w:val="0"/>
          <w:color w:val="auto"/>
          <w:spacing w:val="0"/>
          <w:w w:val="100"/>
          <w:sz w:val="24"/>
          <w:szCs w:val="24"/>
          <w:highlight w:val="none"/>
        </w:rPr>
        <w:t>1.8计量单位</w:t>
      </w:r>
      <w:bookmarkEnd w:id="88"/>
      <w:bookmarkEnd w:id="89"/>
      <w:bookmarkEnd w:id="90"/>
      <w:bookmarkEnd w:id="91"/>
      <w:bookmarkEnd w:id="92"/>
      <w:bookmarkEnd w:id="93"/>
      <w:bookmarkEnd w:id="94"/>
      <w:bookmarkEnd w:id="95"/>
    </w:p>
    <w:p w14:paraId="141C96F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所有计量均采用中华人民共和国法定计量单位。</w:t>
      </w:r>
    </w:p>
    <w:p w14:paraId="04F6CA6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lang w:eastAsia="zh-CN"/>
        </w:rPr>
      </w:pPr>
      <w:bookmarkStart w:id="96" w:name="_Toc418594321"/>
      <w:bookmarkStart w:id="97" w:name="_Toc414468196"/>
      <w:bookmarkStart w:id="98" w:name="_Toc414468931"/>
      <w:bookmarkStart w:id="99" w:name="_Toc418670654"/>
      <w:bookmarkStart w:id="100" w:name="_Toc23701"/>
      <w:bookmarkStart w:id="101" w:name="_Toc496776025"/>
      <w:bookmarkStart w:id="102" w:name="_Toc19675"/>
      <w:bookmarkStart w:id="103" w:name="_Toc23582"/>
      <w:r>
        <w:rPr>
          <w:rFonts w:hint="eastAsia" w:ascii="宋体" w:hAnsi="宋体" w:eastAsia="宋体" w:cs="宋体"/>
          <w:b/>
          <w:i w:val="0"/>
          <w:caps w:val="0"/>
          <w:color w:val="auto"/>
          <w:spacing w:val="0"/>
          <w:w w:val="100"/>
          <w:sz w:val="24"/>
          <w:szCs w:val="24"/>
          <w:highlight w:val="none"/>
        </w:rPr>
        <w:t>1.9踏勘现场</w:t>
      </w:r>
      <w:bookmarkEnd w:id="96"/>
      <w:bookmarkEnd w:id="97"/>
      <w:bookmarkEnd w:id="98"/>
      <w:bookmarkEnd w:id="99"/>
      <w:r>
        <w:rPr>
          <w:rFonts w:hint="eastAsia" w:ascii="宋体" w:hAnsi="宋体" w:eastAsia="宋体" w:cs="宋体"/>
          <w:b/>
          <w:i w:val="0"/>
          <w:caps w:val="0"/>
          <w:color w:val="auto"/>
          <w:spacing w:val="0"/>
          <w:w w:val="100"/>
          <w:sz w:val="24"/>
          <w:szCs w:val="24"/>
          <w:highlight w:val="none"/>
          <w:lang w:eastAsia="zh-CN"/>
        </w:rPr>
        <w:t>（不组织）</w:t>
      </w:r>
      <w:bookmarkEnd w:id="100"/>
      <w:bookmarkEnd w:id="101"/>
      <w:bookmarkEnd w:id="102"/>
      <w:bookmarkEnd w:id="103"/>
    </w:p>
    <w:p w14:paraId="1484370A">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1.9.1 磋商响应人须知前附表规定组织踏勘现场的，招标人按照招标公告（或投标邀请书）规定的时间和地点组织踏勘现场。 </w:t>
      </w:r>
    </w:p>
    <w:p w14:paraId="6F9CB75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1.9.2磋商响应人踏勘现场发生的费用自理。</w:t>
      </w:r>
    </w:p>
    <w:p w14:paraId="7E567B5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1.9.3除招标人原因外，磋商响应人自行负责在踏勘现场中所发生的人员伤亡和财产损失。</w:t>
      </w:r>
    </w:p>
    <w:p w14:paraId="039A780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1.9.4招标人在踏勘现场中介绍的工程场地和相关的周边环境情况，供磋商响应人在编制投标文件时参考，招标人不对磋商响应人据此作出的判断和决策负责。</w:t>
      </w:r>
    </w:p>
    <w:p w14:paraId="50EB0492">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04" w:name="_Toc418594322"/>
      <w:bookmarkStart w:id="105" w:name="_Toc418670655"/>
      <w:bookmarkStart w:id="106" w:name="_Toc32414"/>
      <w:bookmarkStart w:id="107" w:name="_Toc3347"/>
      <w:bookmarkStart w:id="108" w:name="_Toc1542"/>
      <w:bookmarkStart w:id="109" w:name="_Toc414468932"/>
      <w:bookmarkStart w:id="110" w:name="_Toc414468197"/>
      <w:bookmarkStart w:id="111" w:name="_Toc496776026"/>
      <w:r>
        <w:rPr>
          <w:rFonts w:hint="eastAsia" w:ascii="宋体" w:hAnsi="宋体" w:eastAsia="宋体" w:cs="宋体"/>
          <w:b/>
          <w:i w:val="0"/>
          <w:caps w:val="0"/>
          <w:color w:val="auto"/>
          <w:spacing w:val="0"/>
          <w:w w:val="100"/>
          <w:sz w:val="24"/>
          <w:szCs w:val="24"/>
          <w:highlight w:val="none"/>
        </w:rPr>
        <w:t>1.10投标预备会</w:t>
      </w:r>
      <w:bookmarkEnd w:id="104"/>
      <w:bookmarkEnd w:id="105"/>
      <w:bookmarkEnd w:id="106"/>
      <w:bookmarkEnd w:id="107"/>
      <w:bookmarkEnd w:id="108"/>
      <w:bookmarkEnd w:id="109"/>
      <w:bookmarkEnd w:id="110"/>
      <w:bookmarkEnd w:id="111"/>
    </w:p>
    <w:p w14:paraId="6C4771F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12" w:name="_Toc418594323"/>
      <w:bookmarkStart w:id="113" w:name="_Toc418670656"/>
      <w:bookmarkStart w:id="114" w:name="_Toc414468933"/>
      <w:bookmarkStart w:id="115" w:name="_Toc414468198"/>
      <w:r>
        <w:rPr>
          <w:rFonts w:hint="eastAsia" w:ascii="宋体" w:hAnsi="宋体" w:eastAsia="宋体" w:cs="宋体"/>
          <w:b w:val="0"/>
          <w:i w:val="0"/>
          <w:caps w:val="0"/>
          <w:color w:val="auto"/>
          <w:spacing w:val="0"/>
          <w:w w:val="100"/>
          <w:sz w:val="24"/>
          <w:szCs w:val="24"/>
          <w:highlight w:val="none"/>
        </w:rPr>
        <w:t xml:space="preserve">1.10.1 磋商响应人须知前附表规定召开投标预备会的，招标人按照招标公告（或投标邀请书）规定的时间和地点召开投标预备会。 </w:t>
      </w:r>
    </w:p>
    <w:p w14:paraId="0A5DD76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1.10.2 在投标预备会召开前，磋商响应人应以书面形式（包括信函、电报、传真等可以有形地表现所载内容的形式，下同）将需要招标人澄清的问题送达招标人。 </w:t>
      </w:r>
    </w:p>
    <w:p w14:paraId="122F058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1.10.3 在磋商响应人须知前附表规定的投标截止时间5天前，招标人将对磋商响应人所提问题的澄清，以书面形式通知所有购买竞争性磋商的磋商响应人。该澄清通知为竞争性磋商的组成部分。 </w:t>
      </w:r>
    </w:p>
    <w:p w14:paraId="60CBE22D">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lang w:eastAsia="zh-CN"/>
        </w:rPr>
      </w:pPr>
      <w:bookmarkStart w:id="116" w:name="_Toc21439"/>
      <w:bookmarkStart w:id="117" w:name="_Toc14915"/>
      <w:bookmarkStart w:id="118" w:name="_Toc496776027"/>
      <w:bookmarkStart w:id="119" w:name="_Toc18762"/>
      <w:r>
        <w:rPr>
          <w:rFonts w:hint="eastAsia" w:ascii="宋体" w:hAnsi="宋体" w:eastAsia="宋体" w:cs="宋体"/>
          <w:b/>
          <w:i w:val="0"/>
          <w:caps w:val="0"/>
          <w:color w:val="auto"/>
          <w:spacing w:val="0"/>
          <w:w w:val="100"/>
          <w:sz w:val="24"/>
          <w:szCs w:val="24"/>
          <w:highlight w:val="none"/>
        </w:rPr>
        <w:t>1.11分包</w:t>
      </w:r>
      <w:bookmarkEnd w:id="112"/>
      <w:bookmarkEnd w:id="113"/>
      <w:bookmarkEnd w:id="114"/>
      <w:bookmarkEnd w:id="115"/>
      <w:bookmarkEnd w:id="116"/>
      <w:bookmarkEnd w:id="117"/>
      <w:bookmarkEnd w:id="118"/>
      <w:r>
        <w:rPr>
          <w:rFonts w:hint="eastAsia" w:ascii="宋体" w:hAnsi="宋体" w:eastAsia="宋体" w:cs="宋体"/>
          <w:b/>
          <w:i w:val="0"/>
          <w:caps w:val="0"/>
          <w:color w:val="auto"/>
          <w:spacing w:val="0"/>
          <w:w w:val="100"/>
          <w:sz w:val="24"/>
          <w:szCs w:val="24"/>
          <w:highlight w:val="none"/>
          <w:lang w:eastAsia="zh-CN"/>
        </w:rPr>
        <w:t>（本项目不适用）</w:t>
      </w:r>
      <w:bookmarkEnd w:id="119"/>
    </w:p>
    <w:p w14:paraId="11CFB500">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bookmarkStart w:id="120" w:name="_Toc418594324"/>
      <w:bookmarkStart w:id="121" w:name="_Toc414468199"/>
      <w:bookmarkStart w:id="122" w:name="_Toc414468934"/>
      <w:bookmarkStart w:id="123" w:name="_Toc418670657"/>
      <w:r>
        <w:rPr>
          <w:rFonts w:hint="eastAsia" w:ascii="宋体" w:hAnsi="宋体" w:eastAsia="宋体" w:cs="宋体"/>
          <w:b w:val="0"/>
          <w:i w:val="0"/>
          <w:caps w:val="0"/>
          <w:color w:val="auto"/>
          <w:spacing w:val="0"/>
          <w:w w:val="100"/>
          <w:kern w:val="2"/>
          <w:sz w:val="24"/>
          <w:szCs w:val="24"/>
          <w:highlight w:val="none"/>
        </w:rPr>
        <w:t xml:space="preserve">磋商响应人须知前附表规定允许分包的，分包的内容、分包金额、接受分包的第三人资质要求见磋商响应人须知前附表。磋商响应人应在投标文件中明确是否在中标后将中标项目的部分非主体、非关键性工作进行分包。磋商响应人拟分包时，分包人应具备与分包工程的标准和规模相适应的资质和业绩，在人力、设备、资金等方面具有承担分包工程施工的能力。磋商响应人应在投标文件中提供分包协议、分包人的资质证书及营业执照复印件、人员、设备和业绩资料表、分包的工程项目和工程量。 </w:t>
      </w:r>
    </w:p>
    <w:p w14:paraId="7D3BAD07">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24" w:name="_Toc18454"/>
      <w:bookmarkStart w:id="125" w:name="_Toc27750"/>
      <w:bookmarkStart w:id="126" w:name="_Toc496776028"/>
      <w:bookmarkStart w:id="127" w:name="_Toc30832"/>
      <w:r>
        <w:rPr>
          <w:rFonts w:hint="eastAsia" w:ascii="宋体" w:hAnsi="宋体" w:eastAsia="宋体" w:cs="宋体"/>
          <w:b/>
          <w:i w:val="0"/>
          <w:caps w:val="0"/>
          <w:color w:val="auto"/>
          <w:spacing w:val="0"/>
          <w:w w:val="100"/>
          <w:sz w:val="24"/>
          <w:szCs w:val="24"/>
          <w:highlight w:val="none"/>
        </w:rPr>
        <w:t>1.12偏离</w:t>
      </w:r>
      <w:bookmarkEnd w:id="120"/>
      <w:bookmarkEnd w:id="121"/>
      <w:bookmarkEnd w:id="122"/>
      <w:bookmarkEnd w:id="123"/>
      <w:bookmarkEnd w:id="124"/>
      <w:bookmarkEnd w:id="125"/>
      <w:bookmarkEnd w:id="126"/>
      <w:bookmarkEnd w:id="127"/>
    </w:p>
    <w:p w14:paraId="0DC86163">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bookmarkStart w:id="128" w:name="_Toc414468935"/>
      <w:bookmarkStart w:id="129" w:name="_Toc414468200"/>
      <w:r>
        <w:rPr>
          <w:rFonts w:hint="eastAsia" w:ascii="宋体" w:hAnsi="宋体" w:eastAsia="宋体" w:cs="宋体"/>
          <w:b w:val="0"/>
          <w:i w:val="0"/>
          <w:caps w:val="0"/>
          <w:color w:val="auto"/>
          <w:spacing w:val="0"/>
          <w:w w:val="100"/>
          <w:kern w:val="2"/>
          <w:sz w:val="24"/>
          <w:szCs w:val="24"/>
          <w:highlight w:val="none"/>
        </w:rPr>
        <w:t xml:space="preserve">投标文件不允许偏离竞争性磋商的实质性要求和条件。投标文件偏离竞争性磋商的非实质性要求和条件的，其处理方式见磋商响应人须知前附表。 </w:t>
      </w:r>
    </w:p>
    <w:p w14:paraId="2FA5FE9E">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30" w:name="_Toc31043"/>
      <w:bookmarkStart w:id="131" w:name="_Toc496776029"/>
      <w:bookmarkStart w:id="132" w:name="_Toc7623"/>
      <w:bookmarkStart w:id="133" w:name="_Toc21336"/>
      <w:bookmarkStart w:id="134" w:name="_Toc13361"/>
      <w:r>
        <w:rPr>
          <w:rFonts w:hint="eastAsia" w:ascii="宋体" w:hAnsi="宋体" w:eastAsia="宋体" w:cs="宋体"/>
          <w:b/>
          <w:i w:val="0"/>
          <w:caps w:val="0"/>
          <w:color w:val="auto"/>
          <w:spacing w:val="0"/>
          <w:w w:val="100"/>
          <w:sz w:val="24"/>
          <w:szCs w:val="24"/>
          <w:highlight w:val="none"/>
        </w:rPr>
        <w:t>2竞争性磋商</w:t>
      </w:r>
      <w:bookmarkEnd w:id="128"/>
      <w:bookmarkEnd w:id="129"/>
      <w:bookmarkEnd w:id="130"/>
      <w:bookmarkEnd w:id="131"/>
      <w:bookmarkEnd w:id="132"/>
      <w:bookmarkEnd w:id="133"/>
      <w:bookmarkEnd w:id="134"/>
    </w:p>
    <w:p w14:paraId="1F82C351">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35" w:name="_Toc1957"/>
      <w:bookmarkStart w:id="136" w:name="_Toc6884"/>
      <w:bookmarkStart w:id="137" w:name="_Toc414468201"/>
      <w:bookmarkStart w:id="138" w:name="_Toc496776030"/>
      <w:bookmarkStart w:id="139" w:name="_Toc31051"/>
      <w:bookmarkStart w:id="140" w:name="_Toc418670659"/>
      <w:bookmarkStart w:id="141" w:name="_Toc418594326"/>
      <w:bookmarkStart w:id="142" w:name="_Toc414468936"/>
      <w:r>
        <w:rPr>
          <w:rFonts w:hint="eastAsia" w:ascii="宋体" w:hAnsi="宋体" w:eastAsia="宋体" w:cs="宋体"/>
          <w:b/>
          <w:i w:val="0"/>
          <w:caps w:val="0"/>
          <w:color w:val="auto"/>
          <w:spacing w:val="0"/>
          <w:w w:val="100"/>
          <w:sz w:val="24"/>
          <w:szCs w:val="24"/>
          <w:highlight w:val="none"/>
        </w:rPr>
        <w:t>2.1竞争性磋商</w:t>
      </w:r>
      <w:r>
        <w:rPr>
          <w:rFonts w:hint="eastAsia" w:ascii="宋体" w:hAnsi="宋体" w:eastAsia="宋体" w:cs="宋体"/>
          <w:b/>
          <w:i w:val="0"/>
          <w:caps w:val="0"/>
          <w:color w:val="auto"/>
          <w:spacing w:val="0"/>
          <w:w w:val="100"/>
          <w:sz w:val="24"/>
          <w:szCs w:val="24"/>
          <w:highlight w:val="none"/>
          <w:lang w:eastAsia="zh-CN"/>
        </w:rPr>
        <w:t>文件</w:t>
      </w:r>
      <w:r>
        <w:rPr>
          <w:rFonts w:hint="eastAsia" w:ascii="宋体" w:hAnsi="宋体" w:eastAsia="宋体" w:cs="宋体"/>
          <w:b/>
          <w:i w:val="0"/>
          <w:caps w:val="0"/>
          <w:color w:val="auto"/>
          <w:spacing w:val="0"/>
          <w:w w:val="100"/>
          <w:sz w:val="24"/>
          <w:szCs w:val="24"/>
          <w:highlight w:val="none"/>
        </w:rPr>
        <w:t>的组成</w:t>
      </w:r>
      <w:bookmarkEnd w:id="135"/>
      <w:bookmarkEnd w:id="136"/>
      <w:bookmarkEnd w:id="137"/>
      <w:bookmarkEnd w:id="138"/>
      <w:bookmarkEnd w:id="139"/>
      <w:bookmarkEnd w:id="140"/>
      <w:bookmarkEnd w:id="141"/>
      <w:bookmarkEnd w:id="142"/>
    </w:p>
    <w:p w14:paraId="154A32A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本竞争性磋商包括：</w:t>
      </w:r>
    </w:p>
    <w:p w14:paraId="0030A42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（1）磋商邀请；</w:t>
      </w:r>
    </w:p>
    <w:p w14:paraId="4BFC3AA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（2）磋商响应人须知；</w:t>
      </w:r>
    </w:p>
    <w:p w14:paraId="1EE8DE7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（3）评标办法；</w:t>
      </w:r>
    </w:p>
    <w:p w14:paraId="6EAC012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（4）合同条款及格式；</w:t>
      </w:r>
    </w:p>
    <w:p w14:paraId="4C3AA05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（5）工程量清单；</w:t>
      </w:r>
    </w:p>
    <w:p w14:paraId="6FAA9F4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（6）图纸；</w:t>
      </w:r>
    </w:p>
    <w:p w14:paraId="6FD7F20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（7）技术标准和要求；</w:t>
      </w:r>
    </w:p>
    <w:p w14:paraId="4E98DCB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（8）投标文件格式；</w:t>
      </w:r>
    </w:p>
    <w:p w14:paraId="6FA4361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（9）磋商响应人须知前附表规定的其他材料。</w:t>
      </w:r>
    </w:p>
    <w:p w14:paraId="5ACBFD5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根据本章第1.10款、第2.2款和第2.3款对竞争性磋商所作的澄清。修改，构成竞争性磋商的组成部分。</w:t>
      </w:r>
    </w:p>
    <w:p w14:paraId="6825DBB1">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43" w:name="_Toc10697"/>
      <w:bookmarkStart w:id="144" w:name="_Toc496776031"/>
      <w:bookmarkStart w:id="145" w:name="_Toc418594327"/>
      <w:bookmarkStart w:id="146" w:name="_Toc11414"/>
      <w:bookmarkStart w:id="147" w:name="_Toc414468202"/>
      <w:bookmarkStart w:id="148" w:name="_Toc418670660"/>
      <w:bookmarkStart w:id="149" w:name="_Toc414468937"/>
      <w:bookmarkStart w:id="150" w:name="_Toc30193"/>
      <w:r>
        <w:rPr>
          <w:rFonts w:hint="eastAsia" w:ascii="宋体" w:hAnsi="宋体" w:eastAsia="宋体" w:cs="宋体"/>
          <w:b/>
          <w:i w:val="0"/>
          <w:caps w:val="0"/>
          <w:color w:val="auto"/>
          <w:spacing w:val="0"/>
          <w:w w:val="100"/>
          <w:sz w:val="24"/>
          <w:szCs w:val="24"/>
          <w:highlight w:val="none"/>
        </w:rPr>
        <w:t>2.2竞争性磋商</w:t>
      </w:r>
      <w:r>
        <w:rPr>
          <w:rFonts w:hint="eastAsia" w:ascii="宋体" w:hAnsi="宋体" w:eastAsia="宋体" w:cs="宋体"/>
          <w:b/>
          <w:i w:val="0"/>
          <w:caps w:val="0"/>
          <w:color w:val="auto"/>
          <w:spacing w:val="0"/>
          <w:w w:val="100"/>
          <w:sz w:val="24"/>
          <w:szCs w:val="24"/>
          <w:highlight w:val="none"/>
          <w:lang w:eastAsia="zh-CN"/>
        </w:rPr>
        <w:t>文件</w:t>
      </w:r>
      <w:r>
        <w:rPr>
          <w:rFonts w:hint="eastAsia" w:ascii="宋体" w:hAnsi="宋体" w:eastAsia="宋体" w:cs="宋体"/>
          <w:b/>
          <w:i w:val="0"/>
          <w:caps w:val="0"/>
          <w:color w:val="auto"/>
          <w:spacing w:val="0"/>
          <w:w w:val="100"/>
          <w:sz w:val="24"/>
          <w:szCs w:val="24"/>
          <w:highlight w:val="none"/>
        </w:rPr>
        <w:t>的澄清</w:t>
      </w:r>
      <w:bookmarkEnd w:id="143"/>
      <w:bookmarkEnd w:id="144"/>
      <w:bookmarkEnd w:id="145"/>
      <w:bookmarkEnd w:id="146"/>
      <w:bookmarkEnd w:id="147"/>
      <w:bookmarkEnd w:id="148"/>
      <w:bookmarkEnd w:id="149"/>
      <w:bookmarkEnd w:id="150"/>
    </w:p>
    <w:p w14:paraId="2FA8CC8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51" w:name="_Toc414468203"/>
      <w:bookmarkStart w:id="152" w:name="_Toc414468938"/>
      <w:bookmarkStart w:id="153" w:name="_Toc418594328"/>
      <w:bookmarkStart w:id="154" w:name="_Toc418670661"/>
      <w:r>
        <w:rPr>
          <w:rFonts w:hint="eastAsia" w:ascii="宋体" w:hAnsi="宋体" w:eastAsia="宋体" w:cs="宋体"/>
          <w:b w:val="0"/>
          <w:i w:val="0"/>
          <w:caps w:val="0"/>
          <w:color w:val="auto"/>
          <w:spacing w:val="0"/>
          <w:w w:val="100"/>
          <w:sz w:val="24"/>
          <w:szCs w:val="24"/>
          <w:highlight w:val="none"/>
        </w:rPr>
        <w:t>2.2.1 磋商响应人应仔细阅读和检查竞争性磋商的全部内容。如发现缺页或附件不全，应及时向招标人提出，以便补齐。如有疑问，应在投标截止时间</w:t>
      </w:r>
      <w:r>
        <w:rPr>
          <w:rFonts w:hint="eastAsia" w:ascii="宋体" w:hAnsi="宋体" w:eastAsia="宋体" w:cs="宋体"/>
          <w:b w:val="0"/>
          <w:i w:val="0"/>
          <w:caps w:val="0"/>
          <w:color w:val="auto"/>
          <w:spacing w:val="0"/>
          <w:w w:val="100"/>
          <w:sz w:val="24"/>
          <w:szCs w:val="24"/>
          <w:highlight w:val="none"/>
          <w:lang w:val="en-US" w:eastAsia="zh-CN"/>
        </w:rPr>
        <w:t>5</w:t>
      </w:r>
      <w:r>
        <w:rPr>
          <w:rFonts w:hint="eastAsia" w:ascii="宋体" w:hAnsi="宋体" w:eastAsia="宋体" w:cs="宋体"/>
          <w:b w:val="0"/>
          <w:i w:val="0"/>
          <w:caps w:val="0"/>
          <w:color w:val="auto"/>
          <w:spacing w:val="0"/>
          <w:w w:val="100"/>
          <w:sz w:val="24"/>
          <w:szCs w:val="24"/>
          <w:highlight w:val="none"/>
        </w:rPr>
        <w:t xml:space="preserve">天前以书面形式提出澄清申请，要求招标人对竞争性磋商予以澄清。 </w:t>
      </w:r>
    </w:p>
    <w:p w14:paraId="1774487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2.2.2 竞争性磋商的澄清将在投标截止时间5天前，以书面形式通知所有购买竞争性磋商的磋商响应人，但不指明澄清问题的来源。如果澄清通知发出的时间距投标截止时间不足5天，投标截止时间应相应延长。 </w:t>
      </w:r>
    </w:p>
    <w:p w14:paraId="1EB5CF9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2.2.3 磋商响应人在收到澄清通知后，应在 1 天内以书面形式告知招标人，确认已收到该澄清通知。</w:t>
      </w:r>
    </w:p>
    <w:p w14:paraId="59E92C74">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55" w:name="_Toc18125"/>
      <w:bookmarkStart w:id="156" w:name="_Toc22847"/>
      <w:bookmarkStart w:id="157" w:name="_Toc1418"/>
      <w:bookmarkStart w:id="158" w:name="_Toc496776032"/>
      <w:r>
        <w:rPr>
          <w:rFonts w:hint="eastAsia" w:ascii="宋体" w:hAnsi="宋体" w:eastAsia="宋体" w:cs="宋体"/>
          <w:b/>
          <w:i w:val="0"/>
          <w:caps w:val="0"/>
          <w:color w:val="auto"/>
          <w:spacing w:val="0"/>
          <w:w w:val="100"/>
          <w:sz w:val="24"/>
          <w:szCs w:val="24"/>
          <w:highlight w:val="none"/>
        </w:rPr>
        <w:t>2.3竞争性磋商</w:t>
      </w:r>
      <w:r>
        <w:rPr>
          <w:rFonts w:hint="eastAsia" w:ascii="宋体" w:hAnsi="宋体" w:eastAsia="宋体" w:cs="宋体"/>
          <w:b/>
          <w:i w:val="0"/>
          <w:caps w:val="0"/>
          <w:color w:val="auto"/>
          <w:spacing w:val="0"/>
          <w:w w:val="100"/>
          <w:sz w:val="24"/>
          <w:szCs w:val="24"/>
          <w:highlight w:val="none"/>
          <w:lang w:eastAsia="zh-CN"/>
        </w:rPr>
        <w:t>文件</w:t>
      </w:r>
      <w:r>
        <w:rPr>
          <w:rFonts w:hint="eastAsia" w:ascii="宋体" w:hAnsi="宋体" w:eastAsia="宋体" w:cs="宋体"/>
          <w:b/>
          <w:i w:val="0"/>
          <w:caps w:val="0"/>
          <w:color w:val="auto"/>
          <w:spacing w:val="0"/>
          <w:w w:val="100"/>
          <w:sz w:val="24"/>
          <w:szCs w:val="24"/>
          <w:highlight w:val="none"/>
        </w:rPr>
        <w:t>的修改</w:t>
      </w:r>
      <w:bookmarkEnd w:id="151"/>
      <w:bookmarkEnd w:id="152"/>
      <w:bookmarkEnd w:id="153"/>
      <w:bookmarkEnd w:id="154"/>
      <w:bookmarkEnd w:id="155"/>
      <w:bookmarkEnd w:id="156"/>
      <w:bookmarkEnd w:id="157"/>
      <w:bookmarkEnd w:id="158"/>
    </w:p>
    <w:p w14:paraId="5D93A71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2.3.1在投标截止时间5天前，招标人可以书面形式修改竞争性磋商，并通知所有已购买竞争性磋商的磋商响应人。如果修改竞争性磋商的时间距投标截止时间不足5天，相应延长投标截止时间。</w:t>
      </w:r>
    </w:p>
    <w:p w14:paraId="7A4E87A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2.2.2磋商响应人收到修改内容后，应在1天内以书面形式通知招标人，确认已收到该修改。</w:t>
      </w:r>
    </w:p>
    <w:p w14:paraId="793E82A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59" w:name="_Toc414468939"/>
      <w:bookmarkStart w:id="160" w:name="_Toc29256"/>
      <w:bookmarkStart w:id="161" w:name="_Toc25248"/>
      <w:bookmarkStart w:id="162" w:name="_Toc20551"/>
      <w:bookmarkStart w:id="163" w:name="_Toc20475"/>
      <w:bookmarkStart w:id="164" w:name="_Toc414468204"/>
      <w:bookmarkStart w:id="165" w:name="_Toc496776033"/>
      <w:r>
        <w:rPr>
          <w:rFonts w:hint="eastAsia" w:ascii="宋体" w:hAnsi="宋体" w:eastAsia="宋体" w:cs="宋体"/>
          <w:b/>
          <w:i w:val="0"/>
          <w:caps w:val="0"/>
          <w:color w:val="auto"/>
          <w:spacing w:val="0"/>
          <w:w w:val="100"/>
          <w:sz w:val="24"/>
          <w:szCs w:val="24"/>
          <w:highlight w:val="none"/>
        </w:rPr>
        <w:t>3响应文件</w:t>
      </w:r>
      <w:bookmarkEnd w:id="159"/>
      <w:bookmarkEnd w:id="160"/>
      <w:bookmarkEnd w:id="161"/>
      <w:bookmarkEnd w:id="162"/>
      <w:bookmarkEnd w:id="163"/>
      <w:bookmarkEnd w:id="164"/>
      <w:bookmarkEnd w:id="165"/>
    </w:p>
    <w:p w14:paraId="40FF5BAE">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66" w:name="_Toc418670663"/>
      <w:bookmarkStart w:id="167" w:name="_Toc414468940"/>
      <w:bookmarkStart w:id="168" w:name="_Toc6252"/>
      <w:bookmarkStart w:id="169" w:name="_Toc17568"/>
      <w:bookmarkStart w:id="170" w:name="_Toc496776034"/>
      <w:bookmarkStart w:id="171" w:name="_Toc1694"/>
      <w:bookmarkStart w:id="172" w:name="_Toc418594330"/>
      <w:bookmarkStart w:id="173" w:name="_Toc414468205"/>
      <w:r>
        <w:rPr>
          <w:rFonts w:hint="eastAsia" w:ascii="宋体" w:hAnsi="宋体" w:eastAsia="宋体" w:cs="宋体"/>
          <w:b/>
          <w:i w:val="0"/>
          <w:caps w:val="0"/>
          <w:color w:val="auto"/>
          <w:spacing w:val="0"/>
          <w:w w:val="100"/>
          <w:sz w:val="24"/>
          <w:szCs w:val="24"/>
          <w:highlight w:val="none"/>
        </w:rPr>
        <w:t>3.1</w:t>
      </w:r>
      <w:r>
        <w:rPr>
          <w:rFonts w:hint="eastAsia" w:ascii="宋体" w:hAnsi="宋体" w:eastAsia="宋体" w:cs="宋体"/>
          <w:b/>
          <w:i w:val="0"/>
          <w:caps w:val="0"/>
          <w:color w:val="auto"/>
          <w:spacing w:val="0"/>
          <w:w w:val="100"/>
          <w:sz w:val="24"/>
          <w:szCs w:val="24"/>
          <w:highlight w:val="none"/>
          <w:lang w:eastAsia="zh-CN"/>
        </w:rPr>
        <w:t>响应</w:t>
      </w:r>
      <w:r>
        <w:rPr>
          <w:rFonts w:hint="eastAsia" w:ascii="宋体" w:hAnsi="宋体" w:eastAsia="宋体" w:cs="宋体"/>
          <w:b/>
          <w:i w:val="0"/>
          <w:caps w:val="0"/>
          <w:color w:val="auto"/>
          <w:spacing w:val="0"/>
          <w:w w:val="100"/>
          <w:sz w:val="24"/>
          <w:szCs w:val="24"/>
          <w:highlight w:val="none"/>
        </w:rPr>
        <w:t>文件的组成</w:t>
      </w:r>
      <w:bookmarkEnd w:id="166"/>
      <w:bookmarkEnd w:id="167"/>
      <w:bookmarkEnd w:id="168"/>
      <w:bookmarkEnd w:id="169"/>
      <w:bookmarkEnd w:id="170"/>
      <w:bookmarkEnd w:id="171"/>
      <w:bookmarkEnd w:id="172"/>
      <w:bookmarkEnd w:id="173"/>
    </w:p>
    <w:p w14:paraId="62516F8A">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3.1.1响应文件应包括以下内容：</w:t>
      </w:r>
    </w:p>
    <w:p w14:paraId="4A5D793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（1）响应函及响应函附录；</w:t>
      </w:r>
    </w:p>
    <w:p w14:paraId="2E98201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（2）首次报价表格式；</w:t>
      </w:r>
    </w:p>
    <w:p w14:paraId="5911807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（3）法定代表人证明书；</w:t>
      </w:r>
    </w:p>
    <w:p w14:paraId="50CEC86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（4）法定代表人授权书；</w:t>
      </w:r>
    </w:p>
    <w:p w14:paraId="5AD066F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（5）磋商响应人诚信承诺书；</w:t>
      </w:r>
    </w:p>
    <w:p w14:paraId="52EAAE0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（6）磋商磋商响应人承诺函；</w:t>
      </w:r>
    </w:p>
    <w:p w14:paraId="2B6BA6B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（7）未被列入“失信被执行人”的证明；</w:t>
      </w:r>
    </w:p>
    <w:p w14:paraId="13F8144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（8）已标价工程量清单；</w:t>
      </w:r>
    </w:p>
    <w:p w14:paraId="50C4032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（9）施工组织设计；</w:t>
      </w:r>
    </w:p>
    <w:p w14:paraId="1AA7194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（10）项目管理机构；</w:t>
      </w:r>
    </w:p>
    <w:p w14:paraId="203D003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（11）拟分包计划（本项目不适用）；</w:t>
      </w:r>
    </w:p>
    <w:p w14:paraId="6AEFFEC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（12）资料审查；</w:t>
      </w:r>
    </w:p>
    <w:p w14:paraId="3B73AE7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（13）磋商最终报价表；</w:t>
      </w:r>
    </w:p>
    <w:p w14:paraId="2BF8C45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（14）其他材料；</w:t>
      </w:r>
    </w:p>
    <w:p w14:paraId="58DE4EC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3.1.2磋商响应人须知前附表规定不接受联合体磋商响应人，或磋商响应人没有组成联合体的，投标文件不包括联合体协议书。</w:t>
      </w:r>
    </w:p>
    <w:p w14:paraId="489DD420">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74" w:name="_Toc418594331"/>
      <w:bookmarkStart w:id="175" w:name="_Toc414468941"/>
      <w:bookmarkStart w:id="176" w:name="_Toc418670664"/>
      <w:bookmarkStart w:id="177" w:name="_Toc10069"/>
      <w:bookmarkStart w:id="178" w:name="_Toc496776036"/>
      <w:bookmarkStart w:id="179" w:name="_Toc25489"/>
      <w:bookmarkStart w:id="180" w:name="_Toc414468206"/>
      <w:bookmarkStart w:id="181" w:name="_Toc3125"/>
      <w:r>
        <w:rPr>
          <w:rFonts w:hint="eastAsia" w:ascii="宋体" w:hAnsi="宋体" w:eastAsia="宋体" w:cs="宋体"/>
          <w:b/>
          <w:i w:val="0"/>
          <w:caps w:val="0"/>
          <w:color w:val="auto"/>
          <w:spacing w:val="0"/>
          <w:w w:val="100"/>
          <w:sz w:val="24"/>
          <w:szCs w:val="24"/>
          <w:highlight w:val="none"/>
        </w:rPr>
        <w:t>3.2投标报价</w:t>
      </w:r>
      <w:bookmarkEnd w:id="174"/>
      <w:bookmarkEnd w:id="175"/>
      <w:bookmarkEnd w:id="176"/>
      <w:bookmarkEnd w:id="177"/>
      <w:bookmarkEnd w:id="178"/>
      <w:bookmarkEnd w:id="179"/>
      <w:bookmarkEnd w:id="180"/>
      <w:bookmarkEnd w:id="181"/>
    </w:p>
    <w:p w14:paraId="6F24DE2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3.2.1磋商响应人应按第五章“工程量清单”的要求填写相应表格。</w:t>
      </w:r>
    </w:p>
    <w:p w14:paraId="2EBA7D3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3.2.2磋商响应人在投标截止时间前修改</w:t>
      </w:r>
      <w:r>
        <w:rPr>
          <w:rFonts w:hint="eastAsia" w:ascii="宋体" w:hAnsi="宋体" w:eastAsia="宋体" w:cs="宋体"/>
          <w:b w:val="0"/>
          <w:i w:val="0"/>
          <w:caps w:val="0"/>
          <w:color w:val="auto"/>
          <w:spacing w:val="0"/>
          <w:w w:val="100"/>
          <w:sz w:val="24"/>
          <w:szCs w:val="24"/>
          <w:highlight w:val="none"/>
          <w:lang w:eastAsia="zh-CN"/>
        </w:rPr>
        <w:t>响应</w:t>
      </w:r>
      <w:r>
        <w:rPr>
          <w:rFonts w:hint="eastAsia" w:ascii="宋体" w:hAnsi="宋体" w:eastAsia="宋体" w:cs="宋体"/>
          <w:b w:val="0"/>
          <w:i w:val="0"/>
          <w:caps w:val="0"/>
          <w:color w:val="auto"/>
          <w:spacing w:val="0"/>
          <w:w w:val="100"/>
          <w:sz w:val="24"/>
          <w:szCs w:val="24"/>
          <w:highlight w:val="none"/>
        </w:rPr>
        <w:t>函中的投标总报价，应同时修改第五章“工程量清单”中的相应报价。此修改须符合本章第4.3款的有关要求。</w:t>
      </w:r>
    </w:p>
    <w:p w14:paraId="511227E4">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82" w:name="_Toc418594332"/>
      <w:bookmarkStart w:id="183" w:name="_Toc496776037"/>
      <w:bookmarkStart w:id="184" w:name="_Toc414468207"/>
      <w:bookmarkStart w:id="185" w:name="_Toc24302"/>
      <w:bookmarkStart w:id="186" w:name="_Toc14801"/>
      <w:bookmarkStart w:id="187" w:name="_Toc25424"/>
      <w:bookmarkStart w:id="188" w:name="_Toc414468942"/>
      <w:bookmarkStart w:id="189" w:name="_Toc418670665"/>
      <w:r>
        <w:rPr>
          <w:rFonts w:hint="eastAsia" w:ascii="宋体" w:hAnsi="宋体" w:eastAsia="宋体" w:cs="宋体"/>
          <w:b/>
          <w:i w:val="0"/>
          <w:caps w:val="0"/>
          <w:color w:val="auto"/>
          <w:spacing w:val="0"/>
          <w:w w:val="100"/>
          <w:sz w:val="24"/>
          <w:szCs w:val="24"/>
          <w:highlight w:val="none"/>
        </w:rPr>
        <w:t>3.3投标有效期</w:t>
      </w:r>
      <w:bookmarkEnd w:id="182"/>
      <w:bookmarkEnd w:id="183"/>
      <w:bookmarkEnd w:id="184"/>
      <w:bookmarkEnd w:id="185"/>
      <w:bookmarkEnd w:id="186"/>
      <w:bookmarkEnd w:id="187"/>
      <w:bookmarkEnd w:id="188"/>
      <w:bookmarkEnd w:id="189"/>
    </w:p>
    <w:p w14:paraId="59A90AC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3.3.1在磋商响应人须知前附表规定的投标有效期内，磋商响应人不得要求撤销或修改其投标文件。</w:t>
      </w:r>
    </w:p>
    <w:p w14:paraId="265EC83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3.3.2出现特殊情况需要延长投标有效期的，招标人以书面形式通知所有磋商响应人延长投标有效期。磋商响应人同意延长的，应相应延长投标保证金的有效期，但不得要求或被允许修改或撤销其投标文件；磋商响应人拒绝延长的，其投标失效，但磋商响应人有权收回其投标保证金。</w:t>
      </w:r>
    </w:p>
    <w:p w14:paraId="495019F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190" w:name="_Toc418594333"/>
      <w:bookmarkStart w:id="191" w:name="_Toc418670666"/>
      <w:bookmarkStart w:id="192" w:name="_Toc414468208"/>
      <w:bookmarkStart w:id="193" w:name="_Toc496776038"/>
      <w:bookmarkStart w:id="194" w:name="_Toc24773"/>
      <w:bookmarkStart w:id="195" w:name="_Toc414468943"/>
      <w:bookmarkStart w:id="196" w:name="_Toc21429"/>
      <w:bookmarkStart w:id="197" w:name="_Toc28461"/>
      <w:r>
        <w:rPr>
          <w:rFonts w:hint="eastAsia" w:ascii="宋体" w:hAnsi="宋体" w:eastAsia="宋体" w:cs="宋体"/>
          <w:b/>
          <w:i w:val="0"/>
          <w:caps w:val="0"/>
          <w:color w:val="auto"/>
          <w:spacing w:val="0"/>
          <w:w w:val="100"/>
          <w:sz w:val="24"/>
          <w:szCs w:val="24"/>
          <w:highlight w:val="none"/>
        </w:rPr>
        <w:t>3.4</w:t>
      </w:r>
      <w:r>
        <w:rPr>
          <w:rFonts w:hint="eastAsia" w:ascii="宋体" w:hAnsi="宋体" w:eastAsia="宋体" w:cs="宋体"/>
          <w:b/>
          <w:i w:val="0"/>
          <w:caps w:val="0"/>
          <w:color w:val="auto"/>
          <w:spacing w:val="0"/>
          <w:w w:val="100"/>
          <w:sz w:val="24"/>
          <w:szCs w:val="24"/>
          <w:highlight w:val="none"/>
          <w:lang w:eastAsia="zh-CN"/>
        </w:rPr>
        <w:t>磋商</w:t>
      </w:r>
      <w:r>
        <w:rPr>
          <w:rFonts w:hint="eastAsia" w:ascii="宋体" w:hAnsi="宋体" w:eastAsia="宋体" w:cs="宋体"/>
          <w:b/>
          <w:i w:val="0"/>
          <w:caps w:val="0"/>
          <w:color w:val="auto"/>
          <w:spacing w:val="0"/>
          <w:w w:val="100"/>
          <w:sz w:val="24"/>
          <w:szCs w:val="24"/>
          <w:highlight w:val="none"/>
        </w:rPr>
        <w:t>保证金</w:t>
      </w:r>
      <w:bookmarkEnd w:id="190"/>
      <w:bookmarkEnd w:id="191"/>
      <w:bookmarkEnd w:id="192"/>
      <w:bookmarkEnd w:id="193"/>
      <w:bookmarkEnd w:id="194"/>
      <w:bookmarkEnd w:id="195"/>
      <w:bookmarkEnd w:id="196"/>
      <w:bookmarkEnd w:id="197"/>
    </w:p>
    <w:p w14:paraId="7D1E51A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98" w:name="_Toc10297"/>
      <w:bookmarkStart w:id="199" w:name="_Toc26108"/>
      <w:bookmarkStart w:id="200" w:name="_Toc496776040"/>
      <w:bookmarkStart w:id="201" w:name="_Toc414468944"/>
      <w:bookmarkStart w:id="202" w:name="_Toc24153"/>
      <w:bookmarkStart w:id="203" w:name="_Toc418594334"/>
      <w:bookmarkStart w:id="204" w:name="_Toc414468209"/>
      <w:bookmarkStart w:id="205" w:name="_Toc418670667"/>
      <w:r>
        <w:rPr>
          <w:rFonts w:hint="eastAsia" w:ascii="宋体" w:hAnsi="宋体" w:eastAsia="宋体" w:cs="宋体"/>
          <w:b w:val="0"/>
          <w:i w:val="0"/>
          <w:caps w:val="0"/>
          <w:color w:val="auto"/>
          <w:spacing w:val="0"/>
          <w:w w:val="100"/>
          <w:sz w:val="24"/>
          <w:szCs w:val="24"/>
          <w:highlight w:val="none"/>
        </w:rPr>
        <w:t>3.4.1磋商响应人在递交响应文件的同时，应按磋商响应人须知前附表规定金额、担保形式和第八章“投标文件格式”规定的投标保证金格式递交投标保证金，并作为其投标文件的组成部分。联合体投标的，其投标保证金由牵头人递交，并应符合磋商响应人须知前附表的规定。投标保证金必须从企业基本账户中支付，投标文件中附企业开户</w:t>
      </w:r>
      <w:r>
        <w:rPr>
          <w:rFonts w:hint="eastAsia" w:ascii="宋体" w:hAnsi="宋体" w:eastAsia="宋体" w:cs="宋体"/>
          <w:b w:val="0"/>
          <w:i w:val="0"/>
          <w:caps w:val="0"/>
          <w:color w:val="auto"/>
          <w:spacing w:val="0"/>
          <w:w w:val="100"/>
          <w:sz w:val="24"/>
          <w:szCs w:val="24"/>
          <w:highlight w:val="none"/>
          <w:lang w:eastAsia="zh-CN"/>
        </w:rPr>
        <w:t>信息</w:t>
      </w:r>
      <w:r>
        <w:rPr>
          <w:rFonts w:hint="eastAsia" w:ascii="宋体" w:hAnsi="宋体" w:eastAsia="宋体" w:cs="宋体"/>
          <w:b w:val="0"/>
          <w:i w:val="0"/>
          <w:caps w:val="0"/>
          <w:color w:val="auto"/>
          <w:spacing w:val="0"/>
          <w:w w:val="100"/>
          <w:sz w:val="24"/>
          <w:szCs w:val="24"/>
          <w:highlight w:val="none"/>
        </w:rPr>
        <w:t xml:space="preserve">。 </w:t>
      </w:r>
    </w:p>
    <w:p w14:paraId="13ED4B7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3.4.2磋商响应人不按本章第3.4.1项要求提交投标保证金的，其投标文件做废标处理。</w:t>
      </w:r>
    </w:p>
    <w:p w14:paraId="6096C2C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3.4.3未中标磋商响应人的投标保证金自中标通知书发出之日起5个工作日内退还（不退现金）；中标单位的投标保证金，自合同签订之日起5个工作日内退还（不退现金）。</w:t>
      </w:r>
    </w:p>
    <w:p w14:paraId="59AB74F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3.4.4有下列情形之一的，投标保证金将不予退还：</w:t>
      </w:r>
    </w:p>
    <w:p w14:paraId="2A64262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206" w:name="_Toc496776039"/>
      <w:r>
        <w:rPr>
          <w:rFonts w:hint="eastAsia" w:ascii="宋体" w:hAnsi="宋体" w:eastAsia="宋体" w:cs="宋体"/>
          <w:b w:val="0"/>
          <w:i w:val="0"/>
          <w:caps w:val="0"/>
          <w:color w:val="auto"/>
          <w:spacing w:val="0"/>
          <w:w w:val="100"/>
          <w:sz w:val="24"/>
          <w:szCs w:val="24"/>
          <w:highlight w:val="none"/>
        </w:rPr>
        <w:t>（1）磋商响应人在规定的投标有效期内撤销或修改其投标文件；</w:t>
      </w:r>
      <w:bookmarkEnd w:id="206"/>
    </w:p>
    <w:p w14:paraId="30312474">
      <w:pPr>
        <w:pStyle w:val="9"/>
        <w:bidi w:val="0"/>
        <w:ind w:firstLine="480" w:firstLineChars="200"/>
        <w:rPr>
          <w:rFonts w:hint="eastAsia" w:ascii="宋体" w:hAnsi="宋体" w:eastAsia="宋体" w:cs="宋体"/>
          <w:b w:val="0"/>
          <w:i w:val="0"/>
          <w:caps w:val="0"/>
          <w:color w:val="auto"/>
          <w:spacing w:val="0"/>
          <w:w w:val="100"/>
          <w:kern w:val="0"/>
          <w:sz w:val="24"/>
          <w:szCs w:val="24"/>
          <w:highlight w:val="none"/>
          <w:lang w:val="en-US" w:eastAsia="zh-CN" w:bidi="ar-SA"/>
        </w:rPr>
      </w:pPr>
      <w:r>
        <w:rPr>
          <w:rFonts w:hint="eastAsia" w:ascii="宋体" w:hAnsi="宋体" w:eastAsia="宋体" w:cs="宋体"/>
          <w:b w:val="0"/>
          <w:i w:val="0"/>
          <w:caps w:val="0"/>
          <w:color w:val="auto"/>
          <w:spacing w:val="0"/>
          <w:w w:val="100"/>
          <w:kern w:val="0"/>
          <w:sz w:val="24"/>
          <w:szCs w:val="24"/>
          <w:highlight w:val="none"/>
          <w:lang w:val="en-US" w:eastAsia="zh-CN" w:bidi="ar-SA"/>
        </w:rPr>
        <w:t>（2）中标人在收到中标通知书后，无正当理由拒签合同协议书或未按竞争性磋商规定提交履约担保。</w:t>
      </w:r>
    </w:p>
    <w:p w14:paraId="103BE989">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lang w:eastAsia="zh-CN"/>
        </w:rPr>
      </w:pPr>
      <w:r>
        <w:rPr>
          <w:rFonts w:hint="eastAsia" w:ascii="宋体" w:hAnsi="宋体" w:eastAsia="宋体" w:cs="宋体"/>
          <w:b/>
          <w:i w:val="0"/>
          <w:caps w:val="0"/>
          <w:color w:val="auto"/>
          <w:spacing w:val="0"/>
          <w:w w:val="100"/>
          <w:sz w:val="24"/>
          <w:szCs w:val="24"/>
          <w:highlight w:val="none"/>
        </w:rPr>
        <w:t>3.5资料审查</w:t>
      </w:r>
      <w:bookmarkEnd w:id="198"/>
      <w:bookmarkEnd w:id="199"/>
      <w:bookmarkEnd w:id="200"/>
      <w:bookmarkEnd w:id="201"/>
      <w:bookmarkEnd w:id="202"/>
      <w:bookmarkEnd w:id="203"/>
      <w:bookmarkEnd w:id="204"/>
      <w:bookmarkEnd w:id="205"/>
    </w:p>
    <w:p w14:paraId="2101563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3.5.1“磋商响应人基本情况表”应附磋商响应人营业执照副本及其年检合格的证明材料、资质证书副本和安全生产许可证等材料的复印件。</w:t>
      </w:r>
    </w:p>
    <w:p w14:paraId="1A55236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3.5.2“近年财务状况表”具体年份要求见磋商响应人须知前附表。</w:t>
      </w:r>
    </w:p>
    <w:p w14:paraId="7AE5484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3.5.3“近年完成的类似项目情况表”具体年份要求见磋商响应人须知前附表。每张表格只填写一个项目，并表明序号。</w:t>
      </w:r>
    </w:p>
    <w:p w14:paraId="4495C3B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3.5.4“正在施工和新承接的项目情况表”应附合同协议书复印件。每张表格只填写一个项目，并表明序号。</w:t>
      </w:r>
    </w:p>
    <w:p w14:paraId="77E63C7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3.5.5“近年发生的诉讼及仲裁情况”</w:t>
      </w:r>
      <w:r>
        <w:rPr>
          <w:rFonts w:hint="eastAsia" w:ascii="宋体" w:hAnsi="宋体" w:cs="宋体"/>
          <w:b w:val="0"/>
          <w:i w:val="0"/>
          <w:caps w:val="0"/>
          <w:color w:val="auto"/>
          <w:spacing w:val="0"/>
          <w:w w:val="100"/>
          <w:sz w:val="24"/>
          <w:szCs w:val="24"/>
          <w:highlight w:val="none"/>
          <w:lang w:val="en-US" w:eastAsia="zh-CN"/>
        </w:rPr>
        <w:t>,</w:t>
      </w:r>
      <w:r>
        <w:rPr>
          <w:rFonts w:hint="eastAsia" w:ascii="宋体" w:hAnsi="宋体" w:eastAsia="宋体" w:cs="宋体"/>
          <w:b w:val="0"/>
          <w:i w:val="0"/>
          <w:caps w:val="0"/>
          <w:color w:val="auto"/>
          <w:spacing w:val="0"/>
          <w:w w:val="100"/>
          <w:sz w:val="24"/>
          <w:szCs w:val="24"/>
          <w:highlight w:val="none"/>
        </w:rPr>
        <w:t>具体年份要求见磋商响应人须知前附表。</w:t>
      </w:r>
    </w:p>
    <w:p w14:paraId="105704A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3.5.6磋商响应人须知前附表规定接受联合投标的，本章第3.5.1项至3.5.5项规定的表格和资料应包括联合体各方相关情况。</w:t>
      </w:r>
    </w:p>
    <w:p w14:paraId="61B39112">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07" w:name="_Toc8699"/>
      <w:bookmarkStart w:id="208" w:name="_Toc17036"/>
      <w:bookmarkStart w:id="209" w:name="_Toc496776041"/>
      <w:bookmarkStart w:id="210" w:name="_Toc25876"/>
      <w:bookmarkStart w:id="211" w:name="_Toc418670668"/>
      <w:bookmarkStart w:id="212" w:name="_Toc414468945"/>
      <w:bookmarkStart w:id="213" w:name="_Toc418594335"/>
      <w:bookmarkStart w:id="214" w:name="_Toc414468210"/>
      <w:r>
        <w:rPr>
          <w:rFonts w:hint="eastAsia" w:ascii="宋体" w:hAnsi="宋体" w:eastAsia="宋体" w:cs="宋体"/>
          <w:b/>
          <w:i w:val="0"/>
          <w:caps w:val="0"/>
          <w:color w:val="auto"/>
          <w:spacing w:val="0"/>
          <w:w w:val="100"/>
          <w:sz w:val="24"/>
          <w:szCs w:val="24"/>
          <w:highlight w:val="none"/>
        </w:rPr>
        <w:t>3.6备选投标方案</w:t>
      </w:r>
      <w:bookmarkEnd w:id="207"/>
      <w:bookmarkEnd w:id="208"/>
      <w:bookmarkEnd w:id="209"/>
      <w:bookmarkEnd w:id="210"/>
      <w:bookmarkEnd w:id="211"/>
      <w:bookmarkEnd w:id="212"/>
      <w:bookmarkEnd w:id="213"/>
      <w:bookmarkEnd w:id="214"/>
    </w:p>
    <w:p w14:paraId="3A4E1C2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除磋商响应人须知前附表另有规定外，磋商响应人不得递交备选投标方案。允许磋商响应人递交备选投标方案的，只有中标人所递交的备选投标方案方可予以考虑。评标委员会认为中标人的备选投标方案优于其按照竞争性磋商要求编制的投标方案的，招标人可以接受该备选投标方案。</w:t>
      </w:r>
    </w:p>
    <w:p w14:paraId="028620C2">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15" w:name="_Toc496776042"/>
      <w:bookmarkStart w:id="216" w:name="_Toc18044"/>
      <w:bookmarkStart w:id="217" w:name="_Toc1878"/>
      <w:bookmarkStart w:id="218" w:name="_Toc6383"/>
      <w:bookmarkStart w:id="219" w:name="_Toc414468946"/>
      <w:bookmarkStart w:id="220" w:name="_Toc418594336"/>
      <w:bookmarkStart w:id="221" w:name="_Toc414468211"/>
      <w:bookmarkStart w:id="222" w:name="_Toc418670669"/>
      <w:r>
        <w:rPr>
          <w:rFonts w:hint="eastAsia" w:ascii="宋体" w:hAnsi="宋体" w:eastAsia="宋体" w:cs="宋体"/>
          <w:b/>
          <w:i w:val="0"/>
          <w:caps w:val="0"/>
          <w:color w:val="auto"/>
          <w:spacing w:val="0"/>
          <w:w w:val="100"/>
          <w:sz w:val="24"/>
          <w:szCs w:val="24"/>
          <w:highlight w:val="none"/>
        </w:rPr>
        <w:t>3.7</w:t>
      </w:r>
      <w:r>
        <w:rPr>
          <w:rFonts w:hint="eastAsia" w:ascii="宋体" w:hAnsi="宋体" w:eastAsia="宋体" w:cs="宋体"/>
          <w:b/>
          <w:i w:val="0"/>
          <w:caps w:val="0"/>
          <w:color w:val="auto"/>
          <w:spacing w:val="0"/>
          <w:w w:val="100"/>
          <w:sz w:val="24"/>
          <w:szCs w:val="24"/>
          <w:highlight w:val="none"/>
          <w:lang w:eastAsia="zh-CN"/>
        </w:rPr>
        <w:t>响应</w:t>
      </w:r>
      <w:r>
        <w:rPr>
          <w:rFonts w:hint="eastAsia" w:ascii="宋体" w:hAnsi="宋体" w:eastAsia="宋体" w:cs="宋体"/>
          <w:b/>
          <w:i w:val="0"/>
          <w:caps w:val="0"/>
          <w:color w:val="auto"/>
          <w:spacing w:val="0"/>
          <w:w w:val="100"/>
          <w:sz w:val="24"/>
          <w:szCs w:val="24"/>
          <w:highlight w:val="none"/>
        </w:rPr>
        <w:t>文件的编制</w:t>
      </w:r>
      <w:bookmarkEnd w:id="215"/>
      <w:bookmarkEnd w:id="216"/>
      <w:bookmarkEnd w:id="217"/>
      <w:bookmarkEnd w:id="218"/>
      <w:bookmarkEnd w:id="219"/>
      <w:bookmarkEnd w:id="220"/>
      <w:bookmarkEnd w:id="221"/>
      <w:bookmarkEnd w:id="222"/>
    </w:p>
    <w:p w14:paraId="72F3549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3.7.1响应文件应按第</w:t>
      </w:r>
      <w:r>
        <w:rPr>
          <w:rFonts w:hint="eastAsia" w:ascii="宋体" w:hAnsi="宋体" w:eastAsia="宋体" w:cs="宋体"/>
          <w:b w:val="0"/>
          <w:i w:val="0"/>
          <w:caps w:val="0"/>
          <w:color w:val="auto"/>
          <w:spacing w:val="0"/>
          <w:w w:val="100"/>
          <w:sz w:val="24"/>
          <w:szCs w:val="24"/>
          <w:highlight w:val="none"/>
          <w:lang w:eastAsia="zh-CN"/>
        </w:rPr>
        <w:t>五</w:t>
      </w:r>
      <w:r>
        <w:rPr>
          <w:rFonts w:hint="eastAsia" w:ascii="宋体" w:hAnsi="宋体" w:eastAsia="宋体" w:cs="宋体"/>
          <w:b w:val="0"/>
          <w:i w:val="0"/>
          <w:caps w:val="0"/>
          <w:color w:val="auto"/>
          <w:spacing w:val="0"/>
          <w:w w:val="100"/>
          <w:sz w:val="24"/>
          <w:szCs w:val="24"/>
          <w:highlight w:val="none"/>
        </w:rPr>
        <w:t>章“</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文件格式”进行编写，如有必要，可以增加附页，作为投标文件的组成部分。其中，</w:t>
      </w:r>
      <w:r>
        <w:rPr>
          <w:rFonts w:hint="eastAsia" w:ascii="宋体" w:hAnsi="宋体" w:eastAsia="宋体" w:cs="宋体"/>
          <w:b w:val="0"/>
          <w:i w:val="0"/>
          <w:caps w:val="0"/>
          <w:color w:val="auto"/>
          <w:spacing w:val="0"/>
          <w:w w:val="100"/>
          <w:sz w:val="24"/>
          <w:szCs w:val="24"/>
          <w:highlight w:val="none"/>
          <w:lang w:eastAsia="zh-CN"/>
        </w:rPr>
        <w:t>响应</w:t>
      </w:r>
      <w:r>
        <w:rPr>
          <w:rFonts w:hint="eastAsia" w:ascii="宋体" w:hAnsi="宋体" w:eastAsia="宋体" w:cs="宋体"/>
          <w:b w:val="0"/>
          <w:i w:val="0"/>
          <w:caps w:val="0"/>
          <w:color w:val="auto"/>
          <w:spacing w:val="0"/>
          <w:w w:val="100"/>
          <w:sz w:val="24"/>
          <w:szCs w:val="24"/>
          <w:highlight w:val="none"/>
        </w:rPr>
        <w:t>函附录在满足竞争性磋商实质性要求的基础上，可以做出比竞争性磋商要求更有利于招标人的承诺。</w:t>
      </w:r>
    </w:p>
    <w:p w14:paraId="2AD1641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3.7.2响应文件应当对竞争性磋商有关工期、投标有效期、质量要求、技术标准和要求、招标范围等实质性内容做出响应。</w:t>
      </w:r>
    </w:p>
    <w:p w14:paraId="2BB5CFF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3.7.3响应文件应用不褪色的材料书写或打印，并由法定代表人或其委托代理人按竞争性磋商要求签字、盖章。委托代理人签字的，投标文件应附法定代表人签署的授权委托书。响应文件应尽量避免涂改、行间插字或删除。如果出现上述情况，改动之处应加盖单位章或由磋商响应人的法定代表人或其授权的代理人签字确认。</w:t>
      </w:r>
    </w:p>
    <w:p w14:paraId="2BAE46A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23" w:name="_Toc414468212"/>
      <w:bookmarkStart w:id="224" w:name="_Toc23411"/>
      <w:bookmarkStart w:id="225" w:name="_Toc496776043"/>
      <w:bookmarkStart w:id="226" w:name="_Toc17186"/>
      <w:bookmarkStart w:id="227" w:name="_Toc32639"/>
      <w:bookmarkStart w:id="228" w:name="_Toc17612"/>
      <w:bookmarkStart w:id="229" w:name="_Toc414468947"/>
      <w:r>
        <w:rPr>
          <w:rFonts w:hint="eastAsia" w:ascii="宋体" w:hAnsi="宋体" w:eastAsia="宋体" w:cs="宋体"/>
          <w:b/>
          <w:i w:val="0"/>
          <w:caps w:val="0"/>
          <w:color w:val="auto"/>
          <w:spacing w:val="0"/>
          <w:w w:val="100"/>
          <w:sz w:val="24"/>
          <w:szCs w:val="24"/>
          <w:highlight w:val="none"/>
        </w:rPr>
        <w:t>4投标</w:t>
      </w:r>
      <w:bookmarkEnd w:id="223"/>
      <w:bookmarkEnd w:id="224"/>
      <w:bookmarkEnd w:id="225"/>
      <w:bookmarkEnd w:id="226"/>
      <w:bookmarkEnd w:id="227"/>
      <w:bookmarkEnd w:id="228"/>
      <w:bookmarkEnd w:id="229"/>
      <w:bookmarkStart w:id="230" w:name="_Toc414468948"/>
      <w:bookmarkStart w:id="231" w:name="_Toc418670671"/>
      <w:bookmarkStart w:id="232" w:name="_Toc418594338"/>
      <w:bookmarkStart w:id="233" w:name="_Toc496776044"/>
      <w:bookmarkStart w:id="234" w:name="_Toc414468213"/>
    </w:p>
    <w:p w14:paraId="0B28DAC3">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35" w:name="_Toc17623"/>
      <w:bookmarkStart w:id="236" w:name="_Toc21441"/>
      <w:bookmarkStart w:id="237" w:name="_Toc18507"/>
      <w:bookmarkStart w:id="238" w:name="_Toc25332"/>
      <w:r>
        <w:rPr>
          <w:rFonts w:hint="eastAsia" w:ascii="宋体" w:hAnsi="宋体" w:eastAsia="宋体" w:cs="宋体"/>
          <w:b/>
          <w:i w:val="0"/>
          <w:caps w:val="0"/>
          <w:color w:val="auto"/>
          <w:spacing w:val="0"/>
          <w:w w:val="100"/>
          <w:sz w:val="24"/>
          <w:szCs w:val="24"/>
          <w:highlight w:val="none"/>
        </w:rPr>
        <w:t>4.1响应文件的密封和标识</w:t>
      </w:r>
      <w:bookmarkEnd w:id="230"/>
      <w:bookmarkEnd w:id="231"/>
      <w:bookmarkEnd w:id="232"/>
      <w:bookmarkEnd w:id="233"/>
      <w:bookmarkEnd w:id="234"/>
      <w:bookmarkEnd w:id="235"/>
      <w:bookmarkEnd w:id="236"/>
      <w:bookmarkEnd w:id="237"/>
      <w:bookmarkEnd w:id="238"/>
    </w:p>
    <w:p w14:paraId="419F2896">
      <w:pPr>
        <w:keepLines/>
        <w:snapToGrid w:val="0"/>
        <w:spacing w:before="0" w:beforeAutospacing="0" w:after="0" w:afterAutospacing="0" w:line="360" w:lineRule="auto"/>
        <w:ind w:firstLine="240" w:firstLineChars="100"/>
        <w:textAlignment w:val="baseline"/>
        <w:rPr>
          <w:rFonts w:hint="eastAsia" w:ascii="宋体" w:hAnsi="宋体" w:eastAsia="宋体" w:cs="宋体"/>
          <w:b w:val="0"/>
          <w:i w:val="0"/>
          <w:caps w:val="0"/>
          <w:color w:val="auto"/>
          <w:spacing w:val="0"/>
          <w:w w:val="100"/>
          <w:sz w:val="20"/>
          <w:szCs w:val="24"/>
          <w:highlight w:val="none"/>
        </w:rPr>
      </w:pPr>
      <w:bookmarkStart w:id="239" w:name="_Toc418670672"/>
      <w:bookmarkStart w:id="240" w:name="_Toc418594339"/>
      <w:bookmarkStart w:id="241" w:name="_Toc414468949"/>
      <w:bookmarkStart w:id="242" w:name="_Toc496776045"/>
      <w:bookmarkStart w:id="243" w:name="_Toc414468214"/>
      <w:r>
        <w:rPr>
          <w:rFonts w:hint="eastAsia" w:ascii="宋体" w:hAnsi="宋体" w:eastAsia="宋体" w:cs="宋体"/>
          <w:b w:val="0"/>
          <w:i w:val="0"/>
          <w:caps w:val="0"/>
          <w:color w:val="auto"/>
          <w:spacing w:val="0"/>
          <w:w w:val="100"/>
          <w:sz w:val="24"/>
          <w:szCs w:val="24"/>
          <w:highlight w:val="none"/>
        </w:rPr>
        <w:t>4.1.112.2 磋商响应文件编制格式为 word 系统签章保存后转换为 pdf 格式上传，格式须按磋商响应文件第五部分“磋商响应文件格式”要求制作，且目录索引定位到内容；</w:t>
      </w:r>
    </w:p>
    <w:p w14:paraId="57E6601C">
      <w:pPr>
        <w:keepLines/>
        <w:snapToGrid w:val="0"/>
        <w:spacing w:before="0" w:beforeAutospacing="0" w:after="0" w:afterAutospacing="0" w:line="360" w:lineRule="auto"/>
        <w:ind w:firstLine="463" w:firstLineChars="193"/>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4.1.2 供应商应在提交磋商响应文件截止时间前上传磋商响应文件。因目录格式不准确、不能索引定位到内容、文件过大、未提交全部文件内容或文件内容错误、上传效果差等原因导致无法评审的，有可能判定为无效磋商。。</w:t>
      </w:r>
    </w:p>
    <w:p w14:paraId="7F40D7B2">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lang w:eastAsia="zh-CN"/>
        </w:rPr>
      </w:pPr>
      <w:bookmarkStart w:id="244" w:name="_Toc22454"/>
      <w:bookmarkStart w:id="245" w:name="_Toc24762"/>
      <w:bookmarkStart w:id="246" w:name="_Toc10020"/>
      <w:r>
        <w:rPr>
          <w:rFonts w:hint="eastAsia" w:ascii="宋体" w:hAnsi="宋体" w:eastAsia="宋体" w:cs="宋体"/>
          <w:b/>
          <w:i w:val="0"/>
          <w:caps w:val="0"/>
          <w:color w:val="auto"/>
          <w:spacing w:val="0"/>
          <w:w w:val="100"/>
          <w:sz w:val="24"/>
          <w:szCs w:val="24"/>
          <w:highlight w:val="none"/>
        </w:rPr>
        <w:t>4.2</w:t>
      </w:r>
      <w:r>
        <w:rPr>
          <w:rFonts w:hint="eastAsia" w:ascii="宋体" w:hAnsi="宋体" w:eastAsia="宋体" w:cs="宋体"/>
          <w:b/>
          <w:i w:val="0"/>
          <w:caps w:val="0"/>
          <w:color w:val="auto"/>
          <w:spacing w:val="0"/>
          <w:w w:val="100"/>
          <w:sz w:val="24"/>
          <w:szCs w:val="24"/>
          <w:highlight w:val="none"/>
          <w:lang w:eastAsia="zh-CN"/>
        </w:rPr>
        <w:t>响应</w:t>
      </w:r>
      <w:r>
        <w:rPr>
          <w:rFonts w:hint="eastAsia" w:ascii="宋体" w:hAnsi="宋体" w:eastAsia="宋体" w:cs="宋体"/>
          <w:b/>
          <w:i w:val="0"/>
          <w:caps w:val="0"/>
          <w:color w:val="auto"/>
          <w:spacing w:val="0"/>
          <w:w w:val="100"/>
          <w:sz w:val="24"/>
          <w:szCs w:val="24"/>
          <w:highlight w:val="none"/>
        </w:rPr>
        <w:t>文件的</w:t>
      </w:r>
      <w:bookmarkEnd w:id="239"/>
      <w:bookmarkEnd w:id="240"/>
      <w:bookmarkEnd w:id="241"/>
      <w:bookmarkEnd w:id="242"/>
      <w:bookmarkEnd w:id="243"/>
      <w:bookmarkEnd w:id="244"/>
      <w:bookmarkEnd w:id="245"/>
      <w:bookmarkEnd w:id="246"/>
      <w:r>
        <w:rPr>
          <w:rFonts w:hint="eastAsia" w:ascii="宋体" w:hAnsi="宋体" w:eastAsia="宋体" w:cs="宋体"/>
          <w:b/>
          <w:i w:val="0"/>
          <w:caps w:val="0"/>
          <w:color w:val="auto"/>
          <w:spacing w:val="0"/>
          <w:w w:val="100"/>
          <w:sz w:val="24"/>
          <w:szCs w:val="24"/>
          <w:highlight w:val="none"/>
          <w:lang w:eastAsia="zh-CN"/>
        </w:rPr>
        <w:t>上传</w:t>
      </w:r>
    </w:p>
    <w:p w14:paraId="3380C00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cs="宋体"/>
          <w:b w:val="0"/>
          <w:i w:val="0"/>
          <w:caps w:val="0"/>
          <w:color w:val="auto"/>
          <w:spacing w:val="0"/>
          <w:w w:val="100"/>
          <w:sz w:val="24"/>
          <w:szCs w:val="24"/>
          <w:highlight w:val="none"/>
          <w:lang w:val="en-US" w:eastAsia="zh-CN"/>
        </w:rPr>
        <w:t>4.2.1</w:t>
      </w:r>
      <w:r>
        <w:rPr>
          <w:rFonts w:hint="eastAsia" w:ascii="宋体" w:hAnsi="宋体" w:cs="宋体"/>
          <w:b w:val="0"/>
          <w:i w:val="0"/>
          <w:caps w:val="0"/>
          <w:color w:val="auto"/>
          <w:spacing w:val="0"/>
          <w:w w:val="100"/>
          <w:sz w:val="24"/>
          <w:szCs w:val="24"/>
          <w:highlight w:val="none"/>
          <w:lang w:eastAsia="zh-CN"/>
        </w:rPr>
        <w:t>投标人</w:t>
      </w:r>
      <w:r>
        <w:rPr>
          <w:rFonts w:hint="eastAsia" w:ascii="宋体" w:hAnsi="宋体" w:eastAsia="宋体" w:cs="宋体"/>
          <w:b w:val="0"/>
          <w:i w:val="0"/>
          <w:caps w:val="0"/>
          <w:color w:val="auto"/>
          <w:spacing w:val="0"/>
          <w:w w:val="100"/>
          <w:sz w:val="24"/>
          <w:szCs w:val="24"/>
          <w:highlight w:val="none"/>
        </w:rPr>
        <w:t>应在政采云平台上报价并上传电子磋商响应文件。</w:t>
      </w:r>
    </w:p>
    <w:p w14:paraId="6C29081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cs="宋体"/>
          <w:b w:val="0"/>
          <w:i w:val="0"/>
          <w:caps w:val="0"/>
          <w:color w:val="auto"/>
          <w:spacing w:val="0"/>
          <w:w w:val="100"/>
          <w:sz w:val="24"/>
          <w:szCs w:val="24"/>
          <w:highlight w:val="none"/>
          <w:lang w:val="en-US" w:eastAsia="zh-CN"/>
        </w:rPr>
        <w:t>4.2.2</w:t>
      </w:r>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cs="宋体"/>
          <w:b w:val="0"/>
          <w:i w:val="0"/>
          <w:caps w:val="0"/>
          <w:color w:val="auto"/>
          <w:spacing w:val="0"/>
          <w:w w:val="100"/>
          <w:sz w:val="24"/>
          <w:szCs w:val="24"/>
          <w:highlight w:val="none"/>
          <w:lang w:eastAsia="zh-CN"/>
        </w:rPr>
        <w:t>如有分包</w:t>
      </w:r>
      <w:r>
        <w:rPr>
          <w:rFonts w:hint="eastAsia" w:ascii="宋体" w:hAnsi="宋体" w:eastAsia="宋体" w:cs="宋体"/>
          <w:b w:val="0"/>
          <w:i w:val="0"/>
          <w:caps w:val="0"/>
          <w:color w:val="auto"/>
          <w:spacing w:val="0"/>
          <w:w w:val="100"/>
          <w:sz w:val="24"/>
          <w:szCs w:val="24"/>
          <w:highlight w:val="none"/>
        </w:rPr>
        <w:t>供应商应按包报价，填写工期。</w:t>
      </w:r>
    </w:p>
    <w:p w14:paraId="1A764CE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cs="宋体"/>
          <w:b w:val="0"/>
          <w:i w:val="0"/>
          <w:caps w:val="0"/>
          <w:color w:val="auto"/>
          <w:spacing w:val="0"/>
          <w:w w:val="100"/>
          <w:sz w:val="24"/>
          <w:szCs w:val="24"/>
          <w:highlight w:val="none"/>
          <w:lang w:val="en-US" w:eastAsia="zh-CN"/>
        </w:rPr>
        <w:t>4.2.3</w:t>
      </w:r>
      <w:r>
        <w:rPr>
          <w:rFonts w:hint="eastAsia" w:ascii="宋体" w:hAnsi="宋体" w:eastAsia="宋体" w:cs="宋体"/>
          <w:b w:val="0"/>
          <w:i w:val="0"/>
          <w:caps w:val="0"/>
          <w:color w:val="auto"/>
          <w:spacing w:val="0"/>
          <w:w w:val="100"/>
          <w:sz w:val="24"/>
          <w:szCs w:val="24"/>
          <w:highlight w:val="none"/>
        </w:rPr>
        <w:t xml:space="preserve"> 开启时的“竞争性磋商首次报价表”由各供应商网上报价生成。</w:t>
      </w:r>
    </w:p>
    <w:p w14:paraId="4DD3C758">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47" w:name="_Toc418670673"/>
      <w:bookmarkStart w:id="248" w:name="_Toc32538"/>
      <w:bookmarkStart w:id="249" w:name="_Toc20715"/>
      <w:bookmarkStart w:id="250" w:name="_Toc496776046"/>
      <w:bookmarkStart w:id="251" w:name="_Toc414468950"/>
      <w:bookmarkStart w:id="252" w:name="_Toc414468215"/>
      <w:bookmarkStart w:id="253" w:name="_Toc21226"/>
      <w:bookmarkStart w:id="254" w:name="_Toc418594340"/>
      <w:r>
        <w:rPr>
          <w:rFonts w:hint="eastAsia" w:ascii="宋体" w:hAnsi="宋体" w:eastAsia="宋体" w:cs="宋体"/>
          <w:b/>
          <w:i w:val="0"/>
          <w:caps w:val="0"/>
          <w:color w:val="auto"/>
          <w:spacing w:val="0"/>
          <w:w w:val="100"/>
          <w:sz w:val="24"/>
          <w:szCs w:val="24"/>
          <w:highlight w:val="none"/>
        </w:rPr>
        <w:t>4.3投标文件的修改与撤回</w:t>
      </w:r>
      <w:bookmarkEnd w:id="247"/>
      <w:bookmarkEnd w:id="248"/>
      <w:bookmarkEnd w:id="249"/>
      <w:bookmarkEnd w:id="250"/>
      <w:bookmarkEnd w:id="251"/>
      <w:bookmarkEnd w:id="252"/>
      <w:bookmarkEnd w:id="253"/>
      <w:bookmarkEnd w:id="254"/>
    </w:p>
    <w:p w14:paraId="78DBAA2A">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4.3.1在本章第2.2.2项规定的投标截止时间前，磋商响应人可以修改或撤回已递交的投标文件，但应以书面形式通知招标人。</w:t>
      </w:r>
    </w:p>
    <w:p w14:paraId="3010CF6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4.3.2磋商响应人修改或撤回已递交的投标文件的书面通知应按照本章第3.7.3项的要求签字或盖章。招标人收到书面通知后，向磋商响应人出具签收凭证。</w:t>
      </w:r>
    </w:p>
    <w:p w14:paraId="497EC734">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55" w:name="_Toc496776047"/>
      <w:bookmarkStart w:id="256" w:name="_Toc414468216"/>
      <w:bookmarkStart w:id="257" w:name="_Toc19276"/>
      <w:bookmarkStart w:id="258" w:name="_Toc29104"/>
      <w:bookmarkStart w:id="259" w:name="_Toc3982"/>
      <w:bookmarkStart w:id="260" w:name="_Toc27263"/>
      <w:bookmarkStart w:id="261" w:name="_Toc414468951"/>
      <w:r>
        <w:rPr>
          <w:rFonts w:hint="eastAsia" w:ascii="宋体" w:hAnsi="宋体" w:eastAsia="宋体" w:cs="宋体"/>
          <w:b/>
          <w:i w:val="0"/>
          <w:caps w:val="0"/>
          <w:color w:val="auto"/>
          <w:spacing w:val="0"/>
          <w:w w:val="100"/>
          <w:sz w:val="24"/>
          <w:szCs w:val="24"/>
          <w:highlight w:val="none"/>
        </w:rPr>
        <w:t>5开标</w:t>
      </w:r>
      <w:bookmarkEnd w:id="255"/>
      <w:bookmarkEnd w:id="256"/>
      <w:bookmarkEnd w:id="257"/>
      <w:bookmarkEnd w:id="258"/>
      <w:bookmarkEnd w:id="259"/>
      <w:bookmarkEnd w:id="260"/>
      <w:bookmarkEnd w:id="261"/>
    </w:p>
    <w:p w14:paraId="4D929DD4">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62" w:name="_Toc496776048"/>
      <w:bookmarkStart w:id="263" w:name="_Toc3649"/>
      <w:bookmarkStart w:id="264" w:name="_Toc418670675"/>
      <w:bookmarkStart w:id="265" w:name="_Toc414468952"/>
      <w:bookmarkStart w:id="266" w:name="_Toc418594342"/>
      <w:bookmarkStart w:id="267" w:name="_Toc2310"/>
      <w:bookmarkStart w:id="268" w:name="_Toc32317"/>
      <w:bookmarkStart w:id="269" w:name="_Toc414468217"/>
      <w:r>
        <w:rPr>
          <w:rFonts w:hint="eastAsia" w:ascii="宋体" w:hAnsi="宋体" w:eastAsia="宋体" w:cs="宋体"/>
          <w:b/>
          <w:i w:val="0"/>
          <w:caps w:val="0"/>
          <w:color w:val="auto"/>
          <w:spacing w:val="0"/>
          <w:w w:val="100"/>
          <w:sz w:val="24"/>
          <w:szCs w:val="24"/>
          <w:highlight w:val="none"/>
        </w:rPr>
        <w:t>5.1开标时间和地点</w:t>
      </w:r>
      <w:bookmarkEnd w:id="262"/>
      <w:bookmarkEnd w:id="263"/>
      <w:bookmarkEnd w:id="264"/>
      <w:bookmarkEnd w:id="265"/>
      <w:bookmarkEnd w:id="266"/>
      <w:bookmarkEnd w:id="267"/>
      <w:bookmarkEnd w:id="268"/>
      <w:bookmarkEnd w:id="269"/>
    </w:p>
    <w:p w14:paraId="69C97FDC">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cs="宋体"/>
          <w:b w:val="0"/>
          <w:i w:val="0"/>
          <w:caps w:val="0"/>
          <w:color w:val="auto"/>
          <w:spacing w:val="0"/>
          <w:w w:val="100"/>
          <w:sz w:val="24"/>
          <w:szCs w:val="24"/>
          <w:highlight w:val="none"/>
          <w:lang w:val="en-US" w:eastAsia="zh-CN"/>
        </w:rPr>
        <w:t>5.1.1</w:t>
      </w:r>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cs="宋体"/>
          <w:b w:val="0"/>
          <w:i w:val="0"/>
          <w:caps w:val="0"/>
          <w:color w:val="auto"/>
          <w:spacing w:val="0"/>
          <w:w w:val="100"/>
          <w:sz w:val="24"/>
          <w:szCs w:val="24"/>
          <w:highlight w:val="none"/>
          <w:lang w:eastAsia="zh-CN"/>
        </w:rPr>
        <w:t>招标人</w:t>
      </w:r>
      <w:r>
        <w:rPr>
          <w:rFonts w:hint="eastAsia" w:ascii="宋体" w:hAnsi="宋体" w:eastAsia="宋体" w:cs="宋体"/>
          <w:b w:val="0"/>
          <w:i w:val="0"/>
          <w:caps w:val="0"/>
          <w:color w:val="auto"/>
          <w:spacing w:val="0"/>
          <w:w w:val="100"/>
          <w:sz w:val="24"/>
          <w:szCs w:val="24"/>
          <w:highlight w:val="none"/>
        </w:rPr>
        <w:t>、采购代理机构在政采云平台上组织磋商活动，时间和地点以本磋商文件中确定的为准。</w:t>
      </w:r>
    </w:p>
    <w:p w14:paraId="5E594C16">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cs="宋体"/>
          <w:b w:val="0"/>
          <w:i w:val="0"/>
          <w:caps w:val="0"/>
          <w:color w:val="auto"/>
          <w:spacing w:val="0"/>
          <w:w w:val="100"/>
          <w:sz w:val="24"/>
          <w:szCs w:val="24"/>
          <w:highlight w:val="none"/>
          <w:lang w:val="en-US" w:eastAsia="zh-CN"/>
        </w:rPr>
        <w:t>5.1.2</w:t>
      </w:r>
      <w:r>
        <w:rPr>
          <w:rFonts w:hint="eastAsia" w:ascii="宋体" w:hAnsi="宋体" w:eastAsia="宋体" w:cs="宋体"/>
          <w:b w:val="0"/>
          <w:i w:val="0"/>
          <w:caps w:val="0"/>
          <w:color w:val="auto"/>
          <w:spacing w:val="0"/>
          <w:w w:val="100"/>
          <w:sz w:val="24"/>
          <w:szCs w:val="24"/>
          <w:highlight w:val="none"/>
        </w:rPr>
        <w:t>开启后，供应商在政采云平台上报价与磋商响应文件内容不一致的， 以网上报价为准。若拒绝接受，其响应无效。</w:t>
      </w:r>
    </w:p>
    <w:p w14:paraId="286DBE99">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cs="宋体"/>
          <w:b w:val="0"/>
          <w:i w:val="0"/>
          <w:caps w:val="0"/>
          <w:color w:val="auto"/>
          <w:spacing w:val="0"/>
          <w:w w:val="100"/>
          <w:sz w:val="24"/>
          <w:szCs w:val="24"/>
          <w:highlight w:val="none"/>
          <w:lang w:val="en-US" w:eastAsia="zh-CN"/>
        </w:rPr>
        <w:t>5.1.3</w:t>
      </w:r>
      <w:r>
        <w:rPr>
          <w:rFonts w:hint="eastAsia" w:ascii="宋体" w:hAnsi="宋体" w:eastAsia="宋体" w:cs="宋体"/>
          <w:b w:val="0"/>
          <w:i w:val="0"/>
          <w:caps w:val="0"/>
          <w:color w:val="auto"/>
          <w:spacing w:val="0"/>
          <w:w w:val="100"/>
          <w:sz w:val="24"/>
          <w:szCs w:val="24"/>
          <w:highlight w:val="none"/>
        </w:rPr>
        <w:t>磋商工作由采购代理机构组织，</w:t>
      </w:r>
      <w:r>
        <w:rPr>
          <w:rFonts w:hint="eastAsia" w:ascii="宋体" w:hAnsi="宋体" w:cs="宋体"/>
          <w:b w:val="0"/>
          <w:i w:val="0"/>
          <w:caps w:val="0"/>
          <w:color w:val="auto"/>
          <w:spacing w:val="0"/>
          <w:w w:val="100"/>
          <w:sz w:val="24"/>
          <w:szCs w:val="24"/>
          <w:highlight w:val="none"/>
          <w:lang w:eastAsia="zh-CN"/>
        </w:rPr>
        <w:t>招标人</w:t>
      </w:r>
      <w:r>
        <w:rPr>
          <w:rFonts w:hint="eastAsia" w:ascii="宋体" w:hAnsi="宋体" w:eastAsia="宋体" w:cs="宋体"/>
          <w:b w:val="0"/>
          <w:i w:val="0"/>
          <w:caps w:val="0"/>
          <w:color w:val="auto"/>
          <w:spacing w:val="0"/>
          <w:w w:val="100"/>
          <w:sz w:val="24"/>
          <w:szCs w:val="24"/>
          <w:highlight w:val="none"/>
        </w:rPr>
        <w:t>、采购管理、纪检监察等有关方面代表可根据采购项目的具体情况列席，并对开标过程签字确认。</w:t>
      </w:r>
    </w:p>
    <w:p w14:paraId="50106CA2">
      <w:pPr>
        <w:keepNext w:val="0"/>
        <w:keepLines w:val="0"/>
        <w:pageBreakBefore w:val="0"/>
        <w:widowControl/>
        <w:kinsoku/>
        <w:wordWrap/>
        <w:overflowPunct/>
        <w:topLinePunct w:val="0"/>
        <w:autoSpaceDE/>
        <w:autoSpaceDN/>
        <w:bidi w:val="0"/>
        <w:adjustRightInd w:val="0"/>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cs="宋体"/>
          <w:b w:val="0"/>
          <w:i w:val="0"/>
          <w:caps w:val="0"/>
          <w:color w:val="auto"/>
          <w:spacing w:val="0"/>
          <w:w w:val="100"/>
          <w:sz w:val="24"/>
          <w:szCs w:val="24"/>
          <w:highlight w:val="none"/>
          <w:lang w:val="en-US" w:eastAsia="zh-CN"/>
        </w:rPr>
        <w:t>5.1.4</w:t>
      </w:r>
      <w:r>
        <w:rPr>
          <w:rFonts w:hint="eastAsia" w:ascii="宋体" w:hAnsi="宋体" w:eastAsia="宋体" w:cs="宋体"/>
          <w:b w:val="0"/>
          <w:i w:val="0"/>
          <w:caps w:val="0"/>
          <w:color w:val="auto"/>
          <w:spacing w:val="0"/>
          <w:w w:val="100"/>
          <w:sz w:val="24"/>
          <w:szCs w:val="24"/>
          <w:highlight w:val="none"/>
        </w:rPr>
        <w:t>开启后供应商必须在规定的时间内解密文件，因供应商输入密码错误（10 次输入机会）、未能按时完成解密、其响应文件填写、盖章不规范等原因导致系统无法解析、或上传的磋商响应文件损坏无法正常打开的，将会被视为无效投标。</w:t>
      </w:r>
    </w:p>
    <w:p w14:paraId="6E489BE0">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70" w:name="_Toc13889"/>
      <w:bookmarkStart w:id="271" w:name="_Toc414468953"/>
      <w:bookmarkStart w:id="272" w:name="_Toc414468218"/>
      <w:bookmarkStart w:id="273" w:name="_Toc29190"/>
      <w:bookmarkStart w:id="274" w:name="_Toc496776049"/>
      <w:bookmarkStart w:id="275" w:name="_Toc28598"/>
      <w:bookmarkStart w:id="276" w:name="_Toc418594343"/>
      <w:bookmarkStart w:id="277" w:name="_Toc418670676"/>
      <w:r>
        <w:rPr>
          <w:rFonts w:hint="eastAsia" w:ascii="宋体" w:hAnsi="宋体" w:eastAsia="宋体" w:cs="宋体"/>
          <w:b/>
          <w:i w:val="0"/>
          <w:caps w:val="0"/>
          <w:color w:val="auto"/>
          <w:spacing w:val="0"/>
          <w:w w:val="100"/>
          <w:sz w:val="24"/>
          <w:szCs w:val="24"/>
          <w:highlight w:val="none"/>
        </w:rPr>
        <w:t>5.2开标程序</w:t>
      </w:r>
      <w:bookmarkEnd w:id="270"/>
      <w:bookmarkEnd w:id="271"/>
      <w:bookmarkEnd w:id="272"/>
      <w:bookmarkEnd w:id="273"/>
      <w:bookmarkEnd w:id="274"/>
      <w:bookmarkEnd w:id="275"/>
      <w:bookmarkEnd w:id="276"/>
      <w:bookmarkEnd w:id="277"/>
    </w:p>
    <w:p w14:paraId="79AC096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主持人按下列程序进行开标：</w:t>
      </w:r>
      <w:bookmarkStart w:id="278" w:name="_Toc496776050"/>
    </w:p>
    <w:p w14:paraId="2AA2BB4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（1）宣布开标纪律；</w:t>
      </w:r>
      <w:bookmarkEnd w:id="278"/>
    </w:p>
    <w:p w14:paraId="64378B6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（2）公布在投标截止时间前递交投标文件的磋商响应人名称；</w:t>
      </w:r>
    </w:p>
    <w:p w14:paraId="6A1F598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（3）宣布开标人、唱标人、记录人、监标人等有关人员姓名；</w:t>
      </w:r>
    </w:p>
    <w:p w14:paraId="08177DA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w:t>
      </w:r>
      <w:r>
        <w:rPr>
          <w:rFonts w:hint="eastAsia" w:ascii="宋体" w:hAnsi="宋体" w:cs="宋体"/>
          <w:b w:val="0"/>
          <w:i w:val="0"/>
          <w:caps w:val="0"/>
          <w:color w:val="auto"/>
          <w:spacing w:val="0"/>
          <w:w w:val="100"/>
          <w:sz w:val="24"/>
          <w:szCs w:val="24"/>
          <w:highlight w:val="none"/>
          <w:lang w:val="en-US" w:eastAsia="zh-CN"/>
        </w:rPr>
        <w:t>4</w:t>
      </w:r>
      <w:r>
        <w:rPr>
          <w:rFonts w:hint="eastAsia" w:ascii="宋体" w:hAnsi="宋体" w:eastAsia="宋体" w:cs="宋体"/>
          <w:b w:val="0"/>
          <w:i w:val="0"/>
          <w:caps w:val="0"/>
          <w:color w:val="auto"/>
          <w:spacing w:val="0"/>
          <w:w w:val="100"/>
          <w:sz w:val="24"/>
          <w:szCs w:val="24"/>
          <w:highlight w:val="none"/>
        </w:rPr>
        <w:t>）开标结束。</w:t>
      </w:r>
    </w:p>
    <w:p w14:paraId="60CAAD6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79" w:name="_Toc9659"/>
      <w:bookmarkStart w:id="280" w:name="_Toc22607"/>
      <w:bookmarkStart w:id="281" w:name="_Toc496776052"/>
      <w:bookmarkStart w:id="282" w:name="_Toc414468954"/>
      <w:bookmarkStart w:id="283" w:name="_Toc414468219"/>
      <w:bookmarkStart w:id="284" w:name="_Toc19481"/>
      <w:bookmarkStart w:id="285" w:name="_Toc7553"/>
      <w:r>
        <w:rPr>
          <w:rFonts w:hint="eastAsia" w:ascii="宋体" w:hAnsi="宋体" w:eastAsia="宋体" w:cs="宋体"/>
          <w:b/>
          <w:i w:val="0"/>
          <w:caps w:val="0"/>
          <w:color w:val="auto"/>
          <w:spacing w:val="0"/>
          <w:w w:val="100"/>
          <w:sz w:val="24"/>
          <w:szCs w:val="24"/>
          <w:highlight w:val="none"/>
        </w:rPr>
        <w:t>6评标</w:t>
      </w:r>
      <w:bookmarkEnd w:id="279"/>
      <w:bookmarkEnd w:id="280"/>
      <w:bookmarkEnd w:id="281"/>
      <w:bookmarkEnd w:id="282"/>
      <w:bookmarkEnd w:id="283"/>
      <w:bookmarkEnd w:id="284"/>
      <w:bookmarkEnd w:id="285"/>
    </w:p>
    <w:p w14:paraId="225200C1">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lang w:eastAsia="zh-CN"/>
        </w:rPr>
      </w:pPr>
      <w:bookmarkStart w:id="286" w:name="_Toc418670678"/>
      <w:bookmarkStart w:id="287" w:name="_Toc418594345"/>
      <w:bookmarkStart w:id="288" w:name="_Toc496776053"/>
      <w:bookmarkStart w:id="289" w:name="_Toc13433"/>
      <w:bookmarkStart w:id="290" w:name="_Toc32696"/>
      <w:bookmarkStart w:id="291" w:name="_Toc24834"/>
      <w:bookmarkStart w:id="292" w:name="_Toc414468220"/>
      <w:bookmarkStart w:id="293" w:name="_Toc414468955"/>
      <w:r>
        <w:rPr>
          <w:rFonts w:hint="eastAsia" w:ascii="宋体" w:hAnsi="宋体" w:eastAsia="宋体" w:cs="宋体"/>
          <w:b/>
          <w:i w:val="0"/>
          <w:caps w:val="0"/>
          <w:color w:val="auto"/>
          <w:spacing w:val="0"/>
          <w:w w:val="100"/>
          <w:sz w:val="24"/>
          <w:szCs w:val="24"/>
          <w:highlight w:val="none"/>
        </w:rPr>
        <w:t>6.1</w:t>
      </w:r>
      <w:bookmarkEnd w:id="286"/>
      <w:bookmarkEnd w:id="287"/>
      <w:bookmarkEnd w:id="288"/>
      <w:bookmarkEnd w:id="289"/>
      <w:bookmarkEnd w:id="290"/>
      <w:bookmarkEnd w:id="291"/>
      <w:bookmarkEnd w:id="292"/>
      <w:bookmarkEnd w:id="293"/>
      <w:r>
        <w:rPr>
          <w:rFonts w:hint="eastAsia" w:ascii="宋体" w:hAnsi="宋体" w:eastAsia="宋体" w:cs="宋体"/>
          <w:b/>
          <w:i w:val="0"/>
          <w:caps w:val="0"/>
          <w:color w:val="auto"/>
          <w:spacing w:val="0"/>
          <w:w w:val="100"/>
          <w:sz w:val="24"/>
          <w:szCs w:val="24"/>
          <w:highlight w:val="none"/>
          <w:lang w:eastAsia="zh-CN"/>
        </w:rPr>
        <w:t>磋商小组</w:t>
      </w:r>
    </w:p>
    <w:p w14:paraId="7AAA773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6.1.1评标由招标代理机构依法组建的评标委员会负责。评标委员会由招标人代表，以及有关技术、经济等方面的专家组成。评标委员会成员人数以及技术、经济等方面专家的确定方式见磋商响应人须知前附表。</w:t>
      </w:r>
    </w:p>
    <w:p w14:paraId="3051516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6.1.2评标委员会成员有下列情形之一的，应当回避：</w:t>
      </w:r>
    </w:p>
    <w:p w14:paraId="7C37569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（1）招标人或磋商响应人的主要负责人的近亲属；</w:t>
      </w:r>
    </w:p>
    <w:p w14:paraId="52DE0E4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（2）项目主管部分或者行政监督部分的人员；</w:t>
      </w:r>
    </w:p>
    <w:p w14:paraId="2B458F5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（3）与磋商响应人有经济利益关系，可能影响对投标公正评审的；</w:t>
      </w:r>
    </w:p>
    <w:p w14:paraId="72579DD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（4）曾因在招标、评标以及其他与招标投标有关活动中从事违法行为而受过行政处罚或刑事处罚的。</w:t>
      </w:r>
    </w:p>
    <w:p w14:paraId="595A548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294" w:name="_Toc26962"/>
      <w:bookmarkStart w:id="295" w:name="_Toc14113"/>
      <w:bookmarkStart w:id="296" w:name="_Toc496776054"/>
      <w:bookmarkStart w:id="297" w:name="_Toc414468956"/>
      <w:bookmarkStart w:id="298" w:name="_Toc414468221"/>
      <w:bookmarkStart w:id="299" w:name="_Toc418594346"/>
      <w:bookmarkStart w:id="300" w:name="_Toc6279"/>
      <w:bookmarkStart w:id="301" w:name="_Toc418670679"/>
      <w:r>
        <w:rPr>
          <w:rFonts w:hint="eastAsia" w:ascii="宋体" w:hAnsi="宋体" w:eastAsia="宋体" w:cs="宋体"/>
          <w:b/>
          <w:i w:val="0"/>
          <w:caps w:val="0"/>
          <w:color w:val="auto"/>
          <w:spacing w:val="0"/>
          <w:w w:val="100"/>
          <w:sz w:val="24"/>
          <w:szCs w:val="24"/>
          <w:highlight w:val="none"/>
        </w:rPr>
        <w:t>6.2评标原则</w:t>
      </w:r>
      <w:bookmarkEnd w:id="294"/>
      <w:bookmarkEnd w:id="295"/>
      <w:bookmarkEnd w:id="296"/>
      <w:bookmarkEnd w:id="297"/>
      <w:bookmarkEnd w:id="298"/>
      <w:bookmarkEnd w:id="299"/>
      <w:bookmarkEnd w:id="300"/>
      <w:bookmarkEnd w:id="301"/>
    </w:p>
    <w:p w14:paraId="161E8FD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评标活动遵循公平、公正、科学和择优的原则。</w:t>
      </w:r>
    </w:p>
    <w:p w14:paraId="505BF098">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02" w:name="_Toc496776055"/>
      <w:bookmarkStart w:id="303" w:name="_Toc414468222"/>
      <w:bookmarkStart w:id="304" w:name="_Toc414468957"/>
      <w:bookmarkStart w:id="305" w:name="_Toc29132"/>
      <w:bookmarkStart w:id="306" w:name="_Toc418594347"/>
      <w:bookmarkStart w:id="307" w:name="_Toc23846"/>
      <w:bookmarkStart w:id="308" w:name="_Toc418670680"/>
      <w:bookmarkStart w:id="309" w:name="_Toc13135"/>
      <w:r>
        <w:rPr>
          <w:rFonts w:hint="eastAsia" w:ascii="宋体" w:hAnsi="宋体" w:eastAsia="宋体" w:cs="宋体"/>
          <w:b/>
          <w:i w:val="0"/>
          <w:caps w:val="0"/>
          <w:color w:val="auto"/>
          <w:spacing w:val="0"/>
          <w:w w:val="100"/>
          <w:sz w:val="24"/>
          <w:szCs w:val="24"/>
          <w:highlight w:val="none"/>
        </w:rPr>
        <w:t>6.3评标</w:t>
      </w:r>
      <w:bookmarkEnd w:id="302"/>
      <w:bookmarkEnd w:id="303"/>
      <w:bookmarkEnd w:id="304"/>
      <w:bookmarkEnd w:id="305"/>
      <w:bookmarkEnd w:id="306"/>
      <w:bookmarkEnd w:id="307"/>
      <w:bookmarkEnd w:id="308"/>
      <w:bookmarkEnd w:id="309"/>
    </w:p>
    <w:p w14:paraId="0542402A">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评标委员会按照第三章“评标办法”规定的方法、评审因素、标准和程序对投标文件进行评审。第三章“评标办法”没有规定的方法、评审因素和标准，不作为评标依据。</w:t>
      </w:r>
    </w:p>
    <w:p w14:paraId="0C3AC297">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10" w:name="_Toc414468223"/>
      <w:bookmarkStart w:id="311" w:name="_Toc1442"/>
      <w:bookmarkStart w:id="312" w:name="_Toc414468958"/>
      <w:bookmarkStart w:id="313" w:name="_Toc17513"/>
      <w:bookmarkStart w:id="314" w:name="_Toc3782"/>
      <w:bookmarkStart w:id="315" w:name="_Toc5291"/>
      <w:bookmarkStart w:id="316" w:name="_Toc496776056"/>
      <w:r>
        <w:rPr>
          <w:rFonts w:hint="eastAsia" w:ascii="宋体" w:hAnsi="宋体" w:eastAsia="宋体" w:cs="宋体"/>
          <w:b/>
          <w:i w:val="0"/>
          <w:caps w:val="0"/>
          <w:color w:val="auto"/>
          <w:spacing w:val="0"/>
          <w:w w:val="100"/>
          <w:sz w:val="24"/>
          <w:szCs w:val="24"/>
          <w:highlight w:val="none"/>
        </w:rPr>
        <w:t>7．合同授予</w:t>
      </w:r>
      <w:bookmarkEnd w:id="310"/>
      <w:bookmarkEnd w:id="311"/>
      <w:bookmarkEnd w:id="312"/>
      <w:bookmarkEnd w:id="313"/>
      <w:bookmarkEnd w:id="314"/>
      <w:bookmarkEnd w:id="315"/>
      <w:bookmarkEnd w:id="316"/>
    </w:p>
    <w:p w14:paraId="1AEF512D">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17" w:name="_Toc414468224"/>
      <w:bookmarkStart w:id="318" w:name="_Toc496776057"/>
      <w:bookmarkStart w:id="319" w:name="_Toc414468959"/>
      <w:bookmarkStart w:id="320" w:name="_Toc31127"/>
      <w:bookmarkStart w:id="321" w:name="_Toc418670682"/>
      <w:bookmarkStart w:id="322" w:name="_Toc418594349"/>
      <w:bookmarkStart w:id="323" w:name="_Toc21875"/>
      <w:bookmarkStart w:id="324" w:name="_Toc26867"/>
      <w:r>
        <w:rPr>
          <w:rFonts w:hint="eastAsia" w:ascii="宋体" w:hAnsi="宋体" w:eastAsia="宋体" w:cs="宋体"/>
          <w:b/>
          <w:i w:val="0"/>
          <w:caps w:val="0"/>
          <w:color w:val="auto"/>
          <w:spacing w:val="0"/>
          <w:w w:val="100"/>
          <w:sz w:val="24"/>
          <w:szCs w:val="24"/>
          <w:highlight w:val="none"/>
        </w:rPr>
        <w:t>7.1定标方式</w:t>
      </w:r>
      <w:bookmarkEnd w:id="317"/>
      <w:bookmarkEnd w:id="318"/>
      <w:bookmarkEnd w:id="319"/>
      <w:bookmarkEnd w:id="320"/>
      <w:bookmarkEnd w:id="321"/>
      <w:bookmarkEnd w:id="322"/>
      <w:bookmarkEnd w:id="323"/>
      <w:bookmarkEnd w:id="324"/>
    </w:p>
    <w:p w14:paraId="08425FE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除磋商响应人须知前附表规定评标委员会直接确定中标人外，招标人依据评标委员会推荐的中标候选人确定中标人，评标委员会推荐中标候选人的人数见磋商响应人须知前附表。</w:t>
      </w:r>
    </w:p>
    <w:p w14:paraId="0C152F8B">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25" w:name="_Toc496776058"/>
      <w:bookmarkStart w:id="326" w:name="_Toc26115"/>
      <w:bookmarkStart w:id="327" w:name="_Toc16267"/>
      <w:bookmarkStart w:id="328" w:name="_Toc414468225"/>
      <w:bookmarkStart w:id="329" w:name="_Toc418670683"/>
      <w:bookmarkStart w:id="330" w:name="_Toc13983"/>
      <w:bookmarkStart w:id="331" w:name="_Toc418594350"/>
      <w:bookmarkStart w:id="332" w:name="_Toc414468960"/>
      <w:r>
        <w:rPr>
          <w:rFonts w:hint="eastAsia" w:ascii="宋体" w:hAnsi="宋体" w:eastAsia="宋体" w:cs="宋体"/>
          <w:b/>
          <w:i w:val="0"/>
          <w:caps w:val="0"/>
          <w:color w:val="auto"/>
          <w:spacing w:val="0"/>
          <w:w w:val="100"/>
          <w:sz w:val="24"/>
          <w:szCs w:val="24"/>
          <w:highlight w:val="none"/>
        </w:rPr>
        <w:t>7.2中标通知</w:t>
      </w:r>
      <w:bookmarkEnd w:id="325"/>
      <w:bookmarkEnd w:id="326"/>
      <w:bookmarkEnd w:id="327"/>
      <w:bookmarkEnd w:id="328"/>
      <w:bookmarkEnd w:id="329"/>
      <w:bookmarkEnd w:id="330"/>
      <w:bookmarkEnd w:id="331"/>
      <w:bookmarkEnd w:id="332"/>
    </w:p>
    <w:p w14:paraId="04667E5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在本章第3.3款规定的投标有效期内，招标人以书面形式向中标人发出中标通知书，同时将中标结果通知未中标磋商响应人。</w:t>
      </w:r>
    </w:p>
    <w:p w14:paraId="23E812E7">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33" w:name="_Toc8290"/>
      <w:bookmarkStart w:id="334" w:name="_Toc414468961"/>
      <w:bookmarkStart w:id="335" w:name="_Toc9849"/>
      <w:bookmarkStart w:id="336" w:name="_Toc418670684"/>
      <w:bookmarkStart w:id="337" w:name="_Toc418594351"/>
      <w:bookmarkStart w:id="338" w:name="_Toc496776059"/>
      <w:bookmarkStart w:id="339" w:name="_Toc2432"/>
      <w:bookmarkStart w:id="340" w:name="_Toc414468226"/>
      <w:r>
        <w:rPr>
          <w:rFonts w:hint="eastAsia" w:ascii="宋体" w:hAnsi="宋体" w:eastAsia="宋体" w:cs="宋体"/>
          <w:b/>
          <w:i w:val="0"/>
          <w:caps w:val="0"/>
          <w:color w:val="auto"/>
          <w:spacing w:val="0"/>
          <w:w w:val="100"/>
          <w:sz w:val="24"/>
          <w:szCs w:val="24"/>
          <w:highlight w:val="none"/>
        </w:rPr>
        <w:t>7.3履约担保</w:t>
      </w:r>
      <w:bookmarkEnd w:id="333"/>
      <w:bookmarkEnd w:id="334"/>
      <w:bookmarkEnd w:id="335"/>
      <w:bookmarkEnd w:id="336"/>
      <w:bookmarkEnd w:id="337"/>
      <w:bookmarkEnd w:id="338"/>
      <w:bookmarkEnd w:id="339"/>
      <w:bookmarkEnd w:id="340"/>
    </w:p>
    <w:p w14:paraId="73939FE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7.3.1在签订合同前，中标人应按照磋商响应人须知前附表规定的金额、担保形式和竞争性磋商第四章“合同条款及格式”规定的履约担保格式向招标人提交履约担保。联合体中标的，其履约担保由牵头人递交，并应符合磋商响应人须知前附表规定的金额、担保形式和竞争性磋商第四章“合同条款及格式”规定的履约担保格式要求。</w:t>
      </w:r>
    </w:p>
    <w:p w14:paraId="3306190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7.3.2中标人不能按本章第7.3.1项要求提交履约担保的，视为放弃中标，其投标保证金不予退还，给招标人造成的损失超过投标保证金数额的，中标人还应当对超过部分予以赔偿。</w:t>
      </w:r>
    </w:p>
    <w:p w14:paraId="06103D60">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41" w:name="_Toc418670685"/>
      <w:bookmarkStart w:id="342" w:name="_Toc496776060"/>
      <w:bookmarkStart w:id="343" w:name="_Toc31797"/>
      <w:bookmarkStart w:id="344" w:name="_Toc414468227"/>
      <w:bookmarkStart w:id="345" w:name="_Toc418594352"/>
      <w:bookmarkStart w:id="346" w:name="_Toc414468962"/>
      <w:bookmarkStart w:id="347" w:name="_Toc19166"/>
      <w:bookmarkStart w:id="348" w:name="_Toc30741"/>
      <w:r>
        <w:rPr>
          <w:rFonts w:hint="eastAsia" w:ascii="宋体" w:hAnsi="宋体" w:eastAsia="宋体" w:cs="宋体"/>
          <w:b/>
          <w:i w:val="0"/>
          <w:caps w:val="0"/>
          <w:color w:val="auto"/>
          <w:spacing w:val="0"/>
          <w:w w:val="100"/>
          <w:sz w:val="24"/>
          <w:szCs w:val="24"/>
          <w:highlight w:val="none"/>
        </w:rPr>
        <w:t>7.4签订合同</w:t>
      </w:r>
      <w:bookmarkEnd w:id="341"/>
      <w:bookmarkEnd w:id="342"/>
      <w:bookmarkEnd w:id="343"/>
      <w:bookmarkEnd w:id="344"/>
      <w:bookmarkEnd w:id="345"/>
      <w:bookmarkEnd w:id="346"/>
      <w:bookmarkEnd w:id="347"/>
      <w:bookmarkEnd w:id="348"/>
    </w:p>
    <w:p w14:paraId="43D5D80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7.4.1招标人和中标人应当自中标通知书发出之日起30天内，根据竞争性磋商和中标人的投标文件订立书面合同。中标人无正当理由拒签合同的，招标人取消其中标资格，其投标保证金不予退还；给招标人造成的损失超过投标保证金数额的，中标人还应当对超过部分予以赔偿。</w:t>
      </w:r>
    </w:p>
    <w:p w14:paraId="4154912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7.4.2发出中标通知书后，招标人无正当理由拒签合同的，招标人向中标人退还投标保证金；给中标人造成损失的，还应当赔偿损失。</w:t>
      </w:r>
    </w:p>
    <w:p w14:paraId="10EE2B28">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49" w:name="_Toc414468963"/>
      <w:bookmarkStart w:id="350" w:name="_Toc27239"/>
      <w:bookmarkStart w:id="351" w:name="_Toc414468228"/>
      <w:bookmarkStart w:id="352" w:name="_Toc23669"/>
      <w:bookmarkStart w:id="353" w:name="_Toc16693"/>
      <w:bookmarkStart w:id="354" w:name="_Toc496776061"/>
      <w:bookmarkStart w:id="355" w:name="_Toc17058"/>
      <w:r>
        <w:rPr>
          <w:rFonts w:hint="eastAsia" w:ascii="宋体" w:hAnsi="宋体" w:eastAsia="宋体" w:cs="宋体"/>
          <w:b/>
          <w:i w:val="0"/>
          <w:caps w:val="0"/>
          <w:color w:val="auto"/>
          <w:spacing w:val="0"/>
          <w:w w:val="100"/>
          <w:sz w:val="24"/>
          <w:szCs w:val="24"/>
          <w:highlight w:val="none"/>
        </w:rPr>
        <w:t>8.重新招标和不再招标</w:t>
      </w:r>
      <w:bookmarkEnd w:id="349"/>
      <w:bookmarkEnd w:id="350"/>
      <w:bookmarkEnd w:id="351"/>
      <w:bookmarkEnd w:id="352"/>
      <w:bookmarkEnd w:id="353"/>
      <w:bookmarkEnd w:id="354"/>
      <w:bookmarkEnd w:id="355"/>
    </w:p>
    <w:p w14:paraId="09FEB59F">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56" w:name="_Toc13706"/>
      <w:bookmarkStart w:id="357" w:name="_Toc418594354"/>
      <w:bookmarkStart w:id="358" w:name="_Toc414468229"/>
      <w:bookmarkStart w:id="359" w:name="_Toc25795"/>
      <w:bookmarkStart w:id="360" w:name="_Toc414468964"/>
      <w:bookmarkStart w:id="361" w:name="_Toc11564"/>
      <w:bookmarkStart w:id="362" w:name="_Toc496776062"/>
      <w:bookmarkStart w:id="363" w:name="_Toc418670687"/>
      <w:r>
        <w:rPr>
          <w:rFonts w:hint="eastAsia" w:ascii="宋体" w:hAnsi="宋体" w:eastAsia="宋体" w:cs="宋体"/>
          <w:b/>
          <w:i w:val="0"/>
          <w:caps w:val="0"/>
          <w:color w:val="auto"/>
          <w:spacing w:val="0"/>
          <w:w w:val="100"/>
          <w:sz w:val="24"/>
          <w:szCs w:val="24"/>
          <w:highlight w:val="none"/>
        </w:rPr>
        <w:t>8.1重新招标</w:t>
      </w:r>
      <w:bookmarkEnd w:id="356"/>
      <w:bookmarkEnd w:id="357"/>
      <w:bookmarkEnd w:id="358"/>
      <w:bookmarkEnd w:id="359"/>
      <w:bookmarkEnd w:id="360"/>
      <w:bookmarkEnd w:id="361"/>
      <w:bookmarkEnd w:id="362"/>
      <w:bookmarkEnd w:id="363"/>
    </w:p>
    <w:p w14:paraId="12BCC16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有下列情形之一的，招标人将重新招标：</w:t>
      </w:r>
    </w:p>
    <w:p w14:paraId="1787F40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（1）投标截止时间止，磋商响应人少于3个的；</w:t>
      </w:r>
    </w:p>
    <w:p w14:paraId="4AD16AC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（2）经评标委员会评审后否决所有投标的。</w:t>
      </w:r>
    </w:p>
    <w:p w14:paraId="7A4F8DC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（3）评标委员会否决不合格投标或者界定为废标后因有效投标不足 3 个使得投标明显缺乏竞争，评标委员会决定否决全部投标的； </w:t>
      </w:r>
    </w:p>
    <w:p w14:paraId="552D347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（4）同意延长投标有效期的磋商响应人少于 3 个的； </w:t>
      </w:r>
    </w:p>
    <w:p w14:paraId="71B9732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（5）中标候选人均未与招标人签订合同的。 </w:t>
      </w:r>
    </w:p>
    <w:p w14:paraId="62C36F39">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64" w:name="_Toc418594355"/>
      <w:bookmarkStart w:id="365" w:name="_Toc418670688"/>
      <w:bookmarkStart w:id="366" w:name="_Toc32365"/>
      <w:bookmarkStart w:id="367" w:name="_Toc414468965"/>
      <w:bookmarkStart w:id="368" w:name="_Toc496776063"/>
      <w:bookmarkStart w:id="369" w:name="_Toc414468230"/>
      <w:bookmarkStart w:id="370" w:name="_Toc31655"/>
      <w:bookmarkStart w:id="371" w:name="_Toc25910"/>
      <w:r>
        <w:rPr>
          <w:rFonts w:hint="eastAsia" w:ascii="宋体" w:hAnsi="宋体" w:eastAsia="宋体" w:cs="宋体"/>
          <w:b/>
          <w:i w:val="0"/>
          <w:caps w:val="0"/>
          <w:color w:val="auto"/>
          <w:spacing w:val="0"/>
          <w:w w:val="100"/>
          <w:sz w:val="24"/>
          <w:szCs w:val="24"/>
          <w:highlight w:val="none"/>
        </w:rPr>
        <w:t>8.2不再招标</w:t>
      </w:r>
      <w:bookmarkEnd w:id="364"/>
      <w:bookmarkEnd w:id="365"/>
      <w:bookmarkEnd w:id="366"/>
      <w:bookmarkEnd w:id="367"/>
      <w:bookmarkEnd w:id="368"/>
      <w:bookmarkEnd w:id="369"/>
      <w:bookmarkEnd w:id="370"/>
      <w:bookmarkEnd w:id="371"/>
    </w:p>
    <w:p w14:paraId="7B4233E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重新招标后磋商响应人仍少于3个或者所有投标被否决的，属于必须审批或核准的工程建设项目，经原审批或核准部分批准后不再进行招标。</w:t>
      </w:r>
    </w:p>
    <w:p w14:paraId="5B7CE174">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72" w:name="_Toc496776064"/>
      <w:bookmarkStart w:id="373" w:name="_Toc414468966"/>
      <w:bookmarkStart w:id="374" w:name="_Toc31031"/>
      <w:bookmarkStart w:id="375" w:name="_Toc17668"/>
      <w:bookmarkStart w:id="376" w:name="_Toc4982"/>
      <w:bookmarkStart w:id="377" w:name="_Toc414468231"/>
      <w:bookmarkStart w:id="378" w:name="_Toc28239"/>
      <w:r>
        <w:rPr>
          <w:rFonts w:hint="eastAsia" w:ascii="宋体" w:hAnsi="宋体" w:eastAsia="宋体" w:cs="宋体"/>
          <w:b/>
          <w:i w:val="0"/>
          <w:caps w:val="0"/>
          <w:color w:val="auto"/>
          <w:spacing w:val="0"/>
          <w:w w:val="100"/>
          <w:sz w:val="24"/>
          <w:szCs w:val="24"/>
          <w:highlight w:val="none"/>
        </w:rPr>
        <w:t>9.纪律和监督</w:t>
      </w:r>
      <w:bookmarkEnd w:id="372"/>
      <w:bookmarkEnd w:id="373"/>
      <w:bookmarkEnd w:id="374"/>
      <w:bookmarkEnd w:id="375"/>
      <w:bookmarkEnd w:id="376"/>
      <w:bookmarkEnd w:id="377"/>
      <w:bookmarkEnd w:id="378"/>
    </w:p>
    <w:p w14:paraId="7C2658BE">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79" w:name="_Toc19063"/>
      <w:bookmarkStart w:id="380" w:name="_Toc496776065"/>
      <w:bookmarkStart w:id="381" w:name="_Toc18122"/>
      <w:bookmarkStart w:id="382" w:name="_Toc418670690"/>
      <w:bookmarkStart w:id="383" w:name="_Toc418594357"/>
      <w:bookmarkStart w:id="384" w:name="_Toc25882"/>
      <w:bookmarkStart w:id="385" w:name="_Toc414468232"/>
      <w:bookmarkStart w:id="386" w:name="_Toc414468967"/>
      <w:r>
        <w:rPr>
          <w:rFonts w:hint="eastAsia" w:ascii="宋体" w:hAnsi="宋体" w:eastAsia="宋体" w:cs="宋体"/>
          <w:b/>
          <w:i w:val="0"/>
          <w:caps w:val="0"/>
          <w:color w:val="auto"/>
          <w:spacing w:val="0"/>
          <w:w w:val="100"/>
          <w:sz w:val="24"/>
          <w:szCs w:val="24"/>
          <w:highlight w:val="none"/>
        </w:rPr>
        <w:t>9.1对招标人的记录要求</w:t>
      </w:r>
      <w:bookmarkEnd w:id="379"/>
      <w:bookmarkEnd w:id="380"/>
      <w:bookmarkEnd w:id="381"/>
      <w:bookmarkEnd w:id="382"/>
      <w:bookmarkEnd w:id="383"/>
      <w:bookmarkEnd w:id="384"/>
      <w:bookmarkEnd w:id="385"/>
      <w:bookmarkEnd w:id="386"/>
    </w:p>
    <w:p w14:paraId="5D572C85">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bookmarkStart w:id="387" w:name="_Toc418594358"/>
      <w:bookmarkStart w:id="388" w:name="_Toc418670691"/>
      <w:bookmarkStart w:id="389" w:name="_Toc414468233"/>
      <w:bookmarkStart w:id="390" w:name="_Toc414468968"/>
      <w:r>
        <w:rPr>
          <w:rFonts w:hint="eastAsia" w:ascii="宋体" w:hAnsi="宋体" w:eastAsia="宋体" w:cs="宋体"/>
          <w:b w:val="0"/>
          <w:i w:val="0"/>
          <w:caps w:val="0"/>
          <w:color w:val="auto"/>
          <w:spacing w:val="0"/>
          <w:w w:val="100"/>
          <w:kern w:val="2"/>
          <w:sz w:val="24"/>
          <w:szCs w:val="24"/>
          <w:highlight w:val="none"/>
        </w:rPr>
        <w:t>招标人不得泄漏招标投标活动中应当保密的情况和资料，不得与磋商响应人串通损害国家利益、社会公共利益或者他人合法权益。</w:t>
      </w:r>
    </w:p>
    <w:p w14:paraId="11D5CEB9">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下列行为均属招标人与磋商响应人串通投标：</w:t>
      </w:r>
    </w:p>
    <w:p w14:paraId="797E116C">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 xml:space="preserve">（l）招标人在开标前开启投标文件，并将投标情况告知其它磋商响应人，或者协助磋商响应人撤换投标文件，更改报价； </w:t>
      </w:r>
    </w:p>
    <w:p w14:paraId="7FDF6E2C">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2"/>
          <w:sz w:val="20"/>
          <w:szCs w:val="24"/>
          <w:highlight w:val="none"/>
        </w:rPr>
      </w:pPr>
      <w:bookmarkStart w:id="391" w:name="_Toc496776066"/>
      <w:r>
        <w:rPr>
          <w:rFonts w:hint="eastAsia" w:ascii="宋体" w:hAnsi="宋体" w:eastAsia="宋体" w:cs="宋体"/>
          <w:b w:val="0"/>
          <w:i w:val="0"/>
          <w:caps w:val="0"/>
          <w:color w:val="auto"/>
          <w:spacing w:val="0"/>
          <w:w w:val="100"/>
          <w:kern w:val="2"/>
          <w:sz w:val="24"/>
          <w:szCs w:val="24"/>
          <w:highlight w:val="none"/>
        </w:rPr>
        <w:t>（2）招标人向磋商响应人泄露标底；</w:t>
      </w:r>
      <w:bookmarkEnd w:id="391"/>
      <w:r>
        <w:rPr>
          <w:rFonts w:hint="eastAsia" w:ascii="宋体" w:hAnsi="宋体" w:eastAsia="宋体" w:cs="宋体"/>
          <w:b w:val="0"/>
          <w:i w:val="0"/>
          <w:caps w:val="0"/>
          <w:color w:val="auto"/>
          <w:spacing w:val="0"/>
          <w:w w:val="100"/>
          <w:kern w:val="2"/>
          <w:sz w:val="24"/>
          <w:szCs w:val="24"/>
          <w:highlight w:val="none"/>
        </w:rPr>
        <w:t xml:space="preserve"> </w:t>
      </w:r>
    </w:p>
    <w:p w14:paraId="78575DCC">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 xml:space="preserve">（3）招标人与磋商响应人商定，投标时压低或抬高标价，中标后再给磋商响应人或招标人额外补偿； </w:t>
      </w:r>
    </w:p>
    <w:p w14:paraId="39C77ADA">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 xml:space="preserve">（4）招标人预先内定中标人； </w:t>
      </w:r>
    </w:p>
    <w:p w14:paraId="42D75D97">
      <w:pPr>
        <w:widowControl w:val="0"/>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（5）其它串通投标行为。</w:t>
      </w:r>
    </w:p>
    <w:p w14:paraId="173C71EA">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392" w:name="_Toc496776067"/>
      <w:bookmarkStart w:id="393" w:name="_Toc20556"/>
      <w:bookmarkStart w:id="394" w:name="_Toc28419"/>
      <w:bookmarkStart w:id="395" w:name="_Toc1259"/>
      <w:r>
        <w:rPr>
          <w:rFonts w:hint="eastAsia" w:ascii="宋体" w:hAnsi="宋体" w:eastAsia="宋体" w:cs="宋体"/>
          <w:b/>
          <w:i w:val="0"/>
          <w:caps w:val="0"/>
          <w:color w:val="auto"/>
          <w:spacing w:val="0"/>
          <w:w w:val="100"/>
          <w:sz w:val="24"/>
          <w:szCs w:val="24"/>
          <w:highlight w:val="none"/>
        </w:rPr>
        <w:t>9.2对磋商响应人的纪律要求</w:t>
      </w:r>
      <w:bookmarkEnd w:id="387"/>
      <w:bookmarkEnd w:id="388"/>
      <w:bookmarkEnd w:id="389"/>
      <w:bookmarkEnd w:id="390"/>
      <w:bookmarkEnd w:id="392"/>
      <w:bookmarkEnd w:id="393"/>
      <w:bookmarkEnd w:id="394"/>
      <w:bookmarkEnd w:id="395"/>
    </w:p>
    <w:p w14:paraId="105873C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磋商响应人不得相互串通投标或者与招标人串通投标，不得向招标人或者评标委员会成员行贿谋取中标，不得以他人名义投标或者以其他方式弄虚作假骗取中标；磋商响应人不得以任何方式干扰、影响评标工作。</w:t>
      </w:r>
      <w:bookmarkStart w:id="396" w:name="_Toc414468234"/>
      <w:bookmarkStart w:id="397" w:name="_Toc414468969"/>
      <w:bookmarkStart w:id="398" w:name="_Toc418670692"/>
      <w:bookmarkStart w:id="399" w:name="_Toc418594359"/>
    </w:p>
    <w:p w14:paraId="2C12605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9. 2.1 下列行为均属以他人名义投标： </w:t>
      </w:r>
    </w:p>
    <w:p w14:paraId="3550B82F">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4"/>
          <w:highlight w:val="none"/>
        </w:rPr>
      </w:pPr>
      <w:bookmarkStart w:id="400" w:name="_Toc496776068"/>
      <w:r>
        <w:rPr>
          <w:rFonts w:hint="eastAsia" w:ascii="宋体" w:hAnsi="宋体" w:eastAsia="宋体" w:cs="宋体"/>
          <w:b w:val="0"/>
          <w:i w:val="0"/>
          <w:caps w:val="0"/>
          <w:color w:val="auto"/>
          <w:spacing w:val="0"/>
          <w:w w:val="100"/>
          <w:sz w:val="24"/>
          <w:szCs w:val="24"/>
          <w:highlight w:val="none"/>
        </w:rPr>
        <w:t>（1）磋商响应人挂靠其它施工单位；</w:t>
      </w:r>
      <w:bookmarkEnd w:id="400"/>
      <w:r>
        <w:rPr>
          <w:rFonts w:hint="eastAsia" w:ascii="宋体" w:hAnsi="宋体" w:eastAsia="宋体" w:cs="宋体"/>
          <w:b w:val="0"/>
          <w:i w:val="0"/>
          <w:caps w:val="0"/>
          <w:color w:val="auto"/>
          <w:spacing w:val="0"/>
          <w:w w:val="100"/>
          <w:sz w:val="24"/>
          <w:szCs w:val="24"/>
          <w:highlight w:val="none"/>
        </w:rPr>
        <w:t xml:space="preserve"> </w:t>
      </w:r>
    </w:p>
    <w:p w14:paraId="6C0AA32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（2）磋商响应人从其它施工单位通过转让或租借的方式获取资格或资质证书；</w:t>
      </w:r>
    </w:p>
    <w:p w14:paraId="1C4F4C6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（3）由其它单位及法定代表人在自己编制的投标文件上加盖印章或签字的行为。 </w:t>
      </w:r>
    </w:p>
    <w:p w14:paraId="3683F12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401" w:name="_Toc496776069"/>
      <w:bookmarkStart w:id="402" w:name="_Toc1918"/>
      <w:bookmarkStart w:id="403" w:name="_Toc22229"/>
      <w:r>
        <w:rPr>
          <w:rFonts w:hint="eastAsia" w:ascii="宋体" w:hAnsi="宋体" w:eastAsia="宋体" w:cs="宋体"/>
          <w:b w:val="0"/>
          <w:i w:val="0"/>
          <w:caps w:val="0"/>
          <w:color w:val="auto"/>
          <w:spacing w:val="0"/>
          <w:w w:val="100"/>
          <w:sz w:val="24"/>
          <w:szCs w:val="24"/>
          <w:highlight w:val="none"/>
        </w:rPr>
        <w:t>9.2.2 下列行为，视为允许他人以本单位名义承揽工程：</w:t>
      </w:r>
      <w:bookmarkEnd w:id="401"/>
      <w:bookmarkEnd w:id="402"/>
      <w:bookmarkEnd w:id="403"/>
      <w:r>
        <w:rPr>
          <w:rFonts w:hint="eastAsia" w:ascii="宋体" w:hAnsi="宋体" w:eastAsia="宋体" w:cs="宋体"/>
          <w:b w:val="0"/>
          <w:i w:val="0"/>
          <w:caps w:val="0"/>
          <w:color w:val="auto"/>
          <w:spacing w:val="0"/>
          <w:w w:val="100"/>
          <w:sz w:val="24"/>
          <w:szCs w:val="24"/>
          <w:highlight w:val="none"/>
        </w:rPr>
        <w:t xml:space="preserve"> </w:t>
      </w:r>
    </w:p>
    <w:p w14:paraId="4DAE9C5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（1）磋商响应人的法定代表人的委托代理人不是磋商响应人本单位人员；</w:t>
      </w:r>
    </w:p>
    <w:p w14:paraId="00FE13A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（2）磋商响应人拟在施工现场所设项目管理机构的项目经理、技术负责人、财务负责人、质量管理人员、安全管理人员（专职安全生产管理人员）不是本单位人员。</w:t>
      </w:r>
    </w:p>
    <w:p w14:paraId="596E8C3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磋商响应人本单位人员，必须同时满足以下条件： </w:t>
      </w:r>
    </w:p>
    <w:p w14:paraId="57A04FA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（1）聘任合同必须由磋商响应人单位与之签订； </w:t>
      </w:r>
    </w:p>
    <w:p w14:paraId="1C73105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（2）与磋商响应人单位有合法的工资关系； </w:t>
      </w:r>
    </w:p>
    <w:p w14:paraId="3EC9CE2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（3）磋商响应人单位为其办理社会保险关系，或具有其它有效证明其为本单位人员身份的文件。 </w:t>
      </w:r>
    </w:p>
    <w:p w14:paraId="6B088BC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9.2.3 下列行为均属磋商响应人串通投标报价：</w:t>
      </w:r>
    </w:p>
    <w:p w14:paraId="28D1B34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（1）磋商响应人之间相互约定抬高或压低投标报价； </w:t>
      </w:r>
    </w:p>
    <w:p w14:paraId="219A4365">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4"/>
          <w:highlight w:val="none"/>
        </w:rPr>
      </w:pPr>
      <w:bookmarkStart w:id="404" w:name="_Toc496776070"/>
      <w:r>
        <w:rPr>
          <w:rFonts w:hint="eastAsia" w:ascii="宋体" w:hAnsi="宋体" w:eastAsia="宋体" w:cs="宋体"/>
          <w:b w:val="0"/>
          <w:i w:val="0"/>
          <w:caps w:val="0"/>
          <w:color w:val="auto"/>
          <w:spacing w:val="0"/>
          <w:w w:val="100"/>
          <w:sz w:val="24"/>
          <w:szCs w:val="24"/>
          <w:highlight w:val="none"/>
        </w:rPr>
        <w:t>（2）磋商响应人之间相互约定，在招标项目中分别以高、中、低价位报价；</w:t>
      </w:r>
      <w:bookmarkEnd w:id="404"/>
      <w:r>
        <w:rPr>
          <w:rFonts w:hint="eastAsia" w:ascii="宋体" w:hAnsi="宋体" w:eastAsia="宋体" w:cs="宋体"/>
          <w:b w:val="0"/>
          <w:i w:val="0"/>
          <w:caps w:val="0"/>
          <w:color w:val="auto"/>
          <w:spacing w:val="0"/>
          <w:w w:val="100"/>
          <w:sz w:val="24"/>
          <w:szCs w:val="24"/>
          <w:highlight w:val="none"/>
        </w:rPr>
        <w:t xml:space="preserve"> </w:t>
      </w:r>
    </w:p>
    <w:p w14:paraId="4462E63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（3）磋商响应人之间先进行内部竞价，内定中标人，然后再参加投标； </w:t>
      </w:r>
    </w:p>
    <w:p w14:paraId="66E8747A">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sz w:val="24"/>
          <w:szCs w:val="24"/>
          <w:highlight w:val="none"/>
        </w:rPr>
        <w:t>（4）磋商响应人之间其它串通投标报价的行为。</w:t>
      </w:r>
      <w:r>
        <w:rPr>
          <w:rFonts w:hint="eastAsia" w:ascii="宋体" w:hAnsi="宋体" w:eastAsia="宋体" w:cs="宋体"/>
          <w:b w:val="0"/>
          <w:i w:val="0"/>
          <w:caps w:val="0"/>
          <w:color w:val="auto"/>
          <w:spacing w:val="0"/>
          <w:w w:val="100"/>
          <w:kern w:val="2"/>
          <w:sz w:val="24"/>
          <w:szCs w:val="24"/>
          <w:highlight w:val="none"/>
        </w:rPr>
        <w:t xml:space="preserve"> </w:t>
      </w:r>
    </w:p>
    <w:p w14:paraId="21CC9AF0">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405" w:name="_Toc496776071"/>
      <w:bookmarkStart w:id="406" w:name="_Toc31342"/>
      <w:bookmarkStart w:id="407" w:name="_Toc1616"/>
      <w:bookmarkStart w:id="408" w:name="_Toc29791"/>
      <w:r>
        <w:rPr>
          <w:rFonts w:hint="eastAsia" w:ascii="宋体" w:hAnsi="宋体" w:eastAsia="宋体" w:cs="宋体"/>
          <w:b/>
          <w:i w:val="0"/>
          <w:caps w:val="0"/>
          <w:color w:val="auto"/>
          <w:spacing w:val="0"/>
          <w:w w:val="100"/>
          <w:sz w:val="24"/>
          <w:szCs w:val="24"/>
          <w:highlight w:val="none"/>
        </w:rPr>
        <w:t>9.3对评标委员会成员的纪律要求</w:t>
      </w:r>
      <w:bookmarkEnd w:id="396"/>
      <w:bookmarkEnd w:id="397"/>
      <w:bookmarkEnd w:id="398"/>
      <w:bookmarkEnd w:id="399"/>
      <w:bookmarkEnd w:id="405"/>
      <w:bookmarkEnd w:id="406"/>
      <w:bookmarkEnd w:id="407"/>
      <w:bookmarkEnd w:id="408"/>
    </w:p>
    <w:p w14:paraId="1537B9A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评标委员会成员不得收受让人的财务或者其他好处，不得向他人透漏对投标文件的评审和比较、中标候选人的推荐情况以及评标有关的其他情况。在评标活动中，评标委员会成员不得擅离职守，影响评标程序正常进行，不得使用第三章“评标办法”没有规定的评审因素和标准进行评标。</w:t>
      </w:r>
    </w:p>
    <w:p w14:paraId="63EACB64">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409" w:name="_Toc19728"/>
      <w:bookmarkStart w:id="410" w:name="_Toc414468970"/>
      <w:bookmarkStart w:id="411" w:name="_Toc418594360"/>
      <w:bookmarkStart w:id="412" w:name="_Toc418670693"/>
      <w:bookmarkStart w:id="413" w:name="_Toc496776072"/>
      <w:bookmarkStart w:id="414" w:name="_Toc414468235"/>
      <w:bookmarkStart w:id="415" w:name="_Toc11222"/>
      <w:bookmarkStart w:id="416" w:name="_Toc16348"/>
      <w:r>
        <w:rPr>
          <w:rFonts w:hint="eastAsia" w:ascii="宋体" w:hAnsi="宋体" w:eastAsia="宋体" w:cs="宋体"/>
          <w:b/>
          <w:i w:val="0"/>
          <w:caps w:val="0"/>
          <w:color w:val="auto"/>
          <w:spacing w:val="0"/>
          <w:w w:val="100"/>
          <w:sz w:val="24"/>
          <w:szCs w:val="24"/>
          <w:highlight w:val="none"/>
        </w:rPr>
        <w:t>9.4对与评标活动有关的工作人员的纪律要求</w:t>
      </w:r>
      <w:bookmarkEnd w:id="409"/>
      <w:bookmarkEnd w:id="410"/>
      <w:bookmarkEnd w:id="411"/>
      <w:bookmarkEnd w:id="412"/>
      <w:bookmarkEnd w:id="413"/>
      <w:bookmarkEnd w:id="414"/>
      <w:bookmarkEnd w:id="415"/>
      <w:bookmarkEnd w:id="416"/>
    </w:p>
    <w:p w14:paraId="0B0755D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与评标活动有关的工作人员不得收受他人的财物或者其他好处，不得向他人透漏对投标文件的评审和比较、中标候选人推荐情况以及评标有关的其他情况。在评标活动中，与评标活动有关的工作人员不得擅离职守，影响评标程序正常进行。</w:t>
      </w:r>
    </w:p>
    <w:p w14:paraId="6E7810AE">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417" w:name="_Toc414468971"/>
      <w:bookmarkStart w:id="418" w:name="_Toc418670694"/>
      <w:bookmarkStart w:id="419" w:name="_Toc24042"/>
      <w:bookmarkStart w:id="420" w:name="_Toc5946"/>
      <w:bookmarkStart w:id="421" w:name="_Toc418594361"/>
      <w:bookmarkStart w:id="422" w:name="_Toc496776073"/>
      <w:bookmarkStart w:id="423" w:name="_Toc15567"/>
      <w:bookmarkStart w:id="424" w:name="_Toc414468236"/>
      <w:r>
        <w:rPr>
          <w:rFonts w:hint="eastAsia" w:ascii="宋体" w:hAnsi="宋体" w:eastAsia="宋体" w:cs="宋体"/>
          <w:b/>
          <w:i w:val="0"/>
          <w:caps w:val="0"/>
          <w:color w:val="auto"/>
          <w:spacing w:val="0"/>
          <w:w w:val="100"/>
          <w:sz w:val="24"/>
          <w:szCs w:val="24"/>
          <w:highlight w:val="none"/>
        </w:rPr>
        <w:t>9.5投诉</w:t>
      </w:r>
      <w:bookmarkEnd w:id="417"/>
      <w:bookmarkEnd w:id="418"/>
      <w:bookmarkEnd w:id="419"/>
      <w:bookmarkEnd w:id="420"/>
      <w:bookmarkEnd w:id="421"/>
      <w:bookmarkEnd w:id="422"/>
      <w:bookmarkEnd w:id="423"/>
      <w:bookmarkEnd w:id="424"/>
    </w:p>
    <w:p w14:paraId="34AC624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磋商响应人和其他厉害关系人认为本次招标活动违反法律、法规和规章规定的，有权向有关行政监督部门投诉。</w:t>
      </w:r>
    </w:p>
    <w:p w14:paraId="5F0E15DE">
      <w:pPr>
        <w:pStyle w:val="4"/>
        <w:keepNext/>
        <w:keepLines/>
        <w:pageBreakBefore w:val="0"/>
        <w:widowControl/>
        <w:kinsoku/>
        <w:wordWrap/>
        <w:overflowPunct/>
        <w:topLinePunct w:val="0"/>
        <w:autoSpaceDE/>
        <w:autoSpaceDN/>
        <w:bidi w:val="0"/>
        <w:adjustRightInd w:val="0"/>
        <w:snapToGrid w:val="0"/>
        <w:spacing w:before="120" w:beforeAutospacing="0" w:after="120" w:afterAutospacing="0" w:line="360" w:lineRule="auto"/>
        <w:textAlignment w:val="baseline"/>
        <w:rPr>
          <w:rFonts w:hint="eastAsia" w:ascii="宋体" w:hAnsi="宋体" w:eastAsia="宋体" w:cs="宋体"/>
          <w:b/>
          <w:i w:val="0"/>
          <w:caps w:val="0"/>
          <w:color w:val="auto"/>
          <w:spacing w:val="0"/>
          <w:w w:val="100"/>
          <w:sz w:val="24"/>
          <w:szCs w:val="24"/>
          <w:highlight w:val="none"/>
        </w:rPr>
      </w:pPr>
      <w:bookmarkStart w:id="425" w:name="_Toc496776074"/>
      <w:bookmarkStart w:id="426" w:name="_Toc414468237"/>
      <w:bookmarkStart w:id="427" w:name="_Toc21263"/>
      <w:bookmarkStart w:id="428" w:name="_Toc414468972"/>
      <w:bookmarkStart w:id="429" w:name="_Toc25388"/>
      <w:bookmarkStart w:id="430" w:name="_Toc3578"/>
      <w:bookmarkStart w:id="431" w:name="_Toc31169"/>
      <w:r>
        <w:rPr>
          <w:rFonts w:hint="eastAsia" w:ascii="宋体" w:hAnsi="宋体" w:eastAsia="宋体" w:cs="宋体"/>
          <w:b/>
          <w:i w:val="0"/>
          <w:caps w:val="0"/>
          <w:color w:val="auto"/>
          <w:spacing w:val="0"/>
          <w:w w:val="100"/>
          <w:sz w:val="24"/>
          <w:szCs w:val="24"/>
          <w:highlight w:val="none"/>
        </w:rPr>
        <w:t>10.需要补充的其他内容</w:t>
      </w:r>
      <w:bookmarkEnd w:id="425"/>
      <w:bookmarkEnd w:id="426"/>
      <w:bookmarkEnd w:id="427"/>
      <w:bookmarkEnd w:id="428"/>
      <w:bookmarkEnd w:id="429"/>
      <w:bookmarkEnd w:id="430"/>
      <w:bookmarkEnd w:id="431"/>
    </w:p>
    <w:p w14:paraId="7D3101A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需要补充的其他内容：见磋商响应人须知前附表。</w:t>
      </w:r>
    </w:p>
    <w:p w14:paraId="03405770">
      <w:pPr>
        <w:pStyle w:val="3"/>
        <w:snapToGrid w:val="0"/>
        <w:spacing w:before="0" w:beforeAutospacing="0" w:after="0" w:afterAutospacing="0" w:line="360" w:lineRule="auto"/>
        <w:jc w:val="center"/>
        <w:textAlignment w:val="baseline"/>
        <w:outlineLvl w:val="9"/>
        <w:rPr>
          <w:rFonts w:hint="eastAsia" w:ascii="宋体" w:hAnsi="宋体" w:eastAsia="宋体" w:cs="宋体"/>
          <w:b/>
          <w:i w:val="0"/>
          <w:caps w:val="0"/>
          <w:color w:val="auto"/>
          <w:spacing w:val="0"/>
          <w:w w:val="100"/>
          <w:sz w:val="24"/>
          <w:highlight w:val="none"/>
        </w:rPr>
      </w:pPr>
      <w:r>
        <w:rPr>
          <w:rFonts w:hint="eastAsia" w:ascii="宋体" w:hAnsi="宋体" w:eastAsia="宋体" w:cs="宋体"/>
          <w:b w:val="0"/>
          <w:i w:val="0"/>
          <w:caps w:val="0"/>
          <w:color w:val="auto"/>
          <w:spacing w:val="0"/>
          <w:w w:val="100"/>
          <w:sz w:val="36"/>
          <w:szCs w:val="36"/>
          <w:highlight w:val="none"/>
        </w:rPr>
        <w:br w:type="page"/>
      </w:r>
    </w:p>
    <w:bookmarkEnd w:id="22"/>
    <w:bookmarkEnd w:id="23"/>
    <w:p w14:paraId="642F3147">
      <w:pPr>
        <w:pStyle w:val="2"/>
        <w:keepNext/>
        <w:keepLines/>
        <w:pageBreakBefore w:val="0"/>
        <w:widowControl/>
        <w:numPr>
          <w:ilvl w:val="0"/>
          <w:numId w:val="5"/>
        </w:numPr>
        <w:kinsoku/>
        <w:wordWrap/>
        <w:overflowPunct/>
        <w:topLinePunct w:val="0"/>
        <w:autoSpaceDE/>
        <w:autoSpaceDN/>
        <w:bidi w:val="0"/>
        <w:adjustRightInd w:val="0"/>
        <w:snapToGrid w:val="0"/>
        <w:spacing w:before="0" w:after="0" w:line="360" w:lineRule="auto"/>
        <w:jc w:val="center"/>
        <w:textAlignment w:val="auto"/>
        <w:rPr>
          <w:rFonts w:hint="eastAsia"/>
          <w:color w:val="auto"/>
        </w:rPr>
      </w:pPr>
      <w:bookmarkStart w:id="432" w:name="_Toc6623"/>
      <w:bookmarkStart w:id="433" w:name="_Toc661"/>
      <w:bookmarkStart w:id="434" w:name="_Toc23354"/>
      <w:r>
        <w:rPr>
          <w:rFonts w:hint="eastAsia"/>
          <w:color w:val="auto"/>
          <w:sz w:val="30"/>
          <w:szCs w:val="30"/>
        </w:rPr>
        <w:t>评审办法</w:t>
      </w:r>
      <w:bookmarkEnd w:id="432"/>
      <w:bookmarkEnd w:id="433"/>
      <w:bookmarkEnd w:id="434"/>
    </w:p>
    <w:tbl>
      <w:tblPr>
        <w:tblStyle w:val="23"/>
        <w:tblW w:w="97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8"/>
        <w:gridCol w:w="1014"/>
        <w:gridCol w:w="1845"/>
        <w:gridCol w:w="6163"/>
      </w:tblGrid>
      <w:tr w14:paraId="5CF4A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restart"/>
            <w:vAlign w:val="center"/>
          </w:tcPr>
          <w:p w14:paraId="22D885BC">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i w:val="0"/>
                <w:caps w:val="0"/>
                <w:color w:val="auto"/>
                <w:spacing w:val="0"/>
                <w:w w:val="100"/>
                <w:sz w:val="20"/>
                <w:szCs w:val="24"/>
                <w:highlight w:val="none"/>
              </w:rPr>
            </w:pPr>
            <w:bookmarkStart w:id="435" w:name="_Toc409520876"/>
            <w:bookmarkStart w:id="436" w:name="_Toc399690779"/>
            <w:r>
              <w:rPr>
                <w:rFonts w:hint="eastAsia" w:ascii="宋体" w:hAnsi="宋体" w:eastAsia="宋体" w:cs="宋体"/>
                <w:b w:val="0"/>
                <w:i w:val="0"/>
                <w:caps w:val="0"/>
                <w:color w:val="auto"/>
                <w:spacing w:val="0"/>
                <w:w w:val="100"/>
                <w:sz w:val="24"/>
                <w:szCs w:val="24"/>
                <w:highlight w:val="none"/>
              </w:rPr>
              <w:t>形式评审标准</w:t>
            </w:r>
          </w:p>
        </w:tc>
        <w:tc>
          <w:tcPr>
            <w:tcW w:w="1845" w:type="dxa"/>
            <w:vAlign w:val="center"/>
          </w:tcPr>
          <w:p w14:paraId="25E56552">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i w:val="0"/>
                <w:caps w:val="0"/>
                <w:color w:val="auto"/>
                <w:spacing w:val="0"/>
                <w:w w:val="100"/>
                <w:sz w:val="20"/>
                <w:szCs w:val="24"/>
                <w:highlight w:val="none"/>
              </w:rPr>
            </w:pPr>
            <w:r>
              <w:rPr>
                <w:rFonts w:hint="eastAsia" w:ascii="宋体" w:hAnsi="宋体" w:eastAsia="宋体" w:cs="宋体"/>
                <w:b/>
                <w:i w:val="0"/>
                <w:caps w:val="0"/>
                <w:color w:val="auto"/>
                <w:spacing w:val="0"/>
                <w:w w:val="100"/>
                <w:sz w:val="24"/>
                <w:szCs w:val="24"/>
                <w:highlight w:val="none"/>
              </w:rPr>
              <w:t>评审因素</w:t>
            </w:r>
          </w:p>
        </w:tc>
        <w:tc>
          <w:tcPr>
            <w:tcW w:w="6163" w:type="dxa"/>
            <w:vAlign w:val="center"/>
          </w:tcPr>
          <w:p w14:paraId="542457AA">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i w:val="0"/>
                <w:caps w:val="0"/>
                <w:color w:val="auto"/>
                <w:spacing w:val="0"/>
                <w:w w:val="100"/>
                <w:sz w:val="20"/>
                <w:szCs w:val="24"/>
                <w:highlight w:val="none"/>
              </w:rPr>
            </w:pPr>
            <w:r>
              <w:rPr>
                <w:rFonts w:hint="eastAsia" w:ascii="宋体" w:hAnsi="宋体" w:eastAsia="宋体" w:cs="宋体"/>
                <w:b/>
                <w:i w:val="0"/>
                <w:caps w:val="0"/>
                <w:color w:val="auto"/>
                <w:spacing w:val="0"/>
                <w:w w:val="100"/>
                <w:sz w:val="24"/>
                <w:szCs w:val="24"/>
                <w:highlight w:val="none"/>
              </w:rPr>
              <w:t>评审标准</w:t>
            </w:r>
          </w:p>
        </w:tc>
      </w:tr>
      <w:tr w14:paraId="7F680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752" w:type="dxa"/>
            <w:gridSpan w:val="2"/>
            <w:vMerge w:val="continue"/>
            <w:vAlign w:val="center"/>
          </w:tcPr>
          <w:p w14:paraId="1C1C6A3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3169EA1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w:t>
            </w:r>
          </w:p>
          <w:p w14:paraId="78A359AA">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名称</w:t>
            </w:r>
          </w:p>
        </w:tc>
        <w:tc>
          <w:tcPr>
            <w:tcW w:w="6163" w:type="dxa"/>
            <w:vAlign w:val="center"/>
          </w:tcPr>
          <w:p w14:paraId="258B0BFD">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与营业执照、资质证书、安全生产许可证一致</w:t>
            </w:r>
          </w:p>
        </w:tc>
      </w:tr>
      <w:tr w14:paraId="0FE638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1752" w:type="dxa"/>
            <w:gridSpan w:val="2"/>
            <w:vMerge w:val="continue"/>
            <w:vAlign w:val="center"/>
          </w:tcPr>
          <w:p w14:paraId="408701D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17417A40">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lang w:eastAsia="zh-CN"/>
              </w:rPr>
              <w:t>响应</w:t>
            </w:r>
            <w:r>
              <w:rPr>
                <w:rFonts w:hint="eastAsia" w:ascii="宋体" w:hAnsi="宋体" w:eastAsia="宋体" w:cs="宋体"/>
                <w:b w:val="0"/>
                <w:i w:val="0"/>
                <w:caps w:val="0"/>
                <w:color w:val="auto"/>
                <w:spacing w:val="0"/>
                <w:w w:val="100"/>
                <w:sz w:val="24"/>
                <w:szCs w:val="24"/>
                <w:highlight w:val="none"/>
              </w:rPr>
              <w:t>函签字</w:t>
            </w:r>
          </w:p>
          <w:p w14:paraId="37195991">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盖章</w:t>
            </w:r>
          </w:p>
        </w:tc>
        <w:tc>
          <w:tcPr>
            <w:tcW w:w="6163" w:type="dxa"/>
            <w:vAlign w:val="center"/>
          </w:tcPr>
          <w:p w14:paraId="25B6A8F5">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lang w:eastAsia="zh-CN"/>
              </w:rPr>
              <w:t>响应</w:t>
            </w:r>
            <w:r>
              <w:rPr>
                <w:rFonts w:hint="eastAsia" w:ascii="宋体" w:hAnsi="宋体" w:eastAsia="宋体" w:cs="宋体"/>
                <w:b w:val="0"/>
                <w:i w:val="0"/>
                <w:caps w:val="0"/>
                <w:color w:val="auto"/>
                <w:spacing w:val="0"/>
                <w:w w:val="100"/>
                <w:sz w:val="24"/>
                <w:szCs w:val="24"/>
                <w:highlight w:val="none"/>
              </w:rPr>
              <w:t>函由法定代表人或其委托代理人签字并加盖投标单位公章</w:t>
            </w:r>
          </w:p>
        </w:tc>
      </w:tr>
      <w:tr w14:paraId="13E3C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44233DE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1B7E16D5">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响应文件格式</w:t>
            </w:r>
          </w:p>
        </w:tc>
        <w:tc>
          <w:tcPr>
            <w:tcW w:w="6163" w:type="dxa"/>
            <w:vAlign w:val="center"/>
          </w:tcPr>
          <w:p w14:paraId="0014C7A7">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符合第</w:t>
            </w:r>
            <w:r>
              <w:rPr>
                <w:rFonts w:hint="eastAsia" w:ascii="宋体" w:hAnsi="宋体" w:eastAsia="宋体" w:cs="宋体"/>
                <w:b w:val="0"/>
                <w:i w:val="0"/>
                <w:caps w:val="0"/>
                <w:color w:val="auto"/>
                <w:spacing w:val="0"/>
                <w:w w:val="100"/>
                <w:sz w:val="24"/>
                <w:szCs w:val="24"/>
                <w:highlight w:val="none"/>
                <w:lang w:eastAsia="zh-CN"/>
              </w:rPr>
              <w:t>五</w:t>
            </w:r>
            <w:r>
              <w:rPr>
                <w:rFonts w:hint="eastAsia" w:ascii="宋体" w:hAnsi="宋体" w:eastAsia="宋体" w:cs="宋体"/>
                <w:b w:val="0"/>
                <w:i w:val="0"/>
                <w:caps w:val="0"/>
                <w:color w:val="auto"/>
                <w:spacing w:val="0"/>
                <w:w w:val="100"/>
                <w:sz w:val="24"/>
                <w:szCs w:val="24"/>
                <w:highlight w:val="none"/>
              </w:rPr>
              <w:t>章“响应文件格式”的要求</w:t>
            </w:r>
          </w:p>
        </w:tc>
      </w:tr>
      <w:tr w14:paraId="6AA945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37F278CF">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0D8229DD">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报价唯一</w:t>
            </w:r>
          </w:p>
        </w:tc>
        <w:tc>
          <w:tcPr>
            <w:tcW w:w="6163" w:type="dxa"/>
            <w:vAlign w:val="center"/>
          </w:tcPr>
          <w:p w14:paraId="075862D8">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只能有一个有效报价</w:t>
            </w:r>
          </w:p>
        </w:tc>
      </w:tr>
      <w:tr w14:paraId="3EC4FD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restart"/>
            <w:vAlign w:val="center"/>
          </w:tcPr>
          <w:p w14:paraId="368FDF3B">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资格评审标准</w:t>
            </w:r>
          </w:p>
        </w:tc>
        <w:tc>
          <w:tcPr>
            <w:tcW w:w="1845" w:type="dxa"/>
            <w:vAlign w:val="center"/>
          </w:tcPr>
          <w:p w14:paraId="39D7D688">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营业执照</w:t>
            </w:r>
          </w:p>
        </w:tc>
        <w:tc>
          <w:tcPr>
            <w:tcW w:w="6163" w:type="dxa"/>
            <w:vAlign w:val="center"/>
          </w:tcPr>
          <w:p w14:paraId="43AA0AD4">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具备有效的营业执照</w:t>
            </w:r>
          </w:p>
        </w:tc>
      </w:tr>
      <w:tr w14:paraId="31935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164CFE27">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0EA2D300">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资质要求</w:t>
            </w:r>
          </w:p>
        </w:tc>
        <w:tc>
          <w:tcPr>
            <w:tcW w:w="6163" w:type="dxa"/>
            <w:vAlign w:val="center"/>
          </w:tcPr>
          <w:p w14:paraId="70D4D3D4">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both"/>
              <w:textAlignment w:val="baseline"/>
              <w:rPr>
                <w:rFonts w:hint="eastAsia" w:ascii="宋体" w:hAnsi="宋体" w:cs="宋体" w:eastAsiaTheme="majorEastAsia"/>
                <w:b w:val="0"/>
                <w:i w:val="0"/>
                <w:caps w:val="0"/>
                <w:color w:val="auto"/>
                <w:spacing w:val="0"/>
                <w:w w:val="100"/>
                <w:sz w:val="20"/>
                <w:szCs w:val="24"/>
                <w:highlight w:val="none"/>
                <w:lang w:eastAsia="zh-CN"/>
              </w:rPr>
            </w:pPr>
            <w:r>
              <w:rPr>
                <w:rFonts w:hint="eastAsia" w:asciiTheme="majorEastAsia" w:hAnsiTheme="majorEastAsia" w:eastAsiaTheme="majorEastAsia" w:cstheme="majorEastAsia"/>
                <w:color w:val="auto"/>
                <w:szCs w:val="24"/>
              </w:rPr>
              <w:t>磋商响应人须具有</w:t>
            </w:r>
            <w:r>
              <w:rPr>
                <w:rFonts w:hint="eastAsia" w:asciiTheme="majorEastAsia" w:hAnsiTheme="majorEastAsia" w:eastAsiaTheme="majorEastAsia" w:cstheme="majorEastAsia"/>
                <w:color w:val="auto"/>
                <w:szCs w:val="24"/>
                <w:lang w:eastAsia="zh-CN"/>
              </w:rPr>
              <w:t>市政工程总承包叁级（含）及以上资质，并在人员、设备资金等方面具有相应的能力(含)</w:t>
            </w:r>
            <w:r>
              <w:rPr>
                <w:rFonts w:hint="eastAsia" w:asciiTheme="majorEastAsia" w:hAnsiTheme="majorEastAsia" w:eastAsiaTheme="majorEastAsia" w:cstheme="majorEastAsia"/>
                <w:color w:val="auto"/>
                <w:szCs w:val="24"/>
              </w:rPr>
              <w:t>及以上资质，并在人员、设备、资金等方面具有承担本工程相应的施工能力</w:t>
            </w:r>
            <w:r>
              <w:rPr>
                <w:rFonts w:hint="eastAsia" w:asciiTheme="majorEastAsia" w:hAnsiTheme="majorEastAsia" w:eastAsiaTheme="majorEastAsia" w:cstheme="majorEastAsia"/>
                <w:color w:val="auto"/>
                <w:szCs w:val="24"/>
                <w:lang w:eastAsia="zh-CN"/>
              </w:rPr>
              <w:t>；</w:t>
            </w:r>
          </w:p>
        </w:tc>
      </w:tr>
      <w:tr w14:paraId="361E89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2E4BA9CB">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4BAB42DD">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磋商响应人</w:t>
            </w:r>
          </w:p>
          <w:p w14:paraId="1B465402">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资格</w:t>
            </w:r>
          </w:p>
        </w:tc>
        <w:tc>
          <w:tcPr>
            <w:tcW w:w="6163" w:type="dxa"/>
            <w:vAlign w:val="center"/>
          </w:tcPr>
          <w:p w14:paraId="48E1A289">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both"/>
              <w:textAlignment w:val="baseline"/>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eastAsia="宋体" w:cs="宋体"/>
                <w:b w:val="0"/>
                <w:i w:val="0"/>
                <w:caps w:val="0"/>
                <w:color w:val="auto"/>
                <w:spacing w:val="0"/>
                <w:w w:val="100"/>
                <w:sz w:val="24"/>
                <w:highlight w:val="none"/>
                <w:lang w:val="zh-CN"/>
              </w:rPr>
              <w:t>符合《政府采购法》第22条条件</w:t>
            </w:r>
          </w:p>
        </w:tc>
      </w:tr>
      <w:tr w14:paraId="786A2D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60AE6B4A">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162CBA29">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安全生产许</w:t>
            </w:r>
          </w:p>
          <w:p w14:paraId="47B0D1B1">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可证</w:t>
            </w:r>
          </w:p>
        </w:tc>
        <w:tc>
          <w:tcPr>
            <w:tcW w:w="6163" w:type="dxa"/>
            <w:vAlign w:val="center"/>
          </w:tcPr>
          <w:p w14:paraId="0487D211">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具备有效的安全生产许可证（须与营业执照法人一致）</w:t>
            </w:r>
          </w:p>
        </w:tc>
      </w:tr>
      <w:tr w14:paraId="767D2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113DB4D7">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365161C4">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项目经理资格</w:t>
            </w:r>
          </w:p>
        </w:tc>
        <w:tc>
          <w:tcPr>
            <w:tcW w:w="6163" w:type="dxa"/>
            <w:vAlign w:val="center"/>
          </w:tcPr>
          <w:p w14:paraId="77371617">
            <w:pPr>
              <w:keepNext w:val="0"/>
              <w:keepLines w:val="0"/>
              <w:pageBreakBefore w:val="0"/>
              <w:widowControl/>
              <w:kinsoku/>
              <w:wordWrap/>
              <w:overflowPunct/>
              <w:topLinePunct w:val="0"/>
              <w:bidi w:val="0"/>
              <w:adjustRightInd w:val="0"/>
              <w:snapToGrid w:val="0"/>
              <w:ind w:firstLine="0" w:firstLineChars="0"/>
              <w:jc w:val="both"/>
              <w:rPr>
                <w:rFonts w:hint="eastAsia" w:ascii="宋体" w:hAnsi="宋体" w:eastAsia="宋体" w:cs="宋体"/>
                <w:b w:val="0"/>
                <w:i w:val="0"/>
                <w:caps w:val="0"/>
                <w:color w:val="auto"/>
                <w:spacing w:val="0"/>
                <w:w w:val="100"/>
                <w:sz w:val="20"/>
                <w:szCs w:val="24"/>
                <w:highlight w:val="none"/>
              </w:rPr>
            </w:pPr>
            <w:r>
              <w:rPr>
                <w:rFonts w:hint="eastAsia" w:asciiTheme="majorEastAsia" w:hAnsiTheme="majorEastAsia" w:eastAsiaTheme="majorEastAsia" w:cstheme="majorEastAsia"/>
                <w:color w:val="auto"/>
                <w:szCs w:val="24"/>
              </w:rPr>
              <w:t>磋商响应人拟派项目经理须具备</w:t>
            </w:r>
            <w:r>
              <w:rPr>
                <w:rFonts w:hint="eastAsia" w:asciiTheme="majorEastAsia" w:hAnsiTheme="majorEastAsia" w:eastAsiaTheme="majorEastAsia" w:cstheme="majorEastAsia"/>
                <w:color w:val="auto"/>
                <w:szCs w:val="24"/>
                <w:lang w:eastAsia="zh-CN"/>
              </w:rPr>
              <w:t>市政工程</w:t>
            </w:r>
            <w:r>
              <w:rPr>
                <w:rFonts w:hint="eastAsia" w:asciiTheme="majorEastAsia" w:hAnsiTheme="majorEastAsia" w:eastAsiaTheme="majorEastAsia" w:cstheme="majorEastAsia"/>
                <w:color w:val="auto"/>
                <w:szCs w:val="24"/>
              </w:rPr>
              <w:t>专业贰级及以上建造师资格，</w:t>
            </w:r>
            <w:r>
              <w:rPr>
                <w:rFonts w:hint="eastAsia" w:asciiTheme="majorEastAsia" w:hAnsiTheme="majorEastAsia" w:eastAsiaTheme="majorEastAsia" w:cstheme="majorEastAsia"/>
                <w:color w:val="auto"/>
                <w:szCs w:val="24"/>
                <w:lang w:eastAsia="zh-CN"/>
              </w:rPr>
              <w:t>并</w:t>
            </w:r>
            <w:r>
              <w:rPr>
                <w:rFonts w:hint="eastAsia" w:asciiTheme="majorEastAsia" w:hAnsiTheme="majorEastAsia" w:eastAsiaTheme="majorEastAsia" w:cstheme="majorEastAsia"/>
                <w:color w:val="auto"/>
                <w:szCs w:val="24"/>
              </w:rPr>
              <w:t>提供建造师执业证、注册证；具备有效的安全生产考核合格证书；</w:t>
            </w:r>
          </w:p>
        </w:tc>
      </w:tr>
      <w:tr w14:paraId="22FEB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3BAF4D9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6E1A1972">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其他要求</w:t>
            </w:r>
          </w:p>
        </w:tc>
        <w:tc>
          <w:tcPr>
            <w:tcW w:w="6163" w:type="dxa"/>
            <w:vAlign w:val="center"/>
          </w:tcPr>
          <w:p w14:paraId="56A71DEE">
            <w:pPr>
              <w:jc w:val="both"/>
              <w:rPr>
                <w:rFonts w:hint="eastAsia" w:asciiTheme="majorEastAsia" w:hAnsiTheme="majorEastAsia" w:eastAsiaTheme="majorEastAsia" w:cstheme="majorEastAsia"/>
                <w:color w:val="auto"/>
                <w:szCs w:val="24"/>
              </w:rPr>
            </w:pPr>
            <w:r>
              <w:rPr>
                <w:rFonts w:hint="eastAsia" w:asciiTheme="majorEastAsia" w:hAnsiTheme="majorEastAsia" w:eastAsiaTheme="majorEastAsia" w:cstheme="majorEastAsia"/>
                <w:color w:val="auto"/>
                <w:szCs w:val="24"/>
                <w:lang w:val="en-US" w:eastAsia="zh-CN"/>
              </w:rPr>
              <w:t>1</w:t>
            </w:r>
            <w:r>
              <w:rPr>
                <w:rFonts w:hint="eastAsia" w:asciiTheme="majorEastAsia" w:hAnsiTheme="majorEastAsia" w:eastAsiaTheme="majorEastAsia" w:cstheme="majorEastAsia"/>
                <w:color w:val="auto"/>
                <w:szCs w:val="24"/>
              </w:rPr>
              <w:t>）</w:t>
            </w:r>
            <w:r>
              <w:rPr>
                <w:rFonts w:hint="eastAsia" w:asciiTheme="majorEastAsia" w:hAnsiTheme="majorEastAsia" w:eastAsiaTheme="majorEastAsia" w:cstheme="majorEastAsia"/>
                <w:color w:val="auto"/>
                <w:szCs w:val="24"/>
                <w:lang w:eastAsia="zh-CN"/>
              </w:rPr>
              <w:t>磋商</w:t>
            </w:r>
            <w:r>
              <w:rPr>
                <w:rFonts w:hint="eastAsia" w:asciiTheme="majorEastAsia" w:hAnsiTheme="majorEastAsia" w:eastAsiaTheme="majorEastAsia" w:cstheme="majorEastAsia"/>
                <w:color w:val="auto"/>
                <w:szCs w:val="24"/>
              </w:rPr>
              <w:t>响应人须具有有效的安全生产许可证；</w:t>
            </w:r>
          </w:p>
          <w:p w14:paraId="3E3AA09F">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Fonts w:hint="eastAsia" w:asciiTheme="majorEastAsia" w:hAnsiTheme="majorEastAsia" w:eastAsiaTheme="majorEastAsia" w:cstheme="majorEastAsia"/>
                <w:color w:val="auto"/>
                <w:szCs w:val="24"/>
                <w:lang w:val="en-US" w:eastAsia="zh-CN"/>
              </w:rPr>
            </w:pPr>
            <w:r>
              <w:rPr>
                <w:rFonts w:hint="eastAsia" w:asciiTheme="majorEastAsia" w:hAnsiTheme="majorEastAsia" w:eastAsiaTheme="majorEastAsia" w:cstheme="majorEastAsia"/>
                <w:color w:val="auto"/>
                <w:szCs w:val="24"/>
                <w:lang w:val="en-US" w:eastAsia="zh-CN"/>
              </w:rPr>
              <w:t>2）省外企业须提供有效期内的进青备案登记手续；</w:t>
            </w:r>
          </w:p>
          <w:p w14:paraId="5D07CAF4">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Fonts w:hint="eastAsia" w:ascii="宋体" w:hAnsi="宋体" w:cs="宋体"/>
                <w:b w:val="0"/>
                <w:i w:val="0"/>
                <w:caps w:val="0"/>
                <w:color w:val="auto"/>
                <w:spacing w:val="0"/>
                <w:w w:val="100"/>
                <w:sz w:val="24"/>
                <w:highlight w:val="none"/>
                <w:lang w:val="en-US" w:eastAsia="zh-CN"/>
              </w:rPr>
            </w:pPr>
            <w:r>
              <w:rPr>
                <w:rFonts w:hint="eastAsia" w:ascii="宋体" w:hAnsi="宋体" w:cs="宋体"/>
                <w:b w:val="0"/>
                <w:i w:val="0"/>
                <w:caps w:val="0"/>
                <w:color w:val="auto"/>
                <w:spacing w:val="0"/>
                <w:w w:val="100"/>
                <w:sz w:val="24"/>
                <w:highlight w:val="none"/>
                <w:lang w:val="en-US" w:eastAsia="zh-CN"/>
              </w:rPr>
              <w:t>3）</w:t>
            </w:r>
            <w:r>
              <w:rPr>
                <w:rFonts w:hint="eastAsia" w:ascii="宋体" w:hAnsi="宋体" w:eastAsia="宋体" w:cs="宋体"/>
                <w:b w:val="0"/>
                <w:i w:val="0"/>
                <w:caps w:val="0"/>
                <w:color w:val="auto"/>
                <w:spacing w:val="0"/>
                <w:w w:val="100"/>
                <w:sz w:val="24"/>
                <w:highlight w:val="none"/>
                <w:lang w:val="zh-CN" w:eastAsia="zh-CN"/>
              </w:rPr>
              <w:t>近半年内任意</w:t>
            </w:r>
            <w:r>
              <w:rPr>
                <w:rFonts w:hint="eastAsia" w:ascii="宋体" w:hAnsi="宋体" w:cs="宋体"/>
                <w:b w:val="0"/>
                <w:i w:val="0"/>
                <w:caps w:val="0"/>
                <w:color w:val="auto"/>
                <w:spacing w:val="0"/>
                <w:w w:val="100"/>
                <w:sz w:val="24"/>
                <w:highlight w:val="none"/>
                <w:lang w:val="en-US" w:eastAsia="zh-CN"/>
              </w:rPr>
              <w:t>一</w:t>
            </w:r>
            <w:r>
              <w:rPr>
                <w:rFonts w:hint="eastAsia" w:ascii="宋体" w:hAnsi="宋体" w:eastAsia="宋体" w:cs="宋体"/>
                <w:b w:val="0"/>
                <w:i w:val="0"/>
                <w:caps w:val="0"/>
                <w:color w:val="auto"/>
                <w:spacing w:val="0"/>
                <w:w w:val="100"/>
                <w:sz w:val="24"/>
                <w:highlight w:val="none"/>
                <w:lang w:val="zh-CN" w:eastAsia="zh-CN"/>
              </w:rPr>
              <w:t>个月依法缴纳税收和近半年内任意</w:t>
            </w:r>
            <w:r>
              <w:rPr>
                <w:rFonts w:hint="eastAsia" w:ascii="宋体" w:hAnsi="宋体" w:cs="宋体"/>
                <w:b w:val="0"/>
                <w:i w:val="0"/>
                <w:caps w:val="0"/>
                <w:color w:val="auto"/>
                <w:spacing w:val="0"/>
                <w:w w:val="100"/>
                <w:sz w:val="24"/>
                <w:highlight w:val="none"/>
                <w:lang w:val="en-US" w:eastAsia="zh-CN"/>
              </w:rPr>
              <w:t>一</w:t>
            </w:r>
            <w:r>
              <w:rPr>
                <w:rFonts w:hint="eastAsia" w:ascii="宋体" w:hAnsi="宋体" w:eastAsia="宋体" w:cs="宋体"/>
                <w:b w:val="0"/>
                <w:i w:val="0"/>
                <w:caps w:val="0"/>
                <w:color w:val="auto"/>
                <w:spacing w:val="0"/>
                <w:w w:val="100"/>
                <w:sz w:val="24"/>
                <w:highlight w:val="none"/>
                <w:lang w:val="zh-CN" w:eastAsia="zh-CN"/>
              </w:rPr>
              <w:t>个月内社会保障资金记录的证明材料；依法免税或不需要缴纳社会保障金的投标人须提供相应文件证明其依法免税或不需要缴纳社会保障资金</w:t>
            </w:r>
            <w:r>
              <w:rPr>
                <w:rFonts w:hint="eastAsia" w:ascii="宋体" w:hAnsi="宋体" w:cs="宋体"/>
                <w:b w:val="0"/>
                <w:i w:val="0"/>
                <w:caps w:val="0"/>
                <w:color w:val="auto"/>
                <w:spacing w:val="0"/>
                <w:w w:val="100"/>
                <w:sz w:val="24"/>
                <w:highlight w:val="none"/>
                <w:lang w:val="en-US" w:eastAsia="zh-CN"/>
              </w:rPr>
              <w:t>；</w:t>
            </w:r>
          </w:p>
          <w:p w14:paraId="4A8E17A1">
            <w:pPr>
              <w:pStyle w:val="20"/>
              <w:keepNext w:val="0"/>
              <w:keepLines w:val="0"/>
              <w:pageBreakBefore w:val="0"/>
              <w:widowControl/>
              <w:suppressLineNumbers w:val="0"/>
              <w:kinsoku/>
              <w:wordWrap/>
              <w:overflowPunct/>
              <w:topLinePunct w:val="0"/>
              <w:autoSpaceDE/>
              <w:autoSpaceDN/>
              <w:bidi w:val="0"/>
              <w:adjustRightInd w:val="0"/>
              <w:snapToGrid w:val="0"/>
              <w:spacing w:before="0" w:beforeAutospacing="0" w:after="0" w:afterAutospacing="0" w:line="360" w:lineRule="auto"/>
              <w:ind w:left="0" w:firstLine="0"/>
              <w:jc w:val="both"/>
              <w:textAlignment w:val="auto"/>
              <w:rPr>
                <w:rFonts w:hint="default" w:ascii="宋体" w:hAnsi="宋体" w:eastAsia="宋体" w:cs="宋体"/>
                <w:b w:val="0"/>
                <w:i w:val="0"/>
                <w:caps w:val="0"/>
                <w:color w:val="auto"/>
                <w:spacing w:val="0"/>
                <w:w w:val="100"/>
                <w:sz w:val="20"/>
                <w:highlight w:val="none"/>
                <w:lang w:val="en-US" w:eastAsia="zh-CN"/>
              </w:rPr>
            </w:pPr>
            <w:r>
              <w:rPr>
                <w:rFonts w:hint="eastAsia" w:ascii="宋体" w:hAnsi="宋体" w:cs="宋体"/>
                <w:b w:val="0"/>
                <w:i w:val="0"/>
                <w:caps w:val="0"/>
                <w:color w:val="auto"/>
                <w:spacing w:val="0"/>
                <w:w w:val="100"/>
                <w:sz w:val="24"/>
                <w:highlight w:val="none"/>
                <w:lang w:val="en-US" w:eastAsia="zh-CN"/>
              </w:rPr>
              <w:t>4）本项目落实政府采购需满足的资格条件：本项目专门面向中小企业采购，投标人须提供中小企业声明函或监狱企业、残疾人企业证明材料。</w:t>
            </w:r>
          </w:p>
        </w:tc>
      </w:tr>
      <w:tr w14:paraId="00FCBC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1752" w:type="dxa"/>
            <w:gridSpan w:val="2"/>
            <w:vMerge w:val="restart"/>
            <w:vAlign w:val="center"/>
          </w:tcPr>
          <w:p w14:paraId="246C4138">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响应性评审标准</w:t>
            </w:r>
          </w:p>
        </w:tc>
        <w:tc>
          <w:tcPr>
            <w:tcW w:w="1845" w:type="dxa"/>
            <w:vAlign w:val="center"/>
          </w:tcPr>
          <w:p w14:paraId="159516C3">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投标内容</w:t>
            </w:r>
          </w:p>
        </w:tc>
        <w:tc>
          <w:tcPr>
            <w:tcW w:w="6163" w:type="dxa"/>
            <w:vAlign w:val="center"/>
          </w:tcPr>
          <w:p w14:paraId="5F63D191">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bCs/>
                <w:i w:val="0"/>
                <w:caps w:val="0"/>
                <w:color w:val="auto"/>
                <w:spacing w:val="0"/>
                <w:w w:val="100"/>
                <w:sz w:val="24"/>
                <w:szCs w:val="24"/>
                <w:highlight w:val="none"/>
              </w:rPr>
              <w:t>详见第</w:t>
            </w:r>
            <w:r>
              <w:rPr>
                <w:rFonts w:hint="eastAsia" w:ascii="宋体" w:hAnsi="宋体" w:eastAsia="宋体" w:cs="宋体"/>
                <w:b w:val="0"/>
                <w:bCs/>
                <w:i w:val="0"/>
                <w:caps w:val="0"/>
                <w:color w:val="auto"/>
                <w:spacing w:val="0"/>
                <w:w w:val="100"/>
                <w:sz w:val="24"/>
                <w:szCs w:val="24"/>
                <w:highlight w:val="none"/>
                <w:lang w:eastAsia="zh-CN"/>
              </w:rPr>
              <w:t>六</w:t>
            </w:r>
            <w:r>
              <w:rPr>
                <w:rFonts w:hint="eastAsia" w:ascii="宋体" w:hAnsi="宋体" w:eastAsia="宋体" w:cs="宋体"/>
                <w:b w:val="0"/>
                <w:bCs/>
                <w:i w:val="0"/>
                <w:caps w:val="0"/>
                <w:color w:val="auto"/>
                <w:spacing w:val="0"/>
                <w:w w:val="100"/>
                <w:sz w:val="24"/>
                <w:szCs w:val="24"/>
                <w:highlight w:val="none"/>
              </w:rPr>
              <w:t>章工程量清单</w:t>
            </w:r>
          </w:p>
        </w:tc>
      </w:tr>
      <w:tr w14:paraId="6F739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7E3712BA">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5D9F0E25">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highlight w:val="none"/>
                <w:lang w:val="en-US" w:eastAsia="zh-CN"/>
              </w:rPr>
            </w:pPr>
            <w:r>
              <w:rPr>
                <w:rFonts w:hint="eastAsia" w:ascii="宋体" w:hAnsi="宋体" w:eastAsia="宋体" w:cs="宋体"/>
                <w:b w:val="0"/>
                <w:i w:val="0"/>
                <w:caps w:val="0"/>
                <w:color w:val="auto"/>
                <w:spacing w:val="0"/>
                <w:w w:val="100"/>
                <w:sz w:val="24"/>
                <w:highlight w:val="none"/>
              </w:rPr>
              <w:t>计划工期</w:t>
            </w:r>
          </w:p>
        </w:tc>
        <w:tc>
          <w:tcPr>
            <w:tcW w:w="6163" w:type="dxa"/>
            <w:vAlign w:val="center"/>
          </w:tcPr>
          <w:p w14:paraId="03353898">
            <w:pPr>
              <w:snapToGrid w:val="0"/>
              <w:spacing w:before="0" w:beforeAutospacing="0" w:after="0" w:afterAutospacing="0" w:line="360" w:lineRule="auto"/>
              <w:jc w:val="both"/>
              <w:textAlignment w:val="baseline"/>
              <w:rPr>
                <w:rFonts w:hint="eastAsia" w:ascii="宋体" w:hAnsi="宋体" w:cs="宋体"/>
                <w:b w:val="0"/>
                <w:bCs/>
                <w:i w:val="0"/>
                <w:caps w:val="0"/>
                <w:color w:val="auto"/>
                <w:spacing w:val="0"/>
                <w:w w:val="100"/>
                <w:sz w:val="24"/>
                <w:szCs w:val="24"/>
                <w:highlight w:val="none"/>
                <w:lang w:val="en-US" w:eastAsia="zh-CN"/>
              </w:rPr>
            </w:pPr>
            <w:r>
              <w:rPr>
                <w:rFonts w:hint="eastAsia" w:ascii="宋体" w:hAnsi="宋体" w:cs="宋体"/>
                <w:b w:val="0"/>
                <w:bCs/>
                <w:i w:val="0"/>
                <w:caps w:val="0"/>
                <w:color w:val="auto"/>
                <w:spacing w:val="0"/>
                <w:w w:val="100"/>
                <w:sz w:val="24"/>
                <w:szCs w:val="24"/>
                <w:highlight w:val="none"/>
                <w:lang w:val="en-US" w:eastAsia="zh-CN"/>
              </w:rPr>
              <w:t>计划工期：</w:t>
            </w:r>
            <w:r>
              <w:rPr>
                <w:rFonts w:hint="eastAsia" w:ascii="宋体" w:hAnsi="宋体" w:cs="宋体"/>
                <w:b w:val="0"/>
                <w:bCs/>
                <w:i w:val="0"/>
                <w:caps w:val="0"/>
                <w:color w:val="auto"/>
                <w:spacing w:val="0"/>
                <w:w w:val="100"/>
                <w:sz w:val="24"/>
                <w:szCs w:val="24"/>
                <w:highlight w:val="none"/>
                <w:lang w:val="en-US" w:eastAsia="zh-CN"/>
              </w:rPr>
              <w:t>365天</w:t>
            </w:r>
          </w:p>
          <w:p w14:paraId="42B51BC1">
            <w:pPr>
              <w:snapToGrid w:val="0"/>
              <w:spacing w:before="0" w:beforeAutospacing="0" w:after="0" w:afterAutospacing="0" w:line="360" w:lineRule="auto"/>
              <w:jc w:val="both"/>
              <w:textAlignment w:val="baseline"/>
              <w:rPr>
                <w:rFonts w:hint="eastAsia" w:ascii="宋体" w:hAnsi="宋体" w:cs="宋体"/>
                <w:b w:val="0"/>
                <w:bCs/>
                <w:i w:val="0"/>
                <w:caps w:val="0"/>
                <w:color w:val="auto"/>
                <w:spacing w:val="0"/>
                <w:w w:val="100"/>
                <w:sz w:val="24"/>
                <w:szCs w:val="24"/>
                <w:highlight w:val="none"/>
                <w:lang w:val="en-US" w:eastAsia="zh-CN"/>
              </w:rPr>
            </w:pPr>
            <w:r>
              <w:rPr>
                <w:rFonts w:hint="eastAsia" w:ascii="宋体" w:hAnsi="宋体" w:cs="宋体"/>
                <w:b w:val="0"/>
                <w:bCs/>
                <w:i w:val="0"/>
                <w:caps w:val="0"/>
                <w:color w:val="auto"/>
                <w:spacing w:val="0"/>
                <w:w w:val="100"/>
                <w:sz w:val="24"/>
                <w:szCs w:val="24"/>
                <w:highlight w:val="none"/>
                <w:lang w:val="en-US" w:eastAsia="zh-CN"/>
              </w:rPr>
              <w:t>计划开工日期：</w:t>
            </w:r>
            <w:r>
              <w:rPr>
                <w:rFonts w:hint="eastAsia" w:ascii="宋体" w:hAnsi="宋体" w:cs="宋体"/>
                <w:b w:val="0"/>
                <w:bCs/>
                <w:i w:val="0"/>
                <w:caps w:val="0"/>
                <w:color w:val="auto"/>
                <w:spacing w:val="0"/>
                <w:w w:val="100"/>
                <w:sz w:val="24"/>
                <w:szCs w:val="24"/>
                <w:highlight w:val="none"/>
                <w:lang w:val="en-US" w:eastAsia="zh-CN"/>
              </w:rPr>
              <w:t>2024年08月28日</w:t>
            </w:r>
          </w:p>
          <w:p w14:paraId="73B9C623">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both"/>
              <w:textAlignment w:val="baseline"/>
              <w:rPr>
                <w:rFonts w:hint="eastAsia" w:ascii="宋体" w:hAnsi="宋体" w:eastAsia="宋体" w:cs="宋体"/>
                <w:b w:val="0"/>
                <w:i w:val="0"/>
                <w:caps w:val="0"/>
                <w:color w:val="auto"/>
                <w:spacing w:val="0"/>
                <w:w w:val="100"/>
                <w:sz w:val="24"/>
                <w:szCs w:val="22"/>
                <w:highlight w:val="yellow"/>
                <w:lang w:val="en-US" w:eastAsia="zh-CN" w:bidi="ar-SA"/>
              </w:rPr>
            </w:pPr>
            <w:r>
              <w:rPr>
                <w:rFonts w:hint="eastAsia" w:ascii="宋体" w:hAnsi="宋体" w:cs="宋体"/>
                <w:b w:val="0"/>
                <w:bCs/>
                <w:i w:val="0"/>
                <w:caps w:val="0"/>
                <w:color w:val="auto"/>
                <w:spacing w:val="0"/>
                <w:w w:val="100"/>
                <w:sz w:val="24"/>
                <w:szCs w:val="24"/>
                <w:highlight w:val="none"/>
                <w:lang w:val="en-US" w:eastAsia="zh-CN"/>
              </w:rPr>
              <w:t>计划竣工日期：</w:t>
            </w:r>
            <w:r>
              <w:rPr>
                <w:rFonts w:hint="eastAsia" w:ascii="宋体" w:hAnsi="宋体" w:cs="宋体"/>
                <w:b w:val="0"/>
                <w:bCs/>
                <w:i w:val="0"/>
                <w:caps w:val="0"/>
                <w:color w:val="auto"/>
                <w:spacing w:val="0"/>
                <w:w w:val="100"/>
                <w:sz w:val="24"/>
                <w:szCs w:val="24"/>
                <w:highlight w:val="none"/>
                <w:lang w:val="en-US" w:eastAsia="zh-CN"/>
              </w:rPr>
              <w:t>2025年08月28日</w:t>
            </w:r>
          </w:p>
        </w:tc>
      </w:tr>
      <w:tr w14:paraId="4C668A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7D02937A">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12AA11AF">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lang w:eastAsia="zh-CN"/>
              </w:rPr>
            </w:pPr>
            <w:r>
              <w:rPr>
                <w:rFonts w:hint="eastAsia" w:ascii="宋体" w:hAnsi="宋体" w:eastAsia="宋体" w:cs="宋体"/>
                <w:b w:val="0"/>
                <w:i w:val="0"/>
                <w:caps w:val="0"/>
                <w:color w:val="auto"/>
                <w:spacing w:val="0"/>
                <w:w w:val="100"/>
                <w:sz w:val="24"/>
                <w:szCs w:val="24"/>
                <w:highlight w:val="none"/>
              </w:rPr>
              <w:t>质量</w:t>
            </w:r>
            <w:r>
              <w:rPr>
                <w:rFonts w:hint="eastAsia" w:ascii="宋体" w:hAnsi="宋体" w:eastAsia="宋体" w:cs="宋体"/>
                <w:b w:val="0"/>
                <w:i w:val="0"/>
                <w:caps w:val="0"/>
                <w:color w:val="auto"/>
                <w:spacing w:val="0"/>
                <w:w w:val="100"/>
                <w:sz w:val="24"/>
                <w:szCs w:val="24"/>
                <w:highlight w:val="none"/>
                <w:lang w:eastAsia="zh-CN"/>
              </w:rPr>
              <w:t>要求</w:t>
            </w:r>
          </w:p>
        </w:tc>
        <w:tc>
          <w:tcPr>
            <w:tcW w:w="6163" w:type="dxa"/>
            <w:vAlign w:val="center"/>
          </w:tcPr>
          <w:p w14:paraId="15EEFBA8">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达到国家质量与评定标准</w:t>
            </w:r>
            <w:r>
              <w:rPr>
                <w:rFonts w:hint="eastAsia" w:ascii="宋体" w:hAnsi="宋体" w:eastAsia="宋体" w:cs="宋体"/>
                <w:b w:val="0"/>
                <w:bCs/>
                <w:i w:val="0"/>
                <w:caps w:val="0"/>
                <w:color w:val="auto"/>
                <w:spacing w:val="0"/>
                <w:w w:val="100"/>
                <w:sz w:val="24"/>
                <w:szCs w:val="24"/>
                <w:highlight w:val="none"/>
              </w:rPr>
              <w:t>合格</w:t>
            </w:r>
            <w:r>
              <w:rPr>
                <w:rFonts w:hint="eastAsia" w:ascii="宋体" w:hAnsi="宋体" w:eastAsia="宋体" w:cs="宋体"/>
                <w:b w:val="0"/>
                <w:i w:val="0"/>
                <w:caps w:val="0"/>
                <w:color w:val="auto"/>
                <w:spacing w:val="0"/>
                <w:w w:val="100"/>
                <w:sz w:val="24"/>
                <w:szCs w:val="24"/>
                <w:highlight w:val="none"/>
              </w:rPr>
              <w:t>质量等级</w:t>
            </w:r>
          </w:p>
        </w:tc>
      </w:tr>
      <w:tr w14:paraId="447E26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0F4E71F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13BB9C93">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bCs/>
                <w:i w:val="0"/>
                <w:caps w:val="0"/>
                <w:color w:val="auto"/>
                <w:spacing w:val="0"/>
                <w:w w:val="100"/>
                <w:sz w:val="24"/>
                <w:highlight w:val="none"/>
              </w:rPr>
              <w:t>磋商有效期</w:t>
            </w:r>
          </w:p>
        </w:tc>
        <w:tc>
          <w:tcPr>
            <w:tcW w:w="6163" w:type="dxa"/>
            <w:vAlign w:val="center"/>
          </w:tcPr>
          <w:p w14:paraId="304EE435">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本次磋商有效期为自磋商之日起</w:t>
            </w:r>
            <w:r>
              <w:rPr>
                <w:rFonts w:hint="eastAsia" w:ascii="宋体" w:hAnsi="宋体" w:eastAsia="宋体" w:cs="宋体"/>
                <w:b w:val="0"/>
                <w:i w:val="0"/>
                <w:caps w:val="0"/>
                <w:color w:val="auto"/>
                <w:spacing w:val="0"/>
                <w:w w:val="100"/>
                <w:sz w:val="24"/>
                <w:szCs w:val="24"/>
                <w:highlight w:val="none"/>
                <w:lang w:val="en-US" w:eastAsia="zh-CN"/>
              </w:rPr>
              <w:t>90</w:t>
            </w:r>
            <w:r>
              <w:rPr>
                <w:rFonts w:hint="eastAsia" w:ascii="宋体" w:hAnsi="宋体" w:eastAsia="宋体" w:cs="宋体"/>
                <w:b w:val="0"/>
                <w:i w:val="0"/>
                <w:caps w:val="0"/>
                <w:color w:val="auto"/>
                <w:spacing w:val="0"/>
                <w:w w:val="100"/>
                <w:sz w:val="24"/>
                <w:szCs w:val="24"/>
                <w:highlight w:val="none"/>
              </w:rPr>
              <w:t>个日历日</w:t>
            </w:r>
          </w:p>
        </w:tc>
      </w:tr>
      <w:tr w14:paraId="3F92B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55540B9C">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4B46282C">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联合体投标</w:t>
            </w:r>
          </w:p>
        </w:tc>
        <w:tc>
          <w:tcPr>
            <w:tcW w:w="6163" w:type="dxa"/>
            <w:vAlign w:val="center"/>
          </w:tcPr>
          <w:p w14:paraId="0280DFC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不接受</w:t>
            </w:r>
          </w:p>
        </w:tc>
      </w:tr>
      <w:tr w14:paraId="05CC7F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4EC37CC7">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5E0C654A">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磋商保证金</w:t>
            </w:r>
          </w:p>
        </w:tc>
        <w:tc>
          <w:tcPr>
            <w:tcW w:w="6163" w:type="dxa"/>
            <w:vAlign w:val="center"/>
          </w:tcPr>
          <w:p w14:paraId="78F249B4">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投标保证金应当以支票、汇票、本票或者金融机构、担保机构出具的保函等非现金形式提交。通过银行转账的，必须由投标人从其基本账户（包括开户许可证复印件或基本账户开户信息）汇（转）</w:t>
            </w:r>
            <w:r>
              <w:rPr>
                <w:rFonts w:hint="eastAsia" w:ascii="宋体" w:hAnsi="宋体" w:eastAsia="宋体" w:cs="宋体"/>
                <w:b w:val="0"/>
                <w:i w:val="0"/>
                <w:caps w:val="0"/>
                <w:color w:val="auto"/>
                <w:spacing w:val="0"/>
                <w:w w:val="100"/>
                <w:sz w:val="24"/>
                <w:szCs w:val="24"/>
                <w:highlight w:val="none"/>
                <w:lang w:eastAsia="zh-CN"/>
              </w:rPr>
              <w:t>至磋商文件规定账户；磋商响应文件中须附企业基本账户信息</w:t>
            </w:r>
            <w:r>
              <w:rPr>
                <w:rFonts w:hint="eastAsia" w:ascii="宋体" w:hAnsi="宋体" w:eastAsia="宋体" w:cs="宋体"/>
                <w:b w:val="0"/>
                <w:i w:val="0"/>
                <w:caps w:val="0"/>
                <w:color w:val="auto"/>
                <w:spacing w:val="0"/>
                <w:w w:val="100"/>
                <w:sz w:val="24"/>
                <w:szCs w:val="24"/>
                <w:highlight w:val="none"/>
              </w:rPr>
              <w:t>）磋商保证金金额：</w:t>
            </w:r>
          </w:p>
          <w:p w14:paraId="48E61B5D">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both"/>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（大写）：</w:t>
            </w:r>
            <w:r>
              <w:rPr>
                <w:rFonts w:hint="eastAsia" w:ascii="宋体" w:hAnsi="宋体" w:cs="宋体"/>
                <w:b w:val="0"/>
                <w:i w:val="0"/>
                <w:caps w:val="0"/>
                <w:color w:val="auto"/>
                <w:spacing w:val="0"/>
                <w:w w:val="100"/>
                <w:sz w:val="24"/>
                <w:highlight w:val="none"/>
                <w:lang w:val="en-US" w:eastAsia="zh-CN"/>
              </w:rPr>
              <w:t>贰万元整</w:t>
            </w:r>
            <w:r>
              <w:rPr>
                <w:rFonts w:hint="eastAsia" w:ascii="宋体" w:hAnsi="宋体" w:eastAsia="宋体" w:cs="宋体"/>
                <w:b w:val="0"/>
                <w:i w:val="0"/>
                <w:caps w:val="0"/>
                <w:color w:val="auto"/>
                <w:spacing w:val="0"/>
                <w:w w:val="100"/>
                <w:sz w:val="24"/>
                <w:highlight w:val="none"/>
              </w:rPr>
              <w:t>；</w:t>
            </w:r>
          </w:p>
          <w:p w14:paraId="4ECC77A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（小写）：</w:t>
            </w:r>
            <w:r>
              <w:rPr>
                <w:rFonts w:hint="eastAsia" w:ascii="宋体" w:hAnsi="宋体" w:cs="宋体"/>
                <w:b w:val="0"/>
                <w:i w:val="0"/>
                <w:caps w:val="0"/>
                <w:color w:val="auto"/>
                <w:spacing w:val="0"/>
                <w:w w:val="100"/>
                <w:sz w:val="24"/>
                <w:highlight w:val="none"/>
                <w:lang w:val="en-US" w:eastAsia="zh-CN"/>
              </w:rPr>
              <w:t>20000.00元</w:t>
            </w:r>
          </w:p>
        </w:tc>
      </w:tr>
      <w:tr w14:paraId="696AF3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625EEC8C">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539F3FA5">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签字或盖章</w:t>
            </w:r>
          </w:p>
          <w:p w14:paraId="173A2B8E">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要求</w:t>
            </w:r>
          </w:p>
        </w:tc>
        <w:tc>
          <w:tcPr>
            <w:tcW w:w="6163" w:type="dxa"/>
            <w:vAlign w:val="center"/>
          </w:tcPr>
          <w:p w14:paraId="300374A4">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响应文件中法定代表人或其委托代理人按竞争性磋商文件要求签字、盖章（委托代理人签字的，须附法人代表授权委托书）。</w:t>
            </w:r>
          </w:p>
        </w:tc>
      </w:tr>
      <w:tr w14:paraId="52F522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7D387FF9">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470F6483">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权利义务</w:t>
            </w:r>
          </w:p>
        </w:tc>
        <w:tc>
          <w:tcPr>
            <w:tcW w:w="6163" w:type="dxa"/>
            <w:vAlign w:val="center"/>
          </w:tcPr>
          <w:p w14:paraId="5146BEE8">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符合第四章“合同条款及格式”规定</w:t>
            </w:r>
          </w:p>
        </w:tc>
      </w:tr>
      <w:tr w14:paraId="6C2C5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79E44964">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39903C51">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已标价工程量</w:t>
            </w:r>
          </w:p>
          <w:p w14:paraId="42644637">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清单</w:t>
            </w:r>
          </w:p>
        </w:tc>
        <w:tc>
          <w:tcPr>
            <w:tcW w:w="6163" w:type="dxa"/>
            <w:vAlign w:val="center"/>
          </w:tcPr>
          <w:p w14:paraId="6F6AA9D6">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己标价工程量清单符合第</w:t>
            </w:r>
            <w:r>
              <w:rPr>
                <w:rFonts w:hint="eastAsia" w:ascii="宋体" w:hAnsi="宋体" w:eastAsia="宋体" w:cs="宋体"/>
                <w:b w:val="0"/>
                <w:i w:val="0"/>
                <w:caps w:val="0"/>
                <w:color w:val="auto"/>
                <w:spacing w:val="0"/>
                <w:w w:val="100"/>
                <w:sz w:val="24"/>
                <w:szCs w:val="24"/>
                <w:highlight w:val="none"/>
                <w:lang w:eastAsia="zh-CN"/>
              </w:rPr>
              <w:t>六</w:t>
            </w:r>
            <w:r>
              <w:rPr>
                <w:rFonts w:hint="eastAsia" w:ascii="宋体" w:hAnsi="宋体" w:eastAsia="宋体" w:cs="宋体"/>
                <w:b w:val="0"/>
                <w:i w:val="0"/>
                <w:caps w:val="0"/>
                <w:color w:val="auto"/>
                <w:spacing w:val="0"/>
                <w:w w:val="100"/>
                <w:sz w:val="24"/>
                <w:szCs w:val="24"/>
                <w:highlight w:val="none"/>
              </w:rPr>
              <w:t>章“工程量清单”给出的范围及数量，已标价工程清单内容须经有资格的工程造价专业人员规定地方签字并加盖执业专用章。</w:t>
            </w:r>
          </w:p>
        </w:tc>
      </w:tr>
      <w:tr w14:paraId="67B60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Merge w:val="continue"/>
            <w:vAlign w:val="center"/>
          </w:tcPr>
          <w:p w14:paraId="68981847">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p>
        </w:tc>
        <w:tc>
          <w:tcPr>
            <w:tcW w:w="1845" w:type="dxa"/>
            <w:vAlign w:val="center"/>
          </w:tcPr>
          <w:p w14:paraId="627D1EE0">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招标控制价</w:t>
            </w:r>
          </w:p>
        </w:tc>
        <w:tc>
          <w:tcPr>
            <w:tcW w:w="6163" w:type="dxa"/>
            <w:vAlign w:val="center"/>
          </w:tcPr>
          <w:p w14:paraId="4D754379">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小写：</w:t>
            </w:r>
            <w:r>
              <w:rPr>
                <w:rFonts w:hint="eastAsia" w:ascii="宋体" w:hAnsi="宋体" w:eastAsia="宋体" w:cs="宋体"/>
                <w:b w:val="0"/>
                <w:i w:val="0"/>
                <w:caps w:val="0"/>
                <w:color w:val="auto"/>
                <w:spacing w:val="0"/>
                <w:w w:val="100"/>
                <w:sz w:val="24"/>
                <w:szCs w:val="24"/>
                <w:highlight w:val="none"/>
                <w:lang w:val="en-US" w:eastAsia="zh-CN"/>
              </w:rPr>
              <w:t>1450000.00元</w:t>
            </w:r>
            <w:r>
              <w:rPr>
                <w:rFonts w:hint="eastAsia" w:ascii="宋体" w:hAnsi="宋体" w:eastAsia="宋体" w:cs="宋体"/>
                <w:b w:val="0"/>
                <w:i w:val="0"/>
                <w:caps w:val="0"/>
                <w:color w:val="auto"/>
                <w:spacing w:val="0"/>
                <w:w w:val="100"/>
                <w:sz w:val="24"/>
                <w:szCs w:val="24"/>
                <w:highlight w:val="none"/>
              </w:rPr>
              <w:t>；</w:t>
            </w:r>
          </w:p>
          <w:p w14:paraId="37BB3968">
            <w:pPr>
              <w:keepNext w:val="0"/>
              <w:keepLines w:val="0"/>
              <w:pageBreakBefore w:val="0"/>
              <w:widowControl/>
              <w:kinsoku/>
              <w:wordWrap/>
              <w:overflowPunct/>
              <w:topLinePunct w:val="0"/>
              <w:bidi w:val="0"/>
              <w:adjustRightInd w:val="0"/>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大写：</w:t>
            </w:r>
            <w:r>
              <w:rPr>
                <w:rFonts w:hint="eastAsia" w:ascii="宋体" w:hAnsi="宋体" w:eastAsia="宋体" w:cs="宋体"/>
                <w:b w:val="0"/>
                <w:i w:val="0"/>
                <w:caps w:val="0"/>
                <w:color w:val="auto"/>
                <w:spacing w:val="0"/>
                <w:w w:val="100"/>
                <w:sz w:val="24"/>
                <w:szCs w:val="24"/>
                <w:highlight w:val="none"/>
                <w:lang w:val="en-US" w:eastAsia="zh-CN"/>
              </w:rPr>
              <w:t>壹佰肆拾伍万元整</w:t>
            </w:r>
            <w:r>
              <w:rPr>
                <w:rFonts w:hint="eastAsia" w:ascii="宋体" w:hAnsi="宋体" w:eastAsia="宋体" w:cs="宋体"/>
                <w:b w:val="0"/>
                <w:i w:val="0"/>
                <w:caps w:val="0"/>
                <w:color w:val="auto"/>
                <w:spacing w:val="0"/>
                <w:w w:val="100"/>
                <w:sz w:val="24"/>
                <w:szCs w:val="24"/>
                <w:highlight w:val="none"/>
                <w:lang w:eastAsia="zh-CN"/>
              </w:rPr>
              <w:t>；</w:t>
            </w:r>
          </w:p>
        </w:tc>
      </w:tr>
      <w:tr w14:paraId="3FED7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Align w:val="center"/>
          </w:tcPr>
          <w:p w14:paraId="791B7FA9">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i w:val="0"/>
                <w:caps w:val="0"/>
                <w:color w:val="auto"/>
                <w:spacing w:val="0"/>
                <w:w w:val="100"/>
                <w:sz w:val="20"/>
                <w:szCs w:val="24"/>
                <w:highlight w:val="none"/>
              </w:rPr>
            </w:pPr>
            <w:r>
              <w:rPr>
                <w:rFonts w:hint="eastAsia" w:asciiTheme="minorEastAsia" w:hAnsiTheme="minorEastAsia" w:eastAsiaTheme="minorEastAsia" w:cstheme="minorEastAsia"/>
                <w:b/>
                <w:color w:val="auto"/>
                <w:szCs w:val="24"/>
                <w:highlight w:val="none"/>
              </w:rPr>
              <w:t>序号</w:t>
            </w:r>
          </w:p>
        </w:tc>
        <w:tc>
          <w:tcPr>
            <w:tcW w:w="1845" w:type="dxa"/>
            <w:vAlign w:val="center"/>
          </w:tcPr>
          <w:p w14:paraId="0B3CF427">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i w:val="0"/>
                <w:caps w:val="0"/>
                <w:color w:val="auto"/>
                <w:spacing w:val="0"/>
                <w:w w:val="100"/>
                <w:sz w:val="20"/>
                <w:szCs w:val="24"/>
                <w:highlight w:val="none"/>
              </w:rPr>
            </w:pPr>
            <w:r>
              <w:rPr>
                <w:rFonts w:hint="eastAsia" w:asciiTheme="minorEastAsia" w:hAnsiTheme="minorEastAsia" w:eastAsiaTheme="minorEastAsia" w:cstheme="minorEastAsia"/>
                <w:b/>
                <w:color w:val="auto"/>
                <w:szCs w:val="24"/>
                <w:highlight w:val="none"/>
              </w:rPr>
              <w:t>条款内容</w:t>
            </w:r>
          </w:p>
        </w:tc>
        <w:tc>
          <w:tcPr>
            <w:tcW w:w="6163" w:type="dxa"/>
            <w:vAlign w:val="center"/>
          </w:tcPr>
          <w:p w14:paraId="32E8ADE3">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i w:val="0"/>
                <w:caps w:val="0"/>
                <w:color w:val="auto"/>
                <w:spacing w:val="0"/>
                <w:w w:val="100"/>
                <w:sz w:val="20"/>
                <w:szCs w:val="24"/>
                <w:highlight w:val="none"/>
              </w:rPr>
            </w:pPr>
            <w:r>
              <w:rPr>
                <w:rFonts w:hint="eastAsia" w:asciiTheme="minorEastAsia" w:hAnsiTheme="minorEastAsia" w:eastAsiaTheme="minorEastAsia" w:cstheme="minorEastAsia"/>
                <w:b/>
                <w:color w:val="auto"/>
                <w:szCs w:val="24"/>
                <w:highlight w:val="none"/>
              </w:rPr>
              <w:t>编列内容</w:t>
            </w:r>
          </w:p>
        </w:tc>
      </w:tr>
      <w:tr w14:paraId="0FC5F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Align w:val="center"/>
          </w:tcPr>
          <w:p w14:paraId="314A98EB">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heme="minorEastAsia" w:hAnsiTheme="minorEastAsia" w:eastAsiaTheme="minorEastAsia" w:cstheme="minorEastAsia"/>
                <w:color w:val="auto"/>
                <w:szCs w:val="24"/>
                <w:highlight w:val="none"/>
              </w:rPr>
              <w:t>1</w:t>
            </w:r>
          </w:p>
        </w:tc>
        <w:tc>
          <w:tcPr>
            <w:tcW w:w="1845" w:type="dxa"/>
            <w:vAlign w:val="center"/>
          </w:tcPr>
          <w:p w14:paraId="54FAABD0">
            <w:pPr>
              <w:keepNext w:val="0"/>
              <w:keepLines w:val="0"/>
              <w:pageBreakBefore w:val="0"/>
              <w:widowControl/>
              <w:kinsoku/>
              <w:wordWrap/>
              <w:overflowPunct/>
              <w:topLinePunct w:val="0"/>
              <w:bidi w:val="0"/>
              <w:adjustRightInd w:val="0"/>
              <w:snapToGrid w:val="0"/>
              <w:ind w:firstLine="0" w:firstLineChars="0"/>
              <w:jc w:val="center"/>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分值构成</w:t>
            </w:r>
          </w:p>
          <w:p w14:paraId="0478105B">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lang w:val="en-US" w:eastAsia="zh-CN"/>
              </w:rPr>
            </w:pPr>
            <w:r>
              <w:rPr>
                <w:rFonts w:hint="eastAsia" w:asciiTheme="minorEastAsia" w:hAnsiTheme="minorEastAsia" w:eastAsiaTheme="minorEastAsia" w:cstheme="minorEastAsia"/>
                <w:color w:val="auto"/>
                <w:szCs w:val="24"/>
                <w:highlight w:val="none"/>
              </w:rPr>
              <w:t>（总分100分）</w:t>
            </w:r>
          </w:p>
        </w:tc>
        <w:tc>
          <w:tcPr>
            <w:tcW w:w="6163" w:type="dxa"/>
            <w:vAlign w:val="center"/>
          </w:tcPr>
          <w:p w14:paraId="57936820">
            <w:pPr>
              <w:keepNext w:val="0"/>
              <w:keepLines w:val="0"/>
              <w:pageBreakBefore w:val="0"/>
              <w:widowControl/>
              <w:kinsoku/>
              <w:wordWrap/>
              <w:overflowPunct/>
              <w:topLinePunct w:val="0"/>
              <w:bidi w:val="0"/>
              <w:adjustRightInd w:val="0"/>
              <w:snapToGrid w:val="0"/>
              <w:ind w:firstLine="0" w:firstLineChars="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投标报价：</w:t>
            </w:r>
            <w:r>
              <w:rPr>
                <w:rFonts w:hint="eastAsia" w:asciiTheme="minorEastAsia" w:hAnsiTheme="minorEastAsia" w:eastAsiaTheme="minorEastAsia" w:cstheme="minorEastAsia"/>
                <w:color w:val="auto"/>
                <w:szCs w:val="24"/>
                <w:highlight w:val="none"/>
                <w:lang w:val="en-US" w:eastAsia="zh-CN"/>
              </w:rPr>
              <w:t>1</w:t>
            </w:r>
            <w:r>
              <w:rPr>
                <w:rFonts w:hint="eastAsia" w:asciiTheme="minorEastAsia" w:hAnsiTheme="minorEastAsia" w:eastAsiaTheme="minorEastAsia" w:cstheme="minorEastAsia"/>
                <w:color w:val="auto"/>
                <w:szCs w:val="24"/>
                <w:highlight w:val="none"/>
              </w:rPr>
              <w:t>0分</w:t>
            </w:r>
          </w:p>
          <w:p w14:paraId="335F579B">
            <w:pPr>
              <w:keepNext w:val="0"/>
              <w:keepLines w:val="0"/>
              <w:pageBreakBefore w:val="0"/>
              <w:widowControl/>
              <w:kinsoku/>
              <w:wordWrap/>
              <w:overflowPunct/>
              <w:topLinePunct w:val="0"/>
              <w:bidi w:val="0"/>
              <w:adjustRightInd w:val="0"/>
              <w:snapToGrid w:val="0"/>
              <w:ind w:firstLine="0" w:firstLineChars="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施工组织设计：</w:t>
            </w:r>
            <w:r>
              <w:rPr>
                <w:rFonts w:hint="eastAsia" w:asciiTheme="minorEastAsia" w:hAnsiTheme="minorEastAsia" w:eastAsiaTheme="minorEastAsia" w:cstheme="minorEastAsia"/>
                <w:color w:val="auto"/>
                <w:szCs w:val="24"/>
                <w:highlight w:val="none"/>
                <w:lang w:val="en-US" w:eastAsia="zh-CN"/>
              </w:rPr>
              <w:t>65</w:t>
            </w:r>
            <w:r>
              <w:rPr>
                <w:rFonts w:hint="eastAsia" w:asciiTheme="minorEastAsia" w:hAnsiTheme="minorEastAsia" w:eastAsiaTheme="minorEastAsia" w:cstheme="minorEastAsia"/>
                <w:color w:val="auto"/>
                <w:szCs w:val="24"/>
                <w:highlight w:val="none"/>
              </w:rPr>
              <w:t>分</w:t>
            </w:r>
          </w:p>
          <w:p w14:paraId="11A41D16">
            <w:pPr>
              <w:keepNext w:val="0"/>
              <w:keepLines w:val="0"/>
              <w:pageBreakBefore w:val="0"/>
              <w:widowControl/>
              <w:kinsoku/>
              <w:wordWrap/>
              <w:overflowPunct/>
              <w:topLinePunct w:val="0"/>
              <w:bidi w:val="0"/>
              <w:adjustRightInd w:val="0"/>
              <w:snapToGrid w:val="0"/>
              <w:ind w:firstLine="0" w:firstLineChars="0"/>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项目</w:t>
            </w:r>
            <w:r>
              <w:rPr>
                <w:rFonts w:hint="eastAsia" w:asciiTheme="minorEastAsia" w:hAnsiTheme="minorEastAsia" w:eastAsiaTheme="minorEastAsia" w:cstheme="minorEastAsia"/>
                <w:color w:val="auto"/>
                <w:szCs w:val="24"/>
                <w:highlight w:val="none"/>
                <w:lang w:eastAsia="zh-CN"/>
              </w:rPr>
              <w:t>班子成员</w:t>
            </w:r>
            <w:r>
              <w:rPr>
                <w:rFonts w:hint="eastAsia" w:asciiTheme="minorEastAsia" w:hAnsiTheme="minorEastAsia" w:eastAsiaTheme="minorEastAsia" w:cstheme="minorEastAsia"/>
                <w:color w:val="auto"/>
                <w:szCs w:val="24"/>
                <w:highlight w:val="none"/>
              </w:rPr>
              <w:t>：</w:t>
            </w:r>
            <w:r>
              <w:rPr>
                <w:rFonts w:hint="eastAsia" w:asciiTheme="minorEastAsia" w:hAnsiTheme="minorEastAsia" w:eastAsiaTheme="minorEastAsia" w:cstheme="minorEastAsia"/>
                <w:color w:val="auto"/>
                <w:szCs w:val="24"/>
                <w:highlight w:val="none"/>
                <w:lang w:val="en-US" w:eastAsia="zh-CN"/>
              </w:rPr>
              <w:t>5</w:t>
            </w:r>
            <w:r>
              <w:rPr>
                <w:rFonts w:hint="eastAsia" w:asciiTheme="minorEastAsia" w:hAnsiTheme="minorEastAsia" w:eastAsiaTheme="minorEastAsia" w:cstheme="minorEastAsia"/>
                <w:color w:val="auto"/>
                <w:szCs w:val="24"/>
                <w:highlight w:val="none"/>
              </w:rPr>
              <w:t>分</w:t>
            </w:r>
          </w:p>
          <w:p w14:paraId="5671B34C">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lang w:val="en-US" w:eastAsia="zh-CN"/>
              </w:rPr>
            </w:pPr>
            <w:r>
              <w:rPr>
                <w:rFonts w:hint="eastAsia" w:asciiTheme="minorEastAsia" w:hAnsiTheme="minorEastAsia" w:eastAsiaTheme="minorEastAsia" w:cstheme="minorEastAsia"/>
                <w:color w:val="auto"/>
                <w:szCs w:val="24"/>
                <w:highlight w:val="none"/>
              </w:rPr>
              <w:t>其他评分因素：</w:t>
            </w:r>
            <w:r>
              <w:rPr>
                <w:rFonts w:hint="eastAsia" w:asciiTheme="minorEastAsia" w:hAnsiTheme="minorEastAsia" w:eastAsiaTheme="minorEastAsia" w:cstheme="minorEastAsia"/>
                <w:color w:val="auto"/>
                <w:szCs w:val="24"/>
                <w:highlight w:val="none"/>
                <w:lang w:val="en-US" w:eastAsia="zh-CN"/>
              </w:rPr>
              <w:t>20</w:t>
            </w:r>
            <w:r>
              <w:rPr>
                <w:rFonts w:hint="eastAsia" w:asciiTheme="minorEastAsia" w:hAnsiTheme="minorEastAsia" w:eastAsiaTheme="minorEastAsia" w:cstheme="minorEastAsia"/>
                <w:color w:val="auto"/>
                <w:szCs w:val="24"/>
                <w:highlight w:val="none"/>
              </w:rPr>
              <w:t>分</w:t>
            </w:r>
          </w:p>
        </w:tc>
      </w:tr>
      <w:tr w14:paraId="746E8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Align w:val="center"/>
          </w:tcPr>
          <w:p w14:paraId="240D9601">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heme="minorEastAsia" w:hAnsiTheme="minorEastAsia" w:eastAsiaTheme="minorEastAsia" w:cstheme="minorEastAsia"/>
                <w:color w:val="auto"/>
                <w:szCs w:val="24"/>
                <w:highlight w:val="none"/>
              </w:rPr>
              <w:t>2</w:t>
            </w:r>
          </w:p>
        </w:tc>
        <w:tc>
          <w:tcPr>
            <w:tcW w:w="1845" w:type="dxa"/>
            <w:vAlign w:val="center"/>
          </w:tcPr>
          <w:p w14:paraId="7CA48A38">
            <w:pPr>
              <w:keepNext w:val="0"/>
              <w:keepLines w:val="0"/>
              <w:pageBreakBefore w:val="0"/>
              <w:widowControl/>
              <w:kinsoku/>
              <w:wordWrap/>
              <w:overflowPunct/>
              <w:topLinePunct w:val="0"/>
              <w:bidi w:val="0"/>
              <w:adjustRightInd w:val="0"/>
              <w:snapToGrid w:val="0"/>
              <w:ind w:firstLine="0" w:firstLineChars="0"/>
              <w:jc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eastAsia="zh-CN"/>
              </w:rPr>
              <w:t>投标报价</w:t>
            </w:r>
          </w:p>
          <w:p w14:paraId="19251031">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lang w:eastAsia="zh-CN"/>
              </w:rPr>
              <w:t>分)</w:t>
            </w:r>
          </w:p>
        </w:tc>
        <w:tc>
          <w:tcPr>
            <w:tcW w:w="6163" w:type="dxa"/>
            <w:vAlign w:val="center"/>
          </w:tcPr>
          <w:p w14:paraId="7CE258C1">
            <w:pPr>
              <w:keepNext w:val="0"/>
              <w:keepLines w:val="0"/>
              <w:pageBreakBefore w:val="0"/>
              <w:widowControl/>
              <w:kinsoku/>
              <w:wordWrap/>
              <w:overflowPunct/>
              <w:topLinePunct w:val="0"/>
              <w:autoSpaceDE w:val="0"/>
              <w:autoSpaceDN w:val="0"/>
              <w:bidi w:val="0"/>
              <w:adjustRightInd w:val="0"/>
              <w:snapToGrid w:val="0"/>
              <w:spacing w:line="360" w:lineRule="auto"/>
              <w:ind w:firstLine="0" w:firstLineChars="0"/>
              <w:rPr>
                <w:rFonts w:hint="eastAsia" w:asciiTheme="minorEastAsia" w:hAnsiTheme="minorEastAsia" w:eastAsiaTheme="minorEastAsia" w:cstheme="minorEastAsia"/>
                <w:color w:val="auto"/>
                <w:kern w:val="0"/>
                <w:sz w:val="24"/>
                <w:highlight w:val="none"/>
                <w:lang w:val="zh-CN"/>
              </w:rPr>
            </w:pPr>
            <w:r>
              <w:rPr>
                <w:rFonts w:hint="eastAsia" w:asciiTheme="minorEastAsia" w:hAnsiTheme="minorEastAsia" w:eastAsiaTheme="minorEastAsia" w:cstheme="minorEastAsia"/>
                <w:color w:val="auto"/>
                <w:kern w:val="0"/>
                <w:sz w:val="24"/>
                <w:highlight w:val="none"/>
                <w:lang w:val="zh-CN"/>
              </w:rPr>
              <w:t>在所有的有效报价中，以最低投标报价为基准价，其价格分为满分。其他投标供应商报价分统一按下列公式计算得分：</w:t>
            </w:r>
          </w:p>
          <w:p w14:paraId="78EF3572">
            <w:pPr>
              <w:keepNext w:val="0"/>
              <w:keepLines w:val="0"/>
              <w:pageBreakBefore w:val="0"/>
              <w:widowControl/>
              <w:kinsoku/>
              <w:wordWrap/>
              <w:overflowPunct/>
              <w:topLinePunct w:val="0"/>
              <w:autoSpaceDE w:val="0"/>
              <w:autoSpaceDN w:val="0"/>
              <w:bidi w:val="0"/>
              <w:adjustRightInd w:val="0"/>
              <w:snapToGrid w:val="0"/>
              <w:spacing w:line="360" w:lineRule="auto"/>
              <w:ind w:firstLine="0" w:firstLineChars="0"/>
              <w:rPr>
                <w:rFonts w:hint="eastAsia" w:asciiTheme="minorEastAsia" w:hAnsiTheme="minorEastAsia" w:eastAsiaTheme="minorEastAsia" w:cstheme="minorEastAsia"/>
                <w:color w:val="auto"/>
                <w:kern w:val="0"/>
                <w:sz w:val="24"/>
                <w:highlight w:val="none"/>
                <w:lang w:val="zh-CN" w:eastAsia="zh-CN"/>
              </w:rPr>
            </w:pPr>
            <w:r>
              <w:rPr>
                <w:rFonts w:hint="eastAsia" w:asciiTheme="minorEastAsia" w:hAnsiTheme="minorEastAsia" w:eastAsiaTheme="minorEastAsia" w:cstheme="minorEastAsia"/>
                <w:color w:val="auto"/>
                <w:kern w:val="0"/>
                <w:sz w:val="24"/>
                <w:highlight w:val="none"/>
                <w:lang w:val="zh-CN"/>
              </w:rPr>
              <w:t>投标报价得分=(评标基准价／投标报价)×价格权值（</w:t>
            </w:r>
            <w:r>
              <w:rPr>
                <w:rFonts w:hint="eastAsia" w:asciiTheme="minorEastAsia" w:hAnsiTheme="minorEastAsia" w:eastAsiaTheme="minorEastAsia" w:cstheme="minorEastAsia"/>
                <w:color w:val="auto"/>
                <w:kern w:val="0"/>
                <w:sz w:val="24"/>
                <w:highlight w:val="none"/>
                <w:lang w:val="en-US" w:eastAsia="zh-CN"/>
              </w:rPr>
              <w:t>1</w:t>
            </w:r>
            <w:r>
              <w:rPr>
                <w:rFonts w:hint="eastAsia" w:asciiTheme="minorEastAsia" w:hAnsiTheme="minorEastAsia" w:eastAsiaTheme="minorEastAsia" w:cstheme="minorEastAsia"/>
                <w:color w:val="auto"/>
                <w:kern w:val="0"/>
                <w:sz w:val="24"/>
                <w:highlight w:val="none"/>
                <w:lang w:val="zh-CN"/>
              </w:rPr>
              <w:t>0%）×100（四舍五入后保留小数点后两位）</w:t>
            </w:r>
          </w:p>
          <w:p w14:paraId="6D6A0533">
            <w:pPr>
              <w:keepNext w:val="0"/>
              <w:keepLines w:val="0"/>
              <w:pageBreakBefore w:val="0"/>
              <w:widowControl/>
              <w:kinsoku/>
              <w:wordWrap/>
              <w:overflowPunct/>
              <w:topLinePunct w:val="0"/>
              <w:autoSpaceDE w:val="0"/>
              <w:autoSpaceDN w:val="0"/>
              <w:bidi w:val="0"/>
              <w:adjustRightInd w:val="0"/>
              <w:snapToGrid w:val="0"/>
              <w:spacing w:line="360" w:lineRule="auto"/>
              <w:ind w:firstLine="0" w:firstLineChars="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注：</w:t>
            </w:r>
            <w:r>
              <w:rPr>
                <w:rFonts w:hint="eastAsia" w:asciiTheme="minorEastAsia" w:hAnsiTheme="minorEastAsia" w:eastAsiaTheme="minorEastAsia" w:cstheme="minorEastAsia"/>
                <w:color w:val="auto"/>
                <w:kern w:val="0"/>
                <w:sz w:val="24"/>
                <w:highlight w:val="none"/>
                <w:lang w:val="zh-CN"/>
              </w:rPr>
              <w:t>1、根据《政府采购促进中小企业发展管理办法》的相关规定</w:t>
            </w:r>
            <w:r>
              <w:rPr>
                <w:rFonts w:hint="eastAsia" w:asciiTheme="minorEastAsia" w:hAnsiTheme="minorEastAsia" w:eastAsiaTheme="minorEastAsia" w:cstheme="minorEastAsia"/>
                <w:color w:val="auto"/>
                <w:kern w:val="0"/>
                <w:sz w:val="24"/>
                <w:highlight w:val="none"/>
              </w:rPr>
              <w:t>对小型和微型企业产品的价格给予</w:t>
            </w:r>
            <w:r>
              <w:rPr>
                <w:rFonts w:hint="eastAsia" w:asciiTheme="minorEastAsia" w:hAnsiTheme="minorEastAsia" w:eastAsiaTheme="minorEastAsia" w:cstheme="minorEastAsia"/>
                <w:color w:val="auto"/>
                <w:kern w:val="0"/>
                <w:sz w:val="24"/>
                <w:highlight w:val="none"/>
                <w:lang w:val="en-US" w:eastAsia="zh-CN"/>
              </w:rPr>
              <w:t>3</w:t>
            </w:r>
            <w:r>
              <w:rPr>
                <w:rFonts w:hint="eastAsia" w:asciiTheme="minorEastAsia" w:hAnsiTheme="minorEastAsia" w:eastAsiaTheme="minorEastAsia" w:cstheme="minorEastAsia"/>
                <w:color w:val="auto"/>
                <w:kern w:val="0"/>
                <w:sz w:val="24"/>
                <w:highlight w:val="none"/>
              </w:rPr>
              <w:t>％的扣除，用扣除后的价格参与评审；</w:t>
            </w:r>
          </w:p>
          <w:p w14:paraId="3D4790F4">
            <w:pPr>
              <w:keepNext w:val="0"/>
              <w:keepLines w:val="0"/>
              <w:pageBreakBefore w:val="0"/>
              <w:widowControl/>
              <w:kinsoku/>
              <w:wordWrap/>
              <w:overflowPunct/>
              <w:topLinePunct w:val="0"/>
              <w:autoSpaceDE w:val="0"/>
              <w:autoSpaceDN w:val="0"/>
              <w:bidi w:val="0"/>
              <w:adjustRightInd w:val="0"/>
              <w:snapToGrid w:val="0"/>
              <w:spacing w:line="360" w:lineRule="auto"/>
              <w:ind w:firstLine="0" w:firstLineChars="0"/>
              <w:rPr>
                <w:rFonts w:hint="eastAsia" w:asciiTheme="minorEastAsia" w:hAnsiTheme="minorEastAsia" w:eastAsiaTheme="minorEastAsia" w:cstheme="minorEastAsia"/>
                <w:color w:val="auto"/>
                <w:kern w:val="0"/>
                <w:sz w:val="24"/>
                <w:highlight w:val="none"/>
              </w:rPr>
            </w:pPr>
            <w:r>
              <w:rPr>
                <w:rFonts w:hint="eastAsia" w:asciiTheme="minorEastAsia" w:hAnsiTheme="minorEastAsia" w:eastAsiaTheme="minorEastAsia" w:cstheme="minorEastAsia"/>
                <w:color w:val="auto"/>
                <w:kern w:val="0"/>
                <w:sz w:val="24"/>
                <w:highlight w:val="none"/>
              </w:rPr>
              <w:t>2、残疾人福利性单位属于小型、微型企业的，不重复享受政策。</w:t>
            </w:r>
          </w:p>
          <w:p w14:paraId="73A22287">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r>
              <w:rPr>
                <w:rFonts w:hint="eastAsia" w:asciiTheme="minorEastAsia" w:hAnsiTheme="minorEastAsia" w:eastAsiaTheme="minorEastAsia" w:cstheme="minorEastAsia"/>
                <w:color w:val="auto"/>
                <w:kern w:val="0"/>
                <w:sz w:val="24"/>
                <w:highlight w:val="none"/>
              </w:rPr>
              <w:t>3、根据《关于促进残疾人就业政府采购政策的通知》（财库【2017】141号），残疾人福利性单位视同小型、微型企业。</w:t>
            </w:r>
          </w:p>
        </w:tc>
      </w:tr>
      <w:tr w14:paraId="54C78E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9760" w:type="dxa"/>
            <w:gridSpan w:val="4"/>
            <w:vAlign w:val="center"/>
          </w:tcPr>
          <w:p w14:paraId="0F4F1245">
            <w:pPr>
              <w:keepNext w:val="0"/>
              <w:keepLines w:val="0"/>
              <w:pageBreakBefore w:val="0"/>
              <w:widowControl/>
              <w:kinsoku/>
              <w:wordWrap/>
              <w:overflowPunct/>
              <w:topLinePunct w:val="0"/>
              <w:bidi w:val="0"/>
              <w:adjustRightInd w:val="0"/>
              <w:snapToGrid w:val="0"/>
              <w:ind w:firstLine="0" w:firstLineChars="0"/>
              <w:jc w:val="both"/>
              <w:rPr>
                <w:rFonts w:hint="default" w:asciiTheme="minorEastAsia" w:hAnsiTheme="minorEastAsia" w:eastAsiaTheme="minorEastAsia" w:cstheme="minorEastAsia"/>
                <w:b/>
                <w:color w:val="auto"/>
                <w:szCs w:val="24"/>
                <w:highlight w:val="none"/>
                <w:lang w:val="en-US" w:eastAsia="zh-CN"/>
              </w:rPr>
            </w:pPr>
          </w:p>
        </w:tc>
      </w:tr>
      <w:tr w14:paraId="143B6C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1752" w:type="dxa"/>
            <w:gridSpan w:val="2"/>
            <w:vAlign w:val="center"/>
          </w:tcPr>
          <w:p w14:paraId="43750027">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heme="minorEastAsia" w:hAnsiTheme="minorEastAsia" w:eastAsiaTheme="minorEastAsia" w:cstheme="minorEastAsia"/>
                <w:b/>
                <w:color w:val="auto"/>
                <w:szCs w:val="24"/>
                <w:highlight w:val="none"/>
              </w:rPr>
              <w:t>序号</w:t>
            </w:r>
          </w:p>
        </w:tc>
        <w:tc>
          <w:tcPr>
            <w:tcW w:w="1845" w:type="dxa"/>
            <w:vAlign w:val="center"/>
          </w:tcPr>
          <w:p w14:paraId="69CE3901">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heme="minorEastAsia" w:hAnsiTheme="minorEastAsia" w:eastAsiaTheme="minorEastAsia" w:cstheme="minorEastAsia"/>
                <w:b/>
                <w:color w:val="auto"/>
                <w:szCs w:val="24"/>
                <w:highlight w:val="none"/>
              </w:rPr>
              <w:t>评分因素</w:t>
            </w:r>
          </w:p>
        </w:tc>
        <w:tc>
          <w:tcPr>
            <w:tcW w:w="6163" w:type="dxa"/>
            <w:vAlign w:val="center"/>
          </w:tcPr>
          <w:p w14:paraId="7228EDDD">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heme="minorEastAsia" w:hAnsiTheme="minorEastAsia" w:eastAsiaTheme="minorEastAsia" w:cstheme="minorEastAsia"/>
                <w:b/>
                <w:color w:val="auto"/>
                <w:szCs w:val="24"/>
                <w:highlight w:val="none"/>
              </w:rPr>
              <w:t>评分标准</w:t>
            </w:r>
          </w:p>
        </w:tc>
      </w:tr>
      <w:tr w14:paraId="3089A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restart"/>
            <w:vAlign w:val="center"/>
          </w:tcPr>
          <w:p w14:paraId="202F31CC">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lang w:eastAsia="zh-CN"/>
              </w:rPr>
            </w:pPr>
            <w:r>
              <w:rPr>
                <w:rFonts w:hint="eastAsia" w:asciiTheme="minorEastAsia" w:hAnsiTheme="minorEastAsia" w:eastAsiaTheme="minorEastAsia" w:cstheme="minorEastAsia"/>
                <w:color w:val="auto"/>
                <w:szCs w:val="24"/>
                <w:highlight w:val="none"/>
                <w:lang w:val="en-US" w:eastAsia="zh-CN"/>
              </w:rPr>
              <w:t>1</w:t>
            </w:r>
          </w:p>
        </w:tc>
        <w:tc>
          <w:tcPr>
            <w:tcW w:w="1014" w:type="dxa"/>
            <w:vMerge w:val="restart"/>
            <w:vAlign w:val="center"/>
          </w:tcPr>
          <w:p w14:paraId="34F2D4AA">
            <w:pPr>
              <w:keepNext w:val="0"/>
              <w:keepLines w:val="0"/>
              <w:pageBreakBefore w:val="0"/>
              <w:widowControl/>
              <w:kinsoku/>
              <w:wordWrap/>
              <w:overflowPunct/>
              <w:topLinePunct w:val="0"/>
              <w:bidi w:val="0"/>
              <w:adjustRightInd w:val="0"/>
              <w:snapToGrid w:val="0"/>
              <w:ind w:firstLine="0" w:firstLineChars="0"/>
              <w:jc w:val="center"/>
              <w:rPr>
                <w:rFonts w:hint="eastAsia" w:asciiTheme="minorEastAsia" w:hAnsiTheme="minorEastAsia" w:eastAsiaTheme="minorEastAsia" w:cstheme="minorEastAsia"/>
                <w:color w:val="auto"/>
                <w:szCs w:val="24"/>
                <w:highlight w:val="none"/>
              </w:rPr>
            </w:pPr>
            <w:r>
              <w:rPr>
                <w:rFonts w:hint="eastAsia" w:asciiTheme="minorEastAsia" w:hAnsiTheme="minorEastAsia" w:eastAsiaTheme="minorEastAsia" w:cstheme="minorEastAsia"/>
                <w:color w:val="auto"/>
                <w:szCs w:val="24"/>
                <w:highlight w:val="none"/>
              </w:rPr>
              <w:t>施工组织设计评分标准</w:t>
            </w:r>
          </w:p>
          <w:p w14:paraId="4CE83ECE">
            <w:pPr>
              <w:keepNext w:val="0"/>
              <w:keepLines w:val="0"/>
              <w:pageBreakBefore w:val="0"/>
              <w:widowControl/>
              <w:kinsoku/>
              <w:wordWrap/>
              <w:overflowPunct/>
              <w:topLinePunct w:val="0"/>
              <w:bidi w:val="0"/>
              <w:adjustRightInd w:val="0"/>
              <w:snapToGrid w:val="0"/>
              <w:ind w:firstLine="0" w:firstLineChars="0"/>
              <w:jc w:val="both"/>
              <w:rPr>
                <w:rFonts w:hint="eastAsia" w:ascii="宋体" w:hAnsi="宋体" w:eastAsia="宋体" w:cs="宋体"/>
                <w:b w:val="0"/>
                <w:i w:val="0"/>
                <w:caps w:val="0"/>
                <w:color w:val="auto"/>
                <w:spacing w:val="0"/>
                <w:w w:val="100"/>
                <w:sz w:val="20"/>
                <w:highlight w:val="none"/>
              </w:rPr>
            </w:pPr>
            <w:r>
              <w:rPr>
                <w:rFonts w:hint="eastAsia" w:asciiTheme="minorEastAsia" w:hAnsiTheme="minorEastAsia" w:eastAsiaTheme="minorEastAsia" w:cstheme="minorEastAsia"/>
                <w:color w:val="auto"/>
                <w:szCs w:val="24"/>
                <w:highlight w:val="none"/>
                <w:lang w:val="en-US" w:eastAsia="zh-CN"/>
              </w:rPr>
              <w:t>（65</w:t>
            </w:r>
            <w:r>
              <w:rPr>
                <w:rFonts w:hint="eastAsia" w:asciiTheme="minorEastAsia" w:hAnsiTheme="minorEastAsia" w:eastAsiaTheme="minorEastAsia" w:cstheme="minorEastAsia"/>
                <w:color w:val="auto"/>
                <w:szCs w:val="24"/>
                <w:highlight w:val="none"/>
              </w:rPr>
              <w:t>分）</w:t>
            </w:r>
          </w:p>
        </w:tc>
        <w:tc>
          <w:tcPr>
            <w:tcW w:w="1845" w:type="dxa"/>
            <w:vAlign w:val="center"/>
          </w:tcPr>
          <w:p w14:paraId="07D31268">
            <w:pPr>
              <w:keepNext w:val="0"/>
              <w:keepLines w:val="0"/>
              <w:pageBreakBefore w:val="0"/>
              <w:widowControl/>
              <w:kinsoku/>
              <w:wordWrap/>
              <w:overflowPunct/>
              <w:topLinePunct w:val="0"/>
              <w:bidi w:val="0"/>
              <w:adjustRightInd w:val="0"/>
              <w:snapToGrid w:val="0"/>
              <w:ind w:firstLine="0" w:firstLineChars="0"/>
              <w:jc w:val="center"/>
              <w:rPr>
                <w:rFonts w:hint="eastAsia"/>
                <w:color w:val="auto"/>
                <w:highlight w:val="none"/>
              </w:rPr>
            </w:pPr>
            <w:r>
              <w:rPr>
                <w:rFonts w:hint="eastAsia"/>
                <w:color w:val="auto"/>
                <w:highlight w:val="none"/>
              </w:rPr>
              <w:t>施工方案与技术措施</w:t>
            </w:r>
          </w:p>
          <w:p w14:paraId="57F3E3ED">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color w:val="auto"/>
                <w:highlight w:val="none"/>
                <w:lang w:eastAsia="zh-CN"/>
              </w:rPr>
              <w:t>（</w:t>
            </w:r>
            <w:r>
              <w:rPr>
                <w:rFonts w:hint="eastAsia"/>
                <w:color w:val="auto"/>
                <w:highlight w:val="none"/>
                <w:lang w:val="en-US" w:eastAsia="zh-CN"/>
              </w:rPr>
              <w:t>12分）</w:t>
            </w:r>
          </w:p>
        </w:tc>
        <w:tc>
          <w:tcPr>
            <w:tcW w:w="6163" w:type="dxa"/>
            <w:vAlign w:val="center"/>
          </w:tcPr>
          <w:p w14:paraId="5873FE90">
            <w:pPr>
              <w:autoSpaceDE w:val="0"/>
              <w:autoSpaceDN w:val="0"/>
              <w:spacing w:line="360" w:lineRule="auto"/>
              <w:ind w:firstLine="0" w:firstLineChars="0"/>
              <w:rPr>
                <w:rFonts w:ascii="宋体" w:hAnsi="宋体" w:eastAsia="宋体" w:cs="宋体"/>
                <w:color w:val="auto"/>
                <w:highlight w:val="none"/>
              </w:rPr>
            </w:pPr>
            <w:r>
              <w:rPr>
                <w:rFonts w:hint="eastAsia" w:ascii="宋体" w:hAnsi="宋体" w:eastAsia="宋体" w:cs="宋体"/>
                <w:color w:val="auto"/>
                <w:highlight w:val="none"/>
              </w:rPr>
              <w:t>供</w:t>
            </w:r>
            <w:r>
              <w:rPr>
                <w:rFonts w:ascii="宋体" w:hAnsi="宋体" w:eastAsia="宋体" w:cs="宋体"/>
                <w:color w:val="auto"/>
                <w:highlight w:val="none"/>
              </w:rPr>
              <w:t>应商根据针对本项目的难点、重点、特点作出认真仔细的分析，提出的施工组织与技术保障措施方案适合本工程实际情况。包括但不限于：①施工组织设计方案；②职责职能分工；③工程进度和管理措施；④技术措施保证。</w:t>
            </w:r>
          </w:p>
          <w:p w14:paraId="5E2A0D06">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cs="宋体"/>
                <w:color w:val="auto"/>
                <w:highlight w:val="none"/>
                <w:lang w:val="en-US" w:eastAsia="zh-CN"/>
              </w:rPr>
              <w:t>本项满分</w:t>
            </w:r>
            <w:r>
              <w:rPr>
                <w:rFonts w:ascii="宋体" w:hAnsi="宋体" w:eastAsia="宋体" w:cs="宋体"/>
                <w:color w:val="auto"/>
                <w:highlight w:val="none"/>
              </w:rPr>
              <w:t>得</w:t>
            </w:r>
            <w:r>
              <w:rPr>
                <w:rFonts w:hint="eastAsia" w:ascii="宋体" w:hAnsi="宋体" w:cs="宋体"/>
                <w:color w:val="auto"/>
                <w:highlight w:val="none"/>
                <w:lang w:val="en-US" w:eastAsia="zh-CN"/>
              </w:rPr>
              <w:t>12</w:t>
            </w:r>
            <w:r>
              <w:rPr>
                <w:rFonts w:ascii="宋体" w:hAnsi="宋体" w:eastAsia="宋体" w:cs="宋体"/>
                <w:color w:val="auto"/>
                <w:highlight w:val="none"/>
              </w:rPr>
              <w:t>分，每缺少一项内容扣</w:t>
            </w:r>
            <w:r>
              <w:rPr>
                <w:rFonts w:hint="eastAsia" w:ascii="宋体" w:hAnsi="宋体" w:cs="宋体"/>
                <w:color w:val="auto"/>
                <w:highlight w:val="none"/>
                <w:lang w:val="en-US" w:eastAsia="zh-CN"/>
              </w:rPr>
              <w:t>3</w:t>
            </w:r>
            <w:r>
              <w:rPr>
                <w:rFonts w:ascii="宋体" w:hAnsi="宋体" w:eastAsia="宋体" w:cs="宋体"/>
                <w:color w:val="auto"/>
                <w:highlight w:val="none"/>
              </w:rPr>
              <w:t>分，每有一项有内容不完整或内容前后矛盾、套用其他项目方案、不利于项目实施的扣1分，扣完为止。</w:t>
            </w:r>
          </w:p>
        </w:tc>
      </w:tr>
      <w:tr w14:paraId="474A3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799DD34F">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2E175F1B">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highlight w:val="none"/>
              </w:rPr>
            </w:pPr>
          </w:p>
        </w:tc>
        <w:tc>
          <w:tcPr>
            <w:tcW w:w="1845" w:type="dxa"/>
            <w:vAlign w:val="center"/>
          </w:tcPr>
          <w:p w14:paraId="6AF09570">
            <w:pPr>
              <w:keepNext w:val="0"/>
              <w:keepLines w:val="0"/>
              <w:pageBreakBefore w:val="0"/>
              <w:widowControl/>
              <w:kinsoku/>
              <w:wordWrap/>
              <w:overflowPunct/>
              <w:topLinePunct w:val="0"/>
              <w:bidi w:val="0"/>
              <w:adjustRightInd w:val="0"/>
              <w:snapToGrid w:val="0"/>
              <w:ind w:firstLine="0" w:firstLineChars="0"/>
              <w:jc w:val="center"/>
              <w:rPr>
                <w:rFonts w:hint="eastAsia"/>
                <w:color w:val="auto"/>
                <w:highlight w:val="none"/>
              </w:rPr>
            </w:pPr>
            <w:r>
              <w:rPr>
                <w:rFonts w:hint="eastAsia"/>
                <w:color w:val="auto"/>
                <w:highlight w:val="none"/>
              </w:rPr>
              <w:t>质量管理体系与措施</w:t>
            </w:r>
          </w:p>
          <w:p w14:paraId="79C30C93">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color w:val="auto"/>
                <w:highlight w:val="none"/>
                <w:lang w:eastAsia="zh-CN"/>
              </w:rPr>
              <w:t>（</w:t>
            </w:r>
            <w:r>
              <w:rPr>
                <w:rFonts w:hint="eastAsia"/>
                <w:color w:val="auto"/>
                <w:highlight w:val="none"/>
                <w:lang w:val="en-US" w:eastAsia="zh-CN"/>
              </w:rPr>
              <w:t>12分</w:t>
            </w:r>
            <w:r>
              <w:rPr>
                <w:rFonts w:hint="eastAsia"/>
                <w:color w:val="auto"/>
                <w:highlight w:val="none"/>
                <w:lang w:eastAsia="zh-CN"/>
              </w:rPr>
              <w:t>）</w:t>
            </w:r>
          </w:p>
        </w:tc>
        <w:tc>
          <w:tcPr>
            <w:tcW w:w="6163" w:type="dxa"/>
            <w:vAlign w:val="center"/>
          </w:tcPr>
          <w:p w14:paraId="74F7A205">
            <w:pPr>
              <w:autoSpaceDE w:val="0"/>
              <w:autoSpaceDN w:val="0"/>
              <w:spacing w:line="360" w:lineRule="auto"/>
              <w:ind w:firstLine="0" w:firstLineChars="0"/>
              <w:rPr>
                <w:color w:val="auto"/>
                <w:highlight w:val="none"/>
              </w:rPr>
            </w:pPr>
            <w:r>
              <w:rPr>
                <w:rFonts w:hint="eastAsia"/>
                <w:color w:val="auto"/>
                <w:highlight w:val="none"/>
              </w:rPr>
              <w:t>质</w:t>
            </w:r>
            <w:r>
              <w:rPr>
                <w:color w:val="auto"/>
                <w:highlight w:val="none"/>
              </w:rPr>
              <w:t>量保证措施：供应商根据针对本项目特点编制质量保证措施，工程进度、工程质量控制等。包括但不限于：①质量控制目标；②质量保证体系；③质量管理具体措施、工程；④质量保修措施。</w:t>
            </w:r>
          </w:p>
          <w:p w14:paraId="27C5DCBB">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0"/>
                <w:highlight w:val="none"/>
              </w:rPr>
            </w:pPr>
            <w:r>
              <w:rPr>
                <w:rFonts w:hint="eastAsia" w:ascii="宋体" w:hAnsi="宋体" w:cs="宋体"/>
                <w:color w:val="auto"/>
                <w:highlight w:val="none"/>
                <w:lang w:val="en-US" w:eastAsia="zh-CN"/>
              </w:rPr>
              <w:t>本项满分</w:t>
            </w:r>
            <w:r>
              <w:rPr>
                <w:color w:val="auto"/>
                <w:highlight w:val="none"/>
              </w:rPr>
              <w:t>得</w:t>
            </w:r>
            <w:r>
              <w:rPr>
                <w:rFonts w:hint="eastAsia"/>
                <w:color w:val="auto"/>
                <w:highlight w:val="none"/>
                <w:lang w:val="en-US" w:eastAsia="zh-CN"/>
              </w:rPr>
              <w:t>12</w:t>
            </w:r>
            <w:r>
              <w:rPr>
                <w:color w:val="auto"/>
                <w:highlight w:val="none"/>
              </w:rPr>
              <w:t>分，每缺少一项内容扣</w:t>
            </w:r>
            <w:r>
              <w:rPr>
                <w:rFonts w:hint="eastAsia"/>
                <w:color w:val="auto"/>
                <w:highlight w:val="none"/>
                <w:lang w:val="en-US" w:eastAsia="zh-CN"/>
              </w:rPr>
              <w:t>3</w:t>
            </w:r>
            <w:r>
              <w:rPr>
                <w:color w:val="auto"/>
                <w:highlight w:val="none"/>
              </w:rPr>
              <w:t>分，每有一项有内容不完整或内容前后矛盾、套用其他项目方案、不利于项目实施的扣1分，扣完为止。</w:t>
            </w:r>
          </w:p>
        </w:tc>
      </w:tr>
      <w:tr w14:paraId="5F930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7E894628">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7355C9FE">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845" w:type="dxa"/>
            <w:vAlign w:val="center"/>
          </w:tcPr>
          <w:p w14:paraId="4B986F2E">
            <w:pPr>
              <w:keepNext w:val="0"/>
              <w:keepLines w:val="0"/>
              <w:pageBreakBefore w:val="0"/>
              <w:widowControl/>
              <w:kinsoku/>
              <w:wordWrap/>
              <w:overflowPunct/>
              <w:topLinePunct w:val="0"/>
              <w:bidi w:val="0"/>
              <w:adjustRightInd w:val="0"/>
              <w:snapToGrid w:val="0"/>
              <w:ind w:firstLine="0" w:firstLineChars="0"/>
              <w:jc w:val="center"/>
              <w:rPr>
                <w:rFonts w:hint="eastAsia"/>
                <w:color w:val="auto"/>
                <w:highlight w:val="none"/>
              </w:rPr>
            </w:pPr>
            <w:r>
              <w:rPr>
                <w:rFonts w:hint="eastAsia"/>
                <w:color w:val="auto"/>
                <w:highlight w:val="none"/>
              </w:rPr>
              <w:t>安全管理体系及治安管理与措施</w:t>
            </w:r>
          </w:p>
          <w:p w14:paraId="02BECB7B">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color w:val="auto"/>
                <w:highlight w:val="none"/>
                <w:lang w:eastAsia="zh-CN"/>
              </w:rPr>
              <w:t>（</w:t>
            </w:r>
            <w:r>
              <w:rPr>
                <w:rFonts w:hint="eastAsia"/>
                <w:color w:val="auto"/>
                <w:highlight w:val="none"/>
                <w:lang w:val="en-US" w:eastAsia="zh-CN"/>
              </w:rPr>
              <w:t>8分</w:t>
            </w:r>
            <w:r>
              <w:rPr>
                <w:rFonts w:hint="eastAsia"/>
                <w:color w:val="auto"/>
                <w:highlight w:val="none"/>
                <w:lang w:eastAsia="zh-CN"/>
              </w:rPr>
              <w:t>）</w:t>
            </w:r>
          </w:p>
        </w:tc>
        <w:tc>
          <w:tcPr>
            <w:tcW w:w="6163" w:type="dxa"/>
            <w:vAlign w:val="center"/>
          </w:tcPr>
          <w:p w14:paraId="56D81BCF">
            <w:pPr>
              <w:autoSpaceDE w:val="0"/>
              <w:autoSpaceDN w:val="0"/>
              <w:spacing w:line="360" w:lineRule="auto"/>
              <w:ind w:firstLine="0" w:firstLineChars="0"/>
              <w:rPr>
                <w:rFonts w:hint="eastAsia"/>
                <w:color w:val="auto"/>
                <w:highlight w:val="none"/>
              </w:rPr>
            </w:pPr>
            <w:r>
              <w:rPr>
                <w:rFonts w:hint="eastAsia"/>
                <w:color w:val="auto"/>
                <w:highlight w:val="none"/>
              </w:rPr>
              <w:t>供应商根据针对本项目编制安全文明管理体系与措施及安全应急预案，如遇夏季施工、</w:t>
            </w:r>
            <w:r>
              <w:rPr>
                <w:rFonts w:hint="eastAsia"/>
                <w:color w:val="auto"/>
                <w:highlight w:val="none"/>
                <w:lang w:eastAsia="zh-CN"/>
              </w:rPr>
              <w:t>冬季</w:t>
            </w:r>
            <w:r>
              <w:rPr>
                <w:rFonts w:hint="eastAsia"/>
                <w:color w:val="auto"/>
                <w:highlight w:val="none"/>
              </w:rPr>
              <w:t>施工、应急等措施等。包括但不限于：①安全文明管理体系；②安全保证措施；③文明施工措施；④安全应急预案。</w:t>
            </w:r>
          </w:p>
          <w:p w14:paraId="42A41AA1">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cs="宋体"/>
                <w:color w:val="auto"/>
                <w:highlight w:val="none"/>
                <w:lang w:val="en-US" w:eastAsia="zh-CN"/>
              </w:rPr>
              <w:t>本项满分</w:t>
            </w:r>
            <w:r>
              <w:rPr>
                <w:rFonts w:hint="eastAsia"/>
                <w:color w:val="auto"/>
                <w:highlight w:val="none"/>
              </w:rPr>
              <w:t>得</w:t>
            </w:r>
            <w:r>
              <w:rPr>
                <w:rFonts w:hint="eastAsia"/>
                <w:color w:val="auto"/>
                <w:highlight w:val="none"/>
                <w:lang w:val="en-US" w:eastAsia="zh-CN"/>
              </w:rPr>
              <w:t>8</w:t>
            </w:r>
            <w:r>
              <w:rPr>
                <w:rFonts w:hint="eastAsia"/>
                <w:color w:val="auto"/>
                <w:highlight w:val="none"/>
              </w:rPr>
              <w:t>分，每缺少一项内容扣2分，每有一项有内容不完整或内容前后矛盾、套用其他项目方案、不利于项目实施的扣1分，扣完为止。</w:t>
            </w:r>
          </w:p>
        </w:tc>
      </w:tr>
      <w:tr w14:paraId="5FDB09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23DDC86E">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75EA8733">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845" w:type="dxa"/>
            <w:vAlign w:val="center"/>
          </w:tcPr>
          <w:p w14:paraId="58D1CD06">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imes New Roman" w:hAnsi="Times New Roman" w:eastAsia="宋体" w:cs="Times New Roman"/>
                <w:color w:val="auto"/>
                <w:highlight w:val="none"/>
              </w:rPr>
              <w:t>环境保护管理体系与措施</w:t>
            </w:r>
            <w:r>
              <w:rPr>
                <w:rFonts w:hint="eastAsia" w:ascii="Times New Roman" w:hAnsi="Times New Roman" w:eastAsia="宋体" w:cs="Times New Roman"/>
                <w:color w:val="auto"/>
                <w:highlight w:val="none"/>
                <w:lang w:val="en-US" w:eastAsia="zh-CN"/>
              </w:rPr>
              <w:t xml:space="preserve">  </w:t>
            </w:r>
            <w:r>
              <w:rPr>
                <w:rFonts w:hint="eastAsia" w:eastAsia="宋体"/>
                <w:color w:val="auto"/>
                <w:highlight w:val="none"/>
                <w:lang w:eastAsia="zh-CN"/>
              </w:rPr>
              <w:t>（</w:t>
            </w:r>
            <w:r>
              <w:rPr>
                <w:rFonts w:hint="eastAsia" w:eastAsia="宋体"/>
                <w:color w:val="auto"/>
                <w:highlight w:val="none"/>
                <w:lang w:val="en-US" w:eastAsia="zh-CN"/>
              </w:rPr>
              <w:t>8分</w:t>
            </w:r>
            <w:r>
              <w:rPr>
                <w:rFonts w:hint="eastAsia" w:eastAsia="宋体"/>
                <w:color w:val="auto"/>
                <w:highlight w:val="none"/>
                <w:lang w:eastAsia="zh-CN"/>
              </w:rPr>
              <w:t>）</w:t>
            </w:r>
          </w:p>
        </w:tc>
        <w:tc>
          <w:tcPr>
            <w:tcW w:w="6163" w:type="dxa"/>
            <w:vAlign w:val="center"/>
          </w:tcPr>
          <w:p w14:paraId="266026E2">
            <w:pPr>
              <w:autoSpaceDE w:val="0"/>
              <w:autoSpaceDN w:val="0"/>
              <w:spacing w:line="360" w:lineRule="auto"/>
              <w:ind w:firstLine="0" w:firstLineChars="0"/>
              <w:rPr>
                <w:rFonts w:hint="eastAsia" w:ascii="Times New Roman" w:hAnsi="Times New Roman" w:eastAsia="宋体" w:cs="Times New Roman"/>
                <w:color w:val="auto"/>
                <w:highlight w:val="none"/>
              </w:rPr>
            </w:pPr>
            <w:r>
              <w:rPr>
                <w:rFonts w:hint="eastAsia" w:ascii="Times New Roman" w:hAnsi="Times New Roman" w:eastAsia="宋体" w:cs="Times New Roman"/>
                <w:color w:val="auto"/>
                <w:highlight w:val="none"/>
              </w:rPr>
              <w:t>供应商根据对本项目环保和文明施工措施，如设立围挡、防尘、降噪、规避行人以及设置警示标志等。包括但不限于：①环境保护措施；②现场文明施工措施；③对处理噪音、污物等技术措施；④技术及管理措施。</w:t>
            </w:r>
          </w:p>
          <w:p w14:paraId="7C6B3D6D">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cs="宋体"/>
                <w:color w:val="auto"/>
                <w:highlight w:val="none"/>
                <w:lang w:val="en-US" w:eastAsia="zh-CN"/>
              </w:rPr>
              <w:t>本项满分</w:t>
            </w:r>
            <w:r>
              <w:rPr>
                <w:rFonts w:hint="eastAsia" w:ascii="Times New Roman" w:hAnsi="Times New Roman" w:eastAsia="宋体" w:cs="Times New Roman"/>
                <w:color w:val="auto"/>
                <w:highlight w:val="none"/>
              </w:rPr>
              <w:t>得</w:t>
            </w:r>
            <w:r>
              <w:rPr>
                <w:rFonts w:hint="eastAsia" w:ascii="Times New Roman" w:hAnsi="Times New Roman" w:eastAsia="宋体" w:cs="Times New Roman"/>
                <w:color w:val="auto"/>
                <w:highlight w:val="none"/>
                <w:lang w:val="en-US" w:eastAsia="zh-CN"/>
              </w:rPr>
              <w:t>8</w:t>
            </w:r>
            <w:r>
              <w:rPr>
                <w:rFonts w:hint="eastAsia" w:ascii="Times New Roman" w:hAnsi="Times New Roman" w:eastAsia="宋体" w:cs="Times New Roman"/>
                <w:color w:val="auto"/>
                <w:highlight w:val="none"/>
              </w:rPr>
              <w:t>分，每缺少一项内容扣2分，每有一项有内容不完整或内容前后矛盾、套用其他项目方案、不利于项目实施的扣1分，扣完为止。</w:t>
            </w:r>
          </w:p>
        </w:tc>
      </w:tr>
      <w:tr w14:paraId="30332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6977E455">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7B218469">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845" w:type="dxa"/>
            <w:vAlign w:val="center"/>
          </w:tcPr>
          <w:p w14:paraId="170E18D2">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color w:val="auto"/>
                <w:highlight w:val="none"/>
              </w:rPr>
              <w:t>工程进度计划与措施</w:t>
            </w:r>
            <w:r>
              <w:rPr>
                <w:rFonts w:hint="eastAsia"/>
                <w:color w:val="auto"/>
                <w:highlight w:val="none"/>
                <w:lang w:eastAsia="zh-CN"/>
              </w:rPr>
              <w:t>（</w:t>
            </w:r>
            <w:r>
              <w:rPr>
                <w:rFonts w:hint="eastAsia"/>
                <w:color w:val="auto"/>
                <w:highlight w:val="none"/>
                <w:lang w:val="en-US" w:eastAsia="zh-CN"/>
              </w:rPr>
              <w:t>8分）</w:t>
            </w:r>
          </w:p>
        </w:tc>
        <w:tc>
          <w:tcPr>
            <w:tcW w:w="6163" w:type="dxa"/>
            <w:vAlign w:val="center"/>
          </w:tcPr>
          <w:p w14:paraId="1751DE62">
            <w:pPr>
              <w:autoSpaceDE w:val="0"/>
              <w:autoSpaceDN w:val="0"/>
              <w:spacing w:line="360" w:lineRule="auto"/>
              <w:ind w:firstLine="0" w:firstLineChars="0"/>
              <w:rPr>
                <w:rFonts w:hint="eastAsia"/>
                <w:color w:val="auto"/>
                <w:highlight w:val="none"/>
              </w:rPr>
            </w:pPr>
            <w:r>
              <w:rPr>
                <w:rFonts w:hint="eastAsia"/>
                <w:color w:val="auto"/>
                <w:highlight w:val="none"/>
              </w:rPr>
              <w:t>供应商根据针对本项目的工期保证提供工期保证措施，如何对工期的保障进行详细描述，如遇夜间、</w:t>
            </w:r>
            <w:r>
              <w:rPr>
                <w:rFonts w:hint="eastAsia"/>
                <w:color w:val="auto"/>
                <w:highlight w:val="none"/>
                <w:lang w:eastAsia="zh-CN"/>
              </w:rPr>
              <w:t>冬季</w:t>
            </w:r>
            <w:r>
              <w:rPr>
                <w:rFonts w:hint="eastAsia"/>
                <w:color w:val="auto"/>
                <w:highlight w:val="none"/>
              </w:rPr>
              <w:t>、夏季如何施工等。包括但不限于：①计划开竣工日期与措施；②施工进度网络图；③劳动力配备；④机械设备及材料配备计划。</w:t>
            </w:r>
          </w:p>
          <w:p w14:paraId="708A4E85">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cs="宋体"/>
                <w:color w:val="auto"/>
                <w:highlight w:val="none"/>
                <w:lang w:val="en-US" w:eastAsia="zh-CN"/>
              </w:rPr>
              <w:t>本项满分</w:t>
            </w:r>
            <w:r>
              <w:rPr>
                <w:rFonts w:hint="eastAsia"/>
                <w:color w:val="auto"/>
                <w:highlight w:val="none"/>
              </w:rPr>
              <w:t>得</w:t>
            </w:r>
            <w:r>
              <w:rPr>
                <w:rFonts w:hint="eastAsia"/>
                <w:color w:val="auto"/>
                <w:highlight w:val="none"/>
                <w:lang w:val="en-US" w:eastAsia="zh-CN"/>
              </w:rPr>
              <w:t>8</w:t>
            </w:r>
            <w:r>
              <w:rPr>
                <w:rFonts w:hint="eastAsia"/>
                <w:color w:val="auto"/>
                <w:highlight w:val="none"/>
              </w:rPr>
              <w:t>分，每缺少一项内容扣2分，每有一项有内容不完整或内容前后矛盾、套用其他项目方案、不利于项目实施的扣1分，扣完为止。</w:t>
            </w:r>
          </w:p>
        </w:tc>
      </w:tr>
      <w:tr w14:paraId="533F3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3B85E9D2">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502635C8">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845" w:type="dxa"/>
            <w:vAlign w:val="center"/>
          </w:tcPr>
          <w:p w14:paraId="2769A5CE">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imes New Roman" w:hAnsi="Times New Roman" w:eastAsia="宋体" w:cs="Times New Roman"/>
                <w:color w:val="auto"/>
                <w:highlight w:val="none"/>
                <w:lang w:val="en-US" w:eastAsia="zh-CN"/>
              </w:rPr>
              <w:t>施工总平面设计</w:t>
            </w:r>
            <w:r>
              <w:rPr>
                <w:rFonts w:hint="eastAsia" w:eastAsia="宋体"/>
                <w:color w:val="auto"/>
                <w:highlight w:val="none"/>
                <w:lang w:val="en-US" w:eastAsia="zh-CN"/>
              </w:rPr>
              <w:t>（4分）</w:t>
            </w:r>
          </w:p>
        </w:tc>
        <w:tc>
          <w:tcPr>
            <w:tcW w:w="6163" w:type="dxa"/>
            <w:vAlign w:val="center"/>
          </w:tcPr>
          <w:p w14:paraId="6B7D0EE3">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r>
              <w:rPr>
                <w:rFonts w:hint="eastAsia" w:ascii="Times New Roman" w:hAnsi="Times New Roman" w:eastAsia="宋体" w:cs="Times New Roman"/>
                <w:color w:val="auto"/>
                <w:highlight w:val="none"/>
                <w:lang w:val="en-US" w:eastAsia="zh-CN"/>
              </w:rPr>
              <w:t>施工场利用符合现场实际，</w:t>
            </w:r>
            <w:r>
              <w:rPr>
                <w:rFonts w:hint="eastAsia"/>
                <w:color w:val="auto"/>
                <w:highlight w:val="none"/>
              </w:rPr>
              <w:t>①</w:t>
            </w:r>
            <w:r>
              <w:rPr>
                <w:rFonts w:hint="eastAsia" w:ascii="Times New Roman" w:hAnsi="Times New Roman" w:eastAsia="宋体" w:cs="Times New Roman"/>
                <w:color w:val="auto"/>
                <w:highlight w:val="none"/>
                <w:lang w:val="en-US" w:eastAsia="zh-CN"/>
              </w:rPr>
              <w:t>生产、生活用临时设施布置合理、紧凑，</w:t>
            </w:r>
            <w:r>
              <w:rPr>
                <w:rFonts w:hint="eastAsia"/>
                <w:color w:val="auto"/>
                <w:highlight w:val="none"/>
              </w:rPr>
              <w:t>②</w:t>
            </w:r>
            <w:r>
              <w:rPr>
                <w:rFonts w:hint="eastAsia" w:ascii="Times New Roman" w:hAnsi="Times New Roman" w:eastAsia="宋体" w:cs="Times New Roman"/>
                <w:color w:val="auto"/>
                <w:highlight w:val="none"/>
                <w:lang w:val="en-US" w:eastAsia="zh-CN"/>
              </w:rPr>
              <w:t>短运输、少搬运，</w:t>
            </w:r>
            <w:r>
              <w:rPr>
                <w:rFonts w:hint="eastAsia"/>
                <w:color w:val="auto"/>
                <w:highlight w:val="none"/>
              </w:rPr>
              <w:t>③</w:t>
            </w:r>
            <w:r>
              <w:rPr>
                <w:rFonts w:hint="eastAsia" w:ascii="Times New Roman" w:hAnsi="Times New Roman" w:eastAsia="宋体" w:cs="Times New Roman"/>
                <w:color w:val="auto"/>
                <w:highlight w:val="none"/>
                <w:lang w:val="en-US" w:eastAsia="zh-CN"/>
              </w:rPr>
              <w:t>利于生产、生活、安全、消防、环保、市容、卫生劳动保护等，</w:t>
            </w:r>
            <w:r>
              <w:rPr>
                <w:rFonts w:hint="eastAsia"/>
                <w:color w:val="auto"/>
                <w:highlight w:val="none"/>
              </w:rPr>
              <w:t>④</w:t>
            </w:r>
            <w:r>
              <w:rPr>
                <w:rFonts w:hint="eastAsia" w:ascii="Times New Roman" w:hAnsi="Times New Roman" w:eastAsia="宋体" w:cs="Times New Roman"/>
                <w:color w:val="auto"/>
                <w:highlight w:val="none"/>
                <w:lang w:val="en-US" w:eastAsia="zh-CN"/>
              </w:rPr>
              <w:t>符合安全文明工地要求。内容详细、科学、合理、切实可行，完全满足项目需求的得4分，每有一处表述不清楚、针对性不强、逻辑不清晰、有缺陷或不足之处的扣1分，扣完为止，未提供不得分。</w:t>
            </w:r>
          </w:p>
        </w:tc>
      </w:tr>
      <w:tr w14:paraId="302D3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44B2319B">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p>
        </w:tc>
        <w:tc>
          <w:tcPr>
            <w:tcW w:w="1014" w:type="dxa"/>
            <w:vMerge w:val="continue"/>
            <w:vAlign w:val="center"/>
          </w:tcPr>
          <w:p w14:paraId="5B4C37FB">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p>
        </w:tc>
        <w:tc>
          <w:tcPr>
            <w:tcW w:w="1845" w:type="dxa"/>
            <w:vAlign w:val="center"/>
          </w:tcPr>
          <w:p w14:paraId="362324E5">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4"/>
                <w:szCs w:val="24"/>
                <w:highlight w:val="none"/>
              </w:rPr>
            </w:pPr>
            <w:r>
              <w:rPr>
                <w:rFonts w:hint="eastAsia" w:ascii="Times New Roman" w:hAnsi="Times New Roman" w:eastAsia="宋体" w:cs="Times New Roman"/>
                <w:color w:val="auto"/>
                <w:highlight w:val="none"/>
                <w:lang w:val="en-US" w:eastAsia="zh-CN"/>
              </w:rPr>
              <w:t>资源配备计划</w:t>
            </w:r>
            <w:r>
              <w:rPr>
                <w:rFonts w:hint="eastAsia" w:ascii="Arial" w:hAnsi="Arial" w:eastAsia="宋体" w:cs="Arial"/>
                <w:color w:val="auto"/>
                <w:sz w:val="24"/>
                <w:szCs w:val="24"/>
                <w:highlight w:val="none"/>
                <w:lang w:val="en-US" w:eastAsia="zh-CN"/>
              </w:rPr>
              <w:t>（</w:t>
            </w:r>
            <w:r>
              <w:rPr>
                <w:rFonts w:hint="eastAsia" w:cs="Arial"/>
                <w:color w:val="auto"/>
                <w:sz w:val="24"/>
                <w:szCs w:val="24"/>
                <w:highlight w:val="none"/>
                <w:lang w:val="en-US" w:eastAsia="zh-CN"/>
              </w:rPr>
              <w:t>7</w:t>
            </w:r>
            <w:r>
              <w:rPr>
                <w:rFonts w:hint="eastAsia" w:ascii="Arial" w:hAnsi="Arial" w:eastAsia="宋体" w:cs="Arial"/>
                <w:color w:val="auto"/>
                <w:sz w:val="24"/>
                <w:szCs w:val="24"/>
                <w:highlight w:val="none"/>
                <w:lang w:val="en-US" w:eastAsia="zh-CN"/>
              </w:rPr>
              <w:t>分）</w:t>
            </w:r>
          </w:p>
        </w:tc>
        <w:tc>
          <w:tcPr>
            <w:tcW w:w="6163" w:type="dxa"/>
            <w:vAlign w:val="center"/>
          </w:tcPr>
          <w:p w14:paraId="1CFDA180">
            <w:pPr>
              <w:keepNext w:val="0"/>
              <w:keepLines w:val="0"/>
              <w:pageBreakBefore w:val="0"/>
              <w:widowControl/>
              <w:kinsoku/>
              <w:wordWrap/>
              <w:overflowPunct/>
              <w:topLinePunct w:val="0"/>
              <w:bidi w:val="0"/>
              <w:adjustRightInd w:val="0"/>
              <w:snapToGrid w:val="0"/>
              <w:ind w:firstLine="0" w:firstLineChars="0"/>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施工设备、机具配置齐全、合理，能满足施工进度和工程质量要求。资源配备完全满足本项目实际需求得</w:t>
            </w:r>
            <w:r>
              <w:rPr>
                <w:rFonts w:hint="eastAsia" w:ascii="宋体" w:hAnsi="宋体" w:cs="宋体"/>
                <w:b w:val="0"/>
                <w:i w:val="0"/>
                <w:caps w:val="0"/>
                <w:color w:val="auto"/>
                <w:spacing w:val="0"/>
                <w:w w:val="100"/>
                <w:sz w:val="24"/>
                <w:szCs w:val="24"/>
                <w:highlight w:val="none"/>
                <w:lang w:val="en-US" w:eastAsia="zh-CN"/>
              </w:rPr>
              <w:t>7</w:t>
            </w:r>
            <w:r>
              <w:rPr>
                <w:rFonts w:hint="eastAsia" w:ascii="宋体" w:hAnsi="宋体" w:eastAsia="宋体" w:cs="宋体"/>
                <w:b w:val="0"/>
                <w:i w:val="0"/>
                <w:caps w:val="0"/>
                <w:color w:val="auto"/>
                <w:spacing w:val="0"/>
                <w:w w:val="100"/>
                <w:sz w:val="24"/>
                <w:szCs w:val="24"/>
                <w:highlight w:val="none"/>
              </w:rPr>
              <w:t>分，主要机械基本满足得</w:t>
            </w:r>
            <w:r>
              <w:rPr>
                <w:rFonts w:hint="eastAsia" w:ascii="宋体" w:hAnsi="宋体" w:cs="宋体"/>
                <w:b w:val="0"/>
                <w:i w:val="0"/>
                <w:caps w:val="0"/>
                <w:color w:val="auto"/>
                <w:spacing w:val="0"/>
                <w:w w:val="100"/>
                <w:sz w:val="24"/>
                <w:szCs w:val="24"/>
                <w:highlight w:val="none"/>
                <w:lang w:val="en-US" w:eastAsia="zh-CN"/>
              </w:rPr>
              <w:t>4</w:t>
            </w:r>
            <w:r>
              <w:rPr>
                <w:rFonts w:hint="eastAsia" w:ascii="宋体" w:hAnsi="宋体" w:eastAsia="宋体" w:cs="宋体"/>
                <w:b w:val="0"/>
                <w:i w:val="0"/>
                <w:caps w:val="0"/>
                <w:color w:val="auto"/>
                <w:spacing w:val="0"/>
                <w:w w:val="100"/>
                <w:sz w:val="24"/>
                <w:szCs w:val="24"/>
                <w:highlight w:val="none"/>
              </w:rPr>
              <w:t>分，缺少必要设备的得</w:t>
            </w:r>
            <w:r>
              <w:rPr>
                <w:rFonts w:hint="eastAsia" w:ascii="宋体" w:hAnsi="宋体" w:cs="宋体"/>
                <w:b w:val="0"/>
                <w:i w:val="0"/>
                <w:caps w:val="0"/>
                <w:color w:val="auto"/>
                <w:spacing w:val="0"/>
                <w:w w:val="100"/>
                <w:sz w:val="24"/>
                <w:szCs w:val="24"/>
                <w:highlight w:val="none"/>
                <w:lang w:val="en-US" w:eastAsia="zh-CN"/>
              </w:rPr>
              <w:t>2</w:t>
            </w:r>
            <w:r>
              <w:rPr>
                <w:rFonts w:hint="eastAsia" w:ascii="宋体" w:hAnsi="宋体" w:eastAsia="宋体" w:cs="宋体"/>
                <w:b w:val="0"/>
                <w:i w:val="0"/>
                <w:caps w:val="0"/>
                <w:color w:val="auto"/>
                <w:spacing w:val="0"/>
                <w:w w:val="100"/>
                <w:sz w:val="24"/>
                <w:szCs w:val="24"/>
                <w:highlight w:val="none"/>
              </w:rPr>
              <w:t>分。未提供计划或者提供的计划与项目实际不符的均不得分。</w:t>
            </w:r>
          </w:p>
        </w:tc>
      </w:tr>
      <w:tr w14:paraId="6D2E1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2100A25F">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highlight w:val="none"/>
              </w:rPr>
            </w:pPr>
          </w:p>
        </w:tc>
        <w:tc>
          <w:tcPr>
            <w:tcW w:w="1014" w:type="dxa"/>
            <w:vMerge w:val="continue"/>
            <w:vAlign w:val="center"/>
          </w:tcPr>
          <w:p w14:paraId="6642104C">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highlight w:val="none"/>
              </w:rPr>
            </w:pPr>
          </w:p>
        </w:tc>
        <w:tc>
          <w:tcPr>
            <w:tcW w:w="1845" w:type="dxa"/>
            <w:vAlign w:val="center"/>
          </w:tcPr>
          <w:p w14:paraId="1B3E9394">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szCs w:val="24"/>
                <w:highlight w:val="none"/>
              </w:rPr>
            </w:pPr>
            <w:r>
              <w:rPr>
                <w:rFonts w:hint="eastAsia" w:ascii="Arial" w:hAnsi="Arial" w:eastAsia="宋体" w:cs="Arial"/>
                <w:color w:val="auto"/>
                <w:sz w:val="24"/>
                <w:szCs w:val="24"/>
                <w:highlight w:val="none"/>
              </w:rPr>
              <w:t>危险性较大的分部分项工程安全专项施工方案(</w:t>
            </w:r>
            <w:r>
              <w:rPr>
                <w:rFonts w:hint="eastAsia" w:cs="Arial"/>
                <w:color w:val="auto"/>
                <w:sz w:val="24"/>
                <w:szCs w:val="24"/>
                <w:highlight w:val="none"/>
                <w:lang w:val="en-US" w:eastAsia="zh-CN"/>
              </w:rPr>
              <w:t>6</w:t>
            </w:r>
            <w:r>
              <w:rPr>
                <w:rFonts w:hint="eastAsia" w:ascii="Arial" w:hAnsi="Arial" w:eastAsia="宋体" w:cs="Arial"/>
                <w:color w:val="auto"/>
                <w:sz w:val="24"/>
                <w:szCs w:val="24"/>
                <w:highlight w:val="none"/>
              </w:rPr>
              <w:t>分)</w:t>
            </w:r>
          </w:p>
        </w:tc>
        <w:tc>
          <w:tcPr>
            <w:tcW w:w="6163" w:type="dxa"/>
            <w:vAlign w:val="center"/>
          </w:tcPr>
          <w:p w14:paraId="3A07C2B9">
            <w:pPr>
              <w:keepNext w:val="0"/>
              <w:keepLines w:val="0"/>
              <w:pageBreakBefore w:val="0"/>
              <w:widowControl/>
              <w:kinsoku/>
              <w:wordWrap/>
              <w:overflowPunct/>
              <w:topLinePunct w:val="0"/>
              <w:bidi w:val="0"/>
              <w:adjustRightInd w:val="0"/>
              <w:snapToGrid w:val="0"/>
              <w:ind w:firstLine="0" w:firstLineChars="0"/>
              <w:jc w:val="both"/>
              <w:rPr>
                <w:rFonts w:hint="eastAsia" w:ascii="宋体" w:hAnsi="宋体" w:eastAsia="宋体" w:cs="宋体"/>
                <w:b/>
                <w:bCs/>
                <w:i w:val="0"/>
                <w:caps w:val="0"/>
                <w:color w:val="auto"/>
                <w:spacing w:val="0"/>
                <w:w w:val="100"/>
                <w:sz w:val="20"/>
                <w:szCs w:val="24"/>
                <w:highlight w:val="none"/>
                <w:lang w:eastAsia="zh-CN"/>
              </w:rPr>
            </w:pPr>
            <w:r>
              <w:rPr>
                <w:rFonts w:hint="eastAsia" w:ascii="Arial" w:hAnsi="Arial" w:eastAsia="宋体" w:cs="Arial"/>
                <w:color w:val="auto"/>
                <w:sz w:val="24"/>
                <w:szCs w:val="24"/>
                <w:highlight w:val="none"/>
              </w:rPr>
              <w:t>专项方案内容完整、有针对本项目、可行性强的，得</w:t>
            </w:r>
            <w:r>
              <w:rPr>
                <w:rFonts w:hint="eastAsia" w:cs="Arial"/>
                <w:color w:val="auto"/>
                <w:sz w:val="24"/>
                <w:szCs w:val="24"/>
                <w:highlight w:val="none"/>
                <w:lang w:val="en-US" w:eastAsia="zh-CN"/>
              </w:rPr>
              <w:t>6</w:t>
            </w:r>
            <w:r>
              <w:rPr>
                <w:rFonts w:hint="eastAsia" w:ascii="Arial" w:hAnsi="Arial" w:eastAsia="宋体" w:cs="Arial"/>
                <w:color w:val="auto"/>
                <w:sz w:val="24"/>
                <w:szCs w:val="24"/>
                <w:highlight w:val="none"/>
              </w:rPr>
              <w:t>分；专项方案内容的编制切实可行、基本满足本项目要求，得</w:t>
            </w:r>
            <w:r>
              <w:rPr>
                <w:rFonts w:hint="eastAsia" w:cs="Arial"/>
                <w:color w:val="auto"/>
                <w:sz w:val="24"/>
                <w:szCs w:val="24"/>
                <w:highlight w:val="none"/>
                <w:lang w:val="en-US" w:eastAsia="zh-CN"/>
              </w:rPr>
              <w:t>3</w:t>
            </w:r>
            <w:r>
              <w:rPr>
                <w:rFonts w:hint="eastAsia" w:ascii="Arial" w:hAnsi="Arial" w:eastAsia="宋体" w:cs="Arial"/>
                <w:color w:val="auto"/>
                <w:sz w:val="24"/>
                <w:szCs w:val="24"/>
                <w:highlight w:val="none"/>
              </w:rPr>
              <w:t>分；安全方案内容不满足本项目现场实际情况，有偏差的，得</w:t>
            </w:r>
            <w:r>
              <w:rPr>
                <w:rFonts w:hint="eastAsia" w:cs="Arial"/>
                <w:color w:val="auto"/>
                <w:sz w:val="24"/>
                <w:szCs w:val="24"/>
                <w:highlight w:val="none"/>
                <w:lang w:val="en-US" w:eastAsia="zh-CN"/>
              </w:rPr>
              <w:t>1</w:t>
            </w:r>
            <w:r>
              <w:rPr>
                <w:rFonts w:hint="eastAsia" w:ascii="Arial" w:hAnsi="Arial" w:eastAsia="宋体" w:cs="Arial"/>
                <w:color w:val="auto"/>
                <w:sz w:val="24"/>
                <w:szCs w:val="24"/>
                <w:highlight w:val="none"/>
              </w:rPr>
              <w:t>分。</w:t>
            </w:r>
          </w:p>
        </w:tc>
      </w:tr>
      <w:tr w14:paraId="0BE594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Align w:val="center"/>
          </w:tcPr>
          <w:p w14:paraId="6D2B089C">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szCs w:val="24"/>
                <w:highlight w:val="none"/>
                <w:lang w:val="en-US" w:eastAsia="zh-CN"/>
              </w:rPr>
            </w:pPr>
            <w:r>
              <w:rPr>
                <w:rFonts w:hint="eastAsia" w:cs="Arial"/>
                <w:color w:val="auto"/>
                <w:szCs w:val="24"/>
                <w:highlight w:val="none"/>
                <w:lang w:val="en-US" w:eastAsia="zh-CN"/>
              </w:rPr>
              <w:t>2</w:t>
            </w:r>
          </w:p>
        </w:tc>
        <w:tc>
          <w:tcPr>
            <w:tcW w:w="1014" w:type="dxa"/>
            <w:vAlign w:val="center"/>
          </w:tcPr>
          <w:p w14:paraId="51ED6BD4">
            <w:pPr>
              <w:keepNext w:val="0"/>
              <w:keepLines w:val="0"/>
              <w:pageBreakBefore w:val="0"/>
              <w:widowControl/>
              <w:kinsoku/>
              <w:wordWrap/>
              <w:overflowPunct/>
              <w:topLinePunct w:val="0"/>
              <w:bidi w:val="0"/>
              <w:adjustRightInd w:val="0"/>
              <w:snapToGrid w:val="0"/>
              <w:ind w:firstLine="0" w:firstLineChars="0"/>
              <w:jc w:val="center"/>
              <w:rPr>
                <w:rFonts w:cs="Arial"/>
                <w:color w:val="auto"/>
                <w:szCs w:val="24"/>
                <w:highlight w:val="none"/>
              </w:rPr>
            </w:pPr>
            <w:r>
              <w:rPr>
                <w:rFonts w:cs="Arial"/>
                <w:color w:val="auto"/>
                <w:szCs w:val="24"/>
                <w:highlight w:val="none"/>
              </w:rPr>
              <w:t>项目班子组成</w:t>
            </w:r>
          </w:p>
          <w:p w14:paraId="15BFD8CB">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szCs w:val="24"/>
                <w:highlight w:val="none"/>
              </w:rPr>
            </w:pPr>
            <w:r>
              <w:rPr>
                <w:rFonts w:cs="Arial"/>
                <w:color w:val="auto"/>
                <w:szCs w:val="24"/>
                <w:highlight w:val="none"/>
              </w:rPr>
              <w:t>（</w:t>
            </w:r>
            <w:r>
              <w:rPr>
                <w:rFonts w:hint="eastAsia" w:cs="Arial"/>
                <w:color w:val="auto"/>
                <w:szCs w:val="24"/>
                <w:highlight w:val="none"/>
                <w:lang w:val="en-US" w:eastAsia="zh-CN"/>
              </w:rPr>
              <w:t>5</w:t>
            </w:r>
            <w:r>
              <w:rPr>
                <w:rFonts w:cs="Arial"/>
                <w:color w:val="auto"/>
                <w:szCs w:val="24"/>
                <w:highlight w:val="none"/>
              </w:rPr>
              <w:t>分）</w:t>
            </w:r>
          </w:p>
        </w:tc>
        <w:tc>
          <w:tcPr>
            <w:tcW w:w="1845" w:type="dxa"/>
            <w:vAlign w:val="center"/>
          </w:tcPr>
          <w:p w14:paraId="6FD11780">
            <w:pPr>
              <w:keepNext w:val="0"/>
              <w:keepLines w:val="0"/>
              <w:pageBreakBefore w:val="0"/>
              <w:widowControl/>
              <w:kinsoku/>
              <w:wordWrap/>
              <w:overflowPunct/>
              <w:topLinePunct w:val="0"/>
              <w:bidi w:val="0"/>
              <w:adjustRightInd w:val="0"/>
              <w:snapToGrid w:val="0"/>
              <w:ind w:firstLine="0" w:firstLineChars="0"/>
              <w:jc w:val="center"/>
              <w:rPr>
                <w:rFonts w:cs="Arial"/>
                <w:color w:val="auto"/>
                <w:szCs w:val="24"/>
                <w:highlight w:val="none"/>
              </w:rPr>
            </w:pPr>
            <w:r>
              <w:rPr>
                <w:rFonts w:cs="Arial"/>
                <w:color w:val="auto"/>
                <w:szCs w:val="24"/>
                <w:highlight w:val="none"/>
              </w:rPr>
              <w:t>项目班子组成</w:t>
            </w:r>
          </w:p>
          <w:p w14:paraId="654F49CC">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szCs w:val="24"/>
                <w:highlight w:val="none"/>
              </w:rPr>
            </w:pPr>
            <w:r>
              <w:rPr>
                <w:rFonts w:cs="Arial"/>
                <w:color w:val="auto"/>
                <w:szCs w:val="24"/>
                <w:highlight w:val="none"/>
              </w:rPr>
              <w:t>（</w:t>
            </w:r>
            <w:r>
              <w:rPr>
                <w:rFonts w:hint="eastAsia" w:cs="Arial"/>
                <w:color w:val="auto"/>
                <w:szCs w:val="24"/>
                <w:highlight w:val="none"/>
                <w:lang w:val="en-US" w:eastAsia="zh-CN"/>
              </w:rPr>
              <w:t>5</w:t>
            </w:r>
            <w:r>
              <w:rPr>
                <w:rFonts w:cs="Arial"/>
                <w:color w:val="auto"/>
                <w:szCs w:val="24"/>
                <w:highlight w:val="none"/>
              </w:rPr>
              <w:t>分）</w:t>
            </w:r>
          </w:p>
        </w:tc>
        <w:tc>
          <w:tcPr>
            <w:tcW w:w="6163" w:type="dxa"/>
            <w:vAlign w:val="center"/>
          </w:tcPr>
          <w:p w14:paraId="40D49DEA">
            <w:pPr>
              <w:keepNext w:val="0"/>
              <w:keepLines w:val="0"/>
              <w:pageBreakBefore w:val="0"/>
              <w:widowControl/>
              <w:kinsoku/>
              <w:wordWrap/>
              <w:overflowPunct/>
              <w:topLinePunct w:val="0"/>
              <w:bidi w:val="0"/>
              <w:adjustRightInd w:val="0"/>
              <w:snapToGrid w:val="0"/>
              <w:ind w:firstLine="0" w:firstLineChars="0"/>
              <w:jc w:val="both"/>
              <w:rPr>
                <w:rFonts w:hint="default" w:asciiTheme="minorEastAsia" w:hAnsiTheme="minorEastAsia" w:eastAsiaTheme="minorEastAsia" w:cstheme="minorEastAsia"/>
                <w:b w:val="0"/>
                <w:bCs/>
                <w:color w:val="auto"/>
                <w:highlight w:val="none"/>
                <w:lang w:val="en-US" w:eastAsia="zh-CN"/>
              </w:rPr>
            </w:pPr>
            <w:r>
              <w:rPr>
                <w:rFonts w:hint="eastAsia" w:asciiTheme="minorEastAsia" w:hAnsiTheme="minorEastAsia" w:eastAsiaTheme="minorEastAsia" w:cstheme="minorEastAsia"/>
                <w:b w:val="0"/>
                <w:bCs/>
                <w:color w:val="auto"/>
                <w:highlight w:val="none"/>
                <w:lang w:val="en-US" w:eastAsia="zh-CN"/>
              </w:rPr>
              <w:t>项目管理班子成员依据《青海省市政工程施工现场主要管理人员配备办法》要求，配备施工项目部主要管理人员（附施工项目部主要管理人员配备标准）项目管理班子管理人员配备齐全的得5分，本项目每缺少一人扣一分，扣完为止；（项目管理班子成员需提供岗位资格证书）。</w:t>
            </w:r>
          </w:p>
        </w:tc>
      </w:tr>
      <w:tr w14:paraId="55516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restart"/>
            <w:vAlign w:val="center"/>
          </w:tcPr>
          <w:p w14:paraId="4D0246E8">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szCs w:val="24"/>
                <w:highlight w:val="none"/>
              </w:rPr>
            </w:pPr>
            <w:r>
              <w:rPr>
                <w:rFonts w:hint="eastAsia" w:asciiTheme="minorEastAsia" w:hAnsiTheme="minorEastAsia" w:eastAsiaTheme="minorEastAsia" w:cstheme="minorEastAsia"/>
                <w:color w:val="auto"/>
                <w:szCs w:val="24"/>
                <w:highlight w:val="none"/>
                <w:lang w:val="en-US" w:eastAsia="zh-CN"/>
              </w:rPr>
              <w:t>3</w:t>
            </w:r>
          </w:p>
        </w:tc>
        <w:tc>
          <w:tcPr>
            <w:tcW w:w="1014" w:type="dxa"/>
            <w:vMerge w:val="restart"/>
            <w:vAlign w:val="center"/>
          </w:tcPr>
          <w:p w14:paraId="1347649E">
            <w:pPr>
              <w:keepNext w:val="0"/>
              <w:keepLines w:val="0"/>
              <w:pageBreakBefore w:val="0"/>
              <w:widowControl/>
              <w:kinsoku/>
              <w:wordWrap/>
              <w:overflowPunct/>
              <w:topLinePunct w:val="0"/>
              <w:bidi w:val="0"/>
              <w:adjustRightInd w:val="0"/>
              <w:snapToGrid w:val="0"/>
              <w:ind w:firstLine="0" w:firstLineChars="0"/>
              <w:jc w:val="center"/>
              <w:rPr>
                <w:rFonts w:cs="Arial"/>
                <w:color w:val="auto"/>
                <w:szCs w:val="24"/>
                <w:highlight w:val="none"/>
              </w:rPr>
            </w:pPr>
            <w:r>
              <w:rPr>
                <w:rFonts w:cs="Arial"/>
                <w:color w:val="auto"/>
                <w:szCs w:val="24"/>
                <w:highlight w:val="none"/>
              </w:rPr>
              <w:t>其他评分因素</w:t>
            </w:r>
          </w:p>
          <w:p w14:paraId="58D05006">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szCs w:val="24"/>
                <w:highlight w:val="none"/>
              </w:rPr>
            </w:pPr>
            <w:r>
              <w:rPr>
                <w:rFonts w:cs="Arial"/>
                <w:color w:val="auto"/>
                <w:szCs w:val="24"/>
                <w:highlight w:val="none"/>
              </w:rPr>
              <w:t>（</w:t>
            </w:r>
            <w:r>
              <w:rPr>
                <w:rFonts w:hint="eastAsia" w:cs="Arial"/>
                <w:color w:val="auto"/>
                <w:szCs w:val="24"/>
                <w:highlight w:val="none"/>
                <w:lang w:val="en-US" w:eastAsia="zh-CN"/>
              </w:rPr>
              <w:t>20</w:t>
            </w:r>
            <w:r>
              <w:rPr>
                <w:rFonts w:cs="Arial"/>
                <w:color w:val="auto"/>
                <w:szCs w:val="24"/>
                <w:highlight w:val="none"/>
              </w:rPr>
              <w:t>分）</w:t>
            </w:r>
            <w:r>
              <w:rPr>
                <w:rFonts w:hint="eastAsia" w:asciiTheme="minorEastAsia" w:hAnsiTheme="minorEastAsia" w:eastAsiaTheme="minorEastAsia" w:cstheme="minorEastAsia"/>
                <w:color w:val="auto"/>
                <w:szCs w:val="24"/>
                <w:highlight w:val="none"/>
              </w:rPr>
              <w:t>）</w:t>
            </w:r>
          </w:p>
        </w:tc>
        <w:tc>
          <w:tcPr>
            <w:tcW w:w="1845" w:type="dxa"/>
            <w:vAlign w:val="center"/>
          </w:tcPr>
          <w:p w14:paraId="2A663D28">
            <w:pPr>
              <w:keepNext w:val="0"/>
              <w:keepLines w:val="0"/>
              <w:pageBreakBefore w:val="0"/>
              <w:widowControl/>
              <w:kinsoku/>
              <w:wordWrap/>
              <w:overflowPunct/>
              <w:topLinePunct w:val="0"/>
              <w:bidi w:val="0"/>
              <w:adjustRightInd w:val="0"/>
              <w:snapToGrid w:val="0"/>
              <w:ind w:firstLine="0" w:firstLineChars="0"/>
              <w:jc w:val="center"/>
              <w:rPr>
                <w:rFonts w:cs="Arial"/>
                <w:color w:val="auto"/>
                <w:szCs w:val="24"/>
                <w:highlight w:val="none"/>
              </w:rPr>
            </w:pPr>
            <w:r>
              <w:rPr>
                <w:rFonts w:cs="Arial"/>
                <w:color w:val="auto"/>
                <w:szCs w:val="24"/>
                <w:highlight w:val="none"/>
              </w:rPr>
              <w:t>企业业绩</w:t>
            </w:r>
          </w:p>
          <w:p w14:paraId="5E3874A0">
            <w:pPr>
              <w:keepNext w:val="0"/>
              <w:keepLines w:val="0"/>
              <w:pageBreakBefore w:val="0"/>
              <w:widowControl/>
              <w:kinsoku/>
              <w:wordWrap/>
              <w:overflowPunct/>
              <w:topLinePunct w:val="0"/>
              <w:bidi w:val="0"/>
              <w:adjustRightInd w:val="0"/>
              <w:snapToGrid w:val="0"/>
              <w:ind w:firstLine="0" w:firstLineChars="0"/>
              <w:jc w:val="center"/>
              <w:rPr>
                <w:rFonts w:hint="eastAsia" w:ascii="宋体" w:hAnsi="宋体" w:eastAsia="宋体" w:cs="宋体"/>
                <w:b w:val="0"/>
                <w:i w:val="0"/>
                <w:caps w:val="0"/>
                <w:color w:val="auto"/>
                <w:spacing w:val="0"/>
                <w:w w:val="100"/>
                <w:sz w:val="20"/>
                <w:szCs w:val="24"/>
                <w:highlight w:val="none"/>
              </w:rPr>
            </w:pPr>
            <w:r>
              <w:rPr>
                <w:rFonts w:cs="Arial"/>
                <w:color w:val="auto"/>
                <w:szCs w:val="24"/>
                <w:highlight w:val="none"/>
              </w:rPr>
              <w:t>（</w:t>
            </w:r>
            <w:r>
              <w:rPr>
                <w:rFonts w:hint="eastAsia" w:cs="Arial"/>
                <w:color w:val="auto"/>
                <w:szCs w:val="24"/>
                <w:highlight w:val="none"/>
                <w:lang w:val="en-US" w:eastAsia="zh-CN"/>
              </w:rPr>
              <w:t>15</w:t>
            </w:r>
            <w:r>
              <w:rPr>
                <w:rFonts w:cs="Arial"/>
                <w:color w:val="auto"/>
                <w:szCs w:val="24"/>
                <w:highlight w:val="none"/>
              </w:rPr>
              <w:t>分）</w:t>
            </w:r>
          </w:p>
        </w:tc>
        <w:tc>
          <w:tcPr>
            <w:tcW w:w="6163" w:type="dxa"/>
            <w:vAlign w:val="center"/>
          </w:tcPr>
          <w:p w14:paraId="4C78D78B">
            <w:pPr>
              <w:keepNext w:val="0"/>
              <w:keepLines w:val="0"/>
              <w:pageBreakBefore w:val="0"/>
              <w:widowControl/>
              <w:kinsoku/>
              <w:wordWrap/>
              <w:overflowPunct/>
              <w:topLinePunct w:val="0"/>
              <w:bidi w:val="0"/>
              <w:adjustRightInd w:val="0"/>
              <w:snapToGrid w:val="0"/>
              <w:ind w:firstLine="0" w:firstLineChars="0"/>
              <w:jc w:val="both"/>
              <w:rPr>
                <w:rFonts w:hint="default" w:asciiTheme="minorEastAsia" w:hAnsiTheme="minorEastAsia" w:eastAsiaTheme="minorEastAsia" w:cstheme="minorEastAsia"/>
                <w:b w:val="0"/>
                <w:bCs/>
                <w:color w:val="auto"/>
                <w:highlight w:val="none"/>
                <w:lang w:val="en-US" w:eastAsia="zh-CN"/>
              </w:rPr>
            </w:pPr>
            <w:r>
              <w:rPr>
                <w:rFonts w:hint="eastAsia" w:asciiTheme="minorEastAsia" w:hAnsiTheme="minorEastAsia" w:eastAsiaTheme="minorEastAsia" w:cstheme="minorEastAsia"/>
                <w:b w:val="0"/>
                <w:bCs/>
                <w:color w:val="auto"/>
                <w:highlight w:val="none"/>
                <w:lang w:val="en-US" w:eastAsia="zh-CN"/>
              </w:rPr>
              <w:t>磋商响应人提供近三年</w:t>
            </w:r>
            <w:r>
              <w:rPr>
                <w:rFonts w:hint="eastAsia" w:ascii="宋体" w:hAnsi="宋体" w:eastAsia="宋体" w:cs="宋体"/>
                <w:b w:val="0"/>
                <w:i w:val="0"/>
                <w:caps w:val="0"/>
                <w:color w:val="auto"/>
                <w:spacing w:val="0"/>
                <w:w w:val="100"/>
                <w:sz w:val="24"/>
                <w:szCs w:val="24"/>
                <w:highlight w:val="none"/>
                <w:lang w:val="en-US" w:eastAsia="zh-CN"/>
              </w:rPr>
              <w:t>指</w:t>
            </w:r>
            <w:r>
              <w:rPr>
                <w:rFonts w:hint="eastAsia" w:ascii="宋体" w:hAnsi="宋体" w:cs="宋体"/>
                <w:b w:val="0"/>
                <w:i w:val="0"/>
                <w:caps w:val="0"/>
                <w:color w:val="auto"/>
                <w:spacing w:val="0"/>
                <w:w w:val="100"/>
                <w:sz w:val="24"/>
                <w:szCs w:val="24"/>
                <w:highlight w:val="none"/>
                <w:lang w:val="en-US" w:eastAsia="zh-CN"/>
              </w:rPr>
              <w:t>2021年08月23日至2024年08月23日</w:t>
            </w:r>
            <w:r>
              <w:rPr>
                <w:rFonts w:hint="eastAsia" w:ascii="宋体" w:hAnsi="宋体" w:eastAsia="宋体" w:cs="宋体"/>
                <w:b w:val="0"/>
                <w:bCs w:val="0"/>
                <w:i w:val="0"/>
                <w:caps w:val="0"/>
                <w:color w:val="auto"/>
                <w:spacing w:val="0"/>
                <w:w w:val="100"/>
                <w:sz w:val="24"/>
                <w:szCs w:val="24"/>
                <w:highlight w:val="none"/>
                <w:lang w:val="en-US" w:eastAsia="zh-CN"/>
              </w:rPr>
              <w:t>类似项目业绩（以中标通知书和合同协议书为准）</w:t>
            </w:r>
            <w:r>
              <w:rPr>
                <w:rFonts w:hint="eastAsia" w:asciiTheme="minorEastAsia" w:hAnsiTheme="minorEastAsia" w:eastAsiaTheme="minorEastAsia" w:cstheme="minorEastAsia"/>
                <w:b w:val="0"/>
                <w:bCs/>
                <w:color w:val="auto"/>
                <w:highlight w:val="none"/>
                <w:lang w:val="en-US" w:eastAsia="zh-CN"/>
              </w:rPr>
              <w:t>每有一项得3分，最高得15分；</w:t>
            </w:r>
          </w:p>
        </w:tc>
      </w:tr>
      <w:tr w14:paraId="4C7730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 w:hRule="atLeast"/>
          <w:jc w:val="center"/>
        </w:trPr>
        <w:tc>
          <w:tcPr>
            <w:tcW w:w="738" w:type="dxa"/>
            <w:vMerge w:val="continue"/>
            <w:vAlign w:val="center"/>
          </w:tcPr>
          <w:p w14:paraId="10E51BF8">
            <w:pPr>
              <w:keepNext w:val="0"/>
              <w:keepLines w:val="0"/>
              <w:pageBreakBefore w:val="0"/>
              <w:widowControl/>
              <w:kinsoku/>
              <w:wordWrap/>
              <w:overflowPunct/>
              <w:topLinePunct w:val="0"/>
              <w:bidi w:val="0"/>
              <w:adjustRightInd w:val="0"/>
              <w:snapToGrid w:val="0"/>
              <w:ind w:firstLine="0" w:firstLineChars="0"/>
              <w:jc w:val="center"/>
              <w:rPr>
                <w:rFonts w:hint="eastAsia" w:asciiTheme="minorEastAsia" w:hAnsiTheme="minorEastAsia" w:eastAsiaTheme="minorEastAsia" w:cstheme="minorEastAsia"/>
                <w:color w:val="auto"/>
                <w:szCs w:val="24"/>
                <w:highlight w:val="none"/>
                <w:lang w:val="en-US" w:eastAsia="zh-CN"/>
              </w:rPr>
            </w:pPr>
          </w:p>
        </w:tc>
        <w:tc>
          <w:tcPr>
            <w:tcW w:w="1014" w:type="dxa"/>
            <w:vMerge w:val="continue"/>
            <w:vAlign w:val="center"/>
          </w:tcPr>
          <w:p w14:paraId="5E48A2C9">
            <w:pPr>
              <w:keepNext w:val="0"/>
              <w:keepLines w:val="0"/>
              <w:pageBreakBefore w:val="0"/>
              <w:widowControl/>
              <w:kinsoku/>
              <w:wordWrap/>
              <w:overflowPunct/>
              <w:topLinePunct w:val="0"/>
              <w:bidi w:val="0"/>
              <w:adjustRightInd w:val="0"/>
              <w:snapToGrid w:val="0"/>
              <w:ind w:firstLine="0" w:firstLineChars="0"/>
              <w:jc w:val="center"/>
              <w:rPr>
                <w:rFonts w:cs="Arial"/>
                <w:color w:val="auto"/>
                <w:szCs w:val="24"/>
                <w:highlight w:val="none"/>
              </w:rPr>
            </w:pPr>
          </w:p>
        </w:tc>
        <w:tc>
          <w:tcPr>
            <w:tcW w:w="1845" w:type="dxa"/>
            <w:vAlign w:val="center"/>
          </w:tcPr>
          <w:p w14:paraId="3F93F722">
            <w:pPr>
              <w:keepNext w:val="0"/>
              <w:keepLines w:val="0"/>
              <w:pageBreakBefore w:val="0"/>
              <w:widowControl/>
              <w:kinsoku/>
              <w:wordWrap/>
              <w:overflowPunct/>
              <w:topLinePunct w:val="0"/>
              <w:bidi w:val="0"/>
              <w:adjustRightInd w:val="0"/>
              <w:snapToGrid w:val="0"/>
              <w:ind w:firstLine="0" w:firstLineChars="0"/>
              <w:jc w:val="center"/>
              <w:rPr>
                <w:rFonts w:hint="eastAsia" w:eastAsia="宋体" w:cs="Arial"/>
                <w:color w:val="auto"/>
                <w:szCs w:val="24"/>
                <w:highlight w:val="none"/>
                <w:lang w:eastAsia="zh-CN"/>
              </w:rPr>
            </w:pPr>
            <w:r>
              <w:rPr>
                <w:rFonts w:hint="eastAsia" w:cs="Arial"/>
                <w:color w:val="auto"/>
                <w:szCs w:val="24"/>
                <w:highlight w:val="none"/>
                <w:lang w:eastAsia="zh-CN"/>
              </w:rPr>
              <w:t>项目经理业绩（</w:t>
            </w:r>
            <w:r>
              <w:rPr>
                <w:rFonts w:hint="eastAsia" w:cs="Arial"/>
                <w:color w:val="auto"/>
                <w:szCs w:val="24"/>
                <w:highlight w:val="none"/>
                <w:lang w:val="en-US" w:eastAsia="zh-CN"/>
              </w:rPr>
              <w:t>5分</w:t>
            </w:r>
            <w:r>
              <w:rPr>
                <w:rFonts w:hint="eastAsia" w:cs="Arial"/>
                <w:color w:val="auto"/>
                <w:szCs w:val="24"/>
                <w:highlight w:val="none"/>
                <w:lang w:eastAsia="zh-CN"/>
              </w:rPr>
              <w:t>）</w:t>
            </w:r>
          </w:p>
        </w:tc>
        <w:tc>
          <w:tcPr>
            <w:tcW w:w="6163" w:type="dxa"/>
            <w:vAlign w:val="center"/>
          </w:tcPr>
          <w:p w14:paraId="4546E5FB">
            <w:pPr>
              <w:keepNext w:val="0"/>
              <w:keepLines w:val="0"/>
              <w:pageBreakBefore w:val="0"/>
              <w:widowControl/>
              <w:kinsoku/>
              <w:wordWrap/>
              <w:overflowPunct/>
              <w:topLinePunct w:val="0"/>
              <w:bidi w:val="0"/>
              <w:adjustRightInd w:val="0"/>
              <w:snapToGrid w:val="0"/>
              <w:ind w:firstLine="0" w:firstLineChars="0"/>
              <w:jc w:val="both"/>
              <w:rPr>
                <w:rFonts w:hint="default" w:asciiTheme="minorEastAsia" w:hAnsiTheme="minorEastAsia" w:eastAsiaTheme="minorEastAsia" w:cstheme="minorEastAsia"/>
                <w:b w:val="0"/>
                <w:bCs/>
                <w:color w:val="auto"/>
                <w:highlight w:val="none"/>
                <w:lang w:val="en-US" w:eastAsia="zh-CN"/>
              </w:rPr>
            </w:pPr>
            <w:r>
              <w:rPr>
                <w:rFonts w:hint="eastAsia" w:asciiTheme="minorEastAsia" w:hAnsiTheme="minorEastAsia" w:eastAsiaTheme="minorEastAsia" w:cstheme="minorEastAsia"/>
                <w:b w:val="0"/>
                <w:bCs/>
                <w:color w:val="auto"/>
                <w:highlight w:val="none"/>
                <w:lang w:val="en-US" w:eastAsia="zh-CN"/>
              </w:rPr>
              <w:t>项目经理提供近三年</w:t>
            </w:r>
            <w:r>
              <w:rPr>
                <w:rFonts w:hint="eastAsia" w:ascii="宋体" w:hAnsi="宋体" w:eastAsia="宋体" w:cs="宋体"/>
                <w:b w:val="0"/>
                <w:i w:val="0"/>
                <w:caps w:val="0"/>
                <w:color w:val="auto"/>
                <w:spacing w:val="0"/>
                <w:w w:val="100"/>
                <w:sz w:val="24"/>
                <w:szCs w:val="24"/>
                <w:highlight w:val="none"/>
                <w:lang w:val="en-US" w:eastAsia="zh-CN"/>
              </w:rPr>
              <w:t>指</w:t>
            </w:r>
            <w:r>
              <w:rPr>
                <w:rFonts w:hint="eastAsia" w:ascii="宋体" w:hAnsi="宋体" w:cs="宋体"/>
                <w:b w:val="0"/>
                <w:i w:val="0"/>
                <w:caps w:val="0"/>
                <w:color w:val="auto"/>
                <w:spacing w:val="0"/>
                <w:w w:val="100"/>
                <w:sz w:val="24"/>
                <w:szCs w:val="24"/>
                <w:highlight w:val="none"/>
                <w:lang w:val="en-US" w:eastAsia="zh-CN"/>
              </w:rPr>
              <w:t>2021年08月23日至2024年08月23日</w:t>
            </w:r>
            <w:r>
              <w:rPr>
                <w:rFonts w:hint="eastAsia" w:ascii="宋体" w:hAnsi="宋体" w:eastAsia="宋体" w:cs="宋体"/>
                <w:b w:val="0"/>
                <w:bCs w:val="0"/>
                <w:i w:val="0"/>
                <w:caps w:val="0"/>
                <w:color w:val="auto"/>
                <w:spacing w:val="0"/>
                <w:w w:val="100"/>
                <w:sz w:val="24"/>
                <w:szCs w:val="24"/>
                <w:highlight w:val="none"/>
                <w:lang w:val="en-US" w:eastAsia="zh-CN"/>
              </w:rPr>
              <w:t>类似项目业绩（以中标通知书</w:t>
            </w:r>
            <w:r>
              <w:rPr>
                <w:rFonts w:hint="eastAsia" w:ascii="宋体" w:hAnsi="宋体" w:cs="宋体"/>
                <w:b w:val="0"/>
                <w:bCs w:val="0"/>
                <w:i w:val="0"/>
                <w:caps w:val="0"/>
                <w:color w:val="auto"/>
                <w:spacing w:val="0"/>
                <w:w w:val="100"/>
                <w:sz w:val="24"/>
                <w:szCs w:val="24"/>
                <w:highlight w:val="none"/>
                <w:lang w:val="en-US" w:eastAsia="zh-CN"/>
              </w:rPr>
              <w:t>和</w:t>
            </w:r>
            <w:r>
              <w:rPr>
                <w:rFonts w:hint="eastAsia" w:ascii="宋体" w:hAnsi="宋体" w:eastAsia="宋体" w:cs="宋体"/>
                <w:b w:val="0"/>
                <w:bCs w:val="0"/>
                <w:i w:val="0"/>
                <w:caps w:val="0"/>
                <w:color w:val="auto"/>
                <w:spacing w:val="0"/>
                <w:w w:val="100"/>
                <w:sz w:val="24"/>
                <w:szCs w:val="24"/>
                <w:highlight w:val="none"/>
                <w:lang w:val="en-US" w:eastAsia="zh-CN"/>
              </w:rPr>
              <w:t>合同协议书为准）</w:t>
            </w:r>
            <w:r>
              <w:rPr>
                <w:rFonts w:hint="eastAsia" w:asciiTheme="minorEastAsia" w:hAnsiTheme="minorEastAsia" w:eastAsiaTheme="minorEastAsia" w:cstheme="minorEastAsia"/>
                <w:b w:val="0"/>
                <w:bCs/>
                <w:color w:val="auto"/>
                <w:highlight w:val="none"/>
                <w:lang w:val="en-US" w:eastAsia="zh-CN"/>
              </w:rPr>
              <w:t>每有一项得2.5分，最高得5分；</w:t>
            </w:r>
          </w:p>
        </w:tc>
      </w:tr>
    </w:tbl>
    <w:p w14:paraId="4E4D7BF6">
      <w:pPr>
        <w:pStyle w:val="3"/>
        <w:snapToGrid w:val="0"/>
        <w:spacing w:before="260" w:beforeAutospacing="0" w:after="260" w:afterAutospacing="0" w:line="415" w:lineRule="auto"/>
        <w:jc w:val="center"/>
        <w:textAlignment w:val="baseline"/>
        <w:outlineLvl w:val="9"/>
        <w:rPr>
          <w:rFonts w:hint="eastAsia" w:ascii="宋体" w:hAnsi="宋体" w:eastAsia="宋体" w:cs="宋体"/>
          <w:b w:val="0"/>
          <w:i w:val="0"/>
          <w:caps w:val="0"/>
          <w:color w:val="auto"/>
          <w:spacing w:val="0"/>
          <w:w w:val="100"/>
          <w:sz w:val="36"/>
          <w:szCs w:val="36"/>
          <w:highlight w:val="none"/>
        </w:rPr>
      </w:pPr>
      <w:r>
        <w:rPr>
          <w:rFonts w:hint="eastAsia" w:ascii="宋体" w:hAnsi="宋体" w:eastAsia="宋体" w:cs="宋体"/>
          <w:b w:val="0"/>
          <w:i w:val="0"/>
          <w:caps w:val="0"/>
          <w:color w:val="auto"/>
          <w:spacing w:val="0"/>
          <w:w w:val="100"/>
          <w:sz w:val="36"/>
          <w:szCs w:val="36"/>
          <w:highlight w:val="none"/>
        </w:rPr>
        <w:br w:type="page"/>
      </w:r>
    </w:p>
    <w:bookmarkEnd w:id="435"/>
    <w:bookmarkEnd w:id="436"/>
    <w:p w14:paraId="1ECE8841">
      <w:pPr>
        <w:snapToGrid w:val="0"/>
        <w:spacing w:before="260" w:beforeAutospacing="0" w:after="260" w:afterAutospacing="0" w:line="415" w:lineRule="auto"/>
        <w:jc w:val="center"/>
        <w:textAlignment w:val="baseline"/>
        <w:rPr>
          <w:rFonts w:hint="eastAsia" w:ascii="宋体" w:hAnsi="宋体" w:eastAsia="宋体" w:cs="宋体"/>
          <w:b w:val="0"/>
          <w:i w:val="0"/>
          <w:caps w:val="0"/>
          <w:color w:val="auto"/>
          <w:spacing w:val="0"/>
          <w:w w:val="100"/>
          <w:sz w:val="36"/>
          <w:highlight w:val="none"/>
        </w:rPr>
      </w:pPr>
    </w:p>
    <w:p w14:paraId="2A2FC8F9">
      <w:pPr>
        <w:pStyle w:val="2"/>
        <w:keepNext/>
        <w:keepLines/>
        <w:pageBreakBefore w:val="0"/>
        <w:widowControl/>
        <w:kinsoku/>
        <w:wordWrap/>
        <w:overflowPunct/>
        <w:topLinePunct w:val="0"/>
        <w:autoSpaceDE/>
        <w:autoSpaceDN/>
        <w:bidi w:val="0"/>
        <w:adjustRightInd w:val="0"/>
        <w:snapToGrid w:val="0"/>
        <w:spacing w:before="0" w:after="0" w:line="360" w:lineRule="auto"/>
        <w:jc w:val="center"/>
        <w:textAlignment w:val="auto"/>
        <w:rPr>
          <w:rFonts w:hint="eastAsia"/>
          <w:color w:val="auto"/>
        </w:rPr>
      </w:pPr>
      <w:bookmarkStart w:id="437" w:name="_Toc25000"/>
      <w:bookmarkStart w:id="438" w:name="_Toc32584"/>
      <w:bookmarkStart w:id="439" w:name="_Toc15297"/>
      <w:bookmarkStart w:id="440" w:name="_Toc14257"/>
      <w:bookmarkStart w:id="441" w:name="_Toc11528"/>
      <w:bookmarkStart w:id="442" w:name="_Toc28847"/>
      <w:bookmarkStart w:id="443" w:name="_Toc11025"/>
      <w:r>
        <w:rPr>
          <w:rFonts w:hint="eastAsia"/>
          <w:color w:val="auto"/>
          <w:lang w:val="zh-CN"/>
        </w:rPr>
        <w:t>第四</w:t>
      </w:r>
      <w:r>
        <w:rPr>
          <w:rFonts w:hint="eastAsia"/>
          <w:color w:val="auto"/>
          <w:lang w:val="en-US" w:eastAsia="zh-CN"/>
        </w:rPr>
        <w:t>章</w:t>
      </w:r>
      <w:r>
        <w:rPr>
          <w:rFonts w:hint="eastAsia"/>
          <w:color w:val="auto"/>
        </w:rPr>
        <w:t xml:space="preserve"> </w:t>
      </w:r>
      <w:r>
        <w:rPr>
          <w:rFonts w:hint="eastAsia"/>
          <w:color w:val="auto"/>
          <w:lang w:val="zh-CN"/>
        </w:rPr>
        <w:t>合同条款及格式</w:t>
      </w:r>
      <w:bookmarkEnd w:id="437"/>
      <w:bookmarkEnd w:id="438"/>
      <w:bookmarkEnd w:id="439"/>
      <w:bookmarkEnd w:id="440"/>
      <w:bookmarkEnd w:id="441"/>
      <w:bookmarkEnd w:id="442"/>
      <w:bookmarkEnd w:id="443"/>
    </w:p>
    <w:p w14:paraId="185A2821">
      <w:pPr>
        <w:bidi w:val="0"/>
        <w:jc w:val="center"/>
        <w:rPr>
          <w:rFonts w:hint="eastAsia"/>
          <w:color w:val="auto"/>
        </w:rPr>
      </w:pPr>
      <w:bookmarkStart w:id="444" w:name="_Toc20462"/>
      <w:bookmarkStart w:id="445" w:name="_Toc21482"/>
      <w:r>
        <w:rPr>
          <w:rFonts w:hint="eastAsia"/>
          <w:color w:val="auto"/>
        </w:rPr>
        <w:t>（GF—2017—0201）</w:t>
      </w:r>
      <w:bookmarkEnd w:id="444"/>
      <w:bookmarkEnd w:id="445"/>
    </w:p>
    <w:p w14:paraId="4CC73247">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355E1105">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1F99EFE3">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75D98316">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lang w:eastAsia="zh-CN"/>
        </w:rPr>
      </w:pPr>
    </w:p>
    <w:p w14:paraId="79B60227">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lang w:eastAsia="zh-CN"/>
        </w:rPr>
      </w:pPr>
    </w:p>
    <w:p w14:paraId="482D64A7">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lang w:eastAsia="zh-CN"/>
        </w:rPr>
      </w:pPr>
    </w:p>
    <w:p w14:paraId="4FF9C3C9">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721D7430">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52"/>
          <w:szCs w:val="52"/>
          <w:highlight w:val="none"/>
          <w:lang w:eastAsia="zh-CN"/>
        </w:rPr>
      </w:pPr>
      <w:r>
        <w:rPr>
          <w:rFonts w:hint="eastAsia" w:ascii="宋体" w:hAnsi="宋体" w:eastAsia="宋体" w:cs="宋体"/>
          <w:b/>
          <w:i w:val="0"/>
          <w:caps w:val="0"/>
          <w:color w:val="auto"/>
          <w:spacing w:val="0"/>
          <w:w w:val="100"/>
          <w:sz w:val="52"/>
          <w:szCs w:val="52"/>
          <w:highlight w:val="none"/>
        </w:rPr>
        <w:t>建设工程施工合同</w:t>
      </w:r>
    </w:p>
    <w:p w14:paraId="6B5AAF48">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52"/>
          <w:szCs w:val="52"/>
          <w:highlight w:val="none"/>
        </w:rPr>
      </w:pPr>
      <w:r>
        <w:rPr>
          <w:rFonts w:hint="eastAsia" w:ascii="宋体" w:hAnsi="宋体" w:eastAsia="宋体" w:cs="宋体"/>
          <w:b/>
          <w:i w:val="0"/>
          <w:caps w:val="0"/>
          <w:color w:val="auto"/>
          <w:spacing w:val="0"/>
          <w:w w:val="100"/>
          <w:sz w:val="52"/>
          <w:szCs w:val="52"/>
          <w:highlight w:val="none"/>
        </w:rPr>
        <w:t>（示范文本）</w:t>
      </w:r>
    </w:p>
    <w:p w14:paraId="312F53AE">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772620A9">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06AB9E0A">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49E22762">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48D2D544">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p>
    <w:p w14:paraId="325C2117">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rPr>
      </w:pPr>
    </w:p>
    <w:p w14:paraId="6E395354">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rPr>
      </w:pPr>
    </w:p>
    <w:p w14:paraId="5B598BA8">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rPr>
      </w:pPr>
    </w:p>
    <w:p w14:paraId="7E5868C0">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rPr>
      </w:pPr>
    </w:p>
    <w:p w14:paraId="15AFDE51">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rPr>
      </w:pPr>
    </w:p>
    <w:p w14:paraId="4F72EADB">
      <w:pPr>
        <w:pStyle w:val="9"/>
        <w:snapToGrid w:val="0"/>
        <w:spacing w:before="0" w:beforeAutospacing="0" w:after="120" w:afterAutospacing="0" w:line="360" w:lineRule="auto"/>
        <w:jc w:val="both"/>
        <w:textAlignment w:val="baseline"/>
        <w:rPr>
          <w:rFonts w:hint="eastAsia" w:ascii="宋体" w:hAnsi="宋体" w:eastAsia="宋体" w:cs="宋体"/>
          <w:b/>
          <w:i w:val="0"/>
          <w:caps w:val="0"/>
          <w:color w:val="auto"/>
          <w:spacing w:val="0"/>
          <w:w w:val="100"/>
          <w:sz w:val="21"/>
          <w:highlight w:val="none"/>
        </w:rPr>
      </w:pPr>
    </w:p>
    <w:p w14:paraId="22C89E44">
      <w:pPr>
        <w:snapToGrid w:val="0"/>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20"/>
          <w:highlight w:val="none"/>
        </w:rPr>
      </w:pPr>
    </w:p>
    <w:p w14:paraId="3E575D89">
      <w:pPr>
        <w:snapToGrid w:val="0"/>
        <w:spacing w:before="0" w:beforeAutospacing="0" w:after="0" w:afterAutospacing="0" w:line="360" w:lineRule="auto"/>
        <w:ind w:firstLine="0" w:firstLineChars="0"/>
        <w:jc w:val="center"/>
        <w:textAlignment w:val="baseline"/>
        <w:rPr>
          <w:rFonts w:hint="eastAsia" w:ascii="宋体" w:hAnsi="宋体" w:eastAsia="宋体" w:cs="宋体"/>
          <w:b/>
          <w:bCs/>
          <w:i w:val="0"/>
          <w:caps w:val="0"/>
          <w:color w:val="auto"/>
          <w:spacing w:val="0"/>
          <w:w w:val="100"/>
          <w:sz w:val="48"/>
          <w:szCs w:val="48"/>
          <w:highlight w:val="none"/>
          <w:lang w:val="zh-CN"/>
        </w:rPr>
      </w:pPr>
    </w:p>
    <w:p w14:paraId="11DAC275">
      <w:pPr>
        <w:snapToGrid w:val="0"/>
        <w:spacing w:before="0" w:beforeAutospacing="0" w:after="0" w:afterAutospacing="0" w:line="360" w:lineRule="auto"/>
        <w:ind w:firstLine="0" w:firstLineChars="0"/>
        <w:jc w:val="center"/>
        <w:textAlignment w:val="baseline"/>
        <w:rPr>
          <w:rFonts w:hint="eastAsia" w:ascii="宋体" w:hAnsi="宋体" w:eastAsia="宋体" w:cs="宋体"/>
          <w:b/>
          <w:bCs/>
          <w:i w:val="0"/>
          <w:caps w:val="0"/>
          <w:color w:val="auto"/>
          <w:spacing w:val="0"/>
          <w:w w:val="100"/>
          <w:sz w:val="48"/>
          <w:szCs w:val="48"/>
          <w:highlight w:val="none"/>
          <w:lang w:val="zh-CN"/>
        </w:rPr>
      </w:pPr>
    </w:p>
    <w:p w14:paraId="0B6BD56E">
      <w:pPr>
        <w:snapToGrid w:val="0"/>
        <w:spacing w:before="0" w:beforeAutospacing="0" w:after="0" w:afterAutospacing="0" w:line="360" w:lineRule="auto"/>
        <w:ind w:firstLine="0" w:firstLineChars="0"/>
        <w:jc w:val="center"/>
        <w:textAlignment w:val="baseline"/>
        <w:rPr>
          <w:rFonts w:hint="eastAsia" w:ascii="宋体" w:hAnsi="宋体" w:eastAsia="宋体" w:cs="宋体"/>
          <w:b/>
          <w:bCs/>
          <w:i w:val="0"/>
          <w:caps w:val="0"/>
          <w:color w:val="auto"/>
          <w:spacing w:val="0"/>
          <w:w w:val="100"/>
          <w:sz w:val="48"/>
          <w:szCs w:val="48"/>
          <w:highlight w:val="none"/>
        </w:rPr>
      </w:pPr>
      <w:r>
        <w:rPr>
          <w:rFonts w:hint="eastAsia" w:ascii="宋体" w:hAnsi="宋体" w:eastAsia="宋体" w:cs="宋体"/>
          <w:b/>
          <w:bCs/>
          <w:i w:val="0"/>
          <w:caps w:val="0"/>
          <w:color w:val="auto"/>
          <w:spacing w:val="0"/>
          <w:w w:val="100"/>
          <w:sz w:val="48"/>
          <w:szCs w:val="48"/>
          <w:highlight w:val="none"/>
          <w:lang w:val="zh-CN"/>
        </w:rPr>
        <w:t>青海省政府采购项目合同书</w:t>
      </w:r>
    </w:p>
    <w:p w14:paraId="7EB36DA0">
      <w:pPr>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p>
    <w:p w14:paraId="68F60895">
      <w:pPr>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p>
    <w:p w14:paraId="6CEC0885">
      <w:pPr>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p>
    <w:p w14:paraId="23E9630B">
      <w:pPr>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4"/>
          <w:szCs w:val="24"/>
          <w:highlight w:val="none"/>
        </w:rPr>
      </w:pPr>
    </w:p>
    <w:p w14:paraId="494F60FB">
      <w:pPr>
        <w:snapToGrid w:val="0"/>
        <w:spacing w:before="0" w:beforeAutospacing="0" w:after="0" w:afterAutospacing="0" w:line="360" w:lineRule="auto"/>
        <w:ind w:firstLine="602" w:firstLineChars="200"/>
        <w:textAlignment w:val="baseline"/>
        <w:rPr>
          <w:rFonts w:hint="default" w:ascii="宋体" w:hAnsi="宋体" w:eastAsia="宋体" w:cs="宋体"/>
          <w:b/>
          <w:bCs/>
          <w:i w:val="0"/>
          <w:caps w:val="0"/>
          <w:color w:val="auto"/>
          <w:spacing w:val="0"/>
          <w:w w:val="100"/>
          <w:sz w:val="30"/>
          <w:szCs w:val="30"/>
          <w:highlight w:val="none"/>
          <w:u w:val="single" w:color="0000FF"/>
          <w:lang w:val="en-US" w:eastAsia="zh-CN"/>
        </w:rPr>
      </w:pPr>
      <w:r>
        <w:rPr>
          <w:rFonts w:hint="eastAsia" w:ascii="宋体" w:hAnsi="宋体" w:eastAsia="宋体" w:cs="宋体"/>
          <w:b/>
          <w:bCs/>
          <w:i w:val="0"/>
          <w:caps w:val="0"/>
          <w:color w:val="auto"/>
          <w:spacing w:val="0"/>
          <w:w w:val="100"/>
          <w:sz w:val="30"/>
          <w:szCs w:val="30"/>
          <w:highlight w:val="none"/>
          <w:lang w:val="zh-CN"/>
        </w:rPr>
        <w:t>采购</w:t>
      </w:r>
      <w:r>
        <w:rPr>
          <w:rFonts w:hint="eastAsia" w:ascii="宋体" w:hAnsi="宋体" w:cs="宋体"/>
          <w:b/>
          <w:bCs/>
          <w:i w:val="0"/>
          <w:caps w:val="0"/>
          <w:color w:val="auto"/>
          <w:spacing w:val="0"/>
          <w:w w:val="100"/>
          <w:sz w:val="30"/>
          <w:szCs w:val="30"/>
          <w:highlight w:val="none"/>
          <w:lang w:val="zh-CN"/>
        </w:rPr>
        <w:t>项目编号</w:t>
      </w:r>
      <w:r>
        <w:rPr>
          <w:rFonts w:hint="eastAsia" w:ascii="宋体" w:hAnsi="宋体" w:eastAsia="宋体" w:cs="宋体"/>
          <w:b/>
          <w:bCs/>
          <w:i w:val="0"/>
          <w:caps w:val="0"/>
          <w:color w:val="auto"/>
          <w:spacing w:val="0"/>
          <w:w w:val="100"/>
          <w:sz w:val="30"/>
          <w:szCs w:val="30"/>
          <w:highlight w:val="none"/>
          <w:lang w:val="zh-CN"/>
        </w:rPr>
        <w:t>：</w:t>
      </w:r>
      <w:r>
        <w:rPr>
          <w:rFonts w:hint="eastAsia" w:ascii="宋体" w:hAnsi="宋体" w:cs="宋体"/>
          <w:b/>
          <w:bCs/>
          <w:i w:val="0"/>
          <w:caps w:val="0"/>
          <w:color w:val="auto"/>
          <w:spacing w:val="0"/>
          <w:w w:val="100"/>
          <w:sz w:val="30"/>
          <w:szCs w:val="30"/>
          <w:highlight w:val="none"/>
          <w:u w:val="single" w:color="0000FF"/>
          <w:lang w:val="en-US" w:eastAsia="zh-CN"/>
        </w:rPr>
        <w:t xml:space="preserve">                            </w:t>
      </w:r>
    </w:p>
    <w:p w14:paraId="50517CA9">
      <w:pPr>
        <w:snapToGrid w:val="0"/>
        <w:spacing w:before="0" w:beforeAutospacing="0" w:after="0" w:afterAutospacing="0" w:line="360" w:lineRule="auto"/>
        <w:ind w:left="2108" w:leftChars="251" w:hangingChars="500"/>
        <w:textAlignment w:val="baseline"/>
        <w:rPr>
          <w:rFonts w:hint="eastAsia" w:ascii="宋体" w:hAnsi="宋体" w:eastAsia="宋体" w:cs="宋体"/>
          <w:b/>
          <w:bCs/>
          <w:i w:val="0"/>
          <w:caps w:val="0"/>
          <w:color w:val="auto"/>
          <w:spacing w:val="0"/>
          <w:w w:val="100"/>
          <w:sz w:val="30"/>
          <w:szCs w:val="30"/>
          <w:highlight w:val="none"/>
        </w:rPr>
      </w:pPr>
      <w:r>
        <w:rPr>
          <w:rFonts w:hint="eastAsia" w:ascii="宋体" w:hAnsi="宋体" w:eastAsia="宋体" w:cs="宋体"/>
          <w:b/>
          <w:bCs/>
          <w:i w:val="0"/>
          <w:caps w:val="0"/>
          <w:color w:val="auto"/>
          <w:spacing w:val="0"/>
          <w:w w:val="100"/>
          <w:sz w:val="30"/>
          <w:szCs w:val="30"/>
          <w:highlight w:val="none"/>
          <w:lang w:val="zh-CN"/>
        </w:rPr>
        <w:t>采购项目名称：</w:t>
      </w:r>
      <w:r>
        <w:rPr>
          <w:rFonts w:hint="eastAsia" w:ascii="宋体" w:hAnsi="宋体" w:cs="宋体"/>
          <w:b/>
          <w:bCs/>
          <w:i w:val="0"/>
          <w:caps w:val="0"/>
          <w:color w:val="auto"/>
          <w:spacing w:val="0"/>
          <w:w w:val="100"/>
          <w:sz w:val="30"/>
          <w:szCs w:val="30"/>
          <w:highlight w:val="none"/>
          <w:u w:val="single" w:color="0000FF"/>
          <w:lang w:val="en-US" w:eastAsia="zh-CN"/>
        </w:rPr>
        <w:t xml:space="preserve">                            </w:t>
      </w:r>
    </w:p>
    <w:p w14:paraId="098FD550">
      <w:pPr>
        <w:snapToGrid w:val="0"/>
        <w:spacing w:before="0" w:beforeAutospacing="0" w:after="0" w:afterAutospacing="0" w:line="360" w:lineRule="auto"/>
        <w:ind w:firstLine="602" w:firstLineChars="200"/>
        <w:textAlignment w:val="baseline"/>
        <w:rPr>
          <w:rFonts w:hint="default" w:ascii="宋体" w:hAnsi="宋体" w:eastAsia="宋体" w:cs="宋体"/>
          <w:b/>
          <w:bCs/>
          <w:i w:val="0"/>
          <w:caps w:val="0"/>
          <w:color w:val="auto"/>
          <w:spacing w:val="0"/>
          <w:w w:val="100"/>
          <w:sz w:val="30"/>
          <w:szCs w:val="30"/>
          <w:highlight w:val="none"/>
          <w:lang w:val="en-US" w:eastAsia="zh-CN"/>
        </w:rPr>
      </w:pPr>
      <w:r>
        <w:rPr>
          <w:rFonts w:hint="eastAsia" w:ascii="宋体" w:hAnsi="宋体" w:eastAsia="宋体" w:cs="宋体"/>
          <w:b/>
          <w:bCs/>
          <w:i w:val="0"/>
          <w:caps w:val="0"/>
          <w:color w:val="auto"/>
          <w:spacing w:val="0"/>
          <w:w w:val="100"/>
          <w:sz w:val="30"/>
          <w:szCs w:val="30"/>
          <w:highlight w:val="none"/>
          <w:lang w:val="zh-CN"/>
        </w:rPr>
        <w:t>采购合同编号：</w:t>
      </w:r>
      <w:r>
        <w:rPr>
          <w:rFonts w:hint="eastAsia" w:ascii="宋体" w:hAnsi="宋体" w:eastAsia="宋体" w:cs="宋体"/>
          <w:b/>
          <w:bCs/>
          <w:i w:val="0"/>
          <w:caps w:val="0"/>
          <w:color w:val="auto"/>
          <w:spacing w:val="0"/>
          <w:w w:val="100"/>
          <w:sz w:val="30"/>
          <w:szCs w:val="30"/>
          <w:highlight w:val="none"/>
          <w:u w:val="single" w:color="0000FF"/>
        </w:rPr>
        <w:t xml:space="preserve">           </w:t>
      </w:r>
      <w:r>
        <w:rPr>
          <w:rFonts w:hint="eastAsia" w:ascii="宋体" w:hAnsi="宋体" w:cs="宋体"/>
          <w:b/>
          <w:bCs/>
          <w:i w:val="0"/>
          <w:caps w:val="0"/>
          <w:color w:val="auto"/>
          <w:spacing w:val="0"/>
          <w:w w:val="100"/>
          <w:sz w:val="30"/>
          <w:szCs w:val="30"/>
          <w:highlight w:val="none"/>
          <w:u w:val="single" w:color="0000FF"/>
          <w:lang w:val="en-US" w:eastAsia="zh-CN"/>
        </w:rPr>
        <w:t xml:space="preserve">                 </w:t>
      </w:r>
    </w:p>
    <w:p w14:paraId="1B2CAFF3">
      <w:pPr>
        <w:snapToGrid w:val="0"/>
        <w:spacing w:before="0" w:beforeAutospacing="0" w:after="0" w:afterAutospacing="0" w:line="360" w:lineRule="auto"/>
        <w:ind w:firstLine="602" w:firstLineChars="200"/>
        <w:textAlignment w:val="baseline"/>
        <w:rPr>
          <w:rFonts w:hint="eastAsia" w:ascii="宋体" w:hAnsi="宋体" w:eastAsia="宋体" w:cs="宋体"/>
          <w:b/>
          <w:bCs/>
          <w:i w:val="0"/>
          <w:caps w:val="0"/>
          <w:color w:val="auto"/>
          <w:spacing w:val="0"/>
          <w:w w:val="100"/>
          <w:sz w:val="30"/>
          <w:szCs w:val="30"/>
          <w:highlight w:val="none"/>
        </w:rPr>
      </w:pPr>
      <w:r>
        <w:rPr>
          <w:rFonts w:hint="eastAsia" w:ascii="宋体" w:hAnsi="宋体" w:eastAsia="宋体" w:cs="宋体"/>
          <w:b/>
          <w:bCs/>
          <w:i w:val="0"/>
          <w:caps w:val="0"/>
          <w:color w:val="auto"/>
          <w:spacing w:val="0"/>
          <w:w w:val="100"/>
          <w:sz w:val="30"/>
          <w:szCs w:val="30"/>
          <w:highlight w:val="none"/>
          <w:lang w:val="zh-CN"/>
        </w:rPr>
        <w:t>合同金额（人民币）：</w:t>
      </w:r>
      <w:r>
        <w:rPr>
          <w:rFonts w:hint="eastAsia" w:ascii="宋体" w:hAnsi="宋体" w:eastAsia="宋体" w:cs="宋体"/>
          <w:b/>
          <w:bCs/>
          <w:i w:val="0"/>
          <w:caps w:val="0"/>
          <w:color w:val="auto"/>
          <w:spacing w:val="0"/>
          <w:w w:val="100"/>
          <w:sz w:val="30"/>
          <w:szCs w:val="30"/>
          <w:highlight w:val="none"/>
          <w:u w:val="single" w:color="0000FF"/>
        </w:rPr>
        <w:t xml:space="preserve">                      </w:t>
      </w:r>
    </w:p>
    <w:p w14:paraId="05F2C50D">
      <w:pPr>
        <w:snapToGrid w:val="0"/>
        <w:spacing w:before="0" w:beforeAutospacing="0" w:after="0" w:afterAutospacing="0" w:line="360" w:lineRule="auto"/>
        <w:ind w:firstLine="602" w:firstLineChars="200"/>
        <w:textAlignment w:val="baseline"/>
        <w:rPr>
          <w:rFonts w:hint="eastAsia" w:ascii="宋体" w:hAnsi="宋体" w:eastAsia="宋体" w:cs="宋体"/>
          <w:b/>
          <w:bCs/>
          <w:i w:val="0"/>
          <w:caps w:val="0"/>
          <w:color w:val="auto"/>
          <w:spacing w:val="0"/>
          <w:w w:val="100"/>
          <w:sz w:val="30"/>
          <w:szCs w:val="30"/>
          <w:highlight w:val="none"/>
        </w:rPr>
      </w:pPr>
      <w:r>
        <w:rPr>
          <w:rFonts w:hint="eastAsia" w:ascii="宋体" w:hAnsi="宋体" w:eastAsia="宋体" w:cs="宋体"/>
          <w:b/>
          <w:bCs/>
          <w:i w:val="0"/>
          <w:caps w:val="0"/>
          <w:color w:val="auto"/>
          <w:spacing w:val="0"/>
          <w:w w:val="100"/>
          <w:sz w:val="30"/>
          <w:szCs w:val="30"/>
          <w:highlight w:val="none"/>
          <w:lang w:val="zh-CN"/>
        </w:rPr>
        <w:t>采</w:t>
      </w:r>
      <w:r>
        <w:rPr>
          <w:rFonts w:hint="eastAsia" w:ascii="宋体" w:hAnsi="宋体" w:eastAsia="宋体" w:cs="宋体"/>
          <w:b/>
          <w:bCs/>
          <w:i w:val="0"/>
          <w:caps w:val="0"/>
          <w:color w:val="auto"/>
          <w:spacing w:val="0"/>
          <w:w w:val="100"/>
          <w:sz w:val="30"/>
          <w:szCs w:val="30"/>
          <w:highlight w:val="none"/>
        </w:rPr>
        <w:t xml:space="preserve"> </w:t>
      </w:r>
      <w:r>
        <w:rPr>
          <w:rFonts w:hint="eastAsia" w:ascii="宋体" w:hAnsi="宋体" w:eastAsia="宋体" w:cs="宋体"/>
          <w:b/>
          <w:bCs/>
          <w:i w:val="0"/>
          <w:caps w:val="0"/>
          <w:color w:val="auto"/>
          <w:spacing w:val="0"/>
          <w:w w:val="100"/>
          <w:sz w:val="30"/>
          <w:szCs w:val="30"/>
          <w:highlight w:val="none"/>
          <w:lang w:val="zh-CN"/>
        </w:rPr>
        <w:t>购</w:t>
      </w:r>
      <w:r>
        <w:rPr>
          <w:rFonts w:hint="eastAsia" w:ascii="宋体" w:hAnsi="宋体" w:eastAsia="宋体" w:cs="宋体"/>
          <w:b/>
          <w:bCs/>
          <w:i w:val="0"/>
          <w:caps w:val="0"/>
          <w:color w:val="auto"/>
          <w:spacing w:val="0"/>
          <w:w w:val="100"/>
          <w:sz w:val="30"/>
          <w:szCs w:val="30"/>
          <w:highlight w:val="none"/>
        </w:rPr>
        <w:t xml:space="preserve"> </w:t>
      </w:r>
      <w:r>
        <w:rPr>
          <w:rFonts w:hint="eastAsia" w:ascii="宋体" w:hAnsi="宋体" w:eastAsia="宋体" w:cs="宋体"/>
          <w:b/>
          <w:bCs/>
          <w:i w:val="0"/>
          <w:caps w:val="0"/>
          <w:color w:val="auto"/>
          <w:spacing w:val="0"/>
          <w:w w:val="100"/>
          <w:sz w:val="30"/>
          <w:szCs w:val="30"/>
          <w:highlight w:val="none"/>
          <w:lang w:val="zh-CN"/>
        </w:rPr>
        <w:t>人（甲方）：</w:t>
      </w:r>
      <w:r>
        <w:rPr>
          <w:rFonts w:hint="eastAsia" w:ascii="宋体" w:hAnsi="宋体" w:eastAsia="宋体" w:cs="宋体"/>
          <w:b/>
          <w:bCs/>
          <w:i w:val="0"/>
          <w:caps w:val="0"/>
          <w:color w:val="auto"/>
          <w:spacing w:val="0"/>
          <w:w w:val="100"/>
          <w:sz w:val="30"/>
          <w:szCs w:val="30"/>
          <w:highlight w:val="none"/>
          <w:u w:val="single" w:color="0000FF"/>
        </w:rPr>
        <w:t xml:space="preserve">                  </w:t>
      </w:r>
      <w:r>
        <w:rPr>
          <w:rFonts w:hint="eastAsia" w:ascii="宋体" w:hAnsi="宋体" w:eastAsia="宋体" w:cs="宋体"/>
          <w:b/>
          <w:bCs/>
          <w:i w:val="0"/>
          <w:caps w:val="0"/>
          <w:color w:val="auto"/>
          <w:spacing w:val="0"/>
          <w:w w:val="100"/>
          <w:sz w:val="30"/>
          <w:szCs w:val="30"/>
          <w:highlight w:val="none"/>
          <w:u w:val="single" w:color="0000FF"/>
          <w:lang w:val="zh-CN"/>
        </w:rPr>
        <w:t>（盖章）</w:t>
      </w:r>
    </w:p>
    <w:p w14:paraId="1E33D739">
      <w:pPr>
        <w:snapToGrid w:val="0"/>
        <w:spacing w:before="0" w:beforeAutospacing="0" w:after="0" w:afterAutospacing="0" w:line="360" w:lineRule="auto"/>
        <w:ind w:firstLine="602" w:firstLineChars="200"/>
        <w:textAlignment w:val="baseline"/>
        <w:rPr>
          <w:rFonts w:hint="eastAsia" w:ascii="宋体" w:hAnsi="宋体" w:eastAsia="宋体" w:cs="宋体"/>
          <w:b/>
          <w:bCs/>
          <w:i w:val="0"/>
          <w:caps w:val="0"/>
          <w:color w:val="auto"/>
          <w:spacing w:val="0"/>
          <w:w w:val="100"/>
          <w:sz w:val="30"/>
          <w:szCs w:val="30"/>
          <w:highlight w:val="none"/>
        </w:rPr>
      </w:pPr>
      <w:r>
        <w:rPr>
          <w:rFonts w:hint="eastAsia" w:ascii="宋体" w:hAnsi="宋体" w:eastAsia="宋体" w:cs="宋体"/>
          <w:b/>
          <w:bCs/>
          <w:i w:val="0"/>
          <w:caps w:val="0"/>
          <w:color w:val="auto"/>
          <w:spacing w:val="0"/>
          <w:w w:val="100"/>
          <w:sz w:val="30"/>
          <w:szCs w:val="30"/>
          <w:highlight w:val="none"/>
          <w:lang w:val="zh-CN"/>
        </w:rPr>
        <w:t>供 应 商（乙方）：</w:t>
      </w:r>
      <w:r>
        <w:rPr>
          <w:rFonts w:hint="eastAsia" w:ascii="宋体" w:hAnsi="宋体" w:eastAsia="宋体" w:cs="宋体"/>
          <w:b/>
          <w:bCs/>
          <w:i w:val="0"/>
          <w:caps w:val="0"/>
          <w:color w:val="auto"/>
          <w:spacing w:val="0"/>
          <w:w w:val="100"/>
          <w:sz w:val="30"/>
          <w:szCs w:val="30"/>
          <w:highlight w:val="none"/>
          <w:u w:val="single" w:color="0000FF"/>
        </w:rPr>
        <w:t xml:space="preserve">                  </w:t>
      </w:r>
      <w:r>
        <w:rPr>
          <w:rFonts w:hint="eastAsia" w:ascii="宋体" w:hAnsi="宋体" w:eastAsia="宋体" w:cs="宋体"/>
          <w:b/>
          <w:bCs/>
          <w:i w:val="0"/>
          <w:caps w:val="0"/>
          <w:color w:val="auto"/>
          <w:spacing w:val="0"/>
          <w:w w:val="100"/>
          <w:sz w:val="30"/>
          <w:szCs w:val="30"/>
          <w:highlight w:val="none"/>
          <w:u w:val="single" w:color="0000FF"/>
          <w:lang w:val="zh-CN"/>
        </w:rPr>
        <w:t>（盖章）</w:t>
      </w:r>
    </w:p>
    <w:p w14:paraId="70EEED34">
      <w:pPr>
        <w:snapToGrid w:val="0"/>
        <w:spacing w:before="0" w:beforeAutospacing="0" w:after="0" w:afterAutospacing="0" w:line="360" w:lineRule="auto"/>
        <w:ind w:firstLine="602" w:firstLineChars="200"/>
        <w:textAlignment w:val="baseline"/>
        <w:rPr>
          <w:rFonts w:hint="eastAsia" w:ascii="宋体" w:hAnsi="宋体" w:eastAsia="宋体" w:cs="宋体"/>
          <w:b/>
          <w:bCs/>
          <w:i w:val="0"/>
          <w:caps w:val="0"/>
          <w:color w:val="auto"/>
          <w:spacing w:val="0"/>
          <w:w w:val="100"/>
          <w:sz w:val="30"/>
          <w:szCs w:val="30"/>
          <w:highlight w:val="none"/>
        </w:rPr>
      </w:pPr>
      <w:r>
        <w:rPr>
          <w:rFonts w:hint="eastAsia" w:ascii="宋体" w:hAnsi="宋体" w:eastAsia="宋体" w:cs="宋体"/>
          <w:b/>
          <w:bCs/>
          <w:i w:val="0"/>
          <w:caps w:val="0"/>
          <w:color w:val="auto"/>
          <w:spacing w:val="0"/>
          <w:w w:val="100"/>
          <w:sz w:val="30"/>
          <w:szCs w:val="30"/>
          <w:highlight w:val="none"/>
          <w:lang w:val="zh-CN"/>
        </w:rPr>
        <w:t>采购日期：</w:t>
      </w:r>
      <w:r>
        <w:rPr>
          <w:rFonts w:hint="eastAsia" w:ascii="宋体" w:hAnsi="宋体" w:eastAsia="宋体" w:cs="宋体"/>
          <w:b/>
          <w:bCs/>
          <w:i w:val="0"/>
          <w:caps w:val="0"/>
          <w:color w:val="auto"/>
          <w:spacing w:val="0"/>
          <w:w w:val="100"/>
          <w:sz w:val="30"/>
          <w:szCs w:val="30"/>
          <w:highlight w:val="none"/>
          <w:u w:val="single" w:color="0000FF"/>
        </w:rPr>
        <w:t xml:space="preserve">                                  </w:t>
      </w:r>
      <w:r>
        <w:rPr>
          <w:rFonts w:hint="eastAsia" w:ascii="宋体" w:hAnsi="宋体" w:eastAsia="宋体" w:cs="宋体"/>
          <w:b/>
          <w:bCs/>
          <w:i w:val="0"/>
          <w:caps w:val="0"/>
          <w:color w:val="auto"/>
          <w:spacing w:val="0"/>
          <w:w w:val="100"/>
          <w:sz w:val="30"/>
          <w:szCs w:val="30"/>
          <w:highlight w:val="none"/>
        </w:rPr>
        <w:t xml:space="preserve">         </w:t>
      </w:r>
    </w:p>
    <w:p w14:paraId="4ADF097A">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32"/>
          <w:szCs w:val="32"/>
          <w:highlight w:val="none"/>
        </w:rPr>
      </w:pPr>
    </w:p>
    <w:p w14:paraId="2416E785">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32"/>
          <w:szCs w:val="32"/>
          <w:highlight w:val="none"/>
        </w:rPr>
      </w:pPr>
    </w:p>
    <w:p w14:paraId="41955691">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32"/>
          <w:szCs w:val="32"/>
          <w:highlight w:val="none"/>
        </w:rPr>
      </w:pPr>
    </w:p>
    <w:p w14:paraId="63DCF11B">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32"/>
          <w:szCs w:val="32"/>
          <w:highlight w:val="none"/>
        </w:rPr>
      </w:pPr>
    </w:p>
    <w:p w14:paraId="067884E7">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32"/>
          <w:szCs w:val="32"/>
          <w:highlight w:val="none"/>
        </w:rPr>
      </w:pPr>
    </w:p>
    <w:p w14:paraId="7E1B5560">
      <w:pPr>
        <w:snapToGrid w:val="0"/>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32"/>
          <w:szCs w:val="32"/>
          <w:highlight w:val="none"/>
        </w:rPr>
      </w:pPr>
    </w:p>
    <w:p w14:paraId="11B8516F">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32"/>
          <w:szCs w:val="32"/>
          <w:highlight w:val="none"/>
        </w:rPr>
      </w:pPr>
      <w:r>
        <w:rPr>
          <w:rFonts w:hint="eastAsia" w:ascii="宋体" w:hAnsi="宋体" w:eastAsia="宋体" w:cs="宋体"/>
          <w:b w:val="0"/>
          <w:i w:val="0"/>
          <w:caps w:val="0"/>
          <w:color w:val="auto"/>
          <w:spacing w:val="0"/>
          <w:w w:val="100"/>
          <w:sz w:val="32"/>
          <w:szCs w:val="32"/>
          <w:highlight w:val="none"/>
        </w:rPr>
        <mc:AlternateContent>
          <mc:Choice Requires="wps">
            <w:drawing>
              <wp:anchor distT="0" distB="0" distL="114300" distR="114300" simplePos="0" relativeHeight="251659264" behindDoc="0" locked="0" layoutInCell="1" allowOverlap="1">
                <wp:simplePos x="0" y="0"/>
                <wp:positionH relativeFrom="column">
                  <wp:posOffset>3958590</wp:posOffset>
                </wp:positionH>
                <wp:positionV relativeFrom="paragraph">
                  <wp:posOffset>352425</wp:posOffset>
                </wp:positionV>
                <wp:extent cx="713105" cy="386715"/>
                <wp:effectExtent l="4445" t="4445" r="6350" b="8890"/>
                <wp:wrapNone/>
                <wp:docPr id="8" name="文本框 8"/>
                <wp:cNvGraphicFramePr/>
                <a:graphic xmlns:a="http://schemas.openxmlformats.org/drawingml/2006/main">
                  <a:graphicData uri="http://schemas.microsoft.com/office/word/2010/wordprocessingShape">
                    <wps:wsp>
                      <wps:cNvSpPr txBox="1">
                        <a:spLocks noChangeArrowheads="1"/>
                      </wps:cNvSpPr>
                      <wps:spPr bwMode="auto">
                        <a:xfrm>
                          <a:off x="0" y="0"/>
                          <a:ext cx="723900" cy="457200"/>
                        </a:xfrm>
                        <a:prstGeom prst="rect">
                          <a:avLst/>
                        </a:prstGeom>
                        <a:noFill/>
                        <a:ln w="9525">
                          <a:solidFill>
                            <a:srgbClr val="FFFFFF"/>
                          </a:solidFill>
                          <a:miter lim="800000"/>
                        </a:ln>
                        <a:effectLst/>
                      </wps:spPr>
                      <wps:txbx>
                        <w:txbxContent>
                          <w:p w14:paraId="763A4C16">
                            <w:pPr>
                              <w:rPr>
                                <w:b/>
                                <w:bCs/>
                                <w:sz w:val="32"/>
                              </w:rPr>
                            </w:pPr>
                            <w:r>
                              <w:rPr>
                                <w:rFonts w:hint="eastAsia"/>
                                <w:b/>
                                <w:bCs/>
                                <w:sz w:val="32"/>
                              </w:rPr>
                              <w:t>制定</w:t>
                            </w:r>
                          </w:p>
                        </w:txbxContent>
                      </wps:txbx>
                      <wps:bodyPr rot="0" vert="horz" wrap="square" lIns="91440" tIns="45720" rIns="91440" bIns="45720" anchor="t" anchorCtr="0" upright="1">
                        <a:noAutofit/>
                      </wps:bodyPr>
                    </wps:wsp>
                  </a:graphicData>
                </a:graphic>
              </wp:anchor>
            </w:drawing>
          </mc:Choice>
          <mc:Fallback>
            <w:pict>
              <v:shape id="_x0000_s1026" o:spid="_x0000_s1026" o:spt="202" type="#_x0000_t202" style="position:absolute;left:0pt;margin-left:311.7pt;margin-top:27.75pt;height:30.45pt;width:56.15pt;z-index:251659264;mso-width-relative:page;mso-height-relative:page;" filled="f" stroked="t" coordsize="21600,21600" o:gfxdata="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">
                <v:fill on="f" focussize="0,0"/>
                <v:stroke color="#FFFFFF" miterlimit="8" joinstyle="miter"/>
                <v:imagedata o:title=""/>
                <o:lock v:ext="edit" aspectratio="f"/>
                <v:textbox>
                  <w:txbxContent>
                    <w:p w14:paraId="763A4C16">
                      <w:pPr>
                        <w:rPr>
                          <w:b/>
                          <w:bCs/>
                          <w:sz w:val="32"/>
                        </w:rPr>
                      </w:pPr>
                      <w:r>
                        <w:rPr>
                          <w:rFonts w:hint="eastAsia"/>
                          <w:b/>
                          <w:bCs/>
                          <w:sz w:val="32"/>
                        </w:rPr>
                        <w:t>制定</w:t>
                      </w:r>
                    </w:p>
                  </w:txbxContent>
                </v:textbox>
              </v:shape>
            </w:pict>
          </mc:Fallback>
        </mc:AlternateContent>
      </w:r>
      <w:r>
        <w:rPr>
          <w:rFonts w:hint="eastAsia" w:ascii="宋体" w:hAnsi="宋体" w:eastAsia="宋体" w:cs="宋体"/>
          <w:b/>
          <w:i w:val="0"/>
          <w:caps w:val="0"/>
          <w:color w:val="auto"/>
          <w:spacing w:val="0"/>
          <w:w w:val="100"/>
          <w:sz w:val="32"/>
          <w:szCs w:val="32"/>
          <w:highlight w:val="none"/>
        </w:rPr>
        <w:t>住房和城乡建设部</w:t>
      </w:r>
    </w:p>
    <w:p w14:paraId="2AD53FCE">
      <w:pPr>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sz w:val="32"/>
          <w:szCs w:val="32"/>
          <w:highlight w:val="none"/>
          <w:lang w:val="zh-CN"/>
        </w:rPr>
      </w:pPr>
      <w:r>
        <w:rPr>
          <w:rFonts w:hint="eastAsia" w:ascii="宋体" w:hAnsi="宋体" w:eastAsia="宋体" w:cs="宋体"/>
          <w:b/>
          <w:i w:val="0"/>
          <w:caps w:val="0"/>
          <w:color w:val="auto"/>
          <w:spacing w:val="0"/>
          <w:w w:val="100"/>
          <w:sz w:val="32"/>
          <w:szCs w:val="32"/>
          <w:highlight w:val="none"/>
        </w:rPr>
        <w:t>国家工商行政管理总局</w:t>
      </w:r>
      <w:bookmarkStart w:id="446" w:name="_Toc256000076"/>
      <w:bookmarkStart w:id="447" w:name="_Toc505871360"/>
    </w:p>
    <w:p w14:paraId="5F4C8110">
      <w:pPr>
        <w:rPr>
          <w:rFonts w:hint="eastAsia" w:ascii="宋体" w:hAnsi="宋体" w:eastAsia="宋体" w:cs="宋体"/>
          <w:b/>
          <w:bCs/>
          <w:i w:val="0"/>
          <w:caps w:val="0"/>
          <w:color w:val="auto"/>
          <w:spacing w:val="0"/>
          <w:w w:val="100"/>
          <w:sz w:val="32"/>
          <w:szCs w:val="32"/>
          <w:highlight w:val="none"/>
          <w:lang w:val="zh-CN"/>
        </w:rPr>
      </w:pPr>
      <w:r>
        <w:rPr>
          <w:rFonts w:hint="eastAsia" w:ascii="宋体" w:hAnsi="宋体" w:eastAsia="宋体" w:cs="宋体"/>
          <w:b/>
          <w:bCs/>
          <w:i w:val="0"/>
          <w:caps w:val="0"/>
          <w:color w:val="auto"/>
          <w:spacing w:val="0"/>
          <w:w w:val="100"/>
          <w:sz w:val="32"/>
          <w:szCs w:val="32"/>
          <w:highlight w:val="none"/>
          <w:lang w:val="zh-CN"/>
        </w:rPr>
        <w:br w:type="page"/>
      </w:r>
    </w:p>
    <w:p w14:paraId="55B8B505">
      <w:pPr>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sz w:val="32"/>
          <w:szCs w:val="32"/>
          <w:highlight w:val="none"/>
          <w:lang w:val="zh-CN"/>
        </w:rPr>
      </w:pPr>
      <w:r>
        <w:rPr>
          <w:rFonts w:hint="eastAsia" w:ascii="宋体" w:hAnsi="宋体" w:eastAsia="宋体" w:cs="宋体"/>
          <w:b/>
          <w:bCs/>
          <w:i w:val="0"/>
          <w:caps w:val="0"/>
          <w:color w:val="auto"/>
          <w:spacing w:val="0"/>
          <w:w w:val="100"/>
          <w:sz w:val="32"/>
          <w:szCs w:val="32"/>
          <w:highlight w:val="none"/>
          <w:lang w:val="zh-CN"/>
        </w:rPr>
        <w:t>说  明</w:t>
      </w:r>
      <w:bookmarkEnd w:id="446"/>
      <w:bookmarkEnd w:id="447"/>
    </w:p>
    <w:p w14:paraId="1C270632">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为了指导建设工程施工合同当事人的签约行为，维护合同当事人的合法权益，依据</w:t>
      </w:r>
      <w:r>
        <w:rPr>
          <w:rFonts w:hint="eastAsia" w:ascii="宋体" w:hAnsi="宋体" w:cs="宋体"/>
          <w:b w:val="0"/>
          <w:i w:val="0"/>
          <w:caps w:val="0"/>
          <w:color w:val="auto"/>
          <w:spacing w:val="0"/>
          <w:w w:val="100"/>
          <w:sz w:val="24"/>
          <w:szCs w:val="24"/>
          <w:highlight w:val="none"/>
          <w:lang w:eastAsia="zh-CN"/>
        </w:rPr>
        <w:t>《民法典.合同篇》</w:t>
      </w:r>
      <w:r>
        <w:rPr>
          <w:rFonts w:hint="eastAsia" w:ascii="宋体" w:hAnsi="宋体" w:eastAsia="宋体" w:cs="宋体"/>
          <w:b w:val="0"/>
          <w:i w:val="0"/>
          <w:caps w:val="0"/>
          <w:color w:val="auto"/>
          <w:spacing w:val="0"/>
          <w:w w:val="100"/>
          <w:sz w:val="24"/>
          <w:szCs w:val="24"/>
          <w:highlight w:val="none"/>
        </w:rPr>
        <w:t>、《中华人民共和国招标投标法》以及相关法律法规，住房城乡建设部、国家工商行政管理总局对《建设工程施工合同（示范文本）》（GF-2013-0201）进行了修订，制定了《建设工程施工合同（示范文本）》（GF-2017-0201）（以下简称《示范文本》）。为了便于合同当事人使用《示范文本》，现就有关问题说明如下：</w:t>
      </w:r>
    </w:p>
    <w:p w14:paraId="6B82E4BA">
      <w:pPr>
        <w:snapToGrid w:val="0"/>
        <w:spacing w:before="0" w:beforeAutospacing="0" w:after="0" w:afterAutospacing="0" w:line="360" w:lineRule="auto"/>
        <w:jc w:val="left"/>
        <w:textAlignment w:val="baseline"/>
        <w:rPr>
          <w:rFonts w:hint="eastAsia" w:ascii="宋体" w:hAnsi="宋体" w:eastAsia="宋体" w:cs="宋体"/>
          <w:b/>
          <w:bCs/>
          <w:i w:val="0"/>
          <w:caps w:val="0"/>
          <w:color w:val="auto"/>
          <w:spacing w:val="0"/>
          <w:w w:val="100"/>
          <w:sz w:val="32"/>
          <w:szCs w:val="32"/>
          <w:highlight w:val="none"/>
          <w:lang w:val="zh-CN"/>
        </w:rPr>
      </w:pPr>
      <w:bookmarkStart w:id="448" w:name="_Toc505871361"/>
      <w:bookmarkStart w:id="449" w:name="_Toc256000077"/>
      <w:r>
        <w:rPr>
          <w:rFonts w:hint="eastAsia" w:ascii="宋体" w:hAnsi="宋体" w:eastAsia="宋体" w:cs="宋体"/>
          <w:b/>
          <w:bCs/>
          <w:i w:val="0"/>
          <w:caps w:val="0"/>
          <w:color w:val="auto"/>
          <w:spacing w:val="0"/>
          <w:w w:val="100"/>
          <w:sz w:val="32"/>
          <w:szCs w:val="32"/>
          <w:highlight w:val="none"/>
          <w:lang w:val="zh-CN"/>
        </w:rPr>
        <w:t>一、《示范文本》的组成</w:t>
      </w:r>
      <w:bookmarkEnd w:id="448"/>
      <w:bookmarkEnd w:id="449"/>
    </w:p>
    <w:p w14:paraId="5E04DE1F">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《示范文本》由合同协议书、通用合同条款和专用合同条款三部分组成。</w:t>
      </w:r>
    </w:p>
    <w:p w14:paraId="3A795A30">
      <w:pPr>
        <w:snapToGrid w:val="0"/>
        <w:spacing w:before="0" w:beforeAutospacing="0" w:after="0" w:afterAutospacing="0" w:line="360" w:lineRule="auto"/>
        <w:jc w:val="left"/>
        <w:textAlignment w:val="baseline"/>
        <w:rPr>
          <w:rFonts w:hint="eastAsia" w:ascii="宋体" w:hAnsi="宋体" w:eastAsia="宋体" w:cs="宋体"/>
          <w:b/>
          <w:bCs/>
          <w:i w:val="0"/>
          <w:caps w:val="0"/>
          <w:color w:val="auto"/>
          <w:spacing w:val="0"/>
          <w:w w:val="100"/>
          <w:sz w:val="32"/>
          <w:szCs w:val="32"/>
          <w:highlight w:val="none"/>
          <w:lang w:val="zh-CN"/>
        </w:rPr>
      </w:pPr>
      <w:bookmarkStart w:id="450" w:name="_Toc256000078"/>
      <w:bookmarkStart w:id="451" w:name="_Toc505871362"/>
      <w:r>
        <w:rPr>
          <w:rFonts w:hint="eastAsia" w:ascii="宋体" w:hAnsi="宋体" w:eastAsia="宋体" w:cs="宋体"/>
          <w:b/>
          <w:bCs/>
          <w:i w:val="0"/>
          <w:caps w:val="0"/>
          <w:color w:val="auto"/>
          <w:spacing w:val="0"/>
          <w:w w:val="100"/>
          <w:sz w:val="32"/>
          <w:szCs w:val="32"/>
          <w:highlight w:val="none"/>
          <w:lang w:val="zh-CN"/>
        </w:rPr>
        <w:t>（一）合同协议书</w:t>
      </w:r>
      <w:bookmarkEnd w:id="450"/>
      <w:bookmarkEnd w:id="451"/>
    </w:p>
    <w:p w14:paraId="03EA19A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示范文本》合同协议书共计13条，主要包括：工程概况、合同工期、质量标准、签约合同价和合同价格形式、项目经理、合同文件构成、承诺以及合同生效条件等重要内容，集中约定了合同当事人基本的合同权利义务。</w:t>
      </w:r>
    </w:p>
    <w:p w14:paraId="6D8683F4">
      <w:pPr>
        <w:snapToGrid w:val="0"/>
        <w:spacing w:before="0" w:beforeAutospacing="0" w:after="0" w:afterAutospacing="0" w:line="360" w:lineRule="auto"/>
        <w:jc w:val="left"/>
        <w:textAlignment w:val="baseline"/>
        <w:rPr>
          <w:rFonts w:hint="eastAsia" w:ascii="宋体" w:hAnsi="宋体" w:eastAsia="宋体" w:cs="宋体"/>
          <w:b/>
          <w:bCs/>
          <w:i w:val="0"/>
          <w:caps w:val="0"/>
          <w:color w:val="auto"/>
          <w:spacing w:val="0"/>
          <w:w w:val="100"/>
          <w:sz w:val="32"/>
          <w:szCs w:val="32"/>
          <w:highlight w:val="none"/>
          <w:lang w:val="zh-CN"/>
        </w:rPr>
      </w:pPr>
      <w:bookmarkStart w:id="452" w:name="_Toc505871363"/>
      <w:bookmarkStart w:id="453" w:name="_Toc256000079"/>
      <w:r>
        <w:rPr>
          <w:rFonts w:hint="eastAsia" w:ascii="宋体" w:hAnsi="宋体" w:eastAsia="宋体" w:cs="宋体"/>
          <w:b/>
          <w:bCs/>
          <w:i w:val="0"/>
          <w:caps w:val="0"/>
          <w:color w:val="auto"/>
          <w:spacing w:val="0"/>
          <w:w w:val="100"/>
          <w:sz w:val="32"/>
          <w:szCs w:val="32"/>
          <w:highlight w:val="none"/>
          <w:lang w:val="zh-CN"/>
        </w:rPr>
        <w:t>（二）通用合同条款</w:t>
      </w:r>
      <w:bookmarkEnd w:id="452"/>
      <w:bookmarkEnd w:id="453"/>
    </w:p>
    <w:p w14:paraId="0BE5FB4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通用合同条款是合同当事人根据《中华人民共和国建筑法》、《中华人民共和国合同法》等法律法规的规定，就工程建设的实施及相关事项，对合同当事人的权利义务作出的原则性约定。</w:t>
      </w:r>
    </w:p>
    <w:p w14:paraId="6D452A11">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通用合同条款共计20条，具体条款分别为：一般约定、发包人、承包人、监理人、工程质量、安全文明施工与环境保护、工期和进度、材料与设备、试验与检验、变更、价格调整、合同价格、计量与支付、验收和工程试车、竣工结算、缺陷责任与保修、违约、不可抗力、保险、索赔和争议解决。前述条款安排既考虑了现行法律法规对工程建设的有关要求，也考虑了建设工程施工管理的特殊需要。</w:t>
      </w:r>
    </w:p>
    <w:p w14:paraId="52812592">
      <w:pPr>
        <w:snapToGrid w:val="0"/>
        <w:spacing w:before="0" w:beforeAutospacing="0" w:after="0" w:afterAutospacing="0" w:line="360" w:lineRule="auto"/>
        <w:jc w:val="left"/>
        <w:textAlignment w:val="baseline"/>
        <w:rPr>
          <w:rFonts w:hint="eastAsia" w:ascii="宋体" w:hAnsi="宋体" w:eastAsia="宋体" w:cs="宋体"/>
          <w:b/>
          <w:bCs/>
          <w:i w:val="0"/>
          <w:caps w:val="0"/>
          <w:color w:val="auto"/>
          <w:spacing w:val="0"/>
          <w:w w:val="100"/>
          <w:sz w:val="32"/>
          <w:szCs w:val="32"/>
          <w:highlight w:val="none"/>
          <w:lang w:val="zh-CN"/>
        </w:rPr>
      </w:pPr>
      <w:bookmarkStart w:id="454" w:name="_Toc256000080"/>
      <w:bookmarkStart w:id="455" w:name="_Toc505871364"/>
      <w:r>
        <w:rPr>
          <w:rFonts w:hint="eastAsia" w:ascii="宋体" w:hAnsi="宋体" w:eastAsia="宋体" w:cs="宋体"/>
          <w:b/>
          <w:bCs/>
          <w:i w:val="0"/>
          <w:caps w:val="0"/>
          <w:color w:val="auto"/>
          <w:spacing w:val="0"/>
          <w:w w:val="100"/>
          <w:sz w:val="32"/>
          <w:szCs w:val="32"/>
          <w:highlight w:val="none"/>
          <w:lang w:val="zh-CN"/>
        </w:rPr>
        <w:t>（三）专用合同条款</w:t>
      </w:r>
      <w:bookmarkEnd w:id="454"/>
      <w:bookmarkEnd w:id="455"/>
    </w:p>
    <w:p w14:paraId="2CB23BD2">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专用合同条款是对通用合同条款原则性约定的细化、完善、补充、修改或另行约定的条款。合同当事人可以根据不同建设工程的特点及具体情况，通过双方的谈判、协商对相应的专用合同条款进行修改补充。在使用专用合同条款时，应注意以下事项：</w:t>
      </w:r>
    </w:p>
    <w:p w14:paraId="7586A82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1.专用合同条款的编号应与相应的通用合同条款的编号一致；</w:t>
      </w:r>
    </w:p>
    <w:p w14:paraId="11446A6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2.合同当事人可以通过对专用合同条款的修改，满足具体建设工程的特殊要求，避免直接修改通用合同条款；</w:t>
      </w:r>
    </w:p>
    <w:p w14:paraId="2FD393EB">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3.在专用合同条款中有横道线的地方，合同当事人可针对相应的通用合同条款进行细化、完善、补充、修改或另行约定；如无细化、完善、补充、修改或另行约定，则填写“无”或划“/”。</w:t>
      </w:r>
    </w:p>
    <w:p w14:paraId="347EC8A6">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1FB8C30A">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5FA36DBF">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205381FD">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5B50118D">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0335C369">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269B68DA">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1FD5B84D">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3D476988">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22391D0D">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31C7DF1F">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384C80EB">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3597560B">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74229D86">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1A8509D9">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08AB0165">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5B2146CD">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39A7FE60">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lang w:val="zh-CN"/>
        </w:rPr>
      </w:pPr>
    </w:p>
    <w:p w14:paraId="604DF900">
      <w:pPr>
        <w:pStyle w:val="4"/>
        <w:snapToGrid w:val="0"/>
        <w:spacing w:before="260" w:beforeAutospacing="0" w:after="260" w:afterAutospacing="0" w:line="360" w:lineRule="auto"/>
        <w:jc w:val="center"/>
        <w:textAlignment w:val="baseline"/>
        <w:outlineLvl w:val="9"/>
        <w:rPr>
          <w:rFonts w:hint="eastAsia" w:ascii="宋体" w:hAnsi="宋体" w:eastAsia="宋体" w:cs="宋体"/>
          <w:b/>
          <w:i w:val="0"/>
          <w:caps w:val="0"/>
          <w:color w:val="auto"/>
          <w:spacing w:val="0"/>
          <w:w w:val="100"/>
          <w:sz w:val="32"/>
          <w:highlight w:val="none"/>
        </w:rPr>
      </w:pPr>
      <w:bookmarkStart w:id="456" w:name="_Toc296503025"/>
      <w:bookmarkStart w:id="457" w:name="_Toc8782"/>
      <w:bookmarkStart w:id="458" w:name="_Toc17594"/>
      <w:bookmarkStart w:id="459" w:name="_Toc6512"/>
      <w:bookmarkStart w:id="460" w:name="_Toc351203480"/>
      <w:bookmarkStart w:id="461" w:name="_Toc7654"/>
      <w:bookmarkStart w:id="462" w:name="_Toc296890982"/>
      <w:bookmarkStart w:id="463" w:name="_Toc18488"/>
    </w:p>
    <w:p w14:paraId="3ACD5AE1">
      <w:pPr>
        <w:rPr>
          <w:rFonts w:hint="eastAsia" w:ascii="宋体" w:hAnsi="宋体" w:eastAsia="宋体" w:cs="宋体"/>
          <w:b/>
          <w:i w:val="0"/>
          <w:caps w:val="0"/>
          <w:color w:val="auto"/>
          <w:spacing w:val="0"/>
          <w:w w:val="100"/>
          <w:sz w:val="32"/>
          <w:highlight w:val="none"/>
        </w:rPr>
      </w:pPr>
      <w:r>
        <w:rPr>
          <w:rFonts w:hint="eastAsia" w:ascii="宋体" w:hAnsi="宋体" w:eastAsia="宋体" w:cs="宋体"/>
          <w:b/>
          <w:i w:val="0"/>
          <w:caps w:val="0"/>
          <w:color w:val="auto"/>
          <w:spacing w:val="0"/>
          <w:w w:val="100"/>
          <w:sz w:val="32"/>
          <w:highlight w:val="none"/>
        </w:rPr>
        <w:br w:type="page"/>
      </w:r>
    </w:p>
    <w:p w14:paraId="5ADDC44C">
      <w:pPr>
        <w:pStyle w:val="3"/>
        <w:keepNext w:val="0"/>
        <w:keepLines w:val="0"/>
        <w:pageBreakBefore w:val="0"/>
        <w:widowControl/>
        <w:kinsoku/>
        <w:wordWrap/>
        <w:overflowPunct/>
        <w:topLinePunct w:val="0"/>
        <w:autoSpaceDE/>
        <w:autoSpaceDN/>
        <w:bidi w:val="0"/>
        <w:adjustRightInd w:val="0"/>
        <w:snapToGrid w:val="0"/>
        <w:spacing w:before="0" w:after="0" w:line="360" w:lineRule="auto"/>
        <w:jc w:val="center"/>
        <w:textAlignment w:val="auto"/>
        <w:rPr>
          <w:rFonts w:hint="eastAsia"/>
          <w:color w:val="auto"/>
          <w:sz w:val="24"/>
          <w:szCs w:val="24"/>
        </w:rPr>
      </w:pPr>
      <w:r>
        <w:rPr>
          <w:rFonts w:hint="eastAsia"/>
          <w:color w:val="auto"/>
          <w:sz w:val="24"/>
          <w:szCs w:val="24"/>
          <w:lang w:val="en-US" w:eastAsia="zh-CN"/>
        </w:rPr>
        <w:t xml:space="preserve">第一部分 </w:t>
      </w:r>
      <w:r>
        <w:rPr>
          <w:rFonts w:hint="eastAsia"/>
          <w:color w:val="auto"/>
          <w:sz w:val="24"/>
          <w:szCs w:val="24"/>
        </w:rPr>
        <w:t>合同协议书</w:t>
      </w:r>
      <w:bookmarkEnd w:id="456"/>
      <w:bookmarkEnd w:id="457"/>
      <w:bookmarkEnd w:id="458"/>
      <w:bookmarkEnd w:id="459"/>
      <w:bookmarkEnd w:id="460"/>
      <w:bookmarkEnd w:id="461"/>
      <w:bookmarkEnd w:id="462"/>
      <w:bookmarkEnd w:id="463"/>
    </w:p>
    <w:p w14:paraId="5BB48F6B">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u w:val="single"/>
        </w:rPr>
      </w:pPr>
      <w:r>
        <w:rPr>
          <w:rFonts w:hint="eastAsia" w:ascii="宋体" w:hAnsi="宋体" w:eastAsia="宋体" w:cs="宋体"/>
          <w:b/>
          <w:i w:val="0"/>
          <w:caps w:val="0"/>
          <w:color w:val="auto"/>
          <w:spacing w:val="0"/>
          <w:w w:val="100"/>
          <w:sz w:val="24"/>
          <w:highlight w:val="none"/>
        </w:rPr>
        <w:t>发包人（全称）：</w:t>
      </w:r>
      <w:r>
        <w:rPr>
          <w:rFonts w:hint="eastAsia" w:ascii="宋体" w:hAnsi="宋体" w:eastAsia="宋体" w:cs="宋体"/>
          <w:b/>
          <w:i w:val="0"/>
          <w:caps w:val="0"/>
          <w:color w:val="auto"/>
          <w:spacing w:val="0"/>
          <w:w w:val="100"/>
          <w:sz w:val="24"/>
          <w:highlight w:val="none"/>
          <w:u w:val="single" w:color="000000"/>
        </w:rPr>
        <w:t>                       </w:t>
      </w:r>
    </w:p>
    <w:p w14:paraId="4E2CE406">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u w:val="single"/>
          <w:lang w:val="en-US" w:eastAsia="zh-CN"/>
        </w:rPr>
      </w:pPr>
      <w:r>
        <w:rPr>
          <w:rFonts w:hint="eastAsia" w:ascii="宋体" w:hAnsi="宋体" w:eastAsia="宋体" w:cs="宋体"/>
          <w:b/>
          <w:i w:val="0"/>
          <w:caps w:val="0"/>
          <w:color w:val="auto"/>
          <w:spacing w:val="0"/>
          <w:w w:val="100"/>
          <w:sz w:val="24"/>
          <w:highlight w:val="none"/>
        </w:rPr>
        <w:t>承包人（全称）：</w:t>
      </w:r>
      <w:r>
        <w:rPr>
          <w:rFonts w:hint="eastAsia" w:ascii="宋体" w:hAnsi="宋体" w:eastAsia="宋体" w:cs="宋体"/>
          <w:b/>
          <w:i w:val="0"/>
          <w:caps w:val="0"/>
          <w:color w:val="auto"/>
          <w:spacing w:val="0"/>
          <w:w w:val="100"/>
          <w:sz w:val="24"/>
          <w:highlight w:val="none"/>
          <w:u w:val="single" w:color="000000"/>
        </w:rPr>
        <w:t>                      </w:t>
      </w:r>
      <w:r>
        <w:rPr>
          <w:rFonts w:hint="eastAsia" w:ascii="宋体" w:hAnsi="宋体" w:cs="宋体"/>
          <w:b/>
          <w:i w:val="0"/>
          <w:caps w:val="0"/>
          <w:color w:val="auto"/>
          <w:spacing w:val="0"/>
          <w:w w:val="100"/>
          <w:sz w:val="24"/>
          <w:highlight w:val="none"/>
          <w:u w:val="single" w:color="000000"/>
          <w:lang w:val="en-US" w:eastAsia="zh-CN"/>
        </w:rPr>
        <w:t xml:space="preserve"> </w:t>
      </w:r>
    </w:p>
    <w:p w14:paraId="60752F5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根据</w:t>
      </w:r>
      <w:r>
        <w:rPr>
          <w:rFonts w:hint="eastAsia" w:ascii="宋体" w:hAnsi="宋体" w:cs="宋体"/>
          <w:b w:val="0"/>
          <w:i w:val="0"/>
          <w:caps w:val="0"/>
          <w:color w:val="auto"/>
          <w:spacing w:val="0"/>
          <w:w w:val="100"/>
          <w:sz w:val="24"/>
          <w:highlight w:val="none"/>
          <w:lang w:eastAsia="zh-CN"/>
        </w:rPr>
        <w:t>《民法典.合同篇》</w:t>
      </w:r>
      <w:r>
        <w:rPr>
          <w:rFonts w:hint="eastAsia" w:ascii="宋体" w:hAnsi="宋体" w:eastAsia="宋体" w:cs="宋体"/>
          <w:b w:val="0"/>
          <w:i w:val="0"/>
          <w:caps w:val="0"/>
          <w:color w:val="auto"/>
          <w:spacing w:val="0"/>
          <w:w w:val="100"/>
          <w:sz w:val="24"/>
          <w:highlight w:val="none"/>
        </w:rPr>
        <w:t>及有关法律规定，遵循平等、自愿、公平和诚实信用的原则，双方就</w:t>
      </w:r>
    </w:p>
    <w:p w14:paraId="11FDBD2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工程施工及有关事项协商一致，共同达成如下协议：</w:t>
      </w:r>
    </w:p>
    <w:p w14:paraId="68613667">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64" w:name="_Toc351203481"/>
      <w:r>
        <w:rPr>
          <w:rFonts w:hint="eastAsia" w:ascii="宋体" w:hAnsi="宋体" w:eastAsia="宋体" w:cs="宋体"/>
          <w:b w:val="0"/>
          <w:bCs/>
          <w:i w:val="0"/>
          <w:caps w:val="0"/>
          <w:color w:val="auto"/>
          <w:spacing w:val="0"/>
          <w:w w:val="100"/>
          <w:sz w:val="24"/>
          <w:highlight w:val="none"/>
        </w:rPr>
        <w:t>一、工程概况</w:t>
      </w:r>
      <w:bookmarkEnd w:id="464"/>
    </w:p>
    <w:p w14:paraId="694065A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u w:val="single"/>
        </w:rPr>
      </w:pPr>
      <w:r>
        <w:rPr>
          <w:rFonts w:hint="eastAsia" w:ascii="宋体" w:hAnsi="宋体" w:eastAsia="宋体" w:cs="宋体"/>
          <w:b w:val="0"/>
          <w:bCs/>
          <w:i w:val="0"/>
          <w:caps w:val="0"/>
          <w:color w:val="auto"/>
          <w:spacing w:val="0"/>
          <w:w w:val="100"/>
          <w:sz w:val="24"/>
          <w:highlight w:val="none"/>
        </w:rPr>
        <w:t>1.工程名称</w:t>
      </w:r>
      <w:r>
        <w:rPr>
          <w:rFonts w:hint="eastAsia" w:ascii="宋体" w:hAnsi="宋体" w:eastAsia="宋体" w:cs="宋体"/>
          <w:b w:val="0"/>
          <w:i w:val="0"/>
          <w:caps w:val="0"/>
          <w:color w:val="auto"/>
          <w:spacing w:val="0"/>
          <w:w w:val="100"/>
          <w:sz w:val="24"/>
          <w:highlight w:val="none"/>
        </w:rPr>
        <w:t>：</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i w:val="0"/>
          <w:caps w:val="0"/>
          <w:color w:val="auto"/>
          <w:spacing w:val="0"/>
          <w:w w:val="100"/>
          <w:sz w:val="24"/>
          <w:highlight w:val="none"/>
        </w:rPr>
        <w:t>。</w:t>
      </w:r>
    </w:p>
    <w:p w14:paraId="716E26C7">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2.工程地点：</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i w:val="0"/>
          <w:caps w:val="0"/>
          <w:color w:val="auto"/>
          <w:spacing w:val="0"/>
          <w:w w:val="100"/>
          <w:sz w:val="24"/>
          <w:highlight w:val="none"/>
        </w:rPr>
        <w:t>。</w:t>
      </w:r>
    </w:p>
    <w:p w14:paraId="7F38F8DD">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3.工程立项批准文号：</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bCs/>
          <w:i w:val="0"/>
          <w:caps w:val="0"/>
          <w:color w:val="auto"/>
          <w:spacing w:val="0"/>
          <w:w w:val="100"/>
          <w:sz w:val="24"/>
          <w:highlight w:val="none"/>
        </w:rPr>
        <w:t>。</w:t>
      </w:r>
    </w:p>
    <w:p w14:paraId="7C6285AD">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4.资金来源：</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bCs/>
          <w:i w:val="0"/>
          <w:caps w:val="0"/>
          <w:color w:val="auto"/>
          <w:spacing w:val="0"/>
          <w:w w:val="100"/>
          <w:sz w:val="24"/>
          <w:highlight w:val="none"/>
        </w:rPr>
        <w:t>。</w:t>
      </w:r>
    </w:p>
    <w:p w14:paraId="77739A05">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5.工程内容：</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bCs/>
          <w:i w:val="0"/>
          <w:caps w:val="0"/>
          <w:color w:val="auto"/>
          <w:spacing w:val="0"/>
          <w:w w:val="100"/>
          <w:sz w:val="24"/>
          <w:highlight w:val="none"/>
        </w:rPr>
        <w:t>。</w:t>
      </w:r>
    </w:p>
    <w:p w14:paraId="765C33AF">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群体工程应附《承包人承揽工程项目一览表》（附件1）。</w:t>
      </w:r>
    </w:p>
    <w:p w14:paraId="212301A5">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6.工程承包范围：</w:t>
      </w:r>
    </w:p>
    <w:p w14:paraId="2A3B912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u w:val="single" w:color="000000"/>
        </w:rPr>
        <w:t>                        </w:t>
      </w:r>
      <w:r>
        <w:rPr>
          <w:rFonts w:hint="eastAsia" w:ascii="宋体" w:hAnsi="宋体" w:eastAsia="宋体" w:cs="宋体"/>
          <w:b w:val="0"/>
          <w:i w:val="0"/>
          <w:caps w:val="0"/>
          <w:color w:val="auto"/>
          <w:spacing w:val="0"/>
          <w:w w:val="100"/>
          <w:sz w:val="24"/>
          <w:highlight w:val="none"/>
        </w:rPr>
        <w:t>。</w:t>
      </w:r>
    </w:p>
    <w:p w14:paraId="1AED073B">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bookmarkStart w:id="465" w:name="_Toc351203482"/>
      <w:r>
        <w:rPr>
          <w:rFonts w:hint="eastAsia" w:ascii="宋体" w:hAnsi="宋体" w:eastAsia="宋体" w:cs="宋体"/>
          <w:b w:val="0"/>
          <w:bCs/>
          <w:i w:val="0"/>
          <w:caps w:val="0"/>
          <w:color w:val="auto"/>
          <w:spacing w:val="0"/>
          <w:w w:val="100"/>
          <w:sz w:val="24"/>
          <w:highlight w:val="none"/>
        </w:rPr>
        <w:t>二、合同工期</w:t>
      </w:r>
      <w:bookmarkEnd w:id="465"/>
    </w:p>
    <w:p w14:paraId="2370322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计划开工日期：</w:t>
      </w:r>
      <w:r>
        <w:rPr>
          <w:rFonts w:hint="eastAsia" w:ascii="宋体" w:hAnsi="宋体" w:eastAsia="宋体" w:cs="宋体"/>
          <w:b w:val="0"/>
          <w:i w:val="0"/>
          <w:caps w:val="0"/>
          <w:color w:val="auto"/>
          <w:spacing w:val="0"/>
          <w:w w:val="100"/>
          <w:sz w:val="24"/>
          <w:highlight w:val="none"/>
          <w:u w:val="single" w:color="000000"/>
        </w:rPr>
        <w:t></w:t>
      </w:r>
      <w:r>
        <w:rPr>
          <w:rFonts w:hint="eastAsia" w:ascii="宋体" w:hAnsi="宋体" w:eastAsia="宋体" w:cs="宋体"/>
          <w:b w:val="0"/>
          <w:i w:val="0"/>
          <w:caps w:val="0"/>
          <w:color w:val="auto"/>
          <w:spacing w:val="0"/>
          <w:w w:val="100"/>
          <w:sz w:val="24"/>
          <w:highlight w:val="none"/>
        </w:rPr>
        <w:t>年</w:t>
      </w:r>
      <w:r>
        <w:rPr>
          <w:rFonts w:hint="eastAsia" w:ascii="宋体" w:hAnsi="宋体" w:eastAsia="宋体" w:cs="宋体"/>
          <w:b w:val="0"/>
          <w:i w:val="0"/>
          <w:caps w:val="0"/>
          <w:color w:val="auto"/>
          <w:spacing w:val="0"/>
          <w:w w:val="100"/>
          <w:sz w:val="24"/>
          <w:highlight w:val="none"/>
          <w:u w:val="single" w:color="000000"/>
        </w:rPr>
        <w:t></w:t>
      </w:r>
      <w:r>
        <w:rPr>
          <w:rFonts w:hint="eastAsia" w:ascii="宋体" w:hAnsi="宋体" w:eastAsia="宋体" w:cs="宋体"/>
          <w:b w:val="0"/>
          <w:i w:val="0"/>
          <w:caps w:val="0"/>
          <w:color w:val="auto"/>
          <w:spacing w:val="0"/>
          <w:w w:val="100"/>
          <w:sz w:val="24"/>
          <w:highlight w:val="none"/>
        </w:rPr>
        <w:t>月</w:t>
      </w:r>
      <w:r>
        <w:rPr>
          <w:rFonts w:hint="eastAsia" w:ascii="宋体" w:hAnsi="宋体" w:eastAsia="宋体" w:cs="宋体"/>
          <w:b w:val="0"/>
          <w:i w:val="0"/>
          <w:caps w:val="0"/>
          <w:color w:val="auto"/>
          <w:spacing w:val="0"/>
          <w:w w:val="100"/>
          <w:sz w:val="24"/>
          <w:highlight w:val="none"/>
          <w:u w:val="single" w:color="000000"/>
        </w:rPr>
        <w:t></w:t>
      </w:r>
      <w:r>
        <w:rPr>
          <w:rFonts w:hint="eastAsia" w:ascii="宋体" w:hAnsi="宋体" w:eastAsia="宋体" w:cs="宋体"/>
          <w:b w:val="0"/>
          <w:i w:val="0"/>
          <w:caps w:val="0"/>
          <w:color w:val="auto"/>
          <w:spacing w:val="0"/>
          <w:w w:val="100"/>
          <w:sz w:val="24"/>
          <w:highlight w:val="none"/>
        </w:rPr>
        <w:t>日。</w:t>
      </w:r>
    </w:p>
    <w:p w14:paraId="667968E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计划完工日期：</w:t>
      </w:r>
      <w:r>
        <w:rPr>
          <w:rFonts w:hint="eastAsia" w:ascii="宋体" w:hAnsi="宋体" w:eastAsia="宋体" w:cs="宋体"/>
          <w:b w:val="0"/>
          <w:i w:val="0"/>
          <w:caps w:val="0"/>
          <w:color w:val="auto"/>
          <w:spacing w:val="0"/>
          <w:w w:val="100"/>
          <w:sz w:val="24"/>
          <w:highlight w:val="none"/>
          <w:u w:val="single" w:color="000000"/>
        </w:rPr>
        <w:t></w:t>
      </w:r>
      <w:r>
        <w:rPr>
          <w:rFonts w:hint="eastAsia" w:ascii="宋体" w:hAnsi="宋体" w:eastAsia="宋体" w:cs="宋体"/>
          <w:b w:val="0"/>
          <w:i w:val="0"/>
          <w:caps w:val="0"/>
          <w:color w:val="auto"/>
          <w:spacing w:val="0"/>
          <w:w w:val="100"/>
          <w:sz w:val="24"/>
          <w:highlight w:val="none"/>
        </w:rPr>
        <w:t>年</w:t>
      </w:r>
      <w:r>
        <w:rPr>
          <w:rFonts w:hint="eastAsia" w:ascii="宋体" w:hAnsi="宋体" w:eastAsia="宋体" w:cs="宋体"/>
          <w:b w:val="0"/>
          <w:i w:val="0"/>
          <w:caps w:val="0"/>
          <w:color w:val="auto"/>
          <w:spacing w:val="0"/>
          <w:w w:val="100"/>
          <w:sz w:val="24"/>
          <w:highlight w:val="none"/>
          <w:u w:val="single" w:color="000000"/>
        </w:rPr>
        <w:t></w:t>
      </w:r>
      <w:r>
        <w:rPr>
          <w:rFonts w:hint="eastAsia" w:ascii="宋体" w:hAnsi="宋体" w:eastAsia="宋体" w:cs="宋体"/>
          <w:b w:val="0"/>
          <w:i w:val="0"/>
          <w:caps w:val="0"/>
          <w:color w:val="auto"/>
          <w:spacing w:val="0"/>
          <w:w w:val="100"/>
          <w:sz w:val="24"/>
          <w:highlight w:val="none"/>
        </w:rPr>
        <w:t>月</w:t>
      </w:r>
      <w:r>
        <w:rPr>
          <w:rFonts w:hint="eastAsia" w:ascii="宋体" w:hAnsi="宋体" w:eastAsia="宋体" w:cs="宋体"/>
          <w:b w:val="0"/>
          <w:i w:val="0"/>
          <w:caps w:val="0"/>
          <w:color w:val="auto"/>
          <w:spacing w:val="0"/>
          <w:w w:val="100"/>
          <w:sz w:val="24"/>
          <w:highlight w:val="none"/>
          <w:u w:val="single" w:color="000000"/>
        </w:rPr>
        <w:t></w:t>
      </w:r>
      <w:r>
        <w:rPr>
          <w:rFonts w:hint="eastAsia" w:ascii="宋体" w:hAnsi="宋体" w:eastAsia="宋体" w:cs="宋体"/>
          <w:b w:val="0"/>
          <w:i w:val="0"/>
          <w:caps w:val="0"/>
          <w:color w:val="auto"/>
          <w:spacing w:val="0"/>
          <w:w w:val="100"/>
          <w:sz w:val="24"/>
          <w:highlight w:val="none"/>
        </w:rPr>
        <w:t>日。</w:t>
      </w:r>
    </w:p>
    <w:p w14:paraId="3FA49C2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工期总日历天数：</w:t>
      </w:r>
      <w:r>
        <w:rPr>
          <w:rFonts w:hint="eastAsia" w:ascii="宋体" w:hAnsi="宋体" w:eastAsia="宋体" w:cs="宋体"/>
          <w:b w:val="0"/>
          <w:i w:val="0"/>
          <w:caps w:val="0"/>
          <w:color w:val="auto"/>
          <w:spacing w:val="0"/>
          <w:w w:val="100"/>
          <w:sz w:val="24"/>
          <w:highlight w:val="none"/>
          <w:u w:val="single" w:color="000000"/>
        </w:rPr>
        <w:t></w:t>
      </w:r>
      <w:r>
        <w:rPr>
          <w:rFonts w:hint="eastAsia" w:ascii="宋体" w:hAnsi="宋体" w:eastAsia="宋体" w:cs="宋体"/>
          <w:b w:val="0"/>
          <w:i w:val="0"/>
          <w:caps w:val="0"/>
          <w:color w:val="auto"/>
          <w:spacing w:val="0"/>
          <w:w w:val="100"/>
          <w:sz w:val="24"/>
          <w:highlight w:val="none"/>
        </w:rPr>
        <w:t>天。工期总日历天数与根据前述计划开完工日期计算的工期天数不一致的，以工期总日历天数为准。</w:t>
      </w:r>
    </w:p>
    <w:p w14:paraId="6BF0C03F">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66" w:name="_Toc351203483"/>
      <w:r>
        <w:rPr>
          <w:rFonts w:hint="eastAsia" w:ascii="宋体" w:hAnsi="宋体" w:eastAsia="宋体" w:cs="宋体"/>
          <w:b w:val="0"/>
          <w:bCs/>
          <w:i w:val="0"/>
          <w:caps w:val="0"/>
          <w:color w:val="auto"/>
          <w:spacing w:val="0"/>
          <w:w w:val="100"/>
          <w:sz w:val="24"/>
          <w:highlight w:val="none"/>
        </w:rPr>
        <w:t>三、质量标准</w:t>
      </w:r>
      <w:bookmarkEnd w:id="466"/>
    </w:p>
    <w:p w14:paraId="22C80E7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工程质量符合</w:t>
      </w:r>
      <w:r>
        <w:rPr>
          <w:rFonts w:hint="eastAsia" w:ascii="宋体" w:hAnsi="宋体" w:eastAsia="宋体" w:cs="宋体"/>
          <w:b w:val="0"/>
          <w:i w:val="0"/>
          <w:caps w:val="0"/>
          <w:color w:val="auto"/>
          <w:spacing w:val="0"/>
          <w:w w:val="100"/>
          <w:sz w:val="24"/>
          <w:highlight w:val="none"/>
          <w:u w:val="single" w:color="000000"/>
        </w:rPr>
        <w:t> </w:t>
      </w:r>
      <w:r>
        <w:rPr>
          <w:rFonts w:hint="eastAsia" w:ascii="宋体" w:hAnsi="宋体" w:eastAsia="宋体" w:cs="宋体"/>
          <w:b w:val="0"/>
          <w:i w:val="0"/>
          <w:caps w:val="0"/>
          <w:color w:val="auto"/>
          <w:spacing w:val="0"/>
          <w:w w:val="100"/>
          <w:sz w:val="24"/>
          <w:highlight w:val="none"/>
        </w:rPr>
        <w:t>标准。</w:t>
      </w:r>
    </w:p>
    <w:p w14:paraId="3DD4F7A4">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67" w:name="_Toc351203484"/>
      <w:bookmarkStart w:id="468" w:name="_Toc351203486"/>
      <w:r>
        <w:rPr>
          <w:rFonts w:hint="eastAsia" w:ascii="宋体" w:hAnsi="宋体" w:eastAsia="宋体" w:cs="宋体"/>
          <w:b w:val="0"/>
          <w:bCs/>
          <w:i w:val="0"/>
          <w:caps w:val="0"/>
          <w:color w:val="auto"/>
          <w:spacing w:val="0"/>
          <w:w w:val="100"/>
          <w:sz w:val="24"/>
          <w:highlight w:val="none"/>
        </w:rPr>
        <w:t>四、签约合同价与合同价格形式</w:t>
      </w:r>
      <w:bookmarkEnd w:id="467"/>
      <w:r>
        <w:rPr>
          <w:rFonts w:hint="eastAsia" w:ascii="宋体" w:hAnsi="宋体" w:eastAsia="宋体" w:cs="宋体"/>
          <w:b w:val="0"/>
          <w:bCs/>
          <w:i w:val="0"/>
          <w:caps w:val="0"/>
          <w:color w:val="auto"/>
          <w:spacing w:val="0"/>
          <w:w w:val="100"/>
          <w:sz w:val="24"/>
          <w:highlight w:val="none"/>
        </w:rPr>
        <w:tab/>
      </w:r>
    </w:p>
    <w:p w14:paraId="79BBA24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1.签约合同价为：</w:t>
      </w:r>
    </w:p>
    <w:p w14:paraId="17CE68B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人民币（大写）</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元）</w:t>
      </w:r>
    </w:p>
    <w:p w14:paraId="3D8468E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 xml:space="preserve">其中： </w:t>
      </w:r>
    </w:p>
    <w:p w14:paraId="3E754CC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（1）安全文明施工费：</w:t>
      </w:r>
    </w:p>
    <w:p w14:paraId="5EA0C36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人民币（大写）</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元）</w:t>
      </w:r>
    </w:p>
    <w:p w14:paraId="3881EA0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（2）材料和工程设备暂估价金额：</w:t>
      </w:r>
    </w:p>
    <w:p w14:paraId="70414C1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人民币（大写）</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元）</w:t>
      </w:r>
    </w:p>
    <w:p w14:paraId="56C89BF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（3）专业工程暂估价金额：</w:t>
      </w:r>
    </w:p>
    <w:p w14:paraId="0CD8C98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人民币（大写）</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元）</w:t>
      </w:r>
    </w:p>
    <w:p w14:paraId="655D519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（4）暂列金额：</w:t>
      </w:r>
    </w:p>
    <w:p w14:paraId="2992CD1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人民币（大写）</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元）</w:t>
      </w:r>
    </w:p>
    <w:p w14:paraId="7B8F4C95">
      <w:pPr>
        <w:numPr>
          <w:ilvl w:val="0"/>
          <w:numId w:val="6"/>
        </w:num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highlight w:val="none"/>
          <w:lang w:eastAsia="zh-CN"/>
        </w:rPr>
      </w:pPr>
      <w:r>
        <w:rPr>
          <w:rFonts w:hint="eastAsia" w:ascii="宋体" w:hAnsi="宋体" w:eastAsia="宋体" w:cs="宋体"/>
          <w:b w:val="0"/>
          <w:i w:val="0"/>
          <w:caps w:val="0"/>
          <w:color w:val="auto"/>
          <w:spacing w:val="0"/>
          <w:w w:val="100"/>
          <w:sz w:val="24"/>
          <w:highlight w:val="none"/>
          <w:lang w:eastAsia="zh-CN"/>
        </w:rPr>
        <w:t>付款方式：</w:t>
      </w:r>
      <w:r>
        <w:rPr>
          <w:rFonts w:hint="eastAsia" w:ascii="宋体" w:hAnsi="宋体" w:cs="宋体"/>
          <w:b w:val="0"/>
          <w:i w:val="0"/>
          <w:caps w:val="0"/>
          <w:color w:val="auto"/>
          <w:spacing w:val="0"/>
          <w:w w:val="100"/>
          <w:sz w:val="24"/>
          <w:highlight w:val="none"/>
          <w:lang w:val="en-US" w:eastAsia="zh-CN"/>
        </w:rPr>
        <w:t>签订合同时约定。</w:t>
      </w:r>
    </w:p>
    <w:p w14:paraId="0DEE33B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2.合同价格形式：</w:t>
      </w:r>
      <w:r>
        <w:rPr>
          <w:rFonts w:hint="eastAsia" w:ascii="宋体" w:hAnsi="宋体" w:eastAsia="宋体" w:cs="宋体"/>
          <w:b w:val="0"/>
          <w:i w:val="0"/>
          <w:caps w:val="0"/>
          <w:color w:val="auto"/>
          <w:spacing w:val="0"/>
          <w:w w:val="100"/>
          <w:sz w:val="24"/>
          <w:highlight w:val="none"/>
          <w:u w:val="single" w:color="000000"/>
        </w:rPr>
        <w:t>                      </w:t>
      </w:r>
      <w:r>
        <w:rPr>
          <w:rFonts w:hint="eastAsia" w:ascii="宋体" w:hAnsi="宋体" w:eastAsia="宋体" w:cs="宋体"/>
          <w:b w:val="0"/>
          <w:i w:val="0"/>
          <w:caps w:val="0"/>
          <w:color w:val="auto"/>
          <w:spacing w:val="0"/>
          <w:w w:val="100"/>
          <w:sz w:val="24"/>
          <w:highlight w:val="none"/>
        </w:rPr>
        <w:t>。</w:t>
      </w:r>
    </w:p>
    <w:p w14:paraId="02481A6D">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bookmarkStart w:id="469" w:name="_Toc351203485"/>
      <w:r>
        <w:rPr>
          <w:rFonts w:hint="eastAsia" w:ascii="宋体" w:hAnsi="宋体" w:eastAsia="宋体" w:cs="宋体"/>
          <w:b w:val="0"/>
          <w:bCs/>
          <w:i w:val="0"/>
          <w:caps w:val="0"/>
          <w:color w:val="auto"/>
          <w:spacing w:val="0"/>
          <w:w w:val="100"/>
          <w:sz w:val="24"/>
          <w:highlight w:val="none"/>
        </w:rPr>
        <w:t>五、</w:t>
      </w:r>
      <w:bookmarkEnd w:id="469"/>
      <w:r>
        <w:rPr>
          <w:rFonts w:hint="eastAsia" w:ascii="宋体" w:hAnsi="宋体" w:eastAsia="宋体" w:cs="宋体"/>
          <w:b w:val="0"/>
          <w:bCs/>
          <w:i w:val="0"/>
          <w:caps w:val="0"/>
          <w:color w:val="auto"/>
          <w:spacing w:val="0"/>
          <w:w w:val="100"/>
          <w:sz w:val="24"/>
          <w:highlight w:val="none"/>
        </w:rPr>
        <w:t>项目经理</w:t>
      </w:r>
    </w:p>
    <w:p w14:paraId="484AE27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承包人项目经理：</w:t>
      </w:r>
      <w:r>
        <w:rPr>
          <w:rFonts w:hint="eastAsia" w:ascii="宋体" w:hAnsi="宋体" w:eastAsia="宋体" w:cs="宋体"/>
          <w:b w:val="0"/>
          <w:i w:val="0"/>
          <w:caps w:val="0"/>
          <w:color w:val="auto"/>
          <w:spacing w:val="0"/>
          <w:w w:val="100"/>
          <w:sz w:val="24"/>
          <w:highlight w:val="none"/>
          <w:u w:val="single" w:color="000000"/>
        </w:rPr>
        <w:t>                     </w:t>
      </w:r>
      <w:r>
        <w:rPr>
          <w:rFonts w:hint="eastAsia" w:ascii="宋体" w:hAnsi="宋体" w:eastAsia="宋体" w:cs="宋体"/>
          <w:b w:val="0"/>
          <w:i w:val="0"/>
          <w:caps w:val="0"/>
          <w:color w:val="auto"/>
          <w:spacing w:val="0"/>
          <w:w w:val="100"/>
          <w:sz w:val="24"/>
          <w:highlight w:val="none"/>
        </w:rPr>
        <w:t>。</w:t>
      </w:r>
    </w:p>
    <w:p w14:paraId="428C1D50">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六、合同文件构成</w:t>
      </w:r>
      <w:bookmarkEnd w:id="468"/>
    </w:p>
    <w:p w14:paraId="06CF1B23">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本协议书与下列文件一起构成合同文件：</w:t>
      </w:r>
    </w:p>
    <w:p w14:paraId="7928142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（1）中标通知书（如果有）；</w:t>
      </w:r>
    </w:p>
    <w:p w14:paraId="20926C6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（2）响应函及其附录（如果有）；</w:t>
      </w:r>
    </w:p>
    <w:p w14:paraId="17860E7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（3）专用合同条款及其附件；</w:t>
      </w:r>
    </w:p>
    <w:p w14:paraId="5AF46D6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（4）通用合同条款；</w:t>
      </w:r>
    </w:p>
    <w:p w14:paraId="412CC72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（5）技术标准和要求；</w:t>
      </w:r>
    </w:p>
    <w:p w14:paraId="31077EB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（6）图纸（如有）；</w:t>
      </w:r>
    </w:p>
    <w:p w14:paraId="27F4B91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（7）已标价工程量清单或预算书；</w:t>
      </w:r>
    </w:p>
    <w:p w14:paraId="5E28071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（8）其他合同文件。</w:t>
      </w:r>
    </w:p>
    <w:p w14:paraId="415E94F3">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在合同订立及履行过程中形成的与合同有关的文件均构成合同文件组成部分。</w:t>
      </w:r>
    </w:p>
    <w:p w14:paraId="2AF5D8A6">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上述各项合同文件包括合同当事人就该项合同文件所作出的补充和修改，属于同一类内容的文件，应以最新签署的为准。专用合同条款及其附件须经合同当事人签字或盖章。</w:t>
      </w:r>
    </w:p>
    <w:p w14:paraId="397E3F7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bookmarkStart w:id="470" w:name="_Toc351203487"/>
      <w:r>
        <w:rPr>
          <w:rFonts w:hint="eastAsia" w:ascii="宋体" w:hAnsi="宋体" w:eastAsia="宋体" w:cs="宋体"/>
          <w:b w:val="0"/>
          <w:bCs/>
          <w:i w:val="0"/>
          <w:caps w:val="0"/>
          <w:color w:val="auto"/>
          <w:spacing w:val="0"/>
          <w:w w:val="100"/>
          <w:sz w:val="24"/>
          <w:highlight w:val="none"/>
        </w:rPr>
        <w:t>七、承诺</w:t>
      </w:r>
      <w:bookmarkEnd w:id="470"/>
    </w:p>
    <w:p w14:paraId="48304453">
      <w:pPr>
        <w:snapToGrid w:val="0"/>
        <w:spacing w:before="0" w:beforeAutospacing="0" w:after="0" w:afterAutospacing="0" w:line="360" w:lineRule="auto"/>
        <w:ind w:firstLine="480" w:firstLineChars="200"/>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1.发包人承诺按照法律规定履行项目审批手续、筹集工程建设资金并按照合同约定的期限和方式支付合同价款。</w:t>
      </w:r>
    </w:p>
    <w:p w14:paraId="6666CD27">
      <w:pPr>
        <w:snapToGrid w:val="0"/>
        <w:spacing w:before="0" w:beforeAutospacing="0" w:after="0" w:afterAutospacing="0" w:line="360" w:lineRule="auto"/>
        <w:ind w:firstLine="480" w:firstLineChars="200"/>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2.承包人承诺按照法律规定及合同约定组织完成工程施工，确保工程质量和安全，不进行转包及违法分包，并在缺陷责任期及保修期内承担相应的工程维修责任。</w:t>
      </w:r>
    </w:p>
    <w:p w14:paraId="417DD136">
      <w:pPr>
        <w:snapToGrid w:val="0"/>
        <w:spacing w:before="0" w:beforeAutospacing="0" w:after="0" w:afterAutospacing="0" w:line="360" w:lineRule="auto"/>
        <w:ind w:firstLine="424" w:firstLineChars="177"/>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3.发包人和承包人通过招谈判形式签订合同的，双方理解并承诺不再就同一工程另行签订与合同实质性内容相背离的协议。</w:t>
      </w:r>
    </w:p>
    <w:p w14:paraId="6630C531">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bookmarkStart w:id="471" w:name="_Toc351203488"/>
      <w:r>
        <w:rPr>
          <w:rFonts w:hint="eastAsia" w:ascii="宋体" w:hAnsi="宋体" w:eastAsia="宋体" w:cs="宋体"/>
          <w:b/>
          <w:i w:val="0"/>
          <w:caps w:val="0"/>
          <w:color w:val="auto"/>
          <w:spacing w:val="0"/>
          <w:w w:val="100"/>
          <w:sz w:val="24"/>
          <w:highlight w:val="none"/>
        </w:rPr>
        <w:t>八、词语含义</w:t>
      </w:r>
      <w:bookmarkEnd w:id="471"/>
    </w:p>
    <w:p w14:paraId="463E1112">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本协议书中词语含义与第二部分通用合同条款中赋予的含义相同。</w:t>
      </w:r>
    </w:p>
    <w:p w14:paraId="6A79D9E8">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72" w:name="_Toc351203489"/>
      <w:r>
        <w:rPr>
          <w:rFonts w:hint="eastAsia" w:ascii="宋体" w:hAnsi="宋体" w:eastAsia="宋体" w:cs="宋体"/>
          <w:b w:val="0"/>
          <w:bCs/>
          <w:i w:val="0"/>
          <w:caps w:val="0"/>
          <w:color w:val="auto"/>
          <w:spacing w:val="0"/>
          <w:w w:val="100"/>
          <w:sz w:val="24"/>
          <w:highlight w:val="none"/>
        </w:rPr>
        <w:t>九、签订时间</w:t>
      </w:r>
      <w:bookmarkEnd w:id="472"/>
    </w:p>
    <w:p w14:paraId="44F623F5">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本合同于</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年</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月</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日签订。</w:t>
      </w:r>
    </w:p>
    <w:p w14:paraId="30E6B6F9">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73" w:name="_Toc351203490"/>
      <w:r>
        <w:rPr>
          <w:rFonts w:hint="eastAsia" w:ascii="宋体" w:hAnsi="宋体" w:eastAsia="宋体" w:cs="宋体"/>
          <w:b w:val="0"/>
          <w:bCs/>
          <w:i w:val="0"/>
          <w:caps w:val="0"/>
          <w:color w:val="auto"/>
          <w:spacing w:val="0"/>
          <w:w w:val="100"/>
          <w:sz w:val="24"/>
          <w:highlight w:val="none"/>
        </w:rPr>
        <w:t>十、签订地点</w:t>
      </w:r>
      <w:bookmarkEnd w:id="473"/>
    </w:p>
    <w:p w14:paraId="6BB9A4A9">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本合同在</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签订。</w:t>
      </w:r>
    </w:p>
    <w:p w14:paraId="2DE1B58C">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74" w:name="_Toc351203491"/>
      <w:r>
        <w:rPr>
          <w:rFonts w:hint="eastAsia" w:ascii="宋体" w:hAnsi="宋体" w:eastAsia="宋体" w:cs="宋体"/>
          <w:b w:val="0"/>
          <w:bCs/>
          <w:i w:val="0"/>
          <w:caps w:val="0"/>
          <w:color w:val="auto"/>
          <w:spacing w:val="0"/>
          <w:w w:val="100"/>
          <w:sz w:val="24"/>
          <w:highlight w:val="none"/>
        </w:rPr>
        <w:t>十一、补充协议</w:t>
      </w:r>
      <w:bookmarkEnd w:id="474"/>
    </w:p>
    <w:p w14:paraId="17EAEAE7">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合同未尽事宜，合同当事人另行签订补充协议，补充协议是合同的组成部分。</w:t>
      </w:r>
    </w:p>
    <w:p w14:paraId="43383B43">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75" w:name="_Toc351203492"/>
      <w:r>
        <w:rPr>
          <w:rFonts w:hint="eastAsia" w:ascii="宋体" w:hAnsi="宋体" w:eastAsia="宋体" w:cs="宋体"/>
          <w:b w:val="0"/>
          <w:bCs/>
          <w:i w:val="0"/>
          <w:caps w:val="0"/>
          <w:color w:val="auto"/>
          <w:spacing w:val="0"/>
          <w:w w:val="100"/>
          <w:sz w:val="24"/>
          <w:highlight w:val="none"/>
        </w:rPr>
        <w:t>十二、合同生效</w:t>
      </w:r>
      <w:bookmarkEnd w:id="475"/>
    </w:p>
    <w:p w14:paraId="44848704">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本合同自</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生效。</w:t>
      </w:r>
    </w:p>
    <w:p w14:paraId="2C000046">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bookmarkStart w:id="476" w:name="_Toc351203493"/>
      <w:r>
        <w:rPr>
          <w:rFonts w:hint="eastAsia" w:ascii="宋体" w:hAnsi="宋体" w:eastAsia="宋体" w:cs="宋体"/>
          <w:b w:val="0"/>
          <w:bCs/>
          <w:i w:val="0"/>
          <w:caps w:val="0"/>
          <w:color w:val="auto"/>
          <w:spacing w:val="0"/>
          <w:w w:val="100"/>
          <w:sz w:val="24"/>
          <w:highlight w:val="none"/>
        </w:rPr>
        <w:t>十三、合同份数</w:t>
      </w:r>
      <w:bookmarkEnd w:id="476"/>
    </w:p>
    <w:p w14:paraId="08D7A257">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本合同一式</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份，均具有同等法律效力，发包人执</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份，承包人执</w:t>
      </w:r>
      <w:r>
        <w:rPr>
          <w:rFonts w:hint="eastAsia" w:ascii="宋体" w:hAnsi="宋体" w:eastAsia="宋体" w:cs="宋体"/>
          <w:b w:val="0"/>
          <w:bCs/>
          <w:i w:val="0"/>
          <w:caps w:val="0"/>
          <w:color w:val="auto"/>
          <w:spacing w:val="0"/>
          <w:w w:val="100"/>
          <w:sz w:val="24"/>
          <w:highlight w:val="none"/>
          <w:u w:val="single" w:color="000000"/>
        </w:rPr>
        <w:t xml:space="preserve">     </w:t>
      </w:r>
      <w:r>
        <w:rPr>
          <w:rFonts w:hint="eastAsia" w:ascii="宋体" w:hAnsi="宋体" w:eastAsia="宋体" w:cs="宋体"/>
          <w:b w:val="0"/>
          <w:bCs/>
          <w:i w:val="0"/>
          <w:caps w:val="0"/>
          <w:color w:val="auto"/>
          <w:spacing w:val="0"/>
          <w:w w:val="100"/>
          <w:sz w:val="24"/>
          <w:highlight w:val="none"/>
        </w:rPr>
        <w:t>份。</w:t>
      </w:r>
    </w:p>
    <w:p w14:paraId="17BDC3D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282961FE">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rPr>
      </w:pPr>
    </w:p>
    <w:p w14:paraId="4575B48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发包人：  (公章)                         承包人：  (公章)</w:t>
      </w:r>
    </w:p>
    <w:p w14:paraId="63BA061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u w:val="single"/>
        </w:rPr>
      </w:pPr>
    </w:p>
    <w:p w14:paraId="30D0628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法定代表人或其委托代理人：（签字）       法定代表人或其委托代理人：（签字）</w:t>
      </w:r>
    </w:p>
    <w:p w14:paraId="62B7E8F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u w:val="single"/>
        </w:rPr>
      </w:pPr>
    </w:p>
    <w:p w14:paraId="1FB0DEC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组织机构代码：</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i w:val="0"/>
          <w:caps w:val="0"/>
          <w:color w:val="auto"/>
          <w:spacing w:val="0"/>
          <w:w w:val="100"/>
          <w:sz w:val="24"/>
          <w:highlight w:val="none"/>
        </w:rPr>
        <w:t xml:space="preserve">       组织机构代码：</w:t>
      </w:r>
      <w:r>
        <w:rPr>
          <w:rFonts w:hint="eastAsia" w:ascii="宋体" w:hAnsi="宋体" w:eastAsia="宋体" w:cs="宋体"/>
          <w:b w:val="0"/>
          <w:i w:val="0"/>
          <w:caps w:val="0"/>
          <w:color w:val="auto"/>
          <w:spacing w:val="0"/>
          <w:w w:val="100"/>
          <w:sz w:val="24"/>
          <w:highlight w:val="none"/>
          <w:u w:val="single" w:color="000000"/>
        </w:rPr>
        <w:t xml:space="preserve">                    </w:t>
      </w:r>
    </w:p>
    <w:p w14:paraId="609A4B4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2933A70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地址：</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i w:val="0"/>
          <w:caps w:val="0"/>
          <w:color w:val="auto"/>
          <w:spacing w:val="0"/>
          <w:w w:val="100"/>
          <w:sz w:val="24"/>
          <w:highlight w:val="none"/>
        </w:rPr>
        <w:t xml:space="preserve">       地址：</w:t>
      </w:r>
      <w:r>
        <w:rPr>
          <w:rFonts w:hint="eastAsia" w:ascii="宋体" w:hAnsi="宋体" w:eastAsia="宋体" w:cs="宋体"/>
          <w:b w:val="0"/>
          <w:i w:val="0"/>
          <w:caps w:val="0"/>
          <w:color w:val="auto"/>
          <w:spacing w:val="0"/>
          <w:w w:val="100"/>
          <w:sz w:val="24"/>
          <w:highlight w:val="none"/>
          <w:u w:val="single" w:color="000000"/>
        </w:rPr>
        <w:t xml:space="preserve">                  </w:t>
      </w:r>
    </w:p>
    <w:p w14:paraId="73C7FB9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07F4692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邮政编码：</w:t>
      </w:r>
      <w:r>
        <w:rPr>
          <w:rFonts w:hint="eastAsia" w:ascii="宋体" w:hAnsi="宋体" w:eastAsia="宋体" w:cs="宋体"/>
          <w:b w:val="0"/>
          <w:i w:val="0"/>
          <w:caps w:val="0"/>
          <w:color w:val="auto"/>
          <w:spacing w:val="0"/>
          <w:w w:val="100"/>
          <w:sz w:val="24"/>
          <w:highlight w:val="none"/>
          <w:u w:val="single" w:color="000000"/>
        </w:rPr>
        <w:t xml:space="preserve">           </w:t>
      </w:r>
      <w:r>
        <w:rPr>
          <w:rFonts w:hint="eastAsia" w:ascii="宋体" w:hAnsi="宋体" w:eastAsia="宋体" w:cs="宋体"/>
          <w:b w:val="0"/>
          <w:i w:val="0"/>
          <w:caps w:val="0"/>
          <w:color w:val="auto"/>
          <w:spacing w:val="0"/>
          <w:w w:val="100"/>
          <w:sz w:val="24"/>
          <w:highlight w:val="none"/>
        </w:rPr>
        <w:t xml:space="preserve">       邮政编码：</w:t>
      </w:r>
      <w:r>
        <w:rPr>
          <w:rFonts w:hint="eastAsia" w:ascii="宋体" w:hAnsi="宋体" w:eastAsia="宋体" w:cs="宋体"/>
          <w:b w:val="0"/>
          <w:i w:val="0"/>
          <w:caps w:val="0"/>
          <w:color w:val="auto"/>
          <w:spacing w:val="0"/>
          <w:w w:val="100"/>
          <w:sz w:val="24"/>
          <w:highlight w:val="none"/>
          <w:u w:val="single" w:color="000000"/>
        </w:rPr>
        <w:t xml:space="preserve">          </w:t>
      </w:r>
    </w:p>
    <w:p w14:paraId="5F8AC00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75436D2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法定代表人：</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i w:val="0"/>
          <w:caps w:val="0"/>
          <w:color w:val="auto"/>
          <w:spacing w:val="0"/>
          <w:w w:val="100"/>
          <w:sz w:val="24"/>
          <w:highlight w:val="none"/>
        </w:rPr>
        <w:t xml:space="preserve">        法定代表人：</w:t>
      </w:r>
      <w:r>
        <w:rPr>
          <w:rFonts w:hint="eastAsia" w:ascii="宋体" w:hAnsi="宋体" w:eastAsia="宋体" w:cs="宋体"/>
          <w:b w:val="0"/>
          <w:i w:val="0"/>
          <w:caps w:val="0"/>
          <w:color w:val="auto"/>
          <w:spacing w:val="0"/>
          <w:w w:val="100"/>
          <w:sz w:val="24"/>
          <w:highlight w:val="none"/>
          <w:u w:val="single" w:color="000000"/>
        </w:rPr>
        <w:t xml:space="preserve">                      </w:t>
      </w:r>
    </w:p>
    <w:p w14:paraId="159366D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7ECEA7A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委托代理人：</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 xml:space="preserve">        委托代理人：</w:t>
      </w:r>
      <w:r>
        <w:rPr>
          <w:rFonts w:hint="eastAsia" w:ascii="宋体" w:hAnsi="宋体" w:eastAsia="宋体" w:cs="宋体"/>
          <w:b w:val="0"/>
          <w:i w:val="0"/>
          <w:caps w:val="0"/>
          <w:color w:val="auto"/>
          <w:spacing w:val="0"/>
          <w:w w:val="100"/>
          <w:sz w:val="24"/>
          <w:highlight w:val="none"/>
          <w:u w:val="single" w:color="000000"/>
        </w:rPr>
        <w:t xml:space="preserve">                             </w:t>
      </w:r>
    </w:p>
    <w:p w14:paraId="286DD7C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24DFE97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电话：</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 xml:space="preserve">        电话：</w:t>
      </w:r>
      <w:r>
        <w:rPr>
          <w:rFonts w:hint="eastAsia" w:ascii="宋体" w:hAnsi="宋体" w:eastAsia="宋体" w:cs="宋体"/>
          <w:b w:val="0"/>
          <w:i w:val="0"/>
          <w:caps w:val="0"/>
          <w:color w:val="auto"/>
          <w:spacing w:val="0"/>
          <w:w w:val="100"/>
          <w:sz w:val="24"/>
          <w:highlight w:val="none"/>
          <w:u w:val="single" w:color="000000"/>
        </w:rPr>
        <w:t xml:space="preserve">               </w:t>
      </w:r>
    </w:p>
    <w:p w14:paraId="06A4230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1BF4A24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传真：</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 xml:space="preserve">         传真：</w:t>
      </w:r>
      <w:r>
        <w:rPr>
          <w:rFonts w:hint="eastAsia" w:ascii="宋体" w:hAnsi="宋体" w:eastAsia="宋体" w:cs="宋体"/>
          <w:b w:val="0"/>
          <w:i w:val="0"/>
          <w:caps w:val="0"/>
          <w:color w:val="auto"/>
          <w:spacing w:val="0"/>
          <w:w w:val="100"/>
          <w:sz w:val="24"/>
          <w:highlight w:val="none"/>
          <w:u w:val="single" w:color="000000"/>
        </w:rPr>
        <w:t xml:space="preserve">             </w:t>
      </w:r>
    </w:p>
    <w:p w14:paraId="5E3F741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0AB8198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电子信箱：</w:t>
      </w: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 xml:space="preserve">         电子信箱：</w:t>
      </w:r>
      <w:r>
        <w:rPr>
          <w:rFonts w:hint="eastAsia" w:ascii="宋体" w:hAnsi="宋体" w:eastAsia="宋体" w:cs="宋体"/>
          <w:b w:val="0"/>
          <w:i w:val="0"/>
          <w:caps w:val="0"/>
          <w:color w:val="auto"/>
          <w:spacing w:val="0"/>
          <w:w w:val="100"/>
          <w:sz w:val="24"/>
          <w:highlight w:val="none"/>
          <w:u w:val="single" w:color="000000"/>
        </w:rPr>
        <w:t xml:space="preserve">        </w:t>
      </w:r>
    </w:p>
    <w:p w14:paraId="0C5DC26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09CC220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开户银行：</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i w:val="0"/>
          <w:caps w:val="0"/>
          <w:color w:val="auto"/>
          <w:spacing w:val="0"/>
          <w:w w:val="100"/>
          <w:sz w:val="24"/>
          <w:highlight w:val="none"/>
        </w:rPr>
        <w:t xml:space="preserve">         开户银行：</w:t>
      </w:r>
      <w:r>
        <w:rPr>
          <w:rFonts w:hint="eastAsia" w:ascii="宋体" w:hAnsi="宋体" w:eastAsia="宋体" w:cs="宋体"/>
          <w:b w:val="0"/>
          <w:i w:val="0"/>
          <w:caps w:val="0"/>
          <w:color w:val="auto"/>
          <w:spacing w:val="0"/>
          <w:w w:val="100"/>
          <w:sz w:val="24"/>
          <w:highlight w:val="none"/>
          <w:u w:val="single" w:color="000000"/>
        </w:rPr>
        <w:t xml:space="preserve">       </w:t>
      </w:r>
    </w:p>
    <w:p w14:paraId="4E75873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4E25F0F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u w:val="single"/>
        </w:rPr>
      </w:pPr>
      <w:r>
        <w:rPr>
          <w:rFonts w:hint="eastAsia" w:ascii="宋体" w:hAnsi="宋体" w:eastAsia="宋体" w:cs="宋体"/>
          <w:b w:val="0"/>
          <w:i w:val="0"/>
          <w:caps w:val="0"/>
          <w:color w:val="auto"/>
          <w:spacing w:val="0"/>
          <w:w w:val="100"/>
          <w:sz w:val="24"/>
          <w:highlight w:val="none"/>
        </w:rPr>
        <w:t>账号：</w:t>
      </w:r>
      <w:r>
        <w:rPr>
          <w:rFonts w:hint="eastAsia" w:ascii="宋体" w:hAnsi="宋体" w:eastAsia="宋体" w:cs="宋体"/>
          <w:b w:val="0"/>
          <w:i w:val="0"/>
          <w:caps w:val="0"/>
          <w:color w:val="auto"/>
          <w:spacing w:val="0"/>
          <w:w w:val="100"/>
          <w:sz w:val="24"/>
          <w:highlight w:val="none"/>
          <w:u w:val="single" w:color="000000"/>
        </w:rPr>
        <w:t xml:space="preserve">              </w:t>
      </w:r>
      <w:r>
        <w:rPr>
          <w:rFonts w:hint="eastAsia" w:ascii="宋体" w:hAnsi="宋体" w:eastAsia="宋体" w:cs="宋体"/>
          <w:b w:val="0"/>
          <w:i w:val="0"/>
          <w:caps w:val="0"/>
          <w:color w:val="auto"/>
          <w:spacing w:val="0"/>
          <w:w w:val="100"/>
          <w:sz w:val="24"/>
          <w:highlight w:val="none"/>
        </w:rPr>
        <w:t xml:space="preserve">         账号：</w:t>
      </w:r>
      <w:r>
        <w:rPr>
          <w:rFonts w:hint="eastAsia" w:ascii="宋体" w:hAnsi="宋体" w:eastAsia="宋体" w:cs="宋体"/>
          <w:b w:val="0"/>
          <w:i w:val="0"/>
          <w:caps w:val="0"/>
          <w:color w:val="auto"/>
          <w:spacing w:val="0"/>
          <w:w w:val="100"/>
          <w:sz w:val="24"/>
          <w:highlight w:val="none"/>
          <w:u w:val="single" w:color="000000"/>
        </w:rPr>
        <w:t xml:space="preserve">             </w:t>
      </w:r>
    </w:p>
    <w:p w14:paraId="143EE01F">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5A93C3B8">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7AD78CCC">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2C13B180">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44A83706">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4515BB24">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5C58321B">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0628007C">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2B1CBF63">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2B3838AC">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0BDAAA99">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0BE98FF2">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02D2D2FE">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pPr>
    </w:p>
    <w:p w14:paraId="0DCFD5FD">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u w:val="single"/>
        </w:rPr>
        <w:sectPr>
          <w:headerReference r:id="rId12" w:type="first"/>
          <w:footerReference r:id="rId14" w:type="first"/>
          <w:headerReference r:id="rId11" w:type="default"/>
          <w:footerReference r:id="rId13" w:type="default"/>
          <w:type w:val="continuous"/>
          <w:pgSz w:w="11905" w:h="16838"/>
          <w:pgMar w:top="1361" w:right="1361" w:bottom="1361" w:left="1361" w:header="850" w:footer="992" w:gutter="0"/>
          <w:pgBorders w:offsetFrom="page">
            <w:top w:val="single" w:color="A6A6A6" w:sz="18" w:space="24"/>
            <w:left w:val="single" w:color="A6A6A6" w:sz="18" w:space="24"/>
            <w:bottom w:val="single" w:color="A6A6A6" w:sz="18" w:space="24"/>
            <w:right w:val="single" w:color="A6A6A6" w:sz="18" w:space="24"/>
          </w:pgBorders>
          <w:pgNumType w:fmt="decimal"/>
          <w:cols w:space="0" w:num="1"/>
          <w:titlePg/>
          <w:rtlGutter w:val="0"/>
          <w:docGrid w:linePitch="312" w:charSpace="0"/>
        </w:sectPr>
      </w:pPr>
    </w:p>
    <w:p w14:paraId="4DF054A8">
      <w:pPr>
        <w:pStyle w:val="40"/>
        <w:outlineLvl w:val="9"/>
        <w:rPr>
          <w:rFonts w:hint="eastAsia"/>
          <w:color w:val="auto"/>
        </w:rPr>
      </w:pPr>
    </w:p>
    <w:p w14:paraId="07DCA882">
      <w:pPr>
        <w:pStyle w:val="3"/>
        <w:keepNext w:val="0"/>
        <w:keepLines w:val="0"/>
        <w:pageBreakBefore w:val="0"/>
        <w:widowControl/>
        <w:kinsoku/>
        <w:wordWrap/>
        <w:overflowPunct/>
        <w:topLinePunct w:val="0"/>
        <w:autoSpaceDE/>
        <w:autoSpaceDN/>
        <w:bidi w:val="0"/>
        <w:adjustRightInd w:val="0"/>
        <w:snapToGrid w:val="0"/>
        <w:spacing w:before="0" w:after="0" w:line="360" w:lineRule="auto"/>
        <w:jc w:val="center"/>
        <w:textAlignment w:val="auto"/>
        <w:rPr>
          <w:rFonts w:hint="eastAsia"/>
          <w:color w:val="auto"/>
          <w:sz w:val="24"/>
          <w:szCs w:val="24"/>
          <w:lang w:val="en-US" w:eastAsia="zh-CN"/>
        </w:rPr>
      </w:pPr>
      <w:bookmarkStart w:id="477" w:name="_Toc31278"/>
      <w:bookmarkStart w:id="478" w:name="_Toc26002"/>
      <w:bookmarkStart w:id="479" w:name="_Toc22754"/>
      <w:bookmarkStart w:id="480" w:name="_Toc351203494"/>
      <w:r>
        <w:rPr>
          <w:rFonts w:hint="eastAsia"/>
          <w:color w:val="auto"/>
          <w:sz w:val="24"/>
          <w:szCs w:val="24"/>
          <w:lang w:val="en-US" w:eastAsia="zh-CN"/>
        </w:rPr>
        <w:t>第二部分 通用合同条款</w:t>
      </w:r>
      <w:bookmarkEnd w:id="477"/>
      <w:bookmarkEnd w:id="478"/>
      <w:bookmarkEnd w:id="479"/>
      <w:bookmarkEnd w:id="480"/>
      <w:bookmarkStart w:id="481" w:name="_Toc337558727"/>
    </w:p>
    <w:p w14:paraId="2DB025F5">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482" w:name="_Toc351203495"/>
      <w:bookmarkStart w:id="483" w:name="_Toc25046"/>
      <w:r>
        <w:rPr>
          <w:rFonts w:hint="eastAsia" w:ascii="宋体" w:hAnsi="宋体" w:eastAsia="宋体" w:cs="宋体"/>
          <w:b w:val="0"/>
          <w:i w:val="0"/>
          <w:caps w:val="0"/>
          <w:color w:val="auto"/>
          <w:spacing w:val="0"/>
          <w:w w:val="100"/>
          <w:sz w:val="24"/>
          <w:szCs w:val="24"/>
          <w:highlight w:val="none"/>
        </w:rPr>
        <w:t>1.</w:t>
      </w:r>
      <w:bookmarkStart w:id="484" w:name="_Toc303538974"/>
      <w:bookmarkEnd w:id="484"/>
      <w:bookmarkStart w:id="485" w:name="_Toc303538973"/>
      <w:bookmarkEnd w:id="485"/>
      <w:bookmarkStart w:id="486" w:name="_Toc303538975"/>
      <w:bookmarkEnd w:id="486"/>
      <w:bookmarkStart w:id="487" w:name="_Toc303538972"/>
      <w:bookmarkEnd w:id="487"/>
      <w:bookmarkStart w:id="488" w:name="_Toc303538976"/>
      <w:bookmarkEnd w:id="488"/>
      <w:bookmarkStart w:id="489" w:name="_Toc296503027"/>
      <w:bookmarkStart w:id="490" w:name="_Toc296346528"/>
      <w:r>
        <w:rPr>
          <w:rFonts w:hint="eastAsia" w:ascii="宋体" w:hAnsi="宋体" w:eastAsia="宋体" w:cs="宋体"/>
          <w:b w:val="0"/>
          <w:i w:val="0"/>
          <w:caps w:val="0"/>
          <w:color w:val="auto"/>
          <w:spacing w:val="0"/>
          <w:w w:val="100"/>
          <w:sz w:val="24"/>
          <w:szCs w:val="24"/>
          <w:highlight w:val="none"/>
        </w:rPr>
        <w:t xml:space="preserve"> 一般约定</w:t>
      </w:r>
      <w:bookmarkEnd w:id="481"/>
      <w:bookmarkEnd w:id="482"/>
      <w:bookmarkEnd w:id="483"/>
      <w:bookmarkEnd w:id="489"/>
      <w:bookmarkEnd w:id="490"/>
    </w:p>
    <w:p w14:paraId="6DA70C72">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491" w:name="_Toc296346529"/>
      <w:bookmarkStart w:id="492" w:name="_Toc296503028"/>
      <w:bookmarkStart w:id="493" w:name="_Toc337558728"/>
      <w:bookmarkStart w:id="494" w:name="_Toc351203496"/>
      <w:r>
        <w:rPr>
          <w:rFonts w:hint="eastAsia" w:ascii="宋体" w:hAnsi="宋体" w:eastAsia="宋体" w:cs="宋体"/>
          <w:b w:val="0"/>
          <w:i w:val="0"/>
          <w:caps w:val="0"/>
          <w:color w:val="auto"/>
          <w:spacing w:val="0"/>
          <w:w w:val="100"/>
          <w:sz w:val="24"/>
          <w:szCs w:val="24"/>
          <w:highlight w:val="none"/>
        </w:rPr>
        <w:t>1.1词语定义</w:t>
      </w:r>
      <w:bookmarkEnd w:id="491"/>
      <w:bookmarkEnd w:id="492"/>
      <w:bookmarkEnd w:id="493"/>
      <w:r>
        <w:rPr>
          <w:rFonts w:hint="eastAsia" w:ascii="宋体" w:hAnsi="宋体" w:eastAsia="宋体" w:cs="宋体"/>
          <w:b w:val="0"/>
          <w:i w:val="0"/>
          <w:caps w:val="0"/>
          <w:color w:val="auto"/>
          <w:spacing w:val="0"/>
          <w:w w:val="100"/>
          <w:sz w:val="24"/>
          <w:szCs w:val="24"/>
          <w:highlight w:val="none"/>
        </w:rPr>
        <w:t>与解释</w:t>
      </w:r>
      <w:bookmarkEnd w:id="494"/>
    </w:p>
    <w:p w14:paraId="3A9C503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合同协议书、通用合同条款、专用合同条款中的下列词语具有本款所赋予的含义：</w:t>
      </w:r>
    </w:p>
    <w:p w14:paraId="057C043F">
      <w:pPr>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1.1.1 合同</w:t>
      </w:r>
    </w:p>
    <w:p w14:paraId="7ABC26C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1.1.1.1 合同：是指根据法律规定和合同当事人约定具有约束力的文件，构成合同的文件包括合同协议书、中标通知书（如果有）、投标函及其附录（如果有）、专用合同条款</w:t>
      </w:r>
      <w:r>
        <w:rPr>
          <w:rFonts w:hint="eastAsia" w:ascii="宋体" w:hAnsi="宋体" w:eastAsia="宋体" w:cs="宋体"/>
          <w:b w:val="0"/>
          <w:i w:val="0"/>
          <w:caps w:val="0"/>
          <w:color w:val="auto"/>
          <w:spacing w:val="0"/>
          <w:w w:val="100"/>
          <w:sz w:val="24"/>
          <w:szCs w:val="24"/>
          <w:highlight w:val="none"/>
        </w:rPr>
        <w:t>及其附件</w:t>
      </w:r>
      <w:r>
        <w:rPr>
          <w:rFonts w:hint="eastAsia" w:ascii="宋体" w:hAnsi="宋体" w:eastAsia="宋体" w:cs="宋体"/>
          <w:b w:val="0"/>
          <w:i w:val="0"/>
          <w:caps w:val="0"/>
          <w:color w:val="auto"/>
          <w:spacing w:val="0"/>
          <w:w w:val="100"/>
          <w:kern w:val="0"/>
          <w:sz w:val="24"/>
          <w:szCs w:val="24"/>
          <w:highlight w:val="none"/>
        </w:rPr>
        <w:t>、通用合同条款、技术标准和要求、图纸、已标价工程量清单或预算书以及其他合同文件。</w:t>
      </w:r>
    </w:p>
    <w:p w14:paraId="1E21CBE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1.1.1.2 合同协议书：是指构成合同的由发包人和承包人共同签署的称为“合同协议书”的书面文件。</w:t>
      </w:r>
    </w:p>
    <w:p w14:paraId="33C283C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1.1.1.3 中标通知书：是指构成合同的由发包人通知承包人中标的书面文件。</w:t>
      </w:r>
    </w:p>
    <w:p w14:paraId="447EE8C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1.1.1.4 投标函：是指构成合同的由承包人填写并签署的用于投标的称为“投标函”的文件。</w:t>
      </w:r>
    </w:p>
    <w:p w14:paraId="3EEEC7C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1.1.1.5 投标函附录：是指构成合同的附在投标函后的称为“投标函附录”的文件。</w:t>
      </w:r>
    </w:p>
    <w:p w14:paraId="1F405FE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1.1.1.6 技术标准和要求：是指构成合同的施工应当遵守的或指导施工的国家、行业或地方的技术标准和要求，以及合同约定的技术标准和要求。</w:t>
      </w:r>
    </w:p>
    <w:p w14:paraId="6D65129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1.1.1.7 图纸：是指构成合同的图纸，包括由发包人按照合同约定提供或经发包人批准的设计文件、施工图、鸟瞰图及模型等，以及在合同履行过程中形成的图纸文件。图纸应当按照法律规定审查合格。</w:t>
      </w:r>
    </w:p>
    <w:p w14:paraId="63F3BE00">
      <w:pPr>
        <w:snapToGrid w:val="0"/>
        <w:spacing w:before="0" w:beforeAutospacing="0" w:after="0" w:afterAutospacing="0" w:line="360" w:lineRule="auto"/>
        <w:ind w:firstLine="468" w:firstLineChars="195"/>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1.1.1.8 已标价工程量清单：是指构成合同的由承包人按照规定的格式和要求填写并标明价格的工程量清单，包括说明和表格。</w:t>
      </w:r>
    </w:p>
    <w:p w14:paraId="7B3A484D">
      <w:pPr>
        <w:snapToGrid w:val="0"/>
        <w:spacing w:before="0" w:beforeAutospacing="0" w:after="0" w:afterAutospacing="0" w:line="360" w:lineRule="auto"/>
        <w:ind w:firstLine="468" w:firstLineChars="195"/>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1.1.1.9 预算书：是指构成合同的由承包人按照发包人规定的格式和要求编制的工程预算文件。</w:t>
      </w:r>
    </w:p>
    <w:p w14:paraId="6BC433D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1.1.1.10 其他合同文件：是指经合同当事人约定的与工程施工有关的具有合同约束力的文件或书面协议。合同当事人可以在专用合同条款中进行约定。</w:t>
      </w:r>
    </w:p>
    <w:p w14:paraId="35396BAF">
      <w:pPr>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1.1.2 合同当事人及其他相关方</w:t>
      </w:r>
    </w:p>
    <w:p w14:paraId="38AB7C3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1.1.2.1 合同当事人：是指发包人和（或）承包人。</w:t>
      </w:r>
    </w:p>
    <w:p w14:paraId="66FF877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1.1.2.2 发包人：是指与承包人签订合同协议书的当事人及取得该当事人资格的合法继承人。</w:t>
      </w:r>
    </w:p>
    <w:p w14:paraId="5474EB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1.1.2.3 承包人：是指与发包人签订合同协议书的，具有相应工程施工承包资质的当事人及取得该当事人资格的合法继承人。</w:t>
      </w:r>
    </w:p>
    <w:p w14:paraId="1A17684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1.1.2.4 监理人：是指在专用合同条款中指明的，受发包人委托按照法律规定进行工程监督管理的法人或其他组织。</w:t>
      </w:r>
    </w:p>
    <w:p w14:paraId="33F1EFB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1.1.2.5 设计人：是指在专用合同条款中指明的，受发包人委托负责工程设计并具备相应工程设计资质的法人或其他组织。</w:t>
      </w:r>
    </w:p>
    <w:p w14:paraId="4371F095">
      <w:pPr>
        <w:snapToGrid w:val="0"/>
        <w:spacing w:before="0" w:beforeAutospacing="0" w:after="0" w:afterAutospacing="0" w:line="360" w:lineRule="auto"/>
        <w:ind w:firstLine="468" w:firstLineChars="195"/>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1.1.2.6 分包人：</w:t>
      </w:r>
      <w:bookmarkStart w:id="495" w:name="#go5"/>
      <w:bookmarkEnd w:id="495"/>
      <w:r>
        <w:rPr>
          <w:rFonts w:hint="eastAsia" w:ascii="宋体" w:hAnsi="宋体" w:eastAsia="宋体" w:cs="宋体"/>
          <w:b w:val="0"/>
          <w:i w:val="0"/>
          <w:caps w:val="0"/>
          <w:color w:val="auto"/>
          <w:spacing w:val="0"/>
          <w:w w:val="100"/>
          <w:kern w:val="0"/>
          <w:sz w:val="24"/>
          <w:szCs w:val="24"/>
          <w:highlight w:val="none"/>
        </w:rPr>
        <w:t>是指按照法律规定和合同约定，分包部分工程或工作，并与承包人签订分包合同的具有相应资质的法人。</w:t>
      </w:r>
    </w:p>
    <w:p w14:paraId="1ED18EA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1.1.2.7 发包人代表：是指由发包人任命并派驻施工现场在发包人授权范围内行使发包人权利的人。</w:t>
      </w:r>
    </w:p>
    <w:p w14:paraId="49EDAF2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1.1.2.8 项目经理：是指由承包人任命并派驻施工现场，在承包人授权范围内负责合同履行，且按照法律规定具有相应资格的项目负责人。</w:t>
      </w:r>
    </w:p>
    <w:p w14:paraId="06BADA7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1.1.2.9 总监理工程师：是指由监理人任命并派驻施工现场进行工程监理的总负责人。</w:t>
      </w:r>
    </w:p>
    <w:p w14:paraId="34F1620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 工程和设备</w:t>
      </w:r>
    </w:p>
    <w:p w14:paraId="52C2666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1.1.3.1 工程：是指与合同协议书中工程承包范围对应的永久工程和（或）临时工程。</w:t>
      </w:r>
    </w:p>
    <w:p w14:paraId="0CE5875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1.1.3.2 永久工程：是指按合同约定建造并移交给发包人的工程，包括工程设备。</w:t>
      </w:r>
    </w:p>
    <w:p w14:paraId="609EDFB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1.1.3.3 临时工程：是指为完成合同约定的永久工程所修建的各类临时性工程，不包括施工设备。</w:t>
      </w:r>
    </w:p>
    <w:p w14:paraId="551DEF1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1.1.3.4 单位工程：是指在合同协议书中指明的，具备独立施工条件并能形成独立使用功能的永久工程。</w:t>
      </w:r>
    </w:p>
    <w:p w14:paraId="577FB20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1.1.3.5 工程设备：是指构成永久工程的机电设备、金属结构设备、仪器及其他类似的设备和装置。</w:t>
      </w:r>
    </w:p>
    <w:p w14:paraId="3C9570F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1.1.3.6 施工设备：是指为完成合同约定的各项工作所需的设备、器具和其他物品，但不包括工程设备、临时工程和材料。</w:t>
      </w:r>
    </w:p>
    <w:p w14:paraId="648DEC3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1.1.3.7 施工现场：是指用于工程施工的场所，以及在专用合同条款中指明作为施工场所组成部分的其他场所，包括永久占地和临时占地。</w:t>
      </w:r>
    </w:p>
    <w:p w14:paraId="3FEBAEB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1.1.3.8临时设施：是指为完成合同约定的各项工作所服务的临时性生产和生活设施。</w:t>
      </w:r>
    </w:p>
    <w:p w14:paraId="7E441F9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1.1.3.9 永久占地：是指专用合同条款中指明为实施工程需永久占用的土地。</w:t>
      </w:r>
    </w:p>
    <w:p w14:paraId="3FAC563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1.1.3.10 临时占地：是指专用合同条款中指明为实施工程需要临时占用的土地。</w:t>
      </w:r>
    </w:p>
    <w:p w14:paraId="4053B33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1.1.4 日期和期限</w:t>
      </w:r>
    </w:p>
    <w:p w14:paraId="2194B12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1.1.4.1 开工日期：包括计划开工日期和实际开工日期。计划开工日期是指合同协议书约定的开工日期；实际开工日期是指监理人按照第7.3.2项〔开工通知〕约定发出的符合法律规定的开工通知中载明的开工日期。</w:t>
      </w:r>
    </w:p>
    <w:p w14:paraId="5227393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1.1.4.2 竣工日期：包括计划竣工日期和实际竣工日期。计划竣工日期是指合同协议书约定的竣工日期；实际竣工日期按照第13.2.3项〔竣工日期〕的约定确定。 </w:t>
      </w:r>
    </w:p>
    <w:p w14:paraId="40BA92DD">
      <w:pPr>
        <w:snapToGrid w:val="0"/>
        <w:spacing w:before="0" w:beforeAutospacing="0" w:after="0" w:afterAutospacing="0" w:line="360" w:lineRule="auto"/>
        <w:ind w:firstLine="487" w:firstLineChars="203"/>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1.1.4.3 工期：是指在合同协议书约定的承包人完成工程所需的期限，包括按照合同约定所作的期限变更。</w:t>
      </w:r>
    </w:p>
    <w:p w14:paraId="16E380D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1.1.4.4 缺陷责任期：是指承包人按照合同约定承担缺陷修复义务，且发包人预留质量保证金</w:t>
      </w:r>
      <w:r>
        <w:rPr>
          <w:rFonts w:hint="eastAsia" w:ascii="宋体" w:hAnsi="宋体" w:eastAsia="宋体" w:cs="宋体"/>
          <w:b w:val="0"/>
          <w:i w:val="0"/>
          <w:caps w:val="0"/>
          <w:color w:val="auto"/>
          <w:spacing w:val="0"/>
          <w:w w:val="100"/>
          <w:kern w:val="0"/>
          <w:sz w:val="24"/>
          <w:szCs w:val="24"/>
          <w:highlight w:val="none"/>
          <w:lang w:eastAsia="zh-CN"/>
        </w:rPr>
        <w:t>（</w:t>
      </w:r>
      <w:r>
        <w:rPr>
          <w:rFonts w:hint="eastAsia" w:ascii="宋体" w:hAnsi="宋体" w:eastAsia="宋体" w:cs="宋体"/>
          <w:b w:val="0"/>
          <w:i w:val="0"/>
          <w:caps w:val="0"/>
          <w:color w:val="auto"/>
          <w:spacing w:val="0"/>
          <w:w w:val="100"/>
          <w:kern w:val="0"/>
          <w:sz w:val="24"/>
          <w:szCs w:val="24"/>
          <w:highlight w:val="none"/>
        </w:rPr>
        <w:t>已缴纳履约保证金的除外</w:t>
      </w:r>
      <w:r>
        <w:rPr>
          <w:rFonts w:hint="eastAsia" w:ascii="宋体" w:hAnsi="宋体" w:eastAsia="宋体" w:cs="宋体"/>
          <w:b w:val="0"/>
          <w:i w:val="0"/>
          <w:caps w:val="0"/>
          <w:color w:val="auto"/>
          <w:spacing w:val="0"/>
          <w:w w:val="100"/>
          <w:kern w:val="0"/>
          <w:sz w:val="24"/>
          <w:szCs w:val="24"/>
          <w:highlight w:val="none"/>
          <w:lang w:eastAsia="zh-CN"/>
        </w:rPr>
        <w:t>）</w:t>
      </w:r>
      <w:r>
        <w:rPr>
          <w:rFonts w:hint="eastAsia" w:ascii="宋体" w:hAnsi="宋体" w:eastAsia="宋体" w:cs="宋体"/>
          <w:b w:val="0"/>
          <w:i w:val="0"/>
          <w:caps w:val="0"/>
          <w:color w:val="auto"/>
          <w:spacing w:val="0"/>
          <w:w w:val="100"/>
          <w:kern w:val="0"/>
          <w:sz w:val="24"/>
          <w:szCs w:val="24"/>
          <w:highlight w:val="none"/>
        </w:rPr>
        <w:t>的期限，自工程实际竣工日期起计算。</w:t>
      </w:r>
    </w:p>
    <w:p w14:paraId="69D9CD4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1.1.4.5 保修期：是指承包人按照合同约定对工程承担保修责任的期限，从工程竣工验收合格之日起计算。</w:t>
      </w:r>
    </w:p>
    <w:p w14:paraId="070C8A1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1.1.4.6 基准日期：招标发包的工程以投标截止日前28天的日期为基准日期，直接发包的工程以合同签订日前28天的日期为基准日期。</w:t>
      </w:r>
    </w:p>
    <w:p w14:paraId="7F76743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1.1.4.7 天：除特别指明外，均指日历天。合同中按天计算时间的，开始当天不计入，从次日开始计算，期限最后一天的截止时间为当天24:00时。</w:t>
      </w:r>
    </w:p>
    <w:p w14:paraId="10636F5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1.1.5 合同价格和费用</w:t>
      </w:r>
    </w:p>
    <w:p w14:paraId="0F625C7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1.1.5.1 签约合同价：是指</w:t>
      </w:r>
      <w:r>
        <w:rPr>
          <w:rFonts w:hint="eastAsia" w:ascii="宋体" w:hAnsi="宋体" w:eastAsia="宋体" w:cs="宋体"/>
          <w:b w:val="0"/>
          <w:i w:val="0"/>
          <w:caps w:val="0"/>
          <w:color w:val="auto"/>
          <w:spacing w:val="0"/>
          <w:w w:val="100"/>
          <w:sz w:val="24"/>
          <w:szCs w:val="24"/>
          <w:highlight w:val="none"/>
        </w:rPr>
        <w:t>发包人和承包人在合同协议书中确定的总金额，包括安全文明施工费、暂估价及暂列金额等。</w:t>
      </w:r>
    </w:p>
    <w:p w14:paraId="7C0AB45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1.1.5.2 合同价格：是指发包人用于支付承包人按照合同约定完成承包范围内全部工作的金额，包括合同履行过程中按合同约定发生的价格变化。</w:t>
      </w:r>
    </w:p>
    <w:p w14:paraId="26C943D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1.1.5.3 费用：是指为履行合同所发生的或将要发生的所有必需的开支，包括管理费和应分摊的其他费用，但不包括利润。</w:t>
      </w:r>
    </w:p>
    <w:p w14:paraId="680F078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1.1.5.4 暂估价：是指发包人在工程量清单或预算书中提供的用于支付必然发生但暂时不能确定价格的材料、工程设备的单价、专业工程以及服务工作的金额。</w:t>
      </w:r>
    </w:p>
    <w:p w14:paraId="07D577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1.1.5.5 暂列金额：是指发包人在工程量清单或预算书中暂定并包括在合同价格中的一笔款项，用于工程合同签订时尚未确定或者不可预见的所需材料、工程设备、服务的采购，施工中可能发生的工程变更、合同约定调整因素出现时的合同价格调整以及发生的索赔、现场签证确认等的费用。</w:t>
      </w:r>
    </w:p>
    <w:p w14:paraId="2993187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1.1.5.6 计日工：是指合同履行过程中，承包人完成发包人提出的零星工作或需要采用计日工计价的变更工作时，按合同中约定的单价计价的一种方式。</w:t>
      </w:r>
    </w:p>
    <w:p w14:paraId="7644031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1.1.5.7 质量保证金</w:t>
      </w:r>
      <w:bookmarkStart w:id="496" w:name="#go2"/>
      <w:bookmarkEnd w:id="496"/>
      <w:r>
        <w:rPr>
          <w:rFonts w:hint="eastAsia" w:ascii="宋体" w:hAnsi="宋体" w:eastAsia="宋体" w:cs="宋体"/>
          <w:b w:val="0"/>
          <w:i w:val="0"/>
          <w:caps w:val="0"/>
          <w:color w:val="auto"/>
          <w:spacing w:val="0"/>
          <w:w w:val="100"/>
          <w:kern w:val="0"/>
          <w:sz w:val="24"/>
          <w:szCs w:val="24"/>
          <w:highlight w:val="none"/>
        </w:rPr>
        <w:t>：是指按照第15.3款〔质量保证金〕约定承包人用于保证其在缺陷责任期内履行缺陷修补义务的担保</w:t>
      </w:r>
      <w:r>
        <w:rPr>
          <w:rFonts w:hint="eastAsia" w:ascii="宋体" w:hAnsi="宋体" w:eastAsia="宋体" w:cs="宋体"/>
          <w:b w:val="0"/>
          <w:i w:val="0"/>
          <w:caps w:val="0"/>
          <w:color w:val="auto"/>
          <w:spacing w:val="0"/>
          <w:w w:val="100"/>
          <w:sz w:val="24"/>
          <w:szCs w:val="24"/>
          <w:highlight w:val="none"/>
        </w:rPr>
        <w:t>。</w:t>
      </w:r>
    </w:p>
    <w:p w14:paraId="27052E3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1.1.5.8 总价项目：是指在现行国家、行业以及地方的计量规则中无工程量计算规则，在已标价工程量清单或预算书中以总价或以费率形式计算的项目。</w:t>
      </w:r>
    </w:p>
    <w:p w14:paraId="79D6CEE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1.1.6 其他</w:t>
      </w:r>
    </w:p>
    <w:p w14:paraId="07ABE4F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1.1.6.1 书面形式：是指合同文件、信函、电报、传真等可以有形地表现所载内容的形式。</w:t>
      </w:r>
    </w:p>
    <w:p w14:paraId="241DC4A9">
      <w:pPr>
        <w:pStyle w:val="6"/>
        <w:snapToGrid w:val="0"/>
        <w:spacing w:before="120" w:beforeAutospacing="0" w:after="120" w:afterAutospacing="0" w:line="360" w:lineRule="auto"/>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    </w:t>
      </w:r>
      <w:bookmarkStart w:id="497" w:name="_Toc296503029"/>
      <w:bookmarkStart w:id="498" w:name="_Toc337558729"/>
      <w:bookmarkStart w:id="499" w:name="_Toc296346530"/>
      <w:bookmarkStart w:id="500" w:name="_Toc351203497"/>
      <w:r>
        <w:rPr>
          <w:rFonts w:hint="eastAsia" w:ascii="宋体" w:hAnsi="宋体" w:eastAsia="宋体" w:cs="宋体"/>
          <w:b w:val="0"/>
          <w:i w:val="0"/>
          <w:caps w:val="0"/>
          <w:color w:val="auto"/>
          <w:spacing w:val="0"/>
          <w:w w:val="100"/>
          <w:sz w:val="24"/>
          <w:szCs w:val="24"/>
          <w:highlight w:val="none"/>
        </w:rPr>
        <w:t>1.2语言文字</w:t>
      </w:r>
      <w:bookmarkEnd w:id="497"/>
      <w:bookmarkEnd w:id="498"/>
      <w:bookmarkEnd w:id="499"/>
      <w:bookmarkEnd w:id="500"/>
    </w:p>
    <w:p w14:paraId="4516211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合同以中国的汉语简体文字编写、解释和说明。合同当事人在专用合同条款中约定使用两种以上语言时，汉语为优先解释和说明合同的语言。</w:t>
      </w:r>
    </w:p>
    <w:p w14:paraId="306226F2">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01" w:name="_Toc337558730"/>
      <w:bookmarkStart w:id="502" w:name="_Toc296346531"/>
      <w:bookmarkStart w:id="503" w:name="_Toc296503030"/>
      <w:bookmarkStart w:id="504" w:name="_Toc351203498"/>
      <w:r>
        <w:rPr>
          <w:rFonts w:hint="eastAsia" w:ascii="宋体" w:hAnsi="宋体" w:eastAsia="宋体" w:cs="宋体"/>
          <w:b w:val="0"/>
          <w:i w:val="0"/>
          <w:caps w:val="0"/>
          <w:color w:val="auto"/>
          <w:spacing w:val="0"/>
          <w:w w:val="100"/>
          <w:sz w:val="24"/>
          <w:szCs w:val="24"/>
          <w:highlight w:val="none"/>
        </w:rPr>
        <w:t>1.3法律</w:t>
      </w:r>
      <w:bookmarkEnd w:id="501"/>
      <w:bookmarkEnd w:id="502"/>
      <w:bookmarkEnd w:id="503"/>
      <w:bookmarkEnd w:id="504"/>
    </w:p>
    <w:p w14:paraId="4103441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合同所称法律是指中华人民共和国法律、行政法规、部门规章，以及工程所在地的地方性法规、自治条例、单行条例和地方政府规章等。</w:t>
      </w:r>
    </w:p>
    <w:p w14:paraId="3E61DC0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合同当事人可以在专用合同条款中约定合同适用的其他规范性文件。</w:t>
      </w:r>
    </w:p>
    <w:p w14:paraId="28E8F38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05" w:name="_Toc351203499"/>
      <w:r>
        <w:rPr>
          <w:rFonts w:hint="eastAsia" w:ascii="宋体" w:hAnsi="宋体" w:eastAsia="宋体" w:cs="宋体"/>
          <w:b w:val="0"/>
          <w:i w:val="0"/>
          <w:caps w:val="0"/>
          <w:color w:val="auto"/>
          <w:spacing w:val="0"/>
          <w:w w:val="100"/>
          <w:sz w:val="24"/>
          <w:szCs w:val="24"/>
          <w:highlight w:val="none"/>
        </w:rPr>
        <w:t>1.4 标准和规范</w:t>
      </w:r>
      <w:bookmarkEnd w:id="505"/>
    </w:p>
    <w:p w14:paraId="22353157">
      <w:pPr>
        <w:snapToGrid w:val="0"/>
        <w:spacing w:before="0" w:beforeAutospacing="0" w:after="0" w:afterAutospacing="0" w:line="360" w:lineRule="auto"/>
        <w:ind w:firstLine="64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1.4.1 适用于工程的国家标准、行业标准、工程所在地的地方性标准，以及相应的规范、规程等，合同当事人有特别要求的，应在专用合同条款中约定。</w:t>
      </w:r>
    </w:p>
    <w:p w14:paraId="4CCEBB21">
      <w:pPr>
        <w:snapToGrid w:val="0"/>
        <w:spacing w:before="0" w:beforeAutospacing="0" w:after="0" w:afterAutospacing="0" w:line="360" w:lineRule="auto"/>
        <w:ind w:firstLine="64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1.4.2 发包人要求使用国外标准、规范的，发包人负责提供原文版本和中文译本，并在专用合同条款中约定提供标准规范的名称、份数和时间。</w:t>
      </w:r>
    </w:p>
    <w:p w14:paraId="7521A70B">
      <w:pPr>
        <w:snapToGrid w:val="0"/>
        <w:spacing w:before="0" w:beforeAutospacing="0" w:after="0" w:afterAutospacing="0" w:line="360" w:lineRule="auto"/>
        <w:ind w:firstLine="64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1.4.3 发包人对工程的技术标准、功能要求高于或严于现行国家、行业或地方标准的，应当在专用合同条款中予以明确。除专用合同条款另有约定外，应视为承包人在签订合同前已充分预见前述技术标准和功能要求的复杂程度，签约合同价中已包含由此产生的费用。</w:t>
      </w:r>
    </w:p>
    <w:p w14:paraId="4BDFBC7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06" w:name="_Toc351203500"/>
      <w:r>
        <w:rPr>
          <w:rFonts w:hint="eastAsia" w:ascii="宋体" w:hAnsi="宋体" w:eastAsia="宋体" w:cs="宋体"/>
          <w:b w:val="0"/>
          <w:i w:val="0"/>
          <w:caps w:val="0"/>
          <w:color w:val="auto"/>
          <w:spacing w:val="0"/>
          <w:w w:val="100"/>
          <w:sz w:val="24"/>
          <w:szCs w:val="24"/>
          <w:highlight w:val="none"/>
        </w:rPr>
        <w:t>1.5 合同文件的优先顺序</w:t>
      </w:r>
      <w:bookmarkEnd w:id="506"/>
    </w:p>
    <w:p w14:paraId="548735F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组成合同的各项文件应互相解释，互为说明。除专用合同条款另有约定外，解释合同文件的优先顺序如下：</w:t>
      </w:r>
    </w:p>
    <w:p w14:paraId="11AE9B9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（1）合同协议书；</w:t>
      </w:r>
    </w:p>
    <w:p w14:paraId="5C65567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（2）中标通知书（如果有）；</w:t>
      </w:r>
    </w:p>
    <w:p w14:paraId="277DAD3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（3）投标函及其附录（如果有）；</w:t>
      </w:r>
    </w:p>
    <w:p w14:paraId="62B9A3B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（4）专用合同条款</w:t>
      </w:r>
      <w:r>
        <w:rPr>
          <w:rFonts w:hint="eastAsia" w:ascii="宋体" w:hAnsi="宋体" w:eastAsia="宋体" w:cs="宋体"/>
          <w:b w:val="0"/>
          <w:i w:val="0"/>
          <w:caps w:val="0"/>
          <w:color w:val="auto"/>
          <w:spacing w:val="0"/>
          <w:w w:val="100"/>
          <w:sz w:val="24"/>
          <w:szCs w:val="24"/>
          <w:highlight w:val="none"/>
        </w:rPr>
        <w:t>及其附件</w:t>
      </w:r>
      <w:r>
        <w:rPr>
          <w:rFonts w:hint="eastAsia" w:ascii="宋体" w:hAnsi="宋体" w:eastAsia="宋体" w:cs="宋体"/>
          <w:b w:val="0"/>
          <w:i w:val="0"/>
          <w:caps w:val="0"/>
          <w:color w:val="auto"/>
          <w:spacing w:val="0"/>
          <w:w w:val="100"/>
          <w:kern w:val="0"/>
          <w:sz w:val="24"/>
          <w:szCs w:val="24"/>
          <w:highlight w:val="none"/>
        </w:rPr>
        <w:t>；</w:t>
      </w:r>
    </w:p>
    <w:p w14:paraId="2665B73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（5）通用合同条款；</w:t>
      </w:r>
    </w:p>
    <w:p w14:paraId="62810ED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（6）技术标准和要求；</w:t>
      </w:r>
    </w:p>
    <w:p w14:paraId="2EDB336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（7）图纸；</w:t>
      </w:r>
    </w:p>
    <w:p w14:paraId="3C5B4AA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（8）已标价工程量清单或预算书；</w:t>
      </w:r>
    </w:p>
    <w:p w14:paraId="4BA2A8A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（9）其他合同文件。</w:t>
      </w:r>
    </w:p>
    <w:p w14:paraId="4410685A">
      <w:pPr>
        <w:snapToGrid w:val="0"/>
        <w:spacing w:before="0" w:beforeAutospacing="0" w:after="0" w:afterAutospacing="0" w:line="360" w:lineRule="auto"/>
        <w:ind w:firstLine="511" w:firstLineChars="213"/>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上述各项合同文件包括合同当事人就该项合同文件所作出的补充和修改，属于同一类内容的文件，应以最新签署的为准。</w:t>
      </w:r>
    </w:p>
    <w:p w14:paraId="160D45B7">
      <w:pPr>
        <w:snapToGrid w:val="0"/>
        <w:spacing w:before="0" w:beforeAutospacing="0" w:after="0" w:afterAutospacing="0" w:line="360" w:lineRule="auto"/>
        <w:ind w:firstLine="511" w:firstLineChars="213"/>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在合同订立及履行过程中形成的与合同有关的文件均构成合同文件组成部分，并根据其性质确定优先解释顺序。</w:t>
      </w:r>
    </w:p>
    <w:p w14:paraId="4406AA4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07" w:name="_Toc351203501"/>
      <w:r>
        <w:rPr>
          <w:rFonts w:hint="eastAsia" w:ascii="宋体" w:hAnsi="宋体" w:eastAsia="宋体" w:cs="宋体"/>
          <w:b w:val="0"/>
          <w:i w:val="0"/>
          <w:caps w:val="0"/>
          <w:color w:val="auto"/>
          <w:spacing w:val="0"/>
          <w:w w:val="100"/>
          <w:sz w:val="24"/>
          <w:szCs w:val="24"/>
          <w:highlight w:val="none"/>
        </w:rPr>
        <w:t>1.6图纸和承包人文件</w:t>
      </w:r>
      <w:bookmarkEnd w:id="507"/>
    </w:p>
    <w:p w14:paraId="1D8B45B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1.6.1 图纸的提供和交底</w:t>
      </w:r>
    </w:p>
    <w:p w14:paraId="138E663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按照专用合同条款约定的期限、数量和内容向承包人免费提供图纸，并组织承包人、监理人和设计人进行图纸会审和设计交底。发包人至迟不得晚于第7.3.2项〔开工通知〕载明的开工日期前14天向承包人提供图纸。</w:t>
      </w:r>
    </w:p>
    <w:p w14:paraId="6897E1C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因发包人未按合同约定提供图纸导致承包人费用增加和（或）工期延误的，按照第7.5.1项〔因发包人原因导致工期延误〕约定办理。</w:t>
      </w:r>
    </w:p>
    <w:p w14:paraId="31B8675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 图纸的错误</w:t>
      </w:r>
    </w:p>
    <w:p w14:paraId="0DCD2F2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在收到发包人提供的图纸后，发现图纸存在差错、遗漏或缺陷的，应及时通知监理人。监理人接到该通知后，应附具相关意见并立即报送发包人，发包人应在收到监理人报送的通知后的合理时间内作出决定。合理时间是指发包人在收到监理人的报送通知后，尽其努力且不懈怠地完成图纸修改补充所需的时间。</w:t>
      </w:r>
    </w:p>
    <w:p w14:paraId="14CE870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1.6.3 图纸的修改和补充</w:t>
      </w:r>
    </w:p>
    <w:p w14:paraId="3B58C0D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图纸需要修改和补充的，应经图纸原设计人及审批部门同意，并由监理人在工程或工程相应部位施工前将修改后的图纸或补充图纸提交给承包人，承包人应按修改或补充后的图纸施工。</w:t>
      </w:r>
    </w:p>
    <w:p w14:paraId="35675D5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1.6.4 承包人文件</w:t>
      </w:r>
    </w:p>
    <w:p w14:paraId="7DCBFBA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承包人应按照专用合同条款的约定提供应当由其编制的与工程施工有关的文件，并按照专用合同条款约定的期限、数量和形式提交监理人，并由监理人报送发包人。</w:t>
      </w:r>
    </w:p>
    <w:p w14:paraId="3A94D70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监理人应在收到承包人文件后7天内审查完毕，监理人对承包人文件有异议的，承包人应予以修改，并重新报送监理人。监理人的审查并不减轻或免除承包人根据合同约定应当承担的责任。</w:t>
      </w:r>
    </w:p>
    <w:p w14:paraId="5293786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1.6.5 图纸和承包人文件的保管</w:t>
      </w:r>
    </w:p>
    <w:p w14:paraId="711859E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除专用合同条款另有约定外，承包人应在施工现场另外保存一套完整的图纸和承包人文件，供发包人、监理人及有关人员进行工程检查时使用。</w:t>
      </w:r>
    </w:p>
    <w:p w14:paraId="06CF301E">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08" w:name="_Toc351203502"/>
      <w:r>
        <w:rPr>
          <w:rFonts w:hint="eastAsia" w:ascii="宋体" w:hAnsi="宋体" w:eastAsia="宋体" w:cs="宋体"/>
          <w:b w:val="0"/>
          <w:i w:val="0"/>
          <w:caps w:val="0"/>
          <w:color w:val="auto"/>
          <w:spacing w:val="0"/>
          <w:w w:val="100"/>
          <w:sz w:val="24"/>
          <w:szCs w:val="24"/>
          <w:highlight w:val="none"/>
        </w:rPr>
        <w:t>1.7联络</w:t>
      </w:r>
      <w:bookmarkEnd w:id="508"/>
    </w:p>
    <w:p w14:paraId="0B86FE4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1.7.1 与合同有关的通知、批准、证明、证书、指示、指令、要求、请求、同意、意见、确定和决定等，均应采用书面形式，并应在合同约定的期限内送达接收人和送达地点。</w:t>
      </w:r>
    </w:p>
    <w:p w14:paraId="75E1890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1.7.2 发包人和承包人应在专用合同条款中约定各自的送达接收人和送达地点。任何一方合同当事人指定的接收人或送达地点发生变动的，应提前3天以书面形式通知对方。</w:t>
      </w:r>
    </w:p>
    <w:p w14:paraId="079EFA3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1.7.3 发包人和承包人应当及时签收另一方送达至送达地点和指定接收人的来往信函。拒不签收的，由此增加的费用和（或）延误的工期由拒绝接收一方承担。</w:t>
      </w:r>
    </w:p>
    <w:p w14:paraId="187DDF8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09" w:name="_Toc351203503"/>
      <w:r>
        <w:rPr>
          <w:rFonts w:hint="eastAsia" w:ascii="宋体" w:hAnsi="宋体" w:eastAsia="宋体" w:cs="宋体"/>
          <w:b w:val="0"/>
          <w:i w:val="0"/>
          <w:caps w:val="0"/>
          <w:color w:val="auto"/>
          <w:spacing w:val="0"/>
          <w:w w:val="100"/>
          <w:sz w:val="24"/>
          <w:szCs w:val="24"/>
          <w:highlight w:val="none"/>
        </w:rPr>
        <w:t>1.8严禁贿赂</w:t>
      </w:r>
      <w:bookmarkEnd w:id="509"/>
    </w:p>
    <w:p w14:paraId="36676C0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合同当事人不得以贿赂或变相贿赂的方式，谋取非法利益或损害对方权益。因一方合同当事人的贿赂造成对方损失的，应赔偿损失，并承担相应的法律责任。</w:t>
      </w:r>
    </w:p>
    <w:p w14:paraId="0ADE537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承包人不得与监理人或发包人聘请的第三方串通损害发包人利益。未经发包人书面同意，承包人不得为监理人提供合同约定以外的通讯设备、交通工具及其他任何形式的利益，不得向监理人支付报酬。</w:t>
      </w:r>
    </w:p>
    <w:p w14:paraId="20F7A38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10" w:name="_Toc351203504"/>
      <w:r>
        <w:rPr>
          <w:rFonts w:hint="eastAsia" w:ascii="宋体" w:hAnsi="宋体" w:eastAsia="宋体" w:cs="宋体"/>
          <w:b w:val="0"/>
          <w:i w:val="0"/>
          <w:caps w:val="0"/>
          <w:color w:val="auto"/>
          <w:spacing w:val="0"/>
          <w:w w:val="100"/>
          <w:sz w:val="24"/>
          <w:szCs w:val="24"/>
          <w:highlight w:val="none"/>
        </w:rPr>
        <w:t>1.9化石、文物</w:t>
      </w:r>
      <w:bookmarkEnd w:id="510"/>
    </w:p>
    <w:p w14:paraId="7435F2B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施工现场发掘的所有文物、古迹以及具有地质研究或考古价值的其他遗迹、化石、钱币或物品属于国家所有。一旦发现上述文物，承包人应采取合理有效的保护措施，防止任何人员移动或损坏上述物品，并立即报告有关政府行政管理部门，同时通知监理人。</w:t>
      </w:r>
    </w:p>
    <w:p w14:paraId="73238CC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发包人、监理人和承包人应按有关政府行政管理部门要求采取妥善的保护措施，由此增加的费用和（或）延误的工期由发包人承担。</w:t>
      </w:r>
    </w:p>
    <w:p w14:paraId="602A5CA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承包人发现文物后不及时报告或隐瞒不报，致使文物丢失或损坏的，应赔偿损失，并承担相应的法律责任。</w:t>
      </w:r>
    </w:p>
    <w:p w14:paraId="4D99539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11" w:name="_Toc351203505"/>
      <w:r>
        <w:rPr>
          <w:rFonts w:hint="eastAsia" w:ascii="宋体" w:hAnsi="宋体" w:eastAsia="宋体" w:cs="宋体"/>
          <w:b w:val="0"/>
          <w:i w:val="0"/>
          <w:caps w:val="0"/>
          <w:color w:val="auto"/>
          <w:spacing w:val="0"/>
          <w:w w:val="100"/>
          <w:sz w:val="24"/>
          <w:szCs w:val="24"/>
          <w:highlight w:val="none"/>
        </w:rPr>
        <w:t>1.10交通运输</w:t>
      </w:r>
      <w:bookmarkEnd w:id="511"/>
    </w:p>
    <w:p w14:paraId="6626A20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1.10.1 出入现场的权利</w:t>
      </w:r>
    </w:p>
    <w:p w14:paraId="6DC5CBE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应根据施工需要，负责取得出入施工现场所需的批准手续和全部权利，以及取得因施工所需修建道路、桥梁以及其他基础设施的权利，并承担相关手续费用和建设费用。承包人应协助发包人办理修建场内外道路、桥梁以及其他基础设施的手续。</w:t>
      </w:r>
    </w:p>
    <w:p w14:paraId="2FE1FA5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承包人应在订立合同前查勘施工现场，并根据工程规模及技术参数合理预见工程施工所需的进出施工现场的方式、手段、路径等。因承包人未合理预见所增加的费用和（或）延误的工期由承包人承担。</w:t>
      </w:r>
    </w:p>
    <w:p w14:paraId="53D1CC8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1.10.2 场外交通</w:t>
      </w:r>
    </w:p>
    <w:p w14:paraId="38E153A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提供场外交通设施的技术参数和具体条件，承包人应遵守有关交通法规，严格按照道路和桥梁的限制荷载行驶，执行有关道路限速、限行、禁止超载的规定，并配合交通管理部门的监督和检查。场外交通设施无法满足工程施工需要的，由发包人负责完善并承担相关费用。</w:t>
      </w:r>
    </w:p>
    <w:p w14:paraId="49350C1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1.10.3场内交通</w:t>
      </w:r>
    </w:p>
    <w:p w14:paraId="13EE977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提供场内交通设施的技术参数和具体条件，并应按照专用合同条款的约定向承包人免费提供满足工程施工所需的场内道路和交通设施。因承包人原因造成上述道路或交通设施损坏的，承包人负责修复并承担由此增加的费用。</w:t>
      </w:r>
    </w:p>
    <w:p w14:paraId="1673FE1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发包人按照合同约定提供的场内道路和交通设施外，承包人负责修建、维修、养护和管理施工所需的其他场内临时道路和交通设施。发包人和监理人可以为实现合同目的使用承包人修建的场内临时道路和交通设施。</w:t>
      </w:r>
    </w:p>
    <w:p w14:paraId="782C80C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场外交通和场内交通的边界由合同当事人在专用合同条款中约定。</w:t>
      </w:r>
    </w:p>
    <w:p w14:paraId="072F06C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1.10.4 超大件和超重件的运输</w:t>
      </w:r>
    </w:p>
    <w:p w14:paraId="314088F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由承包人负责运输的超大件或超重件，应由承包人负责向交通管理部门办理申请手续，发包人给予协助。运输超大件或超重件所需的道路和桥梁临时加固改造费用和其他有关费用，由承包人承担，但专用合同条款另有约定除外。</w:t>
      </w:r>
    </w:p>
    <w:p w14:paraId="229C2D6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1.10.5 道路和桥梁的损坏责任</w:t>
      </w:r>
    </w:p>
    <w:p w14:paraId="2D0DE48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因承包人运输造成施工场地内外公共道路和桥梁损坏的，由承包人承担修复损坏的全部费用和可能引起的赔偿。</w:t>
      </w:r>
    </w:p>
    <w:p w14:paraId="1EDE866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1.10.6 水路和航空运输</w:t>
      </w:r>
    </w:p>
    <w:p w14:paraId="5C47744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本款前述各项的内容适用于水路运输和航空运输，其中“道路”一词的涵义包括河道、航线、船闸、机场、码头、堤防以及水路或航空运输中其他相似结构物；“车辆”一词的涵义包括船舶和飞机等。</w:t>
      </w:r>
    </w:p>
    <w:p w14:paraId="31D9BC2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12" w:name="_Toc351203506"/>
      <w:r>
        <w:rPr>
          <w:rFonts w:hint="eastAsia" w:ascii="宋体" w:hAnsi="宋体" w:eastAsia="宋体" w:cs="宋体"/>
          <w:b w:val="0"/>
          <w:i w:val="0"/>
          <w:caps w:val="0"/>
          <w:color w:val="auto"/>
          <w:spacing w:val="0"/>
          <w:w w:val="100"/>
          <w:sz w:val="24"/>
          <w:szCs w:val="24"/>
          <w:highlight w:val="none"/>
        </w:rPr>
        <w:t>1</w:t>
      </w:r>
      <w:bookmarkStart w:id="513" w:name="_Toc337558737"/>
      <w:r>
        <w:rPr>
          <w:rFonts w:hint="eastAsia" w:ascii="宋体" w:hAnsi="宋体" w:eastAsia="宋体" w:cs="宋体"/>
          <w:b w:val="0"/>
          <w:i w:val="0"/>
          <w:caps w:val="0"/>
          <w:color w:val="auto"/>
          <w:spacing w:val="0"/>
          <w:w w:val="100"/>
          <w:sz w:val="24"/>
          <w:szCs w:val="24"/>
          <w:highlight w:val="none"/>
        </w:rPr>
        <w:t>.11知识产权</w:t>
      </w:r>
      <w:bookmarkEnd w:id="512"/>
      <w:r>
        <w:rPr>
          <w:rFonts w:hint="eastAsia" w:ascii="宋体" w:hAnsi="宋体" w:eastAsia="宋体" w:cs="宋体"/>
          <w:b w:val="0"/>
          <w:i w:val="0"/>
          <w:caps w:val="0"/>
          <w:color w:val="auto"/>
          <w:spacing w:val="0"/>
          <w:w w:val="100"/>
          <w:sz w:val="24"/>
          <w:szCs w:val="24"/>
          <w:highlight w:val="none"/>
        </w:rPr>
        <w:t xml:space="preserve"> </w:t>
      </w:r>
      <w:bookmarkEnd w:id="513"/>
    </w:p>
    <w:p w14:paraId="102FA5E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1.11.1 除专用合同条款另有约定外，发包人提供给承包人的图纸、发包人为实施工程自行编制或委托编制的技术规范以及反映发包人要求的或其他类似性质的文件的著作权属于发包人，承包人可以为实现合同目的而复制、使用此类文件，但不能用于与合同无关的其他事项。未经发包人书面同意，承包人不得为了合同以外的目的而复制、使用上述文件或将之提供给任何第三方。</w:t>
      </w:r>
    </w:p>
    <w:p w14:paraId="5219350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1.11.2 除专用合同条款另有约定外，承包人为实施工程所编制的文件，除署名权以外的著作权属于发包人，承包人可因实施工程的运行、调试、维修、改造等目的而复制、使用此类文件，但不能用于与合同无关的其他事项。未经发包人书面同意，承包人不得为了合同以外的目的而复制、使用上述文件或将之提供给任何第三方。</w:t>
      </w:r>
    </w:p>
    <w:p w14:paraId="3E138E5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1.11.3 合同当事人保证在履行合同过程中不侵犯对方及第三方的知识产权。承包人在使用材料、施工设备、工程设备或采用施工工艺时，因侵犯他人的专利权或其他知识产权所引起的责任，由承包人承担；因发包人提供的材料、施工设备、工程设备或施工工艺导致侵权的，由发包人承担责任。</w:t>
      </w:r>
    </w:p>
    <w:p w14:paraId="7DE2CD0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w:t>
      </w:r>
      <w:r>
        <w:rPr>
          <w:rFonts w:hint="eastAsia" w:ascii="宋体" w:hAnsi="宋体" w:eastAsia="宋体" w:cs="宋体"/>
          <w:b w:val="0"/>
          <w:i w:val="0"/>
          <w:caps w:val="0"/>
          <w:color w:val="auto"/>
          <w:spacing w:val="0"/>
          <w:w w:val="100"/>
          <w:sz w:val="24"/>
          <w:szCs w:val="24"/>
          <w:highlight w:val="none"/>
        </w:rPr>
        <w:t>1.11.4 除专用合同条款另有约定外，承包人在合同签订前和签订时已确定采用的专利、专有技术、技术秘密的使用费已包含在签约合同价中。</w:t>
      </w:r>
    </w:p>
    <w:p w14:paraId="19A9C6B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14" w:name="_Toc351203507"/>
      <w:r>
        <w:rPr>
          <w:rFonts w:hint="eastAsia" w:ascii="宋体" w:hAnsi="宋体" w:eastAsia="宋体" w:cs="宋体"/>
          <w:b w:val="0"/>
          <w:i w:val="0"/>
          <w:caps w:val="0"/>
          <w:color w:val="auto"/>
          <w:spacing w:val="0"/>
          <w:w w:val="100"/>
          <w:sz w:val="24"/>
          <w:szCs w:val="24"/>
          <w:highlight w:val="none"/>
        </w:rPr>
        <w:t>1.12保密</w:t>
      </w:r>
      <w:bookmarkEnd w:id="514"/>
    </w:p>
    <w:p w14:paraId="78F6D35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除法律规定或合同另有约定外，未经发包人同意，承包人不得将发包人提供的图纸、文件以及声明需要保密的资料信息等商业秘密泄露给第三方。</w:t>
      </w:r>
    </w:p>
    <w:p w14:paraId="294E91A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除法律规定或合同另有约定外，未经承包人同意，发包人不得将承包人提供的技术秘密及声明需要保密的资料信息等商业秘密泄露给第三方。</w:t>
      </w:r>
    </w:p>
    <w:p w14:paraId="3768D82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15" w:name="_Toc351203508"/>
      <w:r>
        <w:rPr>
          <w:rFonts w:hint="eastAsia" w:ascii="宋体" w:hAnsi="宋体" w:eastAsia="宋体" w:cs="宋体"/>
          <w:b w:val="0"/>
          <w:i w:val="0"/>
          <w:caps w:val="0"/>
          <w:color w:val="auto"/>
          <w:spacing w:val="0"/>
          <w:w w:val="100"/>
          <w:sz w:val="24"/>
          <w:szCs w:val="24"/>
          <w:highlight w:val="none"/>
        </w:rPr>
        <w:t>1.13工程量清单错误的修正</w:t>
      </w:r>
      <w:bookmarkEnd w:id="515"/>
    </w:p>
    <w:p w14:paraId="344D74A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除专用合同条款另有约定外，发包人提供的工程量清单，应被认为是准确的和完整的。出现下列情形之一时，发包人应予以修正，并相应调整合同价格：</w:t>
      </w:r>
    </w:p>
    <w:p w14:paraId="36A6AD0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（1）工程量清单存在缺项、漏项的；</w:t>
      </w:r>
    </w:p>
    <w:p w14:paraId="3B7CF83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（2）工程量清单偏差超出专用合同条款约定的工程量偏差范围的；</w:t>
      </w:r>
    </w:p>
    <w:p w14:paraId="5E75F5C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（3）未按照国家现行计量规范强制性规定计量的。</w:t>
      </w:r>
    </w:p>
    <w:p w14:paraId="32456775">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16" w:name="_Toc351203509"/>
      <w:bookmarkStart w:id="517" w:name="_Toc9426"/>
      <w:r>
        <w:rPr>
          <w:rFonts w:hint="eastAsia" w:ascii="宋体" w:hAnsi="宋体" w:eastAsia="宋体" w:cs="宋体"/>
          <w:b w:val="0"/>
          <w:i w:val="0"/>
          <w:caps w:val="0"/>
          <w:color w:val="auto"/>
          <w:spacing w:val="0"/>
          <w:w w:val="100"/>
          <w:sz w:val="24"/>
          <w:szCs w:val="24"/>
          <w:highlight w:val="none"/>
        </w:rPr>
        <w:t>2</w:t>
      </w:r>
      <w:bookmarkStart w:id="518" w:name="OLE_LINK2"/>
      <w:bookmarkStart w:id="519" w:name="OLE_LINK1"/>
      <w:r>
        <w:rPr>
          <w:rFonts w:hint="eastAsia" w:ascii="宋体" w:hAnsi="宋体" w:eastAsia="宋体" w:cs="宋体"/>
          <w:b w:val="0"/>
          <w:i w:val="0"/>
          <w:caps w:val="0"/>
          <w:color w:val="auto"/>
          <w:spacing w:val="0"/>
          <w:w w:val="100"/>
          <w:sz w:val="24"/>
          <w:szCs w:val="24"/>
          <w:highlight w:val="none"/>
        </w:rPr>
        <w:t>. 发包人</w:t>
      </w:r>
      <w:bookmarkEnd w:id="516"/>
      <w:bookmarkEnd w:id="517"/>
    </w:p>
    <w:p w14:paraId="3F20EA7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20" w:name="_Toc351203510"/>
      <w:r>
        <w:rPr>
          <w:rFonts w:hint="eastAsia" w:ascii="宋体" w:hAnsi="宋体" w:eastAsia="宋体" w:cs="宋体"/>
          <w:b w:val="0"/>
          <w:i w:val="0"/>
          <w:caps w:val="0"/>
          <w:color w:val="auto"/>
          <w:spacing w:val="0"/>
          <w:w w:val="100"/>
          <w:sz w:val="24"/>
          <w:szCs w:val="24"/>
          <w:highlight w:val="none"/>
        </w:rPr>
        <w:t>2</w:t>
      </w:r>
      <w:bookmarkStart w:id="521" w:name="_Toc337558740"/>
      <w:bookmarkStart w:id="522" w:name="_Toc296346540"/>
      <w:bookmarkStart w:id="523" w:name="_Toc296503039"/>
      <w:r>
        <w:rPr>
          <w:rFonts w:hint="eastAsia" w:ascii="宋体" w:hAnsi="宋体" w:eastAsia="宋体" w:cs="宋体"/>
          <w:b w:val="0"/>
          <w:i w:val="0"/>
          <w:caps w:val="0"/>
          <w:color w:val="auto"/>
          <w:spacing w:val="0"/>
          <w:w w:val="100"/>
          <w:sz w:val="24"/>
          <w:szCs w:val="24"/>
          <w:highlight w:val="none"/>
        </w:rPr>
        <w:t>.1 许可或批准</w:t>
      </w:r>
      <w:bookmarkEnd w:id="520"/>
    </w:p>
    <w:p w14:paraId="525A31D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遵守法律，并办理法律规定由其办理的许可、批准或备案，包括但不限于建设用地规划许可证、建设工程规划许可证、建设工程施工许可证、施工所需临时用水、临时用电、中断道路交通、临时占用土地等许可和批准。发包人应协助承包人办理法律规定的有关施工证件和批件。</w:t>
      </w:r>
    </w:p>
    <w:p w14:paraId="7C23CC5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因发包人原因未能及时办理完毕前述许可、批准或备案，由发包人承担由此增加的费用和（或）延误的工期，并支付承包人合理的利润。</w:t>
      </w:r>
    </w:p>
    <w:p w14:paraId="2DC3B4F3">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24" w:name="_Toc351203511"/>
      <w:r>
        <w:rPr>
          <w:rFonts w:hint="eastAsia" w:ascii="宋体" w:hAnsi="宋体" w:eastAsia="宋体" w:cs="宋体"/>
          <w:b w:val="0"/>
          <w:i w:val="0"/>
          <w:caps w:val="0"/>
          <w:color w:val="auto"/>
          <w:spacing w:val="0"/>
          <w:w w:val="100"/>
          <w:sz w:val="24"/>
          <w:szCs w:val="24"/>
          <w:highlight w:val="none"/>
        </w:rPr>
        <w:t>2.2 发包人代表</w:t>
      </w:r>
      <w:bookmarkEnd w:id="524"/>
    </w:p>
    <w:p w14:paraId="1B2962D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在专用合同条款中明确其派驻施工现场的发包人代表的姓名、职务、联系方式及授权范围等事项。发包人代表在发包人的授权范围内，负责处理合同履行过程中与发包人有关的具体事宜。发包人代表在授权范围内的行为由发包人承担法律责任。发包人更换发包人代表的，应提前7天书面通知承包人。</w:t>
      </w:r>
    </w:p>
    <w:p w14:paraId="6B40C40E">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发包人代表不能按照合同约定履行其职责及义务，并导致合同无法继续正常履行的，承包人可以要求发包人撤换发包人代表。</w:t>
      </w:r>
    </w:p>
    <w:p w14:paraId="27A661B4">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不属于法定必须监理的工程，监理人的职权可以由发包人代表或发包人指定的其他人员行使。</w:t>
      </w:r>
    </w:p>
    <w:p w14:paraId="74312425">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25" w:name="_Toc351203512"/>
      <w:r>
        <w:rPr>
          <w:rFonts w:hint="eastAsia" w:ascii="宋体" w:hAnsi="宋体" w:eastAsia="宋体" w:cs="宋体"/>
          <w:b w:val="0"/>
          <w:i w:val="0"/>
          <w:caps w:val="0"/>
          <w:color w:val="auto"/>
          <w:spacing w:val="0"/>
          <w:w w:val="100"/>
          <w:sz w:val="24"/>
          <w:szCs w:val="24"/>
          <w:highlight w:val="none"/>
        </w:rPr>
        <w:t>2.3 发包人人员</w:t>
      </w:r>
      <w:bookmarkEnd w:id="525"/>
    </w:p>
    <w:p w14:paraId="0BE4DCF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发包人应要求在施工现场的发包人人员遵守法律及有关安全、质量、环境保护、文明施工等规定，并保障承包人免于承受因发包人人员未遵守上述要求给承包人造成的损失和责任。</w:t>
      </w:r>
    </w:p>
    <w:p w14:paraId="715D6D1E">
      <w:pPr>
        <w:snapToGrid w:val="0"/>
        <w:spacing w:before="0" w:beforeAutospacing="0" w:after="0" w:afterAutospacing="0" w:line="360" w:lineRule="auto"/>
        <w:ind w:firstLine="64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发包人人员包括发包人代表及其他由发包人派驻施工现场的人员。</w:t>
      </w:r>
      <w:bookmarkEnd w:id="521"/>
      <w:bookmarkEnd w:id="522"/>
      <w:bookmarkEnd w:id="523"/>
    </w:p>
    <w:p w14:paraId="7370F8BB">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26" w:name="_Toc351203513"/>
      <w:r>
        <w:rPr>
          <w:rFonts w:hint="eastAsia" w:ascii="宋体" w:hAnsi="宋体" w:eastAsia="宋体" w:cs="宋体"/>
          <w:b w:val="0"/>
          <w:i w:val="0"/>
          <w:caps w:val="0"/>
          <w:color w:val="auto"/>
          <w:spacing w:val="0"/>
          <w:w w:val="100"/>
          <w:sz w:val="24"/>
          <w:szCs w:val="24"/>
          <w:highlight w:val="none"/>
        </w:rPr>
        <w:t>2</w:t>
      </w:r>
      <w:bookmarkStart w:id="527" w:name="_Toc337558741"/>
      <w:bookmarkStart w:id="528" w:name="_Toc296346541"/>
      <w:bookmarkStart w:id="529" w:name="_Toc296503040"/>
      <w:r>
        <w:rPr>
          <w:rFonts w:hint="eastAsia" w:ascii="宋体" w:hAnsi="宋体" w:eastAsia="宋体" w:cs="宋体"/>
          <w:b w:val="0"/>
          <w:i w:val="0"/>
          <w:caps w:val="0"/>
          <w:color w:val="auto"/>
          <w:spacing w:val="0"/>
          <w:w w:val="100"/>
          <w:sz w:val="24"/>
          <w:szCs w:val="24"/>
          <w:highlight w:val="none"/>
        </w:rPr>
        <w:t>.4 施工现场、施工条件和基础资料的提供</w:t>
      </w:r>
      <w:bookmarkEnd w:id="526"/>
      <w:r>
        <w:rPr>
          <w:rFonts w:hint="eastAsia" w:ascii="宋体" w:hAnsi="宋体" w:eastAsia="宋体" w:cs="宋体"/>
          <w:b w:val="0"/>
          <w:i w:val="0"/>
          <w:caps w:val="0"/>
          <w:color w:val="auto"/>
          <w:spacing w:val="0"/>
          <w:w w:val="100"/>
          <w:sz w:val="24"/>
          <w:szCs w:val="24"/>
          <w:highlight w:val="none"/>
        </w:rPr>
        <w:t xml:space="preserve"> </w:t>
      </w:r>
      <w:bookmarkEnd w:id="527"/>
      <w:bookmarkEnd w:id="528"/>
      <w:bookmarkEnd w:id="529"/>
      <w:r>
        <w:rPr>
          <w:rFonts w:hint="eastAsia" w:ascii="宋体" w:hAnsi="宋体" w:eastAsia="宋体" w:cs="宋体"/>
          <w:b w:val="0"/>
          <w:i w:val="0"/>
          <w:caps w:val="0"/>
          <w:color w:val="auto"/>
          <w:spacing w:val="0"/>
          <w:w w:val="100"/>
          <w:sz w:val="24"/>
          <w:szCs w:val="24"/>
          <w:highlight w:val="none"/>
        </w:rPr>
        <w:t xml:space="preserve"> </w:t>
      </w:r>
    </w:p>
    <w:p w14:paraId="423F22A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2.4.1 提供施工现场</w:t>
      </w:r>
    </w:p>
    <w:p w14:paraId="76A902A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w:t>
      </w:r>
      <w:bookmarkEnd w:id="518"/>
      <w:bookmarkEnd w:id="519"/>
      <w:r>
        <w:rPr>
          <w:rFonts w:hint="eastAsia" w:ascii="宋体" w:hAnsi="宋体" w:eastAsia="宋体" w:cs="宋体"/>
          <w:b w:val="0"/>
          <w:i w:val="0"/>
          <w:caps w:val="0"/>
          <w:color w:val="auto"/>
          <w:spacing w:val="0"/>
          <w:w w:val="100"/>
          <w:kern w:val="0"/>
          <w:sz w:val="24"/>
          <w:szCs w:val="24"/>
          <w:highlight w:val="none"/>
        </w:rPr>
        <w:t>专用合同条款另有约定外，发包人应最迟于开工日期7天前向承包人移交施工现场。</w:t>
      </w:r>
    </w:p>
    <w:p w14:paraId="5508A1A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2.4.2 提供施工条件</w:t>
      </w:r>
    </w:p>
    <w:p w14:paraId="25FDC51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除专用合同条款另有约定外，发包人应负责提供施工所需要的条件，包括：</w:t>
      </w:r>
    </w:p>
    <w:p w14:paraId="36E4215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（1）将施工用水、电力、通讯线路等施工所必需的条件接至施工现场内；</w:t>
      </w:r>
    </w:p>
    <w:p w14:paraId="4EBEACF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（2）保证向承包人提供正常施工所需要的进入施工现场的交通条件；</w:t>
      </w:r>
    </w:p>
    <w:p w14:paraId="267E2EB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（3）协调处理施工现场周围地下管线和邻近建筑物、构筑物、古树名木的保护工作，并承担相关费用；</w:t>
      </w:r>
    </w:p>
    <w:p w14:paraId="32FA51D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（4）按照专用合同条款约定应提供的其他设施和条件。</w:t>
      </w:r>
    </w:p>
    <w:p w14:paraId="78459C6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2.4.3 提供基础资料</w:t>
      </w:r>
    </w:p>
    <w:p w14:paraId="2763E0C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当在移交施工现场前向承包人提供施工现场及工程施工所必需的毗邻区域内供水、排水、供电、供气、供热、通信、广播电视等地下管线资料，气象和水文观测资料，地质勘察资料，相邻建筑物、构筑物和地下工程等有关基础资料，并对所提供资料的真实性、准确性和完整性负责。</w:t>
      </w:r>
    </w:p>
    <w:p w14:paraId="5F9D0D7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按照法律规定确需在开工后方能提供的基础资料，发包人应尽其努力及时地在相应工程施工前的合理期限内提供，合理期限应以不影响承包人的正常施工为限。</w:t>
      </w:r>
    </w:p>
    <w:p w14:paraId="1926A79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2.4.4 逾期提供的责任</w:t>
      </w:r>
    </w:p>
    <w:p w14:paraId="1EF87D2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因发包人原因未能按合同约定及时向承包人提供施工现场、施工条件、基础资料的，由发包人承担由此增加的费用和（或）延误的工期。</w:t>
      </w:r>
    </w:p>
    <w:p w14:paraId="60C8085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30" w:name="_Toc351203514"/>
      <w:r>
        <w:rPr>
          <w:rFonts w:hint="eastAsia" w:ascii="宋体" w:hAnsi="宋体" w:eastAsia="宋体" w:cs="宋体"/>
          <w:b w:val="0"/>
          <w:i w:val="0"/>
          <w:caps w:val="0"/>
          <w:color w:val="auto"/>
          <w:spacing w:val="0"/>
          <w:w w:val="100"/>
          <w:sz w:val="24"/>
          <w:szCs w:val="24"/>
          <w:highlight w:val="none"/>
        </w:rPr>
        <w:t>2</w:t>
      </w:r>
      <w:bookmarkStart w:id="531" w:name="_Toc296346543"/>
      <w:bookmarkStart w:id="532" w:name="_Toc337558745"/>
      <w:bookmarkStart w:id="533" w:name="_Toc296503042"/>
      <w:r>
        <w:rPr>
          <w:rFonts w:hint="eastAsia" w:ascii="宋体" w:hAnsi="宋体" w:eastAsia="宋体" w:cs="宋体"/>
          <w:b w:val="0"/>
          <w:i w:val="0"/>
          <w:caps w:val="0"/>
          <w:color w:val="auto"/>
          <w:spacing w:val="0"/>
          <w:w w:val="100"/>
          <w:sz w:val="24"/>
          <w:szCs w:val="24"/>
          <w:highlight w:val="none"/>
        </w:rPr>
        <w:t>.5 资</w:t>
      </w:r>
      <w:bookmarkEnd w:id="531"/>
      <w:bookmarkEnd w:id="532"/>
      <w:bookmarkEnd w:id="533"/>
      <w:r>
        <w:rPr>
          <w:rFonts w:hint="eastAsia" w:ascii="宋体" w:hAnsi="宋体" w:eastAsia="宋体" w:cs="宋体"/>
          <w:b w:val="0"/>
          <w:i w:val="0"/>
          <w:caps w:val="0"/>
          <w:color w:val="auto"/>
          <w:spacing w:val="0"/>
          <w:w w:val="100"/>
          <w:sz w:val="24"/>
          <w:szCs w:val="24"/>
          <w:highlight w:val="none"/>
        </w:rPr>
        <w:t>金来源证明及支付担保</w:t>
      </w:r>
      <w:bookmarkEnd w:id="530"/>
    </w:p>
    <w:p w14:paraId="63A870E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除专用合同条款另有约定外，发包人应在收到承包人要求提供资金来源证明的书面通知后28天内，向承包人提供能够按照合同约定支付合同价款的相应资金来源证明。</w:t>
      </w:r>
    </w:p>
    <w:p w14:paraId="1FB2B8E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除专用合同条款另有约定外，发包人要求承包人提供履约担保的，发包人应当向承包人提供支付担保。支付担保可以采用银行保函或担保公司担保等形式，具体由合同当事人在专用合同条款中约定。</w:t>
      </w:r>
    </w:p>
    <w:p w14:paraId="7D63F664">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34" w:name="_Toc351203515"/>
      <w:r>
        <w:rPr>
          <w:rFonts w:hint="eastAsia" w:ascii="宋体" w:hAnsi="宋体" w:eastAsia="宋体" w:cs="宋体"/>
          <w:b w:val="0"/>
          <w:i w:val="0"/>
          <w:caps w:val="0"/>
          <w:color w:val="auto"/>
          <w:spacing w:val="0"/>
          <w:w w:val="100"/>
          <w:sz w:val="24"/>
          <w:szCs w:val="24"/>
          <w:highlight w:val="none"/>
        </w:rPr>
        <w:t>2.6 支付合同价款</w:t>
      </w:r>
      <w:bookmarkEnd w:id="534"/>
    </w:p>
    <w:p w14:paraId="73E128D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发包人应按合同约定向承包人及时支付合同价款。</w:t>
      </w:r>
    </w:p>
    <w:p w14:paraId="768760E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35" w:name="_Toc351203516"/>
      <w:r>
        <w:rPr>
          <w:rFonts w:hint="eastAsia" w:ascii="宋体" w:hAnsi="宋体" w:eastAsia="宋体" w:cs="宋体"/>
          <w:b w:val="0"/>
          <w:i w:val="0"/>
          <w:caps w:val="0"/>
          <w:color w:val="auto"/>
          <w:spacing w:val="0"/>
          <w:w w:val="100"/>
          <w:sz w:val="24"/>
          <w:szCs w:val="24"/>
          <w:highlight w:val="none"/>
        </w:rPr>
        <w:t>2.7 组织竣工验收</w:t>
      </w:r>
      <w:bookmarkEnd w:id="535"/>
    </w:p>
    <w:p w14:paraId="193FDE8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发包人应按合同约定及时组织竣工验收。</w:t>
      </w:r>
    </w:p>
    <w:p w14:paraId="64CCFB3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36" w:name="_Toc351203517"/>
      <w:r>
        <w:rPr>
          <w:rFonts w:hint="eastAsia" w:ascii="宋体" w:hAnsi="宋体" w:eastAsia="宋体" w:cs="宋体"/>
          <w:b w:val="0"/>
          <w:i w:val="0"/>
          <w:caps w:val="0"/>
          <w:color w:val="auto"/>
          <w:spacing w:val="0"/>
          <w:w w:val="100"/>
          <w:sz w:val="24"/>
          <w:szCs w:val="24"/>
          <w:highlight w:val="none"/>
        </w:rPr>
        <w:t>2.8 现场统一管理协议</w:t>
      </w:r>
      <w:bookmarkEnd w:id="536"/>
    </w:p>
    <w:p w14:paraId="4B061E8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发包人应与承包人、由发包人直接发包的专业工程的承包人签订施工现场统一管理协议，明确各方的权利义务。施工现场统一管理协议作为专用合同条款的附件。</w:t>
      </w:r>
    </w:p>
    <w:p w14:paraId="617A6632">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37" w:name="_Toc351203518"/>
      <w:bookmarkStart w:id="538" w:name="_Toc9844"/>
      <w:r>
        <w:rPr>
          <w:rFonts w:hint="eastAsia" w:ascii="宋体" w:hAnsi="宋体" w:eastAsia="宋体" w:cs="宋体"/>
          <w:b w:val="0"/>
          <w:i w:val="0"/>
          <w:caps w:val="0"/>
          <w:color w:val="auto"/>
          <w:spacing w:val="0"/>
          <w:w w:val="100"/>
          <w:sz w:val="24"/>
          <w:szCs w:val="24"/>
          <w:highlight w:val="none"/>
        </w:rPr>
        <w:t>3. 承包人</w:t>
      </w:r>
      <w:bookmarkEnd w:id="537"/>
      <w:bookmarkEnd w:id="538"/>
    </w:p>
    <w:p w14:paraId="32EC3635">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39" w:name="_Toc351203519"/>
      <w:r>
        <w:rPr>
          <w:rFonts w:hint="eastAsia" w:ascii="宋体" w:hAnsi="宋体" w:eastAsia="宋体" w:cs="宋体"/>
          <w:b w:val="0"/>
          <w:i w:val="0"/>
          <w:caps w:val="0"/>
          <w:color w:val="auto"/>
          <w:spacing w:val="0"/>
          <w:w w:val="100"/>
          <w:sz w:val="24"/>
          <w:szCs w:val="24"/>
          <w:highlight w:val="none"/>
        </w:rPr>
        <w:t>3.1 承包人的一般义务</w:t>
      </w:r>
      <w:bookmarkEnd w:id="539"/>
    </w:p>
    <w:p w14:paraId="1585344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承包人在履行合同过程中应遵守法律和工程建设标准规范，并履行以下义务：</w:t>
      </w:r>
    </w:p>
    <w:p w14:paraId="0C5C7B35">
      <w:pPr>
        <w:numPr>
          <w:ilvl w:val="0"/>
          <w:numId w:val="7"/>
        </w:num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办理法律规定应由承包人办理的许可和批准，并将办理结果书面报送发包人留存；</w:t>
      </w:r>
    </w:p>
    <w:p w14:paraId="74971F6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（2）按法律规定和合同约定完成工程，并在保修期内承担保修义务；</w:t>
      </w:r>
    </w:p>
    <w:p w14:paraId="453C9C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（3）按法律规定和合同约定采取施工安全和环境保护措施，办理工伤保险，确保工程及人员、材料、设备和设施的安全；</w:t>
      </w:r>
    </w:p>
    <w:p w14:paraId="7C71E7C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（4）按合同约定的工作内容和施工进度要求，编制施工组织设计和施工措施计划，并对所有施工作业和施工方法的完备性和安全可靠性负责；</w:t>
      </w:r>
    </w:p>
    <w:p w14:paraId="570C83A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在进行合同约定的各项工作时，不得侵害发包人与他人使用公用道路、水源、市政管网等公共设施的权利，避免对邻近的公共设施产生干扰。承包人占用或使用他人的施工场地，影响他人作业或生活的，应承担相应责任；</w:t>
      </w:r>
    </w:p>
    <w:p w14:paraId="2C219D1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（6）按照第6.3款〔环境保护〕约定负责施工场地及其周边环境与生态的保护工作；</w:t>
      </w:r>
    </w:p>
    <w:p w14:paraId="56EF421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（7）按第6.1款〔安全文明施工〕约定采取施工安全措施，确保工程及其人员、材料、设备和设施的安全，防止因工程施工造成的人身伤害和财产损失；</w:t>
      </w:r>
    </w:p>
    <w:p w14:paraId="5C8BD8F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（8）将发包人按合同约定支付的各项价款专用于合同工程，且应及时支付其雇用人员工资，并及时向分包人支付合同价款；</w:t>
      </w:r>
    </w:p>
    <w:p w14:paraId="1AB5035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（9）按照法律规定和合同约定编制竣工资料，完成竣工资料立卷及归档，并按专用合同条款约定的竣工资料的套数、内容、时间等要求移交发包人；</w:t>
      </w:r>
    </w:p>
    <w:p w14:paraId="4EA5B2F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（10）应履行的其他义务。</w:t>
      </w:r>
    </w:p>
    <w:p w14:paraId="4A92240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40" w:name="_Toc351203520"/>
      <w:r>
        <w:rPr>
          <w:rFonts w:hint="eastAsia" w:ascii="宋体" w:hAnsi="宋体" w:eastAsia="宋体" w:cs="宋体"/>
          <w:b w:val="0"/>
          <w:i w:val="0"/>
          <w:caps w:val="0"/>
          <w:color w:val="auto"/>
          <w:spacing w:val="0"/>
          <w:w w:val="100"/>
          <w:sz w:val="24"/>
          <w:szCs w:val="24"/>
          <w:highlight w:val="none"/>
        </w:rPr>
        <w:t xml:space="preserve">3.2 </w:t>
      </w:r>
      <w:bookmarkEnd w:id="540"/>
      <w:r>
        <w:rPr>
          <w:rFonts w:hint="eastAsia" w:ascii="宋体" w:hAnsi="宋体" w:eastAsia="宋体" w:cs="宋体"/>
          <w:b w:val="0"/>
          <w:i w:val="0"/>
          <w:caps w:val="0"/>
          <w:color w:val="auto"/>
          <w:spacing w:val="0"/>
          <w:w w:val="100"/>
          <w:sz w:val="24"/>
          <w:szCs w:val="24"/>
          <w:highlight w:val="none"/>
        </w:rPr>
        <w:t>项目经理</w:t>
      </w:r>
    </w:p>
    <w:p w14:paraId="746F531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3.2.1 项目经理应为合同当事人所确认的人选，并在专用合同条款中明确项目经理的姓名、职称、注册执业证书编号、联系方式及授权范围等事项，项目经理经承包人授权后代表承包人负责履行合同。项目经理应是承包人正式聘用的员工，承包人应向发包人提交项目经理与承包人之间的劳动合同，以及承包人为项目经理缴纳社会保险的有效证明。承包人不提交上述文件的，项目经理无权履行职责，发包人有权要求更换项目经理，由此增加的费用和（或）延误的工期由承包人承担。</w:t>
      </w:r>
    </w:p>
    <w:p w14:paraId="774EFC2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项目经理应常驻施工现场，且每月在施工现场时间不得少于专用合同条款约定的天数。项目经理不得同时担任其他项目的项目经理。项目经理确需离开施工现场时，应事先通知监理人，并取得发包人的书面同意。项目经理的通知中应当载明临时代行其职责的人员的注册执业资格、管理经验等资料，该人员应具备履行相应职责的能力。</w:t>
      </w:r>
    </w:p>
    <w:p w14:paraId="1C93785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承包人违反上述约定的，应按照专用合同条款的约定，承担违约责任。</w:t>
      </w:r>
    </w:p>
    <w:p w14:paraId="138208C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3.2.2 项目经理按合同约定组织工程实施。在紧急情况下为确保施工安全和人员安全，在无法与发包人代表和总监理工程师及时取得联系时，项目经理有权采取必要的措施保证与工程有关的人身、财产和工程的安全，但应在48小时内向发包人代表和总监理工程师提交书面报告。</w:t>
      </w:r>
    </w:p>
    <w:p w14:paraId="2552097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3.2.3 承包人需要更换项目经理的，应提前14天书面通知发包人和监理人，并征得发包人书面同意。通知中应当载明继任项目经理的注册执业资格、管理经验等资料，继任项目经理继续履行第3.2.1项约定的职责。未经发包人书面同意，承包人不得擅自更换项目经理。承包人擅自更换项目经理的，应按照专用合同条款的约定承担违约责任。</w:t>
      </w:r>
    </w:p>
    <w:p w14:paraId="3685EE2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3.2.4 发包人有权书面通知承包人更换其认为不称职的项目经理，通知中应当载明要求更换的理由。承包人应在接到更换通知后14天内向发包人提出书面的改进报告。发包人收到改进报告后仍要求更换的，承包人应在接到第二次更换通知的28天内进行更换，并将新任命的项目经理的注册执业资格、管理经验等资料书面通知发包人。继任项目经理继续履行第3.2.1项约定的职责。承包人无正当理由拒绝更换项目经理的，应按照专用合同条款的约定承担违约责任。</w:t>
      </w:r>
    </w:p>
    <w:p w14:paraId="0D22A81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3.2.5 项目经理因特殊情况授权其下属人员履行其某项工作职责的，该下属人员应具备履行相应职责的能力，并应提前7天将上述人员的姓名和授权范围书面通知监理人，并征得发包人书面同意。</w:t>
      </w:r>
    </w:p>
    <w:p w14:paraId="42754DE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41" w:name="_Toc351203521"/>
      <w:r>
        <w:rPr>
          <w:rFonts w:hint="eastAsia" w:ascii="宋体" w:hAnsi="宋体" w:eastAsia="宋体" w:cs="宋体"/>
          <w:b w:val="0"/>
          <w:i w:val="0"/>
          <w:caps w:val="0"/>
          <w:color w:val="auto"/>
          <w:spacing w:val="0"/>
          <w:w w:val="100"/>
          <w:sz w:val="24"/>
          <w:szCs w:val="24"/>
          <w:highlight w:val="none"/>
        </w:rPr>
        <w:t>3</w:t>
      </w:r>
      <w:bookmarkStart w:id="542" w:name="_Toc296346549"/>
      <w:bookmarkStart w:id="543" w:name="_Toc296503048"/>
      <w:r>
        <w:rPr>
          <w:rFonts w:hint="eastAsia" w:ascii="宋体" w:hAnsi="宋体" w:eastAsia="宋体" w:cs="宋体"/>
          <w:b w:val="0"/>
          <w:i w:val="0"/>
          <w:caps w:val="0"/>
          <w:color w:val="auto"/>
          <w:spacing w:val="0"/>
          <w:w w:val="100"/>
          <w:sz w:val="24"/>
          <w:szCs w:val="24"/>
          <w:highlight w:val="none"/>
        </w:rPr>
        <w:t xml:space="preserve">.3 </w:t>
      </w:r>
      <w:bookmarkEnd w:id="542"/>
      <w:bookmarkEnd w:id="543"/>
      <w:r>
        <w:rPr>
          <w:rFonts w:hint="eastAsia" w:ascii="宋体" w:hAnsi="宋体" w:eastAsia="宋体" w:cs="宋体"/>
          <w:b w:val="0"/>
          <w:i w:val="0"/>
          <w:caps w:val="0"/>
          <w:color w:val="auto"/>
          <w:spacing w:val="0"/>
          <w:w w:val="100"/>
          <w:sz w:val="24"/>
          <w:szCs w:val="24"/>
          <w:highlight w:val="none"/>
        </w:rPr>
        <w:t>承包人人员</w:t>
      </w:r>
      <w:bookmarkEnd w:id="541"/>
    </w:p>
    <w:p w14:paraId="289FD08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3.3.1 除专用合同条款另有约定外，承包人应在接到开工通知后7天内，向监理人提交承包人项目管理机构及施工现场人员安排的报告，其内容应包括合同管理、施工、技术、材料、质量、安全、财务等主要施工管理人员名单及其岗位、注册执业资格等，以及各工种技术工人的安排情况，并同时提交主要施工管理人员与承包人之间的劳动关系证明和缴纳社会保险的有效证明。</w:t>
      </w:r>
    </w:p>
    <w:p w14:paraId="61A5AD7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3.3.2 承包人派驻到施工现场的主要施工管理人员应相对稳定。施工过程中如有变动，承包人应及时向监理人提交施工现场人员变动情况的报告。承包人更换主要施工管理人员时，应提前7天书面通知监理人，并征得发包人书面同意。通知中应当载明继任人员的注册执业资格、管理经验等资料。</w:t>
      </w:r>
    </w:p>
    <w:p w14:paraId="16CDFFA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特殊工种作业人员均应持有相应的资格证明，监理人可以随时检查。</w:t>
      </w:r>
    </w:p>
    <w:p w14:paraId="175B75F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3.3.3 发包人对于承包人主要施工管理人员的资格或能力有异议的，承包人应提供资料证明被质疑人员有能力完成其岗位工作或不存在发包人所质疑的情形。发包人要求撤换不能按照合同约定履行职责及义务的主要施工管理人员的，承包人应当撤换。承包人无正当理由拒绝撤换的，应按照专用合同条款的约定承担违约责任。</w:t>
      </w:r>
    </w:p>
    <w:p w14:paraId="3EF7481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3.3.4 除专用合同条款另有约定外，承包人的主要施工管理人员离开施工现场每月累计不超过5天的，应报监理人同意；离开施工现场每月累计超过5天的，应通知监理人，并征得发包人书面同意。主要施工管理人员离开施工现场前应指定一名有经验的人员临时代行其职责，该人员应具备履行相应职责的资格和能力，且应征得监理人或发包人的同意。</w:t>
      </w:r>
    </w:p>
    <w:p w14:paraId="392FAD6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3.3.5 承包人擅自更换主要施工管理人员，或前述人员未经监理人或发包人同意擅自离开施工现场的，应按照专用合同条款约定承担违约责任。</w:t>
      </w:r>
    </w:p>
    <w:p w14:paraId="6C3C330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44" w:name="_Toc351203522"/>
      <w:r>
        <w:rPr>
          <w:rFonts w:hint="eastAsia" w:ascii="宋体" w:hAnsi="宋体" w:eastAsia="宋体" w:cs="宋体"/>
          <w:b w:val="0"/>
          <w:i w:val="0"/>
          <w:caps w:val="0"/>
          <w:color w:val="auto"/>
          <w:spacing w:val="0"/>
          <w:w w:val="100"/>
          <w:sz w:val="24"/>
          <w:szCs w:val="24"/>
          <w:highlight w:val="none"/>
        </w:rPr>
        <w:t>3.4 承包人现场查勘</w:t>
      </w:r>
      <w:bookmarkEnd w:id="544"/>
    </w:p>
    <w:p w14:paraId="0037A5E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承包人应对基于发包人按照第2.4.3项〔提供基础资料〕提交的基础资料所做出的解释和推断负责，但因基础资料存在错误、遗漏导致承包人解释或推断失实的，由发包人承担责任。</w:t>
      </w:r>
    </w:p>
    <w:p w14:paraId="7FA6A1E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对施工现场和施工条件进行查勘，并充分了解工程所在地的气象条件、交通条件、风俗习惯以及其他与完成合同工作有关的其他资料。因承包人未能充分查勘、了解前述情况或未能充分估计前述情况所可能产生后果的，承包人承担由此增加的费用和（或）延误的工期。</w:t>
      </w:r>
    </w:p>
    <w:p w14:paraId="74874DC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45" w:name="_Toc351203523"/>
      <w:r>
        <w:rPr>
          <w:rFonts w:hint="eastAsia" w:ascii="宋体" w:hAnsi="宋体" w:eastAsia="宋体" w:cs="宋体"/>
          <w:b w:val="0"/>
          <w:i w:val="0"/>
          <w:caps w:val="0"/>
          <w:color w:val="auto"/>
          <w:spacing w:val="0"/>
          <w:w w:val="100"/>
          <w:sz w:val="24"/>
          <w:szCs w:val="24"/>
          <w:highlight w:val="none"/>
        </w:rPr>
        <w:t>3.5 分包</w:t>
      </w:r>
      <w:bookmarkEnd w:id="545"/>
    </w:p>
    <w:p w14:paraId="6B1AAFE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3.5.1 分包的一般约定</w:t>
      </w:r>
    </w:p>
    <w:p w14:paraId="516D8B9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不得将其承包的全部工程转包给第三人，或将其承包的全部工程肢解后以分包的名义转包给第三人。承包人不得将工程主体结构、关键性工作及专用合同条款中禁止分包的专业工程分包给第三人，主体结构、关键性工作的范围由合同当事人按照法律规定在专用合同条款中予以明确。</w:t>
      </w:r>
    </w:p>
    <w:p w14:paraId="47D1438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承包人不得以劳务分包的名义转包或违法分包工程。</w:t>
      </w:r>
    </w:p>
    <w:p w14:paraId="54336BD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3.5.2 分包的确定</w:t>
      </w:r>
    </w:p>
    <w:p w14:paraId="359EDAB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专用合同条款的约定进行分包，确定分包人。已标价工程量清单或预算书中给定暂估价的专业工程，按照第10.7款〔暂估价〕确定分包人。按照合同约定进行分包的，承包人应确保分包人具有相应的资质和能力。工程分包不减轻或免除承包人的责任和义务，承包人和分包人就分包工程向发包人承担连带责任。除合同另有约定外，承包人应在分包合同签订后7天内向发包人和监理人提交分包合同副本。</w:t>
      </w:r>
    </w:p>
    <w:p w14:paraId="02AB7FC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3.5.3 分包管理</w:t>
      </w:r>
    </w:p>
    <w:p w14:paraId="6765FA6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承包人应向监理人提交分包人的主要施工管理人员表，并对分包人的施工人员进行实名制管理，包括但不限于进出场管理、登记造册以及各种证照的办理。</w:t>
      </w:r>
    </w:p>
    <w:p w14:paraId="38CC04A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3.5.4 分包合同价款</w:t>
      </w:r>
    </w:p>
    <w:p w14:paraId="74A0462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（1）除本项第（2）目约定的情况或专用合同条款另有约定外，分包合同价款由承包人与分包人结算，未经承包人同意，发包人不得向分包人支付分包工程价款；</w:t>
      </w:r>
    </w:p>
    <w:p w14:paraId="6700517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（2）生效法律文书要求发包人向分包人支付分包合同价款的，发包人有权从应付承包人工程款中扣除该部分款项。</w:t>
      </w:r>
    </w:p>
    <w:p w14:paraId="28033D8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3.5.5 分包合同权益的转让</w:t>
      </w:r>
    </w:p>
    <w:p w14:paraId="5510A9D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分包人在分包合同项下的义务持续到缺陷责任期届满以后的，发包人有权在缺陷责任期届满前，要求承包人将其在分包合同项下的权益转让给发包人，承包人应当转让。除转让合同另有约定外，转让合同生效后，由分包人向发包人履行义务。</w:t>
      </w:r>
      <w:bookmarkStart w:id="546" w:name="_Toc351203524"/>
    </w:p>
    <w:p w14:paraId="00C981AE">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3.6 工程照管与成品、半成品保护</w:t>
      </w:r>
      <w:bookmarkEnd w:id="546"/>
    </w:p>
    <w:p w14:paraId="742C008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（1）除专用合同条款另有约定外，自发包人向承包人移交施工现场之日起，承包人应负责照管工程及工程相关的材料、工程设备，直到颁发工程接收证书之日止。</w:t>
      </w:r>
    </w:p>
    <w:p w14:paraId="1D52745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（2）在承包人负责照管期间，因承包人原因造成工程、材料、工程设备损坏的，由承包人负责修复或更换，并承担由此增加的费用和（或）延误的工期。</w:t>
      </w:r>
    </w:p>
    <w:p w14:paraId="64459F0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（3）对合同内分期完成的成品和半成品，在工程接收证书颁发前，由承包人承担保护责任。因承包人原因造成成品或半成品损坏的，由承包人负责修复或更换，并承担由此增加的费用和（或）延误的工期。</w:t>
      </w:r>
    </w:p>
    <w:p w14:paraId="1245202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47" w:name="_Toc351203525"/>
      <w:r>
        <w:rPr>
          <w:rFonts w:hint="eastAsia" w:ascii="宋体" w:hAnsi="宋体" w:eastAsia="宋体" w:cs="宋体"/>
          <w:b w:val="0"/>
          <w:i w:val="0"/>
          <w:caps w:val="0"/>
          <w:color w:val="auto"/>
          <w:spacing w:val="0"/>
          <w:w w:val="100"/>
          <w:sz w:val="24"/>
          <w:szCs w:val="24"/>
          <w:highlight w:val="none"/>
        </w:rPr>
        <w:t>3.7 履约担保</w:t>
      </w:r>
      <w:bookmarkEnd w:id="547"/>
    </w:p>
    <w:p w14:paraId="78304C6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发包人需要承包人提供履约担保的，由合同当事人在专用合同条款中约定履约担保的方式、金额及期限等。履约担保可以采用银行保函或担保公司担保等形式，具体由合同当事人在专用合同条款中约定。</w:t>
      </w:r>
    </w:p>
    <w:p w14:paraId="7CB49A9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因承包人原因导致工期延长的，继续提供履约担保所增加的费用由承包人承担；非因承包人原因导致工期延长的，继续提供履约担保所增加的费用由发包人承担。</w:t>
      </w:r>
    </w:p>
    <w:p w14:paraId="611BFC25">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48" w:name="_Toc351203526"/>
      <w:r>
        <w:rPr>
          <w:rFonts w:hint="eastAsia" w:ascii="宋体" w:hAnsi="宋体" w:eastAsia="宋体" w:cs="宋体"/>
          <w:b w:val="0"/>
          <w:i w:val="0"/>
          <w:caps w:val="0"/>
          <w:color w:val="auto"/>
          <w:spacing w:val="0"/>
          <w:w w:val="100"/>
          <w:sz w:val="24"/>
          <w:szCs w:val="24"/>
          <w:highlight w:val="none"/>
        </w:rPr>
        <w:t>3.8 联合体</w:t>
      </w:r>
      <w:bookmarkEnd w:id="548"/>
    </w:p>
    <w:p w14:paraId="4C762CD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3.8.1 联合体各方应共同与发包人签订合同协议书。联合体各方应为履行合同向发包人承担连带责任。</w:t>
      </w:r>
    </w:p>
    <w:p w14:paraId="1A6E42A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3.8.2 联合体协议经发包人确认后作为合同附件。在履行合同过程中，未经发包人同意，不得修改联合体协议。</w:t>
      </w:r>
    </w:p>
    <w:p w14:paraId="6428865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3.8.3 联合体牵头人负责与发包人和监理人联系，并接受指示，负责组织联合体各成员全面履行合同。</w:t>
      </w:r>
    </w:p>
    <w:p w14:paraId="02342534">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49" w:name="_Toc351203527"/>
      <w:bookmarkStart w:id="550" w:name="_Toc22652"/>
      <w:r>
        <w:rPr>
          <w:rFonts w:hint="eastAsia" w:ascii="宋体" w:hAnsi="宋体" w:eastAsia="宋体" w:cs="宋体"/>
          <w:b w:val="0"/>
          <w:i w:val="0"/>
          <w:caps w:val="0"/>
          <w:color w:val="auto"/>
          <w:spacing w:val="0"/>
          <w:w w:val="100"/>
          <w:sz w:val="24"/>
          <w:szCs w:val="24"/>
          <w:highlight w:val="none"/>
        </w:rPr>
        <w:t>4</w:t>
      </w:r>
      <w:bookmarkStart w:id="551" w:name="_Toc296503053"/>
      <w:bookmarkStart w:id="552" w:name="_Toc296346554"/>
      <w:r>
        <w:rPr>
          <w:rFonts w:hint="eastAsia" w:ascii="宋体" w:hAnsi="宋体" w:eastAsia="宋体" w:cs="宋体"/>
          <w:b w:val="0"/>
          <w:i w:val="0"/>
          <w:caps w:val="0"/>
          <w:color w:val="auto"/>
          <w:spacing w:val="0"/>
          <w:w w:val="100"/>
          <w:sz w:val="24"/>
          <w:szCs w:val="24"/>
          <w:highlight w:val="none"/>
        </w:rPr>
        <w:t>. 监</w:t>
      </w:r>
      <w:bookmarkEnd w:id="551"/>
      <w:bookmarkEnd w:id="552"/>
      <w:r>
        <w:rPr>
          <w:rFonts w:hint="eastAsia" w:ascii="宋体" w:hAnsi="宋体" w:eastAsia="宋体" w:cs="宋体"/>
          <w:b w:val="0"/>
          <w:i w:val="0"/>
          <w:caps w:val="0"/>
          <w:color w:val="auto"/>
          <w:spacing w:val="0"/>
          <w:w w:val="100"/>
          <w:sz w:val="24"/>
          <w:szCs w:val="24"/>
          <w:highlight w:val="none"/>
        </w:rPr>
        <w:t>理人</w:t>
      </w:r>
      <w:bookmarkEnd w:id="549"/>
      <w:bookmarkEnd w:id="550"/>
    </w:p>
    <w:p w14:paraId="4A47589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53" w:name="_Toc351203528"/>
      <w:r>
        <w:rPr>
          <w:rFonts w:hint="eastAsia" w:ascii="宋体" w:hAnsi="宋体" w:eastAsia="宋体" w:cs="宋体"/>
          <w:b w:val="0"/>
          <w:i w:val="0"/>
          <w:caps w:val="0"/>
          <w:color w:val="auto"/>
          <w:spacing w:val="0"/>
          <w:w w:val="100"/>
          <w:sz w:val="24"/>
          <w:szCs w:val="24"/>
          <w:highlight w:val="none"/>
        </w:rPr>
        <w:t>4.1监理人的一般规定</w:t>
      </w:r>
      <w:bookmarkEnd w:id="553"/>
    </w:p>
    <w:p w14:paraId="5FD6B9E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工程实行监理的，发包人和承包人应在专用合同条款中明确监理人的监理内容及监理权限等事项。监理人应当根据发包人授权及法律规定，代表发包人对工程施工相关事项进行检查、查验、审核、验收，并签发相关指示，但监理人无权修改合同，且无权减轻或免除合同约定的承包人的任何责任与义务。</w:t>
      </w:r>
    </w:p>
    <w:p w14:paraId="7BF8C7A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除专用合同条款另有约定外，监理人在施工现场的办公场所、生活场所由承包人提供，所发生的费用由发包人承担。</w:t>
      </w:r>
    </w:p>
    <w:p w14:paraId="0A87437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54" w:name="_Toc351203529"/>
      <w:r>
        <w:rPr>
          <w:rFonts w:hint="eastAsia" w:ascii="宋体" w:hAnsi="宋体" w:eastAsia="宋体" w:cs="宋体"/>
          <w:b w:val="0"/>
          <w:i w:val="0"/>
          <w:caps w:val="0"/>
          <w:color w:val="auto"/>
          <w:spacing w:val="0"/>
          <w:w w:val="100"/>
          <w:sz w:val="24"/>
          <w:szCs w:val="24"/>
          <w:highlight w:val="none"/>
        </w:rPr>
        <w:t>4.2监理人员</w:t>
      </w:r>
      <w:bookmarkEnd w:id="554"/>
    </w:p>
    <w:p w14:paraId="4A8BD0D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授予监理人对工程实施监理的权利由监理人派驻施工现场的监理人员行使，监理人员包括总监理工程师及监理工程师。监理人应将授权的总监理工程师和监理工程师的姓名及授权范围以书面形式提前通知承包人。更换总监理工程师的，监理人应提前7天书面通知承包人；更换其他监理人员，监理人应提前48小时书面通知承包人。</w:t>
      </w:r>
    </w:p>
    <w:p w14:paraId="6357FD7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55" w:name="_Toc351203530"/>
      <w:r>
        <w:rPr>
          <w:rFonts w:hint="eastAsia" w:ascii="宋体" w:hAnsi="宋体" w:eastAsia="宋体" w:cs="宋体"/>
          <w:b w:val="0"/>
          <w:i w:val="0"/>
          <w:caps w:val="0"/>
          <w:color w:val="auto"/>
          <w:spacing w:val="0"/>
          <w:w w:val="100"/>
          <w:sz w:val="24"/>
          <w:szCs w:val="24"/>
          <w:highlight w:val="none"/>
        </w:rPr>
        <w:t>4</w:t>
      </w:r>
      <w:bookmarkStart w:id="556" w:name="_Toc296503055"/>
      <w:bookmarkStart w:id="557" w:name="_Toc296346556"/>
      <w:bookmarkStart w:id="558" w:name="_Toc337558756"/>
      <w:r>
        <w:rPr>
          <w:rFonts w:hint="eastAsia" w:ascii="宋体" w:hAnsi="宋体" w:eastAsia="宋体" w:cs="宋体"/>
          <w:b w:val="0"/>
          <w:i w:val="0"/>
          <w:caps w:val="0"/>
          <w:color w:val="auto"/>
          <w:spacing w:val="0"/>
          <w:w w:val="100"/>
          <w:sz w:val="24"/>
          <w:szCs w:val="24"/>
          <w:highlight w:val="none"/>
        </w:rPr>
        <w:t>.3</w:t>
      </w:r>
      <w:bookmarkEnd w:id="556"/>
      <w:bookmarkEnd w:id="557"/>
      <w:r>
        <w:rPr>
          <w:rFonts w:hint="eastAsia" w:ascii="宋体" w:hAnsi="宋体" w:eastAsia="宋体" w:cs="宋体"/>
          <w:b w:val="0"/>
          <w:i w:val="0"/>
          <w:caps w:val="0"/>
          <w:color w:val="auto"/>
          <w:spacing w:val="0"/>
          <w:w w:val="100"/>
          <w:sz w:val="24"/>
          <w:szCs w:val="24"/>
          <w:highlight w:val="none"/>
        </w:rPr>
        <w:t>监理人的指</w:t>
      </w:r>
      <w:bookmarkEnd w:id="558"/>
      <w:r>
        <w:rPr>
          <w:rFonts w:hint="eastAsia" w:ascii="宋体" w:hAnsi="宋体" w:eastAsia="宋体" w:cs="宋体"/>
          <w:b w:val="0"/>
          <w:i w:val="0"/>
          <w:caps w:val="0"/>
          <w:color w:val="auto"/>
          <w:spacing w:val="0"/>
          <w:w w:val="100"/>
          <w:sz w:val="24"/>
          <w:szCs w:val="24"/>
          <w:highlight w:val="none"/>
        </w:rPr>
        <w:t>示</w:t>
      </w:r>
      <w:bookmarkEnd w:id="555"/>
    </w:p>
    <w:p w14:paraId="73AE65A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应按照发包人的授权发出监理指示。监理人的指示应采用书面形式，并经其授权的监理人员签字。紧急情况下，为了保证施工人员的安全或避免工程受损，监理人员可以口头形式发出指示，该指示与书面形式的指示具有同等法律效力，但必须在发出口头指示后24小时内补发书面监理指示，补发的书面监理指示应与口头指示一致。</w:t>
      </w:r>
    </w:p>
    <w:p w14:paraId="2EE1BD4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发出的指示应送达承包人项目经理或经项目经理授权接收的人员。因监理人未能按合同约定发出指示、指示延误或发出了错误指示而导致承包人费用增加和（或）工期延误的，由发包人承担相应责任。除专用合同条款另有约定外，总监理工程师不应将第4.4款〔商定或确定〕约定应由总监理工程师作出确定的权力授权或委托给其他监理人员。</w:t>
      </w:r>
    </w:p>
    <w:p w14:paraId="1EB7F65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承包人对监理人发出的指示有疑问的，应向监理人提出书面异议，监理人应在48小时内对该指示予以确认、更改或撤销，监理人逾期未回复的，承包人有权拒绝执行上述指示。</w:t>
      </w:r>
    </w:p>
    <w:p w14:paraId="0C34EFD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监理人对承包人的任何工作、工程或其采用的材料和工程设备未在约定的或合理期限内提出意见的，视为批准，但不免除或减轻承包人对该工作、工程、材料、工程设备等应承担的责任和义务。</w:t>
      </w:r>
    </w:p>
    <w:p w14:paraId="4BD6E990">
      <w:pPr>
        <w:pStyle w:val="5"/>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59" w:name="_Toc351203531"/>
      <w:r>
        <w:rPr>
          <w:rFonts w:hint="eastAsia" w:ascii="宋体" w:hAnsi="宋体" w:eastAsia="宋体" w:cs="宋体"/>
          <w:b w:val="0"/>
          <w:i w:val="0"/>
          <w:caps w:val="0"/>
          <w:color w:val="auto"/>
          <w:spacing w:val="0"/>
          <w:w w:val="100"/>
          <w:sz w:val="24"/>
          <w:szCs w:val="24"/>
          <w:highlight w:val="none"/>
        </w:rPr>
        <w:t>4.4 商定或确定</w:t>
      </w:r>
      <w:bookmarkEnd w:id="559"/>
    </w:p>
    <w:p w14:paraId="6D34586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合同当事人进行商定或确定时，总监理工程师应当会同合同当事人尽量通过协商达成一致，不能达成一致的，由总监理工程师按照合同约定审慎做出公正的确定。</w:t>
      </w:r>
    </w:p>
    <w:p w14:paraId="18A2A56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总监理工程师应将确定以书面形式通知发包人和承包人，并附详细依据。合同当事人对总监理工程师的确定没有异议的，按照总监理工程师的确定执行。任何一方合同当事人有异议，按照第20条〔争议解决〕约定处理。争议解决前，合同当事人暂按总监理工程师的确定执行；争议解决后，争议解决的结果与总监理工程师的确定不一致的，按照争议解决的结果执行，由此造成的损失由责任人承担。</w:t>
      </w:r>
    </w:p>
    <w:p w14:paraId="4FCAD805">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60" w:name="_Toc6537"/>
      <w:bookmarkStart w:id="561" w:name="_Toc351203532"/>
      <w:r>
        <w:rPr>
          <w:rFonts w:hint="eastAsia" w:ascii="宋体" w:hAnsi="宋体" w:eastAsia="宋体" w:cs="宋体"/>
          <w:b w:val="0"/>
          <w:i w:val="0"/>
          <w:caps w:val="0"/>
          <w:color w:val="auto"/>
          <w:spacing w:val="0"/>
          <w:w w:val="100"/>
          <w:sz w:val="24"/>
          <w:szCs w:val="24"/>
          <w:highlight w:val="none"/>
        </w:rPr>
        <w:t>5. 工程质量</w:t>
      </w:r>
      <w:bookmarkEnd w:id="560"/>
      <w:bookmarkEnd w:id="561"/>
    </w:p>
    <w:p w14:paraId="161686F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62" w:name="_Toc351203533"/>
      <w:r>
        <w:rPr>
          <w:rFonts w:hint="eastAsia" w:ascii="宋体" w:hAnsi="宋体" w:eastAsia="宋体" w:cs="宋体"/>
          <w:b w:val="0"/>
          <w:i w:val="0"/>
          <w:caps w:val="0"/>
          <w:color w:val="auto"/>
          <w:spacing w:val="0"/>
          <w:w w:val="100"/>
          <w:sz w:val="24"/>
          <w:szCs w:val="24"/>
          <w:highlight w:val="none"/>
        </w:rPr>
        <w:t>5.1质量要求</w:t>
      </w:r>
      <w:bookmarkEnd w:id="562"/>
    </w:p>
    <w:p w14:paraId="47A0E17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5.1.1 工程质量标准必须符合现行国家有关工程施工质量验收规范和标准的要求。有关工程质量的特殊标准或要求由合同当事人在专用合同条款中约定。</w:t>
      </w:r>
    </w:p>
    <w:p w14:paraId="6D66A04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5.1.2 因发包人原因造成工程质量未达到合同约定标准的，由发包人承担由此增加的费用和（或）延误的工期，并支付承包人合理的利润。</w:t>
      </w:r>
    </w:p>
    <w:p w14:paraId="01B34DA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5.1.3因承包人原因造成工程质量未达到合同约定标准的，发包人有权要求承包人返工直至工程质量达到合同约定的标准为止，并由承包人承担由此增加的费用和（或）延误的工期。</w:t>
      </w:r>
    </w:p>
    <w:p w14:paraId="2ED79EE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63" w:name="_Toc351203534"/>
      <w:r>
        <w:rPr>
          <w:rFonts w:hint="eastAsia" w:ascii="宋体" w:hAnsi="宋体" w:eastAsia="宋体" w:cs="宋体"/>
          <w:b w:val="0"/>
          <w:i w:val="0"/>
          <w:caps w:val="0"/>
          <w:color w:val="auto"/>
          <w:spacing w:val="0"/>
          <w:w w:val="100"/>
          <w:sz w:val="24"/>
          <w:szCs w:val="24"/>
          <w:highlight w:val="none"/>
        </w:rPr>
        <w:t>5.2质量保证措施</w:t>
      </w:r>
      <w:bookmarkEnd w:id="563"/>
    </w:p>
    <w:p w14:paraId="3807C7D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5.2.1 发包人的质量管理</w:t>
      </w:r>
    </w:p>
    <w:p w14:paraId="713867F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发包人应按照法律规定及合同约定完成与工程质量有关的各项工作。</w:t>
      </w:r>
    </w:p>
    <w:p w14:paraId="46CB129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5.2.2 承包人的质量管理</w:t>
      </w:r>
    </w:p>
    <w:p w14:paraId="5D06FDA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按照第7.1款〔施工组织设计〕约定向发包人和监理人提交工程质量保证体系及措施文件，建立完善的质量检查制度，并提交相应的工程质量文件。对于发包人和监理人违反法律规定和合同约定的错误指示，承包人有权拒绝实施。</w:t>
      </w:r>
    </w:p>
    <w:p w14:paraId="33BC191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承包人应对施工人员进行质量教育和技术培训，定期考核施工人员的劳动技能，严格执行施工规范和操作规程。</w:t>
      </w:r>
    </w:p>
    <w:p w14:paraId="7FFBC6D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照法律规定和发包人的要求，对材料、工程设备以及工程的所有部位及其施工工艺进行全过程的质量检查和检验，并作详细记录，编制工程质量报表，报送监理人审查。此外，承包人还应按照法律规定和发包人的要求，进行施工现场取样试验、工程复核测量和设备性能检测，提供试验样品、提交试验报告和测量成果以及其他工作。</w:t>
      </w:r>
    </w:p>
    <w:p w14:paraId="61C5DBC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5.2.3 监理人的质量检查和检验</w:t>
      </w:r>
    </w:p>
    <w:p w14:paraId="3BCDCD4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按照法律规定和发包人授权对工程的所有部位及其施工工艺、材料和工程设备进行检查和检验。承包人应为监理人的检查和检验提供方便，包括监理人到施工现场，或制造、加工地点，或合同约定的其他地方进行察看和查阅施工原始记录。监理人为此进行的检查和检验，不免除或减轻承包人按照合同约定应当承担的责任。</w:t>
      </w:r>
    </w:p>
    <w:p w14:paraId="7075591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的检查和检验不应影响施工正常进行。监理人的检查和检验影响施工正常进行的，且经检查检验不合格的，影响正常施工的费用由承包人承担，工期不予顺延；经检查检验合格的，由此增加的费用和（或）延误的工期由发包人承担。</w:t>
      </w:r>
    </w:p>
    <w:p w14:paraId="4030924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64" w:name="_Toc351203535"/>
      <w:r>
        <w:rPr>
          <w:rFonts w:hint="eastAsia" w:ascii="宋体" w:hAnsi="宋体" w:eastAsia="宋体" w:cs="宋体"/>
          <w:b w:val="0"/>
          <w:i w:val="0"/>
          <w:caps w:val="0"/>
          <w:color w:val="auto"/>
          <w:spacing w:val="0"/>
          <w:w w:val="100"/>
          <w:sz w:val="24"/>
          <w:szCs w:val="24"/>
          <w:highlight w:val="none"/>
        </w:rPr>
        <w:t>5.3 隐蔽工程检查</w:t>
      </w:r>
      <w:bookmarkEnd w:id="564"/>
    </w:p>
    <w:p w14:paraId="25D26B8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5.3.1承包人自检</w:t>
      </w:r>
    </w:p>
    <w:p w14:paraId="7EC49B9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承包人应当对工程隐蔽部位进行自检，并经自检确认是否具备覆盖条件。</w:t>
      </w:r>
    </w:p>
    <w:p w14:paraId="03392A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5.3.2检查程序</w:t>
      </w:r>
    </w:p>
    <w:p w14:paraId="450ADC4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工程隐蔽部位经承包人自检确认具备覆盖条件的，承包人应在共同检查前48小时书面通知监理人检查，通知中应载明隐蔽检查的内容、时间和地点，并应附有自检记录和必要的检查资料。</w:t>
      </w:r>
    </w:p>
    <w:p w14:paraId="1AA434A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应按时到场并对隐蔽工程及其施工工艺、材料和工程设备进行检查。经监理人检查确认质量符合隐蔽要求，并在验收记录上签字后，承包人才能进行覆盖。经监理人检查质量不合格的，承包人应在监理人指示的时间内完成修复，并由监理人重新检查，由此增加的费用和（或）延误的工期由承包人承担。</w:t>
      </w:r>
    </w:p>
    <w:p w14:paraId="7783D2F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监理人不能按时进行检查的，应在检查前24小时向承包人提交书面延期要求，但延期不能超过48小时，由此导致工期延误的，工期应予以顺延。监理人未按时进行检查，也未提出延期要求的，视为隐蔽工程检查合格，承包人可自行完成覆盖工作，并作相应记录报送监理人，监理人应签字确认。监理人事后对检查记录有疑问的，可按第5.3.3项〔重新检查〕的约定重新检查。</w:t>
      </w:r>
    </w:p>
    <w:p w14:paraId="7D5CAE1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5.3.3 重新检查</w:t>
      </w:r>
    </w:p>
    <w:p w14:paraId="52AF337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覆盖工程隐蔽部位后，发包人或监理人对质量有疑问的，可要求承包人对已覆盖的部位进行钻孔探测或揭开重新检查，承包人应遵照执行，并在检查后重新覆盖恢复原状。经检查证明工程质量符合合同要求的，由发包人承担由此增加的费用和（或）延误的工期，并支付承包人合理的利润；经检查证明工程质量不符合合同要求的，由此增加的费用和（或）延误的工期由承包人承担。</w:t>
      </w:r>
    </w:p>
    <w:p w14:paraId="5075067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5.3.4 承包人私自覆盖</w:t>
      </w:r>
    </w:p>
    <w:p w14:paraId="29B94B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承包人未通知监理人到场检查，私自将工程隐蔽部位覆盖的，监理人有权指示承包人钻孔探测或揭开检查，无论工程隐蔽部位质量是否合格，由此增加的费用和（或）延误的工期均由承包人承担。</w:t>
      </w:r>
    </w:p>
    <w:p w14:paraId="32D9464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65" w:name="_Toc351203536"/>
      <w:r>
        <w:rPr>
          <w:rFonts w:hint="eastAsia" w:ascii="宋体" w:hAnsi="宋体" w:eastAsia="宋体" w:cs="宋体"/>
          <w:b w:val="0"/>
          <w:i w:val="0"/>
          <w:caps w:val="0"/>
          <w:color w:val="auto"/>
          <w:spacing w:val="0"/>
          <w:w w:val="100"/>
          <w:sz w:val="24"/>
          <w:szCs w:val="24"/>
          <w:highlight w:val="none"/>
        </w:rPr>
        <w:t>5.4不合格工程的处理</w:t>
      </w:r>
      <w:bookmarkEnd w:id="565"/>
    </w:p>
    <w:p w14:paraId="57A4965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5.4.1 因承包人原因造成工程不合格的，发包人有权随时要求承包人采取补救措施，直至达到合同要求的质量标准，由此增加的费用和（或）延误的工期由承包人承担。无法补救的，按照第13.2.4项〔拒绝接收全部或部分工程〕约定执行。 </w:t>
      </w:r>
    </w:p>
    <w:p w14:paraId="258DD06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5.4.2 因发包人原因造成工程不合格的，由此增加的费用和（或）延误的工期由发包人承担，并支付承包人合理的利润。</w:t>
      </w:r>
    </w:p>
    <w:p w14:paraId="54C9395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66" w:name="_Toc351203537"/>
      <w:r>
        <w:rPr>
          <w:rFonts w:hint="eastAsia" w:ascii="宋体" w:hAnsi="宋体" w:eastAsia="宋体" w:cs="宋体"/>
          <w:b w:val="0"/>
          <w:i w:val="0"/>
          <w:caps w:val="0"/>
          <w:color w:val="auto"/>
          <w:spacing w:val="0"/>
          <w:w w:val="100"/>
          <w:sz w:val="24"/>
          <w:szCs w:val="24"/>
          <w:highlight w:val="none"/>
        </w:rPr>
        <w:t>5.5 质量争议检测</w:t>
      </w:r>
      <w:bookmarkEnd w:id="566"/>
    </w:p>
    <w:p w14:paraId="308E237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合同当事人对工程质量有争议的，由双方协商确定的工程质量检测机构鉴定，由此产生的费用及因此造成的损失，由责任方承担。</w:t>
      </w:r>
    </w:p>
    <w:p w14:paraId="6B0B7520">
      <w:pPr>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合同当事人均有责任的，由双方根据其责任分别承担。合同当事人无法达成一致的，按照第4.4款〔商定或确定〕执行。</w:t>
      </w:r>
    </w:p>
    <w:p w14:paraId="284963F1">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67" w:name="_Toc351203538"/>
      <w:bookmarkStart w:id="568" w:name="_Toc7458"/>
      <w:r>
        <w:rPr>
          <w:rFonts w:hint="eastAsia" w:ascii="宋体" w:hAnsi="宋体" w:eastAsia="宋体" w:cs="宋体"/>
          <w:b w:val="0"/>
          <w:i w:val="0"/>
          <w:caps w:val="0"/>
          <w:color w:val="auto"/>
          <w:spacing w:val="0"/>
          <w:w w:val="100"/>
          <w:sz w:val="24"/>
          <w:szCs w:val="24"/>
          <w:highlight w:val="none"/>
        </w:rPr>
        <w:t>6. 安全文明施工与环境保护</w:t>
      </w:r>
      <w:bookmarkEnd w:id="567"/>
      <w:bookmarkEnd w:id="568"/>
    </w:p>
    <w:p w14:paraId="471F7FA8">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69" w:name="_Toc351203539"/>
      <w:r>
        <w:rPr>
          <w:rFonts w:hint="eastAsia" w:ascii="宋体" w:hAnsi="宋体" w:eastAsia="宋体" w:cs="宋体"/>
          <w:b w:val="0"/>
          <w:i w:val="0"/>
          <w:caps w:val="0"/>
          <w:color w:val="auto"/>
          <w:spacing w:val="0"/>
          <w:w w:val="100"/>
          <w:sz w:val="24"/>
          <w:szCs w:val="24"/>
          <w:highlight w:val="none"/>
        </w:rPr>
        <w:t>6.1安全文明施工</w:t>
      </w:r>
      <w:bookmarkEnd w:id="569"/>
    </w:p>
    <w:p w14:paraId="2C990516">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6.1.1安全生产要求</w:t>
      </w:r>
    </w:p>
    <w:p w14:paraId="1D6D767D">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合同履行期间，合同当事人均应当遵守国家和工程所在地有关安全生产的要求，合同当事人有特别要求的，应在专用合同条款中明确施工项目安全生产标准化达标目标及相应事项。承包人有权拒绝发包人及监理人强令承包人违章作业、冒险施工的任何指示。</w:t>
      </w:r>
    </w:p>
    <w:p w14:paraId="70382259">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在施工过程中，如遇到突发的地质变动、事先未知的地下施工障碍等影响施工安全的紧急情况，承包人应及时报告监理人和发包人，发包人应当及时下令停工并报</w:t>
      </w:r>
      <w:r>
        <w:rPr>
          <w:rFonts w:hint="eastAsia" w:ascii="宋体" w:hAnsi="宋体" w:eastAsia="宋体" w:cs="宋体"/>
          <w:b w:val="0"/>
          <w:i w:val="0"/>
          <w:caps w:val="0"/>
          <w:color w:val="auto"/>
          <w:spacing w:val="0"/>
          <w:w w:val="100"/>
          <w:kern w:val="0"/>
          <w:sz w:val="24"/>
          <w:szCs w:val="24"/>
          <w:highlight w:val="none"/>
        </w:rPr>
        <w:t>政府有关行政管理部门</w:t>
      </w:r>
      <w:r>
        <w:rPr>
          <w:rFonts w:hint="eastAsia" w:ascii="宋体" w:hAnsi="宋体" w:eastAsia="宋体" w:cs="宋体"/>
          <w:b w:val="0"/>
          <w:i w:val="0"/>
          <w:caps w:val="0"/>
          <w:color w:val="auto"/>
          <w:spacing w:val="0"/>
          <w:w w:val="100"/>
          <w:sz w:val="24"/>
          <w:szCs w:val="24"/>
          <w:highlight w:val="none"/>
        </w:rPr>
        <w:t>采取应急措施。</w:t>
      </w:r>
    </w:p>
    <w:p w14:paraId="19DEE8A0">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因安全生产需要暂停施工的，按照第7.8款〔暂停施工〕的约定执行。</w:t>
      </w:r>
    </w:p>
    <w:p w14:paraId="2262F404">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6.1.2 安全生产保证措施</w:t>
      </w:r>
    </w:p>
    <w:p w14:paraId="14827D3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承包人应当按照有关</w:t>
      </w:r>
      <w:r>
        <w:rPr>
          <w:rFonts w:hint="eastAsia" w:ascii="宋体" w:hAnsi="宋体" w:eastAsia="宋体" w:cs="宋体"/>
          <w:b w:val="0"/>
          <w:i w:val="0"/>
          <w:caps w:val="0"/>
          <w:color w:val="auto"/>
          <w:spacing w:val="0"/>
          <w:w w:val="100"/>
          <w:kern w:val="0"/>
          <w:sz w:val="24"/>
          <w:szCs w:val="24"/>
          <w:highlight w:val="none"/>
        </w:rPr>
        <w:t>规定编制安全技术措施或者专项施工方案，</w:t>
      </w:r>
      <w:r>
        <w:rPr>
          <w:rFonts w:hint="eastAsia" w:ascii="宋体" w:hAnsi="宋体" w:eastAsia="宋体" w:cs="宋体"/>
          <w:b w:val="0"/>
          <w:i w:val="0"/>
          <w:caps w:val="0"/>
          <w:color w:val="auto"/>
          <w:spacing w:val="0"/>
          <w:w w:val="100"/>
          <w:sz w:val="24"/>
          <w:szCs w:val="24"/>
          <w:highlight w:val="none"/>
        </w:rPr>
        <w:t>建立安全生产责任制度、治安保卫制度及安全生产教育培训制度，并</w:t>
      </w:r>
      <w:r>
        <w:rPr>
          <w:rFonts w:hint="eastAsia" w:ascii="宋体" w:hAnsi="宋体" w:eastAsia="宋体" w:cs="宋体"/>
          <w:b w:val="0"/>
          <w:i w:val="0"/>
          <w:caps w:val="0"/>
          <w:color w:val="auto"/>
          <w:spacing w:val="0"/>
          <w:w w:val="100"/>
          <w:kern w:val="0"/>
          <w:sz w:val="24"/>
          <w:szCs w:val="24"/>
          <w:highlight w:val="none"/>
        </w:rPr>
        <w:t>按安全生产法律规定及合同约定履行安全职责，如实</w:t>
      </w:r>
      <w:r>
        <w:rPr>
          <w:rFonts w:hint="eastAsia" w:ascii="宋体" w:hAnsi="宋体" w:eastAsia="宋体" w:cs="宋体"/>
          <w:b w:val="0"/>
          <w:i w:val="0"/>
          <w:caps w:val="0"/>
          <w:color w:val="auto"/>
          <w:spacing w:val="0"/>
          <w:w w:val="100"/>
          <w:sz w:val="24"/>
          <w:szCs w:val="24"/>
          <w:highlight w:val="none"/>
        </w:rPr>
        <w:t>编制工程安全生产的有关记录，</w:t>
      </w:r>
      <w:r>
        <w:rPr>
          <w:rFonts w:hint="eastAsia" w:ascii="宋体" w:hAnsi="宋体" w:eastAsia="宋体" w:cs="宋体"/>
          <w:b w:val="0"/>
          <w:i w:val="0"/>
          <w:caps w:val="0"/>
          <w:color w:val="auto"/>
          <w:spacing w:val="0"/>
          <w:w w:val="100"/>
          <w:kern w:val="0"/>
          <w:sz w:val="24"/>
          <w:szCs w:val="24"/>
          <w:highlight w:val="none"/>
        </w:rPr>
        <w:t>接受发包人、监理人及政府安全监督部门的检查与监督。</w:t>
      </w:r>
    </w:p>
    <w:p w14:paraId="7B326671">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6.1.3特别安全生产事项</w:t>
      </w:r>
    </w:p>
    <w:p w14:paraId="3511B21F">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承包人应按照法律规定进行施工，开工前做好安全技术交底工作，施工过程中做好各项安全防护措施。承包人为实施合同而雇用的特殊工种的人员应受过专门的培训并已取得政府有关管理机构颁发的上岗证书。</w:t>
      </w:r>
    </w:p>
    <w:p w14:paraId="698044F9">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承包人在动力设备、输电线路、地下管道、密封防震车间、易燃易爆地段以及临街交通要道附近施工时，施工开始前应向发包人和监理人提出安全防护措施，经发包人认可后实施。 </w:t>
      </w:r>
    </w:p>
    <w:p w14:paraId="3F584AC6">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实施爆破作业，在放射、毒害性环境中施工（含储存、运输、使用）及使用毒害性、腐蚀性物品施工时，承包人应在施工前7天以书面通知发包人和监理人，并报送相应的安全防护措施，经发包人认可后实施。</w:t>
      </w:r>
    </w:p>
    <w:p w14:paraId="2EF3C9EB">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需单独编制危险性较大分部分项专项工程施工方案的，及要求进行专家论证的超过一定规模的危险性较大的分部分项工程，承包人应及时编制和组织论证。</w:t>
      </w:r>
    </w:p>
    <w:p w14:paraId="2F5C0CEC">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6.1.4 治安保卫</w:t>
      </w:r>
    </w:p>
    <w:p w14:paraId="5DC37F36">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除专用合同条款另有约定外，发包人应与当地公安部门协商，在现场建立治安管理机构或联防组织，统一管理施工场地的治安保卫事项，履行合同工程的治安保卫职责。</w:t>
      </w:r>
    </w:p>
    <w:p w14:paraId="706323D3">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发包人和承包人除应协助现场治安管理机构或联防组织维护施工场地的社会治安外，还应做好包括生活区在内的各自管辖区的治安保卫工作。</w:t>
      </w:r>
    </w:p>
    <w:p w14:paraId="2E862985">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除专用合同条款另有约定外，发包人和承包人应在工程开工后7天内共同编制施工场地治安管理计划，并制定应对突发治安事件的紧急预案。在工程施工过程中，发生暴乱、爆炸等恐怖事件，以及群殴、械斗等群体性突发治安事件的，发包人和承包人应立即向当地政府报告。发包人和承包人应积极协助当地有关部门采取措施平息事态，防止事态扩大，尽量避免人员伤亡和财产损失。</w:t>
      </w:r>
    </w:p>
    <w:p w14:paraId="465B2E97">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6.1.5 文明施工</w:t>
      </w:r>
    </w:p>
    <w:p w14:paraId="18AE059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承包人在工程施工期间，应当采取措施保持施工现场平整，物料堆放整齐。工程所在地有关政府行政管理部门有特殊要求的，按照其要求执行。合同当事人对文明施工有其他要求的，可以在专用合同条款中明确。</w:t>
      </w:r>
    </w:p>
    <w:p w14:paraId="7730326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工程移交之前，承包人应当从施工现场清除承包人的全部工程设备、多余材料、垃圾和各种临时工程，并保持施工现场清洁整齐。经发包人书面同意，承包人可在发包人指定的地点保留承包人履行保修期内的各项义务所需要的材料、施工设备和临时工程。</w:t>
      </w:r>
    </w:p>
    <w:p w14:paraId="4E85BC50">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6.1.6 安全文明施工费</w:t>
      </w:r>
    </w:p>
    <w:p w14:paraId="672F38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安全文明施工费由发包人承担，发包人不得以任何形式扣减该部分费用。因基准日期后合同所适用的法律或政府有关规定发生变化，增加的安全文明施工费由发包人承担。</w:t>
      </w:r>
    </w:p>
    <w:p w14:paraId="328DD3F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经发包人同意采取合同约定以外的安全措施所产生的费用，由发包人承担。未经发包人同意的，如果该措施避免了发包人的损失，则发包人在避免损失的额度内承担该措施费。如果该措施避免了承包人的损失，由承包人承担该措施费。</w:t>
      </w:r>
    </w:p>
    <w:p w14:paraId="1A2063E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应在开工后28天内预付安全文明施工费总额的50%，其余部分与进度款同期支付。发包人逾期支付安全文明施工费超过7天的，承包人有权向发包人发出要求预付的催告通知，发包人收到通知后7天内仍未支付的，承包人有权暂停施工，并按第16.1.1项〔发包人违约的情形〕执行。</w:t>
      </w:r>
    </w:p>
    <w:p w14:paraId="0504B5D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对安全文明施工费应专款专用，承包人应在财务账目中单独列项备查，不得挪作他用，否则发包人有权责令其限期改正；逾期未改正的，可以责令其暂停施工，由此增加的费用和（或）延误的工期由承包人承担。</w:t>
      </w:r>
    </w:p>
    <w:p w14:paraId="5776342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6.1.7 紧急情况处理</w:t>
      </w:r>
    </w:p>
    <w:p w14:paraId="3380CFF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工程实施期间或缺陷责任期内发生危及工程安全的事件，监理人通知承包人进行抢救，承包人声明无能力或不愿立即执行的，发包人有权雇佣其他人员进行抢救。此类抢救按合同约定属于承包人义务的，由此增加的费用和（或）延误的工期由承包人承担。</w:t>
      </w:r>
    </w:p>
    <w:p w14:paraId="1B3F59C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6.1.8 事故处理</w:t>
      </w:r>
    </w:p>
    <w:p w14:paraId="6081443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工程施工过程中发生事故的，承包人应立即通知监理人，监理人应立即通知发包人。发包人和承包人应立即组织人员和设备进行紧急抢救和抢修，减少人员伤亡和财产损失，防止事故扩大，并保护事故现场。需要移动现场物品时，应作出标记和书面记录，妥善保管有关证据。发包人和承包人应按国家有关规定，及时如实地向有关部门报告事故发生的情况，以及正在采取的紧急措施等。</w:t>
      </w:r>
    </w:p>
    <w:p w14:paraId="5CC7946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6.1.9 安全生产责任</w:t>
      </w:r>
    </w:p>
    <w:p w14:paraId="2F5B471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6.1.9.1 发包人的安全责任</w:t>
      </w:r>
    </w:p>
    <w:p w14:paraId="7F9C4F74">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发包人应负责赔偿以下各种情况造成的损失：</w:t>
      </w:r>
    </w:p>
    <w:p w14:paraId="4EF16420">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（1）工程或工程的任何部分对土地的占用所造成的第三者财产损失；</w:t>
      </w:r>
    </w:p>
    <w:p w14:paraId="48272FB3">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（2）由于发包人原因在施工场地及其毗邻地带造成的第三者人身伤亡和财产损失；</w:t>
      </w:r>
    </w:p>
    <w:p w14:paraId="143AA251">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（3）由于发包人原因对承包人、监理人造成的人员人身伤亡和财产损失；</w:t>
      </w:r>
    </w:p>
    <w:p w14:paraId="68DC81F2">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（4）由于发包人原因造成的发包人自身人员的人身伤害以及财产损失。</w:t>
      </w:r>
    </w:p>
    <w:p w14:paraId="17916BC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6.1.9.2 承包人的安全责任</w:t>
      </w:r>
    </w:p>
    <w:p w14:paraId="301923BD">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由于承包人原因在施工场地内及其毗邻地带造成的发包人、监理人以及第三者人员伤亡和财产损失，由承包人负责赔偿。</w:t>
      </w:r>
    </w:p>
    <w:p w14:paraId="2D9B8B4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70" w:name="_Toc351203540"/>
      <w:r>
        <w:rPr>
          <w:rFonts w:hint="eastAsia" w:ascii="宋体" w:hAnsi="宋体" w:eastAsia="宋体" w:cs="宋体"/>
          <w:b w:val="0"/>
          <w:i w:val="0"/>
          <w:caps w:val="0"/>
          <w:color w:val="auto"/>
          <w:spacing w:val="0"/>
          <w:w w:val="100"/>
          <w:sz w:val="24"/>
          <w:szCs w:val="24"/>
          <w:highlight w:val="none"/>
        </w:rPr>
        <w:t>6.2 职业健康</w:t>
      </w:r>
      <w:bookmarkEnd w:id="570"/>
    </w:p>
    <w:p w14:paraId="1AB9800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6.2.1 劳动保护</w:t>
      </w:r>
    </w:p>
    <w:p w14:paraId="2334FAB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照法律规定安排现场施工人员的劳动和休息时间，保障劳动者的休息时间，并支付合理的报酬和费用。承包人应依法为其履行合同所雇用的人员办理必要的证件、许可、保险和注册等，承包人应督促其分包人为分包人所雇用的人员办理必要的证件、许可、保险和注册等。</w:t>
      </w:r>
    </w:p>
    <w:p w14:paraId="7ED759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照法律规定保障现场施工人员的劳动安全，并提供劳动保护,并应按国家有关劳动保护的规定，采取有效的防止粉尘、降低噪声、控制有害气体和保障高温、高寒、高空作业安全等劳动保护措施。承包人雇佣人员在施工中受到伤害的，承包人应立即采取有效措施进行抢救和治疗。</w:t>
      </w:r>
    </w:p>
    <w:p w14:paraId="5A03811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承包人应按法律规定安排工作时间，保证其雇佣人员享有休息和休假的权利。因工程施工的特殊需要占用休假日或延长工作时间的，应不超过法律规定的限度，并按法律规定给予补休或付酬。</w:t>
      </w:r>
    </w:p>
    <w:p w14:paraId="14EA9C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6.2.2 生活条件</w:t>
      </w:r>
    </w:p>
    <w:p w14:paraId="50A05FD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承包人应为其履行合同所雇用的人员提供必要的膳宿条件和生活环境；承包人应采取有效措施预防传染病，保证施工人员的健康，并定期对施工现场、施工人员生活基地和工程进行防疫和卫生的专业检查和处理, 在远离城镇的施工场地，还应配备必要的伤病防治和急救的医务人员与医疗设施。</w:t>
      </w:r>
    </w:p>
    <w:p w14:paraId="582375B3">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71" w:name="_Toc351203541"/>
      <w:r>
        <w:rPr>
          <w:rFonts w:hint="eastAsia" w:ascii="宋体" w:hAnsi="宋体" w:eastAsia="宋体" w:cs="宋体"/>
          <w:b w:val="0"/>
          <w:i w:val="0"/>
          <w:caps w:val="0"/>
          <w:color w:val="auto"/>
          <w:spacing w:val="0"/>
          <w:w w:val="100"/>
          <w:sz w:val="24"/>
          <w:szCs w:val="24"/>
          <w:highlight w:val="none"/>
        </w:rPr>
        <w:t>6.3 环境保护</w:t>
      </w:r>
      <w:bookmarkEnd w:id="571"/>
    </w:p>
    <w:p w14:paraId="43A511C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承包人应在施工组织设计中列明环境保护的具体措施。在合同履行期间，承包人应采取合理措施保护施工现场环境。对施工作业过程中可能引起的大气、水、噪音以及固体废物污染采取具体可行的防范措施。</w:t>
      </w:r>
    </w:p>
    <w:p w14:paraId="1B0F77F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承包人应当承担因其原因引起的环境污染侵权损害赔偿责任，因上述环境污染引起纠纷而导致暂停施工的，由此增加的费用和（或）延误的工期由承包人承担。</w:t>
      </w:r>
    </w:p>
    <w:p w14:paraId="571FDCC8">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72" w:name="_Toc351203542"/>
      <w:bookmarkStart w:id="573" w:name="_Toc6535"/>
      <w:r>
        <w:rPr>
          <w:rFonts w:hint="eastAsia" w:ascii="宋体" w:hAnsi="宋体" w:eastAsia="宋体" w:cs="宋体"/>
          <w:b w:val="0"/>
          <w:i w:val="0"/>
          <w:caps w:val="0"/>
          <w:color w:val="auto"/>
          <w:spacing w:val="0"/>
          <w:w w:val="100"/>
          <w:sz w:val="24"/>
          <w:szCs w:val="24"/>
          <w:highlight w:val="none"/>
        </w:rPr>
        <w:t>7. 工期和进度</w:t>
      </w:r>
      <w:bookmarkEnd w:id="572"/>
      <w:bookmarkEnd w:id="573"/>
    </w:p>
    <w:p w14:paraId="4902D50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74" w:name="_Toc351203543"/>
      <w:r>
        <w:rPr>
          <w:rFonts w:hint="eastAsia" w:ascii="宋体" w:hAnsi="宋体" w:eastAsia="宋体" w:cs="宋体"/>
          <w:b w:val="0"/>
          <w:i w:val="0"/>
          <w:caps w:val="0"/>
          <w:color w:val="auto"/>
          <w:spacing w:val="0"/>
          <w:w w:val="100"/>
          <w:sz w:val="24"/>
          <w:szCs w:val="24"/>
          <w:highlight w:val="none"/>
        </w:rPr>
        <w:t>7</w:t>
      </w:r>
      <w:bookmarkStart w:id="575" w:name="_Toc296503066"/>
      <w:bookmarkStart w:id="576" w:name="_Toc296346567"/>
      <w:r>
        <w:rPr>
          <w:rFonts w:hint="eastAsia" w:ascii="宋体" w:hAnsi="宋体" w:eastAsia="宋体" w:cs="宋体"/>
          <w:b w:val="0"/>
          <w:i w:val="0"/>
          <w:caps w:val="0"/>
          <w:color w:val="auto"/>
          <w:spacing w:val="0"/>
          <w:w w:val="100"/>
          <w:sz w:val="24"/>
          <w:szCs w:val="24"/>
          <w:highlight w:val="none"/>
        </w:rPr>
        <w:t>.1施工组织设计</w:t>
      </w:r>
      <w:bookmarkEnd w:id="574"/>
    </w:p>
    <w:p w14:paraId="331F43F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 xml:space="preserve">7.1.1 </w:t>
      </w:r>
      <w:r>
        <w:rPr>
          <w:rFonts w:hint="eastAsia" w:ascii="宋体" w:hAnsi="宋体" w:eastAsia="宋体" w:cs="宋体"/>
          <w:b w:val="0"/>
          <w:i w:val="0"/>
          <w:caps w:val="0"/>
          <w:color w:val="auto"/>
          <w:spacing w:val="0"/>
          <w:w w:val="100"/>
          <w:kern w:val="0"/>
          <w:sz w:val="24"/>
          <w:szCs w:val="24"/>
          <w:highlight w:val="none"/>
        </w:rPr>
        <w:t>施工组织设计的内容</w:t>
      </w:r>
    </w:p>
    <w:p w14:paraId="2D51528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施工组织设计应包含以下内容：</w:t>
      </w:r>
    </w:p>
    <w:p w14:paraId="3A6D994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（1）施工方案； </w:t>
      </w:r>
    </w:p>
    <w:p w14:paraId="0339C2D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（2）施工现场平面布置图；</w:t>
      </w:r>
    </w:p>
    <w:p w14:paraId="5898249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（3）施工进度计划和保证措施； </w:t>
      </w:r>
    </w:p>
    <w:p w14:paraId="4DC0C5E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（4）劳动力及材料供应计划；</w:t>
      </w:r>
    </w:p>
    <w:p w14:paraId="3E6072E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（5）施工机械设备的选用；</w:t>
      </w:r>
    </w:p>
    <w:p w14:paraId="636F91F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（6）质量保证体系及措施；</w:t>
      </w:r>
    </w:p>
    <w:p w14:paraId="7E2D6F0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（7）安全生产、文明施工措施；</w:t>
      </w:r>
    </w:p>
    <w:p w14:paraId="336D095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（8）环境保护、成本控制措施；</w:t>
      </w:r>
    </w:p>
    <w:p w14:paraId="73A8742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（9）合同当事人约定的其他内容。</w:t>
      </w:r>
    </w:p>
    <w:p w14:paraId="5BB0BB0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 xml:space="preserve">7.1.2 </w:t>
      </w:r>
      <w:r>
        <w:rPr>
          <w:rFonts w:hint="eastAsia" w:ascii="宋体" w:hAnsi="宋体" w:eastAsia="宋体" w:cs="宋体"/>
          <w:b w:val="0"/>
          <w:i w:val="0"/>
          <w:caps w:val="0"/>
          <w:color w:val="auto"/>
          <w:spacing w:val="0"/>
          <w:w w:val="100"/>
          <w:kern w:val="0"/>
          <w:sz w:val="24"/>
          <w:szCs w:val="24"/>
          <w:highlight w:val="none"/>
        </w:rPr>
        <w:t>施工组织设计的提交和修改</w:t>
      </w:r>
    </w:p>
    <w:p w14:paraId="18F4BC2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承包人应在合同签订后14天内，但至迟不得晚于第7.3.2项〔开工通知〕载明的开工日期前7天，向监理人提交详细的施工组织设计，并由监理人报送发包人。除专用合同条款另有约定外，发包人和监理人应在监理人收到施工组织设计后7天内确认或提出修改意见。对发包人和监理人提出的合理意见和要求，承包人应自费修改完善。根据工程实际情况需要修改施工组织设计的，承包人应向发包人和监理人提交修改后的施工组织设计。</w:t>
      </w:r>
    </w:p>
    <w:p w14:paraId="6E943FE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施工进度计划的编制和修改按照第7.2款〔施工进度计划〕执行。</w:t>
      </w:r>
    </w:p>
    <w:p w14:paraId="165D32FE">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77" w:name="_Toc351203544"/>
      <w:r>
        <w:rPr>
          <w:rFonts w:hint="eastAsia" w:ascii="宋体" w:hAnsi="宋体" w:eastAsia="宋体" w:cs="宋体"/>
          <w:b w:val="0"/>
          <w:i w:val="0"/>
          <w:caps w:val="0"/>
          <w:color w:val="auto"/>
          <w:spacing w:val="0"/>
          <w:w w:val="100"/>
          <w:sz w:val="24"/>
          <w:szCs w:val="24"/>
          <w:highlight w:val="none"/>
        </w:rPr>
        <w:t>7.2 施工进度计划</w:t>
      </w:r>
      <w:bookmarkEnd w:id="577"/>
    </w:p>
    <w:p w14:paraId="7297B89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7.2.1 施工进度计划的编制</w:t>
      </w:r>
    </w:p>
    <w:p w14:paraId="3378CF4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照第7.1款〔施工组织设计〕约定提交详细的施工进度计划，施工进度计划的编制应当符合国家法律规定和一般工程实践惯例，施工进度计划经发包人批准后实施。施工进度计划是控制工程进度的依据，发包人和监理人有权按照施工进度计划检查工程进度情况。</w:t>
      </w:r>
    </w:p>
    <w:p w14:paraId="1BADDCF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7.2.2 施工进度计划的修订</w:t>
      </w:r>
    </w:p>
    <w:p w14:paraId="02AC0CA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施工进度计划不符合合同要求或与工程的实际进度不一致的，承包人应向监理人提交修订的施工进度计划，并附具有关措施和相关资料，由监理人报送发包人。除专用合同条款另有约定外，发包人和监理人应在收到修订的施工进度计划后7天内完成审核和批准或提出修改意见。发包人和监理人对承包人提交的施工进度计划的确认，不能减轻或免除承包人根据法律规定和合同约定应承担的任何责任或义务。</w:t>
      </w:r>
    </w:p>
    <w:p w14:paraId="2691CA6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78" w:name="_Toc351203545"/>
      <w:r>
        <w:rPr>
          <w:rFonts w:hint="eastAsia" w:ascii="宋体" w:hAnsi="宋体" w:eastAsia="宋体" w:cs="宋体"/>
          <w:b w:val="0"/>
          <w:i w:val="0"/>
          <w:caps w:val="0"/>
          <w:color w:val="auto"/>
          <w:spacing w:val="0"/>
          <w:w w:val="100"/>
          <w:sz w:val="24"/>
          <w:szCs w:val="24"/>
          <w:highlight w:val="none"/>
        </w:rPr>
        <w:t>7.3 开工</w:t>
      </w:r>
      <w:bookmarkEnd w:id="578"/>
    </w:p>
    <w:p w14:paraId="5BCED772">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7.3.1 开工准备</w:t>
      </w:r>
    </w:p>
    <w:p w14:paraId="64799D9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承包人应按照第7.1款〔施工组织设计〕约定的期限，向监理人提交工程开工报审表，经监理人报发包人批准后执行。开工报审表应详细说明按施工进度计划正常施工所需的施工道路、临时设施、材料、工程设备、施工设备、施工人员等落实情况以及工程的进度安排。</w:t>
      </w:r>
    </w:p>
    <w:p w14:paraId="00DAFB7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除专用合同条款另有约定外，合同当事人应按约定完成开工准备工作。</w:t>
      </w:r>
    </w:p>
    <w:p w14:paraId="6A14F58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7.3.2 开工通知</w:t>
      </w:r>
    </w:p>
    <w:p w14:paraId="6282AE3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发包人应按照法律规定获得工程施工所需的许可。经发包人同意后，监理人发出的开工通知应符合法律规定。监理人应在计划开工日期7天前向承包人发出开工通知，工期自开工通知中载明的开工日期起算。</w:t>
      </w:r>
    </w:p>
    <w:p w14:paraId="0FE8016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因发包人原因造成监理人未能在计划开工日期之日起90天内发出开工通知的，承包人有权提出价格调整要求，或者解除合同。发包人应当承担由此增加的费用和（或）延误的工期，并向承包人支付合理利润。</w:t>
      </w:r>
    </w:p>
    <w:p w14:paraId="67669A4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79" w:name="_Toc351203546"/>
      <w:r>
        <w:rPr>
          <w:rFonts w:hint="eastAsia" w:ascii="宋体" w:hAnsi="宋体" w:eastAsia="宋体" w:cs="宋体"/>
          <w:b w:val="0"/>
          <w:i w:val="0"/>
          <w:caps w:val="0"/>
          <w:color w:val="auto"/>
          <w:spacing w:val="0"/>
          <w:w w:val="100"/>
          <w:sz w:val="24"/>
          <w:szCs w:val="24"/>
          <w:highlight w:val="none"/>
        </w:rPr>
        <w:t>7.4测量放线</w:t>
      </w:r>
      <w:bookmarkEnd w:id="579"/>
    </w:p>
    <w:p w14:paraId="797E592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7.4.1 除专用合同条款另有约定外，发包人应在至迟不得晚于第7.3.2项〔开工通知〕载明的开工日期前7天通过监理人向承包人提供测量基准点、基准线和水准点及其书面资料。发包人应对其提供的测量基准点、基准线和水准点及其书面资料的真实性、准确性和完整性负责。</w:t>
      </w:r>
    </w:p>
    <w:p w14:paraId="51D446F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发现发包人提供的测量基准点、基准线和水准点及其书面资料存在错误或疏漏的，应及时通知监理人。监理人应及时报告发包人，并会同发包人和承包人予以核实。发包人应就如何处理和是否继续施工作出决定，并通知监理人和承包人。</w:t>
      </w:r>
    </w:p>
    <w:p w14:paraId="39D09A7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7.4.2 承包人负责施工过程中的全部施工测量放线工作，并配置具有相应资质的人员、合格的仪器、设备和其他物品。承包人应矫正工程的位置、标高、尺寸或准线中出现的任何差错，并对工程各部分的定位负责。</w:t>
      </w:r>
    </w:p>
    <w:p w14:paraId="1731A60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施工过程中对施工现场内水准点等测量标志物的保护工作由承包人负责。</w:t>
      </w:r>
      <w:bookmarkStart w:id="580" w:name="_Toc351203547"/>
    </w:p>
    <w:p w14:paraId="3FFE16DB">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7</w:t>
      </w:r>
      <w:bookmarkEnd w:id="575"/>
      <w:bookmarkEnd w:id="576"/>
      <w:r>
        <w:rPr>
          <w:rFonts w:hint="eastAsia" w:ascii="宋体" w:hAnsi="宋体" w:eastAsia="宋体" w:cs="宋体"/>
          <w:b w:val="0"/>
          <w:i w:val="0"/>
          <w:caps w:val="0"/>
          <w:color w:val="auto"/>
          <w:spacing w:val="0"/>
          <w:w w:val="100"/>
          <w:sz w:val="24"/>
          <w:szCs w:val="24"/>
          <w:highlight w:val="none"/>
        </w:rPr>
        <w:t>.5 工期延误</w:t>
      </w:r>
      <w:bookmarkEnd w:id="580"/>
    </w:p>
    <w:p w14:paraId="39D8BEB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7.5.1 因发包人原因导致工期延误</w:t>
      </w:r>
    </w:p>
    <w:p w14:paraId="18B39D9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在合同履行过程中，因下列情况导致工期延误和（或）费用增加的，由发包人承担由此延误的工期和（或）增加的费用，且发包人应支付承包人合理的利润： </w:t>
      </w:r>
    </w:p>
    <w:p w14:paraId="01F7A12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（1）发包人未能按合同约定提供图纸或所提供图纸不符合合同约定的；</w:t>
      </w:r>
    </w:p>
    <w:p w14:paraId="72BD784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（2）发包人未能按合同约定提供施工现场、施工条件、基础资料、许可、批准等开工条件的；</w:t>
      </w:r>
    </w:p>
    <w:p w14:paraId="649C3C0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（3）发包人提供的测量基准点、基准线和水准点及其书面资料存在错误或疏漏的；</w:t>
      </w:r>
    </w:p>
    <w:p w14:paraId="03EE32F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（4）发包人未能在计划开工日期之日起7天内同意下达开工通知的；</w:t>
      </w:r>
    </w:p>
    <w:p w14:paraId="69B21F2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（5）发包人未能按合同约定日期支付工程预付款、进度款或竣工结算款的；</w:t>
      </w:r>
    </w:p>
    <w:p w14:paraId="0EDF2BE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（6）监理人未按合同约定发出指示、批准等文件的；</w:t>
      </w:r>
    </w:p>
    <w:p w14:paraId="06F0050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（7）专用合同条款中约定的其他情形。</w:t>
      </w:r>
    </w:p>
    <w:p w14:paraId="357147F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发包人原因未按计划开工日期开工的，发包人应按实际开工日期顺延竣工日期，确保实际工期不低于合同约定的工期总日历天数。因发包人原因导致工期延误需要修订施工进度计划的，按照第7.2.2项〔施工进度计划的修订〕执行。</w:t>
      </w:r>
    </w:p>
    <w:p w14:paraId="7153B5E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7.5.2 因承包人原因导致工期延误</w:t>
      </w:r>
    </w:p>
    <w:p w14:paraId="50BBBC9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bookmarkStart w:id="581" w:name="_Toc296346577"/>
      <w:bookmarkStart w:id="582" w:name="_Toc296503076"/>
      <w:r>
        <w:rPr>
          <w:rFonts w:hint="eastAsia" w:ascii="宋体" w:hAnsi="宋体" w:eastAsia="宋体" w:cs="宋体"/>
          <w:b w:val="0"/>
          <w:i w:val="0"/>
          <w:caps w:val="0"/>
          <w:color w:val="auto"/>
          <w:spacing w:val="0"/>
          <w:w w:val="100"/>
          <w:kern w:val="0"/>
          <w:sz w:val="24"/>
          <w:szCs w:val="24"/>
          <w:highlight w:val="none"/>
        </w:rPr>
        <w:t>因</w:t>
      </w:r>
      <w:bookmarkEnd w:id="581"/>
      <w:bookmarkEnd w:id="582"/>
      <w:r>
        <w:rPr>
          <w:rFonts w:hint="eastAsia" w:ascii="宋体" w:hAnsi="宋体" w:eastAsia="宋体" w:cs="宋体"/>
          <w:b w:val="0"/>
          <w:i w:val="0"/>
          <w:caps w:val="0"/>
          <w:color w:val="auto"/>
          <w:spacing w:val="0"/>
          <w:w w:val="100"/>
          <w:kern w:val="0"/>
          <w:sz w:val="24"/>
          <w:szCs w:val="24"/>
          <w:highlight w:val="none"/>
        </w:rPr>
        <w:t>承包人原因造成工期延误的，可以在专用合同条款中约定逾期竣工违约金的计算方法和逾期竣工违约金的上限。承包人支付逾期竣工违约金后，不免除承包人继续完成工程及修补缺陷的义务。</w:t>
      </w:r>
    </w:p>
    <w:p w14:paraId="4A5DECD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83" w:name="_Toc351203548"/>
      <w:r>
        <w:rPr>
          <w:rFonts w:hint="eastAsia" w:ascii="宋体" w:hAnsi="宋体" w:eastAsia="宋体" w:cs="宋体"/>
          <w:b w:val="0"/>
          <w:i w:val="0"/>
          <w:caps w:val="0"/>
          <w:color w:val="auto"/>
          <w:spacing w:val="0"/>
          <w:w w:val="100"/>
          <w:sz w:val="24"/>
          <w:szCs w:val="24"/>
          <w:highlight w:val="none"/>
        </w:rPr>
        <w:t>7.6 不利物质条件</w:t>
      </w:r>
      <w:bookmarkEnd w:id="583"/>
    </w:p>
    <w:p w14:paraId="7CE258D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不利物质条件是指有经验的承包人在施工现场遇到的不可预见的自然物质条件、非自然的物质障碍和污染物，包括地表以下物质条件和水文条件以及专用合同条款约定的其他情形，但不包括气候条件。</w:t>
      </w:r>
    </w:p>
    <w:p w14:paraId="63B5E44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遇到不利物质条件时，应采取克服不利物质条件的合理措施继续施工，并及时通知发包人和监理人。通知应载明不利物质条件的内容以及承包人认为不可预见的理由。监理人经发包人同意后应当及时发出指示，指示构成变更的，按第10条〔变更〕约定执行。承包人因采取合理措施而增加的费用和（或）延误的工期由发包人承担。</w:t>
      </w:r>
    </w:p>
    <w:p w14:paraId="2F14D5F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84" w:name="_Toc351203549"/>
      <w:r>
        <w:rPr>
          <w:rFonts w:hint="eastAsia" w:ascii="宋体" w:hAnsi="宋体" w:eastAsia="宋体" w:cs="宋体"/>
          <w:b w:val="0"/>
          <w:i w:val="0"/>
          <w:caps w:val="0"/>
          <w:color w:val="auto"/>
          <w:spacing w:val="0"/>
          <w:w w:val="100"/>
          <w:sz w:val="24"/>
          <w:szCs w:val="24"/>
          <w:highlight w:val="none"/>
        </w:rPr>
        <w:t>7.7 异常恶劣的气候条件</w:t>
      </w:r>
      <w:bookmarkEnd w:id="584"/>
    </w:p>
    <w:p w14:paraId="7F36336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异常恶劣的气候条件是指在施工过程中遇到的，有经验的承包人在签订合同时不可预见的，对合同履行造成实质性影响的，但尚未构成不可抗力事件的恶劣气候条件。合同当事人可以在专用合同条款中约定异常恶劣的气候条件的具体情形。</w:t>
      </w:r>
    </w:p>
    <w:p w14:paraId="1D87A18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采取克服异常恶劣的气候条件的合理措施继续施工，并及时通知发包人和监理人。监理人经发包人同意后应当及时发出指示，指示构成变更的，按第10条〔变更〕约定办理。承包人因采取合理措施而增加的费用和（或）延误的工期由发包人承担。</w:t>
      </w:r>
      <w:bookmarkStart w:id="585" w:name="_Toc351203550"/>
    </w:p>
    <w:p w14:paraId="700B20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bCs/>
          <w:i w:val="0"/>
          <w:caps w:val="0"/>
          <w:color w:val="auto"/>
          <w:spacing w:val="0"/>
          <w:w w:val="100"/>
          <w:sz w:val="24"/>
          <w:szCs w:val="24"/>
          <w:highlight w:val="none"/>
        </w:rPr>
      </w:pPr>
      <w:r>
        <w:rPr>
          <w:rFonts w:hint="eastAsia" w:ascii="宋体" w:hAnsi="宋体" w:eastAsia="宋体" w:cs="宋体"/>
          <w:b w:val="0"/>
          <w:bCs/>
          <w:i w:val="0"/>
          <w:caps w:val="0"/>
          <w:color w:val="auto"/>
          <w:spacing w:val="0"/>
          <w:w w:val="100"/>
          <w:sz w:val="24"/>
          <w:szCs w:val="24"/>
          <w:highlight w:val="none"/>
        </w:rPr>
        <w:t>7.8 暂停施工</w:t>
      </w:r>
      <w:bookmarkEnd w:id="585"/>
    </w:p>
    <w:p w14:paraId="62010D8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7.8.1发包人原因引起的暂停施工</w:t>
      </w:r>
    </w:p>
    <w:p w14:paraId="36459AE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因发包人原因引起暂停施工的，监理人经发包人同意后，应及时下达暂停施工指示。情况紧急且监理人未及时下达暂停施工指示的，按照第7.8.4项〔紧急情况下的暂停施工〕执行。</w:t>
      </w:r>
    </w:p>
    <w:p w14:paraId="733FDD1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因发包人原因引起的暂停施工，发包人应承担由此增加的费用和（或）延误的工期，并支付承包人合理的利润。</w:t>
      </w:r>
    </w:p>
    <w:p w14:paraId="3597E67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7.8.2 承包人原因引起的暂停施工</w:t>
      </w:r>
    </w:p>
    <w:p w14:paraId="698EE4B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原因引起的暂停施工，承包人应承担由此增加的费用和（或）延误的工期，且承包人在收到监理人复工指示后84天内仍未复工的，视为第16.2.1项〔承包人违约的情形〕第（7）目约定的承包人无法继续履行合同的情形。</w:t>
      </w:r>
    </w:p>
    <w:p w14:paraId="4C65307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7.8.3 指示暂停施工</w:t>
      </w:r>
    </w:p>
    <w:p w14:paraId="68F2385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监理人认为有必要时，并经发包人批准后，可向承包人作出暂停施工的指示，承包人应按监理人指示暂停施工。</w:t>
      </w:r>
    </w:p>
    <w:p w14:paraId="3D4C69E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7.8.4 紧急情况下的暂停施工</w:t>
      </w:r>
    </w:p>
    <w:p w14:paraId="6EDC4DC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紧急情况需暂停施工，且监理人未及时下达暂停施工指示的，承包人可先暂停施工，并及时通知监理人。监理人应在接到通知后24小时内发出指示，逾期未发出指示，视为同意承包人暂停施工。监理人不同意承包人暂停施工的，应说明理由，承包人对监理人的答复有异议，按照第20条〔争议解决〕约定处理。</w:t>
      </w:r>
    </w:p>
    <w:p w14:paraId="074876A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7.8.5 暂停施工后的复工</w:t>
      </w:r>
    </w:p>
    <w:p w14:paraId="56FD6C3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暂停施工后，发包人和承包人应采取有效措施积极消除暂停施工的影响。在工程复工前，监理人会同发包人和承包人确定因暂停施工造成的损失，并确定工程复工条件。当工程具备复工条件时，监理人应经发包人批准后向承包人发出复工通知，承包人应按照复工通知要求复工。</w:t>
      </w:r>
    </w:p>
    <w:p w14:paraId="0680F4E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承包人无故拖延和拒绝复工的，承包人承担由此增加的费用和（或）延误的工期；因发包人原因无法按时复工的，按照第7.5.1项〔因发包人原因导致工期延误〕约定办理。</w:t>
      </w:r>
    </w:p>
    <w:p w14:paraId="3ABC5EC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7.8.6 暂停施工持续56天以上</w:t>
      </w:r>
    </w:p>
    <w:p w14:paraId="0E237568">
      <w:pPr>
        <w:snapToGrid w:val="0"/>
        <w:spacing w:before="0" w:beforeAutospacing="0" w:after="0" w:afterAutospacing="0" w:line="360" w:lineRule="auto"/>
        <w:ind w:firstLine="468" w:firstLineChars="195"/>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发出暂停施工指示后56天内未向承包人发出复工通知，除该项停工属于第7.8.2项〔承包人原因引起的暂停施工〕及第17条〔不可抗力〕约定的情形外，承包人可向发包人提交书面通知，要求发包人在收到书面通知后28天内准许已暂停施工的部分或全部工程继续施工。发包人逾期不予批准的，则承包人可以通知发包人，将工程受影响的部分视为按第10.1款〔变更的范围〕第（2）项的可取消工作。</w:t>
      </w:r>
    </w:p>
    <w:p w14:paraId="3AF2EA9D">
      <w:pPr>
        <w:snapToGrid w:val="0"/>
        <w:spacing w:before="0" w:beforeAutospacing="0" w:after="0" w:afterAutospacing="0" w:line="360" w:lineRule="auto"/>
        <w:ind w:firstLine="468" w:firstLineChars="195"/>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暂停施工持续84天以上不复工的，且不属于第7.8.2项〔承包人原因引起的暂停施工〕及第17条〔不可抗力〕约定的情形，并影响到整个工程以及合同目的实现的，承包人有权提出价格调整要求，或者解除合同。解除合同的，按照第16.1.3项〔因发包人违约解除合同〕执行。</w:t>
      </w:r>
    </w:p>
    <w:p w14:paraId="3867F9D3">
      <w:pPr>
        <w:snapToGrid w:val="0"/>
        <w:spacing w:before="0" w:beforeAutospacing="0" w:after="0" w:afterAutospacing="0" w:line="360" w:lineRule="auto"/>
        <w:ind w:left="16" w:firstLine="468" w:firstLineChars="195"/>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7.8.7 暂停施工期间的工程照管</w:t>
      </w:r>
    </w:p>
    <w:p w14:paraId="6E34630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暂停施工期间，承包人应负责妥善照管工程并提供安全保障，由此增加的费用由责任方承担。</w:t>
      </w:r>
    </w:p>
    <w:p w14:paraId="1B5A298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7.8.8 暂停施工的措施</w:t>
      </w:r>
    </w:p>
    <w:p w14:paraId="4724ACF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暂停施工期间，发包人和承包人均应采取必要的措施确保工程质量及安全，防止因暂停施工扩大损失。</w:t>
      </w:r>
    </w:p>
    <w:p w14:paraId="4B1D01B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86" w:name="_Toc351203551"/>
      <w:r>
        <w:rPr>
          <w:rFonts w:hint="eastAsia" w:ascii="宋体" w:hAnsi="宋体" w:eastAsia="宋体" w:cs="宋体"/>
          <w:b w:val="0"/>
          <w:i w:val="0"/>
          <w:caps w:val="0"/>
          <w:color w:val="auto"/>
          <w:spacing w:val="0"/>
          <w:w w:val="100"/>
          <w:sz w:val="24"/>
          <w:szCs w:val="24"/>
          <w:highlight w:val="none"/>
        </w:rPr>
        <w:t>7.9提前竣工</w:t>
      </w:r>
      <w:bookmarkEnd w:id="586"/>
    </w:p>
    <w:p w14:paraId="541EF8A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7.9.1 发包人要求承包人提前竣工的，发包人应通过监理人向承包人下达提前竣工指示，承包人应向发包人和监理人提交提前竣工建议书，提前竣工建议书应包括实施的方案、缩短的时间、增加的合同价格等内容。发包人接受该提前竣工建议书的，监理人应与发包人和承包人协商采取加快工程进度的措施，并修订施工进度计划，由此增加的费用由发包人承担。承包人认为提前竣工指示无法执行的，应向监理人和发包人提出书面异议，发包人和监理人应在收到异议后7天内予以答复。任何情况下，发包人不得压缩合理工期。</w:t>
      </w:r>
    </w:p>
    <w:p w14:paraId="20238C4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7.9.2 发包人要求承包人提前竣工，或承包人提出提前竣工的建议能够给发包人带来效益的，合同当事人可以在专用合同条款中约定提前竣工的奖励。</w:t>
      </w:r>
    </w:p>
    <w:p w14:paraId="0AA6B06D">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87" w:name="_Toc15481"/>
      <w:bookmarkStart w:id="588" w:name="_Toc351203552"/>
      <w:r>
        <w:rPr>
          <w:rFonts w:hint="eastAsia" w:ascii="宋体" w:hAnsi="宋体" w:eastAsia="宋体" w:cs="宋体"/>
          <w:b w:val="0"/>
          <w:i w:val="0"/>
          <w:caps w:val="0"/>
          <w:color w:val="auto"/>
          <w:spacing w:val="0"/>
          <w:w w:val="100"/>
          <w:sz w:val="24"/>
          <w:szCs w:val="24"/>
          <w:highlight w:val="none"/>
        </w:rPr>
        <w:t>8. 材料与设备</w:t>
      </w:r>
      <w:bookmarkEnd w:id="587"/>
      <w:bookmarkEnd w:id="588"/>
    </w:p>
    <w:p w14:paraId="7CA5FF14">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89" w:name="_Toc351203553"/>
      <w:r>
        <w:rPr>
          <w:rFonts w:hint="eastAsia" w:ascii="宋体" w:hAnsi="宋体" w:eastAsia="宋体" w:cs="宋体"/>
          <w:b w:val="0"/>
          <w:i w:val="0"/>
          <w:caps w:val="0"/>
          <w:color w:val="auto"/>
          <w:spacing w:val="0"/>
          <w:w w:val="100"/>
          <w:sz w:val="24"/>
          <w:szCs w:val="24"/>
          <w:highlight w:val="none"/>
        </w:rPr>
        <w:t>8</w:t>
      </w:r>
      <w:bookmarkStart w:id="590" w:name="_Toc468936960"/>
      <w:r>
        <w:rPr>
          <w:rFonts w:hint="eastAsia" w:ascii="宋体" w:hAnsi="宋体" w:eastAsia="宋体" w:cs="宋体"/>
          <w:b w:val="0"/>
          <w:i w:val="0"/>
          <w:caps w:val="0"/>
          <w:color w:val="auto"/>
          <w:spacing w:val="0"/>
          <w:w w:val="100"/>
          <w:sz w:val="24"/>
          <w:szCs w:val="24"/>
          <w:highlight w:val="none"/>
        </w:rPr>
        <w:t>.1发包人供应材料与工程设备</w:t>
      </w:r>
      <w:bookmarkEnd w:id="589"/>
    </w:p>
    <w:p w14:paraId="6C854D8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发包人自行供应材料、工程设备的，应在签订合同时在专用合同条款的附件《发包人供应材料设备一览表》中明确材料、工程设备的品种、规格、型号、数量、单价、质量等级和送达地点。</w:t>
      </w:r>
    </w:p>
    <w:p w14:paraId="015DB95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提前30天通过监理人以书面形式通知发包人供应材料与工程设备进场。承包人按照第7.2.2项〔施工进度计划的修订〕约定修订施工进度计划时，需同时提交经修订后的发包人供应材料与工程设备的进场计划。</w:t>
      </w:r>
    </w:p>
    <w:p w14:paraId="77F35FA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i w:val="0"/>
          <w:caps w:val="0"/>
          <w:color w:val="auto"/>
          <w:spacing w:val="0"/>
          <w:w w:val="100"/>
          <w:sz w:val="24"/>
          <w:szCs w:val="24"/>
          <w:highlight w:val="none"/>
        </w:rPr>
      </w:pPr>
      <w:bookmarkStart w:id="591" w:name="_Toc351203554"/>
      <w:r>
        <w:rPr>
          <w:rFonts w:hint="eastAsia" w:ascii="宋体" w:hAnsi="宋体" w:eastAsia="宋体" w:cs="宋体"/>
          <w:b w:val="0"/>
          <w:i w:val="0"/>
          <w:caps w:val="0"/>
          <w:color w:val="auto"/>
          <w:spacing w:val="0"/>
          <w:w w:val="100"/>
          <w:sz w:val="24"/>
          <w:szCs w:val="24"/>
          <w:highlight w:val="none"/>
        </w:rPr>
        <w:t>8.2承包人采购材料与工程设备</w:t>
      </w:r>
      <w:bookmarkEnd w:id="591"/>
    </w:p>
    <w:p w14:paraId="2C8BB28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负责采购材料、工程设备的，应按照设计和有关标准要求采购，并提供产品合格证明及出厂证明，对材料、工程设备质量负责。合同约定由承包人采购的材料、工程设备，发包人不得指定生产厂家或供应商，发包人违反本款约定指定生产厂家或供应商的，承包人有权拒绝，并由发包人承担相应责任。</w:t>
      </w:r>
    </w:p>
    <w:p w14:paraId="7143D7AB">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92" w:name="_Toc351203555"/>
      <w:r>
        <w:rPr>
          <w:rFonts w:hint="eastAsia" w:ascii="宋体" w:hAnsi="宋体" w:eastAsia="宋体" w:cs="宋体"/>
          <w:b w:val="0"/>
          <w:i w:val="0"/>
          <w:caps w:val="0"/>
          <w:color w:val="auto"/>
          <w:spacing w:val="0"/>
          <w:w w:val="100"/>
          <w:sz w:val="24"/>
          <w:szCs w:val="24"/>
          <w:highlight w:val="none"/>
        </w:rPr>
        <w:t>8.3材料与工程设备的接收与拒收</w:t>
      </w:r>
      <w:bookmarkEnd w:id="592"/>
    </w:p>
    <w:p w14:paraId="20C358D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8.3.1 发包人应按《发包人供应材料设备一览表》约定的内容提供材料和工程设备，并向承包人提供产品合格证明及出厂证明，对其质量负责。发包人应提前24小时以书面形式通知承包人、监理人材料和工程设备到货时间，承包人负责材料和工程设备的清点、检验和接收。</w:t>
      </w:r>
    </w:p>
    <w:p w14:paraId="5B29A17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发包人提供的材料和工程设备的规格、数量或质量不符合合同约定的，或因发包人原因导致交货日期延误或交货地点变更等情况的，按照第16.1款〔发包人违约〕约定办理。</w:t>
      </w:r>
    </w:p>
    <w:p w14:paraId="7AEA699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8.3.2 承包人采购的材料和工程设备，应保证产品质量合格，承包人应在材料和工程设备到货前24小时通知监理人检验。承包人进行永久设备、材料的制造和生产的，应符合相关质量标准，并向监理人提交材料的样本以及有关资料，并应在使用该材料或工程设备之前获得监理人同意。</w:t>
      </w:r>
    </w:p>
    <w:p w14:paraId="59BEF968">
      <w:pPr>
        <w:snapToGrid w:val="0"/>
        <w:spacing w:before="0" w:beforeAutospacing="0" w:after="0" w:afterAutospacing="0" w:line="360" w:lineRule="auto"/>
        <w:ind w:firstLine="360" w:firstLineChars="15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承包人采购的材料和工程设备不符合设计或有关标准要求时，承包人应在监理人要求的合理期限内将不符合设计或有关标准要求的材料、工程设备运出施工现场，并重新采购符合要求的材料、工程设备，由此增加的费用和（或）延误的工期，由承包人承担。</w:t>
      </w:r>
    </w:p>
    <w:p w14:paraId="350C203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93" w:name="_Toc351203556"/>
      <w:r>
        <w:rPr>
          <w:rFonts w:hint="eastAsia" w:ascii="宋体" w:hAnsi="宋体" w:eastAsia="宋体" w:cs="宋体"/>
          <w:b w:val="0"/>
          <w:i w:val="0"/>
          <w:caps w:val="0"/>
          <w:color w:val="auto"/>
          <w:spacing w:val="0"/>
          <w:w w:val="100"/>
          <w:sz w:val="24"/>
          <w:szCs w:val="24"/>
          <w:highlight w:val="none"/>
        </w:rPr>
        <w:t>8.4材料与工程设备的保管与使用</w:t>
      </w:r>
      <w:bookmarkEnd w:id="593"/>
    </w:p>
    <w:p w14:paraId="3039294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8.4.1 发包人供应</w:t>
      </w:r>
      <w:r>
        <w:rPr>
          <w:rFonts w:hint="eastAsia" w:ascii="宋体" w:hAnsi="宋体" w:eastAsia="宋体" w:cs="宋体"/>
          <w:b w:val="0"/>
          <w:i w:val="0"/>
          <w:caps w:val="0"/>
          <w:color w:val="auto"/>
          <w:spacing w:val="0"/>
          <w:w w:val="100"/>
          <w:sz w:val="24"/>
          <w:szCs w:val="24"/>
          <w:highlight w:val="none"/>
        </w:rPr>
        <w:t>材料与</w:t>
      </w:r>
      <w:r>
        <w:rPr>
          <w:rFonts w:hint="eastAsia" w:ascii="宋体" w:hAnsi="宋体" w:eastAsia="宋体" w:cs="宋体"/>
          <w:b w:val="0"/>
          <w:i w:val="0"/>
          <w:caps w:val="0"/>
          <w:color w:val="auto"/>
          <w:spacing w:val="0"/>
          <w:w w:val="100"/>
          <w:kern w:val="0"/>
          <w:sz w:val="24"/>
          <w:szCs w:val="24"/>
          <w:highlight w:val="none"/>
        </w:rPr>
        <w:t>工程</w:t>
      </w:r>
      <w:r>
        <w:rPr>
          <w:rFonts w:hint="eastAsia" w:ascii="宋体" w:hAnsi="宋体" w:eastAsia="宋体" w:cs="宋体"/>
          <w:b w:val="0"/>
          <w:i w:val="0"/>
          <w:caps w:val="0"/>
          <w:color w:val="auto"/>
          <w:spacing w:val="0"/>
          <w:w w:val="100"/>
          <w:sz w:val="24"/>
          <w:szCs w:val="24"/>
          <w:highlight w:val="none"/>
        </w:rPr>
        <w:t>设备的保管与使用</w:t>
      </w:r>
    </w:p>
    <w:p w14:paraId="6001B0B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供应的材料和工程设备，承包人清点后由承包人妥善保管，保管费用由发包人承担，但已标价工程量清单或预算书已经列支或专用合同条款另有约定除外。因承包人原因发生丢失毁损的，由承包人负责赔偿；监理人未通知承包人清点的，承包人不负责材料和工程设备的保管，由此导致丢失毁损的由发包人负责。</w:t>
      </w:r>
    </w:p>
    <w:p w14:paraId="117E668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发包人供应的材料和工程设备使用前，由承包人负责检验，检验费用由发包人承担，不合格的不得使用。</w:t>
      </w:r>
    </w:p>
    <w:p w14:paraId="4AA3A88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8.4.2 承包人采购</w:t>
      </w:r>
      <w:r>
        <w:rPr>
          <w:rFonts w:hint="eastAsia" w:ascii="宋体" w:hAnsi="宋体" w:eastAsia="宋体" w:cs="宋体"/>
          <w:b w:val="0"/>
          <w:i w:val="0"/>
          <w:caps w:val="0"/>
          <w:color w:val="auto"/>
          <w:spacing w:val="0"/>
          <w:w w:val="100"/>
          <w:sz w:val="24"/>
          <w:szCs w:val="24"/>
          <w:highlight w:val="none"/>
        </w:rPr>
        <w:t>材料与</w:t>
      </w:r>
      <w:r>
        <w:rPr>
          <w:rFonts w:hint="eastAsia" w:ascii="宋体" w:hAnsi="宋体" w:eastAsia="宋体" w:cs="宋体"/>
          <w:b w:val="0"/>
          <w:i w:val="0"/>
          <w:caps w:val="0"/>
          <w:color w:val="auto"/>
          <w:spacing w:val="0"/>
          <w:w w:val="100"/>
          <w:kern w:val="0"/>
          <w:sz w:val="24"/>
          <w:szCs w:val="24"/>
          <w:highlight w:val="none"/>
        </w:rPr>
        <w:t>工程</w:t>
      </w:r>
      <w:r>
        <w:rPr>
          <w:rFonts w:hint="eastAsia" w:ascii="宋体" w:hAnsi="宋体" w:eastAsia="宋体" w:cs="宋体"/>
          <w:b w:val="0"/>
          <w:i w:val="0"/>
          <w:caps w:val="0"/>
          <w:color w:val="auto"/>
          <w:spacing w:val="0"/>
          <w:w w:val="100"/>
          <w:sz w:val="24"/>
          <w:szCs w:val="24"/>
          <w:highlight w:val="none"/>
        </w:rPr>
        <w:t>设备的保管与使用</w:t>
      </w:r>
    </w:p>
    <w:p w14:paraId="329872B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采购的材料和工程设备由承包人妥善保管，保管费用由承包人承担。法律规定材料和工程设备使用前必须进行检验或试验的，承包人应按监理人的要求进行检验或试验，检验或试验费用由承包人承担，不合格的不得使用。</w:t>
      </w:r>
    </w:p>
    <w:p w14:paraId="6A3730E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发包人或监理人发现承包人使用不符合设计或有关标准要求的材料和工程设备时，有权要求承包人进行修复、拆除或重新采购，由此增加的费用和（或）延误的工期，由承包人承担。</w:t>
      </w:r>
    </w:p>
    <w:p w14:paraId="7270DDA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94" w:name="_Toc351203557"/>
      <w:r>
        <w:rPr>
          <w:rFonts w:hint="eastAsia" w:ascii="宋体" w:hAnsi="宋体" w:eastAsia="宋体" w:cs="宋体"/>
          <w:b w:val="0"/>
          <w:i w:val="0"/>
          <w:caps w:val="0"/>
          <w:color w:val="auto"/>
          <w:spacing w:val="0"/>
          <w:w w:val="100"/>
          <w:sz w:val="24"/>
          <w:szCs w:val="24"/>
          <w:highlight w:val="none"/>
        </w:rPr>
        <w:t>8.5禁止使用不合格的材料和工程设备</w:t>
      </w:r>
      <w:bookmarkEnd w:id="594"/>
    </w:p>
    <w:p w14:paraId="46E0EA3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8.5.1 监理人有权拒绝承包人提供的不合格材料或工程设备，并要求承包人立即进行更换。监理人应在更换后再次进行检查和检验，由此增加的费用和（或）延误的工期由承包人承担。</w:t>
      </w:r>
    </w:p>
    <w:p w14:paraId="3A665C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8.5.2 监理人发现承包人使用了不合格的材料和工程设备，承包人应按照监理人的指示立即改正，并禁止在工程中继续使用不合格的材料和工程设备。</w:t>
      </w:r>
    </w:p>
    <w:p w14:paraId="7DC2E2B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8.5.3 发包人提供的材料或工程设备不符合合同要求的，承包人有权拒绝，并可要求发包人更换，由此增加的费用和（或）延误的工期由发包人承担，并支付承包人合理的利润。</w:t>
      </w:r>
    </w:p>
    <w:p w14:paraId="26607DB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95" w:name="_Toc351203558"/>
      <w:r>
        <w:rPr>
          <w:rFonts w:hint="eastAsia" w:ascii="宋体" w:hAnsi="宋体" w:eastAsia="宋体" w:cs="宋体"/>
          <w:b w:val="0"/>
          <w:i w:val="0"/>
          <w:caps w:val="0"/>
          <w:color w:val="auto"/>
          <w:spacing w:val="0"/>
          <w:w w:val="100"/>
          <w:sz w:val="24"/>
          <w:szCs w:val="24"/>
          <w:highlight w:val="none"/>
        </w:rPr>
        <w:t>8.6 样品</w:t>
      </w:r>
      <w:bookmarkEnd w:id="595"/>
    </w:p>
    <w:p w14:paraId="0701DBF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8.6.1</w:t>
      </w:r>
      <w:r>
        <w:rPr>
          <w:rFonts w:hint="eastAsia" w:ascii="宋体" w:hAnsi="宋体" w:eastAsia="宋体" w:cs="宋体"/>
          <w:b w:val="0"/>
          <w:i w:val="0"/>
          <w:caps w:val="0"/>
          <w:color w:val="auto"/>
          <w:spacing w:val="0"/>
          <w:w w:val="100"/>
          <w:kern w:val="0"/>
          <w:sz w:val="24"/>
          <w:szCs w:val="24"/>
          <w:highlight w:val="none"/>
        </w:rPr>
        <w:tab/>
      </w:r>
      <w:r>
        <w:rPr>
          <w:rFonts w:hint="eastAsia" w:ascii="宋体" w:hAnsi="宋体" w:eastAsia="宋体" w:cs="宋体"/>
          <w:b w:val="0"/>
          <w:i w:val="0"/>
          <w:caps w:val="0"/>
          <w:color w:val="auto"/>
          <w:spacing w:val="0"/>
          <w:w w:val="100"/>
          <w:kern w:val="0"/>
          <w:sz w:val="24"/>
          <w:szCs w:val="24"/>
          <w:highlight w:val="none"/>
        </w:rPr>
        <w:t>样品的报送与封存</w:t>
      </w:r>
    </w:p>
    <w:p w14:paraId="602C21B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需要承包人报送样品的材料或工程设备，样品的种类、名称、规格、数量等要求均应在专用合同条款中约定。样品的报送程序如下：</w:t>
      </w:r>
    </w:p>
    <w:p w14:paraId="00B313E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应在计划采购前28天向监理人报送样品。承包人报送的样品均应来自供应材料的实际生产地，且提供的样品的规格、数量足以表明材料或工程设备的质量、型号、颜色、表面处理、质地、误差和其他要求的特征。</w:t>
      </w:r>
    </w:p>
    <w:p w14:paraId="55C4E0D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每次报送样品时应随附申报单，申报单应载明报送样品的相关数据和资料，并标明每件样品对应的图纸号，预留监理人批复意见栏。监理人应在收到承包人报送的样品后7天向承包人回复经发包人签认的样品审批意见。</w:t>
      </w:r>
    </w:p>
    <w:p w14:paraId="39EA5A9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（3）经发包人和监理人审批确认的样品应按约定的方法封样，封存的样品作为检验工程相关部分的标准之一。承包人在施工过程中不得使用与样品不符的材料或工程设备。</w:t>
      </w:r>
    </w:p>
    <w:p w14:paraId="5BC540D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发包人和监理人对样品的审批确认仅为确认相关材料或工程设备的特征或用途，不得被理解为对合同的修改或改变，也并不减轻或免除承包人任何的责任和义务。如果封存的样品修改或改变了合同约定，合同当事人应当以书面协议予以确认。</w:t>
      </w:r>
    </w:p>
    <w:p w14:paraId="3004D8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8.6.2 样品的保管</w:t>
      </w:r>
    </w:p>
    <w:p w14:paraId="60AC3F2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经批准的样品应由监理人负责封存于现场，承包人应在现场为保存样品提供适当和固定的场所并保持适当和良好的存储环境条件。</w:t>
      </w:r>
    </w:p>
    <w:p w14:paraId="0BC5E054">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96" w:name="_Toc351203559"/>
      <w:r>
        <w:rPr>
          <w:rFonts w:hint="eastAsia" w:ascii="宋体" w:hAnsi="宋体" w:eastAsia="宋体" w:cs="宋体"/>
          <w:b w:val="0"/>
          <w:i w:val="0"/>
          <w:caps w:val="0"/>
          <w:color w:val="auto"/>
          <w:spacing w:val="0"/>
          <w:w w:val="100"/>
          <w:sz w:val="24"/>
          <w:szCs w:val="24"/>
          <w:highlight w:val="none"/>
        </w:rPr>
        <w:t>8.7材料与工程设备的替代</w:t>
      </w:r>
      <w:bookmarkEnd w:id="596"/>
    </w:p>
    <w:p w14:paraId="244CD24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8.7.1 出现下列情况需要使用替代材料和工程设备的，承包人应按照第8.7.2项约定的程序执行：</w:t>
      </w:r>
    </w:p>
    <w:p w14:paraId="1D2867C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（1）基准日期后生效的法律规定禁止使用的；</w:t>
      </w:r>
    </w:p>
    <w:p w14:paraId="7A64A8D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（2）发包人要求使用替代品的；</w:t>
      </w:r>
    </w:p>
    <w:p w14:paraId="29F3496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（3）因其他原因必须使用替代品的。</w:t>
      </w:r>
    </w:p>
    <w:p w14:paraId="533ED6A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8.7.2 承包人应在使用替代材料和工程设备28天前书面通知监理人，并附下列文件：</w:t>
      </w:r>
    </w:p>
    <w:p w14:paraId="3A1F4B5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（1）被替代的材料和工程设备的名称、数量、规格、型号、品牌、性能、价格及其他相关资料；</w:t>
      </w:r>
    </w:p>
    <w:p w14:paraId="1357ECC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（2）替代品的名称、数量、规格、型号、品牌、性能、价格及其他相关资料；</w:t>
      </w:r>
    </w:p>
    <w:p w14:paraId="7AB8DD8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（3）替代品与被替代产品之间的差异以及使用替代品可能对工程产生的影响；</w:t>
      </w:r>
    </w:p>
    <w:p w14:paraId="43F84F4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（4）替代品与被替代产品的价格差异；</w:t>
      </w:r>
    </w:p>
    <w:p w14:paraId="24AD8FD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（5）使用替代品的理由和原因说明；</w:t>
      </w:r>
    </w:p>
    <w:p w14:paraId="3B850F7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（6）监理人要求的其他文件。</w:t>
      </w:r>
    </w:p>
    <w:p w14:paraId="3916FD2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监理人应在收到通知后14天内向承包人发出经发包人签认的书面指示；监理人逾期发出书面指示的，视为发包人和监理人同意使用替代品。</w:t>
      </w:r>
    </w:p>
    <w:p w14:paraId="46DE953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8.7.3 发包人认可使用替代材料和工程设备的，替代材料和工程设备的价格，按照已标价工程量清单或预算书相同项目的价格认定；无相同项目的，参考相似项目价格认定；既无相同项目也无相似项目的，按照合理的成本与利润构成的原则，由合同当事人按照第4.4款〔商定或确定〕确定价格。</w:t>
      </w:r>
    </w:p>
    <w:p w14:paraId="54901FC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97" w:name="_Toc351203560"/>
      <w:r>
        <w:rPr>
          <w:rFonts w:hint="eastAsia" w:ascii="宋体" w:hAnsi="宋体" w:eastAsia="宋体" w:cs="宋体"/>
          <w:b w:val="0"/>
          <w:i w:val="0"/>
          <w:caps w:val="0"/>
          <w:color w:val="auto"/>
          <w:spacing w:val="0"/>
          <w:w w:val="100"/>
          <w:sz w:val="24"/>
          <w:szCs w:val="24"/>
          <w:highlight w:val="none"/>
        </w:rPr>
        <w:t>8.8施工设备和临时设施</w:t>
      </w:r>
      <w:bookmarkEnd w:id="597"/>
    </w:p>
    <w:p w14:paraId="102D149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8.8.1 承包人提供的施工设备和临时设施</w:t>
      </w:r>
    </w:p>
    <w:p w14:paraId="48C5E14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承包人应按合同进度计划的要求，及时配置施工设备和修建临时设施。进入施工场地的承包人设备需经监理人核查后才能投入使用。承包人更换合同约定的承包人设备的，应报监理人批准。</w:t>
      </w:r>
    </w:p>
    <w:p w14:paraId="4CD8934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除专用合同条款另有约定外，承包人应自行承担修建临时设施的费用，需要临时占地的，应由发包人办理申请手续并承担相应费用。</w:t>
      </w:r>
    </w:p>
    <w:p w14:paraId="240BEAB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8.8.2发包人提供的施工设备和临时设施</w:t>
      </w:r>
    </w:p>
    <w:p w14:paraId="5D79781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发包人提供的施工设备或临时设施在专用合同条款中约定。</w:t>
      </w:r>
    </w:p>
    <w:p w14:paraId="35FE09F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8.8.3要求承包人增加或更换施工设备</w:t>
      </w:r>
    </w:p>
    <w:p w14:paraId="533E6C9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承包人使用的施工设备不能满足合同进度计划和（或）质量要求时，监理人有权要求承包人增加或更换施工设备，承包人应及时增加或更换，由此增加的费用和（或）延误的工期由承包人承担。</w:t>
      </w:r>
    </w:p>
    <w:p w14:paraId="20EEBEF7">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598" w:name="_Toc351203561"/>
      <w:r>
        <w:rPr>
          <w:rFonts w:hint="eastAsia" w:ascii="宋体" w:hAnsi="宋体" w:eastAsia="宋体" w:cs="宋体"/>
          <w:b w:val="0"/>
          <w:i w:val="0"/>
          <w:caps w:val="0"/>
          <w:color w:val="auto"/>
          <w:spacing w:val="0"/>
          <w:w w:val="100"/>
          <w:sz w:val="24"/>
          <w:szCs w:val="24"/>
          <w:highlight w:val="none"/>
        </w:rPr>
        <w:t>8.9材料与设备专用</w:t>
      </w:r>
      <w:bookmarkEnd w:id="598"/>
      <w:r>
        <w:rPr>
          <w:rFonts w:hint="eastAsia" w:ascii="宋体" w:hAnsi="宋体" w:eastAsia="宋体" w:cs="宋体"/>
          <w:b w:val="0"/>
          <w:i w:val="0"/>
          <w:caps w:val="0"/>
          <w:color w:val="auto"/>
          <w:spacing w:val="0"/>
          <w:w w:val="100"/>
          <w:sz w:val="24"/>
          <w:szCs w:val="24"/>
          <w:highlight w:val="none"/>
        </w:rPr>
        <w:t>要求</w:t>
      </w:r>
    </w:p>
    <w:p w14:paraId="635C8CB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承包人运入施工现场的材料、工程设备、施工设备以及在施工场地建设的临时设施，包括备品备件、安装工具与资料，必须专用于工程。未经发包人批准，承包人不得运出施工现场或挪作他用；</w:t>
      </w:r>
      <w:bookmarkEnd w:id="590"/>
      <w:r>
        <w:rPr>
          <w:rFonts w:hint="eastAsia" w:ascii="宋体" w:hAnsi="宋体" w:eastAsia="宋体" w:cs="宋体"/>
          <w:b w:val="0"/>
          <w:i w:val="0"/>
          <w:caps w:val="0"/>
          <w:color w:val="auto"/>
          <w:spacing w:val="0"/>
          <w:w w:val="100"/>
          <w:kern w:val="0"/>
          <w:sz w:val="24"/>
          <w:szCs w:val="24"/>
          <w:highlight w:val="none"/>
        </w:rPr>
        <w:t>经发包人批准，承包人可以根据施工进度计划撤走闲置的施工设备和其他物品。</w:t>
      </w:r>
    </w:p>
    <w:p w14:paraId="05B87431">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599" w:name="_Toc16946"/>
      <w:bookmarkStart w:id="600" w:name="_Toc351203562"/>
      <w:r>
        <w:rPr>
          <w:rFonts w:hint="eastAsia" w:ascii="宋体" w:hAnsi="宋体" w:eastAsia="宋体" w:cs="宋体"/>
          <w:b w:val="0"/>
          <w:i w:val="0"/>
          <w:caps w:val="0"/>
          <w:color w:val="auto"/>
          <w:spacing w:val="0"/>
          <w:w w:val="100"/>
          <w:sz w:val="24"/>
          <w:szCs w:val="24"/>
          <w:highlight w:val="none"/>
        </w:rPr>
        <w:t>9</w:t>
      </w:r>
      <w:bookmarkStart w:id="601" w:name="_Toc296503083"/>
      <w:bookmarkStart w:id="602" w:name="_Toc296346584"/>
      <w:r>
        <w:rPr>
          <w:rFonts w:hint="eastAsia" w:ascii="宋体" w:hAnsi="宋体" w:eastAsia="宋体" w:cs="宋体"/>
          <w:b w:val="0"/>
          <w:i w:val="0"/>
          <w:caps w:val="0"/>
          <w:color w:val="auto"/>
          <w:spacing w:val="0"/>
          <w:w w:val="100"/>
          <w:sz w:val="24"/>
          <w:szCs w:val="24"/>
          <w:highlight w:val="none"/>
        </w:rPr>
        <w:t>. 试验与检验</w:t>
      </w:r>
      <w:bookmarkEnd w:id="599"/>
      <w:bookmarkEnd w:id="600"/>
    </w:p>
    <w:p w14:paraId="52EDA4A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03" w:name="_Toc351203563"/>
      <w:r>
        <w:rPr>
          <w:rFonts w:hint="eastAsia" w:ascii="宋体" w:hAnsi="宋体" w:eastAsia="宋体" w:cs="宋体"/>
          <w:b w:val="0"/>
          <w:i w:val="0"/>
          <w:caps w:val="0"/>
          <w:color w:val="auto"/>
          <w:spacing w:val="0"/>
          <w:w w:val="100"/>
          <w:sz w:val="24"/>
          <w:szCs w:val="24"/>
          <w:highlight w:val="none"/>
        </w:rPr>
        <w:t>9.1试验设备与试验人员</w:t>
      </w:r>
      <w:bookmarkEnd w:id="603"/>
    </w:p>
    <w:p w14:paraId="6D84421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9.1.1 承包人根据合同约定或监理人指示进行的现场材料试验，应由承包人提供试验场所、试验人员、试验设备以及其他必要的试验条件。监理人在必要时可以使用承包人提供的试验场所、试验设备以及其他试验条件，进行以工程质量检查为目的的材料复核试验，承包人应予以协助。</w:t>
      </w:r>
    </w:p>
    <w:p w14:paraId="595C92C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9.1.2 承包人应按专用合同条款的约定提供试验设备、取样装置、试验场所和试验条件，并向监理人提交相应进场计划表。</w:t>
      </w:r>
    </w:p>
    <w:p w14:paraId="6AE9E5A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承包人配置的试验设备要符合相应试验规程的要求并经过具有资质的检测单位检测，且在正式使用该试验设备前，需要经过监理人与承包人共同校定。</w:t>
      </w:r>
    </w:p>
    <w:p w14:paraId="2DD9F78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9.1.3 承包人应向监理人提交试验人员的名单及其岗位、资格等证明资料，试验人员必须能够熟练进行相应的检测试验，承包人对试验人员的试验程序和试验结果的正确性负责。</w:t>
      </w:r>
    </w:p>
    <w:p w14:paraId="66A40E2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04" w:name="_Toc351203564"/>
      <w:r>
        <w:rPr>
          <w:rFonts w:hint="eastAsia" w:ascii="宋体" w:hAnsi="宋体" w:eastAsia="宋体" w:cs="宋体"/>
          <w:b w:val="0"/>
          <w:i w:val="0"/>
          <w:caps w:val="0"/>
          <w:color w:val="auto"/>
          <w:spacing w:val="0"/>
          <w:w w:val="100"/>
          <w:sz w:val="24"/>
          <w:szCs w:val="24"/>
          <w:highlight w:val="none"/>
        </w:rPr>
        <w:t>9.2取样</w:t>
      </w:r>
      <w:bookmarkEnd w:id="604"/>
    </w:p>
    <w:p w14:paraId="38AB073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试验属于自检性质的，承包人可以单独取样。试验属于监理人抽检性质的，可由监理人取样，也可由承包人的试验人员在监理人的监督下取样。</w:t>
      </w:r>
    </w:p>
    <w:p w14:paraId="3850EA1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05" w:name="_Toc351203565"/>
      <w:r>
        <w:rPr>
          <w:rFonts w:hint="eastAsia" w:ascii="宋体" w:hAnsi="宋体" w:eastAsia="宋体" w:cs="宋体"/>
          <w:b w:val="0"/>
          <w:i w:val="0"/>
          <w:caps w:val="0"/>
          <w:color w:val="auto"/>
          <w:spacing w:val="0"/>
          <w:w w:val="100"/>
          <w:sz w:val="24"/>
          <w:szCs w:val="24"/>
          <w:highlight w:val="none"/>
        </w:rPr>
        <w:t>9.3材料、工程设备和工程的试验和检验</w:t>
      </w:r>
      <w:bookmarkEnd w:id="605"/>
    </w:p>
    <w:p w14:paraId="3A5354C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9.3.1承包人应按合同约定进行材料、工程设备和工程的试验和检验，并为监理人对上述材料、工程设备和工程的质量检查提供必要的试验资料和原始记录。按合同约定应由监理人与承包人共同进行试验和检验的，由承包人负责提供必要的试验资料和原始记录。</w:t>
      </w:r>
    </w:p>
    <w:p w14:paraId="56908F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9.3.2试验属于自检性质的，承包人可以单独进行试验。试验属于监理人抽检性质的，监理人可以单独进行试验，也可由承包人与监理人共同进行。承包人对由监理人单独进行的试验结果有异议的，可以申请重新共同进行试验。约定共同进行试验的，监理人未按照约定参加试验的，承包人可自行试验，并将试验结果报送监理人，监理人应承认该试验结果。</w:t>
      </w:r>
    </w:p>
    <w:p w14:paraId="1C025EE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9.3.3监理人对承包人的试验和检验结果有异议的，或为查清承包人试验和检验成果的可靠性要求承包人重新试验和检验的，可由监理人与承包人共同进行。重新试验和检验的结果证明该项材料、工程设备或工程的质量不符合合同要求的，由此增加的费用和（或）延误的工期由承包人承担；重新试验和检验结果证明该项材料、工程设备和工程符合合同要求的，由此增加的费用和（或）延误的工期由发包人承担。</w:t>
      </w:r>
    </w:p>
    <w:p w14:paraId="51CAD9F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06" w:name="_Toc351203566"/>
      <w:r>
        <w:rPr>
          <w:rFonts w:hint="eastAsia" w:ascii="宋体" w:hAnsi="宋体" w:eastAsia="宋体" w:cs="宋体"/>
          <w:b w:val="0"/>
          <w:i w:val="0"/>
          <w:caps w:val="0"/>
          <w:color w:val="auto"/>
          <w:spacing w:val="0"/>
          <w:w w:val="100"/>
          <w:sz w:val="24"/>
          <w:szCs w:val="24"/>
          <w:highlight w:val="none"/>
        </w:rPr>
        <w:t>9.4现场工艺试验</w:t>
      </w:r>
      <w:bookmarkEnd w:id="606"/>
    </w:p>
    <w:p w14:paraId="4073BC1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承包人应按合同约定或监理人指示进行现场工艺试验。对大型的现场工艺试验，监理人认为必要时，承包人应根据监理人提出的工艺试验要求，编制工艺试验措施计划，报送监理人审查。</w:t>
      </w:r>
    </w:p>
    <w:p w14:paraId="0733BC4E">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07" w:name="_Toc143"/>
      <w:bookmarkStart w:id="608" w:name="_Toc351203567"/>
      <w:r>
        <w:rPr>
          <w:rFonts w:hint="eastAsia" w:ascii="宋体" w:hAnsi="宋体" w:eastAsia="宋体" w:cs="宋体"/>
          <w:b w:val="0"/>
          <w:i w:val="0"/>
          <w:caps w:val="0"/>
          <w:color w:val="auto"/>
          <w:spacing w:val="0"/>
          <w:w w:val="100"/>
          <w:sz w:val="24"/>
          <w:szCs w:val="24"/>
          <w:highlight w:val="none"/>
        </w:rPr>
        <w:t>10. 变更</w:t>
      </w:r>
      <w:bookmarkEnd w:id="601"/>
      <w:bookmarkEnd w:id="602"/>
      <w:bookmarkEnd w:id="607"/>
      <w:bookmarkEnd w:id="608"/>
    </w:p>
    <w:p w14:paraId="4D46010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09" w:name="_Toc351203568"/>
      <w:r>
        <w:rPr>
          <w:rFonts w:hint="eastAsia" w:ascii="宋体" w:hAnsi="宋体" w:eastAsia="宋体" w:cs="宋体"/>
          <w:b w:val="0"/>
          <w:i w:val="0"/>
          <w:caps w:val="0"/>
          <w:color w:val="auto"/>
          <w:spacing w:val="0"/>
          <w:w w:val="100"/>
          <w:sz w:val="24"/>
          <w:szCs w:val="24"/>
          <w:highlight w:val="none"/>
        </w:rPr>
        <w:t>10.1变更的范围</w:t>
      </w:r>
      <w:bookmarkEnd w:id="609"/>
    </w:p>
    <w:p w14:paraId="4434C1B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除专用合同条款另有约定外，合同履行过程中发生以下情形的，应按照本条约定进行变更：</w:t>
      </w:r>
    </w:p>
    <w:p w14:paraId="4A2CC5C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（1）增加或减少合同中任何工作，或追加额外的工作；</w:t>
      </w:r>
    </w:p>
    <w:p w14:paraId="49B54D5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（2）取消合同中任何工作，但转由他人实施的工作除外；</w:t>
      </w:r>
    </w:p>
    <w:p w14:paraId="348EFE6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（3）改变合同中任何工作的质量标准或其他特性；</w:t>
      </w:r>
    </w:p>
    <w:p w14:paraId="775C1AC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（4）改变工程的基线、标高、位置和尺寸；</w:t>
      </w:r>
    </w:p>
    <w:p w14:paraId="72C118C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（5）改变工程的时间安排或实施顺序。</w:t>
      </w:r>
    </w:p>
    <w:p w14:paraId="69CD77B4">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10" w:name="_Toc351203569"/>
      <w:r>
        <w:rPr>
          <w:rFonts w:hint="eastAsia" w:ascii="宋体" w:hAnsi="宋体" w:eastAsia="宋体" w:cs="宋体"/>
          <w:b w:val="0"/>
          <w:i w:val="0"/>
          <w:caps w:val="0"/>
          <w:color w:val="auto"/>
          <w:spacing w:val="0"/>
          <w:w w:val="100"/>
          <w:sz w:val="24"/>
          <w:szCs w:val="24"/>
          <w:highlight w:val="none"/>
        </w:rPr>
        <w:t>10.2变更权</w:t>
      </w:r>
      <w:bookmarkEnd w:id="610"/>
    </w:p>
    <w:p w14:paraId="7930071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和监理人均可以提出变更。变更指示均通过监理人发出，监理人发出变更指示前应征得发包人同意。承包人收到经发包人签认的变更指示后，方可实施变更。未经许可，承包人不得擅自对工程的任何部分进行变更。</w:t>
      </w:r>
    </w:p>
    <w:p w14:paraId="615878C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涉及设计变更的，应由设计人提供变更后的图纸和说明。如变更超过原设计标准或批准的建设规模时，发包人应及时办理规划、设计变更等审批手续。</w:t>
      </w:r>
    </w:p>
    <w:p w14:paraId="4D10B19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11" w:name="_Toc351203570"/>
      <w:r>
        <w:rPr>
          <w:rFonts w:hint="eastAsia" w:ascii="宋体" w:hAnsi="宋体" w:eastAsia="宋体" w:cs="宋体"/>
          <w:b w:val="0"/>
          <w:i w:val="0"/>
          <w:caps w:val="0"/>
          <w:color w:val="auto"/>
          <w:spacing w:val="0"/>
          <w:w w:val="100"/>
          <w:sz w:val="24"/>
          <w:szCs w:val="24"/>
          <w:highlight w:val="none"/>
        </w:rPr>
        <w:t>10.3变更程序</w:t>
      </w:r>
      <w:bookmarkEnd w:id="611"/>
    </w:p>
    <w:p w14:paraId="3F4505D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10</w:t>
      </w:r>
      <w:r>
        <w:rPr>
          <w:rFonts w:hint="eastAsia" w:ascii="宋体" w:hAnsi="宋体" w:eastAsia="宋体" w:cs="宋体"/>
          <w:b w:val="0"/>
          <w:i w:val="0"/>
          <w:caps w:val="0"/>
          <w:color w:val="auto"/>
          <w:spacing w:val="0"/>
          <w:w w:val="100"/>
          <w:kern w:val="0"/>
          <w:sz w:val="24"/>
          <w:szCs w:val="24"/>
          <w:highlight w:val="none"/>
        </w:rPr>
        <w:t>.3.1 发包人提出变更</w:t>
      </w:r>
    </w:p>
    <w:p w14:paraId="7967D5A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发包人提出变更的，应通过监理人向承包人发出变更指示，变更指示应说明计划变更的工程范围和变更的内容。</w:t>
      </w:r>
    </w:p>
    <w:p w14:paraId="0A59C88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10</w:t>
      </w:r>
      <w:r>
        <w:rPr>
          <w:rFonts w:hint="eastAsia" w:ascii="宋体" w:hAnsi="宋体" w:eastAsia="宋体" w:cs="宋体"/>
          <w:b w:val="0"/>
          <w:i w:val="0"/>
          <w:caps w:val="0"/>
          <w:color w:val="auto"/>
          <w:spacing w:val="0"/>
          <w:w w:val="100"/>
          <w:kern w:val="0"/>
          <w:sz w:val="24"/>
          <w:szCs w:val="24"/>
          <w:highlight w:val="none"/>
        </w:rPr>
        <w:t>.3.2 监理人提出变更建议</w:t>
      </w:r>
    </w:p>
    <w:p w14:paraId="091E2FF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提出变更建议的，需要向发包人以书面形式提出变更计划，说明计划变更工程范围和变更的内容、理由，以及实施该变更对合同价格和工期的影响。发包人同意变更的，由监理人向承包人发出变更指示。发包人不同意变更的，监理人无权擅自发出变更指示。</w:t>
      </w:r>
    </w:p>
    <w:p w14:paraId="2F9BC6A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10.3.3 变更执行</w:t>
      </w:r>
    </w:p>
    <w:p w14:paraId="455E819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收到监理人下达的变更指示后，认为不能执行，应立即提出不能执行该变更指示的理由。承包人认为可以执行变更的，应当书面说明实施该变更指示对合同价格和工期的影响，且合同当事人应当按照第10.4款〔变更估价〕约定确定变更估价。</w:t>
      </w:r>
    </w:p>
    <w:p w14:paraId="5D35695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12" w:name="_Toc351203571"/>
      <w:r>
        <w:rPr>
          <w:rFonts w:hint="eastAsia" w:ascii="宋体" w:hAnsi="宋体" w:eastAsia="宋体" w:cs="宋体"/>
          <w:b w:val="0"/>
          <w:i w:val="0"/>
          <w:caps w:val="0"/>
          <w:color w:val="auto"/>
          <w:spacing w:val="0"/>
          <w:w w:val="100"/>
          <w:sz w:val="24"/>
          <w:szCs w:val="24"/>
          <w:highlight w:val="none"/>
        </w:rPr>
        <w:t>10.4变更估价</w:t>
      </w:r>
      <w:bookmarkEnd w:id="612"/>
    </w:p>
    <w:p w14:paraId="55B4DA8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10.4.1 变更估价原则</w:t>
      </w:r>
    </w:p>
    <w:p w14:paraId="17570E9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除专用合同条款另有约定外，变更估价按照本款约定处理：</w:t>
      </w:r>
    </w:p>
    <w:p w14:paraId="19C52F7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（1）已标价工程量清单或预算书有相同项目的，按照相同项目单价认定；</w:t>
      </w:r>
    </w:p>
    <w:p w14:paraId="5751264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（2）已标价工程量清单或预算书中无相同项目，但有类似项目的，参照类似项目的单价认定；</w:t>
      </w:r>
    </w:p>
    <w:p w14:paraId="02C25F0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变更导致实际完成的变更工程量与已标价工程量清单或预算书中列明的该项目工程量的变化幅度超过15%的，或已标价工程量清单或预算书中无相同项目及类似项目单价的，按照合理的成本与利润构成的原则，由合同当事人按照第4.4款〔商定或确定〕确定变更工作的单价。</w:t>
      </w:r>
    </w:p>
    <w:p w14:paraId="2003769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10.4.2 变更估价程序</w:t>
      </w:r>
    </w:p>
    <w:p w14:paraId="20832CE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在收到变更指示后14天内，向监理人提交变更估价申请。监理人应在收到承包人提交的变更估价申请后7天内审查完毕并报送发包人，监理人对变更估价申请有异议，通知承包人修改后重新提交。发包人应在承包人提交变更估价申请后14天内审批完毕。发包人逾期未完成审批或未提出异议的，视为认可承包人提交的变更估价申请。</w:t>
      </w:r>
    </w:p>
    <w:p w14:paraId="68705F4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因变更引起的价格调整应计入最近一期的进度款中支付。</w:t>
      </w:r>
    </w:p>
    <w:p w14:paraId="23B571F7">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13" w:name="_Toc351203572"/>
      <w:r>
        <w:rPr>
          <w:rFonts w:hint="eastAsia" w:ascii="宋体" w:hAnsi="宋体" w:eastAsia="宋体" w:cs="宋体"/>
          <w:b w:val="0"/>
          <w:i w:val="0"/>
          <w:caps w:val="0"/>
          <w:color w:val="auto"/>
          <w:spacing w:val="0"/>
          <w:w w:val="100"/>
          <w:sz w:val="24"/>
          <w:szCs w:val="24"/>
          <w:highlight w:val="none"/>
        </w:rPr>
        <w:t>10.5承包人的合理化建议</w:t>
      </w:r>
      <w:bookmarkEnd w:id="613"/>
    </w:p>
    <w:p w14:paraId="166024B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承包人提出合理化建议的，应向监理人提交合理化建议说明，说明建议的内容和理由，以及实施该建议对合同价格和工期的影响。</w:t>
      </w:r>
    </w:p>
    <w:p w14:paraId="35430BB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监理人应在收到承包人提交的合理化建议后7天内审查完毕并报送发包人，发现其中存在技术上的缺陷，应通知承包人修改。发包人应在收到监理人报送的合理化建议后7天内审批完毕。合理化建议经发包人批准的，监理人应及时发出变更指示，由此引起的合同价格调整按照第10.4款〔变更估价〕约定执行。发包人不同意变更的，监理人应书面通知承包人。</w:t>
      </w:r>
    </w:p>
    <w:p w14:paraId="169ED3D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合理化建议降低了合同价格或者提高了工程经济效益的，发包人可对承包人给予奖励，奖励的方法和金额在专用合同条款中约定。</w:t>
      </w:r>
    </w:p>
    <w:p w14:paraId="30A8FC85">
      <w:pPr>
        <w:pStyle w:val="6"/>
        <w:snapToGrid w:val="0"/>
        <w:spacing w:before="120" w:beforeAutospacing="0" w:after="120" w:afterAutospacing="0" w:line="360" w:lineRule="auto"/>
        <w:ind w:firstLine="480" w:firstLineChars="200"/>
        <w:textAlignment w:val="baseline"/>
        <w:rPr>
          <w:rFonts w:hint="eastAsia" w:ascii="宋体" w:hAnsi="宋体" w:eastAsia="宋体" w:cs="宋体"/>
          <w:b/>
          <w:i w:val="0"/>
          <w:caps w:val="0"/>
          <w:color w:val="auto"/>
          <w:spacing w:val="0"/>
          <w:w w:val="100"/>
          <w:sz w:val="24"/>
          <w:szCs w:val="24"/>
          <w:highlight w:val="none"/>
        </w:rPr>
      </w:pPr>
      <w:bookmarkStart w:id="614" w:name="_Toc351203573"/>
      <w:r>
        <w:rPr>
          <w:rFonts w:hint="eastAsia" w:ascii="宋体" w:hAnsi="宋体" w:eastAsia="宋体" w:cs="宋体"/>
          <w:b w:val="0"/>
          <w:i w:val="0"/>
          <w:caps w:val="0"/>
          <w:color w:val="auto"/>
          <w:spacing w:val="0"/>
          <w:w w:val="100"/>
          <w:sz w:val="24"/>
          <w:szCs w:val="24"/>
          <w:highlight w:val="none"/>
        </w:rPr>
        <w:t>1</w:t>
      </w:r>
      <w:bookmarkStart w:id="615" w:name="_Toc337558793"/>
      <w:r>
        <w:rPr>
          <w:rFonts w:hint="eastAsia" w:ascii="宋体" w:hAnsi="宋体" w:eastAsia="宋体" w:cs="宋体"/>
          <w:b w:val="0"/>
          <w:i w:val="0"/>
          <w:caps w:val="0"/>
          <w:color w:val="auto"/>
          <w:spacing w:val="0"/>
          <w:w w:val="100"/>
          <w:sz w:val="24"/>
          <w:szCs w:val="24"/>
          <w:highlight w:val="none"/>
        </w:rPr>
        <w:t>0.6变更引起的工期调整</w:t>
      </w:r>
      <w:bookmarkEnd w:id="614"/>
      <w:r>
        <w:rPr>
          <w:rFonts w:hint="eastAsia" w:ascii="宋体" w:hAnsi="宋体" w:eastAsia="宋体" w:cs="宋体"/>
          <w:b w:val="0"/>
          <w:i w:val="0"/>
          <w:caps w:val="0"/>
          <w:color w:val="auto"/>
          <w:spacing w:val="0"/>
          <w:w w:val="100"/>
          <w:sz w:val="24"/>
          <w:szCs w:val="24"/>
          <w:highlight w:val="none"/>
        </w:rPr>
        <w:t xml:space="preserve"> </w:t>
      </w:r>
      <w:bookmarkEnd w:id="615"/>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eastAsia="宋体" w:cs="宋体"/>
          <w:b/>
          <w:i w:val="0"/>
          <w:caps w:val="0"/>
          <w:color w:val="auto"/>
          <w:spacing w:val="0"/>
          <w:w w:val="100"/>
          <w:sz w:val="24"/>
          <w:szCs w:val="24"/>
          <w:highlight w:val="none"/>
        </w:rPr>
        <w:t xml:space="preserve"> </w:t>
      </w:r>
    </w:p>
    <w:p w14:paraId="5E0F766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因变更引起工期变化的，合同当事人均可要求调整合同工期，由合同当事人按照第4.4款〔商定或确定〕并参考工程所在地的工期定额标准确定增减工期天数。</w:t>
      </w:r>
    </w:p>
    <w:p w14:paraId="603209B7">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16" w:name="_Toc351203574"/>
      <w:r>
        <w:rPr>
          <w:rFonts w:hint="eastAsia" w:ascii="宋体" w:hAnsi="宋体" w:eastAsia="宋体" w:cs="宋体"/>
          <w:b w:val="0"/>
          <w:i w:val="0"/>
          <w:caps w:val="0"/>
          <w:color w:val="auto"/>
          <w:spacing w:val="0"/>
          <w:w w:val="100"/>
          <w:sz w:val="24"/>
          <w:szCs w:val="24"/>
          <w:highlight w:val="none"/>
        </w:rPr>
        <w:t>10.7暂估价</w:t>
      </w:r>
      <w:bookmarkEnd w:id="616"/>
    </w:p>
    <w:p w14:paraId="05615AC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暂估价专业分包工程、服务、材料和工程设备的明细由合同当事人在专用合同条款中约定。</w:t>
      </w:r>
    </w:p>
    <w:p w14:paraId="54D0BF9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10.7.1</w:t>
      </w:r>
      <w:r>
        <w:rPr>
          <w:rFonts w:hint="eastAsia" w:ascii="宋体" w:hAnsi="宋体" w:eastAsia="宋体" w:cs="宋体"/>
          <w:b w:val="0"/>
          <w:i w:val="0"/>
          <w:caps w:val="0"/>
          <w:color w:val="auto"/>
          <w:spacing w:val="0"/>
          <w:w w:val="100"/>
          <w:kern w:val="0"/>
          <w:sz w:val="24"/>
          <w:szCs w:val="24"/>
          <w:highlight w:val="none"/>
        </w:rPr>
        <w:t xml:space="preserve"> 依法必须招标的暂估价项目</w:t>
      </w:r>
    </w:p>
    <w:p w14:paraId="673CCF0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对于依法必须招标的暂估价项目，采取以下第1种方式确定。合同当事人也可以在专用合同条款中选择其他招标方式。</w:t>
      </w:r>
    </w:p>
    <w:p w14:paraId="5EA2682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第1种方式：对于依法必须招标的暂估价项目，由承包人招标，对该暂估价项目的确认和批准按照以下约定执行：</w:t>
      </w:r>
    </w:p>
    <w:p w14:paraId="435814B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应当根据施工进度计划，在招标工作启动前14天将招标方案通过监理人报送发包人审查，发包人应当在收到承包人报送的招标方案后7天内批准或提出修改意见。承包人应当按照经过发包人批准的招标方案开展招标工作；</w:t>
      </w:r>
    </w:p>
    <w:p w14:paraId="30DEBC6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应当根据施工进度计划，提前14天将招标文件通过监理人报送发包人审批，发包人应当在收到承包人报送的相关文件后7天内完成审批或提出修改意见；发包人有权确定招标控制价并按照法律规定参加评标；</w:t>
      </w:r>
    </w:p>
    <w:p w14:paraId="48CF8D19">
      <w:pPr>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3）承包人与供应商、分包人在签订暂估价合同前，应当提前7天将确定的中标候选供应商或中标候选分包人的资料报送发包人，发包人应在收到资料后3天内与承包人共同确定中标人；承包人应当在签订合同后7天内，将暂估价合同副本报送发包人留存。</w:t>
      </w:r>
    </w:p>
    <w:p w14:paraId="2B8847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第2种方式：对于依法必须招标的暂估价项目，由发包人和承包人共同招标确定暂估价供应商或分包人的，承包人应按照施工进度计划，在招标工作启动前14天通知发包人，并提交暂估价招标方案和工作分工。发包人应在收到后7天内确认。确定中标人后，由发包人、承包人与中标人共同签订暂估价合同。</w:t>
      </w:r>
    </w:p>
    <w:p w14:paraId="08FDD3C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10.7.2</w:t>
      </w:r>
      <w:r>
        <w:rPr>
          <w:rFonts w:hint="eastAsia" w:ascii="宋体" w:hAnsi="宋体" w:eastAsia="宋体" w:cs="宋体"/>
          <w:b w:val="0"/>
          <w:i w:val="0"/>
          <w:caps w:val="0"/>
          <w:color w:val="auto"/>
          <w:spacing w:val="0"/>
          <w:w w:val="100"/>
          <w:kern w:val="0"/>
          <w:sz w:val="24"/>
          <w:szCs w:val="24"/>
          <w:highlight w:val="none"/>
        </w:rPr>
        <w:t>不属于依法必须招标的暂估价项目</w:t>
      </w:r>
    </w:p>
    <w:p w14:paraId="0F8A68D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除专用合同条款另有约定外，对于不属于依法必须招标的暂估价项目，采取以下第1种方式确定： </w:t>
      </w:r>
    </w:p>
    <w:p w14:paraId="30905AF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第1种方式：对于不属于依法必须招标的暂估价项目，按本项约定确认和批准：</w:t>
      </w:r>
    </w:p>
    <w:p w14:paraId="127C8D5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应根据施工进度计划，在签订暂估价项目的采购合同、分包合同前28天向监理人提出书面申请。监理人应当在收到申请后3天内报送发包人，发包人应当在收到申请后14天内给予批准或提出修改意见，发包人逾期未予批准或提出修改意见的，视为该书面申请已获得同意；</w:t>
      </w:r>
    </w:p>
    <w:p w14:paraId="1F24A05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（2）发包人认为承包人确定的供应商、分包人无法满足工程质量或合同要求的，发包人可以要求承包人重新确定暂估价项目的供应商、分包人;</w:t>
      </w:r>
    </w:p>
    <w:p w14:paraId="23CDD1B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（3）承包人应当在签订暂估价合同后7天内，将暂估价合同副本报送发包人留存。</w:t>
      </w:r>
    </w:p>
    <w:p w14:paraId="20B08B4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第2种方式：承包人按照第10.7.1项〔依法必须招标的暂估价项目〕约定的第1种方式确定暂估价项目。</w:t>
      </w:r>
    </w:p>
    <w:p w14:paraId="41A28CE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第3种方式：</w:t>
      </w:r>
      <w:r>
        <w:rPr>
          <w:rFonts w:hint="eastAsia" w:ascii="宋体" w:hAnsi="宋体" w:eastAsia="宋体" w:cs="宋体"/>
          <w:b w:val="0"/>
          <w:i w:val="0"/>
          <w:caps w:val="0"/>
          <w:color w:val="auto"/>
          <w:spacing w:val="0"/>
          <w:w w:val="100"/>
          <w:kern w:val="0"/>
          <w:sz w:val="24"/>
          <w:szCs w:val="24"/>
          <w:highlight w:val="none"/>
        </w:rPr>
        <w:t>承包人直接实施的暂估价项目</w:t>
      </w:r>
    </w:p>
    <w:p w14:paraId="2B136E1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承包人具备实施暂估价项目的资格和条件的，经发包人和承包人协商一致后，可由承包人自行实施暂估价项目，合同当事人可以在专用合同条款约定具体事项。</w:t>
      </w:r>
    </w:p>
    <w:p w14:paraId="17FB171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10.7.3 因发包人原因导致暂估价合同订立和履行迟延的，由此增加的费用和（或）延误的工期由发包人承担，并支付承包人合理的利润。因承包人原因导致暂估价合同订立和履行迟延的，由此增加的费用和（或）延误的工期由承包人承担。</w:t>
      </w:r>
    </w:p>
    <w:p w14:paraId="6E433F4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17" w:name="_Toc351203575"/>
      <w:r>
        <w:rPr>
          <w:rFonts w:hint="eastAsia" w:ascii="宋体" w:hAnsi="宋体" w:eastAsia="宋体" w:cs="宋体"/>
          <w:b w:val="0"/>
          <w:i w:val="0"/>
          <w:caps w:val="0"/>
          <w:color w:val="auto"/>
          <w:spacing w:val="0"/>
          <w:w w:val="100"/>
          <w:sz w:val="24"/>
          <w:szCs w:val="24"/>
          <w:highlight w:val="none"/>
        </w:rPr>
        <w:t>10.8暂列金额</w:t>
      </w:r>
      <w:bookmarkEnd w:id="617"/>
    </w:p>
    <w:p w14:paraId="77B64F5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暂列金额应按照发包人的要求使用，发包人的要求应通过监理人发出。合同当事人可以在专用合同条款中协商确定有关事项。</w:t>
      </w:r>
    </w:p>
    <w:p w14:paraId="00848023">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18" w:name="_Toc351203576"/>
      <w:r>
        <w:rPr>
          <w:rFonts w:hint="eastAsia" w:ascii="宋体" w:hAnsi="宋体" w:eastAsia="宋体" w:cs="宋体"/>
          <w:b w:val="0"/>
          <w:i w:val="0"/>
          <w:caps w:val="0"/>
          <w:color w:val="auto"/>
          <w:spacing w:val="0"/>
          <w:w w:val="100"/>
          <w:sz w:val="24"/>
          <w:szCs w:val="24"/>
          <w:highlight w:val="none"/>
        </w:rPr>
        <w:t>1</w:t>
      </w:r>
      <w:bookmarkStart w:id="619" w:name="_Toc296503091"/>
      <w:bookmarkStart w:id="620" w:name="_Toc296346592"/>
      <w:bookmarkStart w:id="621" w:name="_Toc337558796"/>
      <w:r>
        <w:rPr>
          <w:rFonts w:hint="eastAsia" w:ascii="宋体" w:hAnsi="宋体" w:eastAsia="宋体" w:cs="宋体"/>
          <w:b w:val="0"/>
          <w:i w:val="0"/>
          <w:caps w:val="0"/>
          <w:color w:val="auto"/>
          <w:spacing w:val="0"/>
          <w:w w:val="100"/>
          <w:sz w:val="24"/>
          <w:szCs w:val="24"/>
          <w:highlight w:val="none"/>
        </w:rPr>
        <w:t>0.9计日工</w:t>
      </w:r>
      <w:bookmarkEnd w:id="618"/>
      <w:r>
        <w:rPr>
          <w:rFonts w:hint="eastAsia" w:ascii="宋体" w:hAnsi="宋体" w:eastAsia="宋体" w:cs="宋体"/>
          <w:b w:val="0"/>
          <w:i w:val="0"/>
          <w:caps w:val="0"/>
          <w:color w:val="auto"/>
          <w:spacing w:val="0"/>
          <w:w w:val="100"/>
          <w:sz w:val="24"/>
          <w:szCs w:val="24"/>
          <w:highlight w:val="none"/>
        </w:rPr>
        <w:t xml:space="preserve"> </w:t>
      </w:r>
      <w:bookmarkEnd w:id="619"/>
      <w:bookmarkEnd w:id="620"/>
      <w:bookmarkEnd w:id="621"/>
    </w:p>
    <w:p w14:paraId="220D936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需要采用计日工方式的，经发包人同意后，由监理人通知承包人以计日工计价方式实施相应的工作，其价款按列入已标价工程量清单或预算书中的计日工计价项目及其单价进行计算；已标价工程量清单或预算书中无相应的计日工单价的，按照合理的成本与利润构成的原则，由合同当事人按照第4.4款〔商定或确定〕确定计日工的单价。</w:t>
      </w:r>
    </w:p>
    <w:p w14:paraId="2A2E12E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采用计日工计价的任何一项工作，承包人应在该项工作实施过程中，每天提交以下报表和有关凭证报送监理人审查：</w:t>
      </w:r>
    </w:p>
    <w:p w14:paraId="008C83C9">
      <w:pPr>
        <w:snapToGrid w:val="0"/>
        <w:spacing w:before="0" w:beforeAutospacing="0" w:after="0" w:afterAutospacing="0" w:line="360" w:lineRule="auto"/>
        <w:ind w:firstLine="360" w:firstLineChars="15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（1）工作名称、内容和数量；</w:t>
      </w:r>
    </w:p>
    <w:p w14:paraId="3ED72DF3">
      <w:pPr>
        <w:snapToGrid w:val="0"/>
        <w:spacing w:before="0" w:beforeAutospacing="0" w:after="0" w:afterAutospacing="0" w:line="360" w:lineRule="auto"/>
        <w:ind w:firstLine="360" w:firstLineChars="15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（2）投入该工作的所有人员的姓名、专业、工种、级别和耗用工时；</w:t>
      </w:r>
    </w:p>
    <w:p w14:paraId="7548571B">
      <w:pPr>
        <w:snapToGrid w:val="0"/>
        <w:spacing w:before="0" w:beforeAutospacing="0" w:after="0" w:afterAutospacing="0" w:line="360" w:lineRule="auto"/>
        <w:ind w:firstLine="360" w:firstLineChars="15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（3）投入该工作的材料类别和数量；</w:t>
      </w:r>
    </w:p>
    <w:p w14:paraId="007DA052">
      <w:pPr>
        <w:snapToGrid w:val="0"/>
        <w:spacing w:before="0" w:beforeAutospacing="0" w:after="0" w:afterAutospacing="0" w:line="360" w:lineRule="auto"/>
        <w:ind w:firstLine="360" w:firstLineChars="15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（4）投入该工作的施工设备型号、台数和耗用台时；</w:t>
      </w:r>
    </w:p>
    <w:p w14:paraId="706BAC3C">
      <w:pPr>
        <w:snapToGrid w:val="0"/>
        <w:spacing w:before="0" w:beforeAutospacing="0" w:after="0" w:afterAutospacing="0" w:line="360" w:lineRule="auto"/>
        <w:ind w:firstLine="360" w:firstLineChars="15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（5）其他有关资料和凭证。</w:t>
      </w:r>
    </w:p>
    <w:p w14:paraId="20BE3470">
      <w:pPr>
        <w:snapToGrid w:val="0"/>
        <w:spacing w:before="0" w:beforeAutospacing="0" w:after="0" w:afterAutospacing="0" w:line="360" w:lineRule="auto"/>
        <w:ind w:firstLine="360" w:firstLineChars="15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计日工由承包人汇总后，列入最近一期进度付款申请单，由监理人审查并经发包人批准后列入进度付款。</w:t>
      </w:r>
    </w:p>
    <w:p w14:paraId="250DDA2C">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22" w:name="_Toc17741"/>
      <w:bookmarkStart w:id="623" w:name="_Toc351203577"/>
      <w:r>
        <w:rPr>
          <w:rFonts w:hint="eastAsia" w:ascii="宋体" w:hAnsi="宋体" w:eastAsia="宋体" w:cs="宋体"/>
          <w:b w:val="0"/>
          <w:i w:val="0"/>
          <w:caps w:val="0"/>
          <w:color w:val="auto"/>
          <w:spacing w:val="0"/>
          <w:w w:val="100"/>
          <w:sz w:val="24"/>
          <w:szCs w:val="24"/>
          <w:highlight w:val="none"/>
        </w:rPr>
        <w:t>11. 价格调整</w:t>
      </w:r>
      <w:bookmarkEnd w:id="622"/>
      <w:bookmarkEnd w:id="623"/>
    </w:p>
    <w:p w14:paraId="73264D3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24" w:name="_Toc351203578"/>
      <w:r>
        <w:rPr>
          <w:rFonts w:hint="eastAsia" w:ascii="宋体" w:hAnsi="宋体" w:eastAsia="宋体" w:cs="宋体"/>
          <w:b w:val="0"/>
          <w:i w:val="0"/>
          <w:caps w:val="0"/>
          <w:color w:val="auto"/>
          <w:spacing w:val="0"/>
          <w:w w:val="100"/>
          <w:sz w:val="24"/>
          <w:szCs w:val="24"/>
          <w:highlight w:val="none"/>
        </w:rPr>
        <w:t>11.1市场价格波动引起的调整</w:t>
      </w:r>
      <w:bookmarkEnd w:id="624"/>
    </w:p>
    <w:p w14:paraId="253EB93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除专用合同条款另有约定外，市场价格波动超过合同当事人约定的范围，合同价格应当调整。合同当事人可以在专用合同条款中约定选择以下一种方式对合同价格进行调整：</w:t>
      </w:r>
    </w:p>
    <w:p w14:paraId="35B42BFA">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第1种方式：采用价格指数进行价格调整。</w:t>
      </w:r>
    </w:p>
    <w:p w14:paraId="05710649">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（1）价格调整公式</w:t>
      </w:r>
    </w:p>
    <w:p w14:paraId="3B0441DB">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因人工、材料和设备等价格波动影响合同价格时，根据专用合同条款中约定的数据，按以下公式计算差额并调整合同价格：</w:t>
      </w:r>
    </w:p>
    <w:p w14:paraId="1E29FDB3">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position w:val="-30"/>
          <w:sz w:val="24"/>
          <w:szCs w:val="24"/>
          <w:highlight w:val="none"/>
        </w:rPr>
        <w:object>
          <v:shape id="_x0000_i1025" o:spt="75" type="#_x0000_t75" style="height:43.9pt;width:359.85pt;" o:ole="t" filled="f" stroked="f" coordsize="21600,21600">
            <v:path/>
            <v:fill on="f" focussize="0,0"/>
            <v:stroke on="f"/>
            <v:imagedata r:id="rId17" o:title=""/>
            <o:lock v:ext="edit" aspectratio="t"/>
            <w10:wrap type="none"/>
            <w10:anchorlock/>
          </v:shape>
          <o:OLEObject Type="Embed" ProgID="Equation.KSEE3" ShapeID="_x0000_i1025" DrawAspect="Content" ObjectID="_1468075725" r:id="rId16">
            <o:LockedField>false</o:LockedField>
          </o:OLEObject>
        </w:object>
      </w:r>
    </w:p>
    <w:p w14:paraId="31F56E09">
      <w:pPr>
        <w:tabs>
          <w:tab w:val="left" w:pos="0"/>
          <w:tab w:val="left" w:pos="360"/>
          <w:tab w:val="left" w:pos="540"/>
        </w:tabs>
        <w:snapToGrid w:val="0"/>
        <w:spacing w:before="0" w:beforeAutospacing="0" w:after="0" w:afterAutospacing="0" w:line="360" w:lineRule="auto"/>
        <w:ind w:firstLine="64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公式中：ΔP——需调整的价格差额；</w:t>
      </w:r>
    </w:p>
    <w:p w14:paraId="6EE50DAB">
      <w:pPr>
        <w:tabs>
          <w:tab w:val="left" w:pos="0"/>
          <w:tab w:val="left" w:pos="360"/>
          <w:tab w:val="left" w:pos="540"/>
        </w:tabs>
        <w:snapToGrid w:val="0"/>
        <w:spacing w:before="0" w:beforeAutospacing="0" w:after="0" w:afterAutospacing="0" w:line="360" w:lineRule="auto"/>
        <w:ind w:firstLine="1440" w:firstLineChars="6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position w:val="-6"/>
          <w:sz w:val="24"/>
          <w:szCs w:val="24"/>
          <w:highlight w:val="none"/>
        </w:rPr>
        <w:object>
          <v:shape id="_x0000_i1026" o:spt="75" type="#_x0000_t75" style="height:17.95pt;width:17.95pt;" o:ole="t" filled="f" stroked="f" coordsize="21600,21600">
            <v:path/>
            <v:fill on="f" focussize="0,0"/>
            <v:stroke on="f"/>
            <v:imagedata r:id="rId19" o:title=""/>
            <o:lock v:ext="edit" aspectratio="t"/>
            <w10:wrap type="none"/>
            <w10:anchorlock/>
          </v:shape>
          <o:OLEObject Type="Embed" ProgID="Equation.KSEE3" ShapeID="_x0000_i1026" DrawAspect="Content" ObjectID="_1468075726" r:id="rId18">
            <o:LockedField>false</o:LockedField>
          </o:OLEObject>
        </w:object>
      </w:r>
      <w:r>
        <w:rPr>
          <w:rFonts w:hint="eastAsia" w:ascii="宋体" w:hAnsi="宋体" w:eastAsia="宋体" w:cs="宋体"/>
          <w:b w:val="0"/>
          <w:i w:val="0"/>
          <w:caps w:val="0"/>
          <w:color w:val="auto"/>
          <w:spacing w:val="0"/>
          <w:w w:val="100"/>
          <w:sz w:val="24"/>
          <w:szCs w:val="24"/>
          <w:highlight w:val="none"/>
        </w:rPr>
        <w:t>——约定的付款证书中承包人应得到的已完成工程量的金额。此项金额应不包括价格调整、不计质量保证金的扣留和支付、预付款的支付和扣回。约定的变更及其他金额已按现行价格计价的，也不计在内；</w:t>
      </w:r>
    </w:p>
    <w:p w14:paraId="7D87B8F7">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A——定值权重（即不调部分的权重）；</w:t>
      </w:r>
    </w:p>
    <w:p w14:paraId="13B20CF9">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position w:val="-10"/>
          <w:sz w:val="24"/>
          <w:szCs w:val="24"/>
          <w:highlight w:val="none"/>
        </w:rPr>
        <w:object>
          <v:shape id="_x0000_i1027" o:spt="75" type="#_x0000_t75" style="height:21.05pt;width:101pt;" o:ole="t" filled="f" stroked="f" coordsize="21600,21600">
            <v:path/>
            <v:fill on="f" focussize="0,0"/>
            <v:stroke on="f"/>
            <v:imagedata r:id="rId21" o:title=""/>
            <o:lock v:ext="edit" aspectratio="t"/>
            <w10:wrap type="none"/>
            <w10:anchorlock/>
          </v:shape>
          <o:OLEObject Type="Embed" ProgID="Equation.KSEE3" ShapeID="_x0000_i1027" DrawAspect="Content" ObjectID="_1468075727" r:id="rId20">
            <o:LockedField>false</o:LockedField>
          </o:OLEObject>
        </w:object>
      </w:r>
      <w:r>
        <w:rPr>
          <w:rFonts w:hint="eastAsia" w:ascii="宋体" w:hAnsi="宋体" w:eastAsia="宋体" w:cs="宋体"/>
          <w:b w:val="0"/>
          <w:i w:val="0"/>
          <w:caps w:val="0"/>
          <w:color w:val="auto"/>
          <w:spacing w:val="0"/>
          <w:w w:val="100"/>
          <w:sz w:val="24"/>
          <w:szCs w:val="24"/>
          <w:highlight w:val="none"/>
        </w:rPr>
        <w:t>——各可调因子的变值权重（即可调部分的权重），为各可调因子在签约合同价中所占的比例；</w:t>
      </w:r>
    </w:p>
    <w:p w14:paraId="77818D8B">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position w:val="-10"/>
          <w:sz w:val="24"/>
          <w:szCs w:val="24"/>
          <w:highlight w:val="none"/>
        </w:rPr>
        <w:object>
          <v:shape id="_x0000_i1028" o:spt="75" type="#_x0000_t75" style="height:20.6pt;width:102.05pt;" o:ole="t" filled="f" stroked="f" coordsize="21600,21600">
            <v:path/>
            <v:fill on="f" focussize="0,0"/>
            <v:stroke on="f"/>
            <v:imagedata r:id="rId23" o:title=""/>
            <o:lock v:ext="edit" aspectratio="t"/>
            <w10:wrap type="none"/>
            <w10:anchorlock/>
          </v:shape>
          <o:OLEObject Type="Embed" ProgID="Equation.KSEE3" ShapeID="_x0000_i1028" DrawAspect="Content" ObjectID="_1468075728" r:id="rId22">
            <o:LockedField>false</o:LockedField>
          </o:OLEObject>
        </w:object>
      </w:r>
      <w:r>
        <w:rPr>
          <w:rFonts w:hint="eastAsia" w:ascii="宋体" w:hAnsi="宋体" w:eastAsia="宋体" w:cs="宋体"/>
          <w:b w:val="0"/>
          <w:i w:val="0"/>
          <w:caps w:val="0"/>
          <w:color w:val="auto"/>
          <w:spacing w:val="0"/>
          <w:w w:val="100"/>
          <w:sz w:val="24"/>
          <w:szCs w:val="24"/>
          <w:highlight w:val="none"/>
        </w:rPr>
        <w:t>——各可调因子的现行价格指数，指约定的付款证书相关周期最后一天的前42天的各可调因子的价格指数；</w:t>
      </w:r>
    </w:p>
    <w:p w14:paraId="49BD1A6B">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position w:val="-10"/>
          <w:sz w:val="24"/>
          <w:szCs w:val="24"/>
          <w:highlight w:val="none"/>
        </w:rPr>
        <w:object>
          <v:shape id="_x0000_i1029" o:spt="75" type="#_x0000_t75" style="height:20.2pt;width:108pt;" o:ole="t" filled="f" stroked="f" coordsize="21600,21600">
            <v:path/>
            <v:fill on="f" focussize="0,0"/>
            <v:stroke on="f"/>
            <v:imagedata r:id="rId25" o:title=""/>
            <o:lock v:ext="edit" aspectratio="t"/>
            <w10:wrap type="none"/>
            <w10:anchorlock/>
          </v:shape>
          <o:OLEObject Type="Embed" ProgID="Equation.KSEE3" ShapeID="_x0000_i1029" DrawAspect="Content" ObjectID="_1468075729" r:id="rId24">
            <o:LockedField>false</o:LockedField>
          </o:OLEObject>
        </w:object>
      </w:r>
      <w:r>
        <w:rPr>
          <w:rFonts w:hint="eastAsia" w:ascii="宋体" w:hAnsi="宋体" w:eastAsia="宋体" w:cs="宋体"/>
          <w:b w:val="0"/>
          <w:i w:val="0"/>
          <w:caps w:val="0"/>
          <w:color w:val="auto"/>
          <w:spacing w:val="0"/>
          <w:w w:val="100"/>
          <w:sz w:val="24"/>
          <w:szCs w:val="24"/>
          <w:highlight w:val="none"/>
        </w:rPr>
        <w:t>——各可调因子的基本价格指数，指基准日期的各可调因子的价格指数。</w:t>
      </w:r>
    </w:p>
    <w:p w14:paraId="4DEE42D6">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以上价格调整公式中的各可调因子、定值和变值权重，以及基本价格指数及其来源在投标函附录价格指数和权重表中约定，非招标订立的合同，由合同当事人在专用合同条款中约定。价格指数应首先采用工程造价管理机构发布的价格指数，无前述价格指数时，可采用工程造价管理机构发布的价格代替。</w:t>
      </w:r>
    </w:p>
    <w:p w14:paraId="37D0712E">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（2）暂时确定调整差额</w:t>
      </w:r>
    </w:p>
    <w:p w14:paraId="3D7ED448">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在计算调整差额时无现行价格指数的，合同当事人同意暂用前次价格指数计算。实际价格指数有调整的，合同当事人进行相应调整。</w:t>
      </w:r>
    </w:p>
    <w:p w14:paraId="0CD8A7F4">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（3）权重的调整</w:t>
      </w:r>
    </w:p>
    <w:p w14:paraId="0F59BD69">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因变更导致合同约定的权重不合理时，按照第4.4款〔商定或确定〕执行。</w:t>
      </w:r>
    </w:p>
    <w:p w14:paraId="72D6234F">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（4）因承包人原因工期延误后的价格调整</w:t>
      </w:r>
    </w:p>
    <w:p w14:paraId="207308E9">
      <w:pPr>
        <w:tabs>
          <w:tab w:val="left" w:pos="0"/>
          <w:tab w:val="left" w:pos="360"/>
          <w:tab w:val="left" w:pos="540"/>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因承包人原因未按期竣工的，对合同约定的竣工日期后继续施工的工程，在使用价格调整公式时，应采用计划竣工日期与实际竣工日期的两个价格指数中较低的一个作为现行价格指数。</w:t>
      </w:r>
    </w:p>
    <w:p w14:paraId="2EAA0135">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第2种方式：采用造价信息进行价格调整。</w:t>
      </w:r>
    </w:p>
    <w:p w14:paraId="7B129FFC">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合同履行期间，因人工、材料、工程设备和机械台班价格波动影响合同价格时，人工、机械使用费按照国家或省、自治区、直辖市建设行政管理部门、行业建设管理部门或其授权的工程造价管理机构发布的人工、机械使用费系数进行调整；需要进行价格调整的材料，其单价和采购数量应由发包人审批，发包人确认需调整的材料单价及数量，作为调整合同价格的依据。</w:t>
      </w:r>
    </w:p>
    <w:p w14:paraId="36C2094E">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人工单价发生变化且符合省级或行业建设主管部门发布的人工费调整规定，合同当事人应按省级或行业建设主管部门或其授权的工程造价管理机构发布的人工费等文件调整合同价格，但承包人对人工费或人工单价的报价高于发布价格的除外。</w:t>
      </w:r>
    </w:p>
    <w:p w14:paraId="47752903">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（2）材料、工程设备价格变化的价款调整按照发包人提供的基准价格，按以下风险范围规定执行:</w:t>
      </w:r>
    </w:p>
    <w:p w14:paraId="73353408">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①承包人在已标价工程量清单或预算书中载明材料单价低于基准价格的：除专用合同条款另有约定外，合同履行期间材料单价涨幅以基准价格为基础超过5%时，或材料单价跌幅以在已标价工程量清单或预算书中载明材料单价为基础超过5%时，其超过部分据实调整。</w:t>
      </w:r>
    </w:p>
    <w:p w14:paraId="62F8EEA9">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②承包人在已标价工程量清单或预算书中载明材料单价高于基准价格的：除专用合同条款另有约定外，合同履行期间材料单价跌幅以基准价格为基础超过5%时，材料单价涨幅以在已标价工程量清单或预算书中载明材料单价为基础超过5%时，其超过部分据实调整。</w:t>
      </w:r>
    </w:p>
    <w:p w14:paraId="6E07D1ED">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③承包人在已标价工程量清单或预算书中载明材料单价等于基准价格的：除专用合同条款另有约定外，合同履行期间材料单价涨跌幅以基准价格为基础超过±5%时，其超过部分据实调整。</w:t>
      </w:r>
    </w:p>
    <w:p w14:paraId="5B933364">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④承包人应在采购材料前将采购数量和新的材料单价报发包人核对，发包人确认用于工程时，发包人应确认采购材料的数量和单价。发包人在收到承包人报送的确认资料后5天内不予答复的视为认可，作为调整合同价格的依据。未经发包人事先核对，承包人自行采购材料的，发包人有权不予调整合同价格。发包人同意的，可以调整合同价格。</w:t>
      </w:r>
    </w:p>
    <w:p w14:paraId="5738CBF4">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25" w:name="OLE_LINK3"/>
      <w:r>
        <w:rPr>
          <w:rFonts w:hint="eastAsia" w:ascii="宋体" w:hAnsi="宋体" w:eastAsia="宋体" w:cs="宋体"/>
          <w:b w:val="0"/>
          <w:i w:val="0"/>
          <w:caps w:val="0"/>
          <w:color w:val="auto"/>
          <w:spacing w:val="0"/>
          <w:w w:val="100"/>
          <w:sz w:val="24"/>
          <w:szCs w:val="24"/>
          <w:highlight w:val="none"/>
        </w:rPr>
        <w:t>前述基准价格是指由发包人在招标文件或专用合同条款中给定的材料、工程设备的价格，该价格原则上应当按照省级或行业建设主管部门或其授权的工程造价管理机构发布的信息价编制。</w:t>
      </w:r>
    </w:p>
    <w:p w14:paraId="25CAAD77">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（3）施工机械台班单价或施工机械使用费发生变化超过省级或行业建设主管部门或其授权的工程造价管理机构规定的范围时，按规定调整合同价格。</w:t>
      </w:r>
    </w:p>
    <w:p w14:paraId="1375924F">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第3种方式：专用合同条款约定的其他方式。</w:t>
      </w:r>
    </w:p>
    <w:p w14:paraId="2F27A28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26" w:name="_Toc351203579"/>
      <w:r>
        <w:rPr>
          <w:rFonts w:hint="eastAsia" w:ascii="宋体" w:hAnsi="宋体" w:eastAsia="宋体" w:cs="宋体"/>
          <w:b w:val="0"/>
          <w:i w:val="0"/>
          <w:caps w:val="0"/>
          <w:color w:val="auto"/>
          <w:spacing w:val="0"/>
          <w:w w:val="100"/>
          <w:sz w:val="24"/>
          <w:szCs w:val="24"/>
          <w:highlight w:val="none"/>
        </w:rPr>
        <w:t>11.2法律变化引起的调整</w:t>
      </w:r>
      <w:bookmarkEnd w:id="626"/>
    </w:p>
    <w:p w14:paraId="585B1B27">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基准日期后，法律变化导致承包人在合同履行过程中所需要的费用发生除第11.1款〔市场价格波动引起的调整〕约定以外的增加时，由发包人承担由此增加的费用；减少时，应从合同价格中予以扣减。基准日期后，因法律变化造成工期延误时，工期应予以顺延。</w:t>
      </w:r>
    </w:p>
    <w:p w14:paraId="650B5D63">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因法律变化引起的合同价格和工期调整，合同当事人无法达成一致的，由总监理工程师按第4.4款〔商定或确定〕的约定处理。</w:t>
      </w:r>
    </w:p>
    <w:p w14:paraId="0D042E72">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因承包人原因造成工期延误，在工期延误期间出现法律变化的，由此增加的费用和（或）延误的工期由承包人承担。</w:t>
      </w:r>
    </w:p>
    <w:p w14:paraId="14F9843F">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27" w:name="_Toc351203580"/>
      <w:bookmarkStart w:id="628" w:name="_Toc27715"/>
      <w:bookmarkStart w:id="629" w:name="_Toc296503096"/>
      <w:bookmarkStart w:id="630" w:name="_Toc296346597"/>
      <w:r>
        <w:rPr>
          <w:rFonts w:hint="eastAsia" w:ascii="宋体" w:hAnsi="宋体" w:eastAsia="宋体" w:cs="宋体"/>
          <w:b w:val="0"/>
          <w:i w:val="0"/>
          <w:caps w:val="0"/>
          <w:color w:val="auto"/>
          <w:spacing w:val="0"/>
          <w:w w:val="100"/>
          <w:sz w:val="24"/>
          <w:szCs w:val="24"/>
          <w:highlight w:val="none"/>
        </w:rPr>
        <w:t>12. 合同价格、计量与支付</w:t>
      </w:r>
      <w:bookmarkEnd w:id="627"/>
      <w:bookmarkEnd w:id="628"/>
    </w:p>
    <w:p w14:paraId="4C6226B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31" w:name="_Toc351203581"/>
      <w:r>
        <w:rPr>
          <w:rFonts w:hint="eastAsia" w:ascii="宋体" w:hAnsi="宋体" w:eastAsia="宋体" w:cs="宋体"/>
          <w:b w:val="0"/>
          <w:i w:val="0"/>
          <w:caps w:val="0"/>
          <w:color w:val="auto"/>
          <w:spacing w:val="0"/>
          <w:w w:val="100"/>
          <w:sz w:val="24"/>
          <w:szCs w:val="24"/>
          <w:highlight w:val="none"/>
        </w:rPr>
        <w:t>12.1 合同价</w:t>
      </w:r>
      <w:bookmarkEnd w:id="629"/>
      <w:bookmarkEnd w:id="630"/>
      <w:r>
        <w:rPr>
          <w:rFonts w:hint="eastAsia" w:ascii="宋体" w:hAnsi="宋体" w:eastAsia="宋体" w:cs="宋体"/>
          <w:b w:val="0"/>
          <w:i w:val="0"/>
          <w:caps w:val="0"/>
          <w:color w:val="auto"/>
          <w:spacing w:val="0"/>
          <w:w w:val="100"/>
          <w:sz w:val="24"/>
          <w:szCs w:val="24"/>
          <w:highlight w:val="none"/>
        </w:rPr>
        <w:t>格形式</w:t>
      </w:r>
      <w:bookmarkEnd w:id="631"/>
    </w:p>
    <w:p w14:paraId="2964213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发包人和承包人应在合同协议书中选择下列一种合同价格形式： </w:t>
      </w:r>
    </w:p>
    <w:p w14:paraId="21FB36B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w:t>
      </w:r>
      <w:r>
        <w:rPr>
          <w:rFonts w:hint="eastAsia" w:ascii="宋体" w:hAnsi="宋体" w:eastAsia="宋体" w:cs="宋体"/>
          <w:b w:val="0"/>
          <w:i w:val="0"/>
          <w:caps w:val="0"/>
          <w:color w:val="auto"/>
          <w:spacing w:val="0"/>
          <w:w w:val="100"/>
          <w:kern w:val="0"/>
          <w:sz w:val="24"/>
          <w:szCs w:val="24"/>
          <w:highlight w:val="none"/>
          <w:lang w:val="en-US" w:eastAsia="zh-CN"/>
        </w:rPr>
        <w:t>.</w:t>
      </w:r>
      <w:r>
        <w:rPr>
          <w:rFonts w:hint="eastAsia" w:ascii="宋体" w:hAnsi="宋体" w:eastAsia="宋体" w:cs="宋体"/>
          <w:b w:val="0"/>
          <w:i w:val="0"/>
          <w:caps w:val="0"/>
          <w:color w:val="auto"/>
          <w:spacing w:val="0"/>
          <w:w w:val="100"/>
          <w:kern w:val="0"/>
          <w:sz w:val="24"/>
          <w:szCs w:val="24"/>
          <w:highlight w:val="none"/>
        </w:rPr>
        <w:t>单价合同</w:t>
      </w:r>
    </w:p>
    <w:p w14:paraId="11F8539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单价合同是指合同当事人约定以工程量清单及其综合单价进行合同价格计算、调整和确认的建设工程施工合同，</w:t>
      </w:r>
      <w:r>
        <w:rPr>
          <w:rFonts w:hint="eastAsia" w:ascii="宋体" w:hAnsi="宋体" w:eastAsia="宋体" w:cs="宋体"/>
          <w:b w:val="0"/>
          <w:i w:val="0"/>
          <w:caps w:val="0"/>
          <w:color w:val="auto"/>
          <w:spacing w:val="0"/>
          <w:w w:val="100"/>
          <w:sz w:val="24"/>
          <w:szCs w:val="24"/>
          <w:highlight w:val="none"/>
        </w:rPr>
        <w:t>在约定的范围内合同单价不作调整</w:t>
      </w:r>
      <w:r>
        <w:rPr>
          <w:rFonts w:hint="eastAsia" w:ascii="宋体" w:hAnsi="宋体" w:eastAsia="宋体" w:cs="宋体"/>
          <w:b w:val="0"/>
          <w:i w:val="0"/>
          <w:caps w:val="0"/>
          <w:color w:val="auto"/>
          <w:spacing w:val="0"/>
          <w:w w:val="100"/>
          <w:kern w:val="0"/>
          <w:sz w:val="24"/>
          <w:szCs w:val="24"/>
          <w:highlight w:val="none"/>
        </w:rPr>
        <w:t>。合同当事人应在专用合同条款中约定综合单价包含的风险范围和风险费用的计算方法</w:t>
      </w:r>
      <w:r>
        <w:rPr>
          <w:rFonts w:hint="eastAsia" w:ascii="宋体" w:hAnsi="宋体" w:eastAsia="宋体" w:cs="宋体"/>
          <w:b w:val="0"/>
          <w:i w:val="0"/>
          <w:caps w:val="0"/>
          <w:color w:val="auto"/>
          <w:spacing w:val="0"/>
          <w:w w:val="100"/>
          <w:sz w:val="24"/>
          <w:szCs w:val="24"/>
          <w:highlight w:val="none"/>
        </w:rPr>
        <w:t>，</w:t>
      </w:r>
      <w:r>
        <w:rPr>
          <w:rFonts w:hint="eastAsia" w:ascii="宋体" w:hAnsi="宋体" w:eastAsia="宋体" w:cs="宋体"/>
          <w:b w:val="0"/>
          <w:i w:val="0"/>
          <w:caps w:val="0"/>
          <w:color w:val="auto"/>
          <w:spacing w:val="0"/>
          <w:w w:val="100"/>
          <w:kern w:val="0"/>
          <w:sz w:val="24"/>
          <w:szCs w:val="24"/>
          <w:highlight w:val="none"/>
        </w:rPr>
        <w:t>并约定风险范围以外的合同价格的调整方法，其中因市场价格波动引起的调整按第11.1款〔市场价格波动引起的调整〕约定执行。</w:t>
      </w:r>
    </w:p>
    <w:p w14:paraId="53CE841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w:t>
      </w:r>
      <w:r>
        <w:rPr>
          <w:rFonts w:hint="eastAsia" w:ascii="宋体" w:hAnsi="宋体" w:eastAsia="宋体" w:cs="宋体"/>
          <w:b w:val="0"/>
          <w:i w:val="0"/>
          <w:caps w:val="0"/>
          <w:color w:val="auto"/>
          <w:spacing w:val="0"/>
          <w:w w:val="100"/>
          <w:kern w:val="0"/>
          <w:sz w:val="24"/>
          <w:szCs w:val="24"/>
          <w:highlight w:val="none"/>
          <w:lang w:val="en-US" w:eastAsia="zh-CN"/>
        </w:rPr>
        <w:t>.</w:t>
      </w:r>
      <w:r>
        <w:rPr>
          <w:rFonts w:hint="eastAsia" w:ascii="宋体" w:hAnsi="宋体" w:eastAsia="宋体" w:cs="宋体"/>
          <w:b w:val="0"/>
          <w:i w:val="0"/>
          <w:caps w:val="0"/>
          <w:color w:val="auto"/>
          <w:spacing w:val="0"/>
          <w:w w:val="100"/>
          <w:kern w:val="0"/>
          <w:sz w:val="24"/>
          <w:szCs w:val="24"/>
          <w:highlight w:val="none"/>
        </w:rPr>
        <w:t>总价合同</w:t>
      </w:r>
    </w:p>
    <w:p w14:paraId="381F565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总价合同是指合同当事人约定以施工图、已标价工程量清单或预算书及有关条件进行合同价格计算、调整和确认的建设工程施工合同，</w:t>
      </w:r>
      <w:r>
        <w:rPr>
          <w:rFonts w:hint="eastAsia" w:ascii="宋体" w:hAnsi="宋体" w:eastAsia="宋体" w:cs="宋体"/>
          <w:b w:val="0"/>
          <w:i w:val="0"/>
          <w:caps w:val="0"/>
          <w:color w:val="auto"/>
          <w:spacing w:val="0"/>
          <w:w w:val="100"/>
          <w:sz w:val="24"/>
          <w:szCs w:val="24"/>
          <w:highlight w:val="none"/>
        </w:rPr>
        <w:t>在约定的范围内合同总价不作调整</w:t>
      </w:r>
      <w:r>
        <w:rPr>
          <w:rFonts w:hint="eastAsia" w:ascii="宋体" w:hAnsi="宋体" w:eastAsia="宋体" w:cs="宋体"/>
          <w:b w:val="0"/>
          <w:i w:val="0"/>
          <w:caps w:val="0"/>
          <w:color w:val="auto"/>
          <w:spacing w:val="0"/>
          <w:w w:val="100"/>
          <w:kern w:val="0"/>
          <w:sz w:val="24"/>
          <w:szCs w:val="24"/>
          <w:highlight w:val="none"/>
        </w:rPr>
        <w:t>。合同当事人应在专用合同条款中约定总价包含的风险范围和风险费用的计算方法，并约定风险范围以外的合同价格的调整方法，其中因市场价格波动引起的调整按第11.1款〔市场价格波动引起的调整〕、因法律变化引起的调整按第11.2款〔法律变化引起的调整〕约定执行。</w:t>
      </w:r>
    </w:p>
    <w:p w14:paraId="6A002C5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w:t>
      </w:r>
      <w:r>
        <w:rPr>
          <w:rFonts w:hint="eastAsia" w:ascii="宋体" w:hAnsi="宋体" w:eastAsia="宋体" w:cs="宋体"/>
          <w:b w:val="0"/>
          <w:i w:val="0"/>
          <w:caps w:val="0"/>
          <w:color w:val="auto"/>
          <w:spacing w:val="0"/>
          <w:w w:val="100"/>
          <w:kern w:val="0"/>
          <w:sz w:val="24"/>
          <w:szCs w:val="24"/>
          <w:highlight w:val="none"/>
          <w:lang w:val="en-US" w:eastAsia="zh-CN"/>
        </w:rPr>
        <w:t>.</w:t>
      </w:r>
      <w:r>
        <w:rPr>
          <w:rFonts w:hint="eastAsia" w:ascii="宋体" w:hAnsi="宋体" w:eastAsia="宋体" w:cs="宋体"/>
          <w:b w:val="0"/>
          <w:i w:val="0"/>
          <w:caps w:val="0"/>
          <w:color w:val="auto"/>
          <w:spacing w:val="0"/>
          <w:w w:val="100"/>
          <w:kern w:val="0"/>
          <w:sz w:val="24"/>
          <w:szCs w:val="24"/>
          <w:highlight w:val="none"/>
        </w:rPr>
        <w:t>其它价格形式</w:t>
      </w:r>
    </w:p>
    <w:p w14:paraId="7D3510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合同当事人可在专用合同条款中约定其他合同价格形式。</w:t>
      </w:r>
    </w:p>
    <w:p w14:paraId="20B03DD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32" w:name="_Toc296503097"/>
      <w:bookmarkStart w:id="633" w:name="_Toc296346598"/>
      <w:bookmarkStart w:id="634" w:name="_Toc351203582"/>
      <w:r>
        <w:rPr>
          <w:rFonts w:hint="eastAsia" w:ascii="宋体" w:hAnsi="宋体" w:eastAsia="宋体" w:cs="宋体"/>
          <w:b w:val="0"/>
          <w:i w:val="0"/>
          <w:caps w:val="0"/>
          <w:color w:val="auto"/>
          <w:spacing w:val="0"/>
          <w:w w:val="100"/>
          <w:sz w:val="24"/>
          <w:szCs w:val="24"/>
          <w:highlight w:val="none"/>
        </w:rPr>
        <w:t>12.2预</w:t>
      </w:r>
      <w:bookmarkEnd w:id="632"/>
      <w:bookmarkEnd w:id="633"/>
      <w:r>
        <w:rPr>
          <w:rFonts w:hint="eastAsia" w:ascii="宋体" w:hAnsi="宋体" w:eastAsia="宋体" w:cs="宋体"/>
          <w:b w:val="0"/>
          <w:i w:val="0"/>
          <w:caps w:val="0"/>
          <w:color w:val="auto"/>
          <w:spacing w:val="0"/>
          <w:w w:val="100"/>
          <w:sz w:val="24"/>
          <w:szCs w:val="24"/>
          <w:highlight w:val="none"/>
        </w:rPr>
        <w:t>付款</w:t>
      </w:r>
      <w:bookmarkEnd w:id="634"/>
    </w:p>
    <w:p w14:paraId="672D6B6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12.2.</w:t>
      </w:r>
      <w:r>
        <w:rPr>
          <w:rFonts w:hint="eastAsia" w:ascii="宋体" w:hAnsi="宋体" w:eastAsia="宋体" w:cs="宋体"/>
          <w:b w:val="0"/>
          <w:i w:val="0"/>
          <w:caps w:val="0"/>
          <w:color w:val="auto"/>
          <w:spacing w:val="0"/>
          <w:w w:val="100"/>
          <w:kern w:val="0"/>
          <w:sz w:val="24"/>
          <w:szCs w:val="24"/>
          <w:highlight w:val="none"/>
        </w:rPr>
        <w:t>1预付款的支付</w:t>
      </w:r>
    </w:p>
    <w:p w14:paraId="307916F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预付款的支付按照专用合同条款约定执行，但至迟应在开工通知载明的开工日期7天前支付。预付款应当用于材料、工程设备、施工设备的采购及修建临时工程、组织施工队伍进场等。</w:t>
      </w:r>
    </w:p>
    <w:p w14:paraId="769CA6C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除专用合同条款另有约定外，预付款在进度付款中同比例扣回。</w:t>
      </w:r>
      <w:bookmarkEnd w:id="625"/>
      <w:r>
        <w:rPr>
          <w:rFonts w:hint="eastAsia" w:ascii="宋体" w:hAnsi="宋体" w:eastAsia="宋体" w:cs="宋体"/>
          <w:b w:val="0"/>
          <w:i w:val="0"/>
          <w:caps w:val="0"/>
          <w:color w:val="auto"/>
          <w:spacing w:val="0"/>
          <w:w w:val="100"/>
          <w:kern w:val="0"/>
          <w:sz w:val="24"/>
          <w:szCs w:val="24"/>
          <w:highlight w:val="none"/>
        </w:rPr>
        <w:t>在颁发工程接收证书前，提前解除合同的，尚未扣完的预付款应与合同价款一并结算。</w:t>
      </w:r>
    </w:p>
    <w:p w14:paraId="4F959D9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发包人逾期支付预付款超过7天的，承包人有权向发包人发出要求预付的催告通知，发包人收到通知后7天内仍未支付的，承包人有权暂停施工，并按第16.1.1项〔发包人违约的情形〕执行。</w:t>
      </w:r>
    </w:p>
    <w:p w14:paraId="74C66FA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12.2.2 预付款担保</w:t>
      </w:r>
    </w:p>
    <w:p w14:paraId="73B7EA1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要求承包人提供预付款担保的，承包人应在发包人支付预付款7天前提供预付款担保，专用合同条款另有约定除外。预付款担保可采用银行保函、担保公司担保等形式，具体由合同当事人在专用合同条款中约定。在预付款完全扣回之前，承包人应保证预付款担保持续有效。</w:t>
      </w:r>
    </w:p>
    <w:p w14:paraId="16D58DD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发包人在工程款中逐期扣回预付款后，预付款担保额度应相应减少，但剩余的预付款担保金额不得低于未被扣回的预付款金额。</w:t>
      </w:r>
    </w:p>
    <w:p w14:paraId="4DE48533">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35" w:name="_Toc351203583"/>
      <w:r>
        <w:rPr>
          <w:rFonts w:hint="eastAsia" w:ascii="宋体" w:hAnsi="宋体" w:eastAsia="宋体" w:cs="宋体"/>
          <w:b w:val="0"/>
          <w:i w:val="0"/>
          <w:caps w:val="0"/>
          <w:color w:val="auto"/>
          <w:spacing w:val="0"/>
          <w:w w:val="100"/>
          <w:sz w:val="24"/>
          <w:szCs w:val="24"/>
          <w:highlight w:val="none"/>
        </w:rPr>
        <w:t>12.3计量</w:t>
      </w:r>
      <w:bookmarkEnd w:id="635"/>
    </w:p>
    <w:p w14:paraId="6A3C5AD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12.3.1 计量原则</w:t>
      </w:r>
    </w:p>
    <w:p w14:paraId="09072F4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工程量计量按照合同约定的工程量计算规则、图纸及变更指示等进行计量。工程量计算规则应以相关的国家标准、行业标准等为依据，由合同当事人在专用合同条款中约定。</w:t>
      </w:r>
    </w:p>
    <w:p w14:paraId="0FBEB00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12.3.2 计量周期</w:t>
      </w:r>
    </w:p>
    <w:p w14:paraId="7DCA943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除专用合同条款另有约定外，工程量的计量按月进行。</w:t>
      </w:r>
    </w:p>
    <w:p w14:paraId="41BA46C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12.3.3 单价合同的计量</w:t>
      </w:r>
    </w:p>
    <w:p w14:paraId="606707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除专用合同条款另有约定外，单价合同的计量按照本项约定执行：</w:t>
      </w:r>
    </w:p>
    <w:p w14:paraId="5F837A6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（1）承包人应于每月25日向监理人报送上月20日至当月19日已完成的工程量报告，并附具进度付款申请单、已完成工程量报表和有关资料。</w:t>
      </w:r>
    </w:p>
    <w:p w14:paraId="08337A3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复核或修正的工程量视为承包人实际完成的工程量。</w:t>
      </w:r>
    </w:p>
    <w:p w14:paraId="5FBBE7C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（3）监理人未在收到承包人提交的工程量报表后的7天内完成审核的，承包人报送的工程量报告中的工程量视为承包人实际完成的工程量，据此计算工程价款。</w:t>
      </w:r>
    </w:p>
    <w:p w14:paraId="67333F0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12.3.4 总价合同的计量</w:t>
      </w:r>
    </w:p>
    <w:p w14:paraId="698C704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除专用合同条款另有约定外，按月计量支付的总价合同，按照本项约定执行：</w:t>
      </w:r>
    </w:p>
    <w:p w14:paraId="71DBFE1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（1）承包人应于每月25日向监理人报送上月20日至当月19日已完成的工程量报告，并附具进度付款申请单、已完成工程量报表和有关资料。</w:t>
      </w:r>
    </w:p>
    <w:p w14:paraId="59417BF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监理人应在收到承包人提交的工程量报告后7天内完成对承包人提交的工程量报表的审核并报送发包人，以确定当月实际完成的工程量。监理人对工程量有异议的，有权要求承包人进行共同复核或抽样复测。承包人应协助监理人进行复核或抽样复测并按监理人要求提供补充计量资料。承包人未按监理人要求参加复核或抽样复测的，监理人审核或修正的工程量视为承包人实际完成的工程量。</w:t>
      </w:r>
    </w:p>
    <w:p w14:paraId="700AB45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（3）监理人未在收到承包人提交的工程量报表后的7天内完成复核的，承包人提交的工程量报告中的工程量视为承包人实际完成的工程量。</w:t>
      </w:r>
    </w:p>
    <w:p w14:paraId="037DF96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12.3.5 总价合同采用支付分解表计量支付的，可以按照第12.3.4项〔总价合同的计量〕约定进行计量，但合同价款按照支付分解表进行支付。</w:t>
      </w:r>
    </w:p>
    <w:p w14:paraId="50D8040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12.3.6 其他价格形式合同的计量</w:t>
      </w:r>
    </w:p>
    <w:p w14:paraId="39D893C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合同当事人可在专用合同条款中约定其他价格形式合同的计量方式和程序。</w:t>
      </w:r>
    </w:p>
    <w:p w14:paraId="660A8827">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36" w:name="_Toc296346602"/>
      <w:bookmarkStart w:id="637" w:name="_Toc296503101"/>
      <w:bookmarkStart w:id="638" w:name="_Toc351203584"/>
      <w:r>
        <w:rPr>
          <w:rFonts w:hint="eastAsia" w:ascii="宋体" w:hAnsi="宋体" w:eastAsia="宋体" w:cs="宋体"/>
          <w:b w:val="0"/>
          <w:i w:val="0"/>
          <w:caps w:val="0"/>
          <w:color w:val="auto"/>
          <w:spacing w:val="0"/>
          <w:w w:val="100"/>
          <w:sz w:val="24"/>
          <w:szCs w:val="24"/>
          <w:highlight w:val="none"/>
        </w:rPr>
        <w:t>12.4工程进度款支</w:t>
      </w:r>
      <w:bookmarkEnd w:id="636"/>
      <w:bookmarkEnd w:id="637"/>
      <w:r>
        <w:rPr>
          <w:rFonts w:hint="eastAsia" w:ascii="宋体" w:hAnsi="宋体" w:eastAsia="宋体" w:cs="宋体"/>
          <w:b w:val="0"/>
          <w:i w:val="0"/>
          <w:caps w:val="0"/>
          <w:color w:val="auto"/>
          <w:spacing w:val="0"/>
          <w:w w:val="100"/>
          <w:sz w:val="24"/>
          <w:szCs w:val="24"/>
          <w:highlight w:val="none"/>
        </w:rPr>
        <w:t>付</w:t>
      </w:r>
      <w:bookmarkEnd w:id="638"/>
    </w:p>
    <w:p w14:paraId="4326015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12.4</w:t>
      </w:r>
      <w:r>
        <w:rPr>
          <w:rFonts w:hint="eastAsia" w:ascii="宋体" w:hAnsi="宋体" w:eastAsia="宋体" w:cs="宋体"/>
          <w:b w:val="0"/>
          <w:i w:val="0"/>
          <w:caps w:val="0"/>
          <w:color w:val="auto"/>
          <w:spacing w:val="0"/>
          <w:w w:val="100"/>
          <w:kern w:val="0"/>
          <w:sz w:val="24"/>
          <w:szCs w:val="24"/>
          <w:highlight w:val="none"/>
        </w:rPr>
        <w:t>.1 付款周期</w:t>
      </w:r>
    </w:p>
    <w:p w14:paraId="3670950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除专用合同条款另有约定外，付款周期应按照第12.3.2项〔计量周期〕的约定与计量周期保持一致。</w:t>
      </w:r>
    </w:p>
    <w:p w14:paraId="2D360B0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12.4</w:t>
      </w:r>
      <w:r>
        <w:rPr>
          <w:rFonts w:hint="eastAsia" w:ascii="宋体" w:hAnsi="宋体" w:eastAsia="宋体" w:cs="宋体"/>
          <w:b w:val="0"/>
          <w:i w:val="0"/>
          <w:caps w:val="0"/>
          <w:color w:val="auto"/>
          <w:spacing w:val="0"/>
          <w:w w:val="100"/>
          <w:kern w:val="0"/>
          <w:sz w:val="24"/>
          <w:szCs w:val="24"/>
          <w:highlight w:val="none"/>
        </w:rPr>
        <w:t>.2 进度付款申请单的编制</w:t>
      </w:r>
    </w:p>
    <w:p w14:paraId="6181A56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除专用合同条款另有约定外，进度付款申请单应包括下列内容：</w:t>
      </w:r>
    </w:p>
    <w:p w14:paraId="6308C94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（1）截至本次付款周期已完成工作对应的金额；</w:t>
      </w:r>
    </w:p>
    <w:p w14:paraId="457B20F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（2）根据第10条〔变更〕应增加和扣减的变更金额；</w:t>
      </w:r>
    </w:p>
    <w:p w14:paraId="2387641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（3）根据第12.2款〔预付款〕约定应支付的预付款和扣减的返还预付款；</w:t>
      </w:r>
    </w:p>
    <w:p w14:paraId="1F9160B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（4）根据第15.3款〔质量保证金〕约定应扣减的质量保证金；</w:t>
      </w:r>
    </w:p>
    <w:p w14:paraId="19C7562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（5）根据第19条〔索赔〕应增加和扣减的索赔金额；</w:t>
      </w:r>
    </w:p>
    <w:p w14:paraId="413549E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（6）对已签发的进度款支付证书中出现错误的修正，应在本次进度付款中支付或扣除的金额；</w:t>
      </w:r>
    </w:p>
    <w:p w14:paraId="44BDDB3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（7）根据合同约定应增加和扣减的其他金额。</w:t>
      </w:r>
    </w:p>
    <w:p w14:paraId="443C39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12.4.3 进度付款申请单的提交</w:t>
      </w:r>
    </w:p>
    <w:p w14:paraId="783DCE6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（1）单价合同进度付款申请单的提交</w:t>
      </w:r>
    </w:p>
    <w:p w14:paraId="59E6473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单价合同的进度付款申请单，按照第12.3.3项〔单价合同的计量〕约定的时间按月向监理人提交，并附上已完成工程量报表和有关资料。单价合同中的总价项目按月进行支付分解，并汇总列入当期进度付款申请单。</w:t>
      </w:r>
    </w:p>
    <w:p w14:paraId="278FD9D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（2）总价合同进度付款申请单的提交</w:t>
      </w:r>
    </w:p>
    <w:p w14:paraId="1B9B2F6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总价合同按月计量支付的，承包人按照第12.3.4项〔总价合同的计量〕约定的时间按月向监理人提交进度付款申请单，并附上已完成工程量报表和有关资料。</w:t>
      </w:r>
    </w:p>
    <w:p w14:paraId="5A09687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总价合同按支付分解表支付的，承包人应按照第12.4.6项〔支付分解表〕及第12.4.2项〔进度付款申请单的编制〕的约定向监理人提交进度付款申请单。</w:t>
      </w:r>
    </w:p>
    <w:p w14:paraId="5E1E2E3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（3）其他价格形式合同的进度付款申请单的提交</w:t>
      </w:r>
    </w:p>
    <w:p w14:paraId="4E4F0A4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合同当事人可在专用合同条款中约定其他价格形式合同的进度付款申请单的编制和提交程序。</w:t>
      </w:r>
    </w:p>
    <w:p w14:paraId="6D1C152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12.4</w:t>
      </w:r>
      <w:r>
        <w:rPr>
          <w:rFonts w:hint="eastAsia" w:ascii="宋体" w:hAnsi="宋体" w:eastAsia="宋体" w:cs="宋体"/>
          <w:b w:val="0"/>
          <w:i w:val="0"/>
          <w:caps w:val="0"/>
          <w:color w:val="auto"/>
          <w:spacing w:val="0"/>
          <w:w w:val="100"/>
          <w:kern w:val="0"/>
          <w:sz w:val="24"/>
          <w:szCs w:val="24"/>
          <w:highlight w:val="none"/>
        </w:rPr>
        <w:t>.4 进度款审核和支付</w:t>
      </w:r>
    </w:p>
    <w:p w14:paraId="0494C11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专用合同条款另有约定外，监理人应在收到承包人进度付款申请单以及相关资料后7天内完成审查并报送发包人，发包人应在收到后7天内完成审批并签发进度款支付证书。发包人逾期未完成审批且未提出异议的，视为已签发进度款支付证书。</w:t>
      </w:r>
    </w:p>
    <w:p w14:paraId="231DD3F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和监理人对承包人的进度付款申请单有异议的，有权要求承包人修正和提供补充资料，承包人应提交修正后的进度付款申请单。监理人应在收到承包人修正后的进度付款申请单及相关资料后7天内完成审查并报送发包人，发包人应在收到监理人报送的进度付款申请单及相关资料后7天内，向承包人签发无异议部分的临时进度款支付证书。存在争议的部分，按照第20条〔争议解决〕的约定处理。</w:t>
      </w:r>
    </w:p>
    <w:p w14:paraId="44DD960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（2）除专用合同条款另有约定外，发包人应在进度款支付证书或临时进度款支付证书签发后14天内完成支付，发包人逾期支付进度款的，应按照中国人民银行发布的同期同类贷款基准利率支付违约金。</w:t>
      </w:r>
    </w:p>
    <w:p w14:paraId="399EDAE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（3）发包人签发进度款支付证书或临时进度款支付证书，不表明发包人已同意、批准或接受了承包人完成的相应部分的工作。</w:t>
      </w:r>
    </w:p>
    <w:p w14:paraId="49A0628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12.4.5 进度付款的修正</w:t>
      </w:r>
    </w:p>
    <w:p w14:paraId="7D302FF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在对已签发的进度款支付证书进行阶段汇总和复核中发现错误、遗漏或重复的，发包人和承包人均有权提出修正申请。经发包人和承包人同意的修正，应在下期进度付款中支付或扣除。</w:t>
      </w:r>
    </w:p>
    <w:p w14:paraId="719DD72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12.4.6 支付分解表</w:t>
      </w:r>
    </w:p>
    <w:p w14:paraId="4F4C020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w:t>
      </w:r>
      <w:r>
        <w:rPr>
          <w:rFonts w:hint="eastAsia" w:ascii="宋体" w:hAnsi="宋体" w:eastAsia="宋体" w:cs="宋体"/>
          <w:b w:val="0"/>
          <w:i w:val="0"/>
          <w:caps w:val="0"/>
          <w:color w:val="auto"/>
          <w:spacing w:val="0"/>
          <w:w w:val="100"/>
          <w:kern w:val="0"/>
          <w:sz w:val="24"/>
          <w:szCs w:val="24"/>
          <w:highlight w:val="none"/>
          <w:lang w:val="en-US" w:eastAsia="zh-CN"/>
        </w:rPr>
        <w:t>.</w:t>
      </w:r>
      <w:r>
        <w:rPr>
          <w:rFonts w:hint="eastAsia" w:ascii="宋体" w:hAnsi="宋体" w:eastAsia="宋体" w:cs="宋体"/>
          <w:b w:val="0"/>
          <w:i w:val="0"/>
          <w:caps w:val="0"/>
          <w:color w:val="auto"/>
          <w:spacing w:val="0"/>
          <w:w w:val="100"/>
          <w:kern w:val="0"/>
          <w:sz w:val="24"/>
          <w:szCs w:val="24"/>
          <w:highlight w:val="none"/>
        </w:rPr>
        <w:t>支付分解表的编制要求</w:t>
      </w:r>
    </w:p>
    <w:p w14:paraId="5C08E26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（1）支付分解表中所列的每期付款金额，应为第12.4.2项〔进度付款申请单的编制〕第（1）目的估算金额；</w:t>
      </w:r>
    </w:p>
    <w:p w14:paraId="29BF44B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（2）实际进度与施工进度计划不一致的，合同当事人可按照第4.4款〔商定或确定〕修改支付分解表；</w:t>
      </w:r>
    </w:p>
    <w:p w14:paraId="38B2F3A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（3）不采用支付分解表的，承包人应向发包人和监理人提交按季度编制的支付估算分解表，用于支付参考。</w:t>
      </w:r>
    </w:p>
    <w:p w14:paraId="1043D98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w:t>
      </w:r>
      <w:r>
        <w:rPr>
          <w:rFonts w:hint="eastAsia" w:ascii="宋体" w:hAnsi="宋体" w:eastAsia="宋体" w:cs="宋体"/>
          <w:b w:val="0"/>
          <w:i w:val="0"/>
          <w:caps w:val="0"/>
          <w:color w:val="auto"/>
          <w:spacing w:val="0"/>
          <w:w w:val="100"/>
          <w:kern w:val="0"/>
          <w:sz w:val="24"/>
          <w:szCs w:val="24"/>
          <w:highlight w:val="none"/>
          <w:lang w:val="en-US" w:eastAsia="zh-CN"/>
        </w:rPr>
        <w:t>.</w:t>
      </w:r>
      <w:r>
        <w:rPr>
          <w:rFonts w:hint="eastAsia" w:ascii="宋体" w:hAnsi="宋体" w:eastAsia="宋体" w:cs="宋体"/>
          <w:b w:val="0"/>
          <w:i w:val="0"/>
          <w:caps w:val="0"/>
          <w:color w:val="auto"/>
          <w:spacing w:val="0"/>
          <w:w w:val="100"/>
          <w:kern w:val="0"/>
          <w:sz w:val="24"/>
          <w:szCs w:val="24"/>
          <w:highlight w:val="none"/>
        </w:rPr>
        <w:t>总价合同支付分解表的编制与审批</w:t>
      </w:r>
    </w:p>
    <w:p w14:paraId="4AC9D3F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专用合同条款另有约定外，承包人应根据第7.2款〔施工进度计划〕约定的施工进度计划、签约合同价和工程量等因素对总价合同按月进行分解，编制支付分解表。承包人应当在收到监理人和发包人批准的施工进度计划后7天内，将支付分解表及编制支付分解表的支持性资料报送监理人。</w:t>
      </w:r>
    </w:p>
    <w:p w14:paraId="51DCB6B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（2）监理人应在收到支付分解表后7天内完成审核并报送发包人。发包人应在收到经监理人审核的支付分解表后7天内完成审批，经发包人批准的支付分解表为有约束力的支付分解表。</w:t>
      </w:r>
    </w:p>
    <w:p w14:paraId="68781D59">
      <w:pPr>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（3）发包人逾期未完成支付分解表审批的，也未及时要求承包人进行修正和提供补充资料的，则承包人提交的支付分解表视为已经获得发包人批准。</w:t>
      </w:r>
    </w:p>
    <w:p w14:paraId="17C9D6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w:t>
      </w:r>
      <w:r>
        <w:rPr>
          <w:rFonts w:hint="eastAsia" w:ascii="宋体" w:hAnsi="宋体" w:eastAsia="宋体" w:cs="宋体"/>
          <w:b w:val="0"/>
          <w:i w:val="0"/>
          <w:caps w:val="0"/>
          <w:color w:val="auto"/>
          <w:spacing w:val="0"/>
          <w:w w:val="100"/>
          <w:kern w:val="0"/>
          <w:sz w:val="24"/>
          <w:szCs w:val="24"/>
          <w:highlight w:val="none"/>
          <w:lang w:val="en-US" w:eastAsia="zh-CN"/>
        </w:rPr>
        <w:t>.</w:t>
      </w:r>
      <w:r>
        <w:rPr>
          <w:rFonts w:hint="eastAsia" w:ascii="宋体" w:hAnsi="宋体" w:eastAsia="宋体" w:cs="宋体"/>
          <w:b w:val="0"/>
          <w:i w:val="0"/>
          <w:caps w:val="0"/>
          <w:color w:val="auto"/>
          <w:spacing w:val="0"/>
          <w:w w:val="100"/>
          <w:kern w:val="0"/>
          <w:sz w:val="24"/>
          <w:szCs w:val="24"/>
          <w:highlight w:val="none"/>
        </w:rPr>
        <w:t>单价合同的总价项目支付分解表的编制与审批</w:t>
      </w:r>
    </w:p>
    <w:p w14:paraId="1E6507C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单价合同的总价项目，由承包人根据施工进度计划和总价项目的总价构成、费用性质、计划发生时间和相应工程量等因素按月进行分解，形成支付分解表，其编制与审批参照总价合同支付分解表的编制与审批执行。</w:t>
      </w:r>
    </w:p>
    <w:p w14:paraId="1DAFFF9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39" w:name="_Toc351203585"/>
      <w:r>
        <w:rPr>
          <w:rFonts w:hint="eastAsia" w:ascii="宋体" w:hAnsi="宋体" w:eastAsia="宋体" w:cs="宋体"/>
          <w:b w:val="0"/>
          <w:i w:val="0"/>
          <w:caps w:val="0"/>
          <w:color w:val="auto"/>
          <w:spacing w:val="0"/>
          <w:w w:val="100"/>
          <w:sz w:val="24"/>
          <w:szCs w:val="24"/>
          <w:highlight w:val="none"/>
        </w:rPr>
        <w:t>12.5支付账户</w:t>
      </w:r>
      <w:bookmarkEnd w:id="639"/>
    </w:p>
    <w:p w14:paraId="5E32F5D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发包人应将合同价款支付至合同协议书中约定的承包人账户。</w:t>
      </w:r>
    </w:p>
    <w:p w14:paraId="2FE686AB">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40" w:name="_Toc351203586"/>
      <w:bookmarkStart w:id="641" w:name="_Toc31168"/>
      <w:r>
        <w:rPr>
          <w:rFonts w:hint="eastAsia" w:ascii="宋体" w:hAnsi="宋体" w:eastAsia="宋体" w:cs="宋体"/>
          <w:b w:val="0"/>
          <w:i w:val="0"/>
          <w:caps w:val="0"/>
          <w:color w:val="auto"/>
          <w:spacing w:val="0"/>
          <w:w w:val="100"/>
          <w:sz w:val="24"/>
          <w:szCs w:val="24"/>
          <w:highlight w:val="none"/>
        </w:rPr>
        <w:t>13. 验收和工程试车</w:t>
      </w:r>
      <w:bookmarkEnd w:id="640"/>
      <w:bookmarkEnd w:id="641"/>
    </w:p>
    <w:p w14:paraId="0570B80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42" w:name="_Toc351203587"/>
      <w:r>
        <w:rPr>
          <w:rFonts w:hint="eastAsia" w:ascii="宋体" w:hAnsi="宋体" w:eastAsia="宋体" w:cs="宋体"/>
          <w:b w:val="0"/>
          <w:i w:val="0"/>
          <w:caps w:val="0"/>
          <w:color w:val="auto"/>
          <w:spacing w:val="0"/>
          <w:w w:val="100"/>
          <w:sz w:val="24"/>
          <w:szCs w:val="24"/>
          <w:highlight w:val="none"/>
        </w:rPr>
        <w:t>13.1分部分项工程验收</w:t>
      </w:r>
      <w:bookmarkEnd w:id="642"/>
    </w:p>
    <w:p w14:paraId="63AD8772">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13.1.1 分部分项工程质量应符合国家有关工程施工验收规范、标准及合同约定，承包人应按照施工组织设计的要求完成分部分项工程施工。</w:t>
      </w:r>
    </w:p>
    <w:p w14:paraId="75D84A10">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13.1.2 除专用合同条款另有约定外，分部分项工程经承包人自检合格并具备验收条件的，承包人应提前48小时通知监理人进行验收。</w:t>
      </w:r>
      <w:r>
        <w:rPr>
          <w:rFonts w:hint="eastAsia" w:ascii="宋体" w:hAnsi="宋体" w:eastAsia="宋体" w:cs="宋体"/>
          <w:b w:val="0"/>
          <w:i w:val="0"/>
          <w:caps w:val="0"/>
          <w:color w:val="auto"/>
          <w:spacing w:val="0"/>
          <w:w w:val="100"/>
          <w:kern w:val="0"/>
          <w:sz w:val="24"/>
          <w:szCs w:val="24"/>
          <w:highlight w:val="none"/>
        </w:rPr>
        <w:t>监理人不能按时进行验收的，应在验收前24小时向承包人提交书面延期要求，但延期不能超过48小时。监理人未按时进行验收，也未提出延期要求的，承包人有权自行验收，监理人应认可验收结果。</w:t>
      </w:r>
      <w:r>
        <w:rPr>
          <w:rFonts w:hint="eastAsia" w:ascii="宋体" w:hAnsi="宋体" w:eastAsia="宋体" w:cs="宋体"/>
          <w:b w:val="0"/>
          <w:i w:val="0"/>
          <w:caps w:val="0"/>
          <w:color w:val="auto"/>
          <w:spacing w:val="0"/>
          <w:w w:val="100"/>
          <w:sz w:val="24"/>
          <w:szCs w:val="24"/>
          <w:highlight w:val="none"/>
        </w:rPr>
        <w:t>分部分项工程未经验收的，不得进入下一道工序施工。</w:t>
      </w:r>
    </w:p>
    <w:p w14:paraId="09BFFAF0">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分部分项工程的验收资料应当作为竣工资料的组成部分。</w:t>
      </w:r>
    </w:p>
    <w:p w14:paraId="72893D6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43" w:name="_Toc351203588"/>
      <w:r>
        <w:rPr>
          <w:rFonts w:hint="eastAsia" w:ascii="宋体" w:hAnsi="宋体" w:eastAsia="宋体" w:cs="宋体"/>
          <w:b w:val="0"/>
          <w:i w:val="0"/>
          <w:caps w:val="0"/>
          <w:color w:val="auto"/>
          <w:spacing w:val="0"/>
          <w:w w:val="100"/>
          <w:sz w:val="24"/>
          <w:szCs w:val="24"/>
          <w:highlight w:val="none"/>
        </w:rPr>
        <w:t>13.2竣工验收</w:t>
      </w:r>
      <w:bookmarkEnd w:id="643"/>
    </w:p>
    <w:p w14:paraId="598834A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13.2.1竣工验收条件</w:t>
      </w:r>
    </w:p>
    <w:p w14:paraId="2AA659A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工程具备以下条件的，承包人可以申请竣工验收：</w:t>
      </w:r>
    </w:p>
    <w:p w14:paraId="0B14E01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（1）除发包人同意的甩项工作和缺陷修补工作外，合同范围内的全部工程以及有关工作，包括合同要求的试验、试运行以及检验均已完成，并符合合同要求；</w:t>
      </w:r>
    </w:p>
    <w:p w14:paraId="1AE81C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（2）已按合同约定编制了甩项工作和缺陷修补工作清单以及相应的施工计划；</w:t>
      </w:r>
    </w:p>
    <w:p w14:paraId="0F3B082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（3）已按合同约定的内容和份数备齐竣工资料。</w:t>
      </w:r>
    </w:p>
    <w:p w14:paraId="54425DE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13.2.2竣工验收程序</w:t>
      </w:r>
    </w:p>
    <w:p w14:paraId="2FF0645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除专用合同条款另有约定外，承包人申请竣工验收的，应当按照以下程序进行：</w:t>
      </w:r>
    </w:p>
    <w:p w14:paraId="6FDB45E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向监理人报送竣工验收申请报告，监理人应在收到竣工验收申请报告后14天内完成审查并报送发包人。监理人审查后认为尚不具备验收条件的，应通知承包人在竣工验收前承包人还需完成的工作内容，承包人应在完成监理人通知的全部工作内容后，再次提交竣工验收申请报告。</w:t>
      </w:r>
    </w:p>
    <w:p w14:paraId="3110AFA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（2）监理人审查后认为已具备竣工验收条件的，应将竣工验收申请报告提交发包人，发包人应在收到经监理人审核的竣工验收申请报告后28天内审批完毕并组织监理人、承包人、设计人等相关单位完成竣工验收。</w:t>
      </w:r>
    </w:p>
    <w:p w14:paraId="085E451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（3）竣工验收合格的，发包人应在验收合格后14天内向承包人签发工程接收证书。发包人无正当理由逾期不颁发工程接收证书的，自验收合格后第15天起视为已颁发工程接收证书。</w:t>
      </w:r>
    </w:p>
    <w:p w14:paraId="0879298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竣工验收不合格的，监理人应按照验收意见发出指示，要求承包人对不合格工程返工、修复或采取其他补救措施，由此增加的费用和（或）延误的工期由承包人承担。承包人在完成不合格工程的返工、修复或采取其他补救措施后，应重新提交竣工验收申请报告，并按本项约定的程序重新进行验收。</w:t>
      </w:r>
    </w:p>
    <w:p w14:paraId="7D05799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（5）工程未经验收或验收不合格，发包人擅自使用的，应在转移占有工程后7天内向承包人颁发工程接收证书；发包人无正当理由逾期不颁发工程接收证书的，自转移占有后第15天起视为已颁发工程接收证书。</w:t>
      </w:r>
    </w:p>
    <w:p w14:paraId="2CCB9AC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除专用合同条款另有约定外，发包人不按照本项约定组织竣工验收、颁发工程接收证书的，每逾期一天，应以签约合同价为基数，按照中国人民银行发布的同期同类贷款基准利率支付违约金。</w:t>
      </w:r>
    </w:p>
    <w:p w14:paraId="6B2D2FB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13.2.3竣工日期</w:t>
      </w:r>
    </w:p>
    <w:p w14:paraId="3975400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工程经竣工验收合格的，以承包人提交竣工验收申请报告之日为实际竣工日期，并在工程接收证书中载明；因发包人原因，未在监理人收到承包人提交的竣工验收申请报告42天内完成竣工验收，或完成竣工验收不予签发工程接收证书的，以提交竣工验</w:t>
      </w:r>
      <w:bookmarkStart w:id="644" w:name="#go14"/>
      <w:bookmarkEnd w:id="644"/>
      <w:r>
        <w:rPr>
          <w:rFonts w:hint="eastAsia" w:ascii="宋体" w:hAnsi="宋体" w:eastAsia="宋体" w:cs="宋体"/>
          <w:b w:val="0"/>
          <w:i w:val="0"/>
          <w:caps w:val="0"/>
          <w:color w:val="auto"/>
          <w:spacing w:val="0"/>
          <w:w w:val="100"/>
          <w:kern w:val="0"/>
          <w:sz w:val="24"/>
          <w:szCs w:val="24"/>
          <w:highlight w:val="none"/>
        </w:rPr>
        <w:t>收申请报告的日期为实际竣工日期；工程未经竣工验收，发包人擅自使用的，以转移占有工程之日为实际竣工日期。</w:t>
      </w:r>
    </w:p>
    <w:p w14:paraId="665F524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13.2.4 拒绝接收全部或部分工程</w:t>
      </w:r>
    </w:p>
    <w:p w14:paraId="4FE35B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对于竣工验收不合格的工程，承包人完成整改后，应当重新进行竣工验收，经重新组织验收仍不合格的且无法采取措施补救的，则发包人可以拒绝接收不合格工程，因不合格工程导致其他工程不能正常使用的，承包人应采取措施确保相关工程的正常使用，由此增加的费用和（或）延误的工期由承包人承担。</w:t>
      </w:r>
    </w:p>
    <w:p w14:paraId="3674E19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13.2.5 移交、接收全部与部分工程</w:t>
      </w:r>
    </w:p>
    <w:p w14:paraId="6D2C076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除专用合同条款另有约定外，合同当事人应当在颁发工程接收证书后7天内完成工程的移交。</w:t>
      </w:r>
    </w:p>
    <w:p w14:paraId="05E353E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发包人无正当理由不接收工程的，发包人自应当接收工程之日起，承担工程照管、成品保护、保管等与工程有关的各项费用，合同当事人可以在专用合同条款中另行约定发包人逾期接收工程的违约责任。</w:t>
      </w:r>
    </w:p>
    <w:p w14:paraId="3D8B11A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承包人无正当理由不移交工程的，承包人应承担工程照管、成品保护、保管等与工程有关的各项费用，合同当事人可以在专用合同条款中另行约定承包人无正当理由不移交工程的违约责任。</w:t>
      </w:r>
    </w:p>
    <w:p w14:paraId="21AB08B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45" w:name="_Toc351203589"/>
      <w:r>
        <w:rPr>
          <w:rFonts w:hint="eastAsia" w:ascii="宋体" w:hAnsi="宋体" w:eastAsia="宋体" w:cs="宋体"/>
          <w:b w:val="0"/>
          <w:i w:val="0"/>
          <w:caps w:val="0"/>
          <w:color w:val="auto"/>
          <w:spacing w:val="0"/>
          <w:w w:val="100"/>
          <w:sz w:val="24"/>
          <w:szCs w:val="24"/>
          <w:highlight w:val="none"/>
        </w:rPr>
        <w:t>13.3工程试车</w:t>
      </w:r>
      <w:bookmarkEnd w:id="645"/>
    </w:p>
    <w:p w14:paraId="0CD0583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13.3.1试车程序</w:t>
      </w:r>
    </w:p>
    <w:p w14:paraId="62483DE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工程需要试车的，除专用合同条款另有约定外，试车内容应与承包人承包范围相一致，试车费用由承包人承担。工程试车应按如下程序进行：</w:t>
      </w:r>
    </w:p>
    <w:p w14:paraId="6A13A8F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具备单机无负荷试车条件，承包人组织试车，并在试车前48小时书面通知监理人，通知中应载明试车内容、时间、地点。承包人准备试车记录，发包人根据承包人要求为试车提供必要条件。试车合格的，监理人在试车记录上签字。监理人在试车合格后不在试车记录上签字，自试车结束满24小时后视为监理人已经认可试车记录，承包人可继续施工或办理竣工验收手续。</w:t>
      </w:r>
    </w:p>
    <w:p w14:paraId="22BBC28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监理人不能按时参加试车，应在试车前24小时以书面形式向承包人提出延期要求，但延期不能超过48小时，由此导致工期延误的，工期应予以顺延。监理人未能在前述期限内提出延期要求，又不参加试车的，视为认可试车记录。</w:t>
      </w:r>
    </w:p>
    <w:p w14:paraId="5343AFC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具备无负荷联动试车条件，发包人组织试车，并在试车前48小时以书面形式通知承包人。通知中应载明试车内容、时间、地点和对承包人的要求，承包人按要求做好准备工作。试车合格，合同当事人在试车记录上签字。承包人无正当理由不参加试车的，视为认可试车记录。</w:t>
      </w:r>
    </w:p>
    <w:p w14:paraId="24A4684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13.3.2 试车中的责任</w:t>
      </w:r>
    </w:p>
    <w:p w14:paraId="0922EC6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设计原因导致试车达不到验收要求，发包人应要求设计人修改设计，承包人按修改后的设计重新安装。发包人承担修改设计、拆除及重新安装的全部费用，工期相应顺延。因承包人原因导致试车达不到验收要求，承包人按监理人要求重新安装和试车，并承担重新安装和试车的费用，工期不予顺延。</w:t>
      </w:r>
    </w:p>
    <w:p w14:paraId="2571534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工程设备制造原因导致试车达不到验收要求的，由采购该工程设备的合同当事人负责重新购置或修理，承包人负责拆除和重新安装，由此增加的修理、重新购置、拆除及重新安装的费用及延误的工期由采购该工程设备的合同当事人承担。</w:t>
      </w:r>
    </w:p>
    <w:p w14:paraId="6D0F489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13.3.3 投料试车</w:t>
      </w:r>
    </w:p>
    <w:p w14:paraId="6249F80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如需进行投料试车的，发包人应在工程竣工验收后组织投料试车。发包人要求在工程竣工验收前进行或需要承包人配合时，应征得承包人同意，并在专用合同条款中约定有关事项。</w:t>
      </w:r>
    </w:p>
    <w:p w14:paraId="6921423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投料试车合格的，费用由发包人承担；因承包人原因造成投料试车不合格的，承包人应按照发包人要求进行整改，由此产生的整改费用由承包人承担；非因承包人原因导致投料试车不合格的，如发包人要求承包人进行整改的，由此产生的费用由发包人承担。</w:t>
      </w:r>
    </w:p>
    <w:p w14:paraId="58B7C2D5">
      <w:pPr>
        <w:pStyle w:val="6"/>
        <w:snapToGrid w:val="0"/>
        <w:spacing w:before="120" w:beforeAutospacing="0" w:after="120" w:afterAutospacing="0" w:line="360" w:lineRule="auto"/>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    </w:t>
      </w:r>
      <w:bookmarkStart w:id="646" w:name="_Toc351203590"/>
      <w:r>
        <w:rPr>
          <w:rFonts w:hint="eastAsia" w:ascii="宋体" w:hAnsi="宋体" w:eastAsia="宋体" w:cs="宋体"/>
          <w:b w:val="0"/>
          <w:i w:val="0"/>
          <w:caps w:val="0"/>
          <w:color w:val="auto"/>
          <w:spacing w:val="0"/>
          <w:w w:val="100"/>
          <w:sz w:val="24"/>
          <w:szCs w:val="24"/>
          <w:highlight w:val="none"/>
        </w:rPr>
        <w:t>13.4提前交付单位工程的验收</w:t>
      </w:r>
      <w:bookmarkEnd w:id="646"/>
    </w:p>
    <w:p w14:paraId="454CC7A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13.4.1 发包人需要在工程竣工前使用单位工程的，或承包人提出提前交付已经竣工的单位工程且经发包人同意的，可进行单位工程验收，验收的程序按照第13.2款〔竣工验收〕的约定进行。</w:t>
      </w:r>
    </w:p>
    <w:p w14:paraId="3585597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验收合格后，由监理人向承包人出具经发包人签认的单位工程接收证书。已签发单位工程接收证书的单位工程由发包人负责照管。单位工程的验收成果和结论作为整体工程竣工验收申请报告的附件。</w:t>
      </w:r>
    </w:p>
    <w:p w14:paraId="05E328F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13.4.2 发包人要求在工程竣工前交付单位工程，由此导致承包人费用增加和（或）工期延误的，由发包人承担由此增加的费用和（或）延误的工期，并支付承包人合理的利润。</w:t>
      </w:r>
    </w:p>
    <w:p w14:paraId="052C1B8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47" w:name="_Toc351203591"/>
      <w:r>
        <w:rPr>
          <w:rFonts w:hint="eastAsia" w:ascii="宋体" w:hAnsi="宋体" w:eastAsia="宋体" w:cs="宋体"/>
          <w:b w:val="0"/>
          <w:i w:val="0"/>
          <w:caps w:val="0"/>
          <w:color w:val="auto"/>
          <w:spacing w:val="0"/>
          <w:w w:val="100"/>
          <w:sz w:val="24"/>
          <w:szCs w:val="24"/>
          <w:highlight w:val="none"/>
        </w:rPr>
        <w:t>13.5 施工期运行</w:t>
      </w:r>
      <w:bookmarkEnd w:id="647"/>
    </w:p>
    <w:p w14:paraId="25DA227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13.5.1 施工期运行是指合同工程尚未全部竣工，其中某项或某几项单位工程或工程设备安装已竣工，根据专用合同条款约定，需要投入施工期运行的，经发包人按第13.4款〔提前交付单位工程的验收〕的约定验收合格，证明能确保安全后，才能在施工期投入运行。</w:t>
      </w:r>
    </w:p>
    <w:p w14:paraId="6A120E9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13.5.2 在施工期运行中发现工程或工程设备损坏或存在缺陷的，由承包人按第15.2款〔缺陷责任期〕约定进行修复。</w:t>
      </w:r>
    </w:p>
    <w:p w14:paraId="0BCC258B">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48" w:name="_Toc296503112"/>
      <w:bookmarkStart w:id="649" w:name="_Toc296346613"/>
      <w:bookmarkStart w:id="650" w:name="_Toc351203592"/>
      <w:r>
        <w:rPr>
          <w:rFonts w:hint="eastAsia" w:ascii="宋体" w:hAnsi="宋体" w:eastAsia="宋体" w:cs="宋体"/>
          <w:b w:val="0"/>
          <w:i w:val="0"/>
          <w:caps w:val="0"/>
          <w:color w:val="auto"/>
          <w:spacing w:val="0"/>
          <w:w w:val="100"/>
          <w:sz w:val="24"/>
          <w:szCs w:val="24"/>
          <w:highlight w:val="none"/>
        </w:rPr>
        <w:t>13.6 竣工退</w:t>
      </w:r>
      <w:bookmarkEnd w:id="648"/>
      <w:bookmarkEnd w:id="649"/>
      <w:r>
        <w:rPr>
          <w:rFonts w:hint="eastAsia" w:ascii="宋体" w:hAnsi="宋体" w:eastAsia="宋体" w:cs="宋体"/>
          <w:b w:val="0"/>
          <w:i w:val="0"/>
          <w:caps w:val="0"/>
          <w:color w:val="auto"/>
          <w:spacing w:val="0"/>
          <w:w w:val="100"/>
          <w:sz w:val="24"/>
          <w:szCs w:val="24"/>
          <w:highlight w:val="none"/>
        </w:rPr>
        <w:t>场</w:t>
      </w:r>
      <w:bookmarkEnd w:id="650"/>
    </w:p>
    <w:p w14:paraId="453C7E7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13.6.1 竣工退场</w:t>
      </w:r>
    </w:p>
    <w:p w14:paraId="17A007E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颁发工程接收证书后，承包人应按以下要求对施工现场进行清理：</w:t>
      </w:r>
    </w:p>
    <w:p w14:paraId="365D3F0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（1）施工现场内残留的垃圾已全部清除出场；</w:t>
      </w:r>
    </w:p>
    <w:p w14:paraId="74D7C70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（2）临时工程已拆除，场地已进行清理、平整或复原；</w:t>
      </w:r>
    </w:p>
    <w:p w14:paraId="4012717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（3）按合同约定应撤离的人员、承包人施工设备和剩余的材料，包括废弃的施工设备和材料，已按计划撤离施工现场；</w:t>
      </w:r>
    </w:p>
    <w:p w14:paraId="6E2BB77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（4）施工现场周边及其附近道路、河道的施工堆积物，已全部清理；</w:t>
      </w:r>
    </w:p>
    <w:p w14:paraId="677E5E5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（5）施工现场其他场地清理工作已全部完成。</w:t>
      </w:r>
    </w:p>
    <w:p w14:paraId="705FAE8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施工现场的竣工退场费用由承包人承担。承包人应在专用合同条款约定的期限内完成竣工退场，逾期未完成的，发包人有权出售或另行处理承包人遗留的物品，由此支出的费用由承包人承担，发包人出售承包人遗留物品所得款项在扣除必要费用后应返还承包人。</w:t>
      </w:r>
    </w:p>
    <w:p w14:paraId="2B0DC82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13.6.2 地表还原</w:t>
      </w:r>
    </w:p>
    <w:p w14:paraId="1AAB56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承包人应按发包人要求恢复临时占地及清理场地，承包人未按发包人的要求恢复临时占地，或者场地清理未达到合同约定要求的，发包人有权委托其他人恢复或清理，所发生的费用由承包人承担。</w:t>
      </w:r>
    </w:p>
    <w:p w14:paraId="0284DD0A">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51" w:name="_Toc25687"/>
      <w:bookmarkStart w:id="652" w:name="_Toc351203593"/>
      <w:r>
        <w:rPr>
          <w:rFonts w:hint="eastAsia" w:ascii="宋体" w:hAnsi="宋体" w:eastAsia="宋体" w:cs="宋体"/>
          <w:b w:val="0"/>
          <w:i w:val="0"/>
          <w:caps w:val="0"/>
          <w:color w:val="auto"/>
          <w:spacing w:val="0"/>
          <w:w w:val="100"/>
          <w:sz w:val="24"/>
          <w:szCs w:val="24"/>
          <w:highlight w:val="none"/>
        </w:rPr>
        <w:t>14. 竣工结算</w:t>
      </w:r>
      <w:bookmarkEnd w:id="651"/>
      <w:bookmarkEnd w:id="652"/>
    </w:p>
    <w:p w14:paraId="5F7BF95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53" w:name="_Toc351203594"/>
      <w:r>
        <w:rPr>
          <w:rFonts w:hint="eastAsia" w:ascii="宋体" w:hAnsi="宋体" w:eastAsia="宋体" w:cs="宋体"/>
          <w:b w:val="0"/>
          <w:i w:val="0"/>
          <w:caps w:val="0"/>
          <w:color w:val="auto"/>
          <w:spacing w:val="0"/>
          <w:w w:val="100"/>
          <w:sz w:val="24"/>
          <w:szCs w:val="24"/>
          <w:highlight w:val="none"/>
        </w:rPr>
        <w:t>14.1 竣工结算申请</w:t>
      </w:r>
      <w:bookmarkEnd w:id="653"/>
    </w:p>
    <w:p w14:paraId="6BB619B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w:t>
      </w:r>
      <w:r>
        <w:rPr>
          <w:rFonts w:hint="eastAsia" w:ascii="宋体" w:hAnsi="宋体" w:eastAsia="宋体" w:cs="宋体"/>
          <w:b w:val="0"/>
          <w:i w:val="0"/>
          <w:caps w:val="0"/>
          <w:color w:val="auto"/>
          <w:spacing w:val="0"/>
          <w:w w:val="100"/>
          <w:sz w:val="24"/>
          <w:szCs w:val="24"/>
          <w:highlight w:val="none"/>
        </w:rPr>
        <w:t>承包人应在工程竣工验收合格后28天内向发包人和监理人提交竣工结算申请单，并提交完整的结算资料，有关竣工结算申请单的资料清单和份数等要求由合同当事人在专用合同条款中约定。</w:t>
      </w:r>
    </w:p>
    <w:p w14:paraId="0AA3D16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除专用合同条款另有约定外，竣工结算申请单应包括以下内容：</w:t>
      </w:r>
    </w:p>
    <w:p w14:paraId="7A85853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（1）竣工结算合同价格；</w:t>
      </w:r>
    </w:p>
    <w:p w14:paraId="1E87810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（2）发包人已支付承包人的款项；</w:t>
      </w:r>
    </w:p>
    <w:p w14:paraId="02AD60A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（3）应扣留的质量保证金。已缴纳履约保证金的或提供其他工程质量担保方式的除外； </w:t>
      </w:r>
    </w:p>
    <w:p w14:paraId="659D474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（4）发包人应支付承包人的合同价款。</w:t>
      </w:r>
    </w:p>
    <w:p w14:paraId="52441D63">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54" w:name="_Toc351203595"/>
      <w:r>
        <w:rPr>
          <w:rFonts w:hint="eastAsia" w:ascii="宋体" w:hAnsi="宋体" w:eastAsia="宋体" w:cs="宋体"/>
          <w:b w:val="0"/>
          <w:i w:val="0"/>
          <w:caps w:val="0"/>
          <w:color w:val="auto"/>
          <w:spacing w:val="0"/>
          <w:w w:val="100"/>
          <w:sz w:val="24"/>
          <w:szCs w:val="24"/>
          <w:highlight w:val="none"/>
        </w:rPr>
        <w:t>14.2 竣工结算审核</w:t>
      </w:r>
      <w:bookmarkEnd w:id="654"/>
    </w:p>
    <w:p w14:paraId="331BE94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专用合同条款另有约定外，监理人应在收到竣工结算申请单后14天内完成核查并报送发包人。发包人应在收到监理人提交的经审核的竣工结算申请单后14天内完成审批，并由监理人向承包人签发经发包人签认的竣工付款证书。监理人或</w:t>
      </w:r>
      <w:r>
        <w:rPr>
          <w:rFonts w:hint="eastAsia" w:ascii="宋体" w:hAnsi="宋体" w:eastAsia="宋体" w:cs="宋体"/>
          <w:b w:val="0"/>
          <w:i w:val="0"/>
          <w:caps w:val="0"/>
          <w:color w:val="auto"/>
          <w:spacing w:val="0"/>
          <w:w w:val="100"/>
          <w:sz w:val="24"/>
          <w:szCs w:val="24"/>
          <w:highlight w:val="none"/>
        </w:rPr>
        <w:t>发包人对竣工</w:t>
      </w:r>
      <w:r>
        <w:rPr>
          <w:rFonts w:hint="eastAsia" w:ascii="宋体" w:hAnsi="宋体" w:eastAsia="宋体" w:cs="宋体"/>
          <w:b w:val="0"/>
          <w:i w:val="0"/>
          <w:caps w:val="0"/>
          <w:color w:val="auto"/>
          <w:spacing w:val="0"/>
          <w:w w:val="100"/>
          <w:kern w:val="0"/>
          <w:sz w:val="24"/>
          <w:szCs w:val="24"/>
          <w:highlight w:val="none"/>
        </w:rPr>
        <w:t>结算</w:t>
      </w:r>
      <w:r>
        <w:rPr>
          <w:rFonts w:hint="eastAsia" w:ascii="宋体" w:hAnsi="宋体" w:eastAsia="宋体" w:cs="宋体"/>
          <w:b w:val="0"/>
          <w:i w:val="0"/>
          <w:caps w:val="0"/>
          <w:color w:val="auto"/>
          <w:spacing w:val="0"/>
          <w:w w:val="100"/>
          <w:sz w:val="24"/>
          <w:szCs w:val="24"/>
          <w:highlight w:val="none"/>
        </w:rPr>
        <w:t>申请单有异议的，有权要求承包人进行修正和提供补充资料，承包人应提交修正后的竣工</w:t>
      </w:r>
      <w:r>
        <w:rPr>
          <w:rFonts w:hint="eastAsia" w:ascii="宋体" w:hAnsi="宋体" w:eastAsia="宋体" w:cs="宋体"/>
          <w:b w:val="0"/>
          <w:i w:val="0"/>
          <w:caps w:val="0"/>
          <w:color w:val="auto"/>
          <w:spacing w:val="0"/>
          <w:w w:val="100"/>
          <w:kern w:val="0"/>
          <w:sz w:val="24"/>
          <w:szCs w:val="24"/>
          <w:highlight w:val="none"/>
        </w:rPr>
        <w:t>结算</w:t>
      </w:r>
      <w:r>
        <w:rPr>
          <w:rFonts w:hint="eastAsia" w:ascii="宋体" w:hAnsi="宋体" w:eastAsia="宋体" w:cs="宋体"/>
          <w:b w:val="0"/>
          <w:i w:val="0"/>
          <w:caps w:val="0"/>
          <w:color w:val="auto"/>
          <w:spacing w:val="0"/>
          <w:w w:val="100"/>
          <w:sz w:val="24"/>
          <w:szCs w:val="24"/>
          <w:highlight w:val="none"/>
        </w:rPr>
        <w:t>申请单。</w:t>
      </w:r>
    </w:p>
    <w:p w14:paraId="3EF53AB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发包人在收到承包人提交竣工结算申请书后28天内未完成审批且未提出异议的，视为发包人认可承包人提交的竣工结算申请单，并自发包人收到承包人提交的竣工结算申请单后第29天起视为已签发竣工付款证书。</w:t>
      </w:r>
    </w:p>
    <w:p w14:paraId="2F86B49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（2）除专用合同条款另有约定外，发包人应在签发竣工付款证书后的14 天内，完成对承包人的竣工付款。发包人逾期支付的，按照中国人民银行发布的同期同类贷款基准利率支付违约金；逾期支付超过56天的，按照中国人民银行发布的同期同类贷款基准利率的两倍支付违约金。</w:t>
      </w:r>
    </w:p>
    <w:p w14:paraId="566C0A8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承包人对发包人签认的竣工付款证书有异议的，对于有异议部分应在收到发包人签认的竣工付款证书后7天内提出异议，并由合同当事人按照专用合同条款约定的方式和程序进行复核，或按照第20条〔争议解决〕约定处理。对于无异议部分，发包人应签发临时竣工付款证书，并按本款第（2）项完成付款。承包人逾期未提出异议的，视为认可发包人的审批结果。</w:t>
      </w:r>
    </w:p>
    <w:p w14:paraId="1602E89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55" w:name="_Toc351203596"/>
      <w:r>
        <w:rPr>
          <w:rFonts w:hint="eastAsia" w:ascii="宋体" w:hAnsi="宋体" w:eastAsia="宋体" w:cs="宋体"/>
          <w:b w:val="0"/>
          <w:i w:val="0"/>
          <w:caps w:val="0"/>
          <w:color w:val="auto"/>
          <w:spacing w:val="0"/>
          <w:w w:val="100"/>
          <w:sz w:val="24"/>
          <w:szCs w:val="24"/>
          <w:highlight w:val="none"/>
        </w:rPr>
        <w:t>14.3 甩项竣工协议</w:t>
      </w:r>
      <w:bookmarkEnd w:id="655"/>
    </w:p>
    <w:p w14:paraId="5F9AF7CB">
      <w:pPr>
        <w:snapToGrid w:val="0"/>
        <w:spacing w:before="0" w:beforeAutospacing="0" w:after="0" w:afterAutospacing="0" w:line="360" w:lineRule="auto"/>
        <w:ind w:firstLine="470" w:firstLineChars="196"/>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发包人要求甩项竣工的，合同当事人应签订甩项竣工协议。在甩项竣工协议中应明确，合同当事人按照第14.1款〔竣工结算申请〕及14.2款〔竣工结算审核〕的约定，对已完合格工程进行结算，并支付相应合同价款。</w:t>
      </w:r>
    </w:p>
    <w:p w14:paraId="2E6032D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56" w:name="_Toc351203597"/>
      <w:r>
        <w:rPr>
          <w:rFonts w:hint="eastAsia" w:ascii="宋体" w:hAnsi="宋体" w:eastAsia="宋体" w:cs="宋体"/>
          <w:b w:val="0"/>
          <w:i w:val="0"/>
          <w:caps w:val="0"/>
          <w:color w:val="auto"/>
          <w:spacing w:val="0"/>
          <w:w w:val="100"/>
          <w:sz w:val="24"/>
          <w:szCs w:val="24"/>
          <w:highlight w:val="none"/>
        </w:rPr>
        <w:t>14.4 最终结清</w:t>
      </w:r>
      <w:bookmarkEnd w:id="656"/>
    </w:p>
    <w:p w14:paraId="5A4DEF3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14.4.1 最终结清申请单</w:t>
      </w:r>
    </w:p>
    <w:p w14:paraId="00C6B92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（1）除专用合同条款另有约定外，承包人应在缺陷责任期终止证书颁发后7天内，按专用合同条款约定的份数向发包人提交最终结清申请单，并提供相关证明材料。</w:t>
      </w:r>
    </w:p>
    <w:p w14:paraId="37BC152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除专用合同条款另有约定外，</w:t>
      </w:r>
      <w:r>
        <w:rPr>
          <w:rFonts w:hint="eastAsia" w:ascii="宋体" w:hAnsi="宋体" w:eastAsia="宋体" w:cs="宋体"/>
          <w:b w:val="0"/>
          <w:i w:val="0"/>
          <w:caps w:val="0"/>
          <w:color w:val="auto"/>
          <w:spacing w:val="0"/>
          <w:w w:val="100"/>
          <w:kern w:val="0"/>
          <w:sz w:val="24"/>
          <w:szCs w:val="24"/>
          <w:highlight w:val="none"/>
        </w:rPr>
        <w:t>最终结清申请单</w:t>
      </w:r>
      <w:r>
        <w:rPr>
          <w:rFonts w:hint="eastAsia" w:ascii="宋体" w:hAnsi="宋体" w:eastAsia="宋体" w:cs="宋体"/>
          <w:b w:val="0"/>
          <w:i w:val="0"/>
          <w:caps w:val="0"/>
          <w:color w:val="auto"/>
          <w:spacing w:val="0"/>
          <w:w w:val="100"/>
          <w:sz w:val="24"/>
          <w:szCs w:val="24"/>
          <w:highlight w:val="none"/>
        </w:rPr>
        <w:t>应列明质量保证金、应扣除的质量保证金、缺陷责任期内发生的增减费用。</w:t>
      </w:r>
    </w:p>
    <w:p w14:paraId="38019C4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（2）发包人对最终结清申请单内容有异议的，有权要求承包人进行修正和提供补充资料，承包人应向发包人提交修正后的最终结清申请单。</w:t>
      </w:r>
    </w:p>
    <w:p w14:paraId="51EC32D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14.4.2 最终结清证书和支付</w:t>
      </w:r>
    </w:p>
    <w:p w14:paraId="6357D60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除专用合同条款另有约定外，发包人应在收到承包人提交的最终结清申请单后14天内完成审批并向承包人颁发最终结清证书。发包人逾期未完成审批，又未提出修改意见的，视为发包人同意承包人提交的最终结清申请单，且自发包人收到承包人提交的最终结清申请单后15天起视为已颁发最终结清证书。</w:t>
      </w:r>
    </w:p>
    <w:p w14:paraId="77E401C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除专用合同条款另有约定外，发包人应在颁发最终结清证书后7天内完成支付。发包人逾期支付的，按照中国人民银行发布的同期同类贷款基准利率支付违约金；逾期支付超过56天的，按照中国人民银行发布的同期同类贷款基准利率的两倍支付违约金。</w:t>
      </w:r>
    </w:p>
    <w:p w14:paraId="489C8F4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（3）承包人对发包人颁发的最终结清证书有异议的，按第20条〔争议解决〕的约定办理。</w:t>
      </w:r>
    </w:p>
    <w:p w14:paraId="3F194131">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57" w:name="_Toc23769"/>
      <w:bookmarkStart w:id="658" w:name="_Toc351203598"/>
      <w:r>
        <w:rPr>
          <w:rFonts w:hint="eastAsia" w:ascii="宋体" w:hAnsi="宋体" w:eastAsia="宋体" w:cs="宋体"/>
          <w:b w:val="0"/>
          <w:i w:val="0"/>
          <w:caps w:val="0"/>
          <w:color w:val="auto"/>
          <w:spacing w:val="0"/>
          <w:w w:val="100"/>
          <w:sz w:val="24"/>
          <w:szCs w:val="24"/>
          <w:highlight w:val="none"/>
        </w:rPr>
        <w:t>15. 缺陷责任与保修</w:t>
      </w:r>
      <w:bookmarkEnd w:id="657"/>
      <w:bookmarkEnd w:id="658"/>
    </w:p>
    <w:p w14:paraId="0EAE4E47">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59" w:name="_Toc351203599"/>
      <w:bookmarkStart w:id="660" w:name="_Toc296346615"/>
      <w:bookmarkStart w:id="661" w:name="_Toc296503114"/>
      <w:r>
        <w:rPr>
          <w:rFonts w:hint="eastAsia" w:ascii="宋体" w:hAnsi="宋体" w:eastAsia="宋体" w:cs="宋体"/>
          <w:b w:val="0"/>
          <w:i w:val="0"/>
          <w:caps w:val="0"/>
          <w:color w:val="auto"/>
          <w:spacing w:val="0"/>
          <w:w w:val="100"/>
          <w:sz w:val="24"/>
          <w:szCs w:val="24"/>
          <w:highlight w:val="none"/>
        </w:rPr>
        <w:t>15.1 工程保修的原则</w:t>
      </w:r>
      <w:bookmarkEnd w:id="659"/>
    </w:p>
    <w:p w14:paraId="129C0D0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在工程移交发包人后，因承包人原因产生的质量缺陷，承包人应承担质量缺陷责任和保修义务。缺陷责任期届满，承包人仍应按合同约定的工程各部位保修年限承担保修义务。</w:t>
      </w:r>
    </w:p>
    <w:p w14:paraId="21AE77E2">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62" w:name="_Toc351203600"/>
      <w:r>
        <w:rPr>
          <w:rFonts w:hint="eastAsia" w:ascii="宋体" w:hAnsi="宋体" w:eastAsia="宋体" w:cs="宋体"/>
          <w:b w:val="0"/>
          <w:i w:val="0"/>
          <w:caps w:val="0"/>
          <w:color w:val="auto"/>
          <w:spacing w:val="0"/>
          <w:w w:val="100"/>
          <w:sz w:val="24"/>
          <w:szCs w:val="24"/>
          <w:highlight w:val="none"/>
        </w:rPr>
        <w:t>15.2 缺陷责任期</w:t>
      </w:r>
      <w:bookmarkEnd w:id="660"/>
      <w:bookmarkEnd w:id="661"/>
      <w:bookmarkEnd w:id="662"/>
    </w:p>
    <w:p w14:paraId="194D5DF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15.2.1 缺陷责任期从工程通过竣工验收之日起计算，合同当事人应在专用合同条款约定缺陷责任期的具体期限，但该期限最长不超过24个月。</w:t>
      </w:r>
    </w:p>
    <w:p w14:paraId="764842C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单位工程先于全部工程进行验收，经验收合格并交付使用的，该单位工程缺陷责任期自单位工程验收合格之日起算。因承包人原因导致工程无法按合同约定期限进行竣工验收的，缺陷责任期从实际通过竣工验收之日起计算。因发包人原因导致工程无法按合同约定期限进行竣工验收的，在承包人提交竣工验收报告90天后，工程自动进入缺陷责任期；发包人未经竣工验收擅自使用工程的，缺陷责任期自工程转移占有之日起开始计算。</w:t>
      </w:r>
    </w:p>
    <w:p w14:paraId="3CC78E7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15.2.2缺陷责任期内，由承包人原因造成的缺陷，承包人应负责维修，并承担鉴定及维修费用。如承包人不维修也不承担费用，发包人可按合同约定从保证金或银行保函中扣除，费用超出保证金额的，发包人可按合同约定向承包人进行索赔。承包人维修并承担相应费用后，不免除对工程的损失赔偿责任。发包人有权要求承</w:t>
      </w:r>
      <w:r>
        <w:rPr>
          <w:rFonts w:hint="eastAsia" w:ascii="宋体" w:hAnsi="宋体" w:eastAsia="宋体" w:cs="宋体"/>
          <w:b w:val="0"/>
          <w:bCs/>
          <w:i w:val="0"/>
          <w:caps w:val="0"/>
          <w:color w:val="auto"/>
          <w:spacing w:val="0"/>
          <w:w w:val="100"/>
          <w:sz w:val="24"/>
          <w:szCs w:val="24"/>
          <w:highlight w:val="none"/>
        </w:rPr>
        <w:t>包人延长缺陷责任期，</w:t>
      </w:r>
      <w:r>
        <w:rPr>
          <w:rFonts w:hint="eastAsia" w:ascii="宋体" w:hAnsi="宋体" w:eastAsia="宋体" w:cs="宋体"/>
          <w:b w:val="0"/>
          <w:i w:val="0"/>
          <w:caps w:val="0"/>
          <w:color w:val="auto"/>
          <w:spacing w:val="0"/>
          <w:w w:val="100"/>
          <w:kern w:val="0"/>
          <w:sz w:val="24"/>
          <w:szCs w:val="24"/>
          <w:highlight w:val="none"/>
        </w:rPr>
        <w:t>并应在原缺陷责任期届满前发出延长通知</w:t>
      </w:r>
      <w:r>
        <w:rPr>
          <w:rFonts w:hint="eastAsia" w:ascii="宋体" w:hAnsi="宋体" w:eastAsia="宋体" w:cs="宋体"/>
          <w:b w:val="0"/>
          <w:i w:val="0"/>
          <w:caps w:val="0"/>
          <w:color w:val="auto"/>
          <w:spacing w:val="0"/>
          <w:w w:val="100"/>
          <w:kern w:val="0"/>
          <w:sz w:val="24"/>
          <w:szCs w:val="24"/>
          <w:highlight w:val="none"/>
          <w:lang w:eastAsia="zh-CN"/>
        </w:rPr>
        <w:t>。</w:t>
      </w:r>
      <w:r>
        <w:rPr>
          <w:rFonts w:hint="eastAsia" w:ascii="宋体" w:hAnsi="宋体" w:eastAsia="宋体" w:cs="宋体"/>
          <w:b w:val="0"/>
          <w:bCs/>
          <w:i w:val="0"/>
          <w:caps w:val="0"/>
          <w:color w:val="auto"/>
          <w:spacing w:val="0"/>
          <w:w w:val="100"/>
          <w:sz w:val="24"/>
          <w:szCs w:val="24"/>
          <w:highlight w:val="none"/>
        </w:rPr>
        <w:t>但缺陷责任期</w:t>
      </w:r>
      <w:r>
        <w:rPr>
          <w:rFonts w:hint="eastAsia" w:ascii="宋体" w:hAnsi="宋体" w:eastAsia="宋体" w:cs="宋体"/>
          <w:b w:val="0"/>
          <w:bCs/>
          <w:i w:val="0"/>
          <w:caps w:val="0"/>
          <w:color w:val="auto"/>
          <w:spacing w:val="0"/>
          <w:w w:val="100"/>
          <w:sz w:val="24"/>
          <w:szCs w:val="24"/>
          <w:highlight w:val="none"/>
          <w:lang w:eastAsia="zh-CN"/>
        </w:rPr>
        <w:t>（含延长部分）</w:t>
      </w:r>
      <w:r>
        <w:rPr>
          <w:rFonts w:hint="eastAsia" w:ascii="宋体" w:hAnsi="宋体" w:eastAsia="宋体" w:cs="宋体"/>
          <w:b w:val="0"/>
          <w:bCs/>
          <w:i w:val="0"/>
          <w:caps w:val="0"/>
          <w:color w:val="auto"/>
          <w:spacing w:val="0"/>
          <w:w w:val="100"/>
          <w:sz w:val="24"/>
          <w:szCs w:val="24"/>
          <w:highlight w:val="none"/>
        </w:rPr>
        <w:t>最长</w:t>
      </w:r>
      <w:r>
        <w:rPr>
          <w:rFonts w:hint="eastAsia" w:ascii="宋体" w:hAnsi="宋体" w:eastAsia="宋体" w:cs="宋体"/>
          <w:b w:val="0"/>
          <w:i w:val="0"/>
          <w:caps w:val="0"/>
          <w:color w:val="auto"/>
          <w:spacing w:val="0"/>
          <w:w w:val="100"/>
          <w:kern w:val="0"/>
          <w:sz w:val="24"/>
          <w:szCs w:val="24"/>
          <w:highlight w:val="none"/>
        </w:rPr>
        <w:t>不能超过24个月。</w:t>
      </w:r>
    </w:p>
    <w:p w14:paraId="0C14049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由他人原因造成的缺陷，发包人负责组织维修，承包人不承担费用，且发包人不得从保证金中扣除费用。</w:t>
      </w:r>
    </w:p>
    <w:p w14:paraId="5BDA6B1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15.2.3 任何一项缺陷或损坏修复后，经检查证明其影响了工程或工程设备的使用性能，承包人应重新进行合同约定的试验和试运行，试验和试运行的全部费用应由责任方承担。</w:t>
      </w:r>
    </w:p>
    <w:p w14:paraId="2DAF266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15.2.4 除专用合同条款另有约定外，承包人应于缺陷责任期届满后7天内向发包人发出缺陷责任期届满通知，发包人应在收到缺陷责任期满通知后14天内核实承包人是否履行缺陷修复义务，承包人未能履行缺陷修复义务的，发包人有权扣除相应金额的维修费用。发包人应在收到缺陷责任期届满通知后14天内，向承包人颁发缺陷责任期终止证书。</w:t>
      </w:r>
    </w:p>
    <w:p w14:paraId="15BC20B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63" w:name="_Toc351203601"/>
      <w:r>
        <w:rPr>
          <w:rFonts w:hint="eastAsia" w:ascii="宋体" w:hAnsi="宋体" w:eastAsia="宋体" w:cs="宋体"/>
          <w:b w:val="0"/>
          <w:i w:val="0"/>
          <w:caps w:val="0"/>
          <w:color w:val="auto"/>
          <w:spacing w:val="0"/>
          <w:w w:val="100"/>
          <w:sz w:val="24"/>
          <w:szCs w:val="24"/>
          <w:highlight w:val="none"/>
        </w:rPr>
        <w:t>15.3 质量保证金</w:t>
      </w:r>
      <w:bookmarkEnd w:id="663"/>
    </w:p>
    <w:p w14:paraId="5B62EEF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经合同当事人协商一致扣留质量保证金的，应在专用合同条款中予以明确。</w:t>
      </w:r>
    </w:p>
    <w:p w14:paraId="11390D3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在工程项目竣工前，承包人已经提供履约担保的，发包人不得同时预留工程质量保证金。</w:t>
      </w:r>
    </w:p>
    <w:p w14:paraId="0B62C96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p>
    <w:p w14:paraId="3EA19A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15.3.1 承包人提供质量保证金的方式</w:t>
      </w:r>
    </w:p>
    <w:p w14:paraId="602A946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承包人提供质量保证金有以下三种方式：</w:t>
      </w:r>
    </w:p>
    <w:p w14:paraId="6CA486B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（1）质量保证金保函； </w:t>
      </w:r>
    </w:p>
    <w:p w14:paraId="57CF8C2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（2）相应比例的工程款；</w:t>
      </w:r>
    </w:p>
    <w:p w14:paraId="6468FFE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（3）双方约定的其他方式。</w:t>
      </w:r>
    </w:p>
    <w:p w14:paraId="2877416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除专用合同条款另有约定外，质量保证金原则上采用上述第（1）种方式。</w:t>
      </w:r>
    </w:p>
    <w:p w14:paraId="7552916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15.3.2 质量保证金的扣留</w:t>
      </w:r>
    </w:p>
    <w:p w14:paraId="1F256D1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质量保证金的扣留有以下三种方式：</w:t>
      </w:r>
    </w:p>
    <w:p w14:paraId="51E7C69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（1）在支付工程进度款时逐次扣留，在此情形下，质量保证金的计算基数不包括预付款的支付、扣回以及价格调整的金额；</w:t>
      </w:r>
    </w:p>
    <w:p w14:paraId="6D4870C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（2）工</w:t>
      </w:r>
      <w:bookmarkStart w:id="664" w:name="#go6"/>
      <w:bookmarkEnd w:id="664"/>
      <w:r>
        <w:rPr>
          <w:rFonts w:hint="eastAsia" w:ascii="宋体" w:hAnsi="宋体" w:eastAsia="宋体" w:cs="宋体"/>
          <w:b w:val="0"/>
          <w:i w:val="0"/>
          <w:caps w:val="0"/>
          <w:color w:val="auto"/>
          <w:spacing w:val="0"/>
          <w:w w:val="100"/>
          <w:kern w:val="0"/>
          <w:sz w:val="24"/>
          <w:szCs w:val="24"/>
          <w:highlight w:val="none"/>
        </w:rPr>
        <w:t>程竣工结算时一次性扣留质量保证金；</w:t>
      </w:r>
    </w:p>
    <w:p w14:paraId="13B0483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（3）双方约定的其他扣留方式。</w:t>
      </w:r>
    </w:p>
    <w:p w14:paraId="75D743E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除专用合同条款另有约定外，质量保证金的扣留原则上采用上述第（1）种方式。</w:t>
      </w:r>
    </w:p>
    <w:p w14:paraId="1B189AE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w:t>
      </w:r>
      <w:bookmarkStart w:id="665" w:name="#go4"/>
      <w:bookmarkEnd w:id="665"/>
      <w:r>
        <w:rPr>
          <w:rFonts w:hint="eastAsia" w:ascii="宋体" w:hAnsi="宋体" w:eastAsia="宋体" w:cs="宋体"/>
          <w:b w:val="0"/>
          <w:i w:val="0"/>
          <w:caps w:val="0"/>
          <w:color w:val="auto"/>
          <w:spacing w:val="0"/>
          <w:w w:val="100"/>
          <w:kern w:val="0"/>
          <w:sz w:val="24"/>
          <w:szCs w:val="24"/>
          <w:highlight w:val="none"/>
        </w:rPr>
        <w:t>包人累计扣留的质量保证金不得超过工程价款结算总额的3%。如承包人在发包人签发竣工付款证书后28天内提交质量保证金保函，发包人应同时退还扣留的作为质量保证金的工程价款；保函金额不得超过工程价款结算总额的3%。</w:t>
      </w:r>
    </w:p>
    <w:p w14:paraId="033B1D9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发包人在退还质量保证金的同时按照中国人民银行发布的同期同类贷款基准利率支付利息。</w:t>
      </w:r>
    </w:p>
    <w:p w14:paraId="6779A82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15.3.3 </w:t>
      </w:r>
      <w:r>
        <w:rPr>
          <w:rFonts w:hint="eastAsia" w:ascii="宋体" w:hAnsi="宋体" w:eastAsia="宋体" w:cs="宋体"/>
          <w:b w:val="0"/>
          <w:i w:val="0"/>
          <w:caps w:val="0"/>
          <w:color w:val="auto"/>
          <w:spacing w:val="0"/>
          <w:w w:val="100"/>
          <w:sz w:val="24"/>
          <w:szCs w:val="24"/>
          <w:highlight w:val="none"/>
        </w:rPr>
        <w:t>质量保证金</w:t>
      </w:r>
      <w:r>
        <w:rPr>
          <w:rFonts w:hint="eastAsia" w:ascii="宋体" w:hAnsi="宋体" w:eastAsia="宋体" w:cs="宋体"/>
          <w:b w:val="0"/>
          <w:i w:val="0"/>
          <w:caps w:val="0"/>
          <w:color w:val="auto"/>
          <w:spacing w:val="0"/>
          <w:w w:val="100"/>
          <w:kern w:val="0"/>
          <w:sz w:val="24"/>
          <w:szCs w:val="24"/>
          <w:highlight w:val="none"/>
        </w:rPr>
        <w:t>的退还</w:t>
      </w:r>
    </w:p>
    <w:p w14:paraId="7DD6A4F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缺陷责任期内，承包人认真履行合同约定的责任，到期后，承包人可向发包人申请返还保证金。</w:t>
      </w:r>
    </w:p>
    <w:p w14:paraId="4C2CCE0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在接到承包人返还保证金申请后，应于14天内会同承包人按照合同约定的内容进行核实。如无异议，发包人应当按照约定将保证金返还给承包人。对返还期限没有约定或者约定不明确的，发包人应当在核实后14天内将保证金返还承包人，逾期未返还的，依法承担违约责任。发包人在接到承包人返还保证金申请后14天内不予答复，经催告后14天内仍不予答复，视同认可承包人的返还保证金申请。</w:t>
      </w:r>
    </w:p>
    <w:p w14:paraId="3AB1F25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发包人和承包人对保证金预留、返还以及工程维修质量、费用有争议的，按本合同第20条约定的争议和纠纷解决程序处理。</w:t>
      </w:r>
    </w:p>
    <w:p w14:paraId="2F92BEB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66" w:name="_Toc351203602"/>
      <w:r>
        <w:rPr>
          <w:rFonts w:hint="eastAsia" w:ascii="宋体" w:hAnsi="宋体" w:eastAsia="宋体" w:cs="宋体"/>
          <w:b w:val="0"/>
          <w:i w:val="0"/>
          <w:caps w:val="0"/>
          <w:color w:val="auto"/>
          <w:spacing w:val="0"/>
          <w:w w:val="100"/>
          <w:sz w:val="24"/>
          <w:szCs w:val="24"/>
          <w:highlight w:val="none"/>
        </w:rPr>
        <w:t>15.4 保修</w:t>
      </w:r>
      <w:bookmarkEnd w:id="666"/>
    </w:p>
    <w:p w14:paraId="5A456E2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15.4.1保修责任</w:t>
      </w:r>
    </w:p>
    <w:p w14:paraId="7B04BBF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工程保修期从工程竣工验收合格之日起算，具体分部分项工程的保修期由合同当事人在专用合同条款中约定，但不得低于法定最低保修年限。在工程保修期内，承包人应当根据有关法律规定以及合同约定承担保修责任。</w:t>
      </w:r>
    </w:p>
    <w:p w14:paraId="0050D6D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发包人未经竣工验收擅自使用工程的，保修期自</w:t>
      </w:r>
      <w:r>
        <w:rPr>
          <w:rFonts w:hint="eastAsia" w:ascii="宋体" w:hAnsi="宋体" w:eastAsia="宋体" w:cs="宋体"/>
          <w:b w:val="0"/>
          <w:i w:val="0"/>
          <w:caps w:val="0"/>
          <w:color w:val="auto"/>
          <w:spacing w:val="0"/>
          <w:w w:val="100"/>
          <w:kern w:val="0"/>
          <w:sz w:val="24"/>
          <w:szCs w:val="24"/>
          <w:highlight w:val="none"/>
        </w:rPr>
        <w:t>转移占有之日起算</w:t>
      </w:r>
      <w:r>
        <w:rPr>
          <w:rFonts w:hint="eastAsia" w:ascii="宋体" w:hAnsi="宋体" w:eastAsia="宋体" w:cs="宋体"/>
          <w:b w:val="0"/>
          <w:i w:val="0"/>
          <w:caps w:val="0"/>
          <w:color w:val="auto"/>
          <w:spacing w:val="0"/>
          <w:w w:val="100"/>
          <w:sz w:val="24"/>
          <w:szCs w:val="24"/>
          <w:highlight w:val="none"/>
        </w:rPr>
        <w:t>。</w:t>
      </w:r>
    </w:p>
    <w:p w14:paraId="09EF4E2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15.4.2 修复费用</w:t>
      </w:r>
    </w:p>
    <w:p w14:paraId="6503FCE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保修期内，修复的费用按照以下约定处理：</w:t>
      </w:r>
    </w:p>
    <w:p w14:paraId="6EDDB4E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（1）保修期内，因承包人原因造成工程的缺陷、损坏，承包人应负责修复，并承担修复的费用以及因工程的缺陷、损坏造成的人身伤害和财产损失；</w:t>
      </w:r>
    </w:p>
    <w:p w14:paraId="3BA1B0B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（2）保修期内，因发包人使用不当造成工程的缺陷、损坏，可以委托承包人修复，但发包人应承担修复的费用，并支付承包人合理利润；</w:t>
      </w:r>
    </w:p>
    <w:p w14:paraId="00D4275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（3）因其他原因造成工程的缺陷、损坏，可以委托承包人修复，发包人应承担修复的费用，并支付承包人合理的利润，因工程的缺陷、损坏造成的人身伤害和财产损失由责任方承担。</w:t>
      </w:r>
    </w:p>
    <w:p w14:paraId="35DEAD9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15.4.3 修复通知</w:t>
      </w:r>
    </w:p>
    <w:p w14:paraId="67180CD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保修期内，发包人在使用过程中，发现已接收的工程存在缺陷或损坏的，应书面通知承包人予以修复，但情况紧急必须立即修复缺陷或损坏的，发包人可以口头通知承包人并在口头通知后48小时内书面确认，承包人应在专用合同条款约定的合理期限内到达工程现场并修复缺陷或损坏。</w:t>
      </w:r>
    </w:p>
    <w:p w14:paraId="61DAE22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15.4.4 未能修复</w:t>
      </w:r>
    </w:p>
    <w:p w14:paraId="2D6901C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原因造成工程的缺陷或损坏，承包人拒绝维修或未能在合理期限内修复缺陷或损坏，且经发包人书面催告后仍未修复的，发包人有权自行修复或委托第三方修复，所需费用由承包人承担。但修复范围超出缺陷或损坏范围的，超出范围部分的修复费用由发包人承担。</w:t>
      </w:r>
    </w:p>
    <w:p w14:paraId="04091D1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15.4.5 承包人出入权</w:t>
      </w:r>
    </w:p>
    <w:p w14:paraId="7E9A0AE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保修期内，为了修复缺陷或损坏，承包人有权出入工程现场，除情况紧急必须立即修复缺陷或损坏外，承包人应提前24小时通知发包人进场修复的时间。承包人进入工程现场前应获得发包人同意，且不应影响发包人正常的生产经营，并应遵守发包人有关保安和保密等规定。</w:t>
      </w:r>
    </w:p>
    <w:p w14:paraId="3C6BB59E">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67" w:name="_Toc351203603"/>
      <w:bookmarkStart w:id="668" w:name="_Toc13871"/>
      <w:r>
        <w:rPr>
          <w:rFonts w:hint="eastAsia" w:ascii="宋体" w:hAnsi="宋体" w:eastAsia="宋体" w:cs="宋体"/>
          <w:b w:val="0"/>
          <w:i w:val="0"/>
          <w:caps w:val="0"/>
          <w:color w:val="auto"/>
          <w:spacing w:val="0"/>
          <w:w w:val="100"/>
          <w:sz w:val="24"/>
          <w:szCs w:val="24"/>
          <w:highlight w:val="none"/>
        </w:rPr>
        <w:t>16. 违约</w:t>
      </w:r>
      <w:bookmarkEnd w:id="667"/>
      <w:bookmarkEnd w:id="668"/>
    </w:p>
    <w:p w14:paraId="43ED8A23">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69" w:name="_Toc296346630"/>
      <w:bookmarkStart w:id="670" w:name="_Toc296503129"/>
      <w:bookmarkStart w:id="671" w:name="_Toc351203604"/>
      <w:r>
        <w:rPr>
          <w:rFonts w:hint="eastAsia" w:ascii="宋体" w:hAnsi="宋体" w:eastAsia="宋体" w:cs="宋体"/>
          <w:b w:val="0"/>
          <w:i w:val="0"/>
          <w:caps w:val="0"/>
          <w:color w:val="auto"/>
          <w:spacing w:val="0"/>
          <w:w w:val="100"/>
          <w:sz w:val="24"/>
          <w:szCs w:val="24"/>
          <w:highlight w:val="none"/>
        </w:rPr>
        <w:t>16.1 发</w:t>
      </w:r>
      <w:bookmarkEnd w:id="669"/>
      <w:bookmarkEnd w:id="670"/>
      <w:r>
        <w:rPr>
          <w:rFonts w:hint="eastAsia" w:ascii="宋体" w:hAnsi="宋体" w:eastAsia="宋体" w:cs="宋体"/>
          <w:b w:val="0"/>
          <w:i w:val="0"/>
          <w:caps w:val="0"/>
          <w:color w:val="auto"/>
          <w:spacing w:val="0"/>
          <w:w w:val="100"/>
          <w:sz w:val="24"/>
          <w:szCs w:val="24"/>
          <w:highlight w:val="none"/>
        </w:rPr>
        <w:t>包人违约</w:t>
      </w:r>
      <w:bookmarkEnd w:id="671"/>
    </w:p>
    <w:p w14:paraId="7B9F3CE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16.1.1 发包人违约的情形</w:t>
      </w:r>
    </w:p>
    <w:p w14:paraId="5E0C27D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在合同履行过程中发生的下列情形，属于发包人违约：</w:t>
      </w:r>
    </w:p>
    <w:p w14:paraId="29FCF0E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（1）因发包人原因未能在计划开工日期前7天内下达开工通知的；</w:t>
      </w:r>
    </w:p>
    <w:p w14:paraId="0782CE8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（2）因发包人原因未能按合同约定支付合同价款的；</w:t>
      </w:r>
    </w:p>
    <w:p w14:paraId="4E8410F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（3）发包人违反第10.1款〔变更的范围〕第（2）项约定，自行实施被取消的工作或转由他人实施的；</w:t>
      </w:r>
    </w:p>
    <w:p w14:paraId="5B5F67A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（4）发包人提供的材料、工程设备的规格、数量或质量不符合合同约定，或因发包人原因导致交货日期延误或交货地点变更等情况的；</w:t>
      </w:r>
    </w:p>
    <w:p w14:paraId="02E741C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（5）因发包人违反合同约定造成暂停施工的；</w:t>
      </w:r>
    </w:p>
    <w:p w14:paraId="3A603C2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（6）发包人无正当理由没有在约定期限内发出复工指示，导致承包人无法复工的；</w:t>
      </w:r>
    </w:p>
    <w:p w14:paraId="422646A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（7）发包人明确表示或者以其行为表明不履行合同主要义务的；</w:t>
      </w:r>
    </w:p>
    <w:p w14:paraId="50AB336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（8）发包人未能按照合同约定履行其他义务的。</w:t>
      </w:r>
    </w:p>
    <w:p w14:paraId="4B0893F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发生除本项第（7）目以外的违约情况时，承包人可向发包人发出通知，要求发包人采取有效措施纠正违约行为。发包人收到承包人通知后28天内仍不纠正违约行为的，承包人有权暂停相应部位工程施工，并通知监理人。</w:t>
      </w:r>
    </w:p>
    <w:p w14:paraId="08BA54D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16.1.2 发包人违约的责任</w:t>
      </w:r>
    </w:p>
    <w:p w14:paraId="7F86E32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发包人应承担因其违约给承包人增加的费用和（或）延误的工期，并支付承包人合理的利润。此外，合同当事人可在专用合同条款中另行约定发包人违约责任的承担方式和计算方法。</w:t>
      </w:r>
    </w:p>
    <w:p w14:paraId="5E3652C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16.1.3 因发包人违约解除合同</w:t>
      </w:r>
    </w:p>
    <w:p w14:paraId="7BF6009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承包人按第16.1.1项〔发包人违约的情形〕约定暂停施工满28天后，发包人仍不纠正其违约行为并致使合同目的不能实现的，或出现第16.1.1项〔发包人违约的情形〕第（7）目约定的违约情况，承包人有权解除合同，发包人应承担由此增加的费用，并支付承包人合理的利润。</w:t>
      </w:r>
    </w:p>
    <w:p w14:paraId="0B0F516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16.1.4 因发包人违约解除合同后的付款</w:t>
      </w:r>
    </w:p>
    <w:p w14:paraId="7B7253B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承包人按照本款约定解除合同的，发包人应在解除合同后28天内支付下列款项，并解除履约担保：</w:t>
      </w:r>
    </w:p>
    <w:p w14:paraId="752255F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（1）合同解除前所完成工作的价款；</w:t>
      </w:r>
    </w:p>
    <w:p w14:paraId="6EEA431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（2）承包人为工程施工订购并已付款的材料、工程设备和其他物品的价款；</w:t>
      </w:r>
    </w:p>
    <w:p w14:paraId="7A9AFB5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（3）承包人撤离施工现场以及遣散承包人人员的款项；</w:t>
      </w:r>
    </w:p>
    <w:p w14:paraId="6C119F2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（4）按照合同约定在合同解除前应支付的违约金；</w:t>
      </w:r>
    </w:p>
    <w:p w14:paraId="3BB38D8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（5）按照合同约定应当支付给承包人的其他款项；</w:t>
      </w:r>
    </w:p>
    <w:p w14:paraId="78F9A00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（6）按照合同约定应退还的质量保证金；</w:t>
      </w:r>
    </w:p>
    <w:p w14:paraId="09ECAC1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（7）因解除合同给承包人造成的损失。</w:t>
      </w:r>
    </w:p>
    <w:p w14:paraId="7E38172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合同当事人未能就解除合同后的结清达成一致的，按照第20条〔争议解决〕的约定处理。</w:t>
      </w:r>
    </w:p>
    <w:p w14:paraId="20D94EF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承包人应妥善做好已完工程和与工程有关的已购材料、工程设备的保护和移交工作，并将施工设备和人员撤出施工现场，发包人应为承包人撤出提供必要条件。</w:t>
      </w:r>
    </w:p>
    <w:p w14:paraId="4B3D219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72" w:name="_Toc351203605"/>
      <w:r>
        <w:rPr>
          <w:rFonts w:hint="eastAsia" w:ascii="宋体" w:hAnsi="宋体" w:eastAsia="宋体" w:cs="宋体"/>
          <w:b w:val="0"/>
          <w:i w:val="0"/>
          <w:caps w:val="0"/>
          <w:color w:val="auto"/>
          <w:spacing w:val="0"/>
          <w:w w:val="100"/>
          <w:sz w:val="24"/>
          <w:szCs w:val="24"/>
          <w:highlight w:val="none"/>
        </w:rPr>
        <w:t>16.2 承包人违约</w:t>
      </w:r>
      <w:bookmarkEnd w:id="672"/>
    </w:p>
    <w:p w14:paraId="7C23E5B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16.2.1 承包人违约的情形</w:t>
      </w:r>
    </w:p>
    <w:p w14:paraId="7D8C30E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在合同履行过程中发生的下列情形，属于承包人违约：</w:t>
      </w:r>
    </w:p>
    <w:p w14:paraId="7F658B4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（1）承包人违反合同约定进行转包或违法分包的；</w:t>
      </w:r>
    </w:p>
    <w:p w14:paraId="2AF19B8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（2）承包人违反合同约定采购和使用不合格的材料和工程设备的；</w:t>
      </w:r>
    </w:p>
    <w:p w14:paraId="5877021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（3）因承包人原因导致工程质量不符合合同要求的； </w:t>
      </w:r>
    </w:p>
    <w:p w14:paraId="789A5EC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（4）承包人违反第8.9款〔材料与设备专用要求〕的约定，未经批准，私自将已按照合同约定进入施工现场的材料或设备撤离施工现场的；</w:t>
      </w:r>
    </w:p>
    <w:p w14:paraId="2C9286E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（5）承包人未能按施工进度计划及时完成合同约定的工作，造成工期延误的；</w:t>
      </w:r>
    </w:p>
    <w:p w14:paraId="4DE440D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（6）承包人在缺陷责任期及保修期内，未能在合理期限对工程缺陷进行修复，或拒绝按发包人要求进行修复的；</w:t>
      </w:r>
    </w:p>
    <w:p w14:paraId="6C20959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（7）承包人明确表示或者以其行为表明不履行合同主要义务的；</w:t>
      </w:r>
    </w:p>
    <w:p w14:paraId="3BFCDD5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（8）承包人未能按照合同约定履行其他义务的。</w:t>
      </w:r>
    </w:p>
    <w:p w14:paraId="12239CC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承包人发生除本项第（7）目约定以外的其他违约情况时，监理人可向承包人发出整改通知，要求其在指定的期限内改正。</w:t>
      </w:r>
    </w:p>
    <w:p w14:paraId="713951F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16.2.2 承包人违约的责任</w:t>
      </w:r>
    </w:p>
    <w:p w14:paraId="468F1F5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承包人应承担因其违约行为而增加的费用和（或）延误的工期。此外，合同当事人可在专用合同条款中另行约定承包人违约责任的承担方式和计算方法。</w:t>
      </w:r>
    </w:p>
    <w:p w14:paraId="4E49A1E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16.2.3 因承包人违约解除合同</w:t>
      </w:r>
    </w:p>
    <w:p w14:paraId="1638835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出现第16.2.1项〔承包人违约的情形〕第（7）目约定的违约情况时，或监理人发出整改通知后，承包人在指定的合理期限内仍不纠正违约行为并致使合同目的不能实现的，发包人有权解除合同。合同解除后，因继续完成工程的需要，发包人有权使用承包人在施工现场的材料、设备、临时工程、承包人文件和由承包人或以其名义编制的其他文件，合同当事人应在专用合同条款约定相应费用的承担方式。发包人继续使用的行为不免除或减轻承包人应承担的违约责任。</w:t>
      </w:r>
    </w:p>
    <w:p w14:paraId="13783D0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16.2.4因承包人违约解除合同后的处理</w:t>
      </w:r>
    </w:p>
    <w:p w14:paraId="205690F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因承包人原因导致合同解除的，则合同当事人应在合同解除后28天内完成估价、付款和清算，并按以下约定执行：</w:t>
      </w:r>
    </w:p>
    <w:p w14:paraId="32ABE65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（1）合同解除后，按第4.4款〔商定或确定〕商定或确定承包人实际完成工作对应的合同价款，以及承包人已提供的材料、工程设备、施工设备和临时工程等的价值；</w:t>
      </w:r>
    </w:p>
    <w:p w14:paraId="5D3D4C6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（2）合同解除后，承包人应支付的违约金；</w:t>
      </w:r>
    </w:p>
    <w:p w14:paraId="388A55F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（3）合同解除后，因解除合同给发包人造成的损失；</w:t>
      </w:r>
    </w:p>
    <w:p w14:paraId="0315B28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（4）合同解除后，承包人应按照发包人要求和监理人的指示完成现场的清理和撤离；</w:t>
      </w:r>
    </w:p>
    <w:p w14:paraId="64257DE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（5）发包人和承包人应在合同解除后进行清算，出具最终结清付款证书，结清全部款项。</w:t>
      </w:r>
    </w:p>
    <w:p w14:paraId="44076C4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因承包人违约解除合同的，发包人有权暂停对承包人的付款，查清各项付款和已扣款项。发包人和承包人未能就合同解除后的清算和款项支付达成一致的，按照第20条〔争议解决〕的约定处理。</w:t>
      </w:r>
    </w:p>
    <w:p w14:paraId="10E7405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16.2.5采购合同权益转让</w:t>
      </w:r>
    </w:p>
    <w:p w14:paraId="6DA8DB8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承包人违约解除合同的，发包人有权要求承包人将其为实施合同而签订的材料和设备的采购合同的权益转让给发包人，承包人应在收到解除合同通知后14天内，协助发包人与采购合同的供应商达成相关的转让协议。</w:t>
      </w:r>
    </w:p>
    <w:p w14:paraId="4C3E2FBD">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73" w:name="_Toc351203606"/>
      <w:r>
        <w:rPr>
          <w:rFonts w:hint="eastAsia" w:ascii="宋体" w:hAnsi="宋体" w:eastAsia="宋体" w:cs="宋体"/>
          <w:b w:val="0"/>
          <w:i w:val="0"/>
          <w:caps w:val="0"/>
          <w:color w:val="auto"/>
          <w:spacing w:val="0"/>
          <w:w w:val="100"/>
          <w:sz w:val="24"/>
          <w:szCs w:val="24"/>
          <w:highlight w:val="none"/>
        </w:rPr>
        <w:t>16.3 第三人造成的违约</w:t>
      </w:r>
      <w:bookmarkEnd w:id="673"/>
    </w:p>
    <w:p w14:paraId="644BD4C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在履行合同过程中，一方当事人因第三人的原因造成违约的，应当向对方当事人承担违约责任。一方当事人和第三人之间的纠纷，依照法律规定或者按照约定解决。</w:t>
      </w:r>
    </w:p>
    <w:p w14:paraId="634C2CA9">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74" w:name="_Toc24206"/>
      <w:bookmarkStart w:id="675" w:name="_Toc351203607"/>
      <w:bookmarkStart w:id="676" w:name="_Toc337558823"/>
      <w:bookmarkStart w:id="677" w:name="_Toc296346617"/>
      <w:bookmarkStart w:id="678" w:name="_Toc296503116"/>
      <w:r>
        <w:rPr>
          <w:rFonts w:hint="eastAsia" w:ascii="宋体" w:hAnsi="宋体" w:eastAsia="宋体" w:cs="宋体"/>
          <w:b w:val="0"/>
          <w:i w:val="0"/>
          <w:caps w:val="0"/>
          <w:color w:val="auto"/>
          <w:spacing w:val="0"/>
          <w:w w:val="100"/>
          <w:sz w:val="24"/>
          <w:szCs w:val="24"/>
          <w:highlight w:val="none"/>
        </w:rPr>
        <w:t>17. 不可抗力</w:t>
      </w:r>
      <w:bookmarkEnd w:id="674"/>
      <w:bookmarkEnd w:id="675"/>
      <w:r>
        <w:rPr>
          <w:rFonts w:hint="eastAsia" w:ascii="宋体" w:hAnsi="宋体" w:eastAsia="宋体" w:cs="宋体"/>
          <w:b w:val="0"/>
          <w:i w:val="0"/>
          <w:caps w:val="0"/>
          <w:color w:val="auto"/>
          <w:spacing w:val="0"/>
          <w:w w:val="100"/>
          <w:sz w:val="24"/>
          <w:szCs w:val="24"/>
          <w:highlight w:val="none"/>
        </w:rPr>
        <w:t xml:space="preserve"> </w:t>
      </w:r>
      <w:bookmarkEnd w:id="676"/>
      <w:bookmarkEnd w:id="677"/>
      <w:bookmarkEnd w:id="678"/>
    </w:p>
    <w:p w14:paraId="578D7F8E">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79" w:name="_Toc351203608"/>
      <w:r>
        <w:rPr>
          <w:rFonts w:hint="eastAsia" w:ascii="宋体" w:hAnsi="宋体" w:eastAsia="宋体" w:cs="宋体"/>
          <w:b w:val="0"/>
          <w:i w:val="0"/>
          <w:caps w:val="0"/>
          <w:color w:val="auto"/>
          <w:spacing w:val="0"/>
          <w:w w:val="100"/>
          <w:sz w:val="24"/>
          <w:szCs w:val="24"/>
          <w:highlight w:val="none"/>
        </w:rPr>
        <w:t>17.1 不可抗力的确认</w:t>
      </w:r>
      <w:bookmarkEnd w:id="679"/>
    </w:p>
    <w:p w14:paraId="2EB2F54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不可抗力是指合同当事人在签订合同时不可预见，在合同履行过程中不可避免且不能克服的自然灾害和社会性突发事件，如地震、海啸、瘟疫、骚乱、戒严、暴动、战争和专用合同条款中约定的其他情形。</w:t>
      </w:r>
    </w:p>
    <w:p w14:paraId="1734AAC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不可抗力发生后，发包人和承包人应收集证明不可抗力发生及不可抗力造成损失的证据，并及时认真统计所造成的损失。合同当事人对是否属于不可抗力或其损失的意见不一致的，由监理人按第4.4款〔商定或确定〕的约定处理。发生争议时，按第20条〔争议解决〕的约定处理。</w:t>
      </w:r>
    </w:p>
    <w:p w14:paraId="284D395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0" w:name="_Toc351203609"/>
      <w:r>
        <w:rPr>
          <w:rFonts w:hint="eastAsia" w:ascii="宋体" w:hAnsi="宋体" w:eastAsia="宋体" w:cs="宋体"/>
          <w:b w:val="0"/>
          <w:i w:val="0"/>
          <w:caps w:val="0"/>
          <w:color w:val="auto"/>
          <w:spacing w:val="0"/>
          <w:w w:val="100"/>
          <w:sz w:val="24"/>
          <w:szCs w:val="24"/>
          <w:highlight w:val="none"/>
        </w:rPr>
        <w:t>17.2 不可抗力的通知</w:t>
      </w:r>
      <w:bookmarkEnd w:id="680"/>
    </w:p>
    <w:p w14:paraId="3D53981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合同一方当事人遇到不可抗力事件，使其履行合同义务受到阻碍时，应立即通知合同另一方当事人和监理人，书面说明不可抗力和受阻碍的详细情况，并提供必要的证明。</w:t>
      </w:r>
    </w:p>
    <w:p w14:paraId="6B0F1C8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不可抗力持续发生的，合同一方当事人应及时向合同另一方当事人和监理人提交中间报告，说明不可抗力和履行合同受阻的情况，并于不可抗力事件结束后28天内提交最终报告及有关资料。</w:t>
      </w:r>
    </w:p>
    <w:p w14:paraId="56095AE7">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1" w:name="_Toc351203610"/>
      <w:r>
        <w:rPr>
          <w:rFonts w:hint="eastAsia" w:ascii="宋体" w:hAnsi="宋体" w:eastAsia="宋体" w:cs="宋体"/>
          <w:b w:val="0"/>
          <w:i w:val="0"/>
          <w:caps w:val="0"/>
          <w:color w:val="auto"/>
          <w:spacing w:val="0"/>
          <w:w w:val="100"/>
          <w:sz w:val="24"/>
          <w:szCs w:val="24"/>
          <w:highlight w:val="none"/>
        </w:rPr>
        <w:t>17.3 不可抗力后果的承担</w:t>
      </w:r>
      <w:bookmarkEnd w:id="681"/>
    </w:p>
    <w:p w14:paraId="31D5F06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17.3.1 不可抗力引起的后果及造成的损失由合同当事人按照法律规定及合同约定各自承担。不可抗力发生前已完成的工程应当按照合同约定进行计量支付。</w:t>
      </w:r>
    </w:p>
    <w:p w14:paraId="2912144C">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17.3.2 不可抗力导致的人员伤亡、财产损失、费用增加和（或）工期延误等后果，由合同当事人按以下原则承担：</w:t>
      </w:r>
    </w:p>
    <w:p w14:paraId="5016233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（1）永久工程、已运至施工现场的材料和工程设备的损坏，以及因工程损坏造成的第三人人员伤亡和财产损失由发包人承担；</w:t>
      </w:r>
    </w:p>
    <w:p w14:paraId="3049258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（2）承包人施工设备的损坏由承包人承担；</w:t>
      </w:r>
    </w:p>
    <w:p w14:paraId="252D04B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（3）发包人和承包人承担各自人员伤亡和财产的损失；</w:t>
      </w:r>
    </w:p>
    <w:p w14:paraId="04AB647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（4）因不可抗力影响承包人履行合同约定的义务，已经引起或将引起工期延误的，应当顺延工期，由此导致承包人停工的费用损失由发包人和承包人合理分担，停工期间必须支付的工人工资由发包人承担；</w:t>
      </w:r>
    </w:p>
    <w:p w14:paraId="6FB37E4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（5）因不可抗力引起或将引起工期延误，发包人要求赶工的，由此增加的赶工费用由发包人承担；</w:t>
      </w:r>
    </w:p>
    <w:p w14:paraId="0C723D9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（6）承包人在停工期间按照发包人要求照管、清理和修复工程的费用由发包人承担。</w:t>
      </w:r>
    </w:p>
    <w:p w14:paraId="07B9DFE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不可抗力发生后，合同当事人均应采取措施尽量避免和减少损失的扩大，任何一方当事人没有采取有效措施导致损失扩大的，应对扩大的损失承担责任。</w:t>
      </w:r>
    </w:p>
    <w:p w14:paraId="5C33E06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因合同一方迟延履行合同义务，在迟延履行期间遭遇不可抗力的，不免除其违约责任。</w:t>
      </w:r>
    </w:p>
    <w:p w14:paraId="3E8BFEA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2" w:name="_Toc351203611"/>
      <w:r>
        <w:rPr>
          <w:rFonts w:hint="eastAsia" w:ascii="宋体" w:hAnsi="宋体" w:eastAsia="宋体" w:cs="宋体"/>
          <w:b w:val="0"/>
          <w:i w:val="0"/>
          <w:caps w:val="0"/>
          <w:color w:val="auto"/>
          <w:spacing w:val="0"/>
          <w:w w:val="100"/>
          <w:sz w:val="24"/>
          <w:szCs w:val="24"/>
          <w:highlight w:val="none"/>
        </w:rPr>
        <w:t>17.4 因不可抗力解除合同</w:t>
      </w:r>
      <w:bookmarkEnd w:id="682"/>
    </w:p>
    <w:p w14:paraId="64D34B2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因不可抗力导致合同无法履行连续超过84天或累计超过</w:t>
      </w:r>
      <w:r>
        <w:rPr>
          <w:rFonts w:hint="eastAsia" w:ascii="宋体" w:hAnsi="宋体" w:cs="宋体"/>
          <w:b w:val="0"/>
          <w:i w:val="0"/>
          <w:caps w:val="0"/>
          <w:color w:val="auto"/>
          <w:spacing w:val="0"/>
          <w:w w:val="100"/>
          <w:kern w:val="0"/>
          <w:sz w:val="24"/>
          <w:szCs w:val="24"/>
          <w:highlight w:val="none"/>
          <w:lang w:val="en-US" w:eastAsia="zh-CN"/>
        </w:rPr>
        <w:t>140</w:t>
      </w:r>
      <w:r>
        <w:rPr>
          <w:rFonts w:hint="eastAsia" w:ascii="宋体" w:hAnsi="宋体" w:cs="宋体"/>
          <w:b w:val="0"/>
          <w:i w:val="0"/>
          <w:caps w:val="0"/>
          <w:color w:val="auto"/>
          <w:spacing w:val="0"/>
          <w:w w:val="100"/>
          <w:kern w:val="0"/>
          <w:sz w:val="24"/>
          <w:szCs w:val="24"/>
          <w:highlight w:val="none"/>
          <w:lang w:eastAsia="zh-CN"/>
        </w:rPr>
        <w:t>天</w:t>
      </w:r>
      <w:r>
        <w:rPr>
          <w:rFonts w:hint="eastAsia" w:ascii="宋体" w:hAnsi="宋体" w:eastAsia="宋体" w:cs="宋体"/>
          <w:b w:val="0"/>
          <w:i w:val="0"/>
          <w:caps w:val="0"/>
          <w:color w:val="auto"/>
          <w:spacing w:val="0"/>
          <w:w w:val="100"/>
          <w:kern w:val="0"/>
          <w:sz w:val="24"/>
          <w:szCs w:val="24"/>
          <w:highlight w:val="none"/>
        </w:rPr>
        <w:t>的，发包人和承包人均有权解除合同。合同解除后，由双方当事人按照第4.4款〔商定或确定〕商定或确定发包人应支付的款项，该款项包括：</w:t>
      </w:r>
    </w:p>
    <w:p w14:paraId="51B8438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（1）合同解除前承包人已完成工作的价款；</w:t>
      </w:r>
    </w:p>
    <w:p w14:paraId="0D8E6DE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（2）承包人为工程订购的并已交付给承包人，或承包人有责任接受交付的材料、工程设备和其他物品的价款；</w:t>
      </w:r>
    </w:p>
    <w:p w14:paraId="0AEDC39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（3）发包人要求承包人退货或解除订货合同而产生的费用，或因不能退货或解除合同而产生的损失；</w:t>
      </w:r>
    </w:p>
    <w:p w14:paraId="1874627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（4）承包人撤离施工现场以及遣散承包人人员的费用；</w:t>
      </w:r>
    </w:p>
    <w:p w14:paraId="0CE61B6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（5）按照合同约定在合同解除前应支付给承包人的其他款项；</w:t>
      </w:r>
    </w:p>
    <w:p w14:paraId="2160E7D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（6）扣减承包人按照合同约定应向发包人支付的款项；</w:t>
      </w:r>
    </w:p>
    <w:p w14:paraId="2BD9671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（7）双方商定或确定的其他款项。</w:t>
      </w:r>
    </w:p>
    <w:p w14:paraId="4120988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除专用合同条款另有约定外，合同解除后，发包人应在商定或确定上述款项后28天内完成上述款项的支付。</w:t>
      </w:r>
    </w:p>
    <w:p w14:paraId="66028E90">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83" w:name="_Toc351203612"/>
      <w:bookmarkStart w:id="684" w:name="_Toc4478"/>
      <w:r>
        <w:rPr>
          <w:rFonts w:hint="eastAsia" w:ascii="宋体" w:hAnsi="宋体" w:eastAsia="宋体" w:cs="宋体"/>
          <w:b w:val="0"/>
          <w:i w:val="0"/>
          <w:caps w:val="0"/>
          <w:color w:val="auto"/>
          <w:spacing w:val="0"/>
          <w:w w:val="100"/>
          <w:sz w:val="24"/>
          <w:szCs w:val="24"/>
          <w:highlight w:val="none"/>
        </w:rPr>
        <w:t>18. 保险</w:t>
      </w:r>
      <w:bookmarkEnd w:id="683"/>
      <w:bookmarkEnd w:id="684"/>
    </w:p>
    <w:p w14:paraId="70F9D73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5" w:name="_Toc351203613"/>
      <w:r>
        <w:rPr>
          <w:rFonts w:hint="eastAsia" w:ascii="宋体" w:hAnsi="宋体" w:eastAsia="宋体" w:cs="宋体"/>
          <w:b w:val="0"/>
          <w:i w:val="0"/>
          <w:caps w:val="0"/>
          <w:color w:val="auto"/>
          <w:spacing w:val="0"/>
          <w:w w:val="100"/>
          <w:sz w:val="24"/>
          <w:szCs w:val="24"/>
          <w:highlight w:val="none"/>
        </w:rPr>
        <w:t>18.1 工程保险</w:t>
      </w:r>
      <w:bookmarkEnd w:id="685"/>
    </w:p>
    <w:p w14:paraId="7BBC7230">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除专用合同条款另有约定外，发包人应投保</w:t>
      </w:r>
      <w:r>
        <w:rPr>
          <w:rFonts w:hint="eastAsia" w:ascii="宋体" w:hAnsi="宋体" w:cs="宋体"/>
          <w:b w:val="0"/>
          <w:i w:val="0"/>
          <w:caps w:val="0"/>
          <w:color w:val="auto"/>
          <w:spacing w:val="0"/>
          <w:w w:val="100"/>
          <w:kern w:val="0"/>
          <w:sz w:val="24"/>
          <w:szCs w:val="24"/>
          <w:highlight w:val="none"/>
          <w:lang w:eastAsia="zh-CN"/>
        </w:rPr>
        <w:t>市政工程</w:t>
      </w:r>
      <w:r>
        <w:rPr>
          <w:rFonts w:hint="eastAsia" w:ascii="宋体" w:hAnsi="宋体" w:eastAsia="宋体" w:cs="宋体"/>
          <w:b w:val="0"/>
          <w:i w:val="0"/>
          <w:caps w:val="0"/>
          <w:color w:val="auto"/>
          <w:spacing w:val="0"/>
          <w:w w:val="100"/>
          <w:kern w:val="0"/>
          <w:sz w:val="24"/>
          <w:szCs w:val="24"/>
          <w:highlight w:val="none"/>
        </w:rPr>
        <w:t>一切险或安装工程一切险；发包人委托承包人投保的，因投保产生的保险费和其他相关费用由发包人承担。</w:t>
      </w:r>
    </w:p>
    <w:p w14:paraId="339547E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6" w:name="_Toc351203614"/>
      <w:r>
        <w:rPr>
          <w:rFonts w:hint="eastAsia" w:ascii="宋体" w:hAnsi="宋体" w:eastAsia="宋体" w:cs="宋体"/>
          <w:b w:val="0"/>
          <w:i w:val="0"/>
          <w:caps w:val="0"/>
          <w:color w:val="auto"/>
          <w:spacing w:val="0"/>
          <w:w w:val="100"/>
          <w:sz w:val="24"/>
          <w:szCs w:val="24"/>
          <w:highlight w:val="none"/>
        </w:rPr>
        <w:t>18.2 工伤保险</w:t>
      </w:r>
      <w:bookmarkEnd w:id="686"/>
    </w:p>
    <w:p w14:paraId="5C96E84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18.2.1 发包人应依照法律规定参加工伤保险，并为在施工现场的全部员工办理工伤保险，缴纳工伤保险费，并要求监理人及由发包人为履行合同聘请的第三方依法参加工伤保险。</w:t>
      </w:r>
    </w:p>
    <w:p w14:paraId="1CE65325">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18.2.2 承包人应依照法律规定参加工伤保险，并为其履行合同的全部员工办理工伤保险，缴纳工伤保险费，并要求分包人及由承包人为履行合同聘请的第三方依法参加工伤保险。</w:t>
      </w:r>
    </w:p>
    <w:p w14:paraId="4CA2E4E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7" w:name="_Toc351203615"/>
      <w:r>
        <w:rPr>
          <w:rFonts w:hint="eastAsia" w:ascii="宋体" w:hAnsi="宋体" w:eastAsia="宋体" w:cs="宋体"/>
          <w:b w:val="0"/>
          <w:i w:val="0"/>
          <w:caps w:val="0"/>
          <w:color w:val="auto"/>
          <w:spacing w:val="0"/>
          <w:w w:val="100"/>
          <w:sz w:val="24"/>
          <w:szCs w:val="24"/>
          <w:highlight w:val="none"/>
        </w:rPr>
        <w:t>18.3其他保险</w:t>
      </w:r>
      <w:bookmarkEnd w:id="687"/>
    </w:p>
    <w:p w14:paraId="4557CAF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发包人和承包人可以为其施工现场的全部人员办理意外伤害保险并支付保险费，包括其员工及为履行合同聘请的第三方的人员，具体事项由合同当事人在专用合同条款约定。</w:t>
      </w:r>
    </w:p>
    <w:p w14:paraId="7F7B69D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除专用合同条款另有约定外，承包人应为其施工设备等办理财产保险。</w:t>
      </w:r>
    </w:p>
    <w:p w14:paraId="4354C026">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8" w:name="_Toc351203616"/>
      <w:r>
        <w:rPr>
          <w:rFonts w:hint="eastAsia" w:ascii="宋体" w:hAnsi="宋体" w:eastAsia="宋体" w:cs="宋体"/>
          <w:b w:val="0"/>
          <w:i w:val="0"/>
          <w:caps w:val="0"/>
          <w:color w:val="auto"/>
          <w:spacing w:val="0"/>
          <w:w w:val="100"/>
          <w:sz w:val="24"/>
          <w:szCs w:val="24"/>
          <w:highlight w:val="none"/>
        </w:rPr>
        <w:t>18.4持续保险</w:t>
      </w:r>
      <w:bookmarkEnd w:id="688"/>
    </w:p>
    <w:p w14:paraId="29F4D31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合同当事人应与保险人保持联系，使保险人能够随时了解工程实施中的变动，并确保按保险合同条款要求持续保险。</w:t>
      </w:r>
    </w:p>
    <w:p w14:paraId="3A0BABE2">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89" w:name="_Toc351203617"/>
      <w:r>
        <w:rPr>
          <w:rFonts w:hint="eastAsia" w:ascii="宋体" w:hAnsi="宋体" w:eastAsia="宋体" w:cs="宋体"/>
          <w:b w:val="0"/>
          <w:i w:val="0"/>
          <w:caps w:val="0"/>
          <w:color w:val="auto"/>
          <w:spacing w:val="0"/>
          <w:w w:val="100"/>
          <w:sz w:val="24"/>
          <w:szCs w:val="24"/>
          <w:highlight w:val="none"/>
        </w:rPr>
        <w:t>18.5 保险凭证</w:t>
      </w:r>
      <w:bookmarkEnd w:id="689"/>
    </w:p>
    <w:p w14:paraId="2A0EE7AF">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合同当事人应及时向另一方当事人提交其已投保的各项保险的凭证和保险单复印件。</w:t>
      </w:r>
    </w:p>
    <w:p w14:paraId="2BC06C2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90" w:name="_Toc351203618"/>
      <w:r>
        <w:rPr>
          <w:rFonts w:hint="eastAsia" w:ascii="宋体" w:hAnsi="宋体" w:eastAsia="宋体" w:cs="宋体"/>
          <w:b w:val="0"/>
          <w:i w:val="0"/>
          <w:caps w:val="0"/>
          <w:color w:val="auto"/>
          <w:spacing w:val="0"/>
          <w:w w:val="100"/>
          <w:sz w:val="24"/>
          <w:szCs w:val="24"/>
          <w:highlight w:val="none"/>
        </w:rPr>
        <w:t>18.6 未按约定投保的补救</w:t>
      </w:r>
      <w:bookmarkEnd w:id="690"/>
    </w:p>
    <w:p w14:paraId="03B129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18.6.1发包人未按合同约定办理保险，或未能使保险持续有效的，则承包人可代为办理，所需费用由发包人承担。发包人未按合同约定办理保险，导致未能得到足额赔偿的，由发包人负责补足。</w:t>
      </w:r>
    </w:p>
    <w:p w14:paraId="51A2EE8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18.6.2承包人未按合同约定办理保险，或未能使保险持续有效的，则发包人可代为办理，所需费用由承包人承担。承包人未按合同约定办理保险，导致未能得到足额赔偿的，由承包人负责补足。</w:t>
      </w:r>
    </w:p>
    <w:p w14:paraId="4797B699">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91" w:name="_Toc351203619"/>
      <w:r>
        <w:rPr>
          <w:rFonts w:hint="eastAsia" w:ascii="宋体" w:hAnsi="宋体" w:eastAsia="宋体" w:cs="宋体"/>
          <w:b w:val="0"/>
          <w:i w:val="0"/>
          <w:caps w:val="0"/>
          <w:color w:val="auto"/>
          <w:spacing w:val="0"/>
          <w:w w:val="100"/>
          <w:sz w:val="24"/>
          <w:szCs w:val="24"/>
          <w:highlight w:val="none"/>
        </w:rPr>
        <w:t>18.7 通知义务</w:t>
      </w:r>
      <w:bookmarkEnd w:id="691"/>
    </w:p>
    <w:p w14:paraId="4E371CB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除专用合同条款另有约定外，发包人变更除工伤保险之外的保险合同时，应事先征得承包人同意，并通知监理人；承包人变更除工伤保险之外的保险合同时，应事先征得发包人同意，并通知监理人。</w:t>
      </w:r>
    </w:p>
    <w:p w14:paraId="3C19A49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保险事故发生时，投保人应按照保险合同规定的条件和期限及时向保险人报告。发包人和承包人应当在知道保险事故发生后及时通知对方。</w:t>
      </w:r>
    </w:p>
    <w:p w14:paraId="31FAEBF3">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92" w:name="_Toc351203620"/>
      <w:bookmarkStart w:id="693" w:name="_Toc22772"/>
      <w:r>
        <w:rPr>
          <w:rFonts w:hint="eastAsia" w:ascii="宋体" w:hAnsi="宋体" w:eastAsia="宋体" w:cs="宋体"/>
          <w:b w:val="0"/>
          <w:i w:val="0"/>
          <w:caps w:val="0"/>
          <w:color w:val="auto"/>
          <w:spacing w:val="0"/>
          <w:w w:val="100"/>
          <w:sz w:val="24"/>
          <w:szCs w:val="24"/>
          <w:highlight w:val="none"/>
        </w:rPr>
        <w:t>19. 索赔</w:t>
      </w:r>
      <w:bookmarkEnd w:id="692"/>
      <w:bookmarkEnd w:id="693"/>
    </w:p>
    <w:p w14:paraId="3AFCDFDA">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94" w:name="_Toc351203621"/>
      <w:r>
        <w:rPr>
          <w:rFonts w:hint="eastAsia" w:ascii="宋体" w:hAnsi="宋体" w:eastAsia="宋体" w:cs="宋体"/>
          <w:b w:val="0"/>
          <w:i w:val="0"/>
          <w:caps w:val="0"/>
          <w:color w:val="auto"/>
          <w:spacing w:val="0"/>
          <w:w w:val="100"/>
          <w:sz w:val="24"/>
          <w:szCs w:val="24"/>
          <w:highlight w:val="none"/>
        </w:rPr>
        <w:t>19.1承包人的索赔</w:t>
      </w:r>
      <w:bookmarkEnd w:id="694"/>
    </w:p>
    <w:p w14:paraId="7604E677">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根据合同约定，承包人认为有权得到追加付款和（或）延长工期的，应按以下程序向发包人提出索赔：</w:t>
      </w:r>
    </w:p>
    <w:p w14:paraId="694AB40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（1）承包人应在知道或应当知道索赔事件发生后28天内，向监理人递交索赔意向通知书，并说明发生索赔事件的事由；承包人未在前述28天内发出索赔意向通知书的，丧失要求追加付款和（或）延长工期的权利；</w:t>
      </w:r>
    </w:p>
    <w:p w14:paraId="7EAC536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（2）承包人应在发出索赔意向通知书后28天内，向监理人正式递交索赔报告；索赔报告应详细说明索赔理由以及要求追加的付款金额和（或）延长的工期，并附必要的记录和证明材料；</w:t>
      </w:r>
    </w:p>
    <w:p w14:paraId="1ABBC34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（3）索赔事件具有持续影响的，承包人应按合理时间间隔继续递交延续索赔通知，说明持续影响的实际情况和记录，列出累计的追加付款金额和（或）工期延长天数；</w:t>
      </w:r>
    </w:p>
    <w:p w14:paraId="175D2D1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（4）在索赔事件影响结束后28天内，承包人应向监理人递交最终索赔报告，说明最终要求索赔的追加付款金额和（或）延长的工期，并附必要的记录和证明材料。</w:t>
      </w:r>
    </w:p>
    <w:p w14:paraId="0ACC861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95" w:name="_Toc351203622"/>
      <w:r>
        <w:rPr>
          <w:rFonts w:hint="eastAsia" w:ascii="宋体" w:hAnsi="宋体" w:eastAsia="宋体" w:cs="宋体"/>
          <w:b w:val="0"/>
          <w:i w:val="0"/>
          <w:caps w:val="0"/>
          <w:color w:val="auto"/>
          <w:spacing w:val="0"/>
          <w:w w:val="100"/>
          <w:sz w:val="24"/>
          <w:szCs w:val="24"/>
          <w:highlight w:val="none"/>
        </w:rPr>
        <w:t>19.2 对承包人索赔的处理</w:t>
      </w:r>
      <w:bookmarkEnd w:id="695"/>
    </w:p>
    <w:p w14:paraId="3B7D2D7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对承包人索赔的处理如下：</w:t>
      </w:r>
    </w:p>
    <w:p w14:paraId="08500C2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（1）监理人应在收到索赔报告后14天内完成审查并报送发包人。监理人对索赔报告存在异议的，有权要求承包人提交全部原始记录副本；</w:t>
      </w:r>
    </w:p>
    <w:p w14:paraId="6A527CA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（2）发包人应在监理人收到索赔报告或有关索赔的进一步证明材料后的28天内，由监理人向承包人出具经发包人签认的索赔处理结果。发包人逾期答复的，则视为认可承包人的索赔要求；</w:t>
      </w:r>
    </w:p>
    <w:p w14:paraId="24D521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（3）承包人接受索赔处理结果的，索赔款项在当期进度款中进行支付；承包人不接受索赔处理结果的，按照第20条〔争议解决〕约定处理。</w:t>
      </w:r>
    </w:p>
    <w:p w14:paraId="435FE0B8">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96" w:name="_Toc351203623"/>
      <w:r>
        <w:rPr>
          <w:rFonts w:hint="eastAsia" w:ascii="宋体" w:hAnsi="宋体" w:eastAsia="宋体" w:cs="宋体"/>
          <w:b w:val="0"/>
          <w:i w:val="0"/>
          <w:caps w:val="0"/>
          <w:color w:val="auto"/>
          <w:spacing w:val="0"/>
          <w:w w:val="100"/>
          <w:sz w:val="24"/>
          <w:szCs w:val="24"/>
          <w:highlight w:val="none"/>
        </w:rPr>
        <w:t>19.3发包人的索赔</w:t>
      </w:r>
      <w:bookmarkEnd w:id="696"/>
    </w:p>
    <w:p w14:paraId="39EA8E6E">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根据合同约定，发包人认为有权得到赔付金额和（或）延长缺陷责任期的，监理人应向承包人发出通知并附有详细的证明。</w:t>
      </w:r>
    </w:p>
    <w:p w14:paraId="43A9181B">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应在知道或应当知道索赔事件发生后28天内通过监理人向承包人提出索赔意向通知书，发包人未在前述28天内发出索赔意向通知书的，丧失要求赔付金额和（或）延长缺陷责任期的权利。发包人应在发出索赔意向通知书后28天内，通过监理人向承包人正式递交索赔报告。</w:t>
      </w:r>
    </w:p>
    <w:p w14:paraId="67AA18EC">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97" w:name="_Toc351203624"/>
      <w:r>
        <w:rPr>
          <w:rFonts w:hint="eastAsia" w:ascii="宋体" w:hAnsi="宋体" w:eastAsia="宋体" w:cs="宋体"/>
          <w:b w:val="0"/>
          <w:i w:val="0"/>
          <w:caps w:val="0"/>
          <w:color w:val="auto"/>
          <w:spacing w:val="0"/>
          <w:w w:val="100"/>
          <w:sz w:val="24"/>
          <w:szCs w:val="24"/>
          <w:highlight w:val="none"/>
        </w:rPr>
        <w:t>19.4 对发包人索赔的处理</w:t>
      </w:r>
      <w:bookmarkEnd w:id="697"/>
    </w:p>
    <w:p w14:paraId="16AE07B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对发包人索赔的处理如下：</w:t>
      </w:r>
    </w:p>
    <w:p w14:paraId="5DAA5D3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（1）承包人收到发包人提交的索赔报告后，应及时审查索赔报告的内容、查验发包人证明材料；</w:t>
      </w:r>
    </w:p>
    <w:p w14:paraId="552174D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（2）承包人应在收到索赔报告或有关索赔的进一步证明材料后28天内，将索赔处理结果答复发包人。如果承包人未在上述期限内作出答复的，则视为对发包人索赔要求的认可；</w:t>
      </w:r>
    </w:p>
    <w:p w14:paraId="2ECCA59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（3）承包人接受索赔处理结果的，发包人可从应支付给承包人的合同价款中扣除赔付的金额或延长缺陷责任期；发包人不接受索赔处理结果的，按第20条〔争议解决〕约定处理。</w:t>
      </w:r>
    </w:p>
    <w:p w14:paraId="613DD94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698" w:name="_Toc351203625"/>
      <w:r>
        <w:rPr>
          <w:rFonts w:hint="eastAsia" w:ascii="宋体" w:hAnsi="宋体" w:eastAsia="宋体" w:cs="宋体"/>
          <w:b w:val="0"/>
          <w:i w:val="0"/>
          <w:caps w:val="0"/>
          <w:color w:val="auto"/>
          <w:spacing w:val="0"/>
          <w:w w:val="100"/>
          <w:sz w:val="24"/>
          <w:szCs w:val="24"/>
          <w:highlight w:val="none"/>
        </w:rPr>
        <w:t>19.5 提出索赔的期限</w:t>
      </w:r>
      <w:bookmarkEnd w:id="698"/>
    </w:p>
    <w:p w14:paraId="400369DD">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（1）承包人按第14.2款〔竣工结算审核〕约定接收竣工付款证书后，应被视为已无权再提出在工程接收证书颁发前所发生的任何索赔。</w:t>
      </w:r>
    </w:p>
    <w:p w14:paraId="379315F8">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（2）承包人按第14.4款〔最终结清〕提交的最终结清申请单中，只限于提出工程接收证书颁发后发生的索赔。提出索赔的期限自接受最终结清证书时终止。</w:t>
      </w:r>
    </w:p>
    <w:p w14:paraId="785FB2BD">
      <w:pPr>
        <w:pStyle w:val="5"/>
        <w:snapToGrid w:val="0"/>
        <w:spacing w:before="120" w:beforeAutospacing="0" w:after="120" w:afterAutospacing="0" w:line="360" w:lineRule="auto"/>
        <w:textAlignment w:val="baseline"/>
        <w:outlineLvl w:val="1"/>
        <w:rPr>
          <w:rFonts w:hint="eastAsia" w:ascii="宋体" w:hAnsi="宋体" w:eastAsia="宋体" w:cs="宋体"/>
          <w:b w:val="0"/>
          <w:i w:val="0"/>
          <w:caps w:val="0"/>
          <w:color w:val="auto"/>
          <w:spacing w:val="0"/>
          <w:w w:val="100"/>
          <w:sz w:val="24"/>
          <w:szCs w:val="24"/>
          <w:highlight w:val="none"/>
        </w:rPr>
      </w:pPr>
      <w:bookmarkStart w:id="699" w:name="_Toc351203626"/>
      <w:bookmarkStart w:id="700" w:name="_Toc29811"/>
      <w:r>
        <w:rPr>
          <w:rFonts w:hint="eastAsia" w:ascii="宋体" w:hAnsi="宋体" w:eastAsia="宋体" w:cs="宋体"/>
          <w:b w:val="0"/>
          <w:i w:val="0"/>
          <w:caps w:val="0"/>
          <w:color w:val="auto"/>
          <w:spacing w:val="0"/>
          <w:w w:val="100"/>
          <w:sz w:val="24"/>
          <w:szCs w:val="24"/>
          <w:highlight w:val="none"/>
        </w:rPr>
        <w:t>20. 争议解决</w:t>
      </w:r>
      <w:bookmarkEnd w:id="699"/>
      <w:bookmarkEnd w:id="700"/>
    </w:p>
    <w:p w14:paraId="6FF27880">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701" w:name="_Toc351203627"/>
      <w:r>
        <w:rPr>
          <w:rFonts w:hint="eastAsia" w:ascii="宋体" w:hAnsi="宋体" w:eastAsia="宋体" w:cs="宋体"/>
          <w:b w:val="0"/>
          <w:i w:val="0"/>
          <w:caps w:val="0"/>
          <w:color w:val="auto"/>
          <w:spacing w:val="0"/>
          <w:w w:val="100"/>
          <w:sz w:val="24"/>
          <w:szCs w:val="24"/>
          <w:highlight w:val="none"/>
        </w:rPr>
        <w:t>20.1和解</w:t>
      </w:r>
      <w:bookmarkEnd w:id="701"/>
    </w:p>
    <w:p w14:paraId="712995C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合同当事人可以就争议自行和解，自行和解达成协议的经双方签字并盖章后作为合同补充文件，双方均应遵照执行。</w:t>
      </w:r>
    </w:p>
    <w:p w14:paraId="1E87DDC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702" w:name="_Toc351203628"/>
      <w:r>
        <w:rPr>
          <w:rFonts w:hint="eastAsia" w:ascii="宋体" w:hAnsi="宋体" w:eastAsia="宋体" w:cs="宋体"/>
          <w:b w:val="0"/>
          <w:i w:val="0"/>
          <w:caps w:val="0"/>
          <w:color w:val="auto"/>
          <w:spacing w:val="0"/>
          <w:w w:val="100"/>
          <w:sz w:val="24"/>
          <w:szCs w:val="24"/>
          <w:highlight w:val="none"/>
        </w:rPr>
        <w:t>20.2调解</w:t>
      </w:r>
      <w:bookmarkEnd w:id="702"/>
    </w:p>
    <w:p w14:paraId="60CBA84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合同当事人可以就争议请求建设行政主管部门、行业协会或其他第三方进行调解，调解达成协议的，经双方签字并盖章后作为合同补充文件，双方均应遵照执行。</w:t>
      </w:r>
    </w:p>
    <w:p w14:paraId="64CFAAF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703" w:name="_Toc351203629"/>
      <w:r>
        <w:rPr>
          <w:rFonts w:hint="eastAsia" w:ascii="宋体" w:hAnsi="宋体" w:eastAsia="宋体" w:cs="宋体"/>
          <w:b w:val="0"/>
          <w:i w:val="0"/>
          <w:caps w:val="0"/>
          <w:color w:val="auto"/>
          <w:spacing w:val="0"/>
          <w:w w:val="100"/>
          <w:sz w:val="24"/>
          <w:szCs w:val="24"/>
          <w:highlight w:val="none"/>
        </w:rPr>
        <w:t>20.3争议评审</w:t>
      </w:r>
      <w:bookmarkEnd w:id="703"/>
    </w:p>
    <w:p w14:paraId="7D32A50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合同当事人在专用合同条款中约定采取争议评审方式解决争议以及评审规则，并按下列约定执行： </w:t>
      </w:r>
    </w:p>
    <w:p w14:paraId="51FE15E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20.3.1 争议评审小组的确定</w:t>
      </w:r>
    </w:p>
    <w:p w14:paraId="7D2A4243">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合同当事人可以共同选择一名或三名争议评审员，组成争议评审小组。除专用合同条款另有约定外，合同当事人应当自合同签订后28天内，或者争议发生后14天内，选定争议评审员。</w:t>
      </w:r>
    </w:p>
    <w:p w14:paraId="7B36D05D">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选择一名争议评审员的，由合同当事人共同确定；选择三名争议评审员的，各自选定一名，第三名成员为首席争议评审员，由合同当事人共同确定或由合同当事人委托已选定的争议评审员共同确定，或由专用合同条款约定的评审机构指定第三名首席争议评审员。 </w:t>
      </w:r>
    </w:p>
    <w:p w14:paraId="2455E5D6">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除专用合同条款另有约定外，评审员报酬由发包人和承包人各承担一半。</w:t>
      </w:r>
    </w:p>
    <w:p w14:paraId="4F433BD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20.3.2 争议评审小组的决定</w:t>
      </w:r>
    </w:p>
    <w:p w14:paraId="10430619">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合同当事人可在任何时间将与合同有关的任何争议共同提请争议评审小组进行评审。争议评审小组应秉持客观、公正原则，充分听取合同当事人的意见，依据相关法律、规范、标准、案例经验及商业惯例等，自收到争议评审申请报告后14天内作出书面决定，并说明理由。合同当事人可以在专用合同条款中对本项事项另行约定。</w:t>
      </w:r>
    </w:p>
    <w:p w14:paraId="09F238E4">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20.3.3 争议评审小组决定的效力</w:t>
      </w:r>
    </w:p>
    <w:p w14:paraId="09D8E81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争议评审小组作出的书面决定经合同当事人签字确认后，对双方具有约束力，双方应遵照执行。</w:t>
      </w:r>
    </w:p>
    <w:p w14:paraId="2BD9FC18">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任何一方当事人不接受争议评审小组决定或不履行争议评审小组决定的，双方可选择采用其他争议解决方式。</w:t>
      </w:r>
    </w:p>
    <w:p w14:paraId="1BBC95A1">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704" w:name="_Toc351203630"/>
      <w:r>
        <w:rPr>
          <w:rFonts w:hint="eastAsia" w:ascii="宋体" w:hAnsi="宋体" w:eastAsia="宋体" w:cs="宋体"/>
          <w:b w:val="0"/>
          <w:i w:val="0"/>
          <w:caps w:val="0"/>
          <w:color w:val="auto"/>
          <w:spacing w:val="0"/>
          <w:w w:val="100"/>
          <w:sz w:val="24"/>
          <w:szCs w:val="24"/>
          <w:highlight w:val="none"/>
        </w:rPr>
        <w:t>20.4仲裁或诉讼</w:t>
      </w:r>
      <w:bookmarkEnd w:id="704"/>
    </w:p>
    <w:p w14:paraId="57801C3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因合同及合同有关事项产生的争议，合同当事人可以在专用合同条款中约定以下一种方式解决争议：</w:t>
      </w:r>
    </w:p>
    <w:p w14:paraId="2C4CD392">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（1）向约定的仲裁委员会申请仲裁；</w:t>
      </w:r>
    </w:p>
    <w:p w14:paraId="0E341C21">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（2）向有管辖权的人民法院起诉。</w:t>
      </w:r>
    </w:p>
    <w:p w14:paraId="3D34EB3F">
      <w:pPr>
        <w:pStyle w:val="6"/>
        <w:snapToGrid w:val="0"/>
        <w:spacing w:before="120" w:beforeAutospacing="0" w:after="12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4"/>
          <w:highlight w:val="none"/>
        </w:rPr>
      </w:pPr>
      <w:bookmarkStart w:id="705" w:name="_Toc351203631"/>
      <w:r>
        <w:rPr>
          <w:rFonts w:hint="eastAsia" w:ascii="宋体" w:hAnsi="宋体" w:eastAsia="宋体" w:cs="宋体"/>
          <w:b w:val="0"/>
          <w:i w:val="0"/>
          <w:caps w:val="0"/>
          <w:color w:val="auto"/>
          <w:spacing w:val="0"/>
          <w:w w:val="100"/>
          <w:sz w:val="24"/>
          <w:szCs w:val="24"/>
          <w:highlight w:val="none"/>
        </w:rPr>
        <w:t>20.5争议解决条款效力</w:t>
      </w:r>
      <w:bookmarkEnd w:id="705"/>
    </w:p>
    <w:p w14:paraId="34DA97EA">
      <w:pPr>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合同有关争议解决的条款独立存在，合同的变更、解除、终止、无效或者被撤销均不影响其效力。 </w:t>
      </w:r>
    </w:p>
    <w:p w14:paraId="4A0F0B57">
      <w:pPr>
        <w:pStyle w:val="4"/>
        <w:snapToGrid w:val="0"/>
        <w:spacing w:before="260" w:beforeAutospacing="0" w:after="260" w:afterAutospacing="0" w:line="416" w:lineRule="auto"/>
        <w:jc w:val="center"/>
        <w:textAlignment w:val="baseline"/>
        <w:outlineLvl w:val="9"/>
        <w:rPr>
          <w:rFonts w:hint="eastAsia" w:ascii="宋体" w:hAnsi="宋体" w:eastAsia="宋体" w:cs="宋体"/>
          <w:b/>
          <w:i w:val="0"/>
          <w:caps w:val="0"/>
          <w:color w:val="auto"/>
          <w:spacing w:val="0"/>
          <w:w w:val="100"/>
          <w:sz w:val="44"/>
          <w:szCs w:val="44"/>
          <w:highlight w:val="none"/>
        </w:rPr>
      </w:pPr>
      <w:bookmarkStart w:id="706" w:name="_Toc351203632"/>
      <w:r>
        <w:rPr>
          <w:rFonts w:hint="eastAsia" w:ascii="宋体" w:hAnsi="宋体" w:eastAsia="宋体" w:cs="宋体"/>
          <w:b/>
          <w:i w:val="0"/>
          <w:caps w:val="0"/>
          <w:color w:val="auto"/>
          <w:spacing w:val="0"/>
          <w:w w:val="100"/>
          <w:sz w:val="44"/>
          <w:szCs w:val="44"/>
          <w:highlight w:val="none"/>
        </w:rPr>
        <w:br w:type="page"/>
      </w:r>
    </w:p>
    <w:p w14:paraId="16B3E26F">
      <w:pPr>
        <w:pStyle w:val="3"/>
        <w:keepNext w:val="0"/>
        <w:keepLines w:val="0"/>
        <w:pageBreakBefore w:val="0"/>
        <w:widowControl/>
        <w:kinsoku/>
        <w:wordWrap/>
        <w:overflowPunct/>
        <w:topLinePunct w:val="0"/>
        <w:autoSpaceDE/>
        <w:autoSpaceDN/>
        <w:bidi w:val="0"/>
        <w:adjustRightInd w:val="0"/>
        <w:snapToGrid w:val="0"/>
        <w:spacing w:before="0" w:after="0" w:line="360" w:lineRule="auto"/>
        <w:jc w:val="center"/>
        <w:textAlignment w:val="auto"/>
        <w:rPr>
          <w:rFonts w:hint="eastAsia"/>
          <w:color w:val="auto"/>
          <w:sz w:val="24"/>
          <w:szCs w:val="24"/>
          <w:lang w:val="en-US" w:eastAsia="zh-CN"/>
        </w:rPr>
      </w:pPr>
      <w:bookmarkStart w:id="707" w:name="_Toc21571"/>
      <w:bookmarkStart w:id="708" w:name="_Toc19713"/>
      <w:r>
        <w:rPr>
          <w:rFonts w:hint="eastAsia"/>
          <w:color w:val="auto"/>
          <w:sz w:val="24"/>
          <w:szCs w:val="24"/>
          <w:lang w:val="en-US" w:eastAsia="zh-CN"/>
        </w:rPr>
        <w:t>第三部分 专用合同条款</w:t>
      </w:r>
      <w:bookmarkEnd w:id="706"/>
      <w:bookmarkEnd w:id="707"/>
      <w:bookmarkEnd w:id="708"/>
    </w:p>
    <w:p w14:paraId="38A3C880">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09" w:name="_Toc351203633"/>
      <w:bookmarkStart w:id="710" w:name="_Toc17949"/>
      <w:r>
        <w:rPr>
          <w:rFonts w:hint="eastAsia"/>
          <w:b w:val="0"/>
          <w:i w:val="0"/>
          <w:caps w:val="0"/>
          <w:color w:val="auto"/>
          <w:spacing w:val="0"/>
          <w:w w:val="100"/>
          <w:sz w:val="24"/>
          <w:szCs w:val="24"/>
          <w:highlight w:val="none"/>
        </w:rPr>
        <w:t>1. 一般约定</w:t>
      </w:r>
      <w:bookmarkEnd w:id="709"/>
      <w:bookmarkEnd w:id="710"/>
    </w:p>
    <w:p w14:paraId="53F3BD8D">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 词语定义</w:t>
      </w:r>
    </w:p>
    <w:p w14:paraId="6BC0AB9E">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1.1.1合同</w:t>
      </w:r>
    </w:p>
    <w:p w14:paraId="328AFB62">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1.1.1.10其他合同文件包括：</w:t>
      </w:r>
      <w:r>
        <w:rPr>
          <w:rFonts w:hint="eastAsia"/>
          <w:b w:val="0"/>
          <w:i w:val="0"/>
          <w:caps w:val="0"/>
          <w:color w:val="auto"/>
          <w:spacing w:val="0"/>
          <w:w w:val="100"/>
          <w:sz w:val="24"/>
          <w:szCs w:val="24"/>
          <w:highlight w:val="none"/>
          <w:u w:val="single" w:color="000000"/>
        </w:rPr>
        <w:t xml:space="preserve">                      </w:t>
      </w:r>
    </w:p>
    <w:p w14:paraId="3D5D17DA">
      <w:pPr>
        <w:snapToGrid w:val="0"/>
        <w:spacing w:before="0" w:beforeAutospacing="0" w:after="0" w:afterAutospacing="0" w:line="360" w:lineRule="auto"/>
        <w:ind w:hangingChars="55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u w:val="single" w:color="000000"/>
        </w:rPr>
        <w:t xml:space="preserve">                               </w:t>
      </w:r>
    </w:p>
    <w:p w14:paraId="52BC0347">
      <w:pPr>
        <w:snapToGrid w:val="0"/>
        <w:spacing w:before="0" w:beforeAutospacing="0" w:after="0" w:afterAutospacing="0" w:line="360" w:lineRule="auto"/>
        <w:ind w:hangingChars="55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A6B3E84">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1.1.2 合同当事人及其他相关方</w:t>
      </w:r>
    </w:p>
    <w:p w14:paraId="5368CBED">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1.1.2.4监理人：</w:t>
      </w:r>
    </w:p>
    <w:p w14:paraId="0F6A714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名    称：</w:t>
      </w:r>
      <w:r>
        <w:rPr>
          <w:rFonts w:hint="eastAsia"/>
          <w:b w:val="0"/>
          <w:i w:val="0"/>
          <w:caps w:val="0"/>
          <w:color w:val="auto"/>
          <w:spacing w:val="0"/>
          <w:w w:val="100"/>
          <w:sz w:val="24"/>
          <w:szCs w:val="24"/>
          <w:highlight w:val="none"/>
          <w:u w:val="single" w:color="000000"/>
        </w:rPr>
        <w:t xml:space="preserve">                </w:t>
      </w:r>
      <w:r>
        <w:rPr>
          <w:rFonts w:hint="eastAsia"/>
          <w:b w:val="0"/>
          <w:i w:val="0"/>
          <w:caps w:val="0"/>
          <w:color w:val="auto"/>
          <w:spacing w:val="0"/>
          <w:w w:val="100"/>
          <w:sz w:val="24"/>
          <w:szCs w:val="24"/>
          <w:highlight w:val="none"/>
        </w:rPr>
        <w:t>；</w:t>
      </w:r>
    </w:p>
    <w:p w14:paraId="1A87E536">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资质类别和等级：</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3E48BC60">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联系电话：</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5758E531">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电子信箱：</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3F2599D1">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通信地址：</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1A3AC185">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1.1.2.5 设计人：</w:t>
      </w:r>
    </w:p>
    <w:p w14:paraId="636E73A7">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名    称：</w:t>
      </w:r>
      <w:r>
        <w:rPr>
          <w:rFonts w:hint="eastAsia"/>
          <w:b w:val="0"/>
          <w:i w:val="0"/>
          <w:caps w:val="0"/>
          <w:color w:val="auto"/>
          <w:spacing w:val="0"/>
          <w:w w:val="100"/>
          <w:sz w:val="24"/>
          <w:szCs w:val="24"/>
          <w:highlight w:val="none"/>
          <w:u w:val="single" w:color="000000"/>
        </w:rPr>
        <w:t xml:space="preserve">                 </w:t>
      </w:r>
      <w:r>
        <w:rPr>
          <w:rFonts w:hint="eastAsia"/>
          <w:b w:val="0"/>
          <w:i w:val="0"/>
          <w:caps w:val="0"/>
          <w:color w:val="auto"/>
          <w:spacing w:val="0"/>
          <w:w w:val="100"/>
          <w:sz w:val="24"/>
          <w:szCs w:val="24"/>
          <w:highlight w:val="none"/>
        </w:rPr>
        <w:t>；</w:t>
      </w:r>
    </w:p>
    <w:p w14:paraId="42E534F0">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资质类别和等级：</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01AE7F46">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联系电话：</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4D4314A0">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电子信箱：</w:t>
      </w:r>
      <w:r>
        <w:rPr>
          <w:rFonts w:hint="eastAsia"/>
          <w:b w:val="0"/>
          <w:i w:val="0"/>
          <w:caps w:val="0"/>
          <w:color w:val="auto"/>
          <w:spacing w:val="0"/>
          <w:w w:val="100"/>
          <w:sz w:val="24"/>
          <w:szCs w:val="24"/>
          <w:highlight w:val="none"/>
          <w:u w:val="single" w:color="000000"/>
        </w:rPr>
        <w:t xml:space="preserve">                    </w:t>
      </w:r>
      <w:r>
        <w:rPr>
          <w:rFonts w:hint="eastAsia"/>
          <w:b w:val="0"/>
          <w:i w:val="0"/>
          <w:caps w:val="0"/>
          <w:color w:val="auto"/>
          <w:spacing w:val="0"/>
          <w:w w:val="100"/>
          <w:sz w:val="24"/>
          <w:szCs w:val="24"/>
          <w:highlight w:val="none"/>
        </w:rPr>
        <w:t>；</w:t>
      </w:r>
    </w:p>
    <w:p w14:paraId="6F8F70E2">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通信地址：</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599CCBC4">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1.1.3 工程和设备</w:t>
      </w:r>
    </w:p>
    <w:p w14:paraId="05FEA07C">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1.1.3.7 作为施工现场组成部分的其他场所包括：</w:t>
      </w:r>
      <w:r>
        <w:rPr>
          <w:rFonts w:hint="eastAsia"/>
          <w:b w:val="0"/>
          <w:i w:val="0"/>
          <w:caps w:val="0"/>
          <w:color w:val="auto"/>
          <w:spacing w:val="0"/>
          <w:w w:val="100"/>
          <w:sz w:val="24"/>
          <w:szCs w:val="24"/>
          <w:highlight w:val="none"/>
          <w:u w:val="single" w:color="000000"/>
        </w:rPr>
        <w:t xml:space="preserve">           </w:t>
      </w:r>
    </w:p>
    <w:p w14:paraId="2DB8B433">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7737DA3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1.1.3.9 永久占地包括：</w:t>
      </w:r>
      <w:r>
        <w:rPr>
          <w:rFonts w:hint="eastAsia"/>
          <w:b w:val="0"/>
          <w:i w:val="0"/>
          <w:caps w:val="0"/>
          <w:color w:val="auto"/>
          <w:spacing w:val="0"/>
          <w:w w:val="100"/>
          <w:sz w:val="24"/>
          <w:szCs w:val="24"/>
          <w:highlight w:val="none"/>
          <w:u w:val="single" w:color="000000"/>
        </w:rPr>
        <w:t xml:space="preserve">                        </w:t>
      </w:r>
      <w:r>
        <w:rPr>
          <w:rFonts w:hint="eastAsia"/>
          <w:b w:val="0"/>
          <w:i w:val="0"/>
          <w:caps w:val="0"/>
          <w:color w:val="auto"/>
          <w:spacing w:val="0"/>
          <w:w w:val="100"/>
          <w:kern w:val="0"/>
          <w:sz w:val="24"/>
          <w:szCs w:val="24"/>
          <w:highlight w:val="none"/>
        </w:rPr>
        <w:t>。</w:t>
      </w:r>
    </w:p>
    <w:p w14:paraId="0D6FCF3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rPr>
        <w:t>1.1.3.10 临时占地包括：</w:t>
      </w:r>
      <w:r>
        <w:rPr>
          <w:rFonts w:hint="eastAsia"/>
          <w:b w:val="0"/>
          <w:i w:val="0"/>
          <w:caps w:val="0"/>
          <w:color w:val="auto"/>
          <w:spacing w:val="0"/>
          <w:w w:val="100"/>
          <w:sz w:val="24"/>
          <w:szCs w:val="24"/>
          <w:highlight w:val="none"/>
          <w:u w:val="single" w:color="000000"/>
        </w:rPr>
        <w:t xml:space="preserve">                       </w:t>
      </w:r>
      <w:r>
        <w:rPr>
          <w:rFonts w:hint="eastAsia"/>
          <w:b w:val="0"/>
          <w:i w:val="0"/>
          <w:caps w:val="0"/>
          <w:color w:val="auto"/>
          <w:spacing w:val="0"/>
          <w:w w:val="100"/>
          <w:kern w:val="0"/>
          <w:sz w:val="24"/>
          <w:szCs w:val="24"/>
          <w:highlight w:val="none"/>
        </w:rPr>
        <w:t>。</w:t>
      </w:r>
    </w:p>
    <w:p w14:paraId="3A268D82">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 xml:space="preserve">1.3法律 </w:t>
      </w:r>
    </w:p>
    <w:p w14:paraId="3A76E351">
      <w:pPr>
        <w:snapToGrid w:val="0"/>
        <w:spacing w:before="0" w:beforeAutospacing="0" w:after="0" w:afterAutospacing="0" w:line="360" w:lineRule="auto"/>
        <w:ind w:left="682" w:leftChars="284"/>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适用于合同的其他规范性文件：</w:t>
      </w:r>
      <w:r>
        <w:rPr>
          <w:rFonts w:hint="eastAsia"/>
          <w:b w:val="0"/>
          <w:i w:val="0"/>
          <w:caps w:val="0"/>
          <w:color w:val="auto"/>
          <w:spacing w:val="0"/>
          <w:w w:val="100"/>
          <w:sz w:val="24"/>
          <w:szCs w:val="24"/>
          <w:highlight w:val="none"/>
          <w:u w:val="single" w:color="000000"/>
        </w:rPr>
        <w:t xml:space="preserve">     </w:t>
      </w:r>
    </w:p>
    <w:p w14:paraId="6D7571CE">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93041DF">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1.4 标准和规范</w:t>
      </w:r>
    </w:p>
    <w:p w14:paraId="441F2E60">
      <w:pPr>
        <w:snapToGrid w:val="0"/>
        <w:spacing w:before="0" w:beforeAutospacing="0" w:after="0" w:afterAutospacing="0" w:line="360" w:lineRule="auto"/>
        <w:ind w:left="682" w:leftChars="284"/>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1.4.1适用于工程的标准规范包括：</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 xml:space="preserve"> </w:t>
      </w:r>
    </w:p>
    <w:p w14:paraId="3775D441">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      </w:t>
      </w:r>
      <w:r>
        <w:rPr>
          <w:rFonts w:hint="eastAsia"/>
          <w:b w:val="0"/>
          <w:i w:val="0"/>
          <w:caps w:val="0"/>
          <w:color w:val="auto"/>
          <w:spacing w:val="0"/>
          <w:w w:val="100"/>
          <w:sz w:val="24"/>
          <w:szCs w:val="24"/>
          <w:highlight w:val="none"/>
        </w:rPr>
        <w:t>。</w:t>
      </w:r>
    </w:p>
    <w:p w14:paraId="2E79AEE0">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1.4.2 发包人提供国外标准、规范的名称：</w:t>
      </w:r>
      <w:r>
        <w:rPr>
          <w:rFonts w:hint="eastAsia"/>
          <w:b w:val="0"/>
          <w:i w:val="0"/>
          <w:caps w:val="0"/>
          <w:color w:val="auto"/>
          <w:spacing w:val="0"/>
          <w:w w:val="100"/>
          <w:kern w:val="0"/>
          <w:sz w:val="24"/>
          <w:szCs w:val="24"/>
          <w:highlight w:val="none"/>
          <w:u w:val="single" w:color="000000"/>
        </w:rPr>
        <w:t xml:space="preserve">                 </w:t>
      </w:r>
    </w:p>
    <w:p w14:paraId="2F9F2C8F">
      <w:pPr>
        <w:snapToGrid w:val="0"/>
        <w:spacing w:before="0" w:beforeAutospacing="0" w:after="0" w:afterAutospacing="0" w:line="360" w:lineRule="auto"/>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3BAFBE3D">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发包人提供国外标准、规范的份数：</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1568A76A">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rPr>
        <w:t>发包人提供国外标准、规范的名称：</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589BCB1A">
      <w:pPr>
        <w:snapToGrid w:val="0"/>
        <w:spacing w:before="0" w:beforeAutospacing="0" w:after="0" w:afterAutospacing="0" w:line="360" w:lineRule="auto"/>
        <w:ind w:left="682" w:leftChars="284"/>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1.4.3发包人对工程的技术标准和功能要求的特殊要求：</w:t>
      </w:r>
    </w:p>
    <w:p w14:paraId="4561AAAE">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                                                               </w:t>
      </w:r>
      <w:r>
        <w:rPr>
          <w:rFonts w:hint="eastAsia"/>
          <w:b w:val="0"/>
          <w:i w:val="0"/>
          <w:caps w:val="0"/>
          <w:color w:val="auto"/>
          <w:spacing w:val="0"/>
          <w:w w:val="100"/>
          <w:sz w:val="24"/>
          <w:szCs w:val="24"/>
          <w:highlight w:val="none"/>
        </w:rPr>
        <w:t>。</w:t>
      </w:r>
    </w:p>
    <w:p w14:paraId="56A9FC3A">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1.5 合同文件的优先顺序</w:t>
      </w:r>
    </w:p>
    <w:p w14:paraId="0D2E4D4C">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合同文件组成及优先顺序为：</w:t>
      </w:r>
      <w:r>
        <w:rPr>
          <w:rFonts w:hint="eastAsia"/>
          <w:b w:val="0"/>
          <w:i w:val="0"/>
          <w:caps w:val="0"/>
          <w:color w:val="auto"/>
          <w:spacing w:val="0"/>
          <w:w w:val="100"/>
          <w:sz w:val="24"/>
          <w:szCs w:val="24"/>
          <w:highlight w:val="none"/>
          <w:u w:val="single" w:color="000000"/>
        </w:rPr>
        <w:t></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                                                 </w:t>
      </w:r>
      <w:r>
        <w:rPr>
          <w:rFonts w:hint="eastAsia"/>
          <w:b w:val="0"/>
          <w:i w:val="0"/>
          <w:caps w:val="0"/>
          <w:color w:val="auto"/>
          <w:spacing w:val="0"/>
          <w:w w:val="100"/>
          <w:sz w:val="24"/>
          <w:szCs w:val="24"/>
          <w:highlight w:val="none"/>
        </w:rPr>
        <w:t>。</w:t>
      </w:r>
    </w:p>
    <w:p w14:paraId="20CA96AA">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 图纸和承包人文件</w:t>
      </w:r>
      <w:r>
        <w:rPr>
          <w:rFonts w:hint="eastAsia"/>
          <w:b w:val="0"/>
          <w:i w:val="0"/>
          <w:caps w:val="0"/>
          <w:color w:val="auto"/>
          <w:spacing w:val="0"/>
          <w:w w:val="100"/>
          <w:sz w:val="24"/>
          <w:szCs w:val="24"/>
          <w:highlight w:val="none"/>
        </w:rPr>
        <w:tab/>
      </w:r>
    </w:p>
    <w:p w14:paraId="160EE7E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1.6.1 图纸的提供</w:t>
      </w:r>
    </w:p>
    <w:p w14:paraId="0A0D0DC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发包人向承包人提供图纸的期限：</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69E27DC2">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发包人向承包人提供图纸的数量：</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393B403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发包人向承包人提供图纸的内容：</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0D6E0651">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1.6.4 承包人文件</w:t>
      </w:r>
    </w:p>
    <w:p w14:paraId="3FA4928E">
      <w:pPr>
        <w:snapToGrid w:val="0"/>
        <w:spacing w:before="0" w:beforeAutospacing="0" w:after="0" w:afterAutospacing="0" w:line="360" w:lineRule="auto"/>
        <w:ind w:left="682" w:leftChars="284"/>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需要由承包人提供的文件，包括：</w:t>
      </w:r>
      <w:r>
        <w:rPr>
          <w:rFonts w:hint="eastAsia"/>
          <w:b w:val="0"/>
          <w:i w:val="0"/>
          <w:caps w:val="0"/>
          <w:color w:val="auto"/>
          <w:spacing w:val="0"/>
          <w:w w:val="100"/>
          <w:sz w:val="24"/>
          <w:szCs w:val="24"/>
          <w:highlight w:val="none"/>
          <w:u w:val="single" w:color="000000"/>
        </w:rPr>
        <w:t>          </w:t>
      </w:r>
    </w:p>
    <w:p w14:paraId="43ACB7A2">
      <w:pPr>
        <w:snapToGrid w:val="0"/>
        <w:spacing w:before="0" w:beforeAutospacing="0" w:after="0" w:afterAutospacing="0" w:line="360" w:lineRule="auto"/>
        <w:ind w:left="682" w:leftChars="284"/>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sz w:val="24"/>
          <w:szCs w:val="24"/>
          <w:highlight w:val="none"/>
        </w:rPr>
        <w:t>；</w:t>
      </w:r>
    </w:p>
    <w:p w14:paraId="675719A8">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承包人提供的文件的期限为：</w:t>
      </w:r>
      <w:r>
        <w:rPr>
          <w:rFonts w:hint="eastAsia"/>
          <w:b w:val="0"/>
          <w:i w:val="0"/>
          <w:caps w:val="0"/>
          <w:color w:val="auto"/>
          <w:spacing w:val="0"/>
          <w:w w:val="100"/>
          <w:sz w:val="24"/>
          <w:szCs w:val="24"/>
          <w:highlight w:val="none"/>
          <w:u w:val="single" w:color="000000"/>
        </w:rPr>
        <w:t>       </w:t>
      </w:r>
      <w:r>
        <w:rPr>
          <w:rFonts w:hint="eastAsia"/>
          <w:b w:val="0"/>
          <w:i w:val="0"/>
          <w:caps w:val="0"/>
          <w:color w:val="auto"/>
          <w:spacing w:val="0"/>
          <w:w w:val="100"/>
          <w:sz w:val="24"/>
          <w:szCs w:val="24"/>
          <w:highlight w:val="none"/>
        </w:rPr>
        <w:t>；</w:t>
      </w:r>
    </w:p>
    <w:p w14:paraId="6933DCF2">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承包人提供的文件的数量为：</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5E53541C">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承包人提供的文件的形式为：</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70AFE20C">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发包人审批承包人文件的期限：</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49BD910D">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1.6.5 现场图纸准备</w:t>
      </w:r>
    </w:p>
    <w:p w14:paraId="5B71E1A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关于现场图纸准备的约定：</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207486D3">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1.7 联络</w:t>
      </w:r>
    </w:p>
    <w:p w14:paraId="4F92A4D9">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1.7.1发包人和承包人应当在</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kern w:val="0"/>
          <w:sz w:val="24"/>
          <w:szCs w:val="24"/>
          <w:highlight w:val="none"/>
        </w:rPr>
        <w:t>天内将与合同有关的通知、批准、证明、证书、指示、指令、要求、请求、同意、意见、确定和决定等书面函件送达对方当事人。</w:t>
      </w:r>
    </w:p>
    <w:p w14:paraId="6A2F9B48">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1.7.2 发包人接收文件的地点：</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kern w:val="0"/>
          <w:sz w:val="24"/>
          <w:szCs w:val="24"/>
          <w:highlight w:val="none"/>
        </w:rPr>
        <w:t>；</w:t>
      </w:r>
    </w:p>
    <w:p w14:paraId="291CE791">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发包人指定的接收人为：</w:t>
      </w:r>
      <w:r>
        <w:rPr>
          <w:rFonts w:hint="eastAsia"/>
          <w:b w:val="0"/>
          <w:i w:val="0"/>
          <w:caps w:val="0"/>
          <w:color w:val="auto"/>
          <w:spacing w:val="0"/>
          <w:w w:val="100"/>
          <w:sz w:val="24"/>
          <w:szCs w:val="24"/>
          <w:highlight w:val="none"/>
          <w:u w:val="single" w:color="000000"/>
        </w:rPr>
        <w:t>               </w:t>
      </w:r>
      <w:r>
        <w:rPr>
          <w:rFonts w:hint="eastAsia"/>
          <w:b w:val="0"/>
          <w:i w:val="0"/>
          <w:caps w:val="0"/>
          <w:color w:val="auto"/>
          <w:spacing w:val="0"/>
          <w:w w:val="100"/>
          <w:kern w:val="0"/>
          <w:sz w:val="24"/>
          <w:szCs w:val="24"/>
          <w:highlight w:val="none"/>
        </w:rPr>
        <w:t>。</w:t>
      </w:r>
    </w:p>
    <w:p w14:paraId="6C0B1BB2">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承包人接收文件的地点：</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kern w:val="0"/>
          <w:sz w:val="24"/>
          <w:szCs w:val="24"/>
          <w:highlight w:val="none"/>
        </w:rPr>
        <w:t>；</w:t>
      </w:r>
    </w:p>
    <w:p w14:paraId="21ED1751">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承包人指定的接收人为：</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kern w:val="0"/>
          <w:sz w:val="24"/>
          <w:szCs w:val="24"/>
          <w:highlight w:val="none"/>
        </w:rPr>
        <w:t>。</w:t>
      </w:r>
    </w:p>
    <w:p w14:paraId="531A945E">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监理人接收文件的地点：</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kern w:val="0"/>
          <w:sz w:val="24"/>
          <w:szCs w:val="24"/>
          <w:highlight w:val="none"/>
        </w:rPr>
        <w:t>；</w:t>
      </w:r>
    </w:p>
    <w:p w14:paraId="07E7171B">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监理人指定的接收人为：</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kern w:val="0"/>
          <w:sz w:val="24"/>
          <w:szCs w:val="24"/>
          <w:highlight w:val="none"/>
        </w:rPr>
        <w:t>。</w:t>
      </w:r>
    </w:p>
    <w:p w14:paraId="7B9E9D01">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1.10 交通运输</w:t>
      </w:r>
    </w:p>
    <w:p w14:paraId="05C63998">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1.10.1 出入现场的权利</w:t>
      </w:r>
    </w:p>
    <w:p w14:paraId="5979E920">
      <w:pPr>
        <w:snapToGrid w:val="0"/>
        <w:spacing w:before="0" w:beforeAutospacing="0" w:after="0" w:afterAutospacing="0" w:line="360" w:lineRule="auto"/>
        <w:ind w:left="682" w:leftChars="284"/>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关于出入现场的权利的约定：</w:t>
      </w:r>
      <w:r>
        <w:rPr>
          <w:rFonts w:hint="eastAsia"/>
          <w:b w:val="0"/>
          <w:i w:val="0"/>
          <w:caps w:val="0"/>
          <w:color w:val="auto"/>
          <w:spacing w:val="0"/>
          <w:w w:val="100"/>
          <w:sz w:val="24"/>
          <w:szCs w:val="24"/>
          <w:highlight w:val="none"/>
          <w:u w:val="single" w:color="000000"/>
        </w:rPr>
        <w:t>  </w:t>
      </w:r>
    </w:p>
    <w:p w14:paraId="749439E8">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                            </w:t>
      </w:r>
      <w:r>
        <w:rPr>
          <w:rFonts w:hint="eastAsia"/>
          <w:b w:val="0"/>
          <w:i w:val="0"/>
          <w:caps w:val="0"/>
          <w:color w:val="auto"/>
          <w:spacing w:val="0"/>
          <w:w w:val="100"/>
          <w:sz w:val="24"/>
          <w:szCs w:val="24"/>
          <w:highlight w:val="none"/>
        </w:rPr>
        <w:t>。</w:t>
      </w:r>
    </w:p>
    <w:p w14:paraId="2626EA1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w:t>
      </w:r>
      <w:bookmarkStart w:id="711" w:name="_Toc300934944"/>
      <w:bookmarkStart w:id="712" w:name="_Toc304295522"/>
      <w:bookmarkStart w:id="713" w:name="_Toc312677987"/>
      <w:bookmarkStart w:id="714" w:name="_Toc303539101"/>
      <w:bookmarkStart w:id="715" w:name="_Toc318581156"/>
      <w:r>
        <w:rPr>
          <w:rFonts w:hint="eastAsia"/>
          <w:b w:val="0"/>
          <w:i w:val="0"/>
          <w:caps w:val="0"/>
          <w:color w:val="auto"/>
          <w:spacing w:val="0"/>
          <w:w w:val="100"/>
          <w:sz w:val="24"/>
          <w:szCs w:val="24"/>
          <w:highlight w:val="none"/>
        </w:rPr>
        <w:t>.10.3 场内交通</w:t>
      </w:r>
    </w:p>
    <w:p w14:paraId="224B0F7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关于场外交通和场内交通的边界的约定：</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3F6E208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关于发包人向承包人免费提供满足工程施工需要的场内道路和交通设施的约定：</w:t>
      </w:r>
      <w:r>
        <w:rPr>
          <w:rFonts w:hint="eastAsia"/>
          <w:b w:val="0"/>
          <w:i w:val="0"/>
          <w:caps w:val="0"/>
          <w:color w:val="auto"/>
          <w:spacing w:val="0"/>
          <w:w w:val="100"/>
          <w:sz w:val="24"/>
          <w:szCs w:val="24"/>
          <w:highlight w:val="none"/>
          <w:u w:val="single" w:color="000000"/>
        </w:rPr>
        <w:t>                                        </w:t>
      </w:r>
      <w:r>
        <w:rPr>
          <w:rFonts w:hint="eastAsia"/>
          <w:b w:val="0"/>
          <w:i w:val="0"/>
          <w:caps w:val="0"/>
          <w:color w:val="auto"/>
          <w:spacing w:val="0"/>
          <w:w w:val="100"/>
          <w:sz w:val="24"/>
          <w:szCs w:val="24"/>
          <w:highlight w:val="none"/>
        </w:rPr>
        <w:t>。</w:t>
      </w:r>
      <w:bookmarkEnd w:id="711"/>
      <w:bookmarkEnd w:id="712"/>
      <w:bookmarkEnd w:id="713"/>
      <w:bookmarkEnd w:id="714"/>
      <w:bookmarkEnd w:id="715"/>
      <w:r>
        <w:rPr>
          <w:rFonts w:hint="eastAsia"/>
          <w:b w:val="0"/>
          <w:i w:val="0"/>
          <w:caps w:val="0"/>
          <w:color w:val="auto"/>
          <w:spacing w:val="0"/>
          <w:w w:val="100"/>
          <w:sz w:val="24"/>
          <w:szCs w:val="24"/>
          <w:highlight w:val="none"/>
        </w:rPr>
        <w:t xml:space="preserve">  </w:t>
      </w:r>
    </w:p>
    <w:p w14:paraId="4220427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1.10.4超大件和超重件的运输</w:t>
      </w:r>
    </w:p>
    <w:p w14:paraId="182E0B7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运输超大件或超重件所需的道路和桥梁临时加固改造费用和其他有关费用由</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承担。</w:t>
      </w:r>
    </w:p>
    <w:p w14:paraId="00F6A5DF">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1.11 知识产权</w:t>
      </w:r>
    </w:p>
    <w:p w14:paraId="40AD0D54">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1.11.1关于发包人提供给承包人的图纸、发包人为实施工程自行编制或委托编制的技术规范以及反映发包人关于合同要求或其他类似性质的文件的著作权的归属：</w:t>
      </w:r>
      <w:r>
        <w:rPr>
          <w:rFonts w:hint="eastAsia"/>
          <w:b w:val="0"/>
          <w:i w:val="0"/>
          <w:caps w:val="0"/>
          <w:color w:val="auto"/>
          <w:spacing w:val="0"/>
          <w:w w:val="100"/>
          <w:sz w:val="24"/>
          <w:szCs w:val="24"/>
          <w:highlight w:val="none"/>
          <w:u w:val="single" w:color="000000"/>
        </w:rPr>
        <w:t>                     </w:t>
      </w:r>
    </w:p>
    <w:p w14:paraId="08DA38DC">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                            </w:t>
      </w:r>
      <w:r>
        <w:rPr>
          <w:rFonts w:hint="eastAsia"/>
          <w:b w:val="0"/>
          <w:i w:val="0"/>
          <w:caps w:val="0"/>
          <w:color w:val="auto"/>
          <w:spacing w:val="0"/>
          <w:w w:val="100"/>
          <w:sz w:val="24"/>
          <w:szCs w:val="24"/>
          <w:highlight w:val="none"/>
        </w:rPr>
        <w:t>。</w:t>
      </w:r>
    </w:p>
    <w:p w14:paraId="47CFA4C4">
      <w:pPr>
        <w:snapToGrid w:val="0"/>
        <w:spacing w:before="0" w:beforeAutospacing="0" w:after="0" w:afterAutospacing="0" w:line="360" w:lineRule="auto"/>
        <w:ind w:left="682" w:leftChars="284"/>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关于发包人提供的上述文件的使用限制的要求：</w:t>
      </w:r>
      <w:r>
        <w:rPr>
          <w:rFonts w:hint="eastAsia"/>
          <w:b w:val="0"/>
          <w:i w:val="0"/>
          <w:caps w:val="0"/>
          <w:color w:val="auto"/>
          <w:spacing w:val="0"/>
          <w:w w:val="100"/>
          <w:sz w:val="24"/>
          <w:szCs w:val="24"/>
          <w:highlight w:val="none"/>
          <w:u w:val="single" w:color="000000"/>
        </w:rPr>
        <w:t xml:space="preserve">             </w:t>
      </w:r>
    </w:p>
    <w:p w14:paraId="5655F7C7">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24A75CE">
      <w:pPr>
        <w:snapToGrid w:val="0"/>
        <w:spacing w:before="0" w:beforeAutospacing="0" w:after="0" w:afterAutospacing="0" w:line="360" w:lineRule="auto"/>
        <w:ind w:left="682" w:leftChars="284"/>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1.11.2 关于承包人为实施工程所编制文件的著作权的归属：</w:t>
      </w:r>
      <w:r>
        <w:rPr>
          <w:rFonts w:hint="eastAsia"/>
          <w:b w:val="0"/>
          <w:i w:val="0"/>
          <w:caps w:val="0"/>
          <w:color w:val="auto"/>
          <w:spacing w:val="0"/>
          <w:w w:val="100"/>
          <w:sz w:val="24"/>
          <w:szCs w:val="24"/>
          <w:highlight w:val="none"/>
          <w:u w:val="single" w:color="000000"/>
        </w:rPr>
        <w:t xml:space="preserve">    </w:t>
      </w:r>
    </w:p>
    <w:p w14:paraId="54125535">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0D7D95C5">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关于承包人提供的上述文件的使用限制的要求：</w:t>
      </w:r>
      <w:r>
        <w:rPr>
          <w:rFonts w:hint="eastAsia"/>
          <w:b w:val="0"/>
          <w:i w:val="0"/>
          <w:caps w:val="0"/>
          <w:color w:val="auto"/>
          <w:spacing w:val="0"/>
          <w:w w:val="100"/>
          <w:sz w:val="24"/>
          <w:szCs w:val="24"/>
          <w:highlight w:val="none"/>
          <w:u w:val="single" w:color="000000"/>
        </w:rPr>
        <w:t>   </w:t>
      </w:r>
    </w:p>
    <w:p w14:paraId="0A471B09">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                 </w:t>
      </w:r>
      <w:r>
        <w:rPr>
          <w:rFonts w:hint="eastAsia"/>
          <w:b w:val="0"/>
          <w:i w:val="0"/>
          <w:caps w:val="0"/>
          <w:color w:val="auto"/>
          <w:spacing w:val="0"/>
          <w:w w:val="100"/>
          <w:sz w:val="24"/>
          <w:szCs w:val="24"/>
          <w:highlight w:val="none"/>
        </w:rPr>
        <w:t>。</w:t>
      </w:r>
    </w:p>
    <w:p w14:paraId="1473FB78">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rPr>
        <w:t>1.11.4 承包人在施工过程中所采用的专利、专有技术、技术秘密的使用费的承担方式：</w:t>
      </w: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kern w:val="0"/>
          <w:sz w:val="24"/>
          <w:szCs w:val="24"/>
          <w:highlight w:val="none"/>
        </w:rPr>
        <w:t>。</w:t>
      </w:r>
    </w:p>
    <w:p w14:paraId="3E9A0FC1">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1.13工程量清单错误的修正</w:t>
      </w:r>
    </w:p>
    <w:p w14:paraId="40067527">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出现工程量清单错误时，是否调整合同价格：</w:t>
      </w: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kern w:val="0"/>
          <w:sz w:val="24"/>
          <w:szCs w:val="24"/>
          <w:highlight w:val="none"/>
        </w:rPr>
        <w:t>。</w:t>
      </w:r>
    </w:p>
    <w:p w14:paraId="3BBB5E91">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允许调整合同价格的工程量偏差范围：</w:t>
      </w:r>
      <w:r>
        <w:rPr>
          <w:rFonts w:hint="eastAsia"/>
          <w:b w:val="0"/>
          <w:i w:val="0"/>
          <w:caps w:val="0"/>
          <w:color w:val="auto"/>
          <w:spacing w:val="0"/>
          <w:w w:val="100"/>
          <w:sz w:val="24"/>
          <w:szCs w:val="24"/>
          <w:highlight w:val="none"/>
          <w:u w:val="single" w:color="000000"/>
        </w:rPr>
        <w:t xml:space="preserve">                  </w:t>
      </w:r>
    </w:p>
    <w:p w14:paraId="3B86DCC3">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kern w:val="0"/>
          <w:sz w:val="24"/>
          <w:szCs w:val="24"/>
          <w:highlight w:val="none"/>
        </w:rPr>
        <w:t>。</w:t>
      </w:r>
    </w:p>
    <w:p w14:paraId="31E5A999">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16" w:name="_Toc1053"/>
      <w:bookmarkStart w:id="717" w:name="_Toc351203634"/>
      <w:r>
        <w:rPr>
          <w:rFonts w:hint="eastAsia"/>
          <w:b w:val="0"/>
          <w:i w:val="0"/>
          <w:caps w:val="0"/>
          <w:color w:val="auto"/>
          <w:spacing w:val="0"/>
          <w:w w:val="100"/>
          <w:sz w:val="24"/>
          <w:szCs w:val="24"/>
          <w:highlight w:val="none"/>
        </w:rPr>
        <w:t>2. 发包人</w:t>
      </w:r>
      <w:bookmarkEnd w:id="716"/>
      <w:bookmarkEnd w:id="717"/>
    </w:p>
    <w:p w14:paraId="6A670F49">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2.2 发包人代表</w:t>
      </w:r>
    </w:p>
    <w:p w14:paraId="1E1343F7">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发包人代表：</w:t>
      </w:r>
    </w:p>
    <w:p w14:paraId="27D22C58">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姓    名：</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311480EA">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身份证号：</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253F41BE">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职    务：</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5955FF64">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联系电话：</w:t>
      </w:r>
      <w:r>
        <w:rPr>
          <w:rFonts w:hint="eastAsia"/>
          <w:b w:val="0"/>
          <w:i w:val="0"/>
          <w:caps w:val="0"/>
          <w:color w:val="auto"/>
          <w:spacing w:val="0"/>
          <w:w w:val="100"/>
          <w:sz w:val="24"/>
          <w:szCs w:val="24"/>
          <w:highlight w:val="none"/>
          <w:u w:val="single" w:color="000000"/>
        </w:rPr>
        <w:t>     </w:t>
      </w:r>
      <w:r>
        <w:rPr>
          <w:rFonts w:hint="eastAsia"/>
          <w:b w:val="0"/>
          <w:i w:val="0"/>
          <w:caps w:val="0"/>
          <w:color w:val="auto"/>
          <w:spacing w:val="0"/>
          <w:w w:val="100"/>
          <w:sz w:val="24"/>
          <w:szCs w:val="24"/>
          <w:highlight w:val="none"/>
        </w:rPr>
        <w:t>；</w:t>
      </w:r>
    </w:p>
    <w:p w14:paraId="3A9B14AC">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电子信箱：</w:t>
      </w:r>
      <w:r>
        <w:rPr>
          <w:rFonts w:hint="eastAsia"/>
          <w:b w:val="0"/>
          <w:i w:val="0"/>
          <w:caps w:val="0"/>
          <w:color w:val="auto"/>
          <w:spacing w:val="0"/>
          <w:w w:val="100"/>
          <w:sz w:val="24"/>
          <w:szCs w:val="24"/>
          <w:highlight w:val="none"/>
          <w:u w:val="single" w:color="000000"/>
        </w:rPr>
        <w:t>     </w:t>
      </w:r>
      <w:r>
        <w:rPr>
          <w:rFonts w:hint="eastAsia"/>
          <w:b w:val="0"/>
          <w:i w:val="0"/>
          <w:caps w:val="0"/>
          <w:color w:val="auto"/>
          <w:spacing w:val="0"/>
          <w:w w:val="100"/>
          <w:sz w:val="24"/>
          <w:szCs w:val="24"/>
          <w:highlight w:val="none"/>
        </w:rPr>
        <w:t>；</w:t>
      </w:r>
    </w:p>
    <w:p w14:paraId="6592016B">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通信地址：</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6601D26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发包人对发包人代表的授权范围如下：</w:t>
      </w:r>
      <w:r>
        <w:rPr>
          <w:rFonts w:hint="eastAsia"/>
          <w:b w:val="0"/>
          <w:i w:val="0"/>
          <w:caps w:val="0"/>
          <w:color w:val="auto"/>
          <w:spacing w:val="0"/>
          <w:w w:val="100"/>
          <w:sz w:val="24"/>
          <w:szCs w:val="24"/>
          <w:highlight w:val="none"/>
          <w:u w:val="single" w:color="000000"/>
        </w:rPr>
        <w:t>     </w:t>
      </w:r>
    </w:p>
    <w:p w14:paraId="33962052">
      <w:pPr>
        <w:snapToGrid w:val="0"/>
        <w:spacing w:before="0" w:beforeAutospacing="0" w:after="0" w:afterAutospacing="0" w:line="360" w:lineRule="auto"/>
        <w:textAlignment w:val="baseline"/>
        <w:rPr>
          <w:rFonts w:hint="eastAsia"/>
          <w:b/>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sz w:val="24"/>
          <w:szCs w:val="24"/>
          <w:highlight w:val="none"/>
        </w:rPr>
        <w:t>。</w:t>
      </w:r>
    </w:p>
    <w:p w14:paraId="40465250">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2.4 施工现场、施工条件和基础资料的提供</w:t>
      </w:r>
    </w:p>
    <w:p w14:paraId="76C60C1D">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2.4.1 提供施工现场</w:t>
      </w:r>
    </w:p>
    <w:p w14:paraId="21DC957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关于发包人移交施工现场的期限要求：</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xml:space="preserve">                                         </w:t>
      </w:r>
      <w:r>
        <w:rPr>
          <w:rFonts w:hint="eastAsia"/>
          <w:b w:val="0"/>
          <w:i w:val="0"/>
          <w:caps w:val="0"/>
          <w:color w:val="auto"/>
          <w:spacing w:val="0"/>
          <w:w w:val="100"/>
          <w:sz w:val="24"/>
          <w:szCs w:val="24"/>
          <w:highlight w:val="none"/>
        </w:rPr>
        <w:t>。</w:t>
      </w:r>
    </w:p>
    <w:p w14:paraId="6CD8AF6C">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2.4.2 提供施工条件</w:t>
      </w:r>
    </w:p>
    <w:p w14:paraId="750E6B61">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关于发包人应负责提供施工所需要的条件，包括：</w:t>
      </w:r>
      <w:r>
        <w:rPr>
          <w:rFonts w:hint="eastAsia"/>
          <w:b w:val="0"/>
          <w:i w:val="0"/>
          <w:caps w:val="0"/>
          <w:color w:val="auto"/>
          <w:spacing w:val="0"/>
          <w:w w:val="100"/>
          <w:sz w:val="24"/>
          <w:szCs w:val="24"/>
          <w:highlight w:val="none"/>
          <w:u w:val="single" w:color="000000"/>
        </w:rPr>
        <w:t xml:space="preserve">                                                            </w:t>
      </w:r>
      <w:r>
        <w:rPr>
          <w:rFonts w:hint="eastAsia"/>
          <w:b w:val="0"/>
          <w:i w:val="0"/>
          <w:caps w:val="0"/>
          <w:color w:val="auto"/>
          <w:spacing w:val="0"/>
          <w:w w:val="100"/>
          <w:sz w:val="24"/>
          <w:szCs w:val="24"/>
          <w:highlight w:val="none"/>
        </w:rPr>
        <w:t>。</w:t>
      </w:r>
    </w:p>
    <w:p w14:paraId="269111D0">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2.5 资金来源证明及支付担保</w:t>
      </w:r>
    </w:p>
    <w:p w14:paraId="04E96CE2">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发包人提供资金来源证明的期限要求：</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60ECED0">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发包人是否提供支付担保：</w:t>
      </w: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sz w:val="24"/>
          <w:szCs w:val="24"/>
          <w:highlight w:val="none"/>
        </w:rPr>
        <w:t>。</w:t>
      </w:r>
    </w:p>
    <w:p w14:paraId="465155E0">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发包人提供支付担保的形式：</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4D2C916D">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18" w:name="_Toc31010"/>
      <w:bookmarkStart w:id="719" w:name="_Toc351203635"/>
      <w:r>
        <w:rPr>
          <w:rFonts w:hint="eastAsia"/>
          <w:b w:val="0"/>
          <w:i w:val="0"/>
          <w:caps w:val="0"/>
          <w:color w:val="auto"/>
          <w:spacing w:val="0"/>
          <w:w w:val="100"/>
          <w:sz w:val="24"/>
          <w:szCs w:val="24"/>
          <w:highlight w:val="none"/>
        </w:rPr>
        <w:t>3. 承包人</w:t>
      </w:r>
      <w:bookmarkEnd w:id="718"/>
      <w:bookmarkEnd w:id="719"/>
    </w:p>
    <w:p w14:paraId="283B5083">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3.1 承包人的一般义务</w:t>
      </w:r>
    </w:p>
    <w:p w14:paraId="584FB0C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（9）</w:t>
      </w:r>
      <w:r>
        <w:rPr>
          <w:rFonts w:hint="eastAsia"/>
          <w:b w:val="0"/>
          <w:i w:val="0"/>
          <w:caps w:val="0"/>
          <w:color w:val="auto"/>
          <w:spacing w:val="0"/>
          <w:w w:val="100"/>
          <w:sz w:val="24"/>
          <w:szCs w:val="24"/>
          <w:highlight w:val="none"/>
        </w:rPr>
        <w:t>承包人提交的竣工资料的内容：</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35A37C10">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13288B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承包人需要提交的竣工资料套数：</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230B45E">
      <w:pPr>
        <w:snapToGrid w:val="0"/>
        <w:spacing w:before="0" w:beforeAutospacing="0" w:after="0" w:afterAutospacing="0" w:line="360" w:lineRule="auto"/>
        <w:ind w:left="730" w:leftChars="304"/>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承包人提交的竣工资料的费用承担：</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1C31773">
      <w:pPr>
        <w:snapToGrid w:val="0"/>
        <w:spacing w:before="0" w:beforeAutospacing="0" w:after="0" w:afterAutospacing="0" w:line="360" w:lineRule="auto"/>
        <w:ind w:left="730" w:leftChars="304"/>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承包人提交的竣工资料移交时间：</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B3CC41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承包人提交的竣工资料形式要求：</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CBA2136">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rPr>
        <w:t>（10）承包人应履行的其他义务：</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sz w:val="24"/>
          <w:szCs w:val="24"/>
          <w:highlight w:val="none"/>
        </w:rPr>
        <w:t>。</w:t>
      </w:r>
    </w:p>
    <w:p w14:paraId="714236B8">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3.2 项目经理</w:t>
      </w:r>
    </w:p>
    <w:p w14:paraId="52B7EB1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rPr>
        <w:t xml:space="preserve">3.2.1 </w:t>
      </w:r>
      <w:r>
        <w:rPr>
          <w:rFonts w:hint="eastAsia"/>
          <w:b w:val="0"/>
          <w:i w:val="0"/>
          <w:caps w:val="0"/>
          <w:color w:val="auto"/>
          <w:spacing w:val="0"/>
          <w:w w:val="100"/>
          <w:sz w:val="24"/>
          <w:szCs w:val="24"/>
          <w:highlight w:val="none"/>
        </w:rPr>
        <w:t>项目经理：</w:t>
      </w:r>
    </w:p>
    <w:p w14:paraId="58DDC49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姓    名：</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4C5E462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身份证号：</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41D195E5">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建造师执业资格等级：</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79C6F2AD">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建造师注册证书号：</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7C9689A9">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建造师执业印章号：</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3848C13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安全生产考核合格证书号：</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252D34B9">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联系电话：</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56F07FB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电子信箱：</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1265C8A0">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通信地址：</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5494E1F7">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承包人对项目经理的授权范围如下：</w:t>
      </w:r>
      <w:r>
        <w:rPr>
          <w:rFonts w:hint="eastAsia"/>
          <w:b w:val="0"/>
          <w:i w:val="0"/>
          <w:caps w:val="0"/>
          <w:color w:val="auto"/>
          <w:spacing w:val="0"/>
          <w:w w:val="100"/>
          <w:sz w:val="24"/>
          <w:szCs w:val="24"/>
          <w:highlight w:val="none"/>
          <w:u w:val="single" w:color="000000"/>
        </w:rPr>
        <w:t xml:space="preserve">                                                        </w:t>
      </w:r>
      <w:r>
        <w:rPr>
          <w:rFonts w:hint="eastAsia"/>
          <w:b w:val="0"/>
          <w:i w:val="0"/>
          <w:caps w:val="0"/>
          <w:color w:val="auto"/>
          <w:spacing w:val="0"/>
          <w:w w:val="100"/>
          <w:sz w:val="24"/>
          <w:szCs w:val="24"/>
          <w:highlight w:val="none"/>
        </w:rPr>
        <w:t>。</w:t>
      </w:r>
    </w:p>
    <w:p w14:paraId="3CE0A12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关于项目经理每月在施工现场的时间要求：</w:t>
      </w:r>
      <w:r>
        <w:rPr>
          <w:rFonts w:hint="eastAsia"/>
          <w:b w:val="0"/>
          <w:i w:val="0"/>
          <w:caps w:val="0"/>
          <w:color w:val="auto"/>
          <w:spacing w:val="0"/>
          <w:w w:val="100"/>
          <w:sz w:val="24"/>
          <w:szCs w:val="24"/>
          <w:highlight w:val="none"/>
          <w:u w:val="single" w:color="000000"/>
        </w:rPr>
        <w:t xml:space="preserve">          </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0B7CB590">
      <w:pPr>
        <w:snapToGrid w:val="0"/>
        <w:spacing w:before="0" w:beforeAutospacing="0" w:after="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承包人未提交劳动合同，以及没有为项目经理缴纳社会保险证明的违约责任：</w:t>
      </w:r>
      <w:r>
        <w:rPr>
          <w:rFonts w:hint="eastAsia"/>
          <w:b w:val="0"/>
          <w:i w:val="0"/>
          <w:caps w:val="0"/>
          <w:color w:val="auto"/>
          <w:spacing w:val="0"/>
          <w:w w:val="100"/>
          <w:sz w:val="24"/>
          <w:szCs w:val="24"/>
          <w:highlight w:val="none"/>
          <w:u w:val="single" w:color="000000"/>
        </w:rPr>
        <w:t xml:space="preserve">                                                                                     </w:t>
      </w:r>
      <w:r>
        <w:rPr>
          <w:rFonts w:hint="eastAsia"/>
          <w:b w:val="0"/>
          <w:i w:val="0"/>
          <w:caps w:val="0"/>
          <w:color w:val="auto"/>
          <w:spacing w:val="0"/>
          <w:w w:val="100"/>
          <w:sz w:val="24"/>
          <w:szCs w:val="24"/>
          <w:highlight w:val="none"/>
        </w:rPr>
        <w:t>。</w:t>
      </w:r>
    </w:p>
    <w:p w14:paraId="37257242">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项目经理未经批准，擅自离开施工现场的违约责任：</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                                        </w:t>
      </w:r>
      <w:r>
        <w:rPr>
          <w:rFonts w:hint="eastAsia"/>
          <w:b w:val="0"/>
          <w:i w:val="0"/>
          <w:caps w:val="0"/>
          <w:color w:val="auto"/>
          <w:spacing w:val="0"/>
          <w:w w:val="100"/>
          <w:sz w:val="24"/>
          <w:szCs w:val="24"/>
          <w:highlight w:val="none"/>
        </w:rPr>
        <w:t>。</w:t>
      </w:r>
    </w:p>
    <w:p w14:paraId="74AC8550">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3.2.3 承包人擅自更换项目经理的违约责任：</w:t>
      </w:r>
      <w:r>
        <w:rPr>
          <w:rFonts w:hint="eastAsia"/>
          <w:b w:val="0"/>
          <w:i w:val="0"/>
          <w:caps w:val="0"/>
          <w:color w:val="auto"/>
          <w:spacing w:val="0"/>
          <w:w w:val="100"/>
          <w:sz w:val="24"/>
          <w:szCs w:val="24"/>
          <w:highlight w:val="none"/>
          <w:u w:val="single" w:color="000000"/>
        </w:rPr>
        <w:t xml:space="preserve">              </w:t>
      </w:r>
    </w:p>
    <w:p w14:paraId="2064075B">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                                    </w:t>
      </w:r>
      <w:r>
        <w:rPr>
          <w:rFonts w:hint="eastAsia"/>
          <w:b w:val="0"/>
          <w:i w:val="0"/>
          <w:caps w:val="0"/>
          <w:color w:val="auto"/>
          <w:spacing w:val="0"/>
          <w:w w:val="100"/>
          <w:sz w:val="24"/>
          <w:szCs w:val="24"/>
          <w:highlight w:val="none"/>
        </w:rPr>
        <w:t>。</w:t>
      </w:r>
    </w:p>
    <w:p w14:paraId="456CA69E">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 xml:space="preserve">    3.2.4 承包人无正当理由拒绝更换项目经理的违约责任：</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2379A7C6">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3.3 承包人人员</w:t>
      </w:r>
    </w:p>
    <w:p w14:paraId="5883654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3.3.1 承包人提交项目管理机构及施工现场管理人员安排报告的期限：</w:t>
      </w:r>
      <w:r>
        <w:rPr>
          <w:rFonts w:hint="eastAsia"/>
          <w:b w:val="0"/>
          <w:i w:val="0"/>
          <w:caps w:val="0"/>
          <w:color w:val="auto"/>
          <w:spacing w:val="0"/>
          <w:w w:val="100"/>
          <w:sz w:val="24"/>
          <w:szCs w:val="24"/>
          <w:highlight w:val="none"/>
          <w:u w:val="single" w:color="000000"/>
        </w:rPr>
        <w:t xml:space="preserve">                                          </w:t>
      </w:r>
      <w:r>
        <w:rPr>
          <w:rFonts w:hint="eastAsia"/>
          <w:b w:val="0"/>
          <w:i w:val="0"/>
          <w:caps w:val="0"/>
          <w:color w:val="auto"/>
          <w:spacing w:val="0"/>
          <w:w w:val="100"/>
          <w:sz w:val="24"/>
          <w:szCs w:val="24"/>
          <w:highlight w:val="none"/>
        </w:rPr>
        <w:t>。</w:t>
      </w:r>
    </w:p>
    <w:p w14:paraId="3B748A22">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3.3.3 承包人无正当理由拒绝撤换主要施工管理人员的违约责任：</w:t>
      </w:r>
      <w:r>
        <w:rPr>
          <w:rFonts w:hint="eastAsia"/>
          <w:b w:val="0"/>
          <w:i w:val="0"/>
          <w:caps w:val="0"/>
          <w:color w:val="auto"/>
          <w:spacing w:val="0"/>
          <w:w w:val="100"/>
          <w:sz w:val="24"/>
          <w:szCs w:val="24"/>
          <w:highlight w:val="none"/>
          <w:u w:val="single" w:color="000000"/>
        </w:rPr>
        <w:t xml:space="preserve">                                              </w:t>
      </w:r>
      <w:r>
        <w:rPr>
          <w:rFonts w:hint="eastAsia"/>
          <w:b w:val="0"/>
          <w:i w:val="0"/>
          <w:caps w:val="0"/>
          <w:color w:val="auto"/>
          <w:spacing w:val="0"/>
          <w:w w:val="100"/>
          <w:sz w:val="24"/>
          <w:szCs w:val="24"/>
          <w:highlight w:val="none"/>
        </w:rPr>
        <w:t>。</w:t>
      </w:r>
    </w:p>
    <w:p w14:paraId="7E03E42D">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 xml:space="preserve">3.3.4 承包人主要施工管理人员离开施工现场的批准要求：   </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513C095">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3.3.5承包人擅自更换主要施工管理人员的违约责任：</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B4E2569">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承包人主要施工管理人员擅自离开施工现场的违约责任：</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C52D292">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3.5 分包</w:t>
      </w:r>
    </w:p>
    <w:p w14:paraId="06719C1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w:t>
      </w:r>
      <w:bookmarkStart w:id="720" w:name="_Toc297216152"/>
      <w:bookmarkStart w:id="721" w:name="_Toc296890988"/>
      <w:bookmarkStart w:id="722" w:name="_Toc303539103"/>
      <w:bookmarkStart w:id="723" w:name="_Toc297123493"/>
      <w:bookmarkStart w:id="724" w:name="_Toc297048346"/>
      <w:bookmarkStart w:id="725" w:name="_Toc300934946"/>
      <w:bookmarkStart w:id="726" w:name="_Toc292559870"/>
      <w:bookmarkStart w:id="727" w:name="_Toc296944499"/>
      <w:bookmarkStart w:id="728" w:name="_Toc296503160"/>
      <w:bookmarkStart w:id="729" w:name="_Toc304295524"/>
      <w:bookmarkStart w:id="730" w:name="_Toc292559365"/>
      <w:bookmarkStart w:id="731" w:name="_Toc297120460"/>
      <w:bookmarkStart w:id="732" w:name="_Toc296347159"/>
      <w:bookmarkStart w:id="733" w:name="_Toc296891200"/>
      <w:bookmarkStart w:id="734" w:name="_Toc296346661"/>
      <w:r>
        <w:rPr>
          <w:rFonts w:hint="eastAsia"/>
          <w:b w:val="0"/>
          <w:i w:val="0"/>
          <w:caps w:val="0"/>
          <w:color w:val="auto"/>
          <w:spacing w:val="0"/>
          <w:w w:val="100"/>
          <w:sz w:val="24"/>
          <w:szCs w:val="24"/>
          <w:highlight w:val="none"/>
        </w:rPr>
        <w:t>.5.1 分包的一般约定</w:t>
      </w:r>
    </w:p>
    <w:p w14:paraId="5507B25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禁止分包的工程包括：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3ADA5F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主体结构、关键性工作的范围：</w:t>
      </w:r>
      <w:r>
        <w:rPr>
          <w:rFonts w:hint="eastAsia"/>
          <w:b w:val="0"/>
          <w:i w:val="0"/>
          <w:caps w:val="0"/>
          <w:color w:val="auto"/>
          <w:spacing w:val="0"/>
          <w:w w:val="100"/>
          <w:sz w:val="24"/>
          <w:szCs w:val="24"/>
          <w:highlight w:val="none"/>
          <w:u w:val="single" w:color="000000"/>
        </w:rPr>
        <w:t xml:space="preserve">                      </w:t>
      </w:r>
    </w:p>
    <w:p w14:paraId="69B12BC2">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bookmarkEnd w:id="720"/>
      <w:bookmarkEnd w:id="721"/>
      <w:bookmarkEnd w:id="722"/>
      <w:bookmarkEnd w:id="723"/>
      <w:bookmarkEnd w:id="724"/>
      <w:bookmarkEnd w:id="725"/>
      <w:bookmarkEnd w:id="726"/>
      <w:bookmarkEnd w:id="727"/>
      <w:bookmarkEnd w:id="728"/>
      <w:bookmarkEnd w:id="729"/>
      <w:bookmarkEnd w:id="730"/>
      <w:bookmarkEnd w:id="731"/>
      <w:bookmarkEnd w:id="732"/>
      <w:bookmarkEnd w:id="733"/>
      <w:bookmarkEnd w:id="734"/>
    </w:p>
    <w:p w14:paraId="3DD81967">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 xml:space="preserve">    3.5.2分包的确定</w:t>
      </w:r>
    </w:p>
    <w:p w14:paraId="030B7745">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允许分包的专业工程包括：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C332EC1">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其他关于分包的约定：</w:t>
      </w:r>
      <w:r>
        <w:rPr>
          <w:rFonts w:hint="eastAsia"/>
          <w:b w:val="0"/>
          <w:i w:val="0"/>
          <w:caps w:val="0"/>
          <w:color w:val="auto"/>
          <w:spacing w:val="0"/>
          <w:w w:val="100"/>
          <w:sz w:val="24"/>
          <w:szCs w:val="24"/>
          <w:highlight w:val="none"/>
          <w:u w:val="single" w:color="000000"/>
        </w:rPr>
        <w:t xml:space="preserve">                                  </w:t>
      </w:r>
    </w:p>
    <w:p w14:paraId="5D88B1B8">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74E33DD">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3.5.4 分包合同价款</w:t>
      </w:r>
    </w:p>
    <w:p w14:paraId="40DF4D9D">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关于分包合同价款支付的约定：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9771BC8">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3.6 工程照管与成品、半成品保护</w:t>
      </w:r>
    </w:p>
    <w:p w14:paraId="771BB9E2">
      <w:pPr>
        <w:snapToGrid w:val="0"/>
        <w:spacing w:before="120" w:beforeAutospacing="0" w:after="120" w:afterAutospacing="0" w:line="360" w:lineRule="auto"/>
        <w:ind w:firstLine="480" w:firstLineChars="200"/>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承包人负责照管工程及工程相关的材料、工程设备的起始时间：</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39DE6D7C">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3.7 履约担保</w:t>
      </w:r>
    </w:p>
    <w:p w14:paraId="7D58678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承包人是否提供履约担保：</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u w:val="single" w:color="000000"/>
          <w:lang w:val="en-US" w:eastAsia="zh-CN"/>
        </w:rPr>
        <w:t>否</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5BC945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承包人提供履约担保的形式、金额及期限的：</w:t>
      </w:r>
      <w:r>
        <w:rPr>
          <w:rFonts w:hint="eastAsia"/>
          <w:b w:val="0"/>
          <w:i w:val="0"/>
          <w:caps w:val="0"/>
          <w:color w:val="auto"/>
          <w:spacing w:val="0"/>
          <w:w w:val="100"/>
          <w:sz w:val="24"/>
          <w:szCs w:val="24"/>
          <w:highlight w:val="none"/>
          <w:u w:val="single"/>
          <w:lang w:val="en-US" w:eastAsia="zh-CN"/>
        </w:rPr>
        <w:t xml:space="preserve">    </w:t>
      </w:r>
      <w:r>
        <w:rPr>
          <w:rFonts w:hint="eastAsia"/>
          <w:b w:val="0"/>
          <w:i/>
          <w:iCs/>
          <w:caps w:val="0"/>
          <w:color w:val="auto"/>
          <w:spacing w:val="0"/>
          <w:w w:val="100"/>
          <w:sz w:val="24"/>
          <w:szCs w:val="24"/>
          <w:highlight w:val="none"/>
          <w:u w:val="single"/>
          <w:lang w:val="en-US" w:eastAsia="zh-CN"/>
        </w:rPr>
        <w:t xml:space="preserve"> </w:t>
      </w:r>
      <w:r>
        <w:rPr>
          <w:rFonts w:hint="eastAsia"/>
          <w:b w:val="0"/>
          <w:i w:val="0"/>
          <w:caps w:val="0"/>
          <w:color w:val="auto"/>
          <w:spacing w:val="0"/>
          <w:w w:val="100"/>
          <w:sz w:val="24"/>
          <w:szCs w:val="24"/>
          <w:highlight w:val="none"/>
          <w:u w:val="single" w:color="000000"/>
          <w:lang w:eastAsia="zh-CN"/>
        </w:rPr>
        <w:t>。</w:t>
      </w:r>
    </w:p>
    <w:p w14:paraId="485845E2">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35" w:name="_Toc351203636"/>
      <w:bookmarkStart w:id="736" w:name="_Toc4087"/>
      <w:r>
        <w:rPr>
          <w:rFonts w:hint="eastAsia"/>
          <w:b w:val="0"/>
          <w:i w:val="0"/>
          <w:caps w:val="0"/>
          <w:color w:val="auto"/>
          <w:spacing w:val="0"/>
          <w:w w:val="100"/>
          <w:sz w:val="24"/>
          <w:szCs w:val="24"/>
          <w:highlight w:val="none"/>
        </w:rPr>
        <w:t>4</w:t>
      </w:r>
      <w:bookmarkStart w:id="737" w:name="_Toc292559366"/>
      <w:bookmarkStart w:id="738" w:name="_Toc296503162"/>
      <w:bookmarkStart w:id="739" w:name="_Toc267251413"/>
      <w:bookmarkStart w:id="740" w:name="_Toc296346663"/>
      <w:bookmarkStart w:id="741" w:name="_Toc296891202"/>
      <w:bookmarkStart w:id="742" w:name="_Toc296347161"/>
      <w:bookmarkStart w:id="743" w:name="_Toc296944501"/>
      <w:bookmarkStart w:id="744" w:name="_Toc297120462"/>
      <w:bookmarkStart w:id="745" w:name="_Toc297048348"/>
      <w:bookmarkStart w:id="746" w:name="_Toc292559871"/>
      <w:bookmarkStart w:id="747" w:name="_Toc296890990"/>
      <w:r>
        <w:rPr>
          <w:rFonts w:hint="eastAsia"/>
          <w:b w:val="0"/>
          <w:i w:val="0"/>
          <w:caps w:val="0"/>
          <w:color w:val="auto"/>
          <w:spacing w:val="0"/>
          <w:w w:val="100"/>
          <w:sz w:val="24"/>
          <w:szCs w:val="24"/>
          <w:highlight w:val="none"/>
        </w:rPr>
        <w:t>. 监</w:t>
      </w:r>
      <w:bookmarkEnd w:id="737"/>
      <w:bookmarkEnd w:id="738"/>
      <w:bookmarkEnd w:id="739"/>
      <w:bookmarkEnd w:id="740"/>
      <w:bookmarkEnd w:id="741"/>
      <w:bookmarkEnd w:id="742"/>
      <w:bookmarkEnd w:id="743"/>
      <w:bookmarkEnd w:id="744"/>
      <w:bookmarkEnd w:id="745"/>
      <w:bookmarkEnd w:id="746"/>
      <w:bookmarkEnd w:id="747"/>
      <w:r>
        <w:rPr>
          <w:rFonts w:hint="eastAsia"/>
          <w:b w:val="0"/>
          <w:i w:val="0"/>
          <w:caps w:val="0"/>
          <w:color w:val="auto"/>
          <w:spacing w:val="0"/>
          <w:w w:val="100"/>
          <w:sz w:val="24"/>
          <w:szCs w:val="24"/>
          <w:highlight w:val="none"/>
        </w:rPr>
        <w:t>理人</w:t>
      </w:r>
      <w:bookmarkEnd w:id="735"/>
      <w:bookmarkEnd w:id="736"/>
    </w:p>
    <w:p w14:paraId="59486CBE">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4.1监理人的一般规定</w:t>
      </w:r>
    </w:p>
    <w:p w14:paraId="0DB2DE3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关于监理人的监理内容：</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ECB8F0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关于监理人的监理权限：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1DC9BB3B">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关于监理人在施工现场的办公场所、生活场所的提供和费用承担的约定：</w:t>
      </w:r>
      <w:r>
        <w:rPr>
          <w:rFonts w:hint="eastAsia"/>
          <w:b w:val="0"/>
          <w:i w:val="0"/>
          <w:caps w:val="0"/>
          <w:color w:val="auto"/>
          <w:spacing w:val="0"/>
          <w:w w:val="100"/>
          <w:sz w:val="24"/>
          <w:szCs w:val="24"/>
          <w:highlight w:val="none"/>
          <w:u w:val="single" w:color="000000"/>
        </w:rPr>
        <w:t xml:space="preserve">                                                </w:t>
      </w:r>
    </w:p>
    <w:p w14:paraId="0D6DF000">
      <w:pPr>
        <w:snapToGrid w:val="0"/>
        <w:spacing w:before="0" w:beforeAutospacing="0" w:after="0" w:afterAutospacing="0" w:line="360" w:lineRule="auto"/>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190C3F6">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4.2 监理人员</w:t>
      </w:r>
    </w:p>
    <w:p w14:paraId="25C14005">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总监理工程师：</w:t>
      </w:r>
    </w:p>
    <w:p w14:paraId="42F42AB6">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姓    名：</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2F7C45AB">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职    务：</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42B278CA">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监理工程师执业资格证书号：</w:t>
      </w:r>
      <w:r>
        <w:rPr>
          <w:rFonts w:hint="eastAsia"/>
          <w:b w:val="0"/>
          <w:i w:val="0"/>
          <w:caps w:val="0"/>
          <w:color w:val="auto"/>
          <w:spacing w:val="0"/>
          <w:w w:val="100"/>
          <w:sz w:val="24"/>
          <w:szCs w:val="24"/>
          <w:highlight w:val="none"/>
          <w:u w:val="single" w:color="000000"/>
        </w:rPr>
        <w:t> </w:t>
      </w:r>
      <w:r>
        <w:rPr>
          <w:rFonts w:hint="eastAsia"/>
          <w:b w:val="0"/>
          <w:i w:val="0"/>
          <w:caps w:val="0"/>
          <w:color w:val="auto"/>
          <w:spacing w:val="0"/>
          <w:w w:val="100"/>
          <w:sz w:val="24"/>
          <w:szCs w:val="24"/>
          <w:highlight w:val="none"/>
        </w:rPr>
        <w:t>；</w:t>
      </w:r>
    </w:p>
    <w:p w14:paraId="3A428F7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联系电话：</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0D20DD6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电子信箱：</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6B10ABF3">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通信地址：</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5266882F">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关于监理人的其他约定：</w:t>
      </w:r>
      <w:r>
        <w:rPr>
          <w:rFonts w:hint="eastAsia"/>
          <w:b w:val="0"/>
          <w:i w:val="0"/>
          <w:caps w:val="0"/>
          <w:color w:val="auto"/>
          <w:spacing w:val="0"/>
          <w:w w:val="100"/>
          <w:sz w:val="24"/>
          <w:szCs w:val="24"/>
          <w:highlight w:val="none"/>
          <w:u w:val="single" w:color="000000"/>
        </w:rPr>
        <w:t>   </w:t>
      </w:r>
      <w:r>
        <w:rPr>
          <w:rFonts w:hint="eastAsia"/>
          <w:b w:val="0"/>
          <w:i w:val="0"/>
          <w:caps w:val="0"/>
          <w:color w:val="auto"/>
          <w:spacing w:val="0"/>
          <w:w w:val="100"/>
          <w:sz w:val="24"/>
          <w:szCs w:val="24"/>
          <w:highlight w:val="none"/>
        </w:rPr>
        <w:t>。</w:t>
      </w:r>
    </w:p>
    <w:p w14:paraId="01369799">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4.4 商定或确定</w:t>
      </w:r>
    </w:p>
    <w:p w14:paraId="09B18F01">
      <w:pPr>
        <w:snapToGrid w:val="0"/>
        <w:spacing w:before="0" w:beforeAutospacing="0" w:after="0" w:afterAutospacing="0" w:line="360" w:lineRule="auto"/>
        <w:ind w:firstLine="480" w:firstLineChars="200"/>
        <w:textAlignment w:val="baseline"/>
        <w:rPr>
          <w:rFonts w:hint="eastAsia"/>
          <w:b w:val="0"/>
          <w:i w:val="0"/>
          <w:caps w:val="0"/>
          <w:color w:val="auto"/>
          <w:spacing w:val="0"/>
          <w:w w:val="100"/>
          <w:sz w:val="24"/>
          <w:szCs w:val="24"/>
          <w:highlight w:val="none"/>
        </w:rPr>
      </w:pPr>
      <w:bookmarkStart w:id="748" w:name="_Toc267251418"/>
      <w:r>
        <w:rPr>
          <w:rFonts w:hint="eastAsia"/>
          <w:b w:val="0"/>
          <w:i w:val="0"/>
          <w:caps w:val="0"/>
          <w:color w:val="auto"/>
          <w:spacing w:val="0"/>
          <w:w w:val="100"/>
          <w:sz w:val="24"/>
          <w:szCs w:val="24"/>
          <w:highlight w:val="none"/>
        </w:rPr>
        <w:t>在发包人和承包人不能通过协商达成一致意见时，发包人授权监理人对以下事项进行确定：</w:t>
      </w:r>
    </w:p>
    <w:p w14:paraId="4FFCEAA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19E11F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（2）</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0F040B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（3）</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09874E6">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49" w:name="_Toc351203637"/>
      <w:bookmarkStart w:id="750" w:name="_Toc8445"/>
      <w:r>
        <w:rPr>
          <w:rFonts w:hint="eastAsia"/>
          <w:b w:val="0"/>
          <w:i w:val="0"/>
          <w:caps w:val="0"/>
          <w:color w:val="auto"/>
          <w:spacing w:val="0"/>
          <w:w w:val="100"/>
          <w:sz w:val="24"/>
          <w:szCs w:val="24"/>
          <w:highlight w:val="none"/>
        </w:rPr>
        <w:t>5</w:t>
      </w:r>
      <w:bookmarkEnd w:id="748"/>
      <w:r>
        <w:rPr>
          <w:rFonts w:hint="eastAsia"/>
          <w:b w:val="0"/>
          <w:i w:val="0"/>
          <w:caps w:val="0"/>
          <w:color w:val="auto"/>
          <w:spacing w:val="0"/>
          <w:w w:val="100"/>
          <w:sz w:val="24"/>
          <w:szCs w:val="24"/>
          <w:highlight w:val="none"/>
        </w:rPr>
        <w:t>. 工程质量</w:t>
      </w:r>
      <w:bookmarkEnd w:id="749"/>
      <w:bookmarkEnd w:id="750"/>
    </w:p>
    <w:p w14:paraId="5FD205B1">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5.1 质量要求</w:t>
      </w:r>
    </w:p>
    <w:p w14:paraId="5C46618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5.1.1 特殊质量标准和要求：</w:t>
      </w:r>
      <w:r>
        <w:rPr>
          <w:rFonts w:hint="eastAsia"/>
          <w:b w:val="0"/>
          <w:i w:val="0"/>
          <w:caps w:val="0"/>
          <w:color w:val="auto"/>
          <w:spacing w:val="0"/>
          <w:w w:val="100"/>
          <w:sz w:val="24"/>
          <w:szCs w:val="24"/>
          <w:highlight w:val="none"/>
          <w:u w:val="single" w:color="000000"/>
        </w:rPr>
        <w:t xml:space="preserve">                             </w:t>
      </w:r>
    </w:p>
    <w:p w14:paraId="493E67A4">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B94323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关于工程奖项的约定：</w:t>
      </w:r>
      <w:r>
        <w:rPr>
          <w:rFonts w:hint="eastAsia"/>
          <w:b w:val="0"/>
          <w:i w:val="0"/>
          <w:caps w:val="0"/>
          <w:color w:val="auto"/>
          <w:spacing w:val="0"/>
          <w:w w:val="100"/>
          <w:sz w:val="24"/>
          <w:szCs w:val="24"/>
          <w:highlight w:val="none"/>
          <w:u w:val="single" w:color="000000"/>
        </w:rPr>
        <w:t xml:space="preserve">                                  </w:t>
      </w:r>
    </w:p>
    <w:p w14:paraId="0FEEF3A6">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C9AA2EA">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5.3 隐蔽工程检查</w:t>
      </w:r>
    </w:p>
    <w:p w14:paraId="603D281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5.3.2承包人提前通知监理人隐蔽工程检查的期限的约定：</w:t>
      </w:r>
      <w:r>
        <w:rPr>
          <w:rFonts w:hint="eastAsia"/>
          <w:b w:val="0"/>
          <w:i w:val="0"/>
          <w:caps w:val="0"/>
          <w:color w:val="auto"/>
          <w:spacing w:val="0"/>
          <w:w w:val="100"/>
          <w:sz w:val="24"/>
          <w:szCs w:val="24"/>
          <w:highlight w:val="none"/>
          <w:u w:val="single" w:color="000000"/>
        </w:rPr>
        <w:t xml:space="preserve">    </w:t>
      </w:r>
    </w:p>
    <w:p w14:paraId="4E98F1B7">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CCF6C7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监理人不能按时进行检查时，应提前</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小时提交书面延期要求。</w:t>
      </w:r>
    </w:p>
    <w:p w14:paraId="23F0FCD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关于延期最长不得超过：</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小时。</w:t>
      </w:r>
    </w:p>
    <w:p w14:paraId="42BCAE40">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51" w:name="_Toc1998"/>
      <w:bookmarkStart w:id="752" w:name="_Toc351203638"/>
      <w:r>
        <w:rPr>
          <w:rFonts w:hint="eastAsia"/>
          <w:b w:val="0"/>
          <w:i w:val="0"/>
          <w:caps w:val="0"/>
          <w:color w:val="auto"/>
          <w:spacing w:val="0"/>
          <w:w w:val="100"/>
          <w:sz w:val="24"/>
          <w:szCs w:val="24"/>
          <w:highlight w:val="none"/>
        </w:rPr>
        <w:t>6. 安全文明施工与环境保护</w:t>
      </w:r>
      <w:bookmarkEnd w:id="751"/>
      <w:bookmarkEnd w:id="752"/>
    </w:p>
    <w:p w14:paraId="31F3D150">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6.1安全文明施工</w:t>
      </w:r>
    </w:p>
    <w:p w14:paraId="7112C50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6.1.1 项目安全生产的达标目标及相应事项的约定：</w:t>
      </w:r>
      <w:r>
        <w:rPr>
          <w:rFonts w:hint="eastAsia"/>
          <w:b w:val="0"/>
          <w:i w:val="0"/>
          <w:caps w:val="0"/>
          <w:color w:val="auto"/>
          <w:spacing w:val="0"/>
          <w:w w:val="100"/>
          <w:sz w:val="24"/>
          <w:szCs w:val="24"/>
          <w:highlight w:val="none"/>
          <w:u w:val="single" w:color="000000"/>
        </w:rPr>
        <w:t xml:space="preserve">         </w:t>
      </w:r>
    </w:p>
    <w:p w14:paraId="19A3CCCC">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0E6E3C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6.1.4 关于治安保卫的特别约定：</w:t>
      </w:r>
      <w:r>
        <w:rPr>
          <w:rFonts w:hint="eastAsia"/>
          <w:b w:val="0"/>
          <w:i w:val="0"/>
          <w:caps w:val="0"/>
          <w:color w:val="auto"/>
          <w:spacing w:val="0"/>
          <w:w w:val="100"/>
          <w:sz w:val="24"/>
          <w:szCs w:val="24"/>
          <w:highlight w:val="none"/>
          <w:u w:val="single" w:color="000000"/>
        </w:rPr>
        <w:t xml:space="preserve">                         </w:t>
      </w:r>
    </w:p>
    <w:p w14:paraId="7863558F">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4A681BA">
      <w:pPr>
        <w:snapToGrid w:val="0"/>
        <w:spacing w:before="0" w:beforeAutospacing="0" w:after="0" w:afterAutospacing="0" w:line="360" w:lineRule="auto"/>
        <w:ind w:firstLine="480" w:firstLineChars="200"/>
        <w:jc w:val="left"/>
        <w:textAlignment w:val="baseline"/>
        <w:rPr>
          <w:rFonts w:hint="eastAsia" w:eastAsia="宋体"/>
          <w:b w:val="0"/>
          <w:i w:val="0"/>
          <w:caps w:val="0"/>
          <w:color w:val="auto"/>
          <w:spacing w:val="0"/>
          <w:w w:val="100"/>
          <w:sz w:val="24"/>
          <w:szCs w:val="24"/>
          <w:highlight w:val="none"/>
          <w:u w:val="single" w:color="000000"/>
          <w:lang w:eastAsia="zh-CN"/>
        </w:rPr>
      </w:pPr>
      <w:r>
        <w:rPr>
          <w:rFonts w:hint="eastAsia"/>
          <w:b w:val="0"/>
          <w:i w:val="0"/>
          <w:caps w:val="0"/>
          <w:color w:val="auto"/>
          <w:spacing w:val="0"/>
          <w:w w:val="100"/>
          <w:sz w:val="24"/>
          <w:szCs w:val="24"/>
          <w:highlight w:val="none"/>
        </w:rPr>
        <w:t>关于编制施工场地治安管理计划的约定：</w:t>
      </w:r>
      <w:r>
        <w:rPr>
          <w:rFonts w:hint="eastAsia"/>
          <w:b w:val="0"/>
          <w:i w:val="0"/>
          <w:caps w:val="0"/>
          <w:color w:val="auto"/>
          <w:spacing w:val="0"/>
          <w:w w:val="100"/>
          <w:sz w:val="24"/>
          <w:szCs w:val="24"/>
          <w:highlight w:val="none"/>
          <w:u w:val="single" w:color="000000"/>
        </w:rPr>
        <w:t xml:space="preserve">                  </w:t>
      </w:r>
    </w:p>
    <w:p w14:paraId="2F23B28E">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63BA6C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6.1.5 文明施工</w:t>
      </w:r>
    </w:p>
    <w:p w14:paraId="31D0834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合同当事人对文明施工的要求：</w:t>
      </w:r>
      <w:r>
        <w:rPr>
          <w:rFonts w:hint="eastAsia"/>
          <w:b w:val="0"/>
          <w:i w:val="0"/>
          <w:caps w:val="0"/>
          <w:color w:val="auto"/>
          <w:spacing w:val="0"/>
          <w:w w:val="100"/>
          <w:sz w:val="24"/>
          <w:szCs w:val="24"/>
          <w:highlight w:val="none"/>
          <w:u w:val="single" w:color="000000"/>
        </w:rPr>
        <w:t xml:space="preserve">                          </w:t>
      </w:r>
    </w:p>
    <w:p w14:paraId="560544D6">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94C88DE">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6.1.6 关于安全文明施工费支付比例和支付期限的约定：</w:t>
      </w:r>
      <w:r>
        <w:rPr>
          <w:rFonts w:hint="eastAsia"/>
          <w:b w:val="0"/>
          <w:i w:val="0"/>
          <w:caps w:val="0"/>
          <w:color w:val="auto"/>
          <w:spacing w:val="0"/>
          <w:w w:val="100"/>
          <w:sz w:val="24"/>
          <w:szCs w:val="24"/>
          <w:highlight w:val="none"/>
          <w:u w:val="single" w:color="000000"/>
        </w:rPr>
        <w:t xml:space="preserve">     </w:t>
      </w:r>
    </w:p>
    <w:p w14:paraId="7A2506BE">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B73E19C">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53" w:name="_Toc30302"/>
      <w:bookmarkStart w:id="754" w:name="_Toc351203639"/>
      <w:r>
        <w:rPr>
          <w:rFonts w:hint="eastAsia"/>
          <w:b w:val="0"/>
          <w:i w:val="0"/>
          <w:caps w:val="0"/>
          <w:color w:val="auto"/>
          <w:spacing w:val="0"/>
          <w:w w:val="100"/>
          <w:sz w:val="24"/>
          <w:szCs w:val="24"/>
          <w:highlight w:val="none"/>
        </w:rPr>
        <w:t>7. 工期和进度</w:t>
      </w:r>
      <w:bookmarkEnd w:id="753"/>
      <w:bookmarkEnd w:id="754"/>
    </w:p>
    <w:p w14:paraId="7A72FD6F">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7.1 施工组织设计</w:t>
      </w:r>
    </w:p>
    <w:p w14:paraId="2DA2A06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7.1.1 合</w:t>
      </w:r>
      <w:r>
        <w:rPr>
          <w:rFonts w:hint="eastAsia"/>
          <w:b w:val="0"/>
          <w:i w:val="0"/>
          <w:caps w:val="0"/>
          <w:color w:val="auto"/>
          <w:spacing w:val="0"/>
          <w:w w:val="100"/>
          <w:kern w:val="0"/>
          <w:sz w:val="24"/>
          <w:szCs w:val="24"/>
          <w:highlight w:val="none"/>
        </w:rPr>
        <w:t>同当事人约定的施工组织设计应包括的其他内容：</w:t>
      </w:r>
      <w:r>
        <w:rPr>
          <w:rFonts w:hint="eastAsia"/>
          <w:b w:val="0"/>
          <w:i w:val="0"/>
          <w:caps w:val="0"/>
          <w:color w:val="auto"/>
          <w:spacing w:val="0"/>
          <w:w w:val="100"/>
          <w:sz w:val="24"/>
          <w:szCs w:val="24"/>
          <w:highlight w:val="none"/>
          <w:u w:val="single" w:color="000000"/>
        </w:rPr>
        <w:t xml:space="preserve">   </w:t>
      </w:r>
    </w:p>
    <w:p w14:paraId="6BFE225A">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2AB1AF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rPr>
        <w:t xml:space="preserve">7.1.2 </w:t>
      </w:r>
      <w:r>
        <w:rPr>
          <w:rFonts w:hint="eastAsia"/>
          <w:b w:val="0"/>
          <w:i w:val="0"/>
          <w:caps w:val="0"/>
          <w:color w:val="auto"/>
          <w:spacing w:val="0"/>
          <w:w w:val="100"/>
          <w:kern w:val="0"/>
          <w:sz w:val="24"/>
          <w:szCs w:val="24"/>
          <w:highlight w:val="none"/>
        </w:rPr>
        <w:t>施工组织设计的提交和修改</w:t>
      </w:r>
    </w:p>
    <w:p w14:paraId="36E4375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kern w:val="0"/>
          <w:sz w:val="24"/>
          <w:szCs w:val="24"/>
          <w:highlight w:val="none"/>
        </w:rPr>
        <w:t>承包人提交详细施工组织设计的期限的约定：</w:t>
      </w:r>
      <w:r>
        <w:rPr>
          <w:rFonts w:hint="eastAsia"/>
          <w:b w:val="0"/>
          <w:i w:val="0"/>
          <w:caps w:val="0"/>
          <w:color w:val="auto"/>
          <w:spacing w:val="0"/>
          <w:w w:val="100"/>
          <w:sz w:val="24"/>
          <w:szCs w:val="24"/>
          <w:highlight w:val="none"/>
          <w:u w:val="single" w:color="000000"/>
        </w:rPr>
        <w:t xml:space="preserve">              </w:t>
      </w:r>
    </w:p>
    <w:p w14:paraId="4D233AD9">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8A9168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发包人和监理人在收到详细的施工组织设计后确认或提出修改意见的期限：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E0FA619">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7.2 施工进度计划</w:t>
      </w:r>
    </w:p>
    <w:p w14:paraId="33B3A2F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7.2.2 施工进度计划的修订</w:t>
      </w:r>
    </w:p>
    <w:p w14:paraId="5F561CD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发包人和监理人在收到修订的施工进度计划后确认或提出修改意见的期限：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BDD893B">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7.3 开工</w:t>
      </w:r>
    </w:p>
    <w:p w14:paraId="236E5EDE">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7.3.1 开工准备</w:t>
      </w:r>
    </w:p>
    <w:p w14:paraId="4E0455C3">
      <w:pPr>
        <w:snapToGrid w:val="0"/>
        <w:spacing w:before="0" w:beforeAutospacing="0" w:after="0" w:afterAutospacing="0" w:line="360" w:lineRule="auto"/>
        <w:ind w:firstLine="645"/>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关于承包人提交</w:t>
      </w:r>
      <w:r>
        <w:rPr>
          <w:rFonts w:hint="eastAsia"/>
          <w:b w:val="0"/>
          <w:i w:val="0"/>
          <w:caps w:val="0"/>
          <w:color w:val="auto"/>
          <w:spacing w:val="0"/>
          <w:w w:val="100"/>
          <w:kern w:val="0"/>
          <w:sz w:val="24"/>
          <w:szCs w:val="24"/>
          <w:highlight w:val="none"/>
        </w:rPr>
        <w:t>工程开工报审表的期限：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424B894">
      <w:pPr>
        <w:snapToGrid w:val="0"/>
        <w:spacing w:before="0" w:beforeAutospacing="0" w:after="0" w:afterAutospacing="0" w:line="360" w:lineRule="auto"/>
        <w:ind w:firstLine="645"/>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关于发包人应完成的其他开工准备工作及期限：</w:t>
      </w:r>
      <w:r>
        <w:rPr>
          <w:rFonts w:hint="eastAsia"/>
          <w:b w:val="0"/>
          <w:i w:val="0"/>
          <w:caps w:val="0"/>
          <w:color w:val="auto"/>
          <w:spacing w:val="0"/>
          <w:w w:val="100"/>
          <w:sz w:val="24"/>
          <w:szCs w:val="24"/>
          <w:highlight w:val="none"/>
          <w:u w:val="single" w:color="000000"/>
        </w:rPr>
        <w:t xml:space="preserve">             </w:t>
      </w:r>
    </w:p>
    <w:p w14:paraId="0AC9187A">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8B2E02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关于承包人应完成的其他开工准备工作及期限：</w:t>
      </w:r>
      <w:r>
        <w:rPr>
          <w:rFonts w:hint="eastAsia"/>
          <w:b w:val="0"/>
          <w:i w:val="0"/>
          <w:caps w:val="0"/>
          <w:color w:val="auto"/>
          <w:spacing w:val="0"/>
          <w:w w:val="100"/>
          <w:sz w:val="24"/>
          <w:szCs w:val="24"/>
          <w:highlight w:val="none"/>
          <w:u w:val="single" w:color="000000"/>
        </w:rPr>
        <w:t xml:space="preserve">            </w:t>
      </w:r>
    </w:p>
    <w:p w14:paraId="521669C0">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2D2C86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7.3.2开工通知</w:t>
      </w:r>
    </w:p>
    <w:p w14:paraId="79E9252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因发包人原因造成监理人未能在计划开工日期之日起</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天内发出开工通知的，承包人有权提出价格调整要求，或者解除合同。</w:t>
      </w:r>
    </w:p>
    <w:p w14:paraId="2D727A51">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7.4 测量放线</w:t>
      </w:r>
    </w:p>
    <w:p w14:paraId="08DE719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7.4.1发包人通过监理人向承包人提供测量基准点、基准线和水准点及其书面资料的期限：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A1D309E">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7.5 工期延误</w:t>
      </w:r>
    </w:p>
    <w:p w14:paraId="16A755A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7.5.1 因发包人原因导致工期延误</w:t>
      </w:r>
    </w:p>
    <w:p w14:paraId="2E10AFE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（7）因发包人原因导致工期延误的其他情形：</w:t>
      </w:r>
      <w:r>
        <w:rPr>
          <w:rFonts w:hint="eastAsia"/>
          <w:b w:val="0"/>
          <w:i w:val="0"/>
          <w:caps w:val="0"/>
          <w:color w:val="auto"/>
          <w:spacing w:val="0"/>
          <w:w w:val="100"/>
          <w:sz w:val="24"/>
          <w:szCs w:val="24"/>
          <w:highlight w:val="none"/>
          <w:u w:val="single" w:color="000000"/>
        </w:rPr>
        <w:t xml:space="preserve">              </w:t>
      </w:r>
    </w:p>
    <w:p w14:paraId="7410F96D">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58342E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w:t>
      </w:r>
      <w:bookmarkStart w:id="755" w:name="_Toc304295548"/>
      <w:bookmarkStart w:id="756" w:name="_Toc300934970"/>
      <w:bookmarkStart w:id="757" w:name="_Toc297216177"/>
      <w:bookmarkStart w:id="758" w:name="_Toc297123518"/>
      <w:bookmarkStart w:id="759" w:name="_Toc303539127"/>
      <w:r>
        <w:rPr>
          <w:rFonts w:hint="eastAsia"/>
          <w:b w:val="0"/>
          <w:i w:val="0"/>
          <w:caps w:val="0"/>
          <w:color w:val="auto"/>
          <w:spacing w:val="0"/>
          <w:w w:val="100"/>
          <w:sz w:val="24"/>
          <w:szCs w:val="24"/>
          <w:highlight w:val="none"/>
        </w:rPr>
        <w:t>.5.2 因承包人原因导致工期延误</w:t>
      </w:r>
    </w:p>
    <w:p w14:paraId="442D843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因</w:t>
      </w:r>
      <w:bookmarkStart w:id="760" w:name="_Toc312678013"/>
      <w:bookmarkStart w:id="761" w:name="_Toc312677487"/>
      <w:r>
        <w:rPr>
          <w:rFonts w:hint="eastAsia"/>
          <w:b w:val="0"/>
          <w:i w:val="0"/>
          <w:caps w:val="0"/>
          <w:color w:val="auto"/>
          <w:spacing w:val="0"/>
          <w:w w:val="100"/>
          <w:sz w:val="24"/>
          <w:szCs w:val="24"/>
          <w:highlight w:val="none"/>
        </w:rPr>
        <w:t>承包人原因造成工期延误，逾期竣工违约金的计算方法为：</w:t>
      </w:r>
    </w:p>
    <w:p w14:paraId="2A2DCFAD">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bookmarkEnd w:id="755"/>
      <w:bookmarkEnd w:id="756"/>
      <w:bookmarkEnd w:id="757"/>
      <w:bookmarkEnd w:id="758"/>
      <w:bookmarkEnd w:id="759"/>
      <w:bookmarkEnd w:id="760"/>
      <w:bookmarkEnd w:id="761"/>
    </w:p>
    <w:p w14:paraId="23E4E76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因承包人原因造成工期延误，逾期竣工违约金的上限：</w:t>
      </w:r>
      <w:r>
        <w:rPr>
          <w:rFonts w:hint="eastAsia"/>
          <w:b w:val="0"/>
          <w:i w:val="0"/>
          <w:caps w:val="0"/>
          <w:color w:val="auto"/>
          <w:spacing w:val="0"/>
          <w:w w:val="100"/>
          <w:sz w:val="24"/>
          <w:szCs w:val="24"/>
          <w:highlight w:val="none"/>
          <w:u w:val="single" w:color="000000"/>
        </w:rPr>
        <w:t xml:space="preserve">       </w:t>
      </w:r>
    </w:p>
    <w:p w14:paraId="383F5926">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479055E">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w:t>
      </w:r>
      <w:bookmarkStart w:id="762" w:name="_Toc300934971"/>
      <w:bookmarkStart w:id="763" w:name="_Toc297216178"/>
      <w:bookmarkStart w:id="764" w:name="_Toc304295549"/>
      <w:bookmarkStart w:id="765" w:name="_Toc303539128"/>
      <w:bookmarkStart w:id="766" w:name="_Toc312678015"/>
      <w:bookmarkStart w:id="767" w:name="_Toc297123519"/>
      <w:r>
        <w:rPr>
          <w:rFonts w:hint="eastAsia"/>
          <w:b w:val="0"/>
          <w:i w:val="0"/>
          <w:caps w:val="0"/>
          <w:color w:val="auto"/>
          <w:spacing w:val="0"/>
          <w:w w:val="100"/>
          <w:sz w:val="24"/>
          <w:szCs w:val="24"/>
          <w:highlight w:val="none"/>
        </w:rPr>
        <w:t>.6 不</w:t>
      </w:r>
      <w:bookmarkEnd w:id="762"/>
      <w:bookmarkEnd w:id="763"/>
      <w:bookmarkEnd w:id="764"/>
      <w:bookmarkEnd w:id="765"/>
      <w:bookmarkEnd w:id="766"/>
      <w:bookmarkEnd w:id="767"/>
      <w:r>
        <w:rPr>
          <w:rFonts w:hint="eastAsia"/>
          <w:b w:val="0"/>
          <w:i w:val="0"/>
          <w:caps w:val="0"/>
          <w:color w:val="auto"/>
          <w:spacing w:val="0"/>
          <w:w w:val="100"/>
          <w:sz w:val="24"/>
          <w:szCs w:val="24"/>
          <w:highlight w:val="none"/>
        </w:rPr>
        <w:t>利物质条件</w:t>
      </w:r>
    </w:p>
    <w:p w14:paraId="606AA73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不利物质条件的其他情形和有关约定：</w:t>
      </w:r>
      <w:r>
        <w:rPr>
          <w:rFonts w:hint="eastAsia"/>
          <w:b w:val="0"/>
          <w:i w:val="0"/>
          <w:caps w:val="0"/>
          <w:color w:val="auto"/>
          <w:spacing w:val="0"/>
          <w:w w:val="100"/>
          <w:sz w:val="24"/>
          <w:szCs w:val="24"/>
          <w:highlight w:val="none"/>
          <w:u w:val="single" w:color="000000"/>
        </w:rPr>
        <w:t xml:space="preserve">                    </w:t>
      </w:r>
    </w:p>
    <w:p w14:paraId="2A779178">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32A14EC">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7.7异常恶劣的气候条件</w:t>
      </w:r>
    </w:p>
    <w:p w14:paraId="146DD4B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发包人和承包人同意以下情形视为异常恶劣的气候条件：</w:t>
      </w:r>
    </w:p>
    <w:p w14:paraId="46A5F84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54DD51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089E99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（3）</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169983C">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7.9 提前竣工的奖励</w:t>
      </w:r>
    </w:p>
    <w:p w14:paraId="1BD855D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7.9.2提前竣工的奖励：</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9A96756">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68" w:name="_Toc12183"/>
      <w:bookmarkStart w:id="769" w:name="_Toc351203640"/>
      <w:r>
        <w:rPr>
          <w:rFonts w:hint="eastAsia"/>
          <w:b w:val="0"/>
          <w:i w:val="0"/>
          <w:caps w:val="0"/>
          <w:color w:val="auto"/>
          <w:spacing w:val="0"/>
          <w:w w:val="100"/>
          <w:sz w:val="24"/>
          <w:szCs w:val="24"/>
          <w:highlight w:val="none"/>
        </w:rPr>
        <w:t>8. 材料与设备</w:t>
      </w:r>
      <w:bookmarkEnd w:id="768"/>
      <w:bookmarkEnd w:id="769"/>
    </w:p>
    <w:p w14:paraId="6B78638A">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8</w:t>
      </w:r>
      <w:bookmarkStart w:id="770" w:name="_Toc280868655"/>
      <w:bookmarkStart w:id="771" w:name="_Toc280868656"/>
      <w:bookmarkStart w:id="772" w:name="_Toc267251424"/>
      <w:r>
        <w:rPr>
          <w:rFonts w:hint="eastAsia"/>
          <w:b w:val="0"/>
          <w:i w:val="0"/>
          <w:caps w:val="0"/>
          <w:color w:val="auto"/>
          <w:spacing w:val="0"/>
          <w:w w:val="100"/>
          <w:sz w:val="24"/>
          <w:szCs w:val="24"/>
          <w:highlight w:val="none"/>
        </w:rPr>
        <w:t>.4材料与工程设备的保管与使用</w:t>
      </w:r>
    </w:p>
    <w:p w14:paraId="74632C2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8</w:t>
      </w:r>
      <w:bookmarkStart w:id="773" w:name="_Toc292559373"/>
      <w:bookmarkStart w:id="774" w:name="_Toc292559878"/>
      <w:r>
        <w:rPr>
          <w:rFonts w:hint="eastAsia"/>
          <w:b w:val="0"/>
          <w:i w:val="0"/>
          <w:caps w:val="0"/>
          <w:color w:val="auto"/>
          <w:spacing w:val="0"/>
          <w:w w:val="100"/>
          <w:sz w:val="24"/>
          <w:szCs w:val="24"/>
          <w:highlight w:val="none"/>
        </w:rPr>
        <w:t>.4.1发包人供应的材料设备的保管费用的承担：</w:t>
      </w:r>
      <w:r>
        <w:rPr>
          <w:rFonts w:hint="eastAsia"/>
          <w:b w:val="0"/>
          <w:i w:val="0"/>
          <w:caps w:val="0"/>
          <w:color w:val="auto"/>
          <w:spacing w:val="0"/>
          <w:w w:val="100"/>
          <w:sz w:val="24"/>
          <w:szCs w:val="24"/>
          <w:highlight w:val="none"/>
          <w:u w:val="single" w:color="000000"/>
        </w:rPr>
        <w:t xml:space="preserve">            </w:t>
      </w:r>
    </w:p>
    <w:p w14:paraId="0981B51F">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bookmarkEnd w:id="773"/>
      <w:bookmarkEnd w:id="774"/>
    </w:p>
    <w:p w14:paraId="28FE2AED">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8.6 样品</w:t>
      </w:r>
    </w:p>
    <w:p w14:paraId="7D8AE4C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8.6.1</w:t>
      </w:r>
      <w:r>
        <w:rPr>
          <w:rFonts w:hint="eastAsia"/>
          <w:b w:val="0"/>
          <w:i w:val="0"/>
          <w:caps w:val="0"/>
          <w:color w:val="auto"/>
          <w:spacing w:val="0"/>
          <w:w w:val="100"/>
          <w:kern w:val="0"/>
          <w:sz w:val="24"/>
          <w:szCs w:val="24"/>
          <w:highlight w:val="none"/>
        </w:rPr>
        <w:tab/>
      </w:r>
      <w:r>
        <w:rPr>
          <w:rFonts w:hint="eastAsia"/>
          <w:b w:val="0"/>
          <w:i w:val="0"/>
          <w:caps w:val="0"/>
          <w:color w:val="auto"/>
          <w:spacing w:val="0"/>
          <w:w w:val="100"/>
          <w:kern w:val="0"/>
          <w:sz w:val="24"/>
          <w:szCs w:val="24"/>
          <w:highlight w:val="none"/>
        </w:rPr>
        <w:t>样品的报送与封存</w:t>
      </w:r>
    </w:p>
    <w:p w14:paraId="0929306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kern w:val="0"/>
          <w:sz w:val="24"/>
          <w:szCs w:val="24"/>
          <w:highlight w:val="none"/>
        </w:rPr>
        <w:t>需要承包人报送样品的材料或工程设备，样品的种类、名称、规格、数量要求：</w:t>
      </w:r>
      <w:r>
        <w:rPr>
          <w:rFonts w:hint="eastAsia"/>
          <w:b w:val="0"/>
          <w:i w:val="0"/>
          <w:caps w:val="0"/>
          <w:color w:val="auto"/>
          <w:spacing w:val="0"/>
          <w:w w:val="100"/>
          <w:sz w:val="24"/>
          <w:szCs w:val="24"/>
          <w:highlight w:val="none"/>
          <w:u w:val="single" w:color="000000"/>
        </w:rPr>
        <w:t xml:space="preserve">                                          </w:t>
      </w:r>
    </w:p>
    <w:p w14:paraId="58249C84">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4315022">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8.8 施工设备和临时设施</w:t>
      </w:r>
    </w:p>
    <w:p w14:paraId="51DD154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8.8.1 承包人提供的施工设备和临时设施</w:t>
      </w:r>
    </w:p>
    <w:p w14:paraId="351673B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关于修建临时设施费用承担的约定：</w:t>
      </w:r>
      <w:r>
        <w:rPr>
          <w:rFonts w:hint="eastAsia"/>
          <w:b w:val="0"/>
          <w:i w:val="0"/>
          <w:caps w:val="0"/>
          <w:color w:val="auto"/>
          <w:spacing w:val="0"/>
          <w:w w:val="100"/>
          <w:sz w:val="24"/>
          <w:szCs w:val="24"/>
          <w:highlight w:val="none"/>
          <w:u w:val="single" w:color="000000"/>
        </w:rPr>
        <w:t xml:space="preserve">                     </w:t>
      </w:r>
    </w:p>
    <w:p w14:paraId="5802BCB9">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C738C53">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75" w:name="_Toc27492"/>
      <w:bookmarkStart w:id="776" w:name="_Toc351203641"/>
      <w:r>
        <w:rPr>
          <w:rFonts w:hint="eastAsia"/>
          <w:b w:val="0"/>
          <w:i w:val="0"/>
          <w:caps w:val="0"/>
          <w:color w:val="auto"/>
          <w:spacing w:val="0"/>
          <w:w w:val="100"/>
          <w:sz w:val="24"/>
          <w:szCs w:val="24"/>
          <w:highlight w:val="none"/>
        </w:rPr>
        <w:t>9</w:t>
      </w:r>
      <w:bookmarkEnd w:id="770"/>
      <w:bookmarkEnd w:id="771"/>
      <w:bookmarkEnd w:id="772"/>
      <w:bookmarkStart w:id="777" w:name="_Toc292559378"/>
      <w:bookmarkStart w:id="778" w:name="_Toc267251427"/>
      <w:bookmarkStart w:id="779" w:name="_Toc267251428"/>
      <w:bookmarkStart w:id="780" w:name="_Toc296346674"/>
      <w:bookmarkStart w:id="781" w:name="_Toc296503173"/>
      <w:bookmarkStart w:id="782" w:name="_Toc296891213"/>
      <w:bookmarkStart w:id="783" w:name="_Toc296944512"/>
      <w:bookmarkStart w:id="784" w:name="_Toc297048359"/>
      <w:bookmarkStart w:id="785" w:name="_Toc297120473"/>
      <w:bookmarkStart w:id="786" w:name="_Toc292559883"/>
      <w:bookmarkStart w:id="787" w:name="_Toc296891001"/>
      <w:bookmarkStart w:id="788" w:name="_Toc296347172"/>
      <w:r>
        <w:rPr>
          <w:rFonts w:hint="eastAsia"/>
          <w:b w:val="0"/>
          <w:i w:val="0"/>
          <w:caps w:val="0"/>
          <w:color w:val="auto"/>
          <w:spacing w:val="0"/>
          <w:w w:val="100"/>
          <w:sz w:val="24"/>
          <w:szCs w:val="24"/>
          <w:highlight w:val="none"/>
        </w:rPr>
        <w:t>. 试验与检验</w:t>
      </w:r>
      <w:bookmarkEnd w:id="775"/>
      <w:bookmarkEnd w:id="776"/>
    </w:p>
    <w:p w14:paraId="3B80A909">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9.1试验设备与试验人员</w:t>
      </w:r>
    </w:p>
    <w:p w14:paraId="3864798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9</w:t>
      </w:r>
      <w:bookmarkStart w:id="789" w:name="_Toc303539141"/>
      <w:bookmarkStart w:id="790" w:name="_Toc297123535"/>
      <w:bookmarkStart w:id="791" w:name="_Toc297216194"/>
      <w:bookmarkStart w:id="792" w:name="_Toc312678023"/>
      <w:bookmarkStart w:id="793" w:name="_Toc304295561"/>
      <w:bookmarkStart w:id="794" w:name="_Toc312677497"/>
      <w:bookmarkStart w:id="795" w:name="_Toc300934984"/>
      <w:r>
        <w:rPr>
          <w:rFonts w:hint="eastAsia"/>
          <w:b w:val="0"/>
          <w:i w:val="0"/>
          <w:caps w:val="0"/>
          <w:color w:val="auto"/>
          <w:spacing w:val="0"/>
          <w:w w:val="100"/>
          <w:sz w:val="24"/>
          <w:szCs w:val="24"/>
          <w:highlight w:val="none"/>
        </w:rPr>
        <w:t>.1.2 试验设备</w:t>
      </w:r>
    </w:p>
    <w:p w14:paraId="15D6180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施工现场需要配置的试验场所：</w:t>
      </w:r>
      <w:bookmarkEnd w:id="789"/>
      <w:bookmarkEnd w:id="790"/>
      <w:bookmarkEnd w:id="791"/>
      <w:bookmarkEnd w:id="792"/>
      <w:bookmarkEnd w:id="793"/>
      <w:bookmarkEnd w:id="794"/>
      <w:bookmarkEnd w:id="795"/>
      <w:r>
        <w:rPr>
          <w:rFonts w:hint="eastAsia"/>
          <w:b w:val="0"/>
          <w:i w:val="0"/>
          <w:caps w:val="0"/>
          <w:color w:val="auto"/>
          <w:spacing w:val="0"/>
          <w:w w:val="100"/>
          <w:sz w:val="24"/>
          <w:szCs w:val="24"/>
          <w:highlight w:val="none"/>
          <w:u w:val="single" w:color="000000"/>
        </w:rPr>
        <w:t xml:space="preserve">                           </w:t>
      </w:r>
    </w:p>
    <w:p w14:paraId="056A884D">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1E766CC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施工现场需要配备的试验设备：</w:t>
      </w:r>
      <w:r>
        <w:rPr>
          <w:rFonts w:hint="eastAsia"/>
          <w:b w:val="0"/>
          <w:i w:val="0"/>
          <w:caps w:val="0"/>
          <w:color w:val="auto"/>
          <w:spacing w:val="0"/>
          <w:w w:val="100"/>
          <w:sz w:val="24"/>
          <w:szCs w:val="24"/>
          <w:highlight w:val="none"/>
          <w:u w:val="single" w:color="000000"/>
        </w:rPr>
        <w:t xml:space="preserve">                           </w:t>
      </w:r>
    </w:p>
    <w:p w14:paraId="30242230">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EF5FE7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施工现场需要具备的其他试验条件：</w:t>
      </w:r>
      <w:r>
        <w:rPr>
          <w:rFonts w:hint="eastAsia"/>
          <w:b w:val="0"/>
          <w:i w:val="0"/>
          <w:caps w:val="0"/>
          <w:color w:val="auto"/>
          <w:spacing w:val="0"/>
          <w:w w:val="100"/>
          <w:sz w:val="24"/>
          <w:szCs w:val="24"/>
          <w:highlight w:val="none"/>
          <w:u w:val="single" w:color="000000"/>
        </w:rPr>
        <w:t xml:space="preserve">                      </w:t>
      </w:r>
    </w:p>
    <w:p w14:paraId="5A1D1082">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5055A17">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 xml:space="preserve">9.4 现场工艺试验 </w:t>
      </w:r>
    </w:p>
    <w:p w14:paraId="755607B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现场工艺试验的有关约定：</w:t>
      </w:r>
      <w:r>
        <w:rPr>
          <w:rFonts w:hint="eastAsia"/>
          <w:b w:val="0"/>
          <w:i w:val="0"/>
          <w:caps w:val="0"/>
          <w:color w:val="auto"/>
          <w:spacing w:val="0"/>
          <w:w w:val="100"/>
          <w:sz w:val="24"/>
          <w:szCs w:val="24"/>
          <w:highlight w:val="none"/>
          <w:u w:val="single" w:color="000000"/>
        </w:rPr>
        <w:t xml:space="preserve">                              </w:t>
      </w:r>
    </w:p>
    <w:p w14:paraId="5966C342">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ADFC58F">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796" w:name="_Toc24321"/>
      <w:bookmarkStart w:id="797" w:name="_Toc351203642"/>
      <w:r>
        <w:rPr>
          <w:rFonts w:hint="eastAsia"/>
          <w:b w:val="0"/>
          <w:i w:val="0"/>
          <w:caps w:val="0"/>
          <w:color w:val="auto"/>
          <w:spacing w:val="0"/>
          <w:w w:val="100"/>
          <w:sz w:val="24"/>
          <w:szCs w:val="24"/>
          <w:highlight w:val="none"/>
        </w:rPr>
        <w:t>1</w:t>
      </w:r>
      <w:bookmarkEnd w:id="777"/>
      <w:bookmarkEnd w:id="778"/>
      <w:bookmarkEnd w:id="779"/>
      <w:bookmarkEnd w:id="780"/>
      <w:bookmarkEnd w:id="781"/>
      <w:bookmarkEnd w:id="782"/>
      <w:bookmarkEnd w:id="783"/>
      <w:bookmarkEnd w:id="784"/>
      <w:bookmarkEnd w:id="785"/>
      <w:bookmarkEnd w:id="786"/>
      <w:bookmarkEnd w:id="787"/>
      <w:bookmarkEnd w:id="788"/>
      <w:bookmarkStart w:id="798" w:name="_Toc296503193"/>
      <w:bookmarkStart w:id="799" w:name="_Toc304295566"/>
      <w:bookmarkStart w:id="800" w:name="_Toc300934989"/>
      <w:bookmarkStart w:id="801" w:name="_Toc296891233"/>
      <w:bookmarkStart w:id="802" w:name="_Toc297123540"/>
      <w:bookmarkStart w:id="803" w:name="_Toc292559903"/>
      <w:bookmarkStart w:id="804" w:name="_Toc296944532"/>
      <w:bookmarkStart w:id="805" w:name="_Toc296891021"/>
      <w:bookmarkStart w:id="806" w:name="_Toc296347192"/>
      <w:bookmarkStart w:id="807" w:name="_Toc297048379"/>
      <w:bookmarkStart w:id="808" w:name="_Toc297120493"/>
      <w:bookmarkStart w:id="809" w:name="_Toc303539146"/>
      <w:bookmarkStart w:id="810" w:name="_Toc297216199"/>
      <w:bookmarkStart w:id="811" w:name="_Toc292559398"/>
      <w:bookmarkStart w:id="812" w:name="_Toc296346694"/>
      <w:r>
        <w:rPr>
          <w:rFonts w:hint="eastAsia"/>
          <w:b w:val="0"/>
          <w:i w:val="0"/>
          <w:caps w:val="0"/>
          <w:color w:val="auto"/>
          <w:spacing w:val="0"/>
          <w:w w:val="100"/>
          <w:sz w:val="24"/>
          <w:szCs w:val="24"/>
          <w:highlight w:val="none"/>
        </w:rPr>
        <w:t>0. 变更</w:t>
      </w:r>
      <w:bookmarkEnd w:id="796"/>
      <w:bookmarkEnd w:id="797"/>
      <w:bookmarkEnd w:id="798"/>
      <w:bookmarkEnd w:id="799"/>
      <w:bookmarkEnd w:id="800"/>
      <w:bookmarkEnd w:id="801"/>
      <w:bookmarkEnd w:id="802"/>
      <w:bookmarkEnd w:id="803"/>
      <w:bookmarkEnd w:id="804"/>
      <w:bookmarkEnd w:id="805"/>
      <w:bookmarkEnd w:id="806"/>
      <w:bookmarkEnd w:id="807"/>
      <w:bookmarkEnd w:id="808"/>
      <w:bookmarkEnd w:id="809"/>
      <w:bookmarkEnd w:id="810"/>
      <w:bookmarkEnd w:id="811"/>
      <w:bookmarkEnd w:id="812"/>
    </w:p>
    <w:p w14:paraId="0F1D7F68">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w:t>
      </w:r>
      <w:bookmarkStart w:id="813" w:name="_Toc296347193"/>
      <w:bookmarkStart w:id="814" w:name="_Toc292559904"/>
      <w:bookmarkStart w:id="815" w:name="_Toc296944533"/>
      <w:bookmarkStart w:id="816" w:name="_Toc304295567"/>
      <w:bookmarkStart w:id="817" w:name="_Toc296503194"/>
      <w:bookmarkStart w:id="818" w:name="_Toc300934990"/>
      <w:bookmarkStart w:id="819" w:name="_Toc303539147"/>
      <w:bookmarkStart w:id="820" w:name="_Toc312677500"/>
      <w:bookmarkStart w:id="821" w:name="_Toc296891234"/>
      <w:bookmarkStart w:id="822" w:name="_Toc297216200"/>
      <w:bookmarkStart w:id="823" w:name="_Toc297123541"/>
      <w:bookmarkStart w:id="824" w:name="_Toc296891022"/>
      <w:bookmarkStart w:id="825" w:name="_Toc297048380"/>
      <w:bookmarkStart w:id="826" w:name="_Toc312678026"/>
      <w:bookmarkStart w:id="827" w:name="_Toc296346695"/>
      <w:bookmarkStart w:id="828" w:name="_Toc292559399"/>
      <w:bookmarkStart w:id="829" w:name="_Toc297120494"/>
      <w:r>
        <w:rPr>
          <w:rFonts w:hint="eastAsia"/>
          <w:b w:val="0"/>
          <w:i w:val="0"/>
          <w:caps w:val="0"/>
          <w:color w:val="auto"/>
          <w:spacing w:val="0"/>
          <w:w w:val="100"/>
          <w:sz w:val="24"/>
          <w:szCs w:val="24"/>
          <w:highlight w:val="none"/>
        </w:rPr>
        <w:t>0.1变更的范围</w:t>
      </w:r>
    </w:p>
    <w:p w14:paraId="5BBF9289">
      <w:pPr>
        <w:snapToGrid w:val="0"/>
        <w:spacing w:before="0" w:beforeAutospacing="0" w:after="0" w:afterAutospacing="0" w:line="360" w:lineRule="auto"/>
        <w:ind w:firstLine="6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关于变更的范围的约定：</w:t>
      </w:r>
      <w:r>
        <w:rPr>
          <w:rFonts w:hint="eastAsia"/>
          <w:b w:val="0"/>
          <w:i w:val="0"/>
          <w:caps w:val="0"/>
          <w:color w:val="auto"/>
          <w:spacing w:val="0"/>
          <w:w w:val="100"/>
          <w:sz w:val="24"/>
          <w:szCs w:val="24"/>
          <w:highlight w:val="none"/>
          <w:u w:val="single" w:color="000000"/>
        </w:rPr>
        <w:t xml:space="preserve">                                </w:t>
      </w:r>
    </w:p>
    <w:p w14:paraId="61A50A33">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6A0148F">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10.4 变更估价</w:t>
      </w:r>
    </w:p>
    <w:p w14:paraId="5A5F497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10.4.1 变更估价原则</w:t>
      </w:r>
    </w:p>
    <w:p w14:paraId="068C5DD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 xml:space="preserve">关于变更估价的约定: </w:t>
      </w:r>
      <w:r>
        <w:rPr>
          <w:rFonts w:hint="eastAsia"/>
          <w:b w:val="0"/>
          <w:i w:val="0"/>
          <w:caps w:val="0"/>
          <w:color w:val="auto"/>
          <w:spacing w:val="0"/>
          <w:w w:val="100"/>
          <w:sz w:val="24"/>
          <w:szCs w:val="24"/>
          <w:highlight w:val="none"/>
          <w:u w:val="single" w:color="000000"/>
        </w:rPr>
        <w:t xml:space="preserve">                                   </w:t>
      </w:r>
    </w:p>
    <w:p w14:paraId="451CC2E4">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7C90A3F">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w:t>
      </w:r>
      <w:bookmarkEnd w:id="813"/>
      <w:bookmarkEnd w:id="814"/>
      <w:bookmarkEnd w:id="815"/>
      <w:bookmarkEnd w:id="816"/>
      <w:bookmarkEnd w:id="817"/>
      <w:bookmarkEnd w:id="818"/>
      <w:bookmarkEnd w:id="819"/>
      <w:bookmarkEnd w:id="820"/>
      <w:bookmarkEnd w:id="821"/>
      <w:bookmarkEnd w:id="822"/>
      <w:bookmarkEnd w:id="823"/>
      <w:bookmarkEnd w:id="824"/>
      <w:bookmarkEnd w:id="825"/>
      <w:bookmarkEnd w:id="826"/>
      <w:bookmarkEnd w:id="827"/>
      <w:bookmarkEnd w:id="828"/>
      <w:bookmarkEnd w:id="829"/>
      <w:bookmarkStart w:id="830" w:name="_Toc296891237"/>
      <w:bookmarkStart w:id="831" w:name="_Toc296346698"/>
      <w:bookmarkStart w:id="832" w:name="_Toc296891025"/>
      <w:bookmarkStart w:id="833" w:name="_Toc303539150"/>
      <w:bookmarkStart w:id="834" w:name="_Toc300934993"/>
      <w:bookmarkStart w:id="835" w:name="_Toc296347196"/>
      <w:bookmarkStart w:id="836" w:name="_Toc292559907"/>
      <w:bookmarkStart w:id="837" w:name="_Toc297123544"/>
      <w:bookmarkStart w:id="838" w:name="_Toc296503197"/>
      <w:bookmarkStart w:id="839" w:name="_Toc292559402"/>
      <w:bookmarkStart w:id="840" w:name="_Toc296944536"/>
      <w:bookmarkStart w:id="841" w:name="_Toc297048383"/>
      <w:bookmarkStart w:id="842" w:name="_Toc297216203"/>
      <w:bookmarkStart w:id="843" w:name="_Toc297120497"/>
      <w:r>
        <w:rPr>
          <w:rFonts w:hint="eastAsia"/>
          <w:b w:val="0"/>
          <w:i w:val="0"/>
          <w:caps w:val="0"/>
          <w:color w:val="auto"/>
          <w:spacing w:val="0"/>
          <w:w w:val="100"/>
          <w:sz w:val="24"/>
          <w:szCs w:val="24"/>
          <w:highlight w:val="none"/>
        </w:rPr>
        <w:t>0.5承</w:t>
      </w:r>
      <w:bookmarkEnd w:id="830"/>
      <w:bookmarkEnd w:id="831"/>
      <w:bookmarkEnd w:id="832"/>
      <w:bookmarkEnd w:id="833"/>
      <w:bookmarkEnd w:id="834"/>
      <w:bookmarkEnd w:id="835"/>
      <w:bookmarkEnd w:id="836"/>
      <w:bookmarkEnd w:id="837"/>
      <w:bookmarkEnd w:id="838"/>
      <w:bookmarkEnd w:id="839"/>
      <w:bookmarkEnd w:id="840"/>
      <w:bookmarkEnd w:id="841"/>
      <w:bookmarkEnd w:id="842"/>
      <w:bookmarkEnd w:id="843"/>
      <w:r>
        <w:rPr>
          <w:rFonts w:hint="eastAsia"/>
          <w:b w:val="0"/>
          <w:i w:val="0"/>
          <w:caps w:val="0"/>
          <w:color w:val="auto"/>
          <w:spacing w:val="0"/>
          <w:w w:val="100"/>
          <w:sz w:val="24"/>
          <w:szCs w:val="24"/>
          <w:highlight w:val="none"/>
        </w:rPr>
        <w:t>包人的合理化建议</w:t>
      </w:r>
    </w:p>
    <w:p w14:paraId="0023E25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监理人审查承包人合理化建议的期限：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B1105B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发包人审批承包人合理化建议的期限：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97D05B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rPr>
        <w:t>承包人提出的合理化建议降低了合同价格或者提高了工程经济效益的奖励的方法和金额为：</w:t>
      </w:r>
      <w:r>
        <w:rPr>
          <w:rFonts w:hint="eastAsia"/>
          <w:b w:val="0"/>
          <w:i w:val="0"/>
          <w:caps w:val="0"/>
          <w:color w:val="auto"/>
          <w:spacing w:val="0"/>
          <w:w w:val="100"/>
          <w:sz w:val="24"/>
          <w:szCs w:val="24"/>
          <w:highlight w:val="none"/>
          <w:u w:val="single" w:color="000000"/>
        </w:rPr>
        <w:t xml:space="preserve">                                </w:t>
      </w:r>
    </w:p>
    <w:p w14:paraId="5C334ACC">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73F90D2">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10.7 暂估价</w:t>
      </w:r>
    </w:p>
    <w:p w14:paraId="4FD0FEE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rPr>
        <w:t>暂估价材料和工程设备的明细详见附件11：《</w:t>
      </w:r>
      <w:r>
        <w:rPr>
          <w:rFonts w:hint="eastAsia"/>
          <w:b w:val="0"/>
          <w:i w:val="0"/>
          <w:caps w:val="0"/>
          <w:color w:val="auto"/>
          <w:spacing w:val="0"/>
          <w:w w:val="100"/>
          <w:sz w:val="24"/>
          <w:szCs w:val="24"/>
          <w:highlight w:val="none"/>
        </w:rPr>
        <w:t>暂估价一览表》</w:t>
      </w:r>
      <w:r>
        <w:rPr>
          <w:rFonts w:hint="eastAsia"/>
          <w:b w:val="0"/>
          <w:i w:val="0"/>
          <w:caps w:val="0"/>
          <w:color w:val="auto"/>
          <w:spacing w:val="0"/>
          <w:w w:val="100"/>
          <w:kern w:val="0"/>
          <w:sz w:val="24"/>
          <w:szCs w:val="24"/>
          <w:highlight w:val="none"/>
        </w:rPr>
        <w:t>。</w:t>
      </w:r>
    </w:p>
    <w:p w14:paraId="554BD4A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10.7.1 依法必须招标的暂估价项目</w:t>
      </w:r>
    </w:p>
    <w:p w14:paraId="22C360C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对于依法必须招标的暂估价项目的确认和批准采取第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种方式确定。</w:t>
      </w:r>
    </w:p>
    <w:p w14:paraId="6CA6E4B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10.7.2 不属于依法必须招标的暂估价项目</w:t>
      </w:r>
    </w:p>
    <w:p w14:paraId="75537C1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对于不属于依法必须招标的暂估价项目的确认和批准采取第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种方式确定。</w:t>
      </w:r>
    </w:p>
    <w:p w14:paraId="66E657E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rPr>
        <w:t>第3种方式：</w:t>
      </w:r>
      <w:r>
        <w:rPr>
          <w:rFonts w:hint="eastAsia"/>
          <w:b w:val="0"/>
          <w:i w:val="0"/>
          <w:caps w:val="0"/>
          <w:color w:val="auto"/>
          <w:spacing w:val="0"/>
          <w:w w:val="100"/>
          <w:kern w:val="0"/>
          <w:sz w:val="24"/>
          <w:szCs w:val="24"/>
          <w:highlight w:val="none"/>
        </w:rPr>
        <w:t>承包人直接实施的暂估价项目</w:t>
      </w:r>
    </w:p>
    <w:p w14:paraId="596190B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承包人直接实施的暂估价项目的约定：</w:t>
      </w:r>
      <w:r>
        <w:rPr>
          <w:rFonts w:hint="eastAsia"/>
          <w:b w:val="0"/>
          <w:i w:val="0"/>
          <w:caps w:val="0"/>
          <w:color w:val="auto"/>
          <w:spacing w:val="0"/>
          <w:w w:val="100"/>
          <w:sz w:val="24"/>
          <w:szCs w:val="24"/>
          <w:highlight w:val="none"/>
          <w:u w:val="single" w:color="000000"/>
        </w:rPr>
        <w:t xml:space="preserve">                     </w:t>
      </w:r>
    </w:p>
    <w:p w14:paraId="77214A1E">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256E03F">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10.8 暂列金额</w:t>
      </w:r>
    </w:p>
    <w:p w14:paraId="65791D6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rPr>
      </w:pPr>
      <w:r>
        <w:rPr>
          <w:rFonts w:hint="eastAsia"/>
          <w:b w:val="0"/>
          <w:i w:val="0"/>
          <w:caps w:val="0"/>
          <w:color w:val="auto"/>
          <w:spacing w:val="0"/>
          <w:w w:val="100"/>
          <w:kern w:val="0"/>
          <w:sz w:val="24"/>
          <w:szCs w:val="24"/>
          <w:highlight w:val="none"/>
        </w:rPr>
        <w:t>合同当事人关于暂列金额使用的约定：</w:t>
      </w:r>
      <w:r>
        <w:rPr>
          <w:rFonts w:hint="eastAsia"/>
          <w:b w:val="0"/>
          <w:i w:val="0"/>
          <w:caps w:val="0"/>
          <w:color w:val="auto"/>
          <w:spacing w:val="0"/>
          <w:w w:val="100"/>
          <w:sz w:val="24"/>
          <w:szCs w:val="24"/>
          <w:highlight w:val="none"/>
          <w:u w:val="single" w:color="000000"/>
        </w:rPr>
        <w:t xml:space="preserve">                     </w:t>
      </w:r>
    </w:p>
    <w:p w14:paraId="5E6B4F0F">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44753C87">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844" w:name="_Toc14025"/>
      <w:bookmarkStart w:id="845" w:name="_Toc351203643"/>
      <w:r>
        <w:rPr>
          <w:rFonts w:hint="eastAsia"/>
          <w:b w:val="0"/>
          <w:i w:val="0"/>
          <w:caps w:val="0"/>
          <w:color w:val="auto"/>
          <w:spacing w:val="0"/>
          <w:w w:val="100"/>
          <w:sz w:val="24"/>
          <w:szCs w:val="24"/>
          <w:highlight w:val="none"/>
        </w:rPr>
        <w:t>11. 价格调整</w:t>
      </w:r>
      <w:bookmarkEnd w:id="844"/>
      <w:bookmarkEnd w:id="845"/>
    </w:p>
    <w:p w14:paraId="12DC136C">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11.1 市场价格波动引起的调整</w:t>
      </w:r>
    </w:p>
    <w:p w14:paraId="4D136AB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rPr>
        <w:t>市场价格波动是否调整合同价格的约定：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1768B1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因市场价格波动调整合同价格，采用以下第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种方式对合同价格进行调整：</w:t>
      </w:r>
    </w:p>
    <w:p w14:paraId="14BD2E7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第1种方式：采用价格指数进行价格调整。</w:t>
      </w:r>
    </w:p>
    <w:p w14:paraId="2D2C537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关于各可调因子、定值和变值权重，以及基本价格指数及其来源的约定：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4D6FBE1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第2种方式：采用造价信息进行价格调整。</w:t>
      </w:r>
    </w:p>
    <w:p w14:paraId="617A180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（2）关于基准价格的约定：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9914B2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专用合同条款①承包人在已标价工程量清单或预算书中载明的材料单价低于基准价格的：专用合同条款合同履行期间材料单价涨幅以基准价格为基础超过</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%时，或材料单价跌幅以已标价工程量清单或预算书中载明材料单价为基础超过</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%时，其超过部分据实调整。</w:t>
      </w:r>
    </w:p>
    <w:p w14:paraId="076704B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②承包人在已标价工程量清单或预算书中载明的材料单价高于基准价格的：专用合同条款合同履行期间材料单价跌幅以基准价格为基础超过</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%时，材料单价涨幅以已标价工程量清单或预算书中载明材料单价为基础超过</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%时，其超过部分据实调整。</w:t>
      </w:r>
    </w:p>
    <w:p w14:paraId="12EB0303">
      <w:pPr>
        <w:snapToGrid w:val="0"/>
        <w:spacing w:before="0" w:beforeAutospacing="0" w:after="0" w:afterAutospacing="0" w:line="360" w:lineRule="auto"/>
        <w:ind w:firstLine="645"/>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③承包人在已标价工程量清单或预算书中载明的材料单价等于基准单价的：专用合同条款合同履行期间材料单价涨跌幅以基准单价为基础超过±</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%时，其超过部分据实调整。</w:t>
      </w:r>
    </w:p>
    <w:p w14:paraId="611241CA">
      <w:pPr>
        <w:snapToGrid w:val="0"/>
        <w:spacing w:before="0" w:beforeAutospacing="0" w:after="0" w:afterAutospacing="0" w:line="360" w:lineRule="auto"/>
        <w:ind w:firstLine="645"/>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第3种方式：其他价格调整方式：</w:t>
      </w:r>
      <w:r>
        <w:rPr>
          <w:rFonts w:hint="eastAsia"/>
          <w:b w:val="0"/>
          <w:i w:val="0"/>
          <w:caps w:val="0"/>
          <w:color w:val="auto"/>
          <w:spacing w:val="0"/>
          <w:w w:val="100"/>
          <w:sz w:val="24"/>
          <w:szCs w:val="24"/>
          <w:highlight w:val="none"/>
          <w:u w:val="single" w:color="000000"/>
        </w:rPr>
        <w:t xml:space="preserve">                        </w:t>
      </w:r>
    </w:p>
    <w:p w14:paraId="52D10BB0">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F333C2C">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846" w:name="_Toc296347204"/>
      <w:bookmarkStart w:id="847" w:name="_Toc292559410"/>
      <w:bookmarkStart w:id="848" w:name="_Toc296944544"/>
      <w:bookmarkStart w:id="849" w:name="_Toc296346706"/>
      <w:bookmarkStart w:id="850" w:name="_Toc292559915"/>
      <w:bookmarkStart w:id="851" w:name="_Toc297048391"/>
      <w:bookmarkStart w:id="852" w:name="_Toc297120505"/>
      <w:bookmarkStart w:id="853" w:name="_Toc296503205"/>
      <w:bookmarkStart w:id="854" w:name="_Toc296891245"/>
      <w:bookmarkStart w:id="855" w:name="_Toc296891033"/>
      <w:bookmarkStart w:id="856" w:name="_Toc351203644"/>
      <w:bookmarkStart w:id="857" w:name="_Toc24714"/>
      <w:r>
        <w:rPr>
          <w:rFonts w:hint="eastAsia"/>
          <w:b w:val="0"/>
          <w:i w:val="0"/>
          <w:caps w:val="0"/>
          <w:color w:val="auto"/>
          <w:spacing w:val="0"/>
          <w:w w:val="100"/>
          <w:sz w:val="24"/>
          <w:szCs w:val="24"/>
          <w:highlight w:val="none"/>
        </w:rPr>
        <w:t xml:space="preserve">12. </w:t>
      </w:r>
      <w:bookmarkEnd w:id="846"/>
      <w:bookmarkEnd w:id="847"/>
      <w:bookmarkEnd w:id="848"/>
      <w:bookmarkEnd w:id="849"/>
      <w:bookmarkEnd w:id="850"/>
      <w:bookmarkEnd w:id="851"/>
      <w:bookmarkEnd w:id="852"/>
      <w:bookmarkEnd w:id="853"/>
      <w:bookmarkEnd w:id="854"/>
      <w:bookmarkEnd w:id="855"/>
      <w:r>
        <w:rPr>
          <w:rFonts w:hint="eastAsia"/>
          <w:b w:val="0"/>
          <w:i w:val="0"/>
          <w:caps w:val="0"/>
          <w:color w:val="auto"/>
          <w:spacing w:val="0"/>
          <w:w w:val="100"/>
          <w:sz w:val="24"/>
          <w:szCs w:val="24"/>
          <w:highlight w:val="none"/>
        </w:rPr>
        <w:t>合同价格、计量与支付</w:t>
      </w:r>
      <w:bookmarkEnd w:id="856"/>
      <w:bookmarkEnd w:id="857"/>
    </w:p>
    <w:p w14:paraId="45B1EC24">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bookmarkStart w:id="858" w:name="_Toc292559411"/>
      <w:bookmarkStart w:id="859" w:name="_Toc292559916"/>
      <w:bookmarkStart w:id="860" w:name="_Toc267251461"/>
      <w:bookmarkStart w:id="861" w:name="_Toc296891246"/>
      <w:bookmarkStart w:id="862" w:name="_Toc296891034"/>
      <w:bookmarkStart w:id="863" w:name="_Toc296944545"/>
      <w:bookmarkStart w:id="864" w:name="_Toc296347205"/>
      <w:bookmarkStart w:id="865" w:name="_Toc296503206"/>
      <w:bookmarkStart w:id="866" w:name="_Toc296346707"/>
      <w:bookmarkStart w:id="867" w:name="_Toc297120506"/>
      <w:bookmarkStart w:id="868" w:name="_Toc297048392"/>
      <w:r>
        <w:rPr>
          <w:rFonts w:hint="eastAsia"/>
          <w:b w:val="0"/>
          <w:i w:val="0"/>
          <w:caps w:val="0"/>
          <w:color w:val="auto"/>
          <w:spacing w:val="0"/>
          <w:w w:val="100"/>
          <w:sz w:val="24"/>
          <w:szCs w:val="24"/>
          <w:highlight w:val="none"/>
        </w:rPr>
        <w:t>12.1 合</w:t>
      </w:r>
      <w:bookmarkEnd w:id="858"/>
      <w:bookmarkEnd w:id="859"/>
      <w:bookmarkEnd w:id="860"/>
      <w:r>
        <w:rPr>
          <w:rFonts w:hint="eastAsia"/>
          <w:b w:val="0"/>
          <w:i w:val="0"/>
          <w:caps w:val="0"/>
          <w:color w:val="auto"/>
          <w:spacing w:val="0"/>
          <w:w w:val="100"/>
          <w:sz w:val="24"/>
          <w:szCs w:val="24"/>
          <w:highlight w:val="none"/>
        </w:rPr>
        <w:t>同价</w:t>
      </w:r>
      <w:bookmarkEnd w:id="861"/>
      <w:bookmarkEnd w:id="862"/>
      <w:bookmarkEnd w:id="863"/>
      <w:bookmarkEnd w:id="864"/>
      <w:bookmarkEnd w:id="865"/>
      <w:bookmarkEnd w:id="866"/>
      <w:bookmarkEnd w:id="867"/>
      <w:bookmarkEnd w:id="868"/>
      <w:r>
        <w:rPr>
          <w:rFonts w:hint="eastAsia"/>
          <w:b w:val="0"/>
          <w:i w:val="0"/>
          <w:caps w:val="0"/>
          <w:color w:val="auto"/>
          <w:spacing w:val="0"/>
          <w:w w:val="100"/>
          <w:sz w:val="24"/>
          <w:szCs w:val="24"/>
          <w:highlight w:val="none"/>
        </w:rPr>
        <w:t>格形式</w:t>
      </w:r>
    </w:p>
    <w:p w14:paraId="77B7E2A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1、单价合同。</w:t>
      </w:r>
    </w:p>
    <w:p w14:paraId="1DCD6A6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综合单价包含的风险范围：</w:t>
      </w:r>
      <w:r>
        <w:rPr>
          <w:rFonts w:hint="eastAsia"/>
          <w:b w:val="0"/>
          <w:i w:val="0"/>
          <w:caps w:val="0"/>
          <w:color w:val="auto"/>
          <w:spacing w:val="0"/>
          <w:w w:val="100"/>
          <w:sz w:val="24"/>
          <w:szCs w:val="24"/>
          <w:highlight w:val="none"/>
          <w:u w:val="single" w:color="000000"/>
        </w:rPr>
        <w:t xml:space="preserve">                               </w:t>
      </w:r>
    </w:p>
    <w:p w14:paraId="22E9936E">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83673E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风险费用的计算方法：</w:t>
      </w:r>
      <w:r>
        <w:rPr>
          <w:rFonts w:hint="eastAsia"/>
          <w:b w:val="0"/>
          <w:i w:val="0"/>
          <w:caps w:val="0"/>
          <w:color w:val="auto"/>
          <w:spacing w:val="0"/>
          <w:w w:val="100"/>
          <w:sz w:val="24"/>
          <w:szCs w:val="24"/>
          <w:highlight w:val="none"/>
          <w:u w:val="single" w:color="000000"/>
        </w:rPr>
        <w:t xml:space="preserve">                                  </w:t>
      </w:r>
    </w:p>
    <w:p w14:paraId="391B9513">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DA7DA8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风险范围以外合同价格的调整方法：</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504B8EEA">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2146FB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2、总价合同。</w:t>
      </w:r>
    </w:p>
    <w:p w14:paraId="2B21AC6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总价包含的风险范围：</w:t>
      </w:r>
      <w:r>
        <w:rPr>
          <w:rFonts w:hint="eastAsia"/>
          <w:b w:val="0"/>
          <w:i w:val="0"/>
          <w:caps w:val="0"/>
          <w:color w:val="auto"/>
          <w:spacing w:val="0"/>
          <w:w w:val="100"/>
          <w:sz w:val="24"/>
          <w:szCs w:val="24"/>
          <w:highlight w:val="none"/>
          <w:u w:val="single" w:color="000000"/>
        </w:rPr>
        <w:t xml:space="preserve">                                   </w:t>
      </w:r>
    </w:p>
    <w:p w14:paraId="18C434E5">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7F2AAE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风险费用的计算方法：</w:t>
      </w:r>
      <w:r>
        <w:rPr>
          <w:rFonts w:hint="eastAsia"/>
          <w:b w:val="0"/>
          <w:i w:val="0"/>
          <w:caps w:val="0"/>
          <w:color w:val="auto"/>
          <w:spacing w:val="0"/>
          <w:w w:val="100"/>
          <w:sz w:val="24"/>
          <w:szCs w:val="24"/>
          <w:highlight w:val="none"/>
          <w:u w:val="single" w:color="000000"/>
        </w:rPr>
        <w:t xml:space="preserve">                                   </w:t>
      </w:r>
    </w:p>
    <w:p w14:paraId="44D96AC6">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FEF371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风险范围以外合同价格的调整方法：</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07E3511B">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530045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3、其他价格方式：</w:t>
      </w:r>
      <w:r>
        <w:rPr>
          <w:rFonts w:hint="eastAsia"/>
          <w:b w:val="0"/>
          <w:i w:val="0"/>
          <w:caps w:val="0"/>
          <w:color w:val="auto"/>
          <w:spacing w:val="0"/>
          <w:w w:val="100"/>
          <w:sz w:val="24"/>
          <w:szCs w:val="24"/>
          <w:highlight w:val="none"/>
          <w:u w:val="single" w:color="000000"/>
        </w:rPr>
        <w:t xml:space="preserve">                                     </w:t>
      </w:r>
    </w:p>
    <w:p w14:paraId="1E5ADB1F">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D471B70">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12.2 预付款</w:t>
      </w:r>
    </w:p>
    <w:p w14:paraId="7EF820A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12.2.1 预付款的支付</w:t>
      </w:r>
    </w:p>
    <w:p w14:paraId="7731EED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预付款支付比例或金额：</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FDE079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预付款支付期限：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BDC6BA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预付款扣回的方式：</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470F4F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12.2.2 预付款担保</w:t>
      </w:r>
    </w:p>
    <w:p w14:paraId="4B586DC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承包人提交预付款担保的期限：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103EBD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预付款担保的形式为：</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6AB528E">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12.3 计量</w:t>
      </w:r>
    </w:p>
    <w:p w14:paraId="2A1D1E4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12.3.1 计量原则</w:t>
      </w:r>
    </w:p>
    <w:p w14:paraId="130E00C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工程量计算规则：</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5BD903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12.3.2 计量周期</w:t>
      </w:r>
    </w:p>
    <w:p w14:paraId="39D05C6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关于计量周期的约定：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1CDC7C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12.3.3 单价合同的计量</w:t>
      </w:r>
    </w:p>
    <w:p w14:paraId="3905FAA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关于单价合同计量的约定：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B632FD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12.3.4 总价合同的计量</w:t>
      </w:r>
    </w:p>
    <w:p w14:paraId="1654902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关于总价合同计量的约定：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D923D1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12.3.5总价合同采用支付分解表计量支付的，是否适用第</w:t>
      </w:r>
      <w:r>
        <w:rPr>
          <w:rFonts w:hint="eastAsia"/>
          <w:b w:val="0"/>
          <w:i w:val="0"/>
          <w:caps w:val="0"/>
          <w:color w:val="auto"/>
          <w:spacing w:val="0"/>
          <w:w w:val="100"/>
          <w:kern w:val="0"/>
          <w:sz w:val="24"/>
          <w:szCs w:val="24"/>
          <w:highlight w:val="none"/>
        </w:rPr>
        <w:t xml:space="preserve">12.3.4 </w:t>
      </w:r>
      <w:r>
        <w:rPr>
          <w:rFonts w:hint="eastAsia"/>
          <w:b w:val="0"/>
          <w:i w:val="0"/>
          <w:caps w:val="0"/>
          <w:color w:val="auto"/>
          <w:spacing w:val="0"/>
          <w:w w:val="100"/>
          <w:sz w:val="24"/>
          <w:szCs w:val="24"/>
          <w:highlight w:val="none"/>
        </w:rPr>
        <w:t>项</w:t>
      </w:r>
      <w:r>
        <w:rPr>
          <w:rFonts w:hint="eastAsia"/>
          <w:b w:val="0"/>
          <w:i w:val="0"/>
          <w:caps w:val="0"/>
          <w:color w:val="auto"/>
          <w:spacing w:val="0"/>
          <w:w w:val="100"/>
          <w:kern w:val="0"/>
          <w:sz w:val="24"/>
          <w:szCs w:val="24"/>
          <w:highlight w:val="none"/>
        </w:rPr>
        <w:t>〔总价合同的计量〕</w:t>
      </w:r>
      <w:r>
        <w:rPr>
          <w:rFonts w:hint="eastAsia"/>
          <w:b w:val="0"/>
          <w:i w:val="0"/>
          <w:caps w:val="0"/>
          <w:color w:val="auto"/>
          <w:spacing w:val="0"/>
          <w:w w:val="100"/>
          <w:sz w:val="24"/>
          <w:szCs w:val="24"/>
          <w:highlight w:val="none"/>
        </w:rPr>
        <w:t>约定进行计量：</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3D0E746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12.3.6 其他价格形式合同的计量</w:t>
      </w:r>
    </w:p>
    <w:p w14:paraId="636DE5A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其他价格形式的计量方式和程序：</w:t>
      </w:r>
      <w:r>
        <w:rPr>
          <w:rFonts w:hint="eastAsia"/>
          <w:b w:val="0"/>
          <w:i w:val="0"/>
          <w:caps w:val="0"/>
          <w:color w:val="auto"/>
          <w:spacing w:val="0"/>
          <w:w w:val="100"/>
          <w:sz w:val="24"/>
          <w:szCs w:val="24"/>
          <w:highlight w:val="none"/>
          <w:u w:val="single" w:color="000000"/>
        </w:rPr>
        <w:t xml:space="preserve">                         </w:t>
      </w:r>
    </w:p>
    <w:p w14:paraId="7845F5E5">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C52EF67">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12.4 工程进度款支付</w:t>
      </w:r>
    </w:p>
    <w:p w14:paraId="6D73166E">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bookmarkStart w:id="869" w:name="_Toc300935006"/>
      <w:bookmarkStart w:id="870" w:name="_Toc296346712"/>
      <w:bookmarkStart w:id="871" w:name="_Toc297120511"/>
      <w:bookmarkStart w:id="872" w:name="_Toc296347210"/>
      <w:bookmarkStart w:id="873" w:name="_Toc296503211"/>
      <w:bookmarkStart w:id="874" w:name="_Toc292559921"/>
      <w:bookmarkStart w:id="875" w:name="_Toc296891251"/>
      <w:bookmarkStart w:id="876" w:name="_Toc296891039"/>
      <w:bookmarkStart w:id="877" w:name="_Toc297123556"/>
      <w:bookmarkStart w:id="878" w:name="_Toc292559416"/>
      <w:bookmarkStart w:id="879" w:name="_Toc296944550"/>
      <w:bookmarkStart w:id="880" w:name="_Toc297216215"/>
      <w:bookmarkStart w:id="881" w:name="_Toc297048397"/>
      <w:bookmarkStart w:id="882" w:name="_Toc303539163"/>
      <w:r>
        <w:rPr>
          <w:rFonts w:hint="eastAsia"/>
          <w:b w:val="0"/>
          <w:i w:val="0"/>
          <w:caps w:val="0"/>
          <w:color w:val="auto"/>
          <w:spacing w:val="0"/>
          <w:w w:val="100"/>
          <w:sz w:val="24"/>
          <w:szCs w:val="24"/>
          <w:highlight w:val="none"/>
        </w:rPr>
        <w:t>12.4.1 付款周期</w:t>
      </w:r>
    </w:p>
    <w:p w14:paraId="3044B57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关于付款周期的约定：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BEBF98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12.4.2 进度付款申请单的编制</w:t>
      </w:r>
    </w:p>
    <w:p w14:paraId="2C12293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关于进度付款申请单编制的约定：</w:t>
      </w:r>
      <w:r>
        <w:rPr>
          <w:rFonts w:hint="eastAsia"/>
          <w:b w:val="0"/>
          <w:i w:val="0"/>
          <w:caps w:val="0"/>
          <w:color w:val="auto"/>
          <w:spacing w:val="0"/>
          <w:w w:val="100"/>
          <w:sz w:val="24"/>
          <w:szCs w:val="24"/>
          <w:highlight w:val="none"/>
          <w:u w:val="single" w:color="000000"/>
        </w:rPr>
        <w:t xml:space="preserve">                       </w:t>
      </w:r>
    </w:p>
    <w:p w14:paraId="103DF275">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D82523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w:t>
      </w:r>
      <w:bookmarkEnd w:id="869"/>
      <w:bookmarkEnd w:id="870"/>
      <w:bookmarkEnd w:id="871"/>
      <w:bookmarkEnd w:id="872"/>
      <w:bookmarkEnd w:id="873"/>
      <w:bookmarkEnd w:id="874"/>
      <w:bookmarkEnd w:id="875"/>
      <w:bookmarkEnd w:id="876"/>
      <w:bookmarkEnd w:id="877"/>
      <w:bookmarkEnd w:id="878"/>
      <w:bookmarkEnd w:id="879"/>
      <w:bookmarkEnd w:id="880"/>
      <w:bookmarkEnd w:id="881"/>
      <w:bookmarkEnd w:id="882"/>
      <w:r>
        <w:rPr>
          <w:rFonts w:hint="eastAsia"/>
          <w:b w:val="0"/>
          <w:i w:val="0"/>
          <w:caps w:val="0"/>
          <w:color w:val="auto"/>
          <w:spacing w:val="0"/>
          <w:w w:val="100"/>
          <w:sz w:val="24"/>
          <w:szCs w:val="24"/>
          <w:highlight w:val="none"/>
        </w:rPr>
        <w:t>2.4.3 进度付款申请单的提交</w:t>
      </w:r>
    </w:p>
    <w:p w14:paraId="19515F9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（1）单价合同进度付款申请单提交的约定：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F915F0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（2）总价合同进度付款申请单提交的约定：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18A47A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（3）其他价格形式合同进度付款申请单提交的约定：</w:t>
      </w:r>
      <w:r>
        <w:rPr>
          <w:rFonts w:hint="eastAsia"/>
          <w:b w:val="0"/>
          <w:i w:val="0"/>
          <w:caps w:val="0"/>
          <w:color w:val="auto"/>
          <w:spacing w:val="0"/>
          <w:w w:val="100"/>
          <w:sz w:val="24"/>
          <w:szCs w:val="24"/>
          <w:highlight w:val="none"/>
          <w:u w:val="single" w:color="000000"/>
        </w:rPr>
        <w:t xml:space="preserve">       </w:t>
      </w:r>
    </w:p>
    <w:p w14:paraId="55D03E6E">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F2EBD2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12.4.4 进度款审核和支付</w:t>
      </w:r>
    </w:p>
    <w:p w14:paraId="60E7AD8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（1）监理人审查并报送发包人的期限：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4EBEA6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发包人完成审批并签发进度款支付证书的期限：</w:t>
      </w:r>
      <w:r>
        <w:rPr>
          <w:rFonts w:hint="eastAsia"/>
          <w:b w:val="0"/>
          <w:i w:val="0"/>
          <w:caps w:val="0"/>
          <w:color w:val="auto"/>
          <w:spacing w:val="0"/>
          <w:w w:val="100"/>
          <w:sz w:val="24"/>
          <w:szCs w:val="24"/>
          <w:highlight w:val="none"/>
          <w:u w:val="single" w:color="000000"/>
        </w:rPr>
        <w:t xml:space="preserve">           </w:t>
      </w:r>
    </w:p>
    <w:p w14:paraId="6D4E5101">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C5E27FE">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（2）发包人支付进度款的期限：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7A3B367">
      <w:pPr>
        <w:snapToGrid w:val="0"/>
        <w:spacing w:before="0" w:beforeAutospacing="0" w:after="0" w:afterAutospacing="0" w:line="360" w:lineRule="auto"/>
        <w:ind w:firstLine="600" w:firstLineChars="25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发包人逾期支付进度款的违约金的计算方式：</w:t>
      </w:r>
      <w:r>
        <w:rPr>
          <w:rFonts w:hint="eastAsia"/>
          <w:b w:val="0"/>
          <w:i w:val="0"/>
          <w:caps w:val="0"/>
          <w:color w:val="auto"/>
          <w:spacing w:val="0"/>
          <w:w w:val="100"/>
          <w:sz w:val="24"/>
          <w:szCs w:val="24"/>
          <w:highlight w:val="none"/>
          <w:u w:val="single" w:color="000000"/>
        </w:rPr>
        <w:t xml:space="preserve">            </w:t>
      </w:r>
    </w:p>
    <w:p w14:paraId="7B798F7E">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C16020D">
      <w:pPr>
        <w:snapToGrid w:val="0"/>
        <w:spacing w:before="0" w:beforeAutospacing="0" w:after="0" w:afterAutospacing="0" w:line="360" w:lineRule="auto"/>
        <w:ind w:firstLine="600" w:firstLineChars="25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12.4.6 支付分解表的编制</w:t>
      </w:r>
    </w:p>
    <w:p w14:paraId="717EA07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2、总价合同支付分解表的编制与审批：</w:t>
      </w:r>
      <w:r>
        <w:rPr>
          <w:rFonts w:hint="eastAsia"/>
          <w:b w:val="0"/>
          <w:i w:val="0"/>
          <w:caps w:val="0"/>
          <w:color w:val="auto"/>
          <w:spacing w:val="0"/>
          <w:w w:val="100"/>
          <w:sz w:val="24"/>
          <w:szCs w:val="24"/>
          <w:highlight w:val="none"/>
          <w:u w:val="single" w:color="000000"/>
        </w:rPr>
        <w:t xml:space="preserve">                  </w:t>
      </w:r>
    </w:p>
    <w:p w14:paraId="1B83BB50">
      <w:pPr>
        <w:snapToGrid w:val="0"/>
        <w:spacing w:before="0" w:beforeAutospacing="0" w:after="0" w:afterAutospacing="0" w:line="360" w:lineRule="auto"/>
        <w:ind w:hangingChars="20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1C4E28E">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3、单价合同的总价项目支付分解表的编制与审批：</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203A1EEC">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82586F5">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883" w:name="_Toc351203645"/>
      <w:bookmarkStart w:id="884" w:name="_Toc13615"/>
      <w:r>
        <w:rPr>
          <w:rFonts w:hint="eastAsia"/>
          <w:b w:val="0"/>
          <w:i w:val="0"/>
          <w:caps w:val="0"/>
          <w:color w:val="auto"/>
          <w:spacing w:val="0"/>
          <w:w w:val="100"/>
          <w:sz w:val="24"/>
          <w:szCs w:val="24"/>
          <w:highlight w:val="none"/>
        </w:rPr>
        <w:t>13. 验收和工程试车</w:t>
      </w:r>
      <w:bookmarkEnd w:id="883"/>
      <w:bookmarkEnd w:id="884"/>
    </w:p>
    <w:p w14:paraId="5E523691">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13.1 分部分项工程验收</w:t>
      </w:r>
    </w:p>
    <w:p w14:paraId="536ACB8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13.1.2监理人不能按时进行验收时，应提前</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小时提交书面延期要求。</w:t>
      </w:r>
    </w:p>
    <w:p w14:paraId="0F65694C">
      <w:pPr>
        <w:snapToGrid w:val="0"/>
        <w:spacing w:before="0" w:beforeAutospacing="0" w:after="0" w:afterAutospacing="0" w:line="360" w:lineRule="auto"/>
        <w:ind w:firstLine="480" w:firstLineChars="200"/>
        <w:jc w:val="left"/>
        <w:textAlignment w:val="baseline"/>
        <w:rPr>
          <w:rFonts w:hint="eastAsia"/>
          <w:b/>
          <w:i w:val="0"/>
          <w:caps w:val="0"/>
          <w:color w:val="auto"/>
          <w:spacing w:val="0"/>
          <w:w w:val="100"/>
          <w:sz w:val="24"/>
          <w:szCs w:val="24"/>
          <w:highlight w:val="none"/>
        </w:rPr>
      </w:pPr>
      <w:r>
        <w:rPr>
          <w:rFonts w:hint="eastAsia"/>
          <w:b w:val="0"/>
          <w:i w:val="0"/>
          <w:caps w:val="0"/>
          <w:color w:val="auto"/>
          <w:spacing w:val="0"/>
          <w:w w:val="100"/>
          <w:sz w:val="24"/>
          <w:szCs w:val="24"/>
          <w:highlight w:val="none"/>
        </w:rPr>
        <w:t>关于延期最长不得超过：</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小时。</w:t>
      </w:r>
    </w:p>
    <w:p w14:paraId="0476E429">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13.2 竣工验收</w:t>
      </w:r>
    </w:p>
    <w:p w14:paraId="378E543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13.2.2竣工验收程序</w:t>
      </w:r>
    </w:p>
    <w:p w14:paraId="1DB4170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关于竣工验收程序的约定：</w:t>
      </w:r>
      <w:r>
        <w:rPr>
          <w:rFonts w:hint="eastAsia"/>
          <w:b w:val="0"/>
          <w:i w:val="0"/>
          <w:caps w:val="0"/>
          <w:color w:val="auto"/>
          <w:spacing w:val="0"/>
          <w:w w:val="100"/>
          <w:sz w:val="24"/>
          <w:szCs w:val="24"/>
          <w:highlight w:val="none"/>
          <w:u w:val="single" w:color="000000"/>
        </w:rPr>
        <w:t xml:space="preserve">                              </w:t>
      </w:r>
    </w:p>
    <w:p w14:paraId="142A839A">
      <w:pPr>
        <w:snapToGrid w:val="0"/>
        <w:spacing w:before="0" w:beforeAutospacing="0" w:after="0" w:afterAutospacing="0" w:line="360" w:lineRule="auto"/>
        <w:ind w:hangingChars="20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16D558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发包人不按照本项约定组织竣工验收、颁发工程接收证书的违约金的计算方法：</w:t>
      </w:r>
      <w:r>
        <w:rPr>
          <w:rFonts w:hint="eastAsia"/>
          <w:b w:val="0"/>
          <w:i w:val="0"/>
          <w:caps w:val="0"/>
          <w:color w:val="auto"/>
          <w:spacing w:val="0"/>
          <w:w w:val="100"/>
          <w:sz w:val="24"/>
          <w:szCs w:val="24"/>
          <w:highlight w:val="none"/>
          <w:u w:val="single" w:color="000000"/>
        </w:rPr>
        <w:t xml:space="preserve">                                         </w:t>
      </w:r>
    </w:p>
    <w:p w14:paraId="03AC38CB">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3C84BC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13.2.5移交、接收全部与部分工程</w:t>
      </w:r>
    </w:p>
    <w:p w14:paraId="0271C17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承包人向发包人移交工程的期限：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341D5B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发包人未按本合同约定接收全部或部分工程的，违约金的计算方法为：</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71FD9B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承包人未按时移交工程的，违约金的计算方法为：</w:t>
      </w:r>
      <w:r>
        <w:rPr>
          <w:rFonts w:hint="eastAsia"/>
          <w:b w:val="0"/>
          <w:i w:val="0"/>
          <w:caps w:val="0"/>
          <w:color w:val="auto"/>
          <w:spacing w:val="0"/>
          <w:w w:val="100"/>
          <w:sz w:val="24"/>
          <w:szCs w:val="24"/>
          <w:highlight w:val="none"/>
          <w:u w:val="single" w:color="000000"/>
        </w:rPr>
        <w:t xml:space="preserve">          </w:t>
      </w:r>
    </w:p>
    <w:p w14:paraId="70926CB6">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2D6D4E1">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13.3 工程试车</w:t>
      </w:r>
    </w:p>
    <w:p w14:paraId="55E8838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13.3.1 试车程序</w:t>
      </w:r>
    </w:p>
    <w:p w14:paraId="423A29F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工程试车内容：</w:t>
      </w:r>
      <w:r>
        <w:rPr>
          <w:rFonts w:hint="eastAsia"/>
          <w:b w:val="0"/>
          <w:i w:val="0"/>
          <w:caps w:val="0"/>
          <w:color w:val="auto"/>
          <w:spacing w:val="0"/>
          <w:w w:val="100"/>
          <w:sz w:val="24"/>
          <w:szCs w:val="24"/>
          <w:highlight w:val="none"/>
          <w:u w:val="single" w:color="000000"/>
        </w:rPr>
        <w:t xml:space="preserve">                                        </w:t>
      </w:r>
    </w:p>
    <w:p w14:paraId="64139D89">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57880B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（1）单机无负荷试车费用由</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kern w:val="0"/>
          <w:sz w:val="24"/>
          <w:szCs w:val="24"/>
          <w:highlight w:val="none"/>
        </w:rPr>
        <w:t>承担；</w:t>
      </w:r>
    </w:p>
    <w:p w14:paraId="2BA7A3D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（2）无负荷联动试车费用由</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kern w:val="0"/>
          <w:sz w:val="24"/>
          <w:szCs w:val="24"/>
          <w:highlight w:val="none"/>
        </w:rPr>
        <w:t>承担。</w:t>
      </w:r>
    </w:p>
    <w:p w14:paraId="461E0BA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13.3.3 投料试车</w:t>
      </w:r>
    </w:p>
    <w:p w14:paraId="009387E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关于投料试车相关事项的约定：</w:t>
      </w:r>
      <w:r>
        <w:rPr>
          <w:rFonts w:hint="eastAsia"/>
          <w:b w:val="0"/>
          <w:i w:val="0"/>
          <w:caps w:val="0"/>
          <w:color w:val="auto"/>
          <w:spacing w:val="0"/>
          <w:w w:val="100"/>
          <w:sz w:val="24"/>
          <w:szCs w:val="24"/>
          <w:highlight w:val="none"/>
          <w:u w:val="single" w:color="000000"/>
        </w:rPr>
        <w:t xml:space="preserve">                           </w:t>
      </w:r>
    </w:p>
    <w:p w14:paraId="0E85F6A1">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15F49C7">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13.6 竣工退场</w:t>
      </w:r>
    </w:p>
    <w:p w14:paraId="7FDAF6F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13.6.1 竣工退场</w:t>
      </w:r>
    </w:p>
    <w:p w14:paraId="234A9F2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承包人完成竣工退场的期限：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7DBCA7DB">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885" w:name="_Toc20979"/>
      <w:bookmarkStart w:id="886" w:name="_Toc351203646"/>
      <w:r>
        <w:rPr>
          <w:rFonts w:hint="eastAsia"/>
          <w:b w:val="0"/>
          <w:i w:val="0"/>
          <w:caps w:val="0"/>
          <w:color w:val="auto"/>
          <w:spacing w:val="0"/>
          <w:w w:val="100"/>
          <w:sz w:val="24"/>
          <w:szCs w:val="24"/>
          <w:highlight w:val="none"/>
        </w:rPr>
        <w:t>14. 竣工结算</w:t>
      </w:r>
      <w:bookmarkEnd w:id="885"/>
      <w:bookmarkEnd w:id="886"/>
    </w:p>
    <w:p w14:paraId="74824814">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14.1 竣工结算申请</w:t>
      </w:r>
    </w:p>
    <w:p w14:paraId="439C7E7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承包人提交竣工结算申请单的期限：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D94238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竣工结算申请单应包括的内容：</w:t>
      </w:r>
      <w:r>
        <w:rPr>
          <w:rFonts w:hint="eastAsia"/>
          <w:b w:val="0"/>
          <w:i w:val="0"/>
          <w:caps w:val="0"/>
          <w:color w:val="auto"/>
          <w:spacing w:val="0"/>
          <w:w w:val="100"/>
          <w:sz w:val="24"/>
          <w:szCs w:val="24"/>
          <w:highlight w:val="none"/>
          <w:u w:val="single" w:color="000000"/>
        </w:rPr>
        <w:t xml:space="preserve">                        </w:t>
      </w:r>
    </w:p>
    <w:p w14:paraId="2755C6EB">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3D80B66">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14.2 竣工结算审核</w:t>
      </w:r>
    </w:p>
    <w:p w14:paraId="4323CAA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发包人审批竣工付款申请单的期限：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4BEAD4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发包人完成竣工付款的期限：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02AC7DC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关于竣工付款证书异议部分复核的方式和程序：</w:t>
      </w:r>
      <w:r>
        <w:rPr>
          <w:rFonts w:hint="eastAsia"/>
          <w:b w:val="0"/>
          <w:i w:val="0"/>
          <w:caps w:val="0"/>
          <w:color w:val="auto"/>
          <w:spacing w:val="0"/>
          <w:w w:val="100"/>
          <w:sz w:val="24"/>
          <w:szCs w:val="24"/>
          <w:highlight w:val="none"/>
          <w:u w:val="single" w:color="000000"/>
        </w:rPr>
        <w:t xml:space="preserve">          </w:t>
      </w:r>
    </w:p>
    <w:p w14:paraId="38A0B0E5">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4B41A234">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14.4 最终结清</w:t>
      </w:r>
    </w:p>
    <w:p w14:paraId="4D95259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14.4.1 最终结清申请单</w:t>
      </w:r>
    </w:p>
    <w:p w14:paraId="083F72A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承包人提交最终结清申请单的份数：</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3ADA43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rPr>
        <w:t>承包人提交最终结算申请单的期限：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56E6862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14.4.2 最终结清证书和支付</w:t>
      </w:r>
    </w:p>
    <w:p w14:paraId="6CADE43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（1）发包人完成最终结清申请单的审批并颁发最终结清证书的期限：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5E935A0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（2）发包人完成支付的期限：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70B839F">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887" w:name="_Toc351203647"/>
      <w:bookmarkStart w:id="888" w:name="_Toc14908"/>
      <w:bookmarkStart w:id="889" w:name="_Toc267251483"/>
      <w:bookmarkStart w:id="890" w:name="_Toc267251507"/>
      <w:bookmarkStart w:id="891" w:name="_Toc267251508"/>
      <w:bookmarkStart w:id="892" w:name="_Toc267251513"/>
      <w:bookmarkStart w:id="893" w:name="_Toc267251510"/>
      <w:bookmarkStart w:id="894" w:name="_Toc267251514"/>
      <w:bookmarkStart w:id="895" w:name="_Toc267251509"/>
      <w:bookmarkStart w:id="896" w:name="_Toc267251511"/>
      <w:bookmarkStart w:id="897" w:name="_Toc267251515"/>
      <w:r>
        <w:rPr>
          <w:rFonts w:hint="eastAsia"/>
          <w:b w:val="0"/>
          <w:i w:val="0"/>
          <w:caps w:val="0"/>
          <w:color w:val="auto"/>
          <w:spacing w:val="0"/>
          <w:w w:val="100"/>
          <w:sz w:val="24"/>
          <w:szCs w:val="24"/>
          <w:highlight w:val="none"/>
        </w:rPr>
        <w:t>15. 缺陷责任期与保修</w:t>
      </w:r>
      <w:bookmarkEnd w:id="887"/>
      <w:bookmarkEnd w:id="888"/>
    </w:p>
    <w:p w14:paraId="17FE799F">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15.2缺陷责任期</w:t>
      </w:r>
      <w:bookmarkEnd w:id="889"/>
    </w:p>
    <w:p w14:paraId="25D0B85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缺陷责任期的具体期限：</w:t>
      </w:r>
      <w:r>
        <w:rPr>
          <w:rFonts w:hint="eastAsia"/>
          <w:b w:val="0"/>
          <w:i w:val="0"/>
          <w:caps w:val="0"/>
          <w:color w:val="auto"/>
          <w:spacing w:val="0"/>
          <w:w w:val="100"/>
          <w:sz w:val="24"/>
          <w:szCs w:val="24"/>
          <w:highlight w:val="none"/>
          <w:u w:val="single" w:color="000000"/>
        </w:rPr>
        <w:t xml:space="preserve">                                </w:t>
      </w:r>
    </w:p>
    <w:p w14:paraId="508E8357">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FA3980C">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15.3 质量保证金</w:t>
      </w:r>
    </w:p>
    <w:p w14:paraId="7BB5FD2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关于是否扣留质量保证金的约定：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。在工程项目竣工前，承包人按专用合同条款第3.7条提供履约担保的，发包人不得同时预留工程质量保证金。</w:t>
      </w:r>
    </w:p>
    <w:p w14:paraId="3532150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p>
    <w:p w14:paraId="180D2AC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15.3.1 承包人提供质量保证金的方式</w:t>
      </w:r>
    </w:p>
    <w:p w14:paraId="5489FA3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质量保证金采用以下第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种方式：</w:t>
      </w:r>
    </w:p>
    <w:p w14:paraId="2B64792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（1）质量保证金保函，保证金额为：</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 xml:space="preserve">； </w:t>
      </w:r>
    </w:p>
    <w:p w14:paraId="4A597B8E">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（2）</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%的工程款；</w:t>
      </w:r>
    </w:p>
    <w:p w14:paraId="77F975A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（3）其他方式</w:t>
      </w:r>
      <w:r>
        <w:rPr>
          <w:rFonts w:hint="eastAsia"/>
          <w:b w:val="0"/>
          <w:i w:val="0"/>
          <w:caps w:val="0"/>
          <w:color w:val="auto"/>
          <w:spacing w:val="0"/>
          <w:w w:val="100"/>
          <w:kern w:val="0"/>
          <w:sz w:val="24"/>
          <w:szCs w:val="24"/>
          <w:highlight w:val="none"/>
          <w:lang w:eastAsia="zh-CN"/>
        </w:rPr>
        <w:t>：</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6A14E68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 xml:space="preserve">15.3.2 质量保证金的扣留 </w:t>
      </w:r>
    </w:p>
    <w:p w14:paraId="106546F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质量保证金的扣留采取以下第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种方式：</w:t>
      </w:r>
    </w:p>
    <w:p w14:paraId="193CC59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（1）在支付工程进度款时逐次扣留，在此情形下，质量保证金的计算基数不包括预付款的支付、扣回以及价格调整的金额；</w:t>
      </w:r>
    </w:p>
    <w:p w14:paraId="06E97C8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（2）工程竣工结算时一次性扣留质量保证金；</w:t>
      </w:r>
    </w:p>
    <w:p w14:paraId="7389E191">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（3）其他扣留方式:</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7F03F03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sz w:val="24"/>
          <w:szCs w:val="24"/>
          <w:highlight w:val="none"/>
        </w:rPr>
        <w:t>关于质量保证金的补充约定：</w:t>
      </w:r>
      <w:r>
        <w:rPr>
          <w:rFonts w:hint="eastAsia"/>
          <w:b w:val="0"/>
          <w:i w:val="0"/>
          <w:caps w:val="0"/>
          <w:color w:val="auto"/>
          <w:spacing w:val="0"/>
          <w:w w:val="100"/>
          <w:kern w:val="0"/>
          <w:sz w:val="24"/>
          <w:szCs w:val="24"/>
          <w:highlight w:val="none"/>
          <w:u w:val="single" w:color="000000"/>
        </w:rPr>
        <w:t xml:space="preserve">                            </w:t>
      </w:r>
    </w:p>
    <w:p w14:paraId="624E570D">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4B2BDE2E">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15.4保修</w:t>
      </w:r>
    </w:p>
    <w:p w14:paraId="0A608B24">
      <w:pPr>
        <w:snapToGrid w:val="0"/>
        <w:spacing w:before="0" w:beforeAutospacing="0" w:after="0" w:afterAutospacing="0" w:line="360" w:lineRule="auto"/>
        <w:ind w:firstLine="468" w:firstLineChars="195"/>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15.4.1 保修责任</w:t>
      </w:r>
    </w:p>
    <w:p w14:paraId="5D074E8F">
      <w:pPr>
        <w:snapToGrid w:val="0"/>
        <w:spacing w:before="0" w:beforeAutospacing="0" w:after="0" w:afterAutospacing="0" w:line="360" w:lineRule="auto"/>
        <w:ind w:firstLine="468" w:firstLineChars="195"/>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sz w:val="24"/>
          <w:szCs w:val="24"/>
          <w:highlight w:val="none"/>
        </w:rPr>
        <w:t>工程保修期为：</w:t>
      </w:r>
      <w:r>
        <w:rPr>
          <w:rFonts w:hint="eastAsia"/>
          <w:b w:val="0"/>
          <w:i w:val="0"/>
          <w:caps w:val="0"/>
          <w:color w:val="auto"/>
          <w:spacing w:val="0"/>
          <w:w w:val="100"/>
          <w:kern w:val="0"/>
          <w:sz w:val="24"/>
          <w:szCs w:val="24"/>
          <w:highlight w:val="none"/>
          <w:u w:val="single" w:color="000000"/>
        </w:rPr>
        <w:t xml:space="preserve">                                        </w:t>
      </w:r>
    </w:p>
    <w:p w14:paraId="0319B0B3">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6AEF9218">
      <w:pPr>
        <w:snapToGrid w:val="0"/>
        <w:spacing w:before="0" w:beforeAutospacing="0" w:after="0" w:afterAutospacing="0" w:line="360" w:lineRule="auto"/>
        <w:ind w:firstLine="468" w:firstLineChars="195"/>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15.4.3 修复通知</w:t>
      </w:r>
    </w:p>
    <w:p w14:paraId="114BC88B">
      <w:pPr>
        <w:snapToGrid w:val="0"/>
        <w:spacing w:before="0" w:beforeAutospacing="0" w:after="0" w:afterAutospacing="0" w:line="360" w:lineRule="auto"/>
        <w:ind w:firstLine="468" w:firstLineChars="195"/>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承包人收到保修通知并到达工程现场的合理时间：</w:t>
      </w:r>
      <w:r>
        <w:rPr>
          <w:rFonts w:hint="eastAsia"/>
          <w:b w:val="0"/>
          <w:i w:val="0"/>
          <w:caps w:val="0"/>
          <w:color w:val="auto"/>
          <w:spacing w:val="0"/>
          <w:w w:val="100"/>
          <w:kern w:val="0"/>
          <w:sz w:val="24"/>
          <w:szCs w:val="24"/>
          <w:highlight w:val="none"/>
          <w:u w:val="single" w:color="000000"/>
        </w:rPr>
        <w:t xml:space="preserve">          </w:t>
      </w:r>
    </w:p>
    <w:p w14:paraId="07D66C63">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23B5901C">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898" w:name="_Toc22932"/>
      <w:bookmarkStart w:id="899" w:name="_Toc351203648"/>
      <w:bookmarkStart w:id="900" w:name="_Toc280868717"/>
      <w:r>
        <w:rPr>
          <w:rFonts w:hint="eastAsia"/>
          <w:b w:val="0"/>
          <w:i w:val="0"/>
          <w:caps w:val="0"/>
          <w:color w:val="auto"/>
          <w:spacing w:val="0"/>
          <w:w w:val="100"/>
          <w:sz w:val="24"/>
          <w:szCs w:val="24"/>
          <w:highlight w:val="none"/>
        </w:rPr>
        <w:t>16. 违约</w:t>
      </w:r>
      <w:bookmarkEnd w:id="898"/>
      <w:bookmarkEnd w:id="899"/>
    </w:p>
    <w:p w14:paraId="57FEF38E">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16.1 发包人违约</w:t>
      </w:r>
    </w:p>
    <w:p w14:paraId="7740CE3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16.1.1发包人违约的情形</w:t>
      </w:r>
    </w:p>
    <w:p w14:paraId="2EDF691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发包人违约的其他情形：</w:t>
      </w:r>
      <w:r>
        <w:rPr>
          <w:rFonts w:hint="eastAsia"/>
          <w:b w:val="0"/>
          <w:i w:val="0"/>
          <w:caps w:val="0"/>
          <w:color w:val="auto"/>
          <w:spacing w:val="0"/>
          <w:w w:val="100"/>
          <w:kern w:val="0"/>
          <w:sz w:val="24"/>
          <w:szCs w:val="24"/>
          <w:highlight w:val="none"/>
          <w:u w:val="single" w:color="000000"/>
        </w:rPr>
        <w:t xml:space="preserve">                                </w:t>
      </w:r>
    </w:p>
    <w:p w14:paraId="3EC644F5">
      <w:pPr>
        <w:snapToGrid w:val="0"/>
        <w:spacing w:before="0" w:beforeAutospacing="0" w:after="0" w:afterAutospacing="0" w:line="360" w:lineRule="auto"/>
        <w:ind w:hangingChars="5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4630E60F">
      <w:pPr>
        <w:snapToGrid w:val="0"/>
        <w:spacing w:before="0" w:beforeAutospacing="0" w:after="0" w:afterAutospacing="0" w:line="360" w:lineRule="auto"/>
        <w:ind w:hangingChars="5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 xml:space="preserve">    16.1.2 发包人违约的责任</w:t>
      </w:r>
    </w:p>
    <w:p w14:paraId="3D6A3FC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发包人违约责任的承担方式和计算方法：</w:t>
      </w:r>
    </w:p>
    <w:p w14:paraId="4FA5E35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（1）因发包人原因未能在计划开工日期前7天内下达开工通知的违约责任：</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5CBB0E6D">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（2）因发包人原因未能按合同约定支付合同价款的违约责任：</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58D9929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（3）发包人违反第10.1款〔变更的范围〕第（2）项约定，自行实施被取消的工作或转由他人实施的违约责任：</w:t>
      </w:r>
      <w:r>
        <w:rPr>
          <w:rFonts w:hint="eastAsia"/>
          <w:b w:val="0"/>
          <w:i w:val="0"/>
          <w:caps w:val="0"/>
          <w:color w:val="auto"/>
          <w:spacing w:val="0"/>
          <w:w w:val="100"/>
          <w:kern w:val="0"/>
          <w:sz w:val="24"/>
          <w:szCs w:val="24"/>
          <w:highlight w:val="none"/>
          <w:u w:val="single" w:color="000000"/>
        </w:rPr>
        <w:t xml:space="preserve">              </w:t>
      </w:r>
    </w:p>
    <w:p w14:paraId="0D6AF72F">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037DF3A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（4）发包人提供的材料、工程设备的规格、数量或质量不符合合同约定，或因发包人原因导致交货日期延误或交货地点变更等情况的违约责任：</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724E0DF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（5）因发包人违反合同约定造成暂停施工的违约责任：</w:t>
      </w:r>
      <w:r>
        <w:rPr>
          <w:rFonts w:hint="eastAsia"/>
          <w:b w:val="0"/>
          <w:i w:val="0"/>
          <w:caps w:val="0"/>
          <w:color w:val="auto"/>
          <w:spacing w:val="0"/>
          <w:w w:val="100"/>
          <w:kern w:val="0"/>
          <w:sz w:val="24"/>
          <w:szCs w:val="24"/>
          <w:highlight w:val="none"/>
          <w:u w:val="single" w:color="000000"/>
        </w:rPr>
        <w:t xml:space="preserve">     </w:t>
      </w:r>
    </w:p>
    <w:p w14:paraId="01408433">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38592EE0">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（6）发包人无正当理由没有在约定期限内发出复工指示，导致承包人无法复工的违约责任：</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6A40A3E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（7）其他：</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651114BB">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16.1.3 因发包人违约解除合同</w:t>
      </w:r>
    </w:p>
    <w:p w14:paraId="70C78BF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承包人按16.1.1项〔发包人违约的情形〕约定暂停施工满</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天后发包人仍不纠正其违约行为并致使合同目的不能实现的，承包人有权解除合同。</w:t>
      </w:r>
    </w:p>
    <w:p w14:paraId="5C4A2777">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16.2 承包人违约</w:t>
      </w:r>
    </w:p>
    <w:p w14:paraId="35D9E96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16.2.1 承包人违约的情形</w:t>
      </w:r>
    </w:p>
    <w:p w14:paraId="3D7FE3E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承包人违约的其他情形：</w:t>
      </w:r>
      <w:r>
        <w:rPr>
          <w:rFonts w:hint="eastAsia"/>
          <w:b w:val="0"/>
          <w:i w:val="0"/>
          <w:caps w:val="0"/>
          <w:color w:val="auto"/>
          <w:spacing w:val="0"/>
          <w:w w:val="100"/>
          <w:kern w:val="0"/>
          <w:sz w:val="24"/>
          <w:szCs w:val="24"/>
          <w:highlight w:val="none"/>
          <w:u w:val="single" w:color="000000"/>
        </w:rPr>
        <w:t xml:space="preserve">                                </w:t>
      </w:r>
    </w:p>
    <w:p w14:paraId="48347DB1">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198E0155">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16.2.2承包人违约的责任</w:t>
      </w:r>
    </w:p>
    <w:p w14:paraId="0135FAB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承包人违约责任的承担方式和计算方法：</w:t>
      </w:r>
      <w:r>
        <w:rPr>
          <w:rFonts w:hint="eastAsia"/>
          <w:b w:val="0"/>
          <w:i w:val="0"/>
          <w:caps w:val="0"/>
          <w:color w:val="auto"/>
          <w:spacing w:val="0"/>
          <w:w w:val="100"/>
          <w:kern w:val="0"/>
          <w:sz w:val="24"/>
          <w:szCs w:val="24"/>
          <w:highlight w:val="none"/>
          <w:u w:val="single" w:color="000000"/>
        </w:rPr>
        <w:t xml:space="preserve">                  </w:t>
      </w:r>
    </w:p>
    <w:p w14:paraId="7175FA29">
      <w:pPr>
        <w:snapToGrid w:val="0"/>
        <w:spacing w:before="0" w:beforeAutospacing="0" w:after="0" w:afterAutospacing="0" w:line="360" w:lineRule="auto"/>
        <w:ind w:hangingChars="5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r>
        <w:rPr>
          <w:rFonts w:hint="eastAsia"/>
          <w:b w:val="0"/>
          <w:i w:val="0"/>
          <w:caps w:val="0"/>
          <w:color w:val="auto"/>
          <w:spacing w:val="0"/>
          <w:w w:val="100"/>
          <w:sz w:val="24"/>
          <w:szCs w:val="24"/>
          <w:highlight w:val="none"/>
        </w:rPr>
        <w:t xml:space="preserve">    </w:t>
      </w:r>
    </w:p>
    <w:p w14:paraId="4A088DA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16.2.3 因承包人违约解除合同</w:t>
      </w:r>
    </w:p>
    <w:p w14:paraId="7460E567">
      <w:pPr>
        <w:snapToGrid w:val="0"/>
        <w:spacing w:before="120" w:beforeAutospacing="0" w:after="120" w:afterAutospacing="0" w:line="360" w:lineRule="auto"/>
        <w:ind w:firstLine="480" w:firstLineChars="200"/>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kern w:val="0"/>
          <w:sz w:val="24"/>
          <w:szCs w:val="24"/>
          <w:highlight w:val="none"/>
        </w:rPr>
        <w:t>关于承包人违约解除合同的特别约定：</w:t>
      </w:r>
      <w:r>
        <w:rPr>
          <w:rFonts w:hint="eastAsia"/>
          <w:b w:val="0"/>
          <w:i w:val="0"/>
          <w:caps w:val="0"/>
          <w:color w:val="auto"/>
          <w:spacing w:val="0"/>
          <w:w w:val="100"/>
          <w:kern w:val="0"/>
          <w:sz w:val="24"/>
          <w:szCs w:val="24"/>
          <w:highlight w:val="none"/>
          <w:u w:val="single" w:color="000000"/>
        </w:rPr>
        <w:t xml:space="preserve">                    </w:t>
      </w:r>
    </w:p>
    <w:p w14:paraId="75902B36">
      <w:pPr>
        <w:snapToGrid w:val="0"/>
        <w:spacing w:before="120" w:beforeAutospacing="0" w:after="120" w:afterAutospacing="0" w:line="360" w:lineRule="auto"/>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02D26DFB">
      <w:pPr>
        <w:snapToGrid w:val="0"/>
        <w:spacing w:before="120" w:beforeAutospacing="0" w:after="120" w:afterAutospacing="0" w:line="360" w:lineRule="auto"/>
        <w:ind w:firstLine="480" w:firstLineChars="200"/>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发包人继续使用承包人在施工现场的材料、设备、临时工程、承包人文件和由承包人或以其名义编制的其他文件的费用承担方式：</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5FBC245F">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901" w:name="_Toc30497"/>
      <w:bookmarkStart w:id="902" w:name="_Toc351203649"/>
      <w:r>
        <w:rPr>
          <w:rFonts w:hint="eastAsia"/>
          <w:b w:val="0"/>
          <w:i w:val="0"/>
          <w:caps w:val="0"/>
          <w:color w:val="auto"/>
          <w:spacing w:val="0"/>
          <w:w w:val="100"/>
          <w:sz w:val="24"/>
          <w:szCs w:val="24"/>
          <w:highlight w:val="none"/>
        </w:rPr>
        <w:t>17. 不可抗力</w:t>
      </w:r>
      <w:bookmarkEnd w:id="901"/>
      <w:bookmarkEnd w:id="902"/>
      <w:r>
        <w:rPr>
          <w:rFonts w:hint="eastAsia"/>
          <w:b w:val="0"/>
          <w:i w:val="0"/>
          <w:caps w:val="0"/>
          <w:color w:val="auto"/>
          <w:spacing w:val="0"/>
          <w:w w:val="100"/>
          <w:sz w:val="24"/>
          <w:szCs w:val="24"/>
          <w:highlight w:val="none"/>
        </w:rPr>
        <w:t xml:space="preserve"> </w:t>
      </w:r>
      <w:bookmarkEnd w:id="900"/>
    </w:p>
    <w:p w14:paraId="0A37AF73">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17.1 不可抗力的确认</w:t>
      </w:r>
    </w:p>
    <w:p w14:paraId="068E5AD6">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u w:val="single" w:color="000000"/>
        </w:rPr>
      </w:pPr>
      <w:r>
        <w:rPr>
          <w:rFonts w:hint="eastAsia"/>
          <w:b w:val="0"/>
          <w:i w:val="0"/>
          <w:caps w:val="0"/>
          <w:color w:val="auto"/>
          <w:spacing w:val="0"/>
          <w:w w:val="100"/>
          <w:sz w:val="24"/>
          <w:szCs w:val="24"/>
          <w:highlight w:val="none"/>
        </w:rPr>
        <w:t xml:space="preserve">除通用合同条款约定的不可抗力事件之外，视为不可抗力的其他情形： </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4EB83438">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17.4 因不可抗力解除合同</w:t>
      </w:r>
    </w:p>
    <w:p w14:paraId="72C88179">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合同解除后，发包人应在商定或确定发包人应支付款项后</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天内完成款项的支付。</w:t>
      </w:r>
    </w:p>
    <w:p w14:paraId="719404CF">
      <w:pPr>
        <w:pStyle w:val="5"/>
        <w:snapToGrid w:val="0"/>
        <w:spacing w:before="120" w:beforeAutospacing="0" w:after="120" w:afterAutospacing="0" w:line="360" w:lineRule="auto"/>
        <w:textAlignment w:val="baseline"/>
        <w:outlineLvl w:val="1"/>
        <w:rPr>
          <w:rFonts w:hint="eastAsia"/>
          <w:b w:val="0"/>
          <w:i w:val="0"/>
          <w:caps w:val="0"/>
          <w:color w:val="auto"/>
          <w:spacing w:val="0"/>
          <w:w w:val="100"/>
          <w:sz w:val="24"/>
          <w:szCs w:val="24"/>
          <w:highlight w:val="none"/>
        </w:rPr>
      </w:pPr>
      <w:bookmarkStart w:id="903" w:name="_Toc24360"/>
      <w:bookmarkStart w:id="904" w:name="_Toc351203650"/>
      <w:r>
        <w:rPr>
          <w:rFonts w:hint="eastAsia"/>
          <w:b w:val="0"/>
          <w:i w:val="0"/>
          <w:caps w:val="0"/>
          <w:color w:val="auto"/>
          <w:spacing w:val="0"/>
          <w:w w:val="100"/>
          <w:sz w:val="24"/>
          <w:szCs w:val="24"/>
          <w:highlight w:val="none"/>
        </w:rPr>
        <w:t>18. 保险</w:t>
      </w:r>
      <w:bookmarkEnd w:id="903"/>
      <w:bookmarkEnd w:id="904"/>
    </w:p>
    <w:p w14:paraId="099243A1">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18.1 工程保险</w:t>
      </w:r>
    </w:p>
    <w:p w14:paraId="4382339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关于工程保险的特别约定：</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24F5BEC7">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18.3 其他保险</w:t>
      </w:r>
    </w:p>
    <w:p w14:paraId="16CFF79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rPr>
        <w:t>关于其他保险的约定：</w:t>
      </w:r>
      <w:r>
        <w:rPr>
          <w:rFonts w:hint="eastAsia"/>
          <w:b w:val="0"/>
          <w:i w:val="0"/>
          <w:caps w:val="0"/>
          <w:color w:val="auto"/>
          <w:spacing w:val="0"/>
          <w:w w:val="100"/>
          <w:kern w:val="0"/>
          <w:sz w:val="24"/>
          <w:szCs w:val="24"/>
          <w:highlight w:val="none"/>
          <w:u w:val="single" w:color="000000"/>
        </w:rPr>
        <w:t xml:space="preserve">                                  </w:t>
      </w:r>
      <w:r>
        <w:rPr>
          <w:rFonts w:hint="eastAsia"/>
          <w:b w:val="0"/>
          <w:i w:val="0"/>
          <w:caps w:val="0"/>
          <w:color w:val="auto"/>
          <w:spacing w:val="0"/>
          <w:w w:val="100"/>
          <w:kern w:val="0"/>
          <w:sz w:val="24"/>
          <w:szCs w:val="24"/>
          <w:highlight w:val="none"/>
        </w:rPr>
        <w:t>。</w:t>
      </w:r>
    </w:p>
    <w:p w14:paraId="53CC5073">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承包人是否应为其施工设备等办理财产保险：</w:t>
      </w:r>
      <w:r>
        <w:rPr>
          <w:rFonts w:hint="eastAsia"/>
          <w:b w:val="0"/>
          <w:i w:val="0"/>
          <w:caps w:val="0"/>
          <w:color w:val="auto"/>
          <w:spacing w:val="0"/>
          <w:w w:val="100"/>
          <w:sz w:val="24"/>
          <w:szCs w:val="24"/>
          <w:highlight w:val="none"/>
          <w:u w:val="single" w:color="000000"/>
        </w:rPr>
        <w:t xml:space="preserve">              </w:t>
      </w:r>
    </w:p>
    <w:p w14:paraId="67980345">
      <w:pPr>
        <w:snapToGrid w:val="0"/>
        <w:spacing w:before="0" w:beforeAutospacing="0" w:after="0" w:afterAutospacing="0" w:line="360" w:lineRule="auto"/>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3A78E93">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18.7 通知义务</w:t>
      </w:r>
    </w:p>
    <w:p w14:paraId="25180BD7">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kern w:val="0"/>
          <w:sz w:val="24"/>
          <w:szCs w:val="24"/>
          <w:highlight w:val="none"/>
        </w:rPr>
        <w:t>关于变更保险合同时的通知义务的约定：</w:t>
      </w:r>
      <w:r>
        <w:rPr>
          <w:rFonts w:hint="eastAsia"/>
          <w:b w:val="0"/>
          <w:i w:val="0"/>
          <w:caps w:val="0"/>
          <w:color w:val="auto"/>
          <w:spacing w:val="0"/>
          <w:w w:val="100"/>
          <w:sz w:val="24"/>
          <w:szCs w:val="24"/>
          <w:highlight w:val="none"/>
          <w:u w:val="single" w:color="000000"/>
        </w:rPr>
        <w:t xml:space="preserve">                  </w:t>
      </w:r>
    </w:p>
    <w:p w14:paraId="129941C9">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614D966F">
      <w:pPr>
        <w:pStyle w:val="5"/>
        <w:snapToGrid w:val="0"/>
        <w:spacing w:before="120" w:beforeAutospacing="0" w:after="120" w:afterAutospacing="0" w:line="360" w:lineRule="auto"/>
        <w:textAlignment w:val="baseline"/>
        <w:rPr>
          <w:rFonts w:hint="eastAsia"/>
          <w:b w:val="0"/>
          <w:i w:val="0"/>
          <w:caps w:val="0"/>
          <w:color w:val="auto"/>
          <w:spacing w:val="0"/>
          <w:w w:val="100"/>
          <w:sz w:val="24"/>
          <w:szCs w:val="24"/>
          <w:highlight w:val="none"/>
        </w:rPr>
      </w:pPr>
      <w:bookmarkStart w:id="905" w:name="_Toc351203651"/>
      <w:r>
        <w:rPr>
          <w:rFonts w:hint="eastAsia"/>
          <w:b w:val="0"/>
          <w:i w:val="0"/>
          <w:caps w:val="0"/>
          <w:color w:val="auto"/>
          <w:spacing w:val="0"/>
          <w:w w:val="100"/>
          <w:sz w:val="24"/>
          <w:szCs w:val="24"/>
          <w:highlight w:val="none"/>
        </w:rPr>
        <w:t>20. 争议解决</w:t>
      </w:r>
      <w:bookmarkEnd w:id="905"/>
    </w:p>
    <w:p w14:paraId="0E6791B0">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20.3 争</w:t>
      </w:r>
      <w:bookmarkEnd w:id="890"/>
      <w:r>
        <w:rPr>
          <w:rFonts w:hint="eastAsia"/>
          <w:b w:val="0"/>
          <w:i w:val="0"/>
          <w:caps w:val="0"/>
          <w:color w:val="auto"/>
          <w:spacing w:val="0"/>
          <w:w w:val="100"/>
          <w:sz w:val="24"/>
          <w:szCs w:val="24"/>
          <w:highlight w:val="none"/>
        </w:rPr>
        <w:t>议评审</w:t>
      </w:r>
    </w:p>
    <w:p w14:paraId="00D4F522">
      <w:pPr>
        <w:snapToGrid w:val="0"/>
        <w:spacing w:before="0" w:beforeAutospacing="0" w:after="0" w:afterAutospacing="0" w:line="360" w:lineRule="auto"/>
        <w:ind w:left="170" w:leftChars="71" w:firstLine="360" w:firstLineChars="15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合同当事人是否同意将工程争议提交争议评审小组决定：</w:t>
      </w:r>
      <w:r>
        <w:rPr>
          <w:rFonts w:hint="eastAsia"/>
          <w:b w:val="0"/>
          <w:i w:val="0"/>
          <w:caps w:val="0"/>
          <w:color w:val="auto"/>
          <w:spacing w:val="0"/>
          <w:w w:val="100"/>
          <w:sz w:val="24"/>
          <w:szCs w:val="24"/>
          <w:highlight w:val="none"/>
          <w:u w:val="single" w:color="000000"/>
        </w:rPr>
        <w:t xml:space="preserve">    </w:t>
      </w:r>
    </w:p>
    <w:p w14:paraId="30FDEEC3">
      <w:pPr>
        <w:snapToGrid w:val="0"/>
        <w:spacing w:before="0" w:beforeAutospacing="0" w:after="0" w:afterAutospacing="0" w:line="360" w:lineRule="auto"/>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 xml:space="preserve">。  </w:t>
      </w:r>
    </w:p>
    <w:p w14:paraId="47319D2A">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20.3.1 争议评审小组的确定</w:t>
      </w:r>
    </w:p>
    <w:p w14:paraId="2598455F">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u w:val="single" w:color="000000"/>
        </w:rPr>
      </w:pPr>
      <w:r>
        <w:rPr>
          <w:rFonts w:hint="eastAsia"/>
          <w:b w:val="0"/>
          <w:i w:val="0"/>
          <w:caps w:val="0"/>
          <w:color w:val="auto"/>
          <w:spacing w:val="0"/>
          <w:w w:val="100"/>
          <w:sz w:val="24"/>
          <w:szCs w:val="24"/>
          <w:highlight w:val="none"/>
        </w:rPr>
        <w:t>争议评审小组成员的确定：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2C73D6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选定争议评审员的期限：</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B035FC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争议评审小组成员的报酬承担方式：</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2786D52C">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其他事项的约定：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1C29A574">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kern w:val="0"/>
          <w:sz w:val="24"/>
          <w:szCs w:val="24"/>
          <w:highlight w:val="none"/>
        </w:rPr>
      </w:pPr>
      <w:r>
        <w:rPr>
          <w:rFonts w:hint="eastAsia"/>
          <w:b w:val="0"/>
          <w:i w:val="0"/>
          <w:caps w:val="0"/>
          <w:color w:val="auto"/>
          <w:spacing w:val="0"/>
          <w:w w:val="100"/>
          <w:kern w:val="0"/>
          <w:sz w:val="24"/>
          <w:szCs w:val="24"/>
          <w:highlight w:val="none"/>
        </w:rPr>
        <w:t>20.3.2 争议评审小组的决定</w:t>
      </w:r>
    </w:p>
    <w:p w14:paraId="580ED4E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合同当事人关于本项的约定：</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w:t>
      </w:r>
    </w:p>
    <w:p w14:paraId="712A8708">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20.4仲裁或诉讼</w:t>
      </w:r>
      <w:bookmarkEnd w:id="891"/>
    </w:p>
    <w:p w14:paraId="45880C93">
      <w:pPr>
        <w:snapToGrid w:val="0"/>
        <w:spacing w:before="0" w:beforeAutospacing="0" w:after="120" w:afterAutospacing="0" w:line="360" w:lineRule="auto"/>
        <w:ind w:firstLine="480" w:firstLineChars="200"/>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因合同及合同有关事项发生的争议，按下列第</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种方式解决：</w:t>
      </w:r>
    </w:p>
    <w:p w14:paraId="2B7B4958">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（1）向</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仲裁委员会申请仲裁；</w:t>
      </w:r>
    </w:p>
    <w:p w14:paraId="215F4732">
      <w:pPr>
        <w:snapToGrid w:val="0"/>
        <w:spacing w:before="0" w:beforeAutospacing="0" w:after="0" w:afterAutospacing="0" w:line="360" w:lineRule="auto"/>
        <w:ind w:firstLine="480" w:firstLineChars="200"/>
        <w:jc w:val="left"/>
        <w:textAlignment w:val="baseline"/>
        <w:rPr>
          <w:rFonts w:hint="eastAsia"/>
          <w:b w:val="0"/>
          <w:i w:val="0"/>
          <w:caps w:val="0"/>
          <w:color w:val="auto"/>
          <w:spacing w:val="0"/>
          <w:w w:val="100"/>
          <w:sz w:val="24"/>
          <w:szCs w:val="24"/>
          <w:highlight w:val="none"/>
        </w:rPr>
      </w:pPr>
      <w:r>
        <w:rPr>
          <w:rFonts w:hint="eastAsia"/>
          <w:b w:val="0"/>
          <w:i w:val="0"/>
          <w:caps w:val="0"/>
          <w:color w:val="auto"/>
          <w:spacing w:val="0"/>
          <w:w w:val="100"/>
          <w:sz w:val="24"/>
          <w:szCs w:val="24"/>
          <w:highlight w:val="none"/>
        </w:rPr>
        <w:t>（2）向</w:t>
      </w:r>
      <w:r>
        <w:rPr>
          <w:rFonts w:hint="eastAsia"/>
          <w:b w:val="0"/>
          <w:i w:val="0"/>
          <w:caps w:val="0"/>
          <w:color w:val="auto"/>
          <w:spacing w:val="0"/>
          <w:w w:val="100"/>
          <w:sz w:val="24"/>
          <w:szCs w:val="24"/>
          <w:highlight w:val="none"/>
          <w:u w:val="single" w:color="000000"/>
        </w:rPr>
        <w:t xml:space="preserve">                     </w:t>
      </w:r>
      <w:r>
        <w:rPr>
          <w:rFonts w:hint="eastAsia"/>
          <w:b w:val="0"/>
          <w:i w:val="0"/>
          <w:caps w:val="0"/>
          <w:color w:val="auto"/>
          <w:spacing w:val="0"/>
          <w:w w:val="100"/>
          <w:sz w:val="24"/>
          <w:szCs w:val="24"/>
          <w:highlight w:val="none"/>
        </w:rPr>
        <w:t>人民法院起诉。</w:t>
      </w:r>
      <w:bookmarkEnd w:id="892"/>
      <w:bookmarkEnd w:id="893"/>
      <w:bookmarkEnd w:id="894"/>
      <w:bookmarkEnd w:id="895"/>
      <w:bookmarkEnd w:id="896"/>
      <w:bookmarkEnd w:id="897"/>
    </w:p>
    <w:p w14:paraId="11CC00E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8"/>
          <w:highlight w:val="none"/>
          <w:lang w:val="zh-CN"/>
        </w:rPr>
      </w:pPr>
    </w:p>
    <w:p w14:paraId="399C8A9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100F9338">
      <w:pPr>
        <w:numPr>
          <w:ilvl w:val="0"/>
          <w:numId w:val="8"/>
        </w:numPr>
        <w:snapToGrid w:val="0"/>
        <w:spacing w:before="260" w:beforeAutospacing="0" w:after="260" w:afterAutospacing="0" w:line="416" w:lineRule="auto"/>
        <w:jc w:val="center"/>
        <w:textAlignment w:val="baseline"/>
        <w:outlineLvl w:val="9"/>
        <w:rPr>
          <w:rFonts w:hint="eastAsia"/>
          <w:b/>
          <w:i w:val="0"/>
          <w:caps w:val="0"/>
          <w:color w:val="auto"/>
          <w:spacing w:val="0"/>
          <w:w w:val="100"/>
          <w:sz w:val="32"/>
          <w:highlight w:val="none"/>
        </w:rPr>
      </w:pPr>
      <w:bookmarkStart w:id="906" w:name="_Toc17788"/>
      <w:bookmarkStart w:id="907" w:name="_Toc29201"/>
      <w:bookmarkStart w:id="908" w:name="_Toc21536"/>
      <w:bookmarkStart w:id="909" w:name="_Toc18696"/>
      <w:bookmarkStart w:id="910" w:name="_Toc27541"/>
      <w:r>
        <w:rPr>
          <w:rFonts w:hint="eastAsia" w:ascii="宋体" w:hAnsi="宋体" w:eastAsia="宋体" w:cs="宋体"/>
          <w:b/>
          <w:i w:val="0"/>
          <w:caps w:val="0"/>
          <w:color w:val="auto"/>
          <w:spacing w:val="0"/>
          <w:w w:val="100"/>
          <w:sz w:val="32"/>
          <w:highlight w:val="none"/>
        </w:rPr>
        <w:t>专用合同条款</w:t>
      </w:r>
      <w:bookmarkEnd w:id="906"/>
      <w:bookmarkEnd w:id="907"/>
      <w:bookmarkEnd w:id="908"/>
      <w:bookmarkEnd w:id="909"/>
      <w:bookmarkEnd w:id="910"/>
    </w:p>
    <w:p w14:paraId="47B24523">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11" w:name="_Toc29248"/>
      <w:bookmarkStart w:id="912" w:name="_Toc28552"/>
      <w:bookmarkStart w:id="913" w:name="_Toc505871381"/>
      <w:bookmarkStart w:id="914" w:name="_Toc28082"/>
      <w:bookmarkStart w:id="915" w:name="_Toc19288"/>
      <w:bookmarkStart w:id="916" w:name="_Toc256000097"/>
      <w:r>
        <w:rPr>
          <w:rFonts w:hint="eastAsia" w:ascii="宋体" w:hAnsi="宋体" w:eastAsia="宋体" w:cs="宋体"/>
          <w:b/>
          <w:i w:val="0"/>
          <w:caps w:val="0"/>
          <w:color w:val="auto"/>
          <w:spacing w:val="0"/>
          <w:w w:val="100"/>
          <w:sz w:val="32"/>
          <w:highlight w:val="none"/>
        </w:rPr>
        <w:t>1. 一般约定</w:t>
      </w:r>
      <w:bookmarkEnd w:id="911"/>
      <w:bookmarkEnd w:id="912"/>
      <w:bookmarkEnd w:id="913"/>
      <w:bookmarkEnd w:id="914"/>
      <w:bookmarkEnd w:id="915"/>
      <w:bookmarkEnd w:id="916"/>
    </w:p>
    <w:p w14:paraId="66A92759">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1.1 词语定义</w:t>
      </w:r>
    </w:p>
    <w:p w14:paraId="44742E5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1.1.1合同</w:t>
      </w:r>
    </w:p>
    <w:p w14:paraId="4B9A9B0F">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1.1.1.10其他合同文件包括：</w:t>
      </w:r>
      <w:r>
        <w:rPr>
          <w:rFonts w:hint="eastAsia" w:ascii="宋体" w:hAnsi="宋体" w:eastAsia="宋体" w:cs="宋体"/>
          <w:b w:val="0"/>
          <w:i w:val="0"/>
          <w:caps w:val="0"/>
          <w:color w:val="auto"/>
          <w:spacing w:val="0"/>
          <w:w w:val="100"/>
          <w:sz w:val="24"/>
          <w:szCs w:val="24"/>
          <w:highlight w:val="none"/>
          <w:u w:val="single" w:color="000000"/>
        </w:rPr>
        <w:t xml:space="preserve">                    。                                  </w:t>
      </w:r>
    </w:p>
    <w:p w14:paraId="6768EB4A">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1.1.2 合同当事人及其他相关方</w:t>
      </w:r>
    </w:p>
    <w:p w14:paraId="2315C311">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1.1.2.4监理人：</w:t>
      </w:r>
    </w:p>
    <w:p w14:paraId="1A38764B">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名    称：</w:t>
      </w:r>
      <w:r>
        <w:rPr>
          <w:rFonts w:hint="eastAsia" w:ascii="宋体" w:hAnsi="宋体" w:eastAsia="宋体" w:cs="宋体"/>
          <w:b w:val="0"/>
          <w:i w:val="0"/>
          <w:caps w:val="0"/>
          <w:color w:val="auto"/>
          <w:spacing w:val="0"/>
          <w:w w:val="100"/>
          <w:sz w:val="24"/>
          <w:szCs w:val="24"/>
          <w:highlight w:val="none"/>
          <w:u w:val="single" w:color="000000"/>
        </w:rPr>
        <w:t xml:space="preserve">                </w:t>
      </w:r>
      <w:r>
        <w:rPr>
          <w:rFonts w:hint="eastAsia" w:ascii="宋体" w:hAnsi="宋体" w:eastAsia="宋体" w:cs="宋体"/>
          <w:b w:val="0"/>
          <w:i w:val="0"/>
          <w:caps w:val="0"/>
          <w:color w:val="auto"/>
          <w:spacing w:val="0"/>
          <w:w w:val="100"/>
          <w:sz w:val="24"/>
          <w:szCs w:val="24"/>
          <w:highlight w:val="none"/>
        </w:rPr>
        <w:t>；</w:t>
      </w:r>
    </w:p>
    <w:p w14:paraId="722230B2">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资质类别和等级：</w:t>
      </w:r>
      <w:r>
        <w:rPr>
          <w:rFonts w:hint="eastAsia" w:ascii="宋体" w:hAnsi="宋体" w:eastAsia="宋体" w:cs="宋体"/>
          <w:b w:val="0"/>
          <w:i w:val="0"/>
          <w:caps w:val="0"/>
          <w:color w:val="auto"/>
          <w:spacing w:val="0"/>
          <w:w w:val="100"/>
          <w:sz w:val="24"/>
          <w:szCs w:val="24"/>
          <w:highlight w:val="none"/>
          <w:u w:val="single" w:color="000000"/>
        </w:rPr>
        <w:t>               </w:t>
      </w:r>
      <w:r>
        <w:rPr>
          <w:rFonts w:hint="eastAsia" w:ascii="宋体" w:hAnsi="宋体" w:eastAsia="宋体" w:cs="宋体"/>
          <w:b w:val="0"/>
          <w:i w:val="0"/>
          <w:caps w:val="0"/>
          <w:color w:val="auto"/>
          <w:spacing w:val="0"/>
          <w:w w:val="100"/>
          <w:sz w:val="24"/>
          <w:szCs w:val="24"/>
          <w:highlight w:val="none"/>
        </w:rPr>
        <w:t>；</w:t>
      </w:r>
    </w:p>
    <w:p w14:paraId="02B80887">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联系电话：</w:t>
      </w:r>
      <w:r>
        <w:rPr>
          <w:rFonts w:hint="eastAsia" w:ascii="宋体" w:hAnsi="宋体" w:eastAsia="宋体" w:cs="宋体"/>
          <w:b w:val="0"/>
          <w:i w:val="0"/>
          <w:caps w:val="0"/>
          <w:color w:val="auto"/>
          <w:spacing w:val="0"/>
          <w:w w:val="100"/>
          <w:sz w:val="24"/>
          <w:szCs w:val="24"/>
          <w:highlight w:val="none"/>
          <w:u w:val="single" w:color="000000"/>
        </w:rPr>
        <w:t>                </w:t>
      </w:r>
      <w:r>
        <w:rPr>
          <w:rFonts w:hint="eastAsia" w:ascii="宋体" w:hAnsi="宋体" w:eastAsia="宋体" w:cs="宋体"/>
          <w:b w:val="0"/>
          <w:i w:val="0"/>
          <w:caps w:val="0"/>
          <w:color w:val="auto"/>
          <w:spacing w:val="0"/>
          <w:w w:val="100"/>
          <w:sz w:val="24"/>
          <w:szCs w:val="24"/>
          <w:highlight w:val="none"/>
        </w:rPr>
        <w:t>；</w:t>
      </w:r>
    </w:p>
    <w:p w14:paraId="638BF93E">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电子信箱：</w:t>
      </w:r>
      <w:r>
        <w:rPr>
          <w:rFonts w:hint="eastAsia" w:ascii="宋体" w:hAnsi="宋体" w:eastAsia="宋体" w:cs="宋体"/>
          <w:b w:val="0"/>
          <w:i w:val="0"/>
          <w:caps w:val="0"/>
          <w:color w:val="auto"/>
          <w:spacing w:val="0"/>
          <w:w w:val="100"/>
          <w:sz w:val="24"/>
          <w:szCs w:val="24"/>
          <w:highlight w:val="none"/>
          <w:u w:val="single" w:color="000000"/>
        </w:rPr>
        <w:t>                </w:t>
      </w:r>
      <w:r>
        <w:rPr>
          <w:rFonts w:hint="eastAsia" w:ascii="宋体" w:hAnsi="宋体" w:eastAsia="宋体" w:cs="宋体"/>
          <w:b w:val="0"/>
          <w:i w:val="0"/>
          <w:caps w:val="0"/>
          <w:color w:val="auto"/>
          <w:spacing w:val="0"/>
          <w:w w:val="100"/>
          <w:sz w:val="24"/>
          <w:szCs w:val="24"/>
          <w:highlight w:val="none"/>
        </w:rPr>
        <w:t>；</w:t>
      </w:r>
    </w:p>
    <w:p w14:paraId="3250D8D8">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通信地址：</w:t>
      </w:r>
      <w:r>
        <w:rPr>
          <w:rFonts w:hint="eastAsia" w:ascii="宋体" w:hAnsi="宋体" w:eastAsia="宋体" w:cs="宋体"/>
          <w:b w:val="0"/>
          <w:i w:val="0"/>
          <w:caps w:val="0"/>
          <w:color w:val="auto"/>
          <w:spacing w:val="0"/>
          <w:w w:val="100"/>
          <w:sz w:val="24"/>
          <w:szCs w:val="24"/>
          <w:highlight w:val="none"/>
          <w:u w:val="single" w:color="000000"/>
        </w:rPr>
        <w:t>                </w:t>
      </w:r>
      <w:r>
        <w:rPr>
          <w:rFonts w:hint="eastAsia" w:ascii="宋体" w:hAnsi="宋体" w:eastAsia="宋体" w:cs="宋体"/>
          <w:b w:val="0"/>
          <w:i w:val="0"/>
          <w:caps w:val="0"/>
          <w:color w:val="auto"/>
          <w:spacing w:val="0"/>
          <w:w w:val="100"/>
          <w:sz w:val="24"/>
          <w:szCs w:val="24"/>
          <w:highlight w:val="none"/>
        </w:rPr>
        <w:t>。</w:t>
      </w:r>
    </w:p>
    <w:p w14:paraId="29B419D1">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1.1.2.5 设计人：</w:t>
      </w:r>
    </w:p>
    <w:p w14:paraId="576E78C3">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名    称：</w:t>
      </w:r>
      <w:r>
        <w:rPr>
          <w:rFonts w:hint="eastAsia" w:ascii="宋体" w:hAnsi="宋体" w:eastAsia="宋体" w:cs="宋体"/>
          <w:b w:val="0"/>
          <w:i w:val="0"/>
          <w:caps w:val="0"/>
          <w:color w:val="auto"/>
          <w:spacing w:val="0"/>
          <w:w w:val="100"/>
          <w:sz w:val="24"/>
          <w:szCs w:val="24"/>
          <w:highlight w:val="none"/>
          <w:u w:val="single" w:color="000000"/>
        </w:rPr>
        <w:t xml:space="preserve">                 </w:t>
      </w:r>
      <w:r>
        <w:rPr>
          <w:rFonts w:hint="eastAsia" w:ascii="宋体" w:hAnsi="宋体" w:eastAsia="宋体" w:cs="宋体"/>
          <w:b w:val="0"/>
          <w:i w:val="0"/>
          <w:caps w:val="0"/>
          <w:color w:val="auto"/>
          <w:spacing w:val="0"/>
          <w:w w:val="100"/>
          <w:sz w:val="24"/>
          <w:szCs w:val="24"/>
          <w:highlight w:val="none"/>
        </w:rPr>
        <w:t>；</w:t>
      </w:r>
    </w:p>
    <w:p w14:paraId="45853CF6">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资质类别和等级：</w:t>
      </w:r>
      <w:r>
        <w:rPr>
          <w:rFonts w:hint="eastAsia" w:ascii="宋体" w:hAnsi="宋体" w:eastAsia="宋体" w:cs="宋体"/>
          <w:b w:val="0"/>
          <w:i w:val="0"/>
          <w:caps w:val="0"/>
          <w:color w:val="auto"/>
          <w:spacing w:val="0"/>
          <w:w w:val="100"/>
          <w:sz w:val="24"/>
          <w:szCs w:val="24"/>
          <w:highlight w:val="none"/>
          <w:u w:val="single" w:color="000000"/>
        </w:rPr>
        <w:t>               </w:t>
      </w:r>
      <w:r>
        <w:rPr>
          <w:rFonts w:hint="eastAsia" w:ascii="宋体" w:hAnsi="宋体" w:eastAsia="宋体" w:cs="宋体"/>
          <w:b w:val="0"/>
          <w:i w:val="0"/>
          <w:caps w:val="0"/>
          <w:color w:val="auto"/>
          <w:spacing w:val="0"/>
          <w:w w:val="100"/>
          <w:sz w:val="24"/>
          <w:szCs w:val="24"/>
          <w:highlight w:val="none"/>
        </w:rPr>
        <w:t>；</w:t>
      </w:r>
    </w:p>
    <w:p w14:paraId="6D72DF4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联系电话：</w:t>
      </w:r>
      <w:r>
        <w:rPr>
          <w:rFonts w:hint="eastAsia" w:ascii="宋体" w:hAnsi="宋体" w:eastAsia="宋体" w:cs="宋体"/>
          <w:b w:val="0"/>
          <w:i w:val="0"/>
          <w:caps w:val="0"/>
          <w:color w:val="auto"/>
          <w:spacing w:val="0"/>
          <w:w w:val="100"/>
          <w:sz w:val="24"/>
          <w:szCs w:val="24"/>
          <w:highlight w:val="none"/>
          <w:u w:val="single" w:color="000000"/>
        </w:rPr>
        <w:t>                 </w:t>
      </w:r>
      <w:r>
        <w:rPr>
          <w:rFonts w:hint="eastAsia" w:ascii="宋体" w:hAnsi="宋体" w:eastAsia="宋体" w:cs="宋体"/>
          <w:b w:val="0"/>
          <w:i w:val="0"/>
          <w:caps w:val="0"/>
          <w:color w:val="auto"/>
          <w:spacing w:val="0"/>
          <w:w w:val="100"/>
          <w:sz w:val="24"/>
          <w:szCs w:val="24"/>
          <w:highlight w:val="none"/>
        </w:rPr>
        <w:t>；</w:t>
      </w:r>
    </w:p>
    <w:p w14:paraId="1EE9A846">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电子信箱：</w:t>
      </w:r>
      <w:r>
        <w:rPr>
          <w:rFonts w:hint="eastAsia" w:ascii="宋体" w:hAnsi="宋体" w:eastAsia="宋体" w:cs="宋体"/>
          <w:b w:val="0"/>
          <w:i w:val="0"/>
          <w:caps w:val="0"/>
          <w:color w:val="auto"/>
          <w:spacing w:val="0"/>
          <w:w w:val="100"/>
          <w:sz w:val="24"/>
          <w:szCs w:val="24"/>
          <w:highlight w:val="none"/>
          <w:u w:val="single" w:color="000000"/>
        </w:rPr>
        <w:t xml:space="preserve">                    </w:t>
      </w:r>
      <w:r>
        <w:rPr>
          <w:rFonts w:hint="eastAsia" w:ascii="宋体" w:hAnsi="宋体" w:eastAsia="宋体" w:cs="宋体"/>
          <w:b w:val="0"/>
          <w:i w:val="0"/>
          <w:caps w:val="0"/>
          <w:color w:val="auto"/>
          <w:spacing w:val="0"/>
          <w:w w:val="100"/>
          <w:sz w:val="24"/>
          <w:szCs w:val="24"/>
          <w:highlight w:val="none"/>
        </w:rPr>
        <w:t>；</w:t>
      </w:r>
    </w:p>
    <w:p w14:paraId="4B29F35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通信地址：</w:t>
      </w:r>
      <w:r>
        <w:rPr>
          <w:rFonts w:hint="eastAsia" w:ascii="宋体" w:hAnsi="宋体" w:eastAsia="宋体" w:cs="宋体"/>
          <w:b w:val="0"/>
          <w:i w:val="0"/>
          <w:caps w:val="0"/>
          <w:color w:val="auto"/>
          <w:spacing w:val="0"/>
          <w:w w:val="100"/>
          <w:sz w:val="24"/>
          <w:szCs w:val="24"/>
          <w:highlight w:val="none"/>
          <w:u w:val="single" w:color="000000"/>
        </w:rPr>
        <w:t>                </w:t>
      </w:r>
      <w:r>
        <w:rPr>
          <w:rFonts w:hint="eastAsia" w:ascii="宋体" w:hAnsi="宋体" w:eastAsia="宋体" w:cs="宋体"/>
          <w:b w:val="0"/>
          <w:i w:val="0"/>
          <w:caps w:val="0"/>
          <w:color w:val="auto"/>
          <w:spacing w:val="0"/>
          <w:w w:val="100"/>
          <w:sz w:val="24"/>
          <w:szCs w:val="24"/>
          <w:highlight w:val="none"/>
        </w:rPr>
        <w:t>。</w:t>
      </w:r>
    </w:p>
    <w:p w14:paraId="330FC99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1.1.3 工程和设备</w:t>
      </w:r>
    </w:p>
    <w:p w14:paraId="18509922">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1.1.3.7 作为施工现场组成部分的其他场所包括：</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3C46AF7D">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1.1.3.9 永久占地包括：</w:t>
      </w:r>
      <w:r>
        <w:rPr>
          <w:rFonts w:hint="eastAsia" w:ascii="宋体" w:hAnsi="宋体" w:eastAsia="宋体" w:cs="宋体"/>
          <w:b w:val="0"/>
          <w:i w:val="0"/>
          <w:caps w:val="0"/>
          <w:color w:val="auto"/>
          <w:spacing w:val="0"/>
          <w:w w:val="100"/>
          <w:sz w:val="24"/>
          <w:szCs w:val="24"/>
          <w:highlight w:val="none"/>
          <w:u w:val="single" w:color="000000"/>
        </w:rPr>
        <w:t xml:space="preserve">                                      </w:t>
      </w:r>
      <w:r>
        <w:rPr>
          <w:rFonts w:hint="eastAsia" w:ascii="宋体" w:hAnsi="宋体" w:eastAsia="宋体" w:cs="宋体"/>
          <w:b w:val="0"/>
          <w:i w:val="0"/>
          <w:caps w:val="0"/>
          <w:color w:val="auto"/>
          <w:spacing w:val="0"/>
          <w:w w:val="100"/>
          <w:kern w:val="0"/>
          <w:sz w:val="24"/>
          <w:szCs w:val="24"/>
          <w:highlight w:val="none"/>
        </w:rPr>
        <w:t>。</w:t>
      </w:r>
    </w:p>
    <w:p w14:paraId="294817E2">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1.1.3.10 临时占地包括：</w:t>
      </w:r>
      <w:r>
        <w:rPr>
          <w:rFonts w:hint="eastAsia" w:ascii="宋体" w:hAnsi="宋体" w:eastAsia="宋体" w:cs="宋体"/>
          <w:b w:val="0"/>
          <w:i w:val="0"/>
          <w:caps w:val="0"/>
          <w:color w:val="auto"/>
          <w:spacing w:val="0"/>
          <w:w w:val="100"/>
          <w:sz w:val="24"/>
          <w:szCs w:val="24"/>
          <w:highlight w:val="none"/>
          <w:u w:val="single" w:color="000000"/>
        </w:rPr>
        <w:t xml:space="preserve">                                      </w:t>
      </w:r>
      <w:r>
        <w:rPr>
          <w:rFonts w:hint="eastAsia" w:ascii="宋体" w:hAnsi="宋体" w:eastAsia="宋体" w:cs="宋体"/>
          <w:b w:val="0"/>
          <w:i w:val="0"/>
          <w:caps w:val="0"/>
          <w:color w:val="auto"/>
          <w:spacing w:val="0"/>
          <w:w w:val="100"/>
          <w:kern w:val="0"/>
          <w:sz w:val="24"/>
          <w:szCs w:val="24"/>
          <w:highlight w:val="none"/>
        </w:rPr>
        <w:t>。</w:t>
      </w:r>
    </w:p>
    <w:p w14:paraId="20A45E27">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 xml:space="preserve">1.3法律 </w:t>
      </w:r>
    </w:p>
    <w:p w14:paraId="2C766469">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适用于合同的其他规范性文件：</w:t>
      </w:r>
      <w:r>
        <w:rPr>
          <w:rFonts w:hint="eastAsia" w:ascii="宋体" w:hAnsi="宋体" w:eastAsia="宋体" w:cs="宋体"/>
          <w:b w:val="0"/>
          <w:i w:val="0"/>
          <w:caps w:val="0"/>
          <w:color w:val="auto"/>
          <w:spacing w:val="0"/>
          <w:w w:val="100"/>
          <w:sz w:val="24"/>
          <w:szCs w:val="24"/>
          <w:highlight w:val="none"/>
          <w:u w:val="single" w:color="000000"/>
        </w:rPr>
        <w:t xml:space="preserve">               </w:t>
      </w:r>
      <w:r>
        <w:rPr>
          <w:rFonts w:hint="eastAsia" w:ascii="宋体" w:hAnsi="宋体" w:eastAsia="宋体" w:cs="宋体"/>
          <w:b w:val="0"/>
          <w:i w:val="0"/>
          <w:caps w:val="0"/>
          <w:color w:val="auto"/>
          <w:spacing w:val="0"/>
          <w:w w:val="100"/>
          <w:sz w:val="24"/>
          <w:szCs w:val="24"/>
          <w:highlight w:val="none"/>
        </w:rPr>
        <w:t>。</w:t>
      </w:r>
    </w:p>
    <w:p w14:paraId="1E49B75E">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1.4 标准和规范</w:t>
      </w:r>
    </w:p>
    <w:p w14:paraId="6E124AB6">
      <w:pPr>
        <w:pStyle w:val="66"/>
        <w:snapToGrid w:val="0"/>
        <w:spacing w:before="0" w:beforeAutospacing="0" w:after="0" w:afterAutospacing="0" w:line="360" w:lineRule="auto"/>
        <w:ind w:firstLine="42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1.4.1适用于工程的标准规范包括：</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 xml:space="preserve"> 。</w:t>
      </w:r>
    </w:p>
    <w:p w14:paraId="0786CECB">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1.4.2 发包人提供国外标准、规范的名称：</w:t>
      </w:r>
      <w:r>
        <w:rPr>
          <w:rFonts w:hint="eastAsia" w:ascii="宋体" w:hAnsi="宋体" w:eastAsia="宋体" w:cs="宋体"/>
          <w:b w:val="0"/>
          <w:i w:val="0"/>
          <w:caps w:val="0"/>
          <w:color w:val="auto"/>
          <w:spacing w:val="0"/>
          <w:w w:val="100"/>
          <w:kern w:val="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w:t>
      </w:r>
    </w:p>
    <w:p w14:paraId="0D0FCFA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发包人提供国外标准、规范的份数：</w:t>
      </w:r>
      <w:r>
        <w:rPr>
          <w:rFonts w:hint="eastAsia" w:ascii="宋体" w:hAnsi="宋体" w:eastAsia="宋体" w:cs="宋体"/>
          <w:b w:val="0"/>
          <w:i w:val="0"/>
          <w:caps w:val="0"/>
          <w:color w:val="auto"/>
          <w:spacing w:val="0"/>
          <w:w w:val="100"/>
          <w:kern w:val="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w:t>
      </w:r>
    </w:p>
    <w:p w14:paraId="67111685">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发包人提供国外标准、规范的名称：</w:t>
      </w:r>
      <w:r>
        <w:rPr>
          <w:rFonts w:hint="eastAsia" w:ascii="宋体" w:hAnsi="宋体" w:eastAsia="宋体" w:cs="宋体"/>
          <w:b w:val="0"/>
          <w:i w:val="0"/>
          <w:caps w:val="0"/>
          <w:color w:val="auto"/>
          <w:spacing w:val="0"/>
          <w:w w:val="100"/>
          <w:kern w:val="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w:t>
      </w:r>
    </w:p>
    <w:p w14:paraId="7575139F">
      <w:pPr>
        <w:pStyle w:val="66"/>
        <w:snapToGrid w:val="0"/>
        <w:spacing w:before="0" w:beforeAutospacing="0" w:after="0" w:afterAutospacing="0" w:line="360" w:lineRule="auto"/>
        <w:ind w:firstLine="42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1.4.3发包人对工程的技术标准和功能要求的特殊要求：</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581DEE37">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1.5 合同文件的优先顺序</w:t>
      </w:r>
    </w:p>
    <w:p w14:paraId="13AF75FB">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合同文件组成及优先顺序为：</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23EEE613">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1.6 图纸和承包人文件</w:t>
      </w:r>
      <w:r>
        <w:rPr>
          <w:rFonts w:hint="eastAsia" w:ascii="宋体" w:hAnsi="宋体" w:eastAsia="宋体" w:cs="宋体"/>
          <w:b/>
          <w:i w:val="0"/>
          <w:caps w:val="0"/>
          <w:color w:val="auto"/>
          <w:spacing w:val="0"/>
          <w:w w:val="100"/>
          <w:sz w:val="24"/>
          <w:highlight w:val="none"/>
        </w:rPr>
        <w:tab/>
      </w:r>
    </w:p>
    <w:p w14:paraId="4AEBF65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1.6.1 图纸的提供</w:t>
      </w:r>
    </w:p>
    <w:p w14:paraId="2E9E202D">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发包人向承包人提供图纸的期限：</w:t>
      </w:r>
      <w:r>
        <w:rPr>
          <w:rFonts w:hint="eastAsia" w:ascii="宋体" w:hAnsi="宋体" w:eastAsia="宋体" w:cs="宋体"/>
          <w:b w:val="0"/>
          <w:i w:val="0"/>
          <w:caps w:val="0"/>
          <w:color w:val="auto"/>
          <w:spacing w:val="0"/>
          <w:w w:val="100"/>
          <w:sz w:val="21"/>
          <w:szCs w:val="21"/>
          <w:highlight w:val="none"/>
          <w:u w:val="single" w:color="000000"/>
        </w:rPr>
        <w:t>                     </w:t>
      </w:r>
      <w:r>
        <w:rPr>
          <w:rFonts w:hint="eastAsia" w:ascii="宋体" w:hAnsi="宋体" w:eastAsia="宋体" w:cs="宋体"/>
          <w:b w:val="0"/>
          <w:i w:val="0"/>
          <w:caps w:val="0"/>
          <w:color w:val="auto"/>
          <w:spacing w:val="0"/>
          <w:w w:val="100"/>
          <w:sz w:val="21"/>
          <w:szCs w:val="21"/>
          <w:highlight w:val="none"/>
        </w:rPr>
        <w:t>；</w:t>
      </w:r>
    </w:p>
    <w:p w14:paraId="2A829DE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发包人向承包人提供图纸的数量：</w:t>
      </w:r>
      <w:r>
        <w:rPr>
          <w:rFonts w:hint="eastAsia" w:ascii="宋体" w:hAnsi="宋体" w:eastAsia="宋体" w:cs="宋体"/>
          <w:b w:val="0"/>
          <w:i w:val="0"/>
          <w:caps w:val="0"/>
          <w:color w:val="auto"/>
          <w:spacing w:val="0"/>
          <w:w w:val="100"/>
          <w:sz w:val="21"/>
          <w:szCs w:val="21"/>
          <w:highlight w:val="none"/>
          <w:u w:val="single" w:color="000000"/>
        </w:rPr>
        <w:t>                     </w:t>
      </w:r>
      <w:r>
        <w:rPr>
          <w:rFonts w:hint="eastAsia" w:ascii="宋体" w:hAnsi="宋体" w:eastAsia="宋体" w:cs="宋体"/>
          <w:b w:val="0"/>
          <w:i w:val="0"/>
          <w:caps w:val="0"/>
          <w:color w:val="auto"/>
          <w:spacing w:val="0"/>
          <w:w w:val="100"/>
          <w:sz w:val="21"/>
          <w:szCs w:val="21"/>
          <w:highlight w:val="none"/>
        </w:rPr>
        <w:t>；</w:t>
      </w:r>
    </w:p>
    <w:p w14:paraId="6B6AED8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发包人向承包人提供图纸的内容：</w:t>
      </w:r>
      <w:r>
        <w:rPr>
          <w:rFonts w:hint="eastAsia" w:ascii="宋体" w:hAnsi="宋体" w:eastAsia="宋体" w:cs="宋体"/>
          <w:b w:val="0"/>
          <w:i w:val="0"/>
          <w:caps w:val="0"/>
          <w:color w:val="auto"/>
          <w:spacing w:val="0"/>
          <w:w w:val="100"/>
          <w:sz w:val="21"/>
          <w:szCs w:val="21"/>
          <w:highlight w:val="none"/>
          <w:u w:val="single" w:color="000000"/>
        </w:rPr>
        <w:t>                     </w:t>
      </w:r>
      <w:r>
        <w:rPr>
          <w:rFonts w:hint="eastAsia" w:ascii="宋体" w:hAnsi="宋体" w:eastAsia="宋体" w:cs="宋体"/>
          <w:b w:val="0"/>
          <w:i w:val="0"/>
          <w:caps w:val="0"/>
          <w:color w:val="auto"/>
          <w:spacing w:val="0"/>
          <w:w w:val="100"/>
          <w:sz w:val="21"/>
          <w:szCs w:val="21"/>
          <w:highlight w:val="none"/>
        </w:rPr>
        <w:t>。</w:t>
      </w:r>
    </w:p>
    <w:p w14:paraId="3BCC02E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1.6.4 承包人文件</w:t>
      </w:r>
    </w:p>
    <w:p w14:paraId="05E33742">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需要由承包人提供的文件，包括：</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3A669DE4">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承包人提供的文件的期限为：</w:t>
      </w:r>
      <w:r>
        <w:rPr>
          <w:rFonts w:hint="eastAsia" w:ascii="宋体" w:hAnsi="宋体" w:eastAsia="宋体" w:cs="宋体"/>
          <w:b w:val="0"/>
          <w:i w:val="0"/>
          <w:caps w:val="0"/>
          <w:color w:val="auto"/>
          <w:spacing w:val="0"/>
          <w:w w:val="100"/>
          <w:sz w:val="21"/>
          <w:szCs w:val="21"/>
          <w:highlight w:val="none"/>
          <w:u w:val="single" w:color="000000"/>
        </w:rPr>
        <w:t>                      </w:t>
      </w:r>
      <w:r>
        <w:rPr>
          <w:rFonts w:hint="eastAsia" w:ascii="宋体" w:hAnsi="宋体" w:eastAsia="宋体" w:cs="宋体"/>
          <w:b w:val="0"/>
          <w:i w:val="0"/>
          <w:caps w:val="0"/>
          <w:color w:val="auto"/>
          <w:spacing w:val="0"/>
          <w:w w:val="100"/>
          <w:sz w:val="21"/>
          <w:szCs w:val="21"/>
          <w:highlight w:val="none"/>
        </w:rPr>
        <w:t>；</w:t>
      </w:r>
    </w:p>
    <w:p w14:paraId="40D628B7">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承包人提供的文件的数量为：</w:t>
      </w:r>
      <w:r>
        <w:rPr>
          <w:rFonts w:hint="eastAsia" w:ascii="宋体" w:hAnsi="宋体" w:eastAsia="宋体" w:cs="宋体"/>
          <w:b w:val="0"/>
          <w:i w:val="0"/>
          <w:caps w:val="0"/>
          <w:color w:val="auto"/>
          <w:spacing w:val="0"/>
          <w:w w:val="100"/>
          <w:sz w:val="21"/>
          <w:szCs w:val="21"/>
          <w:highlight w:val="none"/>
          <w:u w:val="single" w:color="000000"/>
        </w:rPr>
        <w:t>                           </w:t>
      </w:r>
      <w:r>
        <w:rPr>
          <w:rFonts w:hint="eastAsia" w:ascii="宋体" w:hAnsi="宋体" w:eastAsia="宋体" w:cs="宋体"/>
          <w:b w:val="0"/>
          <w:i w:val="0"/>
          <w:caps w:val="0"/>
          <w:color w:val="auto"/>
          <w:spacing w:val="0"/>
          <w:w w:val="100"/>
          <w:sz w:val="21"/>
          <w:szCs w:val="21"/>
          <w:highlight w:val="none"/>
        </w:rPr>
        <w:t>；</w:t>
      </w:r>
    </w:p>
    <w:p w14:paraId="54424063">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承包人提供的文件的形式为：</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13AB18A0">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发包人审批承包人文件的期限：</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sz w:val="21"/>
          <w:szCs w:val="21"/>
          <w:highlight w:val="none"/>
        </w:rPr>
        <w:t>。</w:t>
      </w:r>
    </w:p>
    <w:p w14:paraId="22DEFF5B">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1.6.5 现场图纸准备</w:t>
      </w:r>
    </w:p>
    <w:p w14:paraId="34059252">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关于现场图纸准备的约定：</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sz w:val="21"/>
          <w:szCs w:val="21"/>
          <w:highlight w:val="none"/>
        </w:rPr>
        <w:t>。</w:t>
      </w:r>
    </w:p>
    <w:p w14:paraId="46674719">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1.7 联络</w:t>
      </w:r>
    </w:p>
    <w:p w14:paraId="27911ED3">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1.7.1发包人和承包人应当在</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天内将与合同有关的通知、批准、证明、证书、指示、指令、要求、请求、同意、意见、确定和决定等书面函件送达对方当事人。</w:t>
      </w:r>
    </w:p>
    <w:p w14:paraId="14D2ECB0">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1.7.2 发包人接收文件的地点：</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kern w:val="0"/>
          <w:sz w:val="21"/>
          <w:szCs w:val="21"/>
          <w:highlight w:val="none"/>
        </w:rPr>
        <w:t>；</w:t>
      </w:r>
    </w:p>
    <w:p w14:paraId="72C3527F">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发包人指定的接收人为：</w:t>
      </w:r>
      <w:r>
        <w:rPr>
          <w:rFonts w:hint="eastAsia" w:ascii="宋体" w:hAnsi="宋体" w:eastAsia="宋体" w:cs="宋体"/>
          <w:b w:val="0"/>
          <w:i w:val="0"/>
          <w:caps w:val="0"/>
          <w:color w:val="auto"/>
          <w:spacing w:val="0"/>
          <w:w w:val="100"/>
          <w:sz w:val="21"/>
          <w:szCs w:val="21"/>
          <w:highlight w:val="none"/>
          <w:u w:val="single" w:color="000000"/>
        </w:rPr>
        <w:t>                              </w:t>
      </w:r>
      <w:r>
        <w:rPr>
          <w:rFonts w:hint="eastAsia" w:ascii="宋体" w:hAnsi="宋体" w:eastAsia="宋体" w:cs="宋体"/>
          <w:b w:val="0"/>
          <w:i w:val="0"/>
          <w:caps w:val="0"/>
          <w:color w:val="auto"/>
          <w:spacing w:val="0"/>
          <w:w w:val="100"/>
          <w:kern w:val="0"/>
          <w:sz w:val="21"/>
          <w:szCs w:val="21"/>
          <w:highlight w:val="none"/>
        </w:rPr>
        <w:t>。</w:t>
      </w:r>
    </w:p>
    <w:p w14:paraId="6523E0F8">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承包人接收文件的地点：</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kern w:val="0"/>
          <w:sz w:val="21"/>
          <w:szCs w:val="21"/>
          <w:highlight w:val="none"/>
        </w:rPr>
        <w:t>；</w:t>
      </w:r>
    </w:p>
    <w:p w14:paraId="70C8CAF9">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承包人指定的接收人为：</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kern w:val="0"/>
          <w:sz w:val="21"/>
          <w:szCs w:val="21"/>
          <w:highlight w:val="none"/>
        </w:rPr>
        <w:t>。</w:t>
      </w:r>
    </w:p>
    <w:p w14:paraId="78C97817">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监理人接收文件的地点：</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kern w:val="0"/>
          <w:sz w:val="21"/>
          <w:szCs w:val="21"/>
          <w:highlight w:val="none"/>
        </w:rPr>
        <w:t>；</w:t>
      </w:r>
    </w:p>
    <w:p w14:paraId="597C6644">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监理人指定的接收人为：</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kern w:val="0"/>
          <w:sz w:val="21"/>
          <w:szCs w:val="21"/>
          <w:highlight w:val="none"/>
        </w:rPr>
        <w:t>。</w:t>
      </w:r>
    </w:p>
    <w:p w14:paraId="5F93EB13">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1.10 交通运输</w:t>
      </w:r>
    </w:p>
    <w:p w14:paraId="3643013B">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1.10.1 出入现场的权利</w:t>
      </w:r>
    </w:p>
    <w:p w14:paraId="7FA489B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关于出入现场的权利的约定：</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3DBBB8E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1.10.3 场内交通</w:t>
      </w:r>
    </w:p>
    <w:p w14:paraId="7E3DBE4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关于场外交通和场内交通的边界的约定：</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4864028C">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关于发包人向承包人免费提供满足工程施工需要的场内道路和交通设施的约定：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 xml:space="preserve">。  </w:t>
      </w:r>
    </w:p>
    <w:p w14:paraId="7B798A4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1.10.4超大件和超重件的运输</w:t>
      </w:r>
    </w:p>
    <w:p w14:paraId="49A81AE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运输超大件或超重件所需的道路和桥梁临时加固改造费用和其他有关费用由</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承担。</w:t>
      </w:r>
    </w:p>
    <w:p w14:paraId="2ADE9D13">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1.11 知识产权</w:t>
      </w:r>
    </w:p>
    <w:p w14:paraId="5CDB3FD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1.11.1关于发包人提供给承包人的图纸、发包人为实施工程自行编制或委托编制的技术规范以及反映发包人关于合同要求或其他类似性质的文件的著作权的归属：</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0E3A159">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关于发包人提供的上述文件的使用限制的要求：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B0EDF3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1.11.2 关于承包人为实施工程所编制文件的著作权的归属：</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D04FE4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关于承包人提供的上述文件的使用限制的要求：</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62B10075">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1.11.4 承包人在施工过程中所采用的专利、专有技术、技术秘密的使用费的承担方式：</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w:t>
      </w:r>
    </w:p>
    <w:p w14:paraId="1871CEB6">
      <w:pPr>
        <w:pStyle w:val="66"/>
        <w:snapToGrid w:val="0"/>
        <w:spacing w:before="0" w:beforeAutospacing="0" w:after="12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1.13工程量清单错误的修正</w:t>
      </w:r>
    </w:p>
    <w:p w14:paraId="26CFB335">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出现工程量清单错误时，是否调整合同价格：</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kern w:val="0"/>
          <w:sz w:val="21"/>
          <w:szCs w:val="21"/>
          <w:highlight w:val="none"/>
        </w:rPr>
        <w:t>。</w:t>
      </w:r>
    </w:p>
    <w:p w14:paraId="5790289F">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允许调整合同价格的工程量偏差范围：</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w:t>
      </w:r>
    </w:p>
    <w:p w14:paraId="59DD3E30">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17" w:name="_Toc21062"/>
      <w:bookmarkStart w:id="918" w:name="_Toc27121"/>
      <w:bookmarkStart w:id="919" w:name="_Toc3299"/>
      <w:bookmarkStart w:id="920" w:name="_Toc20796"/>
      <w:bookmarkStart w:id="921" w:name="_Toc505871382"/>
      <w:bookmarkStart w:id="922" w:name="_Toc256000098"/>
      <w:r>
        <w:rPr>
          <w:rFonts w:hint="eastAsia" w:ascii="宋体" w:hAnsi="宋体" w:eastAsia="宋体" w:cs="宋体"/>
          <w:b/>
          <w:i w:val="0"/>
          <w:caps w:val="0"/>
          <w:color w:val="auto"/>
          <w:spacing w:val="0"/>
          <w:w w:val="100"/>
          <w:sz w:val="32"/>
          <w:highlight w:val="none"/>
        </w:rPr>
        <w:t>2. 发包人</w:t>
      </w:r>
      <w:bookmarkEnd w:id="917"/>
      <w:bookmarkEnd w:id="918"/>
      <w:bookmarkEnd w:id="919"/>
      <w:bookmarkEnd w:id="920"/>
      <w:bookmarkEnd w:id="921"/>
      <w:bookmarkEnd w:id="922"/>
    </w:p>
    <w:p w14:paraId="7DCEA28E">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2.2 发包人代表</w:t>
      </w:r>
    </w:p>
    <w:p w14:paraId="723226E1">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发包人代表：</w:t>
      </w:r>
    </w:p>
    <w:p w14:paraId="56A14BB0">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姓    名：</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sz w:val="21"/>
          <w:szCs w:val="21"/>
          <w:highlight w:val="none"/>
        </w:rPr>
        <w:t>；</w:t>
      </w:r>
    </w:p>
    <w:p w14:paraId="02A3809E">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身份证号：</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sz w:val="21"/>
          <w:szCs w:val="21"/>
          <w:highlight w:val="none"/>
        </w:rPr>
        <w:t>；</w:t>
      </w:r>
    </w:p>
    <w:p w14:paraId="4581C2C4">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职    务：</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42779E87">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联系电话：</w:t>
      </w:r>
      <w:r>
        <w:rPr>
          <w:rFonts w:hint="eastAsia" w:ascii="宋体" w:hAnsi="宋体" w:eastAsia="宋体" w:cs="宋体"/>
          <w:b w:val="0"/>
          <w:i w:val="0"/>
          <w:caps w:val="0"/>
          <w:color w:val="auto"/>
          <w:spacing w:val="0"/>
          <w:w w:val="100"/>
          <w:sz w:val="21"/>
          <w:szCs w:val="21"/>
          <w:highlight w:val="none"/>
          <w:u w:val="single" w:color="000000"/>
        </w:rPr>
        <w:t>     </w:t>
      </w:r>
      <w:r>
        <w:rPr>
          <w:rFonts w:hint="eastAsia" w:ascii="宋体" w:hAnsi="宋体" w:eastAsia="宋体" w:cs="宋体"/>
          <w:b w:val="0"/>
          <w:i w:val="0"/>
          <w:caps w:val="0"/>
          <w:color w:val="auto"/>
          <w:spacing w:val="0"/>
          <w:w w:val="100"/>
          <w:sz w:val="21"/>
          <w:szCs w:val="21"/>
          <w:highlight w:val="none"/>
        </w:rPr>
        <w:t>；</w:t>
      </w:r>
    </w:p>
    <w:p w14:paraId="1C4710B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电子信箱：</w:t>
      </w:r>
      <w:r>
        <w:rPr>
          <w:rFonts w:hint="eastAsia" w:ascii="宋体" w:hAnsi="宋体" w:eastAsia="宋体" w:cs="宋体"/>
          <w:b w:val="0"/>
          <w:i w:val="0"/>
          <w:caps w:val="0"/>
          <w:color w:val="auto"/>
          <w:spacing w:val="0"/>
          <w:w w:val="100"/>
          <w:sz w:val="21"/>
          <w:szCs w:val="21"/>
          <w:highlight w:val="none"/>
          <w:u w:val="single" w:color="000000"/>
        </w:rPr>
        <w:t>     </w:t>
      </w:r>
      <w:r>
        <w:rPr>
          <w:rFonts w:hint="eastAsia" w:ascii="宋体" w:hAnsi="宋体" w:eastAsia="宋体" w:cs="宋体"/>
          <w:b w:val="0"/>
          <w:i w:val="0"/>
          <w:caps w:val="0"/>
          <w:color w:val="auto"/>
          <w:spacing w:val="0"/>
          <w:w w:val="100"/>
          <w:sz w:val="21"/>
          <w:szCs w:val="21"/>
          <w:highlight w:val="none"/>
        </w:rPr>
        <w:t>；</w:t>
      </w:r>
    </w:p>
    <w:p w14:paraId="5F8C772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通信地址：</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04DBCBB9">
      <w:pPr>
        <w:pStyle w:val="66"/>
        <w:snapToGrid w:val="0"/>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发包人对发包人代表的授权范围如下：</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2890F8A9">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2.4 施工现场、施工条件和基础资料的提供</w:t>
      </w:r>
    </w:p>
    <w:p w14:paraId="15929338">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2.4.1 提供施工现场</w:t>
      </w:r>
    </w:p>
    <w:p w14:paraId="418AAD7C">
      <w:pPr>
        <w:pStyle w:val="66"/>
        <w:snapToGrid w:val="0"/>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关于发包人移交施工现场的期限要求：</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0D2581C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2.4.2 提供施工条件</w:t>
      </w:r>
    </w:p>
    <w:p w14:paraId="56D3CD92">
      <w:pPr>
        <w:pStyle w:val="66"/>
        <w:snapToGrid w:val="0"/>
        <w:spacing w:before="0" w:beforeAutospacing="0" w:after="0" w:afterAutospacing="0" w:line="360" w:lineRule="auto"/>
        <w:jc w:val="both"/>
        <w:textAlignment w:val="baseline"/>
        <w:rPr>
          <w:rFonts w:hint="eastAsia" w:ascii="宋体" w:hAnsi="宋体" w:eastAsia="宋体" w:cs="宋体"/>
          <w:b/>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关于发包人应负责提供施工所需要的条件，包括</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3E339B6">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2.5 资金来源证明及支付担保</w:t>
      </w:r>
    </w:p>
    <w:p w14:paraId="256819A3">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发包人提供资金来源证明的期限要求：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6F6BFDD">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发包人是否提供支付担保：</w:t>
      </w:r>
      <w:r>
        <w:rPr>
          <w:rFonts w:hint="eastAsia" w:ascii="宋体" w:hAnsi="宋体" w:eastAsia="宋体" w:cs="宋体"/>
          <w:b w:val="0"/>
          <w:i w:val="0"/>
          <w:caps w:val="0"/>
          <w:color w:val="auto"/>
          <w:spacing w:val="0"/>
          <w:w w:val="100"/>
          <w:sz w:val="21"/>
          <w:szCs w:val="21"/>
          <w:highlight w:val="none"/>
          <w:u w:val="single" w:color="000000"/>
        </w:rPr>
        <w:t xml:space="preserve">                                       </w:t>
      </w:r>
      <w:r>
        <w:rPr>
          <w:rFonts w:hint="eastAsia" w:ascii="宋体" w:hAnsi="宋体" w:eastAsia="宋体" w:cs="宋体"/>
          <w:b w:val="0"/>
          <w:i w:val="0"/>
          <w:caps w:val="0"/>
          <w:color w:val="auto"/>
          <w:spacing w:val="0"/>
          <w:w w:val="100"/>
          <w:sz w:val="21"/>
          <w:szCs w:val="21"/>
          <w:highlight w:val="none"/>
        </w:rPr>
        <w:t>。</w:t>
      </w:r>
    </w:p>
    <w:p w14:paraId="63C5682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sz w:val="21"/>
          <w:szCs w:val="21"/>
          <w:highlight w:val="none"/>
        </w:rPr>
        <w:t>发包人提供支付担保的形式：</w:t>
      </w:r>
      <w:r>
        <w:rPr>
          <w:rFonts w:hint="eastAsia" w:ascii="宋体" w:hAnsi="宋体" w:eastAsia="宋体" w:cs="宋体"/>
          <w:b w:val="0"/>
          <w:i w:val="0"/>
          <w:caps w:val="0"/>
          <w:color w:val="auto"/>
          <w:spacing w:val="0"/>
          <w:w w:val="100"/>
          <w:sz w:val="21"/>
          <w:szCs w:val="21"/>
          <w:highlight w:val="none"/>
          <w:u w:val="single" w:color="000000"/>
        </w:rPr>
        <w:t>                                       </w:t>
      </w:r>
      <w:r>
        <w:rPr>
          <w:rFonts w:hint="eastAsia" w:ascii="宋体" w:hAnsi="宋体" w:eastAsia="宋体" w:cs="宋体"/>
          <w:b w:val="0"/>
          <w:i w:val="0"/>
          <w:caps w:val="0"/>
          <w:color w:val="auto"/>
          <w:spacing w:val="0"/>
          <w:w w:val="100"/>
          <w:sz w:val="21"/>
          <w:szCs w:val="21"/>
          <w:highlight w:val="none"/>
        </w:rPr>
        <w:t>。</w:t>
      </w:r>
    </w:p>
    <w:p w14:paraId="0D6B9919">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23" w:name="_Toc505871383"/>
      <w:bookmarkStart w:id="924" w:name="_Toc28452"/>
      <w:bookmarkStart w:id="925" w:name="_Toc1724"/>
      <w:bookmarkStart w:id="926" w:name="_Toc256000099"/>
      <w:bookmarkStart w:id="927" w:name="_Toc22725"/>
      <w:bookmarkStart w:id="928" w:name="_Toc5557"/>
      <w:r>
        <w:rPr>
          <w:rFonts w:hint="eastAsia" w:ascii="宋体" w:hAnsi="宋体" w:eastAsia="宋体" w:cs="宋体"/>
          <w:b/>
          <w:i w:val="0"/>
          <w:caps w:val="0"/>
          <w:color w:val="auto"/>
          <w:spacing w:val="0"/>
          <w:w w:val="100"/>
          <w:sz w:val="32"/>
          <w:highlight w:val="none"/>
        </w:rPr>
        <w:t>3. 承包人</w:t>
      </w:r>
      <w:bookmarkEnd w:id="923"/>
      <w:bookmarkEnd w:id="924"/>
      <w:bookmarkEnd w:id="925"/>
      <w:bookmarkEnd w:id="926"/>
      <w:bookmarkEnd w:id="927"/>
      <w:bookmarkEnd w:id="928"/>
    </w:p>
    <w:p w14:paraId="7D0ADAE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3.1 承包人的一般义务</w:t>
      </w:r>
    </w:p>
    <w:p w14:paraId="104F0B20">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（9）</w:t>
      </w:r>
      <w:r>
        <w:rPr>
          <w:rFonts w:hint="eastAsia" w:ascii="宋体" w:hAnsi="宋体" w:eastAsia="宋体" w:cs="宋体"/>
          <w:b w:val="0"/>
          <w:i w:val="0"/>
          <w:caps w:val="0"/>
          <w:color w:val="auto"/>
          <w:spacing w:val="0"/>
          <w:w w:val="100"/>
          <w:sz w:val="21"/>
          <w:szCs w:val="21"/>
          <w:highlight w:val="none"/>
        </w:rPr>
        <w:t>承包人提交的竣工资料的内容：</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8D316B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承包人需要提交的竣工资料套数：</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45E7A0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承包人提交的竣工资料的费用承担：</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60B1FDF">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承包人提交的竣工资料移交时间：</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2F5D8B0">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承包人提交的竣工资料形式要求：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468FB2E">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（10）承包人应履行的其他义务：</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r>
        <w:rPr>
          <w:rFonts w:hint="eastAsia" w:ascii="宋体" w:hAnsi="宋体" w:eastAsia="宋体" w:cs="宋体"/>
          <w:b w:val="0"/>
          <w:i w:val="0"/>
          <w:caps w:val="0"/>
          <w:color w:val="auto"/>
          <w:spacing w:val="0"/>
          <w:w w:val="100"/>
          <w:kern w:val="0"/>
          <w:sz w:val="21"/>
          <w:szCs w:val="21"/>
          <w:highlight w:val="none"/>
        </w:rPr>
        <w:t xml:space="preserve">                                              </w:t>
      </w:r>
    </w:p>
    <w:p w14:paraId="7CC05151">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3.2 项目经理</w:t>
      </w:r>
    </w:p>
    <w:p w14:paraId="2F9538BF">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 xml:space="preserve">3.2.1 </w:t>
      </w:r>
      <w:r>
        <w:rPr>
          <w:rFonts w:hint="eastAsia" w:ascii="宋体" w:hAnsi="宋体" w:eastAsia="宋体" w:cs="宋体"/>
          <w:b w:val="0"/>
          <w:i w:val="0"/>
          <w:caps w:val="0"/>
          <w:color w:val="auto"/>
          <w:spacing w:val="0"/>
          <w:w w:val="100"/>
          <w:sz w:val="21"/>
          <w:szCs w:val="21"/>
          <w:highlight w:val="none"/>
        </w:rPr>
        <w:t>项目经理：</w:t>
      </w:r>
    </w:p>
    <w:p w14:paraId="2F2E6852">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姓    名：</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sz w:val="21"/>
          <w:szCs w:val="21"/>
          <w:highlight w:val="none"/>
        </w:rPr>
        <w:t>；</w:t>
      </w:r>
    </w:p>
    <w:p w14:paraId="761226F3">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身份证号：</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sz w:val="21"/>
          <w:szCs w:val="21"/>
          <w:highlight w:val="none"/>
        </w:rPr>
        <w:t>；</w:t>
      </w:r>
    </w:p>
    <w:p w14:paraId="7501408E">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建造师执业资格等级：</w:t>
      </w:r>
      <w:r>
        <w:rPr>
          <w:rFonts w:hint="eastAsia" w:ascii="宋体" w:hAnsi="宋体" w:eastAsia="宋体" w:cs="宋体"/>
          <w:b w:val="0"/>
          <w:i w:val="0"/>
          <w:caps w:val="0"/>
          <w:color w:val="auto"/>
          <w:spacing w:val="0"/>
          <w:w w:val="100"/>
          <w:sz w:val="21"/>
          <w:szCs w:val="21"/>
          <w:highlight w:val="none"/>
          <w:u w:val="single" w:color="000000"/>
        </w:rPr>
        <w:t>                       </w:t>
      </w:r>
      <w:r>
        <w:rPr>
          <w:rFonts w:hint="eastAsia" w:ascii="宋体" w:hAnsi="宋体" w:eastAsia="宋体" w:cs="宋体"/>
          <w:b w:val="0"/>
          <w:i w:val="0"/>
          <w:caps w:val="0"/>
          <w:color w:val="auto"/>
          <w:spacing w:val="0"/>
          <w:w w:val="100"/>
          <w:sz w:val="21"/>
          <w:szCs w:val="21"/>
          <w:highlight w:val="none"/>
        </w:rPr>
        <w:t>；</w:t>
      </w:r>
    </w:p>
    <w:p w14:paraId="7A784CD2">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建造师注册证书号：</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6B7E2F48">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建造师执业印章号：</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21A1A25D">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安全生产考核合格证书号：</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576666E3">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联系电话：</w:t>
      </w:r>
      <w:r>
        <w:rPr>
          <w:rFonts w:hint="eastAsia" w:ascii="宋体" w:hAnsi="宋体" w:eastAsia="宋体" w:cs="宋体"/>
          <w:b w:val="0"/>
          <w:i w:val="0"/>
          <w:caps w:val="0"/>
          <w:color w:val="auto"/>
          <w:spacing w:val="0"/>
          <w:w w:val="100"/>
          <w:sz w:val="21"/>
          <w:szCs w:val="21"/>
          <w:highlight w:val="none"/>
          <w:u w:val="single" w:color="000000"/>
        </w:rPr>
        <w:t>                          </w:t>
      </w:r>
      <w:r>
        <w:rPr>
          <w:rFonts w:hint="eastAsia" w:ascii="宋体" w:hAnsi="宋体" w:eastAsia="宋体" w:cs="宋体"/>
          <w:b w:val="0"/>
          <w:i w:val="0"/>
          <w:caps w:val="0"/>
          <w:color w:val="auto"/>
          <w:spacing w:val="0"/>
          <w:w w:val="100"/>
          <w:sz w:val="21"/>
          <w:szCs w:val="21"/>
          <w:highlight w:val="none"/>
        </w:rPr>
        <w:t>；</w:t>
      </w:r>
    </w:p>
    <w:p w14:paraId="6B1FDF81">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电子信箱：</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50C3832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通信地址：</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41E3B8D0">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承包人对项目经理的授权范围如下：</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F0CD67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关于项目经理每月在施工现场的时间要求：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B98A53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承包人未提交劳动合同，以及没有为项目经理缴纳社会保险证明的违约责任：</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30D390F">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kern w:val="0"/>
          <w:sz w:val="21"/>
          <w:szCs w:val="21"/>
          <w:highlight w:val="none"/>
        </w:rPr>
        <w:t>项目经理未经批准，擅自离开施工现场的违约责任：</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4A23CF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3.2.3 承包人擅自更换项目经理的违约责任：</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A05D84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3.2.4 承包人无正当理由拒绝更换项目经理的违约责任：</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2005524">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3.3 承包人人员</w:t>
      </w:r>
    </w:p>
    <w:p w14:paraId="0DCA86A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3.3.1 承包人提交项目管理机构及施工现场管理人员安排报告的期限：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2E84A2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3.3.3 承包人无正当理由拒绝撤换主要施工管理人员的违约责任：</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1EDFBED">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sz w:val="21"/>
          <w:szCs w:val="21"/>
          <w:highlight w:val="none"/>
        </w:rPr>
        <w:t>3.3.4 承包人主要施工管理人员离开施工现场的批准要求：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0C49759">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3.3.5承包人擅自更换主要施工管理人员的违约责任</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C615C4C">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承包人主要施工管理人员擅自离开施工现场的违约责任：</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62CFF26">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3.5 分包</w:t>
      </w:r>
    </w:p>
    <w:p w14:paraId="22D01049">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3.5.1 分包的一般约定</w:t>
      </w:r>
    </w:p>
    <w:p w14:paraId="4CC8D3D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禁止分包的工程包括：</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7CB167D">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sz w:val="21"/>
          <w:szCs w:val="21"/>
          <w:highlight w:val="none"/>
        </w:rPr>
        <w:t>主体结构、关键性工作的范围：</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2DDC2B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 xml:space="preserve">    3.5.2分包的确定</w:t>
      </w:r>
    </w:p>
    <w:p w14:paraId="237BB625">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sz w:val="21"/>
          <w:szCs w:val="21"/>
          <w:highlight w:val="none"/>
        </w:rPr>
        <w:t>允许分包的专业工程包括：</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139E26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其他关于分包的约定：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EEE7525">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3.5.4 分包合同价款</w:t>
      </w:r>
    </w:p>
    <w:p w14:paraId="34D87DA5">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关于分包合同价款支付的约定：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91464BF">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3.6 工程照管与成品、半成品保护</w:t>
      </w:r>
    </w:p>
    <w:p w14:paraId="1D010D2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承包人负责照管工程及工程相关的材料、工程设备的起始时间：</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 xml:space="preserve"> 。</w:t>
      </w:r>
    </w:p>
    <w:p w14:paraId="5BAE0FE3">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3.7 履约担保</w:t>
      </w:r>
    </w:p>
    <w:p w14:paraId="6E39B06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承包人是否提供履约担保：</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57E410B">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承包人提供履约担保的形式、金额及期限的：</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A16C250">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29" w:name="_Toc256000100"/>
      <w:bookmarkStart w:id="930" w:name="_Toc19208"/>
      <w:bookmarkStart w:id="931" w:name="_Toc10452"/>
      <w:bookmarkStart w:id="932" w:name="_Toc505871384"/>
      <w:bookmarkStart w:id="933" w:name="_Toc6580"/>
      <w:bookmarkStart w:id="934" w:name="_Toc26965"/>
      <w:r>
        <w:rPr>
          <w:rFonts w:hint="eastAsia" w:ascii="宋体" w:hAnsi="宋体" w:eastAsia="宋体" w:cs="宋体"/>
          <w:b/>
          <w:i w:val="0"/>
          <w:caps w:val="0"/>
          <w:color w:val="auto"/>
          <w:spacing w:val="0"/>
          <w:w w:val="100"/>
          <w:sz w:val="32"/>
          <w:highlight w:val="none"/>
        </w:rPr>
        <w:t>4. 监理人</w:t>
      </w:r>
      <w:bookmarkEnd w:id="929"/>
      <w:bookmarkEnd w:id="930"/>
      <w:bookmarkEnd w:id="931"/>
      <w:bookmarkEnd w:id="932"/>
      <w:bookmarkEnd w:id="933"/>
      <w:bookmarkEnd w:id="934"/>
    </w:p>
    <w:p w14:paraId="2E6320CC">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4.1监理人的一般规定</w:t>
      </w:r>
    </w:p>
    <w:p w14:paraId="7E94202F">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关于监理人的监理内容：</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857A0F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关于监理人的监理权限：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 xml:space="preserve">。 </w:t>
      </w:r>
    </w:p>
    <w:p w14:paraId="603ED25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关于监理人在施工现场的办公场所、生活场所的提供和费用承担的约定：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B0B7B7F">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4.2 监理人员</w:t>
      </w:r>
    </w:p>
    <w:p w14:paraId="3BFF8ED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总监理工程师：</w:t>
      </w:r>
    </w:p>
    <w:p w14:paraId="1A2693AC">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姓    名：</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679DFAA6">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职    务：</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2EE3D73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监理工程师执业资格证书号：</w:t>
      </w:r>
      <w:r>
        <w:rPr>
          <w:rFonts w:hint="eastAsia" w:ascii="宋体" w:hAnsi="宋体" w:eastAsia="宋体" w:cs="宋体"/>
          <w:b w:val="0"/>
          <w:i w:val="0"/>
          <w:caps w:val="0"/>
          <w:color w:val="auto"/>
          <w:spacing w:val="0"/>
          <w:w w:val="100"/>
          <w:sz w:val="21"/>
          <w:szCs w:val="21"/>
          <w:highlight w:val="none"/>
          <w:u w:val="single" w:color="000000"/>
        </w:rPr>
        <w:t> </w:t>
      </w:r>
      <w:r>
        <w:rPr>
          <w:rFonts w:hint="eastAsia" w:ascii="宋体" w:hAnsi="宋体" w:eastAsia="宋体" w:cs="宋体"/>
          <w:b w:val="0"/>
          <w:i w:val="0"/>
          <w:caps w:val="0"/>
          <w:color w:val="auto"/>
          <w:spacing w:val="0"/>
          <w:w w:val="100"/>
          <w:sz w:val="21"/>
          <w:szCs w:val="21"/>
          <w:highlight w:val="none"/>
        </w:rPr>
        <w:t>；</w:t>
      </w:r>
    </w:p>
    <w:p w14:paraId="784DE3EA">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联系电话：</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4698E990">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电子信箱：</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3E1F7BB3">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通信地址：</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737C9109">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关于监理人的其他约定：</w:t>
      </w:r>
      <w:r>
        <w:rPr>
          <w:rFonts w:hint="eastAsia" w:ascii="宋体" w:hAnsi="宋体" w:eastAsia="宋体" w:cs="宋体"/>
          <w:b w:val="0"/>
          <w:i w:val="0"/>
          <w:caps w:val="0"/>
          <w:color w:val="auto"/>
          <w:spacing w:val="0"/>
          <w:w w:val="100"/>
          <w:sz w:val="21"/>
          <w:szCs w:val="21"/>
          <w:highlight w:val="none"/>
          <w:u w:val="single" w:color="000000"/>
        </w:rPr>
        <w:t>   </w:t>
      </w:r>
      <w:r>
        <w:rPr>
          <w:rFonts w:hint="eastAsia" w:ascii="宋体" w:hAnsi="宋体" w:eastAsia="宋体" w:cs="宋体"/>
          <w:b w:val="0"/>
          <w:i w:val="0"/>
          <w:caps w:val="0"/>
          <w:color w:val="auto"/>
          <w:spacing w:val="0"/>
          <w:w w:val="100"/>
          <w:sz w:val="21"/>
          <w:szCs w:val="21"/>
          <w:highlight w:val="none"/>
        </w:rPr>
        <w:t>。</w:t>
      </w:r>
    </w:p>
    <w:p w14:paraId="4EA2D53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4.4 商定或确定</w:t>
      </w:r>
    </w:p>
    <w:p w14:paraId="65A26ED8">
      <w:pPr>
        <w:pStyle w:val="66"/>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在发包人和承包人不能通过协商达成一致意见时，发包人授权监理人对以下事项进行确定：</w:t>
      </w:r>
    </w:p>
    <w:p w14:paraId="448D064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825AFF4">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（2）</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A46372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（3）</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811EFF9">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35" w:name="_Toc18006"/>
      <w:bookmarkStart w:id="936" w:name="_Toc26681"/>
      <w:bookmarkStart w:id="937" w:name="_Toc505871385"/>
      <w:bookmarkStart w:id="938" w:name="_Toc32609"/>
      <w:bookmarkStart w:id="939" w:name="_Toc256000101"/>
      <w:bookmarkStart w:id="940" w:name="_Toc24782"/>
      <w:r>
        <w:rPr>
          <w:rFonts w:hint="eastAsia" w:ascii="宋体" w:hAnsi="宋体" w:eastAsia="宋体" w:cs="宋体"/>
          <w:b/>
          <w:i w:val="0"/>
          <w:caps w:val="0"/>
          <w:color w:val="auto"/>
          <w:spacing w:val="0"/>
          <w:w w:val="100"/>
          <w:sz w:val="32"/>
          <w:highlight w:val="none"/>
        </w:rPr>
        <w:t>5. 工程质量</w:t>
      </w:r>
      <w:bookmarkEnd w:id="935"/>
      <w:bookmarkEnd w:id="936"/>
      <w:bookmarkEnd w:id="937"/>
      <w:bookmarkEnd w:id="938"/>
      <w:bookmarkEnd w:id="939"/>
      <w:bookmarkEnd w:id="940"/>
    </w:p>
    <w:p w14:paraId="0ADEA92F">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5.1 质量要求</w:t>
      </w:r>
    </w:p>
    <w:p w14:paraId="0F03F458">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5.1.1 特殊质量标准和要求：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0CE8FB2">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关于工程奖项的约定：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99930F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5.3 隐蔽工程检查</w:t>
      </w:r>
    </w:p>
    <w:p w14:paraId="73E10B86">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5.3.2承包人提前通知监理人隐蔽工程检查的期限的约定 ：</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1BDF979">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监理人不能按时进行检查时，应提前</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小时提交书面延期要求。</w:t>
      </w:r>
    </w:p>
    <w:p w14:paraId="299D6CD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关于延期最长不得超过：</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小时。</w:t>
      </w:r>
    </w:p>
    <w:p w14:paraId="535BE791">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41" w:name="_Toc6801"/>
      <w:r>
        <w:rPr>
          <w:rFonts w:hint="eastAsia" w:ascii="宋体" w:hAnsi="宋体" w:eastAsia="宋体" w:cs="宋体"/>
          <w:b/>
          <w:i w:val="0"/>
          <w:caps w:val="0"/>
          <w:color w:val="auto"/>
          <w:spacing w:val="0"/>
          <w:w w:val="100"/>
          <w:sz w:val="32"/>
          <w:highlight w:val="none"/>
        </w:rPr>
        <w:t>6. 安全文明施工与环境保护</w:t>
      </w:r>
      <w:bookmarkEnd w:id="941"/>
    </w:p>
    <w:p w14:paraId="3D40EF41">
      <w:pPr>
        <w:pStyle w:val="66"/>
        <w:snapToGrid w:val="0"/>
        <w:spacing w:before="0" w:beforeAutospacing="0" w:after="12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6.1安全文明施工</w:t>
      </w:r>
    </w:p>
    <w:p w14:paraId="1689C3CB">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6.1.1 项目安全生产的达标目标及相应事项的约定：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AEF03C1">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6.1.4 关于治安保卫的特别约定：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6D9516A">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关于编制施工场地治安管理计划的约定：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98D4D7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6.1.5 文明施工</w:t>
      </w:r>
    </w:p>
    <w:p w14:paraId="61535AF2">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合同当事人对文明施工的要求：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098887C">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6.1.6 关于安全文明施工费支付比例和支付期限的约定：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E49C02C">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42" w:name="_Toc8048"/>
      <w:bookmarkStart w:id="943" w:name="_Toc505871386"/>
      <w:bookmarkStart w:id="944" w:name="_Toc256000102"/>
      <w:bookmarkStart w:id="945" w:name="_Toc10138"/>
      <w:bookmarkStart w:id="946" w:name="_Toc4969"/>
      <w:bookmarkStart w:id="947" w:name="_Toc22059"/>
      <w:r>
        <w:rPr>
          <w:rFonts w:hint="eastAsia" w:ascii="宋体" w:hAnsi="宋体" w:eastAsia="宋体" w:cs="宋体"/>
          <w:b/>
          <w:i w:val="0"/>
          <w:caps w:val="0"/>
          <w:color w:val="auto"/>
          <w:spacing w:val="0"/>
          <w:w w:val="100"/>
          <w:sz w:val="32"/>
          <w:highlight w:val="none"/>
        </w:rPr>
        <w:t>7. 工期和进度</w:t>
      </w:r>
      <w:bookmarkEnd w:id="942"/>
      <w:bookmarkEnd w:id="943"/>
      <w:bookmarkEnd w:id="944"/>
      <w:bookmarkEnd w:id="945"/>
      <w:bookmarkEnd w:id="946"/>
      <w:bookmarkEnd w:id="947"/>
    </w:p>
    <w:p w14:paraId="3F417300">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7.1 施工组织设计</w:t>
      </w:r>
    </w:p>
    <w:p w14:paraId="503FCDA0">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sz w:val="21"/>
          <w:szCs w:val="21"/>
          <w:highlight w:val="none"/>
        </w:rPr>
        <w:t>7.1.1 合</w:t>
      </w:r>
      <w:r>
        <w:rPr>
          <w:rFonts w:hint="eastAsia" w:ascii="宋体" w:hAnsi="宋体" w:eastAsia="宋体" w:cs="宋体"/>
          <w:b w:val="0"/>
          <w:i w:val="0"/>
          <w:caps w:val="0"/>
          <w:color w:val="auto"/>
          <w:spacing w:val="0"/>
          <w:w w:val="100"/>
          <w:kern w:val="0"/>
          <w:sz w:val="21"/>
          <w:szCs w:val="21"/>
          <w:highlight w:val="none"/>
        </w:rPr>
        <w:t>同当事人约定的施工组织设计应包括的其他内容：</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CF8442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sz w:val="21"/>
          <w:szCs w:val="21"/>
          <w:highlight w:val="none"/>
        </w:rPr>
        <w:t xml:space="preserve">7.1.2 </w:t>
      </w:r>
      <w:r>
        <w:rPr>
          <w:rFonts w:hint="eastAsia" w:ascii="宋体" w:hAnsi="宋体" w:eastAsia="宋体" w:cs="宋体"/>
          <w:b w:val="0"/>
          <w:i w:val="0"/>
          <w:caps w:val="0"/>
          <w:color w:val="auto"/>
          <w:spacing w:val="0"/>
          <w:w w:val="100"/>
          <w:kern w:val="0"/>
          <w:sz w:val="21"/>
          <w:szCs w:val="21"/>
          <w:highlight w:val="none"/>
        </w:rPr>
        <w:t>施工组织设计的提交和修改</w:t>
      </w:r>
    </w:p>
    <w:p w14:paraId="52A1C2A3">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承包人提交详细施工组织设计的期限的约定：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992E23F">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发包人和监理人在收到详细的施工组织设计后确认或提出修改意见的期限：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053B729">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7.2 施工进度计划</w:t>
      </w:r>
    </w:p>
    <w:p w14:paraId="52B9ED22">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7.2.2 施工进度计划的修订</w:t>
      </w:r>
    </w:p>
    <w:p w14:paraId="06776655">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发包人和监理人在收到修订的施工进度计划后确认或提出修改意见的期限：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8FE54A8">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7.3 开工</w:t>
      </w:r>
    </w:p>
    <w:p w14:paraId="1AF6E5C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7.3.1 开工准备</w:t>
      </w:r>
    </w:p>
    <w:p w14:paraId="74205D8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u w:val="single"/>
        </w:rPr>
      </w:pPr>
      <w:r>
        <w:rPr>
          <w:rFonts w:hint="eastAsia" w:ascii="宋体" w:hAnsi="宋体" w:eastAsia="宋体" w:cs="宋体"/>
          <w:b w:val="0"/>
          <w:i w:val="0"/>
          <w:caps w:val="0"/>
          <w:color w:val="auto"/>
          <w:spacing w:val="0"/>
          <w:w w:val="100"/>
          <w:sz w:val="21"/>
          <w:szCs w:val="21"/>
          <w:highlight w:val="none"/>
        </w:rPr>
        <w:t>关于承包人提交</w:t>
      </w:r>
      <w:r>
        <w:rPr>
          <w:rFonts w:hint="eastAsia" w:ascii="宋体" w:hAnsi="宋体" w:eastAsia="宋体" w:cs="宋体"/>
          <w:b w:val="0"/>
          <w:i w:val="0"/>
          <w:caps w:val="0"/>
          <w:color w:val="auto"/>
          <w:spacing w:val="0"/>
          <w:w w:val="100"/>
          <w:kern w:val="0"/>
          <w:sz w:val="21"/>
          <w:szCs w:val="21"/>
          <w:highlight w:val="none"/>
        </w:rPr>
        <w:t>工程开工报审表的期限：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0FC1976">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关于发包人应完成的其他开工准备工作及期限：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49C3B60">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关于承包人应完成的其他开工准备工作及期限：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26B60E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7.3.2开工通知</w:t>
      </w:r>
    </w:p>
    <w:p w14:paraId="22A156A0">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因发包人原因造成监理人未能在计划开工日期之日起</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天内发出开工通知的，承包人有权提出价格调整要求，或者解除合同。</w:t>
      </w:r>
    </w:p>
    <w:p w14:paraId="635C4C2E">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7.4 测量放线</w:t>
      </w:r>
    </w:p>
    <w:p w14:paraId="1972E1E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u w:val="single"/>
        </w:rPr>
      </w:pPr>
      <w:r>
        <w:rPr>
          <w:rFonts w:hint="eastAsia" w:ascii="宋体" w:hAnsi="宋体" w:eastAsia="宋体" w:cs="宋体"/>
          <w:b w:val="0"/>
          <w:i w:val="0"/>
          <w:caps w:val="0"/>
          <w:color w:val="auto"/>
          <w:spacing w:val="0"/>
          <w:w w:val="100"/>
          <w:sz w:val="21"/>
          <w:szCs w:val="21"/>
          <w:highlight w:val="none"/>
        </w:rPr>
        <w:t>7.4.1发包人通过监理人向承包人提供测量基准点、基准线和水准点及其书面资料的期限：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A5955C9">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7.5 工期延误</w:t>
      </w:r>
    </w:p>
    <w:p w14:paraId="017C27F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7.5.1 因发包人原因导致工期延误</w:t>
      </w:r>
    </w:p>
    <w:p w14:paraId="1AFBE0F2">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（7）因发包人原因导致工期延误的其他情形：</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1DDCE8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7.5.2 因承包人原因导致工期延误</w:t>
      </w:r>
    </w:p>
    <w:p w14:paraId="1458ACC1">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因承包人原因造成工期延误，逾期竣工违约金的计算方法为：</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7C027AB">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因承包人原因造成工期延误，逾期竣工违约金的上限：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1D95C08">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7.6 不利物质条件</w:t>
      </w:r>
    </w:p>
    <w:p w14:paraId="1F505A9B">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不利物质条件的其他情形和有关约定：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C32C167">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7.7异常恶劣的气候条件</w:t>
      </w:r>
    </w:p>
    <w:p w14:paraId="74842AE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发包人和承包人同意以下情形视为异常恶劣的气候条件：</w:t>
      </w:r>
    </w:p>
    <w:p w14:paraId="266D3F3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FBBE7EB">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E8514DF">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6483B99">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7.9 提前竣工的奖励</w:t>
      </w:r>
    </w:p>
    <w:p w14:paraId="1B24431C">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7.9.2提前竣工的奖励：</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62F8B58">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48" w:name="_Toc26222"/>
      <w:bookmarkStart w:id="949" w:name="_Toc505871387"/>
      <w:bookmarkStart w:id="950" w:name="_Toc26623"/>
      <w:bookmarkStart w:id="951" w:name="_Toc11228"/>
      <w:bookmarkStart w:id="952" w:name="_Toc31221"/>
      <w:bookmarkStart w:id="953" w:name="_Toc256000103"/>
      <w:r>
        <w:rPr>
          <w:rFonts w:hint="eastAsia" w:ascii="宋体" w:hAnsi="宋体" w:eastAsia="宋体" w:cs="宋体"/>
          <w:b/>
          <w:i w:val="0"/>
          <w:caps w:val="0"/>
          <w:color w:val="auto"/>
          <w:spacing w:val="0"/>
          <w:w w:val="100"/>
          <w:sz w:val="32"/>
          <w:highlight w:val="none"/>
        </w:rPr>
        <w:t>8. 材料与设备</w:t>
      </w:r>
      <w:bookmarkEnd w:id="948"/>
      <w:bookmarkEnd w:id="949"/>
      <w:bookmarkEnd w:id="950"/>
      <w:bookmarkEnd w:id="951"/>
      <w:bookmarkEnd w:id="952"/>
      <w:bookmarkEnd w:id="953"/>
    </w:p>
    <w:p w14:paraId="57F4EE27">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8.4材料与工程设备的保管与使用</w:t>
      </w:r>
    </w:p>
    <w:p w14:paraId="6C83FFE9">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8.4.1发包人供应的材料设备的保管费用的承担：</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E412A98">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8.6 样品</w:t>
      </w:r>
    </w:p>
    <w:p w14:paraId="648C953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8.6.1 样品的报送与封存</w:t>
      </w:r>
    </w:p>
    <w:p w14:paraId="77FBA60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u w:val="single"/>
        </w:rPr>
      </w:pPr>
      <w:r>
        <w:rPr>
          <w:rFonts w:hint="eastAsia" w:ascii="宋体" w:hAnsi="宋体" w:eastAsia="宋体" w:cs="宋体"/>
          <w:b w:val="0"/>
          <w:i w:val="0"/>
          <w:caps w:val="0"/>
          <w:color w:val="auto"/>
          <w:spacing w:val="0"/>
          <w:w w:val="100"/>
          <w:kern w:val="0"/>
          <w:sz w:val="21"/>
          <w:szCs w:val="21"/>
          <w:highlight w:val="none"/>
        </w:rPr>
        <w:t>需要承包人报送样品的材料或工程设备，样品的种类、名称、规格、数量要求：</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D0B7917">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8.8 施工设备和临时设施</w:t>
      </w:r>
    </w:p>
    <w:p w14:paraId="1517B75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8.8.1 承包人提供的施工设备和临时设施</w:t>
      </w:r>
    </w:p>
    <w:p w14:paraId="76E9666E">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关于修建临时设施费用承担的约定：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2C6B96E">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54" w:name="_Toc5391"/>
      <w:bookmarkStart w:id="955" w:name="_Toc505871388"/>
      <w:bookmarkStart w:id="956" w:name="_Toc256000104"/>
      <w:bookmarkStart w:id="957" w:name="_Toc21283"/>
      <w:bookmarkStart w:id="958" w:name="_Toc26785"/>
      <w:bookmarkStart w:id="959" w:name="_Toc24917"/>
      <w:r>
        <w:rPr>
          <w:rFonts w:hint="eastAsia" w:ascii="宋体" w:hAnsi="宋体" w:eastAsia="宋体" w:cs="宋体"/>
          <w:b/>
          <w:i w:val="0"/>
          <w:caps w:val="0"/>
          <w:color w:val="auto"/>
          <w:spacing w:val="0"/>
          <w:w w:val="100"/>
          <w:sz w:val="32"/>
          <w:highlight w:val="none"/>
        </w:rPr>
        <w:t>9. 试验与检验</w:t>
      </w:r>
      <w:bookmarkEnd w:id="954"/>
      <w:bookmarkEnd w:id="955"/>
      <w:bookmarkEnd w:id="956"/>
      <w:bookmarkEnd w:id="957"/>
      <w:bookmarkEnd w:id="958"/>
      <w:bookmarkEnd w:id="959"/>
    </w:p>
    <w:p w14:paraId="7ECA485F">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9.1试验设备与试验人员</w:t>
      </w:r>
    </w:p>
    <w:p w14:paraId="5C79A48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9.1.2 试验设备</w:t>
      </w:r>
    </w:p>
    <w:p w14:paraId="144CF6A6">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施工现场需要配置的试验场所：</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9D43BB5">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施工现场需要配备的试验设备：</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6A06BFF">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施工现场需要具备的其他试验条件：</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F4903B4">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 xml:space="preserve">9.4 现场工艺试验 </w:t>
      </w:r>
    </w:p>
    <w:p w14:paraId="7CF3A62D">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现场工艺试验的有关约定：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8BDBF2E">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60" w:name="_Toc5251"/>
      <w:bookmarkStart w:id="961" w:name="_Toc14274"/>
      <w:bookmarkStart w:id="962" w:name="_Toc256000105"/>
      <w:bookmarkStart w:id="963" w:name="_Toc505871389"/>
      <w:bookmarkStart w:id="964" w:name="_Toc4441"/>
      <w:bookmarkStart w:id="965" w:name="_Toc21739"/>
      <w:r>
        <w:rPr>
          <w:rFonts w:hint="eastAsia" w:ascii="宋体" w:hAnsi="宋体" w:eastAsia="宋体" w:cs="宋体"/>
          <w:b/>
          <w:i w:val="0"/>
          <w:caps w:val="0"/>
          <w:color w:val="auto"/>
          <w:spacing w:val="0"/>
          <w:w w:val="100"/>
          <w:sz w:val="32"/>
          <w:highlight w:val="none"/>
        </w:rPr>
        <w:t>10. 变更</w:t>
      </w:r>
      <w:bookmarkEnd w:id="960"/>
      <w:bookmarkEnd w:id="961"/>
      <w:bookmarkEnd w:id="962"/>
      <w:bookmarkEnd w:id="963"/>
      <w:bookmarkEnd w:id="964"/>
      <w:bookmarkEnd w:id="965"/>
    </w:p>
    <w:p w14:paraId="175072DD">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10.1变更的范围</w:t>
      </w:r>
    </w:p>
    <w:p w14:paraId="68CEEAAE">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关于变更的范围的约定：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136F02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10.4 变更估价</w:t>
      </w:r>
    </w:p>
    <w:p w14:paraId="4763E1F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10.4.1 变更估价原则</w:t>
      </w:r>
    </w:p>
    <w:p w14:paraId="4CA3398E">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sz w:val="21"/>
          <w:szCs w:val="21"/>
          <w:highlight w:val="none"/>
        </w:rPr>
        <w:t xml:space="preserve">关于变更估价的约定: </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8A4DF54">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10.5承包人的合理化建议</w:t>
      </w:r>
    </w:p>
    <w:p w14:paraId="59E69C45">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监理人审查承包人合理化建议的期限：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1FF1D84">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发包人审批承包人合理化建议的期限：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02EC81E">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u w:val="single"/>
        </w:rPr>
      </w:pPr>
      <w:r>
        <w:rPr>
          <w:rFonts w:hint="eastAsia" w:ascii="宋体" w:hAnsi="宋体" w:eastAsia="宋体" w:cs="宋体"/>
          <w:b w:val="0"/>
          <w:i w:val="0"/>
          <w:caps w:val="0"/>
          <w:color w:val="auto"/>
          <w:spacing w:val="0"/>
          <w:w w:val="100"/>
          <w:sz w:val="21"/>
          <w:szCs w:val="21"/>
          <w:highlight w:val="none"/>
        </w:rPr>
        <w:t>承包人提出的合理化建议降低了合同价格或者提高了工程经济效益的奖励的方法和金额为：</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9E43AD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10.7 暂估价</w:t>
      </w:r>
    </w:p>
    <w:p w14:paraId="434C25D2">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暂估价材料和工程设备的明细详见附件11：《</w:t>
      </w:r>
      <w:r>
        <w:rPr>
          <w:rFonts w:hint="eastAsia" w:ascii="宋体" w:hAnsi="宋体" w:eastAsia="宋体" w:cs="宋体"/>
          <w:b w:val="0"/>
          <w:i w:val="0"/>
          <w:caps w:val="0"/>
          <w:color w:val="auto"/>
          <w:spacing w:val="0"/>
          <w:w w:val="100"/>
          <w:sz w:val="21"/>
          <w:szCs w:val="21"/>
          <w:highlight w:val="none"/>
        </w:rPr>
        <w:t>暂估价一览表》</w:t>
      </w:r>
      <w:r>
        <w:rPr>
          <w:rFonts w:hint="eastAsia" w:ascii="宋体" w:hAnsi="宋体" w:eastAsia="宋体" w:cs="宋体"/>
          <w:b w:val="0"/>
          <w:i w:val="0"/>
          <w:caps w:val="0"/>
          <w:color w:val="auto"/>
          <w:spacing w:val="0"/>
          <w:w w:val="100"/>
          <w:kern w:val="0"/>
          <w:sz w:val="21"/>
          <w:szCs w:val="21"/>
          <w:highlight w:val="none"/>
        </w:rPr>
        <w:t>。</w:t>
      </w:r>
    </w:p>
    <w:p w14:paraId="5E510D7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10.7.1 依法必须招标的暂估价项目</w:t>
      </w:r>
    </w:p>
    <w:p w14:paraId="0E61FF6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对于依法必须招标的暂估价项目的确认和批准采取第</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种方式确定。</w:t>
      </w:r>
    </w:p>
    <w:p w14:paraId="598B25C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10.7.2 不属于依法必须招标的暂估价项目</w:t>
      </w:r>
    </w:p>
    <w:p w14:paraId="0C71C50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对于不属于依法必须招标的暂估价项目的确认和批准采取第</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 xml:space="preserve"> 种方式确定。</w:t>
      </w:r>
    </w:p>
    <w:p w14:paraId="0B28524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bookmarkStart w:id="966" w:name="_Toc2748"/>
      <w:bookmarkStart w:id="967" w:name="_Toc30656"/>
      <w:r>
        <w:rPr>
          <w:rFonts w:hint="eastAsia" w:ascii="宋体" w:hAnsi="宋体" w:eastAsia="宋体" w:cs="宋体"/>
          <w:b w:val="0"/>
          <w:i w:val="0"/>
          <w:caps w:val="0"/>
          <w:color w:val="auto"/>
          <w:spacing w:val="0"/>
          <w:w w:val="100"/>
          <w:sz w:val="21"/>
          <w:szCs w:val="21"/>
          <w:highlight w:val="none"/>
        </w:rPr>
        <w:t>第3种方式：承包人直接实施的暂估价项目</w:t>
      </w:r>
      <w:bookmarkEnd w:id="966"/>
      <w:bookmarkEnd w:id="967"/>
    </w:p>
    <w:p w14:paraId="6FF4181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承包人直接实施的暂估价项目的约定：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DF89060">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bookmarkStart w:id="968" w:name="_Toc29085"/>
      <w:bookmarkStart w:id="969" w:name="_Toc11259"/>
      <w:r>
        <w:rPr>
          <w:rFonts w:hint="eastAsia" w:ascii="宋体" w:hAnsi="宋体" w:eastAsia="宋体" w:cs="宋体"/>
          <w:b/>
          <w:i w:val="0"/>
          <w:caps w:val="0"/>
          <w:color w:val="auto"/>
          <w:spacing w:val="0"/>
          <w:w w:val="100"/>
          <w:sz w:val="24"/>
          <w:highlight w:val="none"/>
        </w:rPr>
        <w:t>10.8 暂列金额</w:t>
      </w:r>
      <w:bookmarkEnd w:id="968"/>
      <w:bookmarkEnd w:id="969"/>
    </w:p>
    <w:p w14:paraId="2911F00D">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合同当事人关于暂列金额使用的约定：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w:t>
      </w:r>
    </w:p>
    <w:p w14:paraId="70EBA1F0">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70" w:name="_Toc26963"/>
      <w:bookmarkStart w:id="971" w:name="_Toc22298"/>
      <w:bookmarkStart w:id="972" w:name="_Toc28009"/>
      <w:bookmarkStart w:id="973" w:name="_Toc22452"/>
      <w:bookmarkStart w:id="974" w:name="_Toc256000106"/>
      <w:bookmarkStart w:id="975" w:name="_Toc505871390"/>
      <w:r>
        <w:rPr>
          <w:rFonts w:hint="eastAsia" w:ascii="宋体" w:hAnsi="宋体" w:eastAsia="宋体" w:cs="宋体"/>
          <w:b/>
          <w:i w:val="0"/>
          <w:caps w:val="0"/>
          <w:color w:val="auto"/>
          <w:spacing w:val="0"/>
          <w:w w:val="100"/>
          <w:sz w:val="32"/>
          <w:highlight w:val="none"/>
        </w:rPr>
        <w:t>11. 价格调整</w:t>
      </w:r>
      <w:bookmarkEnd w:id="970"/>
      <w:bookmarkEnd w:id="971"/>
      <w:bookmarkEnd w:id="972"/>
      <w:bookmarkEnd w:id="973"/>
      <w:bookmarkEnd w:id="974"/>
      <w:bookmarkEnd w:id="975"/>
    </w:p>
    <w:p w14:paraId="5D32DEDB">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11.1 市场价格波动引起的调整</w:t>
      </w:r>
    </w:p>
    <w:p w14:paraId="5C65695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（1）市场价格波动是否调整合同价格的约定：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63778A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因市场价格波动调整合同价格，采用以下第</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种方式对合同价格进行调整：</w:t>
      </w:r>
    </w:p>
    <w:p w14:paraId="467B54B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第1种方式：采用价格指数进行价格调整。</w:t>
      </w:r>
    </w:p>
    <w:p w14:paraId="6EEE61C0">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1"/>
          <w:szCs w:val="21"/>
          <w:highlight w:val="none"/>
        </w:rPr>
        <w:t>关于各可调因子、定值和变值权重，以及基本价格指数及其来源的约</w:t>
      </w:r>
      <w:r>
        <w:rPr>
          <w:rFonts w:hint="eastAsia" w:ascii="宋体" w:hAnsi="宋体" w:eastAsia="宋体" w:cs="宋体"/>
          <w:b w:val="0"/>
          <w:i w:val="0"/>
          <w:caps w:val="0"/>
          <w:color w:val="auto"/>
          <w:spacing w:val="0"/>
          <w:w w:val="100"/>
          <w:sz w:val="24"/>
          <w:szCs w:val="24"/>
          <w:highlight w:val="none"/>
        </w:rPr>
        <w:t>定：</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w:t>
      </w:r>
    </w:p>
    <w:p w14:paraId="31FFDE8A">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第2种方式：采用造价信息进行价格调整。</w:t>
      </w:r>
    </w:p>
    <w:p w14:paraId="5D43FCA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（2）关于基准价格的约定：</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03EBC882">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专用合同条款①承包人在已标价工程量清单或预算书中载明的材料单价低于基准价格的：专用合同条款合同履行期间材料单价涨幅以基准价格为基础超过</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%时，或材料单价跌幅以已标价工程量清单或预算书中载明材料单价为基础超过</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%时，其超过部分据实调整。</w:t>
      </w:r>
    </w:p>
    <w:p w14:paraId="62933547">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②承包人在已标价工程量清单或预算书中载明的材料单价高于基准价格的：专用合同条款合同履行期间材料单价跌幅以基准价格为基础超过</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%时，材料单价涨幅以已标价工程量清单或预算书中载明材料单价为基础超过</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%时，其超过部分据实调整。</w:t>
      </w:r>
    </w:p>
    <w:p w14:paraId="5AB9F095">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③承包人在已标价工程量清单或预算书中载明的材料单价等于基准单价的：专用合同条款合同履行期间材料单价涨跌幅以基准单价为基础超过±</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%时，其超过部分据实调整。</w:t>
      </w:r>
    </w:p>
    <w:p w14:paraId="0C3111F3">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第3种方式：其他价格调整方式：</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19C487C5">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76" w:name="_Toc25487"/>
      <w:bookmarkStart w:id="977" w:name="_Toc21532"/>
      <w:bookmarkStart w:id="978" w:name="_Toc6664"/>
      <w:bookmarkStart w:id="979" w:name="_Toc505871391"/>
      <w:bookmarkStart w:id="980" w:name="_Toc14060"/>
      <w:bookmarkStart w:id="981" w:name="_Toc256000107"/>
      <w:r>
        <w:rPr>
          <w:rFonts w:hint="eastAsia" w:ascii="宋体" w:hAnsi="宋体" w:eastAsia="宋体" w:cs="宋体"/>
          <w:b/>
          <w:i w:val="0"/>
          <w:caps w:val="0"/>
          <w:color w:val="auto"/>
          <w:spacing w:val="0"/>
          <w:w w:val="100"/>
          <w:sz w:val="32"/>
          <w:highlight w:val="none"/>
        </w:rPr>
        <w:t>12. 合同价格、计量与支付</w:t>
      </w:r>
      <w:bookmarkEnd w:id="976"/>
      <w:bookmarkEnd w:id="977"/>
      <w:bookmarkEnd w:id="978"/>
      <w:bookmarkEnd w:id="979"/>
      <w:bookmarkEnd w:id="980"/>
      <w:bookmarkEnd w:id="981"/>
    </w:p>
    <w:p w14:paraId="5E2B2511">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12.1 合同价格形式</w:t>
      </w:r>
    </w:p>
    <w:p w14:paraId="30D1854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1、单价合同。</w:t>
      </w:r>
    </w:p>
    <w:p w14:paraId="32C2B345">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综合单价包含的风险范围：</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A2639EC">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风险费用的计算方法：</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812A436">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风险范围以外合同价格的调整方法：</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AED1EF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2、总价合同。</w:t>
      </w:r>
    </w:p>
    <w:p w14:paraId="72403C4A">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总价包含的风险范围：</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B1C29D5">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风险费用的计算方法：</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1EB7722">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风险范围以外合同价格的调整方法：</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74D4FC2">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3、其他价格方式：</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DBAF41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12.2 预付款</w:t>
      </w:r>
    </w:p>
    <w:p w14:paraId="7209EC3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12.2.1 预付款的支付</w:t>
      </w:r>
    </w:p>
    <w:p w14:paraId="09719F1D">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预付款支付比例或金额：</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60816A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预付款支付期限：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F8ED942">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预付款扣回的方式：</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566533C">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12.2.2 预付款担保</w:t>
      </w:r>
    </w:p>
    <w:p w14:paraId="6359422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承包人提交预付款担保的期限：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8B16F4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预付款担保的形式为：</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6A3F574">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12.3 计量</w:t>
      </w:r>
    </w:p>
    <w:p w14:paraId="6561FC1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12.3.1 计量原则</w:t>
      </w:r>
    </w:p>
    <w:p w14:paraId="1DF85289">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工程量计算规则：</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F63E9E4">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12.3.2 计量周期</w:t>
      </w:r>
    </w:p>
    <w:p w14:paraId="2CE19EF9">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关于计量周期的约定：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994C160">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12.3.3 单价合同的计量</w:t>
      </w:r>
    </w:p>
    <w:p w14:paraId="11A0BD9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关于单价合同计量的约定：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702D3E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12.3.4 总价合同的计量</w:t>
      </w:r>
    </w:p>
    <w:p w14:paraId="619D2D12">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关于总价合同计量的约定：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B3DCBD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12.3.5总价合同采用支付分解表计量支付的，是否适用第</w:t>
      </w:r>
      <w:r>
        <w:rPr>
          <w:rFonts w:hint="eastAsia" w:ascii="宋体" w:hAnsi="宋体" w:eastAsia="宋体" w:cs="宋体"/>
          <w:b w:val="0"/>
          <w:i w:val="0"/>
          <w:caps w:val="0"/>
          <w:color w:val="auto"/>
          <w:spacing w:val="0"/>
          <w:w w:val="100"/>
          <w:kern w:val="0"/>
          <w:sz w:val="21"/>
          <w:szCs w:val="21"/>
          <w:highlight w:val="none"/>
        </w:rPr>
        <w:t xml:space="preserve">12.3.4 </w:t>
      </w:r>
      <w:r>
        <w:rPr>
          <w:rFonts w:hint="eastAsia" w:ascii="宋体" w:hAnsi="宋体" w:eastAsia="宋体" w:cs="宋体"/>
          <w:b w:val="0"/>
          <w:i w:val="0"/>
          <w:caps w:val="0"/>
          <w:color w:val="auto"/>
          <w:spacing w:val="0"/>
          <w:w w:val="100"/>
          <w:sz w:val="21"/>
          <w:szCs w:val="21"/>
          <w:highlight w:val="none"/>
        </w:rPr>
        <w:t>项</w:t>
      </w:r>
      <w:r>
        <w:rPr>
          <w:rFonts w:hint="eastAsia" w:ascii="宋体" w:hAnsi="宋体" w:eastAsia="宋体" w:cs="宋体"/>
          <w:b w:val="0"/>
          <w:i w:val="0"/>
          <w:caps w:val="0"/>
          <w:color w:val="auto"/>
          <w:spacing w:val="0"/>
          <w:w w:val="100"/>
          <w:kern w:val="0"/>
          <w:sz w:val="21"/>
          <w:szCs w:val="21"/>
          <w:highlight w:val="none"/>
        </w:rPr>
        <w:t>〔总价合同的计量〕</w:t>
      </w:r>
      <w:r>
        <w:rPr>
          <w:rFonts w:hint="eastAsia" w:ascii="宋体" w:hAnsi="宋体" w:eastAsia="宋体" w:cs="宋体"/>
          <w:b w:val="0"/>
          <w:i w:val="0"/>
          <w:caps w:val="0"/>
          <w:color w:val="auto"/>
          <w:spacing w:val="0"/>
          <w:w w:val="100"/>
          <w:sz w:val="21"/>
          <w:szCs w:val="21"/>
          <w:highlight w:val="none"/>
        </w:rPr>
        <w:t>约定进行计量：</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847D717">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12.3.6 其他价格形式合同的计量</w:t>
      </w:r>
    </w:p>
    <w:p w14:paraId="069DC863">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其他价格形式的计量方式和程序：</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39AADD8">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12.4 工程进度款支付</w:t>
      </w:r>
    </w:p>
    <w:p w14:paraId="0ABC0524">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12.4.1 付款周期</w:t>
      </w:r>
    </w:p>
    <w:p w14:paraId="5BBE3809">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关于付款周期的约定：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0080DFC">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12.4.2 进度付款申请单的编制</w:t>
      </w:r>
    </w:p>
    <w:p w14:paraId="6DA55505">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关于进度付款申请单编制的约定：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8E3245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12.4.3 进度付款申请单的提交</w:t>
      </w:r>
    </w:p>
    <w:p w14:paraId="75BD96F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（1）单价合同进度付款申请单提交的约定：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145CAB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（2）总价合同进度付款申请单提交的约定：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10DEB5C">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（3）其他价格形式合同进度付款申请单提交的约定：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9C3567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12.4.4 进度款审核和支付</w:t>
      </w:r>
    </w:p>
    <w:p w14:paraId="09D2EC72">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sz w:val="21"/>
          <w:szCs w:val="21"/>
          <w:highlight w:val="none"/>
        </w:rPr>
        <w:t>（1）监理人审查并报送发包人的期限：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6CBB271">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发包人完成审批并签发进度款支付证书的期限：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23E72ED">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（2）发包人支付进度款的期限：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7B2660F">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发包人逾期支付进度款的违约金的计算方式：</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4FD818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12.4.6 支付分解表的编制</w:t>
      </w:r>
    </w:p>
    <w:p w14:paraId="214AC769">
      <w:pPr>
        <w:pStyle w:val="66"/>
        <w:snapToGrid w:val="0"/>
        <w:spacing w:before="0" w:beforeAutospacing="0" w:after="0" w:afterAutospacing="0" w:line="360" w:lineRule="auto"/>
        <w:ind w:hangingChars="20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2、总价合同支付分解表的编制与审批：</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BBFAE55">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3、单价合同的总价项目支付分解表的编制与审批：</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bookmarkStart w:id="982" w:name="_Toc256000108"/>
      <w:bookmarkStart w:id="983" w:name="_Toc19441"/>
      <w:bookmarkStart w:id="984" w:name="_Toc505871392"/>
    </w:p>
    <w:p w14:paraId="494C243C">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8"/>
          <w:highlight w:val="none"/>
        </w:rPr>
      </w:pPr>
      <w:bookmarkStart w:id="985" w:name="_Toc3253"/>
      <w:r>
        <w:rPr>
          <w:rStyle w:val="71"/>
          <w:rFonts w:hint="eastAsia" w:ascii="宋体" w:hAnsi="宋体" w:eastAsia="宋体" w:cs="宋体"/>
          <w:b/>
          <w:bCs/>
          <w:i w:val="0"/>
          <w:caps w:val="0"/>
          <w:color w:val="auto"/>
          <w:spacing w:val="0"/>
          <w:w w:val="100"/>
          <w:kern w:val="0"/>
          <w:sz w:val="32"/>
          <w:szCs w:val="32"/>
          <w:highlight w:val="none"/>
        </w:rPr>
        <w:t>13. 验收和工程试车</w:t>
      </w:r>
      <w:bookmarkEnd w:id="982"/>
      <w:bookmarkEnd w:id="983"/>
      <w:bookmarkEnd w:id="984"/>
      <w:bookmarkEnd w:id="985"/>
    </w:p>
    <w:p w14:paraId="2599117A">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13.1 分部分项工程验收</w:t>
      </w:r>
    </w:p>
    <w:p w14:paraId="49CED91C">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13.1.2监理人不能按时进行验收时，应提前</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小时提交书面延期要求。</w:t>
      </w:r>
    </w:p>
    <w:p w14:paraId="73B7116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关于延期最长不得超过：</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小时。</w:t>
      </w:r>
    </w:p>
    <w:p w14:paraId="3245454D">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13.2 竣工验收</w:t>
      </w:r>
    </w:p>
    <w:p w14:paraId="5FFCBED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13.2.2竣工验收程序</w:t>
      </w:r>
    </w:p>
    <w:p w14:paraId="11F828E2">
      <w:pPr>
        <w:pStyle w:val="66"/>
        <w:snapToGrid w:val="0"/>
        <w:spacing w:before="0" w:beforeAutospacing="0" w:after="0" w:afterAutospacing="0" w:line="360" w:lineRule="auto"/>
        <w:ind w:hangingChars="20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关于竣工验收程序的约定：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FE23406">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发包人不按照本项约定组织竣工验收、颁发工程接收证书的违约金的计算方法：</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1D8B32E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13.2.5移交、接收全部与部分工程</w:t>
      </w:r>
    </w:p>
    <w:p w14:paraId="1D1D7DF5">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承包人向发包人移交工程的期限：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BA0173B">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u w:val="single" w:color="000000"/>
        </w:rPr>
      </w:pPr>
      <w:r>
        <w:rPr>
          <w:rFonts w:hint="eastAsia" w:ascii="宋体" w:hAnsi="宋体" w:eastAsia="宋体" w:cs="宋体"/>
          <w:b w:val="0"/>
          <w:i w:val="0"/>
          <w:caps w:val="0"/>
          <w:color w:val="auto"/>
          <w:spacing w:val="0"/>
          <w:w w:val="100"/>
          <w:kern w:val="0"/>
          <w:sz w:val="21"/>
          <w:szCs w:val="21"/>
          <w:highlight w:val="none"/>
        </w:rPr>
        <w:t>发包人未按本合同约定接收全部或部分工程的，违约金的计算方法为：</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BB06FA0">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承包人未按时移交工程的，违约金的计算方法为：</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DDA7908">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13.3 工程试车</w:t>
      </w:r>
    </w:p>
    <w:p w14:paraId="63EF0E58">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13.3.1 试车程序</w:t>
      </w:r>
    </w:p>
    <w:p w14:paraId="2D8C0F42">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工程试车内容：</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D50E229">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（1）单机无负荷试车费用由</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承担；</w:t>
      </w:r>
    </w:p>
    <w:p w14:paraId="4C0A15EA">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（2）无负荷联动试车费用由</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承担。</w:t>
      </w:r>
    </w:p>
    <w:p w14:paraId="6EB2A3CE">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13.3.3 投料试车</w:t>
      </w:r>
    </w:p>
    <w:p w14:paraId="31E1D9E9">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关于投料试车相关事项的约定：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94962D9">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13.6 竣工退场</w:t>
      </w:r>
    </w:p>
    <w:p w14:paraId="3F25D4C4">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13.6.1 竣工退场</w:t>
      </w:r>
    </w:p>
    <w:p w14:paraId="55EA58F5">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承包人完成竣工退场的期限：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kern w:val="0"/>
          <w:sz w:val="21"/>
          <w:szCs w:val="21"/>
          <w:highlight w:val="none"/>
        </w:rPr>
        <w:t>。</w:t>
      </w:r>
    </w:p>
    <w:p w14:paraId="072AA803">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86" w:name="_Toc505871393"/>
      <w:bookmarkStart w:id="987" w:name="_Toc1059"/>
      <w:bookmarkStart w:id="988" w:name="_Toc12912"/>
      <w:bookmarkStart w:id="989" w:name="_Toc24654"/>
      <w:bookmarkStart w:id="990" w:name="_Toc5776"/>
      <w:bookmarkStart w:id="991" w:name="_Toc256000109"/>
      <w:r>
        <w:rPr>
          <w:rFonts w:hint="eastAsia" w:ascii="宋体" w:hAnsi="宋体" w:eastAsia="宋体" w:cs="宋体"/>
          <w:b/>
          <w:i w:val="0"/>
          <w:caps w:val="0"/>
          <w:color w:val="auto"/>
          <w:spacing w:val="0"/>
          <w:w w:val="100"/>
          <w:sz w:val="32"/>
          <w:highlight w:val="none"/>
        </w:rPr>
        <w:t>14. 竣工结算</w:t>
      </w:r>
      <w:bookmarkEnd w:id="986"/>
      <w:bookmarkEnd w:id="987"/>
      <w:bookmarkEnd w:id="988"/>
      <w:bookmarkEnd w:id="989"/>
      <w:bookmarkEnd w:id="990"/>
      <w:bookmarkEnd w:id="991"/>
    </w:p>
    <w:p w14:paraId="128FAE7A">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14.1 竣工结算申请</w:t>
      </w:r>
    </w:p>
    <w:p w14:paraId="3B8DB600">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承包人提交竣工结算申请单的期限：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0CC2950">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竣工结算申请单应包括的内容：</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6015356">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14.2 竣工结算审核</w:t>
      </w:r>
    </w:p>
    <w:p w14:paraId="3649188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发包人审批竣工付款申请单的期限：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0C7CADA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发包人完成竣工付款的期限：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25A89AFE">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关于竣工付款证书异议部分复核的方式和程序：</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2D7E9D0">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14.4 最终结清</w:t>
      </w:r>
    </w:p>
    <w:p w14:paraId="4043A4FB">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14.4.1 最终结清申请单</w:t>
      </w:r>
    </w:p>
    <w:p w14:paraId="0A04E2E3">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kern w:val="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承包人提交最终结清申请单的份数：</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7E41390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kern w:val="0"/>
          <w:sz w:val="21"/>
          <w:szCs w:val="21"/>
          <w:highlight w:val="none"/>
        </w:rPr>
        <w:t>承包人提交最终结算申请单的期限：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52070C1F">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14.4.2 最终结清证书和支付</w:t>
      </w:r>
    </w:p>
    <w:p w14:paraId="1EA8A18F">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（1）发包人完成最终结清申请单的审批并颁发最终结清证书的期限：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425224E0">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（2）发包人完成支付的期限：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333690ED">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92" w:name="_Toc4207"/>
      <w:bookmarkStart w:id="993" w:name="_Toc27110"/>
      <w:bookmarkStart w:id="994" w:name="_Toc505871394"/>
      <w:bookmarkStart w:id="995" w:name="_Toc14176"/>
      <w:bookmarkStart w:id="996" w:name="_Toc256000110"/>
      <w:bookmarkStart w:id="997" w:name="_Toc604"/>
      <w:r>
        <w:rPr>
          <w:rFonts w:hint="eastAsia" w:ascii="宋体" w:hAnsi="宋体" w:eastAsia="宋体" w:cs="宋体"/>
          <w:b/>
          <w:i w:val="0"/>
          <w:caps w:val="0"/>
          <w:color w:val="auto"/>
          <w:spacing w:val="0"/>
          <w:w w:val="100"/>
          <w:sz w:val="32"/>
          <w:highlight w:val="none"/>
        </w:rPr>
        <w:t>15. 缺陷责任期与保修</w:t>
      </w:r>
      <w:bookmarkEnd w:id="992"/>
      <w:bookmarkEnd w:id="993"/>
      <w:bookmarkEnd w:id="994"/>
      <w:bookmarkEnd w:id="995"/>
      <w:bookmarkEnd w:id="996"/>
      <w:bookmarkEnd w:id="997"/>
    </w:p>
    <w:p w14:paraId="11CB7B9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15.2缺陷责任期</w:t>
      </w:r>
    </w:p>
    <w:p w14:paraId="00689A21">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缺陷责任期的具体期限：</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w:t>
      </w:r>
    </w:p>
    <w:p w14:paraId="697309EA">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15.3 质量保证金</w:t>
      </w:r>
    </w:p>
    <w:p w14:paraId="44AED211">
      <w:pPr>
        <w:pStyle w:val="66"/>
        <w:snapToGrid w:val="0"/>
        <w:spacing w:before="0" w:beforeAutospacing="0" w:after="0" w:afterAutospacing="0" w:line="360" w:lineRule="auto"/>
        <w:ind w:firstLine="42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1"/>
          <w:szCs w:val="21"/>
          <w:highlight w:val="none"/>
        </w:rPr>
        <w:t>关于是否扣留质量保证金的约定：</w:t>
      </w:r>
      <w:r>
        <w:rPr>
          <w:rFonts w:hint="eastAsia" w:ascii="宋体" w:hAnsi="宋体" w:eastAsia="宋体" w:cs="宋体"/>
          <w:b w:val="0"/>
          <w:i w:val="0"/>
          <w:caps w:val="0"/>
          <w:color w:val="auto"/>
          <w:spacing w:val="0"/>
          <w:w w:val="100"/>
          <w:sz w:val="21"/>
          <w:szCs w:val="21"/>
          <w:highlight w:val="none"/>
          <w:u w:val="single" w:color="000000"/>
        </w:rPr>
        <w:t xml:space="preserve">                      </w:t>
      </w:r>
      <w:r>
        <w:rPr>
          <w:rFonts w:hint="eastAsia" w:ascii="宋体" w:hAnsi="宋体" w:eastAsia="宋体" w:cs="宋体"/>
          <w:b w:val="0"/>
          <w:i w:val="0"/>
          <w:caps w:val="0"/>
          <w:color w:val="auto"/>
          <w:spacing w:val="0"/>
          <w:w w:val="100"/>
          <w:sz w:val="21"/>
          <w:szCs w:val="21"/>
          <w:highlight w:val="none"/>
        </w:rPr>
        <w:t>。在工程项目竣工前，承包人按专用合</w:t>
      </w:r>
      <w:r>
        <w:rPr>
          <w:rFonts w:hint="eastAsia" w:ascii="宋体" w:hAnsi="宋体" w:eastAsia="宋体" w:cs="宋体"/>
          <w:b w:val="0"/>
          <w:i w:val="0"/>
          <w:caps w:val="0"/>
          <w:color w:val="auto"/>
          <w:spacing w:val="0"/>
          <w:w w:val="100"/>
          <w:sz w:val="24"/>
          <w:szCs w:val="24"/>
          <w:highlight w:val="none"/>
        </w:rPr>
        <w:t>同条款第3.7条提供履约担保的，发包人不得同时预留工程质量保证金。</w:t>
      </w:r>
    </w:p>
    <w:p w14:paraId="4757C2D9">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15.3.1 承包人提供质量保证金的方式</w:t>
      </w:r>
    </w:p>
    <w:p w14:paraId="7FC9A9D9">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质量保证金采用以下第</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种方式：</w:t>
      </w:r>
    </w:p>
    <w:p w14:paraId="2E69C96D">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（1）质量保证金保函，保证金额为：</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375A9161">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%的工程款；</w:t>
      </w:r>
    </w:p>
    <w:p w14:paraId="12302C7B">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（3）其他方式:</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0530224D">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15.3.2 质量保证金的扣留 </w:t>
      </w:r>
    </w:p>
    <w:p w14:paraId="7A8B7CB6">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质量保证金的扣留采取以下第</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种方式：</w:t>
      </w:r>
    </w:p>
    <w:p w14:paraId="15C431EC">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（1）在支付工程进度款时逐次扣留，在此情形下，质量保证金的计算基数不包括预付款的支付、扣回以及价格调整的金额；</w:t>
      </w:r>
    </w:p>
    <w:p w14:paraId="6B5FF61D">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（2）工程竣工结算时一次性扣留质量保证金；</w:t>
      </w:r>
    </w:p>
    <w:p w14:paraId="5A1B7C67">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（3）其他扣留方式:</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25AD0803">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关于质量保证金的补充约定：</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61ACEBBE">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szCs w:val="24"/>
          <w:highlight w:val="none"/>
        </w:rPr>
      </w:pPr>
      <w:r>
        <w:rPr>
          <w:rFonts w:hint="eastAsia" w:ascii="宋体" w:hAnsi="宋体" w:eastAsia="宋体" w:cs="宋体"/>
          <w:b/>
          <w:i w:val="0"/>
          <w:caps w:val="0"/>
          <w:color w:val="auto"/>
          <w:spacing w:val="0"/>
          <w:w w:val="100"/>
          <w:sz w:val="24"/>
          <w:szCs w:val="24"/>
          <w:highlight w:val="none"/>
        </w:rPr>
        <w:t>15.4保修</w:t>
      </w:r>
    </w:p>
    <w:p w14:paraId="182C04C5">
      <w:pPr>
        <w:pStyle w:val="66"/>
        <w:snapToGrid w:val="0"/>
        <w:spacing w:before="0" w:beforeAutospacing="0" w:after="0" w:afterAutospacing="0" w:line="360" w:lineRule="auto"/>
        <w:ind w:firstLine="468" w:firstLineChars="195"/>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15.4.1 保修责任</w:t>
      </w:r>
    </w:p>
    <w:p w14:paraId="0EE95269">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工程保修期为：</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26FA88BA">
      <w:pPr>
        <w:pStyle w:val="66"/>
        <w:snapToGrid w:val="0"/>
        <w:spacing w:before="0" w:beforeAutospacing="0" w:after="0" w:afterAutospacing="0" w:line="360" w:lineRule="auto"/>
        <w:ind w:firstLine="468" w:firstLineChars="195"/>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15.4.3 修复通知</w:t>
      </w:r>
    </w:p>
    <w:p w14:paraId="24B31B07">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承包人收到保修通知并到达工程现场的合理时间：</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3C94455E">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998" w:name="_Toc9835"/>
      <w:bookmarkStart w:id="999" w:name="_Toc26209"/>
      <w:bookmarkStart w:id="1000" w:name="_Toc256000111"/>
      <w:bookmarkStart w:id="1001" w:name="_Toc505871395"/>
      <w:bookmarkStart w:id="1002" w:name="_Toc9839"/>
      <w:bookmarkStart w:id="1003" w:name="_Toc828"/>
      <w:r>
        <w:rPr>
          <w:rFonts w:hint="eastAsia" w:ascii="宋体" w:hAnsi="宋体" w:eastAsia="宋体" w:cs="宋体"/>
          <w:b/>
          <w:i w:val="0"/>
          <w:caps w:val="0"/>
          <w:color w:val="auto"/>
          <w:spacing w:val="0"/>
          <w:w w:val="100"/>
          <w:sz w:val="32"/>
          <w:highlight w:val="none"/>
        </w:rPr>
        <w:t>16. 违约</w:t>
      </w:r>
      <w:bookmarkEnd w:id="998"/>
      <w:bookmarkEnd w:id="999"/>
      <w:bookmarkEnd w:id="1000"/>
      <w:bookmarkEnd w:id="1001"/>
      <w:bookmarkEnd w:id="1002"/>
      <w:bookmarkEnd w:id="1003"/>
    </w:p>
    <w:p w14:paraId="5C81AF3D">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16.1 发包人违约</w:t>
      </w:r>
    </w:p>
    <w:p w14:paraId="75E02B8C">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16.1.1发包人违约的情形</w:t>
      </w:r>
    </w:p>
    <w:p w14:paraId="043EFACF">
      <w:pPr>
        <w:pStyle w:val="66"/>
        <w:snapToGrid w:val="0"/>
        <w:spacing w:before="0" w:beforeAutospacing="0" w:after="0" w:afterAutospacing="0" w:line="360" w:lineRule="auto"/>
        <w:ind w:hangingChars="5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发包人违约的其他情形：</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6AA2CBDC">
      <w:pPr>
        <w:pStyle w:val="66"/>
        <w:snapToGrid w:val="0"/>
        <w:spacing w:before="0" w:beforeAutospacing="0" w:after="0" w:afterAutospacing="0" w:line="360" w:lineRule="auto"/>
        <w:ind w:hangingChars="5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 xml:space="preserve">    16.1.2 发包人违约的责任</w:t>
      </w:r>
    </w:p>
    <w:p w14:paraId="31A8191C">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发包人违约责任的承担方式和计算方法：</w:t>
      </w:r>
    </w:p>
    <w:p w14:paraId="0CD12492">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u w:val="single" w:color="000000"/>
        </w:rPr>
      </w:pPr>
      <w:r>
        <w:rPr>
          <w:rFonts w:hint="eastAsia" w:ascii="宋体" w:hAnsi="宋体" w:eastAsia="宋体" w:cs="宋体"/>
          <w:b w:val="0"/>
          <w:i w:val="0"/>
          <w:caps w:val="0"/>
          <w:color w:val="auto"/>
          <w:spacing w:val="0"/>
          <w:w w:val="100"/>
          <w:kern w:val="0"/>
          <w:sz w:val="24"/>
          <w:szCs w:val="24"/>
          <w:highlight w:val="none"/>
        </w:rPr>
        <w:t>（1）因发包人原因未能在计划开工日期前7天内下达开工通知的违约责任：</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2BCEB707">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（2）因发包人原因未能按合同约定支付合同价款的违约责任：</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0BC34BEF">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（3）发包人违反第10.1款〔变更的范围〕第（2）项约定，自行实施被取消的工作或转由他人实施的违约责任：</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392F05DB">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（4）发包人提供的材料、工程设备的规格、数量或质量不符合合同约定，或因发包人原因导致交货日期延误或交货地点变更等情况的违约责任：</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63D1DCFC">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（5）因发包人违反合同约定造成暂停施工的违约责任：</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429FC254">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（6）发包人无正当理由没有在约定期限内发出复工指示，导致承包人无法复工的违约责任：</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4CC8AFE8">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（7）其他：</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13F3933A">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16.1.3 因发包人违约解除合同</w:t>
      </w:r>
    </w:p>
    <w:p w14:paraId="6A6DE48D">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承包人按16.1.1项〔发包人违约的情形〕约定暂停施工满</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天后发包人仍不纠正其违约行为并致使合同目的不能实现的，承包人有权解除合同。</w:t>
      </w:r>
    </w:p>
    <w:p w14:paraId="72C39F3D">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16.2 承包人违约</w:t>
      </w:r>
    </w:p>
    <w:p w14:paraId="5493685C">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16.2.1 承包人违约的情形</w:t>
      </w:r>
    </w:p>
    <w:p w14:paraId="36CA9FD6">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承包人违约的其他情形：</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1A116E0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16.2.2承包人违约的责任</w:t>
      </w:r>
    </w:p>
    <w:p w14:paraId="0F2E7B8D">
      <w:pPr>
        <w:pStyle w:val="66"/>
        <w:snapToGrid w:val="0"/>
        <w:spacing w:before="0" w:beforeAutospacing="0" w:after="0" w:afterAutospacing="0" w:line="360" w:lineRule="auto"/>
        <w:ind w:hangingChars="500"/>
        <w:jc w:val="left"/>
        <w:textAlignment w:val="baseline"/>
        <w:rPr>
          <w:rFonts w:hint="eastAsia" w:ascii="宋体" w:hAnsi="宋体" w:eastAsia="宋体" w:cs="宋体"/>
          <w:b w:val="0"/>
          <w:i w:val="0"/>
          <w:caps w:val="0"/>
          <w:color w:val="auto"/>
          <w:spacing w:val="0"/>
          <w:w w:val="100"/>
          <w:kern w:val="0"/>
          <w:sz w:val="24"/>
          <w:szCs w:val="24"/>
          <w:highlight w:val="none"/>
          <w:u w:val="single" w:color="000000"/>
        </w:rPr>
      </w:pPr>
      <w:r>
        <w:rPr>
          <w:rFonts w:hint="eastAsia" w:ascii="宋体" w:hAnsi="宋体" w:eastAsia="宋体" w:cs="宋体"/>
          <w:b w:val="0"/>
          <w:i w:val="0"/>
          <w:caps w:val="0"/>
          <w:color w:val="auto"/>
          <w:spacing w:val="0"/>
          <w:w w:val="100"/>
          <w:kern w:val="0"/>
          <w:sz w:val="24"/>
          <w:szCs w:val="24"/>
          <w:highlight w:val="none"/>
        </w:rPr>
        <w:t>承包人违约责任的承担方式和计算方法：</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r>
        <w:rPr>
          <w:rFonts w:hint="eastAsia" w:ascii="宋体" w:hAnsi="宋体" w:eastAsia="宋体" w:cs="宋体"/>
          <w:b w:val="0"/>
          <w:i w:val="0"/>
          <w:caps w:val="0"/>
          <w:color w:val="auto"/>
          <w:spacing w:val="0"/>
          <w:w w:val="100"/>
          <w:sz w:val="24"/>
          <w:szCs w:val="24"/>
          <w:highlight w:val="none"/>
        </w:rPr>
        <w:t xml:space="preserve">    </w:t>
      </w:r>
    </w:p>
    <w:p w14:paraId="7AC4FE4E">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16.2.3 因承包人违约解除合同</w:t>
      </w:r>
    </w:p>
    <w:p w14:paraId="08920DE4">
      <w:pPr>
        <w:pStyle w:val="66"/>
        <w:snapToGrid w:val="0"/>
        <w:spacing w:before="120" w:beforeAutospacing="0" w:after="120" w:afterAutospacing="0" w:line="360" w:lineRule="auto"/>
        <w:jc w:val="both"/>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关于承包人违约解除合同的特别约定：</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2D35355C">
      <w:pPr>
        <w:pStyle w:val="66"/>
        <w:snapToGrid w:val="0"/>
        <w:spacing w:before="120" w:beforeAutospacing="0" w:after="120" w:afterAutospacing="0" w:line="360" w:lineRule="auto"/>
        <w:ind w:firstLine="480" w:firstLineChars="200"/>
        <w:jc w:val="both"/>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发包人继续使用承包人在施工现场的材料、设备、临时工程、承包人文件和由承包人或以其名义编制的其他文件的费用承担方式：</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6C2E188D">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1004" w:name="_Toc256000112"/>
      <w:bookmarkStart w:id="1005" w:name="_Toc8274"/>
      <w:bookmarkStart w:id="1006" w:name="_Toc12299"/>
      <w:bookmarkStart w:id="1007" w:name="_Toc25709"/>
      <w:bookmarkStart w:id="1008" w:name="_Toc29093"/>
      <w:bookmarkStart w:id="1009" w:name="_Toc505871396"/>
      <w:r>
        <w:rPr>
          <w:rFonts w:hint="eastAsia" w:ascii="宋体" w:hAnsi="宋体" w:eastAsia="宋体" w:cs="宋体"/>
          <w:b/>
          <w:i w:val="0"/>
          <w:caps w:val="0"/>
          <w:color w:val="auto"/>
          <w:spacing w:val="0"/>
          <w:w w:val="100"/>
          <w:sz w:val="32"/>
          <w:highlight w:val="none"/>
        </w:rPr>
        <w:t>17. 不可抗力</w:t>
      </w:r>
      <w:bookmarkEnd w:id="1004"/>
      <w:bookmarkEnd w:id="1005"/>
      <w:bookmarkEnd w:id="1006"/>
      <w:bookmarkEnd w:id="1007"/>
      <w:bookmarkEnd w:id="1008"/>
      <w:bookmarkEnd w:id="1009"/>
      <w:r>
        <w:rPr>
          <w:rFonts w:hint="eastAsia" w:ascii="宋体" w:hAnsi="宋体" w:eastAsia="宋体" w:cs="宋体"/>
          <w:b/>
          <w:i w:val="0"/>
          <w:caps w:val="0"/>
          <w:color w:val="auto"/>
          <w:spacing w:val="0"/>
          <w:w w:val="100"/>
          <w:sz w:val="32"/>
          <w:highlight w:val="none"/>
        </w:rPr>
        <w:t xml:space="preserve"> </w:t>
      </w:r>
    </w:p>
    <w:p w14:paraId="232C67C8">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17.1 不可抗力的确认</w:t>
      </w:r>
    </w:p>
    <w:p w14:paraId="4428B4E3">
      <w:pPr>
        <w:pStyle w:val="66"/>
        <w:snapToGrid w:val="0"/>
        <w:spacing w:before="0" w:beforeAutospacing="0" w:after="0" w:afterAutospacing="0" w:line="360" w:lineRule="auto"/>
        <w:ind w:firstLine="240" w:firstLineChars="100"/>
        <w:jc w:val="left"/>
        <w:textAlignment w:val="baseline"/>
        <w:rPr>
          <w:rFonts w:hint="eastAsia" w:ascii="宋体" w:hAnsi="宋体" w:eastAsia="宋体" w:cs="宋体"/>
          <w:b w:val="0"/>
          <w:i w:val="0"/>
          <w:caps w:val="0"/>
          <w:color w:val="auto"/>
          <w:spacing w:val="0"/>
          <w:w w:val="100"/>
          <w:kern w:val="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 xml:space="preserve">除通用合同条款约定的不可抗力事件之外，视为不可抗力的其他情形： </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7DA3C870">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17.4 因不可抗力解除合同</w:t>
      </w:r>
    </w:p>
    <w:p w14:paraId="4D505A00">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合同解除后，发包人应在商定或确定发包人应支付款项后</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天内完成款项的支付。</w:t>
      </w:r>
    </w:p>
    <w:p w14:paraId="0806CCDE">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1010" w:name="_Toc4349"/>
      <w:bookmarkStart w:id="1011" w:name="_Toc256000113"/>
      <w:bookmarkStart w:id="1012" w:name="_Toc505871397"/>
      <w:bookmarkStart w:id="1013" w:name="_Toc28425"/>
      <w:bookmarkStart w:id="1014" w:name="_Toc21760"/>
      <w:bookmarkStart w:id="1015" w:name="_Toc28156"/>
      <w:r>
        <w:rPr>
          <w:rFonts w:hint="eastAsia" w:ascii="宋体" w:hAnsi="宋体" w:eastAsia="宋体" w:cs="宋体"/>
          <w:b/>
          <w:i w:val="0"/>
          <w:caps w:val="0"/>
          <w:color w:val="auto"/>
          <w:spacing w:val="0"/>
          <w:w w:val="100"/>
          <w:sz w:val="32"/>
          <w:highlight w:val="none"/>
        </w:rPr>
        <w:t>18. 保险</w:t>
      </w:r>
      <w:bookmarkEnd w:id="1010"/>
      <w:bookmarkEnd w:id="1011"/>
      <w:bookmarkEnd w:id="1012"/>
      <w:bookmarkEnd w:id="1013"/>
      <w:bookmarkEnd w:id="1014"/>
      <w:bookmarkEnd w:id="1015"/>
    </w:p>
    <w:p w14:paraId="600E4A64">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18.1 工程保险</w:t>
      </w:r>
    </w:p>
    <w:p w14:paraId="7C003B8A">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关于工程保险的特别约定：</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0485CA4B">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18.3 其他保险</w:t>
      </w:r>
    </w:p>
    <w:p w14:paraId="5891737E">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关于其他保险的约定：</w:t>
      </w:r>
      <w:r>
        <w:rPr>
          <w:rFonts w:hint="eastAsia" w:ascii="宋体" w:hAnsi="宋体" w:eastAsia="宋体" w:cs="宋体"/>
          <w:b w:val="0"/>
          <w:i w:val="0"/>
          <w:caps w:val="0"/>
          <w:color w:val="auto"/>
          <w:spacing w:val="0"/>
          <w:w w:val="100"/>
          <w:kern w:val="0"/>
          <w:sz w:val="24"/>
          <w:szCs w:val="24"/>
          <w:highlight w:val="none"/>
          <w:u w:val="single" w:color="000000"/>
        </w:rPr>
        <w:t xml:space="preserve">                                          </w:t>
      </w:r>
      <w:r>
        <w:rPr>
          <w:rFonts w:hint="eastAsia" w:ascii="宋体" w:hAnsi="宋体" w:eastAsia="宋体" w:cs="宋体"/>
          <w:b w:val="0"/>
          <w:i w:val="0"/>
          <w:caps w:val="0"/>
          <w:color w:val="auto"/>
          <w:spacing w:val="0"/>
          <w:w w:val="100"/>
          <w:kern w:val="0"/>
          <w:sz w:val="24"/>
          <w:szCs w:val="24"/>
          <w:highlight w:val="none"/>
        </w:rPr>
        <w:t>。</w:t>
      </w:r>
    </w:p>
    <w:p w14:paraId="0DF7C94D">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sz w:val="24"/>
          <w:szCs w:val="24"/>
          <w:highlight w:val="none"/>
        </w:rPr>
        <w:t>承包人是否应为其施工设备等办理财产保险：</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05F76CD2">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18.7 通知义务</w:t>
      </w:r>
    </w:p>
    <w:p w14:paraId="20F62E39">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kern w:val="0"/>
          <w:sz w:val="24"/>
          <w:szCs w:val="24"/>
          <w:highlight w:val="none"/>
        </w:rPr>
        <w:t>关于变更保险合同时的通知义务的约定：</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47C24529">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1016" w:name="_Toc11022"/>
      <w:bookmarkStart w:id="1017" w:name="_Toc505871398"/>
      <w:bookmarkStart w:id="1018" w:name="_Toc10581"/>
      <w:bookmarkStart w:id="1019" w:name="_Toc256000114"/>
      <w:bookmarkStart w:id="1020" w:name="_Toc30036"/>
      <w:bookmarkStart w:id="1021" w:name="_Toc26658"/>
      <w:r>
        <w:rPr>
          <w:rFonts w:hint="eastAsia" w:ascii="宋体" w:hAnsi="宋体" w:eastAsia="宋体" w:cs="宋体"/>
          <w:b/>
          <w:i w:val="0"/>
          <w:caps w:val="0"/>
          <w:color w:val="auto"/>
          <w:spacing w:val="0"/>
          <w:w w:val="100"/>
          <w:sz w:val="32"/>
          <w:highlight w:val="none"/>
        </w:rPr>
        <w:t>20. 争议解决</w:t>
      </w:r>
      <w:bookmarkEnd w:id="1016"/>
      <w:bookmarkEnd w:id="1017"/>
      <w:bookmarkEnd w:id="1018"/>
      <w:bookmarkEnd w:id="1019"/>
      <w:bookmarkEnd w:id="1020"/>
      <w:bookmarkEnd w:id="1021"/>
    </w:p>
    <w:p w14:paraId="6FC8B91F">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20.3 争议评审</w:t>
      </w:r>
    </w:p>
    <w:p w14:paraId="1B480A1D">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合同当事人是否同意将工程争议提交争议评审小组决定：</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w:t>
      </w:r>
    </w:p>
    <w:p w14:paraId="0DF6DAF6">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20.3.1 争议评审小组的确定</w:t>
      </w:r>
    </w:p>
    <w:p w14:paraId="0EA7935E">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争议评审小组成员的确定：</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0244A55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选定争议评审员的期限：</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162C17D0">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争议评审小组成员的报酬承担方式：</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5FDEEB15">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其他事项的约定：</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11068E9E">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kern w:val="0"/>
          <w:sz w:val="24"/>
          <w:szCs w:val="24"/>
          <w:highlight w:val="none"/>
        </w:rPr>
      </w:pPr>
      <w:r>
        <w:rPr>
          <w:rFonts w:hint="eastAsia" w:ascii="宋体" w:hAnsi="宋体" w:eastAsia="宋体" w:cs="宋体"/>
          <w:b w:val="0"/>
          <w:i w:val="0"/>
          <w:caps w:val="0"/>
          <w:color w:val="auto"/>
          <w:spacing w:val="0"/>
          <w:w w:val="100"/>
          <w:kern w:val="0"/>
          <w:sz w:val="24"/>
          <w:szCs w:val="24"/>
          <w:highlight w:val="none"/>
        </w:rPr>
        <w:t>20.3.2 争议评审小组的决定</w:t>
      </w:r>
    </w:p>
    <w:p w14:paraId="29E27930">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合同当事人关于本项的约定：</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7542D3BB">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4"/>
          <w:highlight w:val="none"/>
        </w:rPr>
        <w:t>20.4仲裁或诉讼</w:t>
      </w:r>
    </w:p>
    <w:p w14:paraId="58F8B28D">
      <w:pPr>
        <w:pStyle w:val="66"/>
        <w:snapToGrid w:val="0"/>
        <w:spacing w:before="0" w:beforeAutospacing="0" w:after="12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因合同及合同有关事项发生的争议，按下列第</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种方式解决：</w:t>
      </w:r>
    </w:p>
    <w:p w14:paraId="13D198F2">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（1）向</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仲裁委员会申请仲裁；</w:t>
      </w:r>
    </w:p>
    <w:p w14:paraId="55EF45F1">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（2）向</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人民法院起诉。</w:t>
      </w:r>
    </w:p>
    <w:p w14:paraId="065695A0">
      <w:pPr>
        <w:pStyle w:val="67"/>
        <w:snapToGrid w:val="0"/>
        <w:spacing w:before="340" w:beforeAutospacing="0" w:after="330" w:afterAutospacing="0" w:line="576" w:lineRule="auto"/>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br w:type="page"/>
      </w:r>
    </w:p>
    <w:p w14:paraId="0CF01D62">
      <w:pPr>
        <w:snapToGrid w:val="0"/>
        <w:spacing w:before="340" w:beforeAutospacing="0" w:after="330" w:afterAutospacing="0" w:line="576" w:lineRule="auto"/>
        <w:textAlignment w:val="baseline"/>
        <w:rPr>
          <w:rFonts w:hint="eastAsia" w:ascii="宋体" w:hAnsi="宋体" w:eastAsia="宋体" w:cs="宋体"/>
          <w:b w:val="0"/>
          <w:i w:val="0"/>
          <w:caps w:val="0"/>
          <w:color w:val="auto"/>
          <w:spacing w:val="0"/>
          <w:w w:val="100"/>
          <w:sz w:val="24"/>
          <w:highlight w:val="none"/>
        </w:rPr>
      </w:pPr>
      <w:bookmarkStart w:id="1022" w:name="_Toc23270"/>
      <w:r>
        <w:rPr>
          <w:rFonts w:hint="eastAsia" w:ascii="宋体" w:hAnsi="宋体" w:eastAsia="宋体" w:cs="宋体"/>
          <w:b w:val="0"/>
          <w:i w:val="0"/>
          <w:caps w:val="0"/>
          <w:color w:val="auto"/>
          <w:spacing w:val="0"/>
          <w:w w:val="100"/>
          <w:sz w:val="24"/>
          <w:highlight w:val="none"/>
        </w:rPr>
        <w:t>附件</w:t>
      </w:r>
      <w:bookmarkEnd w:id="1022"/>
    </w:p>
    <w:p w14:paraId="639D2C9F">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协议书附件：</w:t>
      </w:r>
    </w:p>
    <w:p w14:paraId="13B3A6E4">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23" w:name="_Toc28517"/>
      <w:bookmarkStart w:id="1024" w:name="_Toc12155"/>
      <w:bookmarkStart w:id="1025" w:name="_Toc10091"/>
      <w:r>
        <w:rPr>
          <w:rFonts w:hint="eastAsia" w:ascii="宋体" w:hAnsi="宋体" w:eastAsia="宋体" w:cs="宋体"/>
          <w:b w:val="0"/>
          <w:i w:val="0"/>
          <w:caps w:val="0"/>
          <w:color w:val="auto"/>
          <w:spacing w:val="0"/>
          <w:w w:val="100"/>
          <w:sz w:val="21"/>
          <w:szCs w:val="21"/>
          <w:highlight w:val="none"/>
        </w:rPr>
        <w:t>附件1：承包人承揽工程项目一览表</w:t>
      </w:r>
      <w:bookmarkEnd w:id="1023"/>
      <w:bookmarkEnd w:id="1024"/>
      <w:bookmarkEnd w:id="1025"/>
    </w:p>
    <w:p w14:paraId="7F743F5B">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专用合同条款附件：</w:t>
      </w:r>
    </w:p>
    <w:p w14:paraId="43E9F524">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26" w:name="_Toc10190"/>
      <w:bookmarkStart w:id="1027" w:name="_Toc13743"/>
      <w:bookmarkStart w:id="1028" w:name="_Toc9919"/>
      <w:r>
        <w:rPr>
          <w:rFonts w:hint="eastAsia" w:ascii="宋体" w:hAnsi="宋体" w:eastAsia="宋体" w:cs="宋体"/>
          <w:b w:val="0"/>
          <w:i w:val="0"/>
          <w:caps w:val="0"/>
          <w:color w:val="auto"/>
          <w:spacing w:val="0"/>
          <w:w w:val="100"/>
          <w:sz w:val="21"/>
          <w:szCs w:val="21"/>
          <w:highlight w:val="none"/>
        </w:rPr>
        <w:t>附件2：发包人供应材料设备一览表</w:t>
      </w:r>
      <w:bookmarkEnd w:id="1026"/>
      <w:bookmarkEnd w:id="1027"/>
      <w:bookmarkEnd w:id="1028"/>
    </w:p>
    <w:p w14:paraId="1BBDC628">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29" w:name="_Toc23977"/>
      <w:bookmarkStart w:id="1030" w:name="_Toc27729"/>
      <w:bookmarkStart w:id="1031" w:name="_Toc26042"/>
      <w:r>
        <w:rPr>
          <w:rFonts w:hint="eastAsia" w:ascii="宋体" w:hAnsi="宋体" w:eastAsia="宋体" w:cs="宋体"/>
          <w:b w:val="0"/>
          <w:i w:val="0"/>
          <w:caps w:val="0"/>
          <w:color w:val="auto"/>
          <w:spacing w:val="0"/>
          <w:w w:val="100"/>
          <w:sz w:val="21"/>
          <w:szCs w:val="21"/>
          <w:highlight w:val="none"/>
        </w:rPr>
        <w:t>附件3：工程质量保修书</w:t>
      </w:r>
      <w:bookmarkEnd w:id="1029"/>
      <w:bookmarkEnd w:id="1030"/>
      <w:bookmarkEnd w:id="1031"/>
    </w:p>
    <w:p w14:paraId="6D5EB53F">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32" w:name="_Toc21592"/>
      <w:bookmarkStart w:id="1033" w:name="_Toc12265"/>
      <w:bookmarkStart w:id="1034" w:name="_Toc25857"/>
      <w:r>
        <w:rPr>
          <w:rFonts w:hint="eastAsia" w:ascii="宋体" w:hAnsi="宋体" w:eastAsia="宋体" w:cs="宋体"/>
          <w:b w:val="0"/>
          <w:i w:val="0"/>
          <w:caps w:val="0"/>
          <w:color w:val="auto"/>
          <w:spacing w:val="0"/>
          <w:w w:val="100"/>
          <w:sz w:val="21"/>
          <w:szCs w:val="21"/>
          <w:highlight w:val="none"/>
        </w:rPr>
        <w:t>附件4：主要建设工程文件目录</w:t>
      </w:r>
      <w:bookmarkEnd w:id="1032"/>
      <w:bookmarkEnd w:id="1033"/>
      <w:bookmarkEnd w:id="1034"/>
    </w:p>
    <w:p w14:paraId="552CBB0B">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35" w:name="_Toc7811"/>
      <w:bookmarkStart w:id="1036" w:name="_Toc11469"/>
      <w:bookmarkStart w:id="1037" w:name="_Toc14840"/>
      <w:r>
        <w:rPr>
          <w:rFonts w:hint="eastAsia" w:ascii="宋体" w:hAnsi="宋体" w:eastAsia="宋体" w:cs="宋体"/>
          <w:b w:val="0"/>
          <w:i w:val="0"/>
          <w:caps w:val="0"/>
          <w:color w:val="auto"/>
          <w:spacing w:val="0"/>
          <w:w w:val="100"/>
          <w:sz w:val="21"/>
          <w:szCs w:val="21"/>
          <w:highlight w:val="none"/>
        </w:rPr>
        <w:t>附件5：承包人用于本工程施工的机械设备表</w:t>
      </w:r>
      <w:bookmarkEnd w:id="1035"/>
      <w:bookmarkEnd w:id="1036"/>
      <w:bookmarkEnd w:id="1037"/>
    </w:p>
    <w:p w14:paraId="0FAFD5DF">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38" w:name="_Toc29667"/>
      <w:bookmarkStart w:id="1039" w:name="_Toc9383"/>
      <w:bookmarkStart w:id="1040" w:name="_Toc2289"/>
      <w:r>
        <w:rPr>
          <w:rFonts w:hint="eastAsia" w:ascii="宋体" w:hAnsi="宋体" w:eastAsia="宋体" w:cs="宋体"/>
          <w:b w:val="0"/>
          <w:i w:val="0"/>
          <w:caps w:val="0"/>
          <w:color w:val="auto"/>
          <w:spacing w:val="0"/>
          <w:w w:val="100"/>
          <w:sz w:val="21"/>
          <w:szCs w:val="21"/>
          <w:highlight w:val="none"/>
        </w:rPr>
        <w:t>附件6：承包人主要施工管理人员表</w:t>
      </w:r>
      <w:bookmarkEnd w:id="1038"/>
      <w:bookmarkEnd w:id="1039"/>
      <w:bookmarkEnd w:id="1040"/>
    </w:p>
    <w:p w14:paraId="5B060622">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41" w:name="_Toc13900"/>
      <w:bookmarkStart w:id="1042" w:name="_Toc20891"/>
      <w:bookmarkStart w:id="1043" w:name="_Toc21817"/>
      <w:r>
        <w:rPr>
          <w:rFonts w:hint="eastAsia" w:ascii="宋体" w:hAnsi="宋体" w:eastAsia="宋体" w:cs="宋体"/>
          <w:b w:val="0"/>
          <w:i w:val="0"/>
          <w:caps w:val="0"/>
          <w:color w:val="auto"/>
          <w:spacing w:val="0"/>
          <w:w w:val="100"/>
          <w:sz w:val="21"/>
          <w:szCs w:val="21"/>
          <w:highlight w:val="none"/>
        </w:rPr>
        <w:t>附件7：分包人主要施工管理人员表</w:t>
      </w:r>
      <w:bookmarkEnd w:id="1041"/>
      <w:bookmarkEnd w:id="1042"/>
      <w:bookmarkEnd w:id="1043"/>
    </w:p>
    <w:p w14:paraId="7749144B">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44" w:name="_Toc4114"/>
      <w:bookmarkStart w:id="1045" w:name="_Toc14668"/>
      <w:bookmarkStart w:id="1046" w:name="_Toc19681"/>
      <w:r>
        <w:rPr>
          <w:rFonts w:hint="eastAsia" w:ascii="宋体" w:hAnsi="宋体" w:eastAsia="宋体" w:cs="宋体"/>
          <w:b w:val="0"/>
          <w:i w:val="0"/>
          <w:caps w:val="0"/>
          <w:color w:val="auto"/>
          <w:spacing w:val="0"/>
          <w:w w:val="100"/>
          <w:sz w:val="21"/>
          <w:szCs w:val="21"/>
          <w:highlight w:val="none"/>
        </w:rPr>
        <w:t>附件8：履约担保格式</w:t>
      </w:r>
      <w:bookmarkEnd w:id="1044"/>
      <w:bookmarkEnd w:id="1045"/>
      <w:bookmarkEnd w:id="1046"/>
    </w:p>
    <w:p w14:paraId="7730B252">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47" w:name="_Toc21982"/>
      <w:bookmarkStart w:id="1048" w:name="_Toc16225"/>
      <w:bookmarkStart w:id="1049" w:name="_Toc31499"/>
      <w:r>
        <w:rPr>
          <w:rFonts w:hint="eastAsia" w:ascii="宋体" w:hAnsi="宋体" w:eastAsia="宋体" w:cs="宋体"/>
          <w:b w:val="0"/>
          <w:i w:val="0"/>
          <w:caps w:val="0"/>
          <w:color w:val="auto"/>
          <w:spacing w:val="0"/>
          <w:w w:val="100"/>
          <w:sz w:val="21"/>
          <w:szCs w:val="21"/>
          <w:highlight w:val="none"/>
        </w:rPr>
        <w:t>附件9：预付款担保格式</w:t>
      </w:r>
      <w:bookmarkEnd w:id="1047"/>
      <w:bookmarkEnd w:id="1048"/>
      <w:bookmarkEnd w:id="1049"/>
    </w:p>
    <w:p w14:paraId="5D524522">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50" w:name="_Toc5651"/>
      <w:bookmarkStart w:id="1051" w:name="_Toc31529"/>
      <w:bookmarkStart w:id="1052" w:name="_Toc9218"/>
      <w:r>
        <w:rPr>
          <w:rFonts w:hint="eastAsia" w:ascii="宋体" w:hAnsi="宋体" w:eastAsia="宋体" w:cs="宋体"/>
          <w:b w:val="0"/>
          <w:i w:val="0"/>
          <w:caps w:val="0"/>
          <w:color w:val="auto"/>
          <w:spacing w:val="0"/>
          <w:w w:val="100"/>
          <w:sz w:val="21"/>
          <w:szCs w:val="21"/>
          <w:highlight w:val="none"/>
        </w:rPr>
        <w:t>附件10：支付担保格式</w:t>
      </w:r>
      <w:bookmarkEnd w:id="1050"/>
      <w:bookmarkEnd w:id="1051"/>
      <w:bookmarkEnd w:id="1052"/>
    </w:p>
    <w:p w14:paraId="171777C9">
      <w:pPr>
        <w:pStyle w:val="66"/>
        <w:snapToGrid w:val="0"/>
        <w:spacing w:before="0" w:beforeAutospacing="0" w:after="0" w:afterAutospacing="0" w:line="360" w:lineRule="auto"/>
        <w:jc w:val="left"/>
        <w:textAlignment w:val="baseline"/>
        <w:outlineLvl w:val="0"/>
        <w:rPr>
          <w:rFonts w:hint="eastAsia" w:ascii="宋体" w:hAnsi="宋体" w:eastAsia="宋体" w:cs="宋体"/>
          <w:b w:val="0"/>
          <w:i w:val="0"/>
          <w:caps w:val="0"/>
          <w:color w:val="auto"/>
          <w:spacing w:val="0"/>
          <w:w w:val="100"/>
          <w:sz w:val="21"/>
          <w:szCs w:val="21"/>
          <w:highlight w:val="none"/>
        </w:rPr>
      </w:pPr>
      <w:bookmarkStart w:id="1053" w:name="_Toc30245"/>
      <w:bookmarkStart w:id="1054" w:name="_Toc21657"/>
      <w:bookmarkStart w:id="1055" w:name="_Toc30835"/>
      <w:r>
        <w:rPr>
          <w:rFonts w:hint="eastAsia" w:ascii="宋体" w:hAnsi="宋体" w:eastAsia="宋体" w:cs="宋体"/>
          <w:b w:val="0"/>
          <w:i w:val="0"/>
          <w:caps w:val="0"/>
          <w:color w:val="auto"/>
          <w:spacing w:val="0"/>
          <w:w w:val="100"/>
          <w:sz w:val="21"/>
          <w:szCs w:val="21"/>
          <w:highlight w:val="none"/>
        </w:rPr>
        <w:t>附件11：暂估价一览表</w:t>
      </w:r>
      <w:bookmarkEnd w:id="1053"/>
      <w:bookmarkEnd w:id="1054"/>
      <w:bookmarkEnd w:id="1055"/>
    </w:p>
    <w:p w14:paraId="14007C38">
      <w:pPr>
        <w:rPr>
          <w:rFonts w:hint="eastAsia" w:ascii="宋体" w:hAnsi="宋体" w:eastAsia="宋体" w:cs="宋体"/>
          <w:b/>
          <w:i w:val="0"/>
          <w:caps w:val="0"/>
          <w:color w:val="auto"/>
          <w:spacing w:val="0"/>
          <w:w w:val="100"/>
          <w:sz w:val="32"/>
          <w:highlight w:val="none"/>
        </w:rPr>
      </w:pPr>
      <w:bookmarkStart w:id="1056" w:name="_Toc256000115"/>
      <w:bookmarkStart w:id="1057" w:name="_Toc505871399"/>
      <w:bookmarkStart w:id="1058" w:name="_Toc11759"/>
      <w:bookmarkStart w:id="1059" w:name="_Toc10661"/>
      <w:bookmarkStart w:id="1060" w:name="_Toc14486"/>
      <w:bookmarkStart w:id="1061" w:name="_Toc21503"/>
      <w:r>
        <w:rPr>
          <w:rFonts w:hint="eastAsia" w:ascii="宋体" w:hAnsi="宋体" w:eastAsia="宋体" w:cs="宋体"/>
          <w:b/>
          <w:i w:val="0"/>
          <w:caps w:val="0"/>
          <w:color w:val="auto"/>
          <w:spacing w:val="0"/>
          <w:w w:val="100"/>
          <w:sz w:val="32"/>
          <w:highlight w:val="none"/>
        </w:rPr>
        <w:br w:type="page"/>
      </w:r>
    </w:p>
    <w:p w14:paraId="023F8958">
      <w:pPr>
        <w:pStyle w:val="72"/>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062" w:name="_Toc24196"/>
      <w:r>
        <w:rPr>
          <w:rFonts w:hint="eastAsia" w:ascii="宋体" w:hAnsi="宋体" w:eastAsia="宋体" w:cs="宋体"/>
          <w:b/>
          <w:i w:val="0"/>
          <w:caps w:val="0"/>
          <w:color w:val="auto"/>
          <w:spacing w:val="0"/>
          <w:w w:val="100"/>
          <w:sz w:val="32"/>
          <w:highlight w:val="none"/>
        </w:rPr>
        <w:t>附件1：</w:t>
      </w:r>
      <w:bookmarkEnd w:id="1056"/>
      <w:bookmarkEnd w:id="1057"/>
      <w:bookmarkStart w:id="1063" w:name="_Toc256000116"/>
      <w:bookmarkStart w:id="1064" w:name="_Toc505871400"/>
      <w:r>
        <w:rPr>
          <w:rFonts w:hint="eastAsia" w:ascii="宋体" w:hAnsi="宋体" w:eastAsia="宋体" w:cs="宋体"/>
          <w:b/>
          <w:i w:val="0"/>
          <w:caps w:val="0"/>
          <w:color w:val="auto"/>
          <w:spacing w:val="0"/>
          <w:w w:val="100"/>
          <w:sz w:val="32"/>
          <w:highlight w:val="none"/>
        </w:rPr>
        <w:t>承包人承揽工程项目一览表</w:t>
      </w:r>
      <w:bookmarkEnd w:id="1058"/>
      <w:bookmarkEnd w:id="1059"/>
      <w:bookmarkEnd w:id="1060"/>
      <w:bookmarkEnd w:id="1061"/>
      <w:bookmarkEnd w:id="1062"/>
      <w:bookmarkEnd w:id="1063"/>
      <w:bookmarkEnd w:id="1064"/>
    </w:p>
    <w:tbl>
      <w:tblPr>
        <w:tblStyle w:val="23"/>
        <w:tblW w:w="942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531"/>
        <w:gridCol w:w="1792"/>
        <w:gridCol w:w="1724"/>
        <w:gridCol w:w="1418"/>
        <w:gridCol w:w="1541"/>
        <w:gridCol w:w="1418"/>
      </w:tblGrid>
      <w:tr w14:paraId="20101D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162" w:hRule="atLeast"/>
          <w:jc w:val="center"/>
        </w:trPr>
        <w:tc>
          <w:tcPr>
            <w:tcW w:w="1531" w:type="dxa"/>
            <w:tcBorders>
              <w:top w:val="single" w:color="auto" w:sz="12" w:space="0"/>
              <w:bottom w:val="double" w:color="auto" w:sz="6" w:space="0"/>
            </w:tcBorders>
            <w:noWrap w:val="0"/>
            <w:vAlign w:val="center"/>
          </w:tcPr>
          <w:p w14:paraId="01920DB2">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单位工程名称</w:t>
            </w:r>
          </w:p>
        </w:tc>
        <w:tc>
          <w:tcPr>
            <w:tcW w:w="1792" w:type="dxa"/>
            <w:tcBorders>
              <w:top w:val="single" w:color="auto" w:sz="12" w:space="0"/>
              <w:bottom w:val="double" w:color="auto" w:sz="6" w:space="0"/>
            </w:tcBorders>
            <w:noWrap w:val="0"/>
            <w:vAlign w:val="center"/>
          </w:tcPr>
          <w:p w14:paraId="21CFA82C">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建设规模</w:t>
            </w:r>
          </w:p>
        </w:tc>
        <w:tc>
          <w:tcPr>
            <w:tcW w:w="1724" w:type="dxa"/>
            <w:tcBorders>
              <w:top w:val="single" w:color="auto" w:sz="12" w:space="0"/>
              <w:bottom w:val="double" w:color="auto" w:sz="6" w:space="0"/>
            </w:tcBorders>
            <w:noWrap w:val="0"/>
            <w:vAlign w:val="center"/>
          </w:tcPr>
          <w:p w14:paraId="0885A22A">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设备安装内容</w:t>
            </w:r>
          </w:p>
        </w:tc>
        <w:tc>
          <w:tcPr>
            <w:tcW w:w="1418" w:type="dxa"/>
            <w:tcBorders>
              <w:top w:val="single" w:color="auto" w:sz="12" w:space="0"/>
              <w:bottom w:val="double" w:color="auto" w:sz="6" w:space="0"/>
            </w:tcBorders>
            <w:noWrap w:val="0"/>
            <w:vAlign w:val="center"/>
          </w:tcPr>
          <w:p w14:paraId="4A933DD7">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合同价格（元）</w:t>
            </w:r>
          </w:p>
        </w:tc>
        <w:tc>
          <w:tcPr>
            <w:tcW w:w="1541" w:type="dxa"/>
            <w:tcBorders>
              <w:top w:val="single" w:color="auto" w:sz="12" w:space="0"/>
              <w:bottom w:val="double" w:color="auto" w:sz="6" w:space="0"/>
            </w:tcBorders>
            <w:noWrap w:val="0"/>
            <w:vAlign w:val="center"/>
          </w:tcPr>
          <w:p w14:paraId="39F80B23">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开工日期</w:t>
            </w:r>
          </w:p>
        </w:tc>
        <w:tc>
          <w:tcPr>
            <w:tcW w:w="1418" w:type="dxa"/>
            <w:tcBorders>
              <w:top w:val="single" w:color="auto" w:sz="12" w:space="0"/>
              <w:bottom w:val="double" w:color="auto" w:sz="6" w:space="0"/>
            </w:tcBorders>
            <w:noWrap w:val="0"/>
            <w:vAlign w:val="center"/>
          </w:tcPr>
          <w:p w14:paraId="7E6B3790">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竣工日期</w:t>
            </w:r>
          </w:p>
        </w:tc>
      </w:tr>
      <w:tr w14:paraId="1E4051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8" w:hRule="atLeast"/>
          <w:jc w:val="center"/>
        </w:trPr>
        <w:tc>
          <w:tcPr>
            <w:tcW w:w="1531" w:type="dxa"/>
            <w:tcBorders>
              <w:top w:val="double" w:color="auto" w:sz="6" w:space="0"/>
              <w:bottom w:val="single" w:color="auto" w:sz="6" w:space="0"/>
            </w:tcBorders>
            <w:noWrap w:val="0"/>
            <w:vAlign w:val="center"/>
          </w:tcPr>
          <w:p w14:paraId="671DB0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tcBorders>
              <w:top w:val="double" w:color="auto" w:sz="6" w:space="0"/>
              <w:bottom w:val="single" w:color="auto" w:sz="6" w:space="0"/>
            </w:tcBorders>
            <w:noWrap w:val="0"/>
            <w:vAlign w:val="center"/>
          </w:tcPr>
          <w:p w14:paraId="20933B1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tcBorders>
              <w:top w:val="double" w:color="auto" w:sz="6" w:space="0"/>
              <w:bottom w:val="single" w:color="auto" w:sz="6" w:space="0"/>
            </w:tcBorders>
            <w:noWrap w:val="0"/>
            <w:vAlign w:val="center"/>
          </w:tcPr>
          <w:p w14:paraId="74A5F2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double" w:color="auto" w:sz="6" w:space="0"/>
              <w:bottom w:val="single" w:color="auto" w:sz="6" w:space="0"/>
            </w:tcBorders>
            <w:noWrap w:val="0"/>
            <w:vAlign w:val="center"/>
          </w:tcPr>
          <w:p w14:paraId="2693461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tcBorders>
              <w:top w:val="double" w:color="auto" w:sz="6" w:space="0"/>
              <w:bottom w:val="single" w:color="auto" w:sz="6" w:space="0"/>
            </w:tcBorders>
            <w:noWrap w:val="0"/>
            <w:vAlign w:val="center"/>
          </w:tcPr>
          <w:p w14:paraId="3CE9C82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double" w:color="auto" w:sz="6" w:space="0"/>
              <w:bottom w:val="single" w:color="auto" w:sz="6" w:space="0"/>
            </w:tcBorders>
            <w:noWrap w:val="0"/>
            <w:vAlign w:val="center"/>
          </w:tcPr>
          <w:p w14:paraId="131202D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34B598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1531" w:type="dxa"/>
            <w:tcBorders>
              <w:top w:val="nil"/>
            </w:tcBorders>
            <w:noWrap w:val="0"/>
            <w:vAlign w:val="center"/>
          </w:tcPr>
          <w:p w14:paraId="584059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tcBorders>
              <w:top w:val="nil"/>
            </w:tcBorders>
            <w:noWrap w:val="0"/>
            <w:vAlign w:val="center"/>
          </w:tcPr>
          <w:p w14:paraId="1209D49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tcBorders>
              <w:top w:val="nil"/>
            </w:tcBorders>
            <w:noWrap w:val="0"/>
            <w:vAlign w:val="center"/>
          </w:tcPr>
          <w:p w14:paraId="788003D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35372CD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tcBorders>
              <w:top w:val="nil"/>
            </w:tcBorders>
            <w:noWrap w:val="0"/>
            <w:vAlign w:val="center"/>
          </w:tcPr>
          <w:p w14:paraId="7E42F0C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60D45FA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AD0E17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1531" w:type="dxa"/>
            <w:tcBorders>
              <w:top w:val="nil"/>
            </w:tcBorders>
            <w:noWrap w:val="0"/>
            <w:vAlign w:val="center"/>
          </w:tcPr>
          <w:p w14:paraId="645929D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tcBorders>
              <w:top w:val="nil"/>
            </w:tcBorders>
            <w:noWrap w:val="0"/>
            <w:vAlign w:val="center"/>
          </w:tcPr>
          <w:p w14:paraId="3E27308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tcBorders>
              <w:top w:val="nil"/>
            </w:tcBorders>
            <w:noWrap w:val="0"/>
            <w:vAlign w:val="center"/>
          </w:tcPr>
          <w:p w14:paraId="290E8C6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5BD108C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tcBorders>
              <w:top w:val="nil"/>
            </w:tcBorders>
            <w:noWrap w:val="0"/>
            <w:vAlign w:val="center"/>
          </w:tcPr>
          <w:p w14:paraId="4F2038B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044907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E8689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1531" w:type="dxa"/>
            <w:noWrap w:val="0"/>
            <w:vAlign w:val="center"/>
          </w:tcPr>
          <w:p w14:paraId="69113A9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2279DB4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2C55608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D421DC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3A918A9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90B5C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FFB53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1531" w:type="dxa"/>
            <w:tcBorders>
              <w:top w:val="nil"/>
            </w:tcBorders>
            <w:noWrap w:val="0"/>
            <w:vAlign w:val="center"/>
          </w:tcPr>
          <w:p w14:paraId="24F6DB3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tcBorders>
              <w:top w:val="nil"/>
            </w:tcBorders>
            <w:noWrap w:val="0"/>
            <w:vAlign w:val="center"/>
          </w:tcPr>
          <w:p w14:paraId="2BB04DD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tcBorders>
              <w:top w:val="nil"/>
            </w:tcBorders>
            <w:noWrap w:val="0"/>
            <w:vAlign w:val="center"/>
          </w:tcPr>
          <w:p w14:paraId="617A031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049D678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tcBorders>
              <w:top w:val="nil"/>
            </w:tcBorders>
            <w:noWrap w:val="0"/>
            <w:vAlign w:val="center"/>
          </w:tcPr>
          <w:p w14:paraId="1A8A947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2AACFEE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1123B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1531" w:type="dxa"/>
            <w:noWrap w:val="0"/>
            <w:vAlign w:val="center"/>
          </w:tcPr>
          <w:p w14:paraId="2EB716E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66C94F3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32E9BD8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061965A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6B2E36D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52E5207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A31FE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1531" w:type="dxa"/>
            <w:tcBorders>
              <w:top w:val="nil"/>
            </w:tcBorders>
            <w:noWrap w:val="0"/>
            <w:vAlign w:val="center"/>
          </w:tcPr>
          <w:p w14:paraId="58679C9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tcBorders>
              <w:top w:val="nil"/>
            </w:tcBorders>
            <w:noWrap w:val="0"/>
            <w:vAlign w:val="center"/>
          </w:tcPr>
          <w:p w14:paraId="38A7E81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tcBorders>
              <w:top w:val="nil"/>
            </w:tcBorders>
            <w:noWrap w:val="0"/>
            <w:vAlign w:val="center"/>
          </w:tcPr>
          <w:p w14:paraId="36E3B91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06E79AB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tcBorders>
              <w:top w:val="nil"/>
            </w:tcBorders>
            <w:noWrap w:val="0"/>
            <w:vAlign w:val="center"/>
          </w:tcPr>
          <w:p w14:paraId="199A759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45587E6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3B99B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36" w:hRule="atLeast"/>
          <w:jc w:val="center"/>
        </w:trPr>
        <w:tc>
          <w:tcPr>
            <w:tcW w:w="1531" w:type="dxa"/>
            <w:tcBorders>
              <w:top w:val="nil"/>
            </w:tcBorders>
            <w:noWrap w:val="0"/>
            <w:vAlign w:val="center"/>
          </w:tcPr>
          <w:p w14:paraId="30C0A97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tcBorders>
              <w:top w:val="nil"/>
            </w:tcBorders>
            <w:noWrap w:val="0"/>
            <w:vAlign w:val="center"/>
          </w:tcPr>
          <w:p w14:paraId="6E4D246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tcBorders>
              <w:top w:val="nil"/>
            </w:tcBorders>
            <w:noWrap w:val="0"/>
            <w:vAlign w:val="center"/>
          </w:tcPr>
          <w:p w14:paraId="7739FCE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657B476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tcBorders>
              <w:top w:val="nil"/>
            </w:tcBorders>
            <w:noWrap w:val="0"/>
            <w:vAlign w:val="center"/>
          </w:tcPr>
          <w:p w14:paraId="5B10D0C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09205C6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1F6406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9" w:hRule="atLeast"/>
          <w:jc w:val="center"/>
        </w:trPr>
        <w:tc>
          <w:tcPr>
            <w:tcW w:w="1531" w:type="dxa"/>
            <w:noWrap w:val="0"/>
            <w:vAlign w:val="center"/>
          </w:tcPr>
          <w:p w14:paraId="6D004B1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0103AFD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3959DA8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D50EEC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7A9C519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7F2634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9BCD20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9" w:hRule="atLeast"/>
          <w:jc w:val="center"/>
        </w:trPr>
        <w:tc>
          <w:tcPr>
            <w:tcW w:w="1531" w:type="dxa"/>
            <w:noWrap w:val="0"/>
            <w:vAlign w:val="center"/>
          </w:tcPr>
          <w:p w14:paraId="4618B9D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68ECC7C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64B543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635C64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233090C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EAA422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37EAFA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9" w:hRule="atLeast"/>
          <w:jc w:val="center"/>
        </w:trPr>
        <w:tc>
          <w:tcPr>
            <w:tcW w:w="1531" w:type="dxa"/>
            <w:noWrap w:val="0"/>
            <w:vAlign w:val="center"/>
          </w:tcPr>
          <w:p w14:paraId="407F375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0152819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1A42DAB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5324B8E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2E7DAFA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EB4D39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22296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9" w:hRule="atLeast"/>
          <w:jc w:val="center"/>
        </w:trPr>
        <w:tc>
          <w:tcPr>
            <w:tcW w:w="1531" w:type="dxa"/>
            <w:noWrap w:val="0"/>
            <w:vAlign w:val="center"/>
          </w:tcPr>
          <w:p w14:paraId="4452B15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21A775A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2445BF3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2F216D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1910C3A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346ED08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6B30E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69" w:hRule="atLeast"/>
          <w:jc w:val="center"/>
        </w:trPr>
        <w:tc>
          <w:tcPr>
            <w:tcW w:w="1531" w:type="dxa"/>
            <w:noWrap w:val="0"/>
            <w:vAlign w:val="center"/>
          </w:tcPr>
          <w:p w14:paraId="1D88D7B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3EDA21A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6E1978E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8934C7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1F77B5F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2A44CCB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DEFA62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798" w:hRule="atLeast"/>
          <w:jc w:val="center"/>
        </w:trPr>
        <w:tc>
          <w:tcPr>
            <w:tcW w:w="1531" w:type="dxa"/>
            <w:noWrap w:val="0"/>
            <w:vAlign w:val="center"/>
          </w:tcPr>
          <w:p w14:paraId="761E028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92" w:type="dxa"/>
            <w:noWrap w:val="0"/>
            <w:vAlign w:val="center"/>
          </w:tcPr>
          <w:p w14:paraId="61EFF22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24" w:type="dxa"/>
            <w:noWrap w:val="0"/>
            <w:vAlign w:val="center"/>
          </w:tcPr>
          <w:p w14:paraId="17C742A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1AF800A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541" w:type="dxa"/>
            <w:noWrap w:val="0"/>
            <w:vAlign w:val="center"/>
          </w:tcPr>
          <w:p w14:paraId="58CC381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1C0CA55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bl>
    <w:p w14:paraId="798ECDBA">
      <w:pPr>
        <w:pStyle w:val="72"/>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065" w:name="_Toc505871401"/>
      <w:bookmarkStart w:id="1066" w:name="_Toc256000117"/>
      <w:bookmarkStart w:id="1067" w:name="_Toc9955"/>
      <w:bookmarkStart w:id="1068" w:name="_Toc25138"/>
      <w:bookmarkStart w:id="1069" w:name="_Toc12118"/>
      <w:bookmarkStart w:id="1070" w:name="_Toc23687"/>
      <w:bookmarkStart w:id="1071" w:name="_Toc14089"/>
      <w:r>
        <w:rPr>
          <w:rFonts w:hint="eastAsia" w:ascii="宋体" w:hAnsi="宋体" w:eastAsia="宋体" w:cs="宋体"/>
          <w:b/>
          <w:i w:val="0"/>
          <w:caps w:val="0"/>
          <w:color w:val="auto"/>
          <w:spacing w:val="0"/>
          <w:w w:val="100"/>
          <w:sz w:val="32"/>
          <w:highlight w:val="none"/>
        </w:rPr>
        <w:t>附件2：</w:t>
      </w:r>
      <w:bookmarkEnd w:id="1065"/>
      <w:bookmarkEnd w:id="1066"/>
      <w:bookmarkStart w:id="1072" w:name="_Toc505871402"/>
      <w:bookmarkStart w:id="1073" w:name="_Toc256000118"/>
      <w:r>
        <w:rPr>
          <w:rFonts w:hint="eastAsia" w:ascii="宋体" w:hAnsi="宋体" w:eastAsia="宋体" w:cs="宋体"/>
          <w:b/>
          <w:i w:val="0"/>
          <w:caps w:val="0"/>
          <w:color w:val="auto"/>
          <w:spacing w:val="0"/>
          <w:w w:val="100"/>
          <w:sz w:val="32"/>
          <w:highlight w:val="none"/>
        </w:rPr>
        <w:t>发包人供应材料设备一览表</w:t>
      </w:r>
      <w:bookmarkEnd w:id="1067"/>
      <w:bookmarkEnd w:id="1068"/>
      <w:bookmarkEnd w:id="1069"/>
      <w:bookmarkEnd w:id="1070"/>
      <w:bookmarkEnd w:id="1071"/>
      <w:bookmarkEnd w:id="1072"/>
      <w:bookmarkEnd w:id="1073"/>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807"/>
        <w:gridCol w:w="1208"/>
        <w:gridCol w:w="1343"/>
        <w:gridCol w:w="892"/>
        <w:gridCol w:w="806"/>
        <w:gridCol w:w="989"/>
        <w:gridCol w:w="940"/>
        <w:gridCol w:w="806"/>
        <w:gridCol w:w="1409"/>
        <w:gridCol w:w="940"/>
      </w:tblGrid>
      <w:tr w14:paraId="3EB35B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909" w:hRule="atLeast"/>
          <w:jc w:val="center"/>
        </w:trPr>
        <w:tc>
          <w:tcPr>
            <w:tcW w:w="807" w:type="dxa"/>
            <w:tcBorders>
              <w:top w:val="single" w:color="auto" w:sz="12" w:space="0"/>
              <w:bottom w:val="double" w:color="auto" w:sz="6" w:space="0"/>
            </w:tcBorders>
            <w:noWrap w:val="0"/>
            <w:vAlign w:val="center"/>
          </w:tcPr>
          <w:p w14:paraId="63D47F39">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序号</w:t>
            </w:r>
          </w:p>
        </w:tc>
        <w:tc>
          <w:tcPr>
            <w:tcW w:w="1208" w:type="dxa"/>
            <w:tcBorders>
              <w:top w:val="single" w:color="auto" w:sz="12" w:space="0"/>
              <w:bottom w:val="double" w:color="auto" w:sz="6" w:space="0"/>
            </w:tcBorders>
            <w:noWrap w:val="0"/>
            <w:vAlign w:val="center"/>
          </w:tcPr>
          <w:p w14:paraId="1DE32931">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材料、</w:t>
            </w:r>
          </w:p>
          <w:p w14:paraId="67FBCC34">
            <w:pPr>
              <w:pStyle w:val="73"/>
              <w:snapToGrid w:val="0"/>
              <w:spacing w:before="0" w:beforeAutospacing="0" w:after="0" w:afterAutospacing="0" w:line="440" w:lineRule="exact"/>
              <w:ind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设备品种</w:t>
            </w:r>
          </w:p>
        </w:tc>
        <w:tc>
          <w:tcPr>
            <w:tcW w:w="1343" w:type="dxa"/>
            <w:tcBorders>
              <w:top w:val="single" w:color="auto" w:sz="12" w:space="0"/>
              <w:bottom w:val="double" w:color="auto" w:sz="6" w:space="0"/>
            </w:tcBorders>
            <w:noWrap w:val="0"/>
            <w:vAlign w:val="center"/>
          </w:tcPr>
          <w:p w14:paraId="03B583AB">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规格型号</w:t>
            </w:r>
          </w:p>
        </w:tc>
        <w:tc>
          <w:tcPr>
            <w:tcW w:w="892" w:type="dxa"/>
            <w:tcBorders>
              <w:top w:val="single" w:color="auto" w:sz="12" w:space="0"/>
              <w:bottom w:val="double" w:color="auto" w:sz="6" w:space="0"/>
            </w:tcBorders>
            <w:noWrap w:val="0"/>
            <w:vAlign w:val="center"/>
          </w:tcPr>
          <w:p w14:paraId="1DCAFC95">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单位</w:t>
            </w:r>
          </w:p>
        </w:tc>
        <w:tc>
          <w:tcPr>
            <w:tcW w:w="806" w:type="dxa"/>
            <w:tcBorders>
              <w:top w:val="single" w:color="auto" w:sz="12" w:space="0"/>
              <w:bottom w:val="double" w:color="auto" w:sz="6" w:space="0"/>
            </w:tcBorders>
            <w:noWrap w:val="0"/>
            <w:vAlign w:val="center"/>
          </w:tcPr>
          <w:p w14:paraId="2626A047">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数量</w:t>
            </w:r>
          </w:p>
        </w:tc>
        <w:tc>
          <w:tcPr>
            <w:tcW w:w="989" w:type="dxa"/>
            <w:tcBorders>
              <w:top w:val="single" w:color="auto" w:sz="12" w:space="0"/>
              <w:bottom w:val="double" w:color="auto" w:sz="6" w:space="0"/>
            </w:tcBorders>
            <w:noWrap w:val="0"/>
            <w:vAlign w:val="center"/>
          </w:tcPr>
          <w:p w14:paraId="6276C25C">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单价（元）</w:t>
            </w:r>
          </w:p>
        </w:tc>
        <w:tc>
          <w:tcPr>
            <w:tcW w:w="940" w:type="dxa"/>
            <w:tcBorders>
              <w:top w:val="single" w:color="auto" w:sz="12" w:space="0"/>
              <w:bottom w:val="double" w:color="auto" w:sz="6" w:space="0"/>
            </w:tcBorders>
            <w:noWrap w:val="0"/>
            <w:vAlign w:val="center"/>
          </w:tcPr>
          <w:p w14:paraId="5595EE41">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质量等级</w:t>
            </w:r>
          </w:p>
        </w:tc>
        <w:tc>
          <w:tcPr>
            <w:tcW w:w="806" w:type="dxa"/>
            <w:tcBorders>
              <w:top w:val="single" w:color="auto" w:sz="12" w:space="0"/>
              <w:bottom w:val="double" w:color="auto" w:sz="6" w:space="0"/>
            </w:tcBorders>
            <w:noWrap w:val="0"/>
            <w:vAlign w:val="center"/>
          </w:tcPr>
          <w:p w14:paraId="2C3DCA4C">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供应时间</w:t>
            </w:r>
          </w:p>
        </w:tc>
        <w:tc>
          <w:tcPr>
            <w:tcW w:w="1409" w:type="dxa"/>
            <w:tcBorders>
              <w:top w:val="single" w:color="auto" w:sz="12" w:space="0"/>
              <w:bottom w:val="double" w:color="auto" w:sz="6" w:space="0"/>
            </w:tcBorders>
            <w:noWrap w:val="0"/>
            <w:vAlign w:val="center"/>
          </w:tcPr>
          <w:p w14:paraId="2B0DF596">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送达地点</w:t>
            </w:r>
          </w:p>
        </w:tc>
        <w:tc>
          <w:tcPr>
            <w:tcW w:w="940" w:type="dxa"/>
            <w:tcBorders>
              <w:top w:val="single" w:color="auto" w:sz="12" w:space="0"/>
              <w:bottom w:val="double" w:color="auto" w:sz="6" w:space="0"/>
            </w:tcBorders>
            <w:noWrap w:val="0"/>
            <w:vAlign w:val="center"/>
          </w:tcPr>
          <w:p w14:paraId="12C7BEF8">
            <w:pPr>
              <w:pStyle w:val="73"/>
              <w:snapToGrid w:val="0"/>
              <w:spacing w:before="0" w:beforeAutospacing="0" w:after="0" w:afterAutospacing="0" w:line="440" w:lineRule="exact"/>
              <w:ind w:left="63" w:right="63"/>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备注</w:t>
            </w:r>
          </w:p>
        </w:tc>
      </w:tr>
      <w:tr w14:paraId="13DB65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2" w:hRule="atLeast"/>
          <w:jc w:val="center"/>
        </w:trPr>
        <w:tc>
          <w:tcPr>
            <w:tcW w:w="807" w:type="dxa"/>
            <w:tcBorders>
              <w:top w:val="double" w:color="auto" w:sz="6" w:space="0"/>
              <w:bottom w:val="single" w:color="auto" w:sz="6" w:space="0"/>
            </w:tcBorders>
            <w:noWrap w:val="0"/>
            <w:vAlign w:val="center"/>
          </w:tcPr>
          <w:p w14:paraId="64F7335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tcBorders>
              <w:top w:val="double" w:color="auto" w:sz="6" w:space="0"/>
              <w:bottom w:val="single" w:color="auto" w:sz="6" w:space="0"/>
            </w:tcBorders>
            <w:noWrap w:val="0"/>
            <w:vAlign w:val="center"/>
          </w:tcPr>
          <w:p w14:paraId="6828997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tcBorders>
              <w:top w:val="double" w:color="auto" w:sz="6" w:space="0"/>
              <w:bottom w:val="single" w:color="auto" w:sz="6" w:space="0"/>
            </w:tcBorders>
            <w:noWrap w:val="0"/>
            <w:vAlign w:val="center"/>
          </w:tcPr>
          <w:p w14:paraId="3B4CE95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tcBorders>
              <w:top w:val="double" w:color="auto" w:sz="6" w:space="0"/>
              <w:bottom w:val="single" w:color="auto" w:sz="6" w:space="0"/>
            </w:tcBorders>
            <w:noWrap w:val="0"/>
            <w:vAlign w:val="center"/>
          </w:tcPr>
          <w:p w14:paraId="325EAA1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tcBorders>
              <w:top w:val="double" w:color="auto" w:sz="6" w:space="0"/>
              <w:bottom w:val="single" w:color="auto" w:sz="6" w:space="0"/>
            </w:tcBorders>
            <w:noWrap w:val="0"/>
            <w:vAlign w:val="center"/>
          </w:tcPr>
          <w:p w14:paraId="650916D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tcBorders>
              <w:top w:val="double" w:color="auto" w:sz="6" w:space="0"/>
              <w:bottom w:val="single" w:color="auto" w:sz="6" w:space="0"/>
            </w:tcBorders>
            <w:noWrap w:val="0"/>
            <w:vAlign w:val="center"/>
          </w:tcPr>
          <w:p w14:paraId="3976BDF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tcBorders>
              <w:top w:val="double" w:color="auto" w:sz="6" w:space="0"/>
              <w:bottom w:val="single" w:color="auto" w:sz="6" w:space="0"/>
            </w:tcBorders>
            <w:noWrap w:val="0"/>
            <w:vAlign w:val="center"/>
          </w:tcPr>
          <w:p w14:paraId="351E226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tcBorders>
              <w:top w:val="double" w:color="auto" w:sz="6" w:space="0"/>
              <w:bottom w:val="single" w:color="auto" w:sz="6" w:space="0"/>
            </w:tcBorders>
            <w:noWrap w:val="0"/>
            <w:vAlign w:val="center"/>
          </w:tcPr>
          <w:p w14:paraId="5F6B074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tcBorders>
              <w:top w:val="double" w:color="auto" w:sz="6" w:space="0"/>
              <w:bottom w:val="single" w:color="auto" w:sz="6" w:space="0"/>
            </w:tcBorders>
            <w:noWrap w:val="0"/>
            <w:vAlign w:val="center"/>
          </w:tcPr>
          <w:p w14:paraId="153D10B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tcBorders>
              <w:top w:val="double" w:color="auto" w:sz="6" w:space="0"/>
              <w:bottom w:val="single" w:color="auto" w:sz="6" w:space="0"/>
            </w:tcBorders>
            <w:noWrap w:val="0"/>
            <w:vAlign w:val="center"/>
          </w:tcPr>
          <w:p w14:paraId="6C28E71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5C8C1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tcBorders>
              <w:top w:val="nil"/>
            </w:tcBorders>
            <w:noWrap w:val="0"/>
            <w:vAlign w:val="center"/>
          </w:tcPr>
          <w:p w14:paraId="7A44EFE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tcBorders>
              <w:top w:val="nil"/>
            </w:tcBorders>
            <w:noWrap w:val="0"/>
            <w:vAlign w:val="center"/>
          </w:tcPr>
          <w:p w14:paraId="0555A7B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tcBorders>
              <w:top w:val="nil"/>
            </w:tcBorders>
            <w:noWrap w:val="0"/>
            <w:vAlign w:val="center"/>
          </w:tcPr>
          <w:p w14:paraId="2D06794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tcBorders>
              <w:top w:val="nil"/>
            </w:tcBorders>
            <w:noWrap w:val="0"/>
            <w:vAlign w:val="center"/>
          </w:tcPr>
          <w:p w14:paraId="2BFD0DB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tcBorders>
              <w:top w:val="nil"/>
            </w:tcBorders>
            <w:noWrap w:val="0"/>
            <w:vAlign w:val="center"/>
          </w:tcPr>
          <w:p w14:paraId="3F25A65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tcBorders>
              <w:top w:val="nil"/>
            </w:tcBorders>
            <w:noWrap w:val="0"/>
            <w:vAlign w:val="center"/>
          </w:tcPr>
          <w:p w14:paraId="76389DF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tcBorders>
              <w:top w:val="nil"/>
            </w:tcBorders>
            <w:noWrap w:val="0"/>
            <w:vAlign w:val="center"/>
          </w:tcPr>
          <w:p w14:paraId="0ABEBD9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tcBorders>
              <w:top w:val="nil"/>
            </w:tcBorders>
            <w:noWrap w:val="0"/>
            <w:vAlign w:val="center"/>
          </w:tcPr>
          <w:p w14:paraId="752873A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tcBorders>
              <w:top w:val="nil"/>
            </w:tcBorders>
            <w:noWrap w:val="0"/>
            <w:vAlign w:val="center"/>
          </w:tcPr>
          <w:p w14:paraId="34782C6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tcBorders>
              <w:top w:val="nil"/>
            </w:tcBorders>
            <w:noWrap w:val="0"/>
            <w:vAlign w:val="center"/>
          </w:tcPr>
          <w:p w14:paraId="76BE246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CC8DB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178EFED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52B1D1D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3B836C4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6F579A9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53FE952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2317AC3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03404B9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1113394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009E845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61A5B00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C504AB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7493BD1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183E298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1EB93FB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1CAB71E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2160739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60A6BBC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1D4EC67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257CA33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510D642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0FEC590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DA817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58BED49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523B6A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6E0ED06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4F234DE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2AE436D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528D751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499328B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5DA680A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7F6A62C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2BB0A32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34B996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386C1A3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32A4872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1D6149C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443D51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609E864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5BCB7BC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6677EC9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78C248D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3F5D2A3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4FD5DEF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D2A23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4F81DC0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7514ACB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79B3796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5A44655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716A772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73CD5DA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7659403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729437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44C89D4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794B034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3D23B7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3108B92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1523DFF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7E91C3E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27164D5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4FF0497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7CB3FD6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44888CE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40769FA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165E57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72D50AE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3A90A16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52ACB450">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0E64D0E6">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24F4359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51893876">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3567D4F2">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4F1CE227">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3B21358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1B3D9BB0">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50D8133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5C1AE8C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4FD912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2C41798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08E0AF0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0AD2BF0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5877EF3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77806E6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6F994FD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35B76B9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56E15DD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6CB3A0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2D914C9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2795D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5CF3534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42721425">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76E4F1B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72299A3A">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5FF14737">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1AB597C4">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798EEE7C">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1CF131D6">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3D9BEEFD">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265EA3AE">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61A7302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00D4BC80">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6817838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0CA1119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069B0D1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3183706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5A48C036">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12660CFD">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711F354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64C2AC4E">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16549DA2">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607112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5166347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5389F847">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37704B46">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4FD6A30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4EAAE466">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2A58A28E">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06EDD8D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2C506727">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538B8580">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2284813D">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48E1FE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14916BD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22A129D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7655F32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64A72E7C">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4164C397">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43C60D58">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4AC3B270">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677BF37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47EB120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6661C8B4">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054A34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5F624744">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7804C43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2225660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05A5EC9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50D275F4">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5D836B0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744F349C">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466638EC">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788305E2">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53EA4540">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5A5D15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552A208D">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1A9508E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1909EF5A">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5D13CA1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4A200598">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246F818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63478C43">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670E64BA">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57E6973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5A6FCA65">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4E39FF4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82" w:hRule="atLeast"/>
          <w:jc w:val="center"/>
        </w:trPr>
        <w:tc>
          <w:tcPr>
            <w:tcW w:w="807" w:type="dxa"/>
            <w:noWrap w:val="0"/>
            <w:vAlign w:val="center"/>
          </w:tcPr>
          <w:p w14:paraId="7CE231E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3024501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140742E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19A07413">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68BE57D2">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5775688C">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203DB5DA">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2D856411">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6B0706C4">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373F5454">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r w14:paraId="6DACEAC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612" w:hRule="atLeast"/>
          <w:jc w:val="center"/>
        </w:trPr>
        <w:tc>
          <w:tcPr>
            <w:tcW w:w="807" w:type="dxa"/>
            <w:noWrap w:val="0"/>
            <w:vAlign w:val="center"/>
          </w:tcPr>
          <w:p w14:paraId="05377133">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208" w:type="dxa"/>
            <w:noWrap w:val="0"/>
            <w:vAlign w:val="center"/>
          </w:tcPr>
          <w:p w14:paraId="18C67DAF">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343" w:type="dxa"/>
            <w:noWrap w:val="0"/>
            <w:vAlign w:val="center"/>
          </w:tcPr>
          <w:p w14:paraId="60A6C6C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92" w:type="dxa"/>
            <w:noWrap w:val="0"/>
            <w:vAlign w:val="center"/>
          </w:tcPr>
          <w:p w14:paraId="4CD2C6A5">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7E48FECD">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89" w:type="dxa"/>
            <w:noWrap w:val="0"/>
            <w:vAlign w:val="center"/>
          </w:tcPr>
          <w:p w14:paraId="2D759727">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3C45D3DB">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806" w:type="dxa"/>
            <w:noWrap w:val="0"/>
            <w:vAlign w:val="center"/>
          </w:tcPr>
          <w:p w14:paraId="776FF357">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1409" w:type="dxa"/>
            <w:noWrap w:val="0"/>
            <w:vAlign w:val="center"/>
          </w:tcPr>
          <w:p w14:paraId="424BB775">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c>
          <w:tcPr>
            <w:tcW w:w="940" w:type="dxa"/>
            <w:noWrap w:val="0"/>
            <w:vAlign w:val="center"/>
          </w:tcPr>
          <w:p w14:paraId="274404B9">
            <w:pPr>
              <w:pStyle w:val="66"/>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1"/>
                <w:szCs w:val="21"/>
                <w:highlight w:val="none"/>
              </w:rPr>
            </w:pPr>
          </w:p>
        </w:tc>
      </w:tr>
    </w:tbl>
    <w:p w14:paraId="7F609E3D">
      <w:pPr>
        <w:pStyle w:val="72"/>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074" w:name="_Toc256000119"/>
      <w:bookmarkStart w:id="1075" w:name="_Toc505871403"/>
      <w:bookmarkStart w:id="1076" w:name="_Toc23177"/>
      <w:bookmarkStart w:id="1077" w:name="_Toc18570"/>
      <w:bookmarkStart w:id="1078" w:name="_Toc10689"/>
      <w:bookmarkStart w:id="1079" w:name="_Toc11185"/>
      <w:bookmarkStart w:id="1080" w:name="_Toc1658"/>
      <w:r>
        <w:rPr>
          <w:rFonts w:hint="eastAsia" w:ascii="宋体" w:hAnsi="宋体" w:eastAsia="宋体" w:cs="宋体"/>
          <w:b/>
          <w:i w:val="0"/>
          <w:caps w:val="0"/>
          <w:color w:val="auto"/>
          <w:spacing w:val="0"/>
          <w:w w:val="100"/>
          <w:sz w:val="32"/>
          <w:highlight w:val="none"/>
        </w:rPr>
        <w:t>附件3：</w:t>
      </w:r>
      <w:bookmarkEnd w:id="1074"/>
      <w:bookmarkEnd w:id="1075"/>
      <w:bookmarkStart w:id="1081" w:name="_Toc256000120"/>
      <w:bookmarkStart w:id="1082" w:name="_Toc505871404"/>
      <w:r>
        <w:rPr>
          <w:rFonts w:hint="eastAsia" w:ascii="宋体" w:hAnsi="宋体" w:eastAsia="宋体" w:cs="宋体"/>
          <w:b/>
          <w:i w:val="0"/>
          <w:caps w:val="0"/>
          <w:color w:val="auto"/>
          <w:spacing w:val="0"/>
          <w:w w:val="100"/>
          <w:sz w:val="32"/>
          <w:highlight w:val="none"/>
        </w:rPr>
        <w:t>工程质量保修书</w:t>
      </w:r>
      <w:bookmarkEnd w:id="1076"/>
      <w:bookmarkEnd w:id="1077"/>
      <w:bookmarkEnd w:id="1078"/>
      <w:bookmarkEnd w:id="1079"/>
      <w:bookmarkEnd w:id="1080"/>
      <w:bookmarkEnd w:id="1081"/>
      <w:bookmarkEnd w:id="1082"/>
    </w:p>
    <w:p w14:paraId="01EFAC8B">
      <w:pPr>
        <w:pStyle w:val="66"/>
        <w:snapToGrid w:val="0"/>
        <w:spacing w:before="0" w:beforeAutospacing="0" w:after="0" w:afterAutospacing="0" w:line="440" w:lineRule="exact"/>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发包人（全称）：</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w:t>
      </w:r>
    </w:p>
    <w:p w14:paraId="01551E41">
      <w:pPr>
        <w:pStyle w:val="66"/>
        <w:snapToGrid w:val="0"/>
        <w:spacing w:before="0" w:beforeAutospacing="0" w:after="0" w:afterAutospacing="0" w:line="440" w:lineRule="exact"/>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承包人（全称）：</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w:t>
      </w:r>
    </w:p>
    <w:p w14:paraId="05D13BC3">
      <w:pPr>
        <w:pStyle w:val="66"/>
        <w:snapToGrid w:val="0"/>
        <w:spacing w:before="0" w:beforeAutospacing="0" w:after="0" w:afterAutospacing="0" w:line="440" w:lineRule="exact"/>
        <w:jc w:val="both"/>
        <w:textAlignment w:val="baseline"/>
        <w:rPr>
          <w:rFonts w:hint="eastAsia" w:ascii="宋体" w:hAnsi="宋体" w:eastAsia="宋体" w:cs="宋体"/>
          <w:b w:val="0"/>
          <w:i w:val="0"/>
          <w:caps w:val="0"/>
          <w:color w:val="auto"/>
          <w:spacing w:val="0"/>
          <w:w w:val="100"/>
          <w:sz w:val="24"/>
          <w:szCs w:val="24"/>
          <w:highlight w:val="none"/>
        </w:rPr>
      </w:pPr>
    </w:p>
    <w:p w14:paraId="1C85E10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发包人和承包人根据《中华人民共和国建筑法》和《建设工程质量管理条例》，经协商一致就</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（工程全称）签订工程质量保修书。</w:t>
      </w:r>
    </w:p>
    <w:p w14:paraId="1D5D329E">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bookmarkStart w:id="1083" w:name="_Toc505871405"/>
      <w:r>
        <w:rPr>
          <w:rFonts w:hint="eastAsia" w:ascii="宋体" w:hAnsi="宋体" w:eastAsia="宋体" w:cs="宋体"/>
          <w:b/>
          <w:i w:val="0"/>
          <w:caps w:val="0"/>
          <w:color w:val="auto"/>
          <w:spacing w:val="0"/>
          <w:w w:val="100"/>
          <w:sz w:val="24"/>
          <w:highlight w:val="none"/>
        </w:rPr>
        <w:t>一、工程质量保修范围和内容</w:t>
      </w:r>
      <w:bookmarkEnd w:id="1083"/>
    </w:p>
    <w:p w14:paraId="664AF91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1"/>
          <w:szCs w:val="21"/>
          <w:highlight w:val="none"/>
        </w:rPr>
        <w:t>　</w:t>
      </w:r>
      <w:r>
        <w:rPr>
          <w:rFonts w:hint="eastAsia" w:ascii="宋体" w:hAnsi="宋体" w:eastAsia="宋体" w:cs="宋体"/>
          <w:b w:val="0"/>
          <w:i w:val="0"/>
          <w:caps w:val="0"/>
          <w:color w:val="auto"/>
          <w:spacing w:val="0"/>
          <w:w w:val="100"/>
          <w:sz w:val="24"/>
          <w:szCs w:val="24"/>
          <w:highlight w:val="none"/>
        </w:rPr>
        <w:t>　承包人在质量保修期内，按照有关法律规定和合同约定，承担工程质量保修责任。</w:t>
      </w:r>
    </w:p>
    <w:p w14:paraId="5EF6AC5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质量保修范围包括地基基础工程、主体结构工程，屋面防水工程、有防水要求的卫生间、房间和外墙面的防渗漏，供热与供冷系统，电气管线、给排水管道、设备安装和装修工程，以及双方约定的其他项目。具体保修的内容，双方约定如下：</w:t>
      </w:r>
    </w:p>
    <w:p w14:paraId="3323C027">
      <w:pPr>
        <w:pStyle w:val="66"/>
        <w:snapToGrid w:val="0"/>
        <w:spacing w:before="0" w:beforeAutospacing="0" w:after="0" w:afterAutospacing="0" w:line="360" w:lineRule="auto"/>
        <w:ind w:firstLine="240" w:firstLineChars="1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023D569F">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bookmarkStart w:id="1084" w:name="_Toc505871406"/>
      <w:r>
        <w:rPr>
          <w:rFonts w:hint="eastAsia" w:ascii="宋体" w:hAnsi="宋体" w:eastAsia="宋体" w:cs="宋体"/>
          <w:b/>
          <w:i w:val="0"/>
          <w:caps w:val="0"/>
          <w:color w:val="auto"/>
          <w:spacing w:val="0"/>
          <w:w w:val="100"/>
          <w:sz w:val="24"/>
          <w:highlight w:val="none"/>
        </w:rPr>
        <w:t>二、质量保修期</w:t>
      </w:r>
      <w:bookmarkEnd w:id="1084"/>
    </w:p>
    <w:p w14:paraId="11AB17A4">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根据《建设工程质量管理条例》及有关规定，工程的质量保修期如下：</w:t>
      </w:r>
    </w:p>
    <w:p w14:paraId="01C71DAD">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1．地基基础工程和主体结构工程为设计文件规定的工程合理使用年限；</w:t>
      </w:r>
    </w:p>
    <w:p w14:paraId="7DAC1012">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2．屋面防水工程、有防水要求的卫生间、房间和外墙面的防渗为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p>
    <w:p w14:paraId="2769E7D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3．装修工程为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p>
    <w:p w14:paraId="7ECFAF60">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4．电气管线、给排水管道、设备安装工程为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p>
    <w:p w14:paraId="163E2023">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5．供热与供冷系统为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个采暖期、供冷期；</w:t>
      </w:r>
    </w:p>
    <w:p w14:paraId="19874B7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6．住宅小区内的给排水设施、道路等配套工程为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p>
    <w:p w14:paraId="1BB966D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7．其他项目保修期限约定如下：</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23871EF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质量保修期自工程竣工验收合格之日起计算。</w:t>
      </w:r>
    </w:p>
    <w:p w14:paraId="2DE481B0">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bookmarkStart w:id="1085" w:name="_Toc505871407"/>
      <w:r>
        <w:rPr>
          <w:rFonts w:hint="eastAsia" w:ascii="宋体" w:hAnsi="宋体" w:eastAsia="宋体" w:cs="宋体"/>
          <w:b/>
          <w:i w:val="0"/>
          <w:caps w:val="0"/>
          <w:color w:val="auto"/>
          <w:spacing w:val="0"/>
          <w:w w:val="100"/>
          <w:sz w:val="24"/>
          <w:highlight w:val="none"/>
        </w:rPr>
        <w:t>三、缺陷责任期</w:t>
      </w:r>
      <w:bookmarkEnd w:id="1085"/>
    </w:p>
    <w:p w14:paraId="76FA1742">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工程缺陷责任期为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个月，缺陷责任期自工程通过竣工验收之日起计算。单位工程先于全部工程进行验收，单位工程缺陷责任期自单位工程验收合格之日起算。</w:t>
      </w:r>
    </w:p>
    <w:p w14:paraId="7ED1A0CA">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缺陷责任期终止后，发包人应退还剩余的质量保证金。</w:t>
      </w:r>
    </w:p>
    <w:p w14:paraId="15D6F555">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bookmarkStart w:id="1086" w:name="_Toc505871408"/>
      <w:r>
        <w:rPr>
          <w:rFonts w:hint="eastAsia" w:ascii="宋体" w:hAnsi="宋体" w:eastAsia="宋体" w:cs="宋体"/>
          <w:b/>
          <w:i w:val="0"/>
          <w:caps w:val="0"/>
          <w:color w:val="auto"/>
          <w:spacing w:val="0"/>
          <w:w w:val="100"/>
          <w:sz w:val="24"/>
          <w:highlight w:val="none"/>
        </w:rPr>
        <w:t>四、质量保修责任</w:t>
      </w:r>
      <w:bookmarkEnd w:id="1086"/>
    </w:p>
    <w:p w14:paraId="12102BCF">
      <w:pPr>
        <w:pStyle w:val="66"/>
        <w:snapToGrid w:val="0"/>
        <w:spacing w:before="0" w:beforeAutospacing="0" w:after="0" w:afterAutospacing="0" w:line="360" w:lineRule="auto"/>
        <w:ind w:left="120" w:leftChars="50" w:firstLine="491" w:firstLineChars="205"/>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1．属于保修范围、内容的项目，承包人应当在接到保修通知之日起7天内派人保修。承包人不在约定期限内派人保修的，发包人可以委托他人修理。</w:t>
      </w:r>
    </w:p>
    <w:p w14:paraId="7B1334BD">
      <w:pPr>
        <w:pStyle w:val="66"/>
        <w:snapToGrid w:val="0"/>
        <w:spacing w:before="0" w:beforeAutospacing="0" w:after="0" w:afterAutospacing="0" w:line="360" w:lineRule="auto"/>
        <w:ind w:left="120" w:leftChars="50" w:firstLine="491" w:firstLineChars="205"/>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2．发生紧急事故需抢修的，承包人在接到事故通知后，应当立即到达事故现场抢修。</w:t>
      </w:r>
    </w:p>
    <w:p w14:paraId="728EAF65">
      <w:pPr>
        <w:pStyle w:val="66"/>
        <w:snapToGrid w:val="0"/>
        <w:spacing w:before="0" w:beforeAutospacing="0" w:after="0" w:afterAutospacing="0" w:line="360" w:lineRule="auto"/>
        <w:ind w:left="120" w:leftChars="50" w:firstLine="491" w:firstLineChars="205"/>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对于涉及结构安全的质量问题，应当按照《建设工程质量管理条例》的规定，立即向当地建设行政主管部门和有关部门报告，采取安全防范措施，并由原设计人或者具有相应资质等级的设计人提出保修方案，承包人实施保修。</w:t>
      </w:r>
    </w:p>
    <w:p w14:paraId="5F6BD822">
      <w:pPr>
        <w:pStyle w:val="66"/>
        <w:snapToGrid w:val="0"/>
        <w:spacing w:before="0" w:beforeAutospacing="0" w:after="0" w:afterAutospacing="0" w:line="360" w:lineRule="auto"/>
        <w:ind w:left="120" w:leftChars="50" w:firstLine="491" w:firstLineChars="205"/>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4．质量保修完成后，由发包人组织验收。</w:t>
      </w:r>
    </w:p>
    <w:p w14:paraId="7B4F4610">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highlight w:val="none"/>
        </w:rPr>
      </w:pPr>
      <w:bookmarkStart w:id="1087" w:name="_Toc505871409"/>
      <w:r>
        <w:rPr>
          <w:rFonts w:hint="eastAsia" w:ascii="宋体" w:hAnsi="宋体" w:eastAsia="宋体" w:cs="宋体"/>
          <w:b/>
          <w:i w:val="0"/>
          <w:caps w:val="0"/>
          <w:color w:val="auto"/>
          <w:spacing w:val="0"/>
          <w:w w:val="100"/>
          <w:sz w:val="24"/>
          <w:highlight w:val="none"/>
        </w:rPr>
        <w:t>五、保修费用</w:t>
      </w:r>
      <w:bookmarkEnd w:id="1087"/>
    </w:p>
    <w:p w14:paraId="7970C33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1"/>
          <w:szCs w:val="21"/>
          <w:highlight w:val="none"/>
        </w:rPr>
        <w:t>　</w:t>
      </w:r>
      <w:r>
        <w:rPr>
          <w:rFonts w:hint="eastAsia" w:ascii="宋体" w:hAnsi="宋体" w:eastAsia="宋体" w:cs="宋体"/>
          <w:b w:val="0"/>
          <w:i w:val="0"/>
          <w:caps w:val="0"/>
          <w:color w:val="auto"/>
          <w:spacing w:val="0"/>
          <w:w w:val="100"/>
          <w:sz w:val="24"/>
          <w:szCs w:val="24"/>
          <w:highlight w:val="none"/>
        </w:rPr>
        <w:t>　保修费用由造成质量缺陷的责任方承担。</w:t>
      </w:r>
    </w:p>
    <w:p w14:paraId="408F7A8D">
      <w:pPr>
        <w:pStyle w:val="70"/>
        <w:snapToGrid w:val="0"/>
        <w:spacing w:before="280" w:beforeAutospacing="0" w:after="290" w:afterAutospacing="0" w:line="376" w:lineRule="atLeast"/>
        <w:jc w:val="both"/>
        <w:textAlignment w:val="baseline"/>
        <w:rPr>
          <w:rFonts w:hint="eastAsia" w:ascii="宋体" w:hAnsi="宋体" w:eastAsia="宋体" w:cs="宋体"/>
          <w:b/>
          <w:i w:val="0"/>
          <w:caps w:val="0"/>
          <w:color w:val="auto"/>
          <w:spacing w:val="0"/>
          <w:w w:val="100"/>
          <w:sz w:val="24"/>
          <w:szCs w:val="24"/>
          <w:highlight w:val="none"/>
        </w:rPr>
      </w:pPr>
      <w:bookmarkStart w:id="1088" w:name="_Toc505871410"/>
      <w:r>
        <w:rPr>
          <w:rFonts w:hint="eastAsia" w:ascii="宋体" w:hAnsi="宋体" w:eastAsia="宋体" w:cs="宋体"/>
          <w:b/>
          <w:i w:val="0"/>
          <w:caps w:val="0"/>
          <w:color w:val="auto"/>
          <w:spacing w:val="0"/>
          <w:w w:val="100"/>
          <w:sz w:val="24"/>
          <w:highlight w:val="none"/>
        </w:rPr>
        <w:t>六、双方约定的其他工程质量保修事项：</w:t>
      </w:r>
      <w:bookmarkEnd w:id="1088"/>
      <w:r>
        <w:rPr>
          <w:rFonts w:hint="eastAsia" w:ascii="宋体" w:hAnsi="宋体" w:eastAsia="宋体" w:cs="宋体"/>
          <w:b/>
          <w:i w:val="0"/>
          <w:caps w:val="0"/>
          <w:color w:val="auto"/>
          <w:spacing w:val="0"/>
          <w:w w:val="100"/>
          <w:sz w:val="24"/>
          <w:szCs w:val="24"/>
          <w:highlight w:val="none"/>
          <w:u w:val="single" w:color="000000"/>
        </w:rPr>
        <w:t xml:space="preserve">         </w:t>
      </w:r>
      <w:r>
        <w:rPr>
          <w:rFonts w:hint="eastAsia" w:ascii="宋体" w:hAnsi="宋体" w:eastAsia="宋体" w:cs="宋体"/>
          <w:b/>
          <w:i w:val="0"/>
          <w:caps w:val="0"/>
          <w:color w:val="auto"/>
          <w:spacing w:val="0"/>
          <w:w w:val="100"/>
          <w:sz w:val="24"/>
          <w:szCs w:val="24"/>
          <w:highlight w:val="none"/>
        </w:rPr>
        <w:t>。</w:t>
      </w:r>
    </w:p>
    <w:p w14:paraId="3AB86522">
      <w:pPr>
        <w:pStyle w:val="66"/>
        <w:snapToGrid w:val="0"/>
        <w:spacing w:before="0" w:beforeAutospacing="0" w:after="0" w:afterAutospacing="0" w:line="360" w:lineRule="auto"/>
        <w:ind w:firstLine="456" w:firstLineChars="19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工程质量保修书由发包人、承包人在工程竣工验收前共同签署，作为施工合同附件，其有效期限至保修期满。</w:t>
      </w:r>
    </w:p>
    <w:p w14:paraId="0E83DFAB">
      <w:pPr>
        <w:pStyle w:val="66"/>
        <w:snapToGrid w:val="0"/>
        <w:spacing w:before="0" w:beforeAutospacing="0" w:after="0" w:afterAutospacing="0" w:line="360" w:lineRule="auto"/>
        <w:ind w:firstLine="420"/>
        <w:jc w:val="both"/>
        <w:textAlignment w:val="baseline"/>
        <w:rPr>
          <w:rFonts w:hint="eastAsia" w:ascii="宋体" w:hAnsi="宋体" w:eastAsia="宋体" w:cs="宋体"/>
          <w:b w:val="0"/>
          <w:i w:val="0"/>
          <w:caps w:val="0"/>
          <w:color w:val="auto"/>
          <w:spacing w:val="0"/>
          <w:w w:val="100"/>
          <w:sz w:val="24"/>
          <w:szCs w:val="24"/>
          <w:highlight w:val="none"/>
        </w:rPr>
      </w:pPr>
    </w:p>
    <w:p w14:paraId="4B18DE95">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发包人(公章)：</w:t>
      </w:r>
      <w:r>
        <w:rPr>
          <w:rFonts w:hint="eastAsia" w:ascii="宋体" w:hAnsi="宋体" w:eastAsia="宋体" w:cs="宋体"/>
          <w:b w:val="0"/>
          <w:i w:val="0"/>
          <w:caps w:val="0"/>
          <w:color w:val="auto"/>
          <w:spacing w:val="0"/>
          <w:w w:val="100"/>
          <w:sz w:val="24"/>
          <w:szCs w:val="24"/>
          <w:highlight w:val="none"/>
          <w:u w:val="single" w:color="000000"/>
        </w:rPr>
        <w:t xml:space="preserve">        </w:t>
      </w:r>
      <w:r>
        <w:rPr>
          <w:rFonts w:hint="eastAsia" w:ascii="宋体" w:hAnsi="宋体" w:eastAsia="宋体" w:cs="宋体"/>
          <w:b w:val="0"/>
          <w:i w:val="0"/>
          <w:caps w:val="0"/>
          <w:color w:val="auto"/>
          <w:spacing w:val="0"/>
          <w:w w:val="100"/>
          <w:sz w:val="24"/>
          <w:szCs w:val="24"/>
          <w:highlight w:val="none"/>
        </w:rPr>
        <w:t xml:space="preserve">                      承包人(公章)</w:t>
      </w:r>
      <w:r>
        <w:rPr>
          <w:rFonts w:hint="eastAsia" w:ascii="宋体" w:hAnsi="宋体" w:eastAsia="宋体" w:cs="宋体"/>
          <w:b w:val="0"/>
          <w:i w:val="0"/>
          <w:caps w:val="0"/>
          <w:color w:val="auto"/>
          <w:spacing w:val="0"/>
          <w:w w:val="100"/>
          <w:sz w:val="24"/>
          <w:szCs w:val="24"/>
          <w:highlight w:val="none"/>
          <w:u w:val="single" w:color="000000"/>
        </w:rPr>
        <w:t xml:space="preserve">：              </w:t>
      </w:r>
    </w:p>
    <w:p w14:paraId="6194EF7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地  址：</w:t>
      </w:r>
      <w:r>
        <w:rPr>
          <w:rFonts w:hint="eastAsia" w:ascii="宋体" w:hAnsi="宋体" w:eastAsia="宋体" w:cs="宋体"/>
          <w:b w:val="0"/>
          <w:i w:val="0"/>
          <w:caps w:val="0"/>
          <w:color w:val="auto"/>
          <w:spacing w:val="0"/>
          <w:w w:val="100"/>
          <w:sz w:val="24"/>
          <w:szCs w:val="24"/>
          <w:highlight w:val="none"/>
          <w:u w:val="single" w:color="000000"/>
        </w:rPr>
        <w:t xml:space="preserve">     </w:t>
      </w:r>
      <w:r>
        <w:rPr>
          <w:rFonts w:hint="eastAsia" w:ascii="宋体" w:hAnsi="宋体" w:eastAsia="宋体" w:cs="宋体"/>
          <w:b w:val="0"/>
          <w:i w:val="0"/>
          <w:caps w:val="0"/>
          <w:color w:val="auto"/>
          <w:spacing w:val="0"/>
          <w:w w:val="100"/>
          <w:sz w:val="24"/>
          <w:szCs w:val="24"/>
          <w:highlight w:val="none"/>
        </w:rPr>
        <w:t xml:space="preserve">                       地  址：</w:t>
      </w:r>
      <w:r>
        <w:rPr>
          <w:rFonts w:hint="eastAsia" w:ascii="宋体" w:hAnsi="宋体" w:eastAsia="宋体" w:cs="宋体"/>
          <w:b w:val="0"/>
          <w:i w:val="0"/>
          <w:caps w:val="0"/>
          <w:color w:val="auto"/>
          <w:spacing w:val="0"/>
          <w:w w:val="100"/>
          <w:sz w:val="24"/>
          <w:szCs w:val="24"/>
          <w:highlight w:val="none"/>
          <w:u w:val="single" w:color="000000"/>
        </w:rPr>
        <w:t xml:space="preserve">       </w:t>
      </w:r>
    </w:p>
    <w:p w14:paraId="4502E60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法定代表人(签字)：</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法定代表人(签字)：</w:t>
      </w:r>
      <w:r>
        <w:rPr>
          <w:rFonts w:hint="eastAsia" w:ascii="宋体" w:hAnsi="宋体" w:eastAsia="宋体" w:cs="宋体"/>
          <w:b w:val="0"/>
          <w:i w:val="0"/>
          <w:caps w:val="0"/>
          <w:color w:val="auto"/>
          <w:spacing w:val="0"/>
          <w:w w:val="100"/>
          <w:sz w:val="24"/>
          <w:szCs w:val="24"/>
          <w:highlight w:val="none"/>
          <w:u w:val="single" w:color="000000"/>
        </w:rPr>
        <w:t xml:space="preserve">       </w:t>
      </w:r>
    </w:p>
    <w:p w14:paraId="6AC9635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委托代理人(签字)：</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委托代理人(签字)：</w:t>
      </w:r>
      <w:r>
        <w:rPr>
          <w:rFonts w:hint="eastAsia" w:ascii="宋体" w:hAnsi="宋体" w:eastAsia="宋体" w:cs="宋体"/>
          <w:b w:val="0"/>
          <w:i w:val="0"/>
          <w:caps w:val="0"/>
          <w:color w:val="auto"/>
          <w:spacing w:val="0"/>
          <w:w w:val="100"/>
          <w:sz w:val="24"/>
          <w:szCs w:val="24"/>
          <w:highlight w:val="none"/>
          <w:u w:val="single" w:color="000000"/>
        </w:rPr>
        <w:t xml:space="preserve">       </w:t>
      </w:r>
    </w:p>
    <w:p w14:paraId="0CDEBBD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电  话：</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电  话：</w:t>
      </w:r>
      <w:r>
        <w:rPr>
          <w:rFonts w:hint="eastAsia" w:ascii="宋体" w:hAnsi="宋体" w:eastAsia="宋体" w:cs="宋体"/>
          <w:b w:val="0"/>
          <w:i w:val="0"/>
          <w:caps w:val="0"/>
          <w:color w:val="auto"/>
          <w:spacing w:val="0"/>
          <w:w w:val="100"/>
          <w:sz w:val="24"/>
          <w:szCs w:val="24"/>
          <w:highlight w:val="none"/>
          <w:u w:val="single" w:color="000000"/>
        </w:rPr>
        <w:t xml:space="preserve">     </w:t>
      </w:r>
    </w:p>
    <w:p w14:paraId="6F6F711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传  真：</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传  真：</w:t>
      </w:r>
      <w:r>
        <w:rPr>
          <w:rFonts w:hint="eastAsia" w:ascii="宋体" w:hAnsi="宋体" w:eastAsia="宋体" w:cs="宋体"/>
          <w:b w:val="0"/>
          <w:i w:val="0"/>
          <w:caps w:val="0"/>
          <w:color w:val="auto"/>
          <w:spacing w:val="0"/>
          <w:w w:val="100"/>
          <w:sz w:val="24"/>
          <w:szCs w:val="24"/>
          <w:highlight w:val="none"/>
          <w:u w:val="single" w:color="000000"/>
        </w:rPr>
        <w:t></w:t>
      </w:r>
    </w:p>
    <w:p w14:paraId="07704AB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开户银行：</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开户银行：</w:t>
      </w:r>
      <w:r>
        <w:rPr>
          <w:rFonts w:hint="eastAsia" w:ascii="宋体" w:hAnsi="宋体" w:eastAsia="宋体" w:cs="宋体"/>
          <w:b w:val="0"/>
          <w:i w:val="0"/>
          <w:caps w:val="0"/>
          <w:color w:val="auto"/>
          <w:spacing w:val="0"/>
          <w:w w:val="100"/>
          <w:sz w:val="24"/>
          <w:szCs w:val="24"/>
          <w:highlight w:val="none"/>
          <w:u w:val="single" w:color="000000"/>
        </w:rPr>
        <w:t xml:space="preserve">   </w:t>
      </w:r>
    </w:p>
    <w:p w14:paraId="7E962D3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账  号：</w:t>
      </w:r>
      <w:r>
        <w:rPr>
          <w:rFonts w:hint="eastAsia" w:ascii="宋体" w:hAnsi="宋体" w:eastAsia="宋体" w:cs="宋体"/>
          <w:b w:val="0"/>
          <w:i w:val="0"/>
          <w:caps w:val="0"/>
          <w:color w:val="auto"/>
          <w:spacing w:val="0"/>
          <w:w w:val="100"/>
          <w:sz w:val="24"/>
          <w:szCs w:val="24"/>
          <w:highlight w:val="none"/>
          <w:u w:val="single" w:color="000000"/>
        </w:rPr>
        <w:t xml:space="preserve">       </w:t>
      </w:r>
      <w:r>
        <w:rPr>
          <w:rFonts w:hint="eastAsia" w:ascii="宋体" w:hAnsi="宋体" w:eastAsia="宋体" w:cs="宋体"/>
          <w:b w:val="0"/>
          <w:i w:val="0"/>
          <w:caps w:val="0"/>
          <w:color w:val="auto"/>
          <w:spacing w:val="0"/>
          <w:w w:val="100"/>
          <w:sz w:val="24"/>
          <w:szCs w:val="24"/>
          <w:highlight w:val="none"/>
        </w:rPr>
        <w:t xml:space="preserve">                       账  号：</w:t>
      </w:r>
      <w:r>
        <w:rPr>
          <w:rFonts w:hint="eastAsia" w:ascii="宋体" w:hAnsi="宋体" w:eastAsia="宋体" w:cs="宋体"/>
          <w:b w:val="0"/>
          <w:i w:val="0"/>
          <w:caps w:val="0"/>
          <w:color w:val="auto"/>
          <w:spacing w:val="0"/>
          <w:w w:val="100"/>
          <w:sz w:val="24"/>
          <w:szCs w:val="24"/>
          <w:highlight w:val="none"/>
          <w:u w:val="single" w:color="000000"/>
        </w:rPr>
        <w:t xml:space="preserve">     </w:t>
      </w:r>
    </w:p>
    <w:p w14:paraId="1B9F7BF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邮政编码：</w:t>
      </w:r>
      <w:r>
        <w:rPr>
          <w:rFonts w:hint="eastAsia" w:ascii="宋体" w:hAnsi="宋体" w:eastAsia="宋体" w:cs="宋体"/>
          <w:b w:val="0"/>
          <w:i w:val="0"/>
          <w:caps w:val="0"/>
          <w:color w:val="auto"/>
          <w:spacing w:val="0"/>
          <w:w w:val="100"/>
          <w:sz w:val="24"/>
          <w:szCs w:val="24"/>
          <w:highlight w:val="none"/>
          <w:u w:val="single" w:color="000000"/>
        </w:rPr>
        <w:t xml:space="preserve">     </w:t>
      </w:r>
      <w:r>
        <w:rPr>
          <w:rFonts w:hint="eastAsia" w:ascii="宋体" w:hAnsi="宋体" w:eastAsia="宋体" w:cs="宋体"/>
          <w:b w:val="0"/>
          <w:i w:val="0"/>
          <w:caps w:val="0"/>
          <w:color w:val="auto"/>
          <w:spacing w:val="0"/>
          <w:w w:val="100"/>
          <w:sz w:val="24"/>
          <w:szCs w:val="24"/>
          <w:highlight w:val="none"/>
        </w:rPr>
        <w:t xml:space="preserve">                      邮政编码：</w:t>
      </w:r>
      <w:r>
        <w:rPr>
          <w:rFonts w:hint="eastAsia" w:ascii="宋体" w:hAnsi="宋体" w:eastAsia="宋体" w:cs="宋体"/>
          <w:b w:val="0"/>
          <w:i w:val="0"/>
          <w:caps w:val="0"/>
          <w:color w:val="auto"/>
          <w:spacing w:val="0"/>
          <w:w w:val="100"/>
          <w:sz w:val="24"/>
          <w:szCs w:val="24"/>
          <w:highlight w:val="none"/>
          <w:u w:val="single" w:color="000000"/>
        </w:rPr>
        <w:t xml:space="preserve">   </w:t>
      </w:r>
    </w:p>
    <w:p w14:paraId="167960FA">
      <w:pPr>
        <w:pStyle w:val="72"/>
        <w:snapToGrid w:val="0"/>
        <w:spacing w:before="260" w:beforeAutospacing="0" w:after="260" w:afterAutospacing="0" w:line="416" w:lineRule="auto"/>
        <w:jc w:val="both"/>
        <w:textAlignment w:val="baseline"/>
        <w:outlineLvl w:val="9"/>
        <w:rPr>
          <w:rFonts w:hint="eastAsia" w:ascii="宋体" w:hAnsi="宋体" w:eastAsia="宋体" w:cs="宋体"/>
          <w:b/>
          <w:i w:val="0"/>
          <w:caps w:val="0"/>
          <w:color w:val="auto"/>
          <w:spacing w:val="0"/>
          <w:w w:val="100"/>
          <w:sz w:val="32"/>
          <w:highlight w:val="none"/>
        </w:rPr>
      </w:pPr>
      <w:r>
        <w:rPr>
          <w:rFonts w:hint="eastAsia" w:ascii="宋体" w:hAnsi="宋体" w:eastAsia="宋体" w:cs="宋体"/>
          <w:b/>
          <w:i w:val="0"/>
          <w:caps w:val="0"/>
          <w:color w:val="auto"/>
          <w:spacing w:val="0"/>
          <w:w w:val="100"/>
          <w:sz w:val="24"/>
          <w:szCs w:val="24"/>
          <w:highlight w:val="none"/>
        </w:rPr>
        <w:br w:type="page"/>
      </w:r>
    </w:p>
    <w:p w14:paraId="0802A7F4">
      <w:pPr>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089" w:name="_Toc256000121"/>
      <w:bookmarkStart w:id="1090" w:name="_Toc505871411"/>
      <w:bookmarkStart w:id="1091" w:name="_Toc13134"/>
      <w:bookmarkStart w:id="1092" w:name="_Toc22748"/>
      <w:bookmarkStart w:id="1093" w:name="_Toc31370"/>
      <w:bookmarkStart w:id="1094" w:name="_Toc9634"/>
      <w:r>
        <w:rPr>
          <w:rFonts w:hint="eastAsia" w:ascii="宋体" w:hAnsi="宋体" w:eastAsia="宋体" w:cs="宋体"/>
          <w:b/>
          <w:i w:val="0"/>
          <w:caps w:val="0"/>
          <w:color w:val="auto"/>
          <w:spacing w:val="0"/>
          <w:w w:val="100"/>
          <w:sz w:val="32"/>
          <w:highlight w:val="none"/>
        </w:rPr>
        <w:t>附件4：</w:t>
      </w:r>
      <w:bookmarkEnd w:id="1089"/>
      <w:bookmarkEnd w:id="1090"/>
      <w:bookmarkStart w:id="1095" w:name="_Toc505871412"/>
      <w:bookmarkStart w:id="1096" w:name="_Toc256000122"/>
      <w:r>
        <w:rPr>
          <w:rFonts w:hint="eastAsia" w:ascii="宋体" w:hAnsi="宋体" w:eastAsia="宋体" w:cs="宋体"/>
          <w:b/>
          <w:i w:val="0"/>
          <w:caps w:val="0"/>
          <w:color w:val="auto"/>
          <w:spacing w:val="0"/>
          <w:w w:val="100"/>
          <w:sz w:val="32"/>
          <w:highlight w:val="none"/>
        </w:rPr>
        <w:t>主要建设工程文件目录</w:t>
      </w:r>
      <w:bookmarkEnd w:id="1091"/>
      <w:bookmarkEnd w:id="1092"/>
      <w:bookmarkEnd w:id="1093"/>
      <w:bookmarkEnd w:id="1094"/>
      <w:bookmarkEnd w:id="1095"/>
      <w:bookmarkEnd w:id="1096"/>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953"/>
        <w:gridCol w:w="1276"/>
        <w:gridCol w:w="1450"/>
        <w:gridCol w:w="1243"/>
        <w:gridCol w:w="1450"/>
        <w:gridCol w:w="1667"/>
      </w:tblGrid>
      <w:tr w14:paraId="763AD0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953" w:type="dxa"/>
            <w:tcBorders>
              <w:top w:val="single" w:color="auto" w:sz="12" w:space="0"/>
              <w:bottom w:val="double" w:color="auto" w:sz="6" w:space="0"/>
            </w:tcBorders>
            <w:noWrap w:val="0"/>
            <w:vAlign w:val="center"/>
          </w:tcPr>
          <w:p w14:paraId="642223E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文件名称</w:t>
            </w:r>
          </w:p>
        </w:tc>
        <w:tc>
          <w:tcPr>
            <w:tcW w:w="1276" w:type="dxa"/>
            <w:tcBorders>
              <w:top w:val="single" w:color="auto" w:sz="12" w:space="0"/>
              <w:bottom w:val="double" w:color="auto" w:sz="6" w:space="0"/>
            </w:tcBorders>
            <w:noWrap w:val="0"/>
            <w:vAlign w:val="center"/>
          </w:tcPr>
          <w:p w14:paraId="23357E8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套数</w:t>
            </w:r>
          </w:p>
        </w:tc>
        <w:tc>
          <w:tcPr>
            <w:tcW w:w="1450" w:type="dxa"/>
            <w:tcBorders>
              <w:top w:val="single" w:color="auto" w:sz="12" w:space="0"/>
              <w:bottom w:val="double" w:color="auto" w:sz="6" w:space="0"/>
            </w:tcBorders>
            <w:noWrap w:val="0"/>
            <w:vAlign w:val="center"/>
          </w:tcPr>
          <w:p w14:paraId="1FF2E10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费用（元）</w:t>
            </w:r>
          </w:p>
        </w:tc>
        <w:tc>
          <w:tcPr>
            <w:tcW w:w="1243" w:type="dxa"/>
            <w:tcBorders>
              <w:top w:val="single" w:color="auto" w:sz="12" w:space="0"/>
              <w:bottom w:val="double" w:color="auto" w:sz="6" w:space="0"/>
            </w:tcBorders>
            <w:noWrap w:val="0"/>
            <w:vAlign w:val="center"/>
          </w:tcPr>
          <w:p w14:paraId="5886555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质量</w:t>
            </w:r>
          </w:p>
        </w:tc>
        <w:tc>
          <w:tcPr>
            <w:tcW w:w="1450" w:type="dxa"/>
            <w:tcBorders>
              <w:top w:val="single" w:color="auto" w:sz="12" w:space="0"/>
              <w:bottom w:val="double" w:color="auto" w:sz="6" w:space="0"/>
            </w:tcBorders>
            <w:noWrap w:val="0"/>
            <w:vAlign w:val="top"/>
          </w:tcPr>
          <w:p w14:paraId="575D2CDE">
            <w:pPr>
              <w:pStyle w:val="66"/>
              <w:snapToGrid w:val="0"/>
              <w:spacing w:before="0" w:beforeAutospacing="0" w:after="0" w:afterAutospacing="0" w:line="440" w:lineRule="exact"/>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移交时间</w:t>
            </w:r>
          </w:p>
        </w:tc>
        <w:tc>
          <w:tcPr>
            <w:tcW w:w="1667" w:type="dxa"/>
            <w:tcBorders>
              <w:top w:val="single" w:color="auto" w:sz="12" w:space="0"/>
              <w:bottom w:val="double" w:color="auto" w:sz="6" w:space="0"/>
            </w:tcBorders>
            <w:noWrap w:val="0"/>
            <w:vAlign w:val="top"/>
          </w:tcPr>
          <w:p w14:paraId="5CF3E297">
            <w:pPr>
              <w:pStyle w:val="66"/>
              <w:snapToGrid w:val="0"/>
              <w:spacing w:before="0" w:beforeAutospacing="0" w:after="0" w:afterAutospacing="0" w:line="440" w:lineRule="exact"/>
              <w:jc w:val="center"/>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责任人</w:t>
            </w:r>
          </w:p>
        </w:tc>
      </w:tr>
      <w:tr w14:paraId="6F5F99E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double" w:color="auto" w:sz="6" w:space="0"/>
              <w:bottom w:val="single" w:color="auto" w:sz="6" w:space="0"/>
            </w:tcBorders>
            <w:noWrap w:val="0"/>
            <w:vAlign w:val="center"/>
          </w:tcPr>
          <w:p w14:paraId="7DA3A88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tcBorders>
              <w:top w:val="double" w:color="auto" w:sz="6" w:space="0"/>
              <w:bottom w:val="single" w:color="auto" w:sz="6" w:space="0"/>
            </w:tcBorders>
            <w:noWrap w:val="0"/>
            <w:vAlign w:val="center"/>
          </w:tcPr>
          <w:p w14:paraId="50008C9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tcBorders>
              <w:top w:val="double" w:color="auto" w:sz="6" w:space="0"/>
              <w:bottom w:val="single" w:color="auto" w:sz="6" w:space="0"/>
            </w:tcBorders>
            <w:noWrap w:val="0"/>
            <w:vAlign w:val="center"/>
          </w:tcPr>
          <w:p w14:paraId="10E313A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tcBorders>
              <w:top w:val="double" w:color="auto" w:sz="6" w:space="0"/>
              <w:bottom w:val="single" w:color="auto" w:sz="6" w:space="0"/>
            </w:tcBorders>
            <w:noWrap w:val="0"/>
            <w:vAlign w:val="center"/>
          </w:tcPr>
          <w:p w14:paraId="72C07C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tcBorders>
              <w:top w:val="double" w:color="auto" w:sz="6" w:space="0"/>
              <w:bottom w:val="single" w:color="auto" w:sz="6" w:space="0"/>
            </w:tcBorders>
            <w:noWrap w:val="0"/>
            <w:vAlign w:val="center"/>
          </w:tcPr>
          <w:p w14:paraId="0ED2A5D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tcBorders>
              <w:top w:val="double" w:color="auto" w:sz="6" w:space="0"/>
              <w:bottom w:val="single" w:color="auto" w:sz="6" w:space="0"/>
            </w:tcBorders>
            <w:noWrap w:val="0"/>
            <w:vAlign w:val="center"/>
          </w:tcPr>
          <w:p w14:paraId="252051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68CEF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tcBorders>
              <w:top w:val="nil"/>
            </w:tcBorders>
            <w:noWrap w:val="0"/>
            <w:vAlign w:val="center"/>
          </w:tcPr>
          <w:p w14:paraId="345D066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tcBorders>
              <w:top w:val="nil"/>
            </w:tcBorders>
            <w:noWrap w:val="0"/>
            <w:vAlign w:val="center"/>
          </w:tcPr>
          <w:p w14:paraId="519E385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tcBorders>
              <w:top w:val="nil"/>
            </w:tcBorders>
            <w:noWrap w:val="0"/>
            <w:vAlign w:val="center"/>
          </w:tcPr>
          <w:p w14:paraId="1419EE3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tcBorders>
              <w:top w:val="nil"/>
            </w:tcBorders>
            <w:noWrap w:val="0"/>
            <w:vAlign w:val="center"/>
          </w:tcPr>
          <w:p w14:paraId="216C50B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tcBorders>
              <w:top w:val="nil"/>
            </w:tcBorders>
            <w:noWrap w:val="0"/>
            <w:vAlign w:val="center"/>
          </w:tcPr>
          <w:p w14:paraId="11B4435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tcBorders>
              <w:top w:val="nil"/>
            </w:tcBorders>
            <w:noWrap w:val="0"/>
            <w:vAlign w:val="center"/>
          </w:tcPr>
          <w:p w14:paraId="645C6C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51F3C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76379A9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center"/>
          </w:tcPr>
          <w:p w14:paraId="2B543FB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4A48B9F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center"/>
          </w:tcPr>
          <w:p w14:paraId="2737A1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2808DBD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center"/>
          </w:tcPr>
          <w:p w14:paraId="0941988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29D82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B00840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center"/>
          </w:tcPr>
          <w:p w14:paraId="7F072FC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2F20908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center"/>
          </w:tcPr>
          <w:p w14:paraId="0DA2532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4EEB952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center"/>
          </w:tcPr>
          <w:p w14:paraId="7238757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F3141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30E9E7E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center"/>
          </w:tcPr>
          <w:p w14:paraId="6CAD418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264C7BF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center"/>
          </w:tcPr>
          <w:p w14:paraId="5459654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57C8ABD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center"/>
          </w:tcPr>
          <w:p w14:paraId="7C54DBE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6D475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497CEEB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center"/>
          </w:tcPr>
          <w:p w14:paraId="21BFA9E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3E33737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center"/>
          </w:tcPr>
          <w:p w14:paraId="14D925F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4B213C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center"/>
          </w:tcPr>
          <w:p w14:paraId="4778C41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ACA476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2A69D57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center"/>
          </w:tcPr>
          <w:p w14:paraId="469B0A1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4E149B7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center"/>
          </w:tcPr>
          <w:p w14:paraId="56B6A3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419680A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center"/>
          </w:tcPr>
          <w:p w14:paraId="625FD91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DAF9FD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D1B921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center"/>
          </w:tcPr>
          <w:p w14:paraId="10CE844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1D3CEE5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center"/>
          </w:tcPr>
          <w:p w14:paraId="6D76F43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3F931E1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center"/>
          </w:tcPr>
          <w:p w14:paraId="2C5E5DB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44542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574BA16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5743AF4F">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61102C4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7E3CACB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31822F3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540331C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19A505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center"/>
          </w:tcPr>
          <w:p w14:paraId="04694F2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center"/>
          </w:tcPr>
          <w:p w14:paraId="605791E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159DBFC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center"/>
          </w:tcPr>
          <w:p w14:paraId="547AA95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center"/>
          </w:tcPr>
          <w:p w14:paraId="0BAD802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center"/>
          </w:tcPr>
          <w:p w14:paraId="5F167FD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882C70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59CD855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02F556A5">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7AD2325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56F7C7A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5457CEC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5368B69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033CBD3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5D988A1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169C524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4933FC1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77CB202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1841978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20CEF12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7E9C76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221EACB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02EFBB1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563B6F0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22D697C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5A2D4D89">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35AD38A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6268FE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92C62E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42B393D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03A5C46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0CED07A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0B88161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5BBCDD5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1DF23C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0BD724B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0894A02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4A1F212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4E1588D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4743166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47CBDAF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20162BF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339D168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44B9A71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6F64BCC9">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22F6D1D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21C7E88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149249C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1AF71DC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1F39280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223FA35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0520FBC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5516BCC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6C7FE77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2CEAE46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73FF31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953" w:type="dxa"/>
            <w:noWrap w:val="0"/>
            <w:vAlign w:val="top"/>
          </w:tcPr>
          <w:p w14:paraId="7DD196F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76" w:type="dxa"/>
            <w:noWrap w:val="0"/>
            <w:vAlign w:val="top"/>
          </w:tcPr>
          <w:p w14:paraId="6A9DEF7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716DC3F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243" w:type="dxa"/>
            <w:noWrap w:val="0"/>
            <w:vAlign w:val="top"/>
          </w:tcPr>
          <w:p w14:paraId="42DE054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50" w:type="dxa"/>
            <w:noWrap w:val="0"/>
            <w:vAlign w:val="top"/>
          </w:tcPr>
          <w:p w14:paraId="7803C6A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667" w:type="dxa"/>
            <w:noWrap w:val="0"/>
            <w:vAlign w:val="top"/>
          </w:tcPr>
          <w:p w14:paraId="30A5638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bl>
    <w:p w14:paraId="3532B797">
      <w:pPr>
        <w:pStyle w:val="72"/>
        <w:snapToGrid w:val="0"/>
        <w:spacing w:before="260" w:beforeAutospacing="0" w:after="260" w:afterAutospacing="0" w:line="416" w:lineRule="auto"/>
        <w:jc w:val="both"/>
        <w:textAlignment w:val="baseline"/>
        <w:outlineLvl w:val="9"/>
        <w:rPr>
          <w:rFonts w:hint="eastAsia" w:ascii="宋体" w:hAnsi="宋体" w:eastAsia="宋体" w:cs="宋体"/>
          <w:b/>
          <w:i w:val="0"/>
          <w:caps w:val="0"/>
          <w:color w:val="auto"/>
          <w:spacing w:val="0"/>
          <w:w w:val="100"/>
          <w:sz w:val="32"/>
          <w:highlight w:val="none"/>
        </w:rPr>
      </w:pPr>
      <w:r>
        <w:rPr>
          <w:rFonts w:hint="eastAsia" w:ascii="宋体" w:hAnsi="宋体" w:eastAsia="宋体" w:cs="宋体"/>
          <w:b/>
          <w:i w:val="0"/>
          <w:caps w:val="0"/>
          <w:color w:val="auto"/>
          <w:spacing w:val="0"/>
          <w:w w:val="100"/>
          <w:sz w:val="32"/>
          <w:highlight w:val="none"/>
        </w:rPr>
        <w:br w:type="page"/>
      </w:r>
    </w:p>
    <w:p w14:paraId="2EF061D7">
      <w:pPr>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097" w:name="_Toc505871413"/>
      <w:bookmarkStart w:id="1098" w:name="_Toc256000123"/>
      <w:bookmarkStart w:id="1099" w:name="_Toc25628"/>
      <w:bookmarkStart w:id="1100" w:name="_Toc11561"/>
      <w:bookmarkStart w:id="1101" w:name="_Toc15798"/>
      <w:bookmarkStart w:id="1102" w:name="_Toc31860"/>
      <w:r>
        <w:rPr>
          <w:rFonts w:hint="eastAsia" w:ascii="宋体" w:hAnsi="宋体" w:eastAsia="宋体" w:cs="宋体"/>
          <w:b/>
          <w:i w:val="0"/>
          <w:caps w:val="0"/>
          <w:color w:val="auto"/>
          <w:spacing w:val="0"/>
          <w:w w:val="100"/>
          <w:sz w:val="32"/>
          <w:highlight w:val="none"/>
        </w:rPr>
        <w:t>附件5：</w:t>
      </w:r>
      <w:bookmarkEnd w:id="1097"/>
      <w:bookmarkEnd w:id="1098"/>
      <w:bookmarkStart w:id="1103" w:name="_Toc505871414"/>
      <w:bookmarkStart w:id="1104" w:name="_Toc256000124"/>
      <w:r>
        <w:rPr>
          <w:rFonts w:hint="eastAsia" w:ascii="宋体" w:hAnsi="宋体" w:eastAsia="宋体" w:cs="宋体"/>
          <w:b/>
          <w:i w:val="0"/>
          <w:caps w:val="0"/>
          <w:color w:val="auto"/>
          <w:spacing w:val="0"/>
          <w:w w:val="100"/>
          <w:sz w:val="32"/>
          <w:highlight w:val="none"/>
        </w:rPr>
        <w:t>承包人用于本工程施工的机械设备表</w:t>
      </w:r>
      <w:bookmarkEnd w:id="1099"/>
      <w:bookmarkEnd w:id="1100"/>
      <w:bookmarkEnd w:id="1101"/>
      <w:bookmarkEnd w:id="1102"/>
      <w:bookmarkEnd w:id="1103"/>
      <w:bookmarkEnd w:id="1104"/>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162"/>
        <w:gridCol w:w="1418"/>
        <w:gridCol w:w="850"/>
        <w:gridCol w:w="1058"/>
        <w:gridCol w:w="880"/>
        <w:gridCol w:w="1020"/>
        <w:gridCol w:w="1480"/>
        <w:gridCol w:w="1020"/>
        <w:gridCol w:w="921"/>
      </w:tblGrid>
      <w:tr w14:paraId="1AC85C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162" w:type="dxa"/>
            <w:tcBorders>
              <w:top w:val="single" w:color="auto" w:sz="12" w:space="0"/>
              <w:bottom w:val="double" w:color="auto" w:sz="6" w:space="0"/>
            </w:tcBorders>
            <w:noWrap w:val="0"/>
            <w:vAlign w:val="center"/>
          </w:tcPr>
          <w:p w14:paraId="1ED7507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序号</w:t>
            </w:r>
          </w:p>
        </w:tc>
        <w:tc>
          <w:tcPr>
            <w:tcW w:w="1418" w:type="dxa"/>
            <w:tcBorders>
              <w:top w:val="single" w:color="auto" w:sz="12" w:space="0"/>
              <w:bottom w:val="double" w:color="auto" w:sz="6" w:space="0"/>
            </w:tcBorders>
            <w:noWrap w:val="0"/>
            <w:vAlign w:val="center"/>
          </w:tcPr>
          <w:p w14:paraId="1D51A1D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机械或设备名称</w:t>
            </w:r>
          </w:p>
        </w:tc>
        <w:tc>
          <w:tcPr>
            <w:tcW w:w="850" w:type="dxa"/>
            <w:tcBorders>
              <w:top w:val="single" w:color="auto" w:sz="12" w:space="0"/>
              <w:bottom w:val="double" w:color="auto" w:sz="6" w:space="0"/>
            </w:tcBorders>
            <w:noWrap w:val="0"/>
            <w:vAlign w:val="center"/>
          </w:tcPr>
          <w:p w14:paraId="069408B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规格型号</w:t>
            </w:r>
          </w:p>
        </w:tc>
        <w:tc>
          <w:tcPr>
            <w:tcW w:w="1058" w:type="dxa"/>
            <w:tcBorders>
              <w:top w:val="single" w:color="auto" w:sz="12" w:space="0"/>
              <w:bottom w:val="double" w:color="auto" w:sz="6" w:space="0"/>
            </w:tcBorders>
            <w:noWrap w:val="0"/>
            <w:vAlign w:val="center"/>
          </w:tcPr>
          <w:p w14:paraId="5C540FF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数量</w:t>
            </w:r>
          </w:p>
        </w:tc>
        <w:tc>
          <w:tcPr>
            <w:tcW w:w="880" w:type="dxa"/>
            <w:tcBorders>
              <w:top w:val="single" w:color="auto" w:sz="12" w:space="0"/>
              <w:bottom w:val="double" w:color="auto" w:sz="6" w:space="0"/>
            </w:tcBorders>
            <w:noWrap w:val="0"/>
            <w:vAlign w:val="center"/>
          </w:tcPr>
          <w:p w14:paraId="3E6A6F5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产地</w:t>
            </w:r>
          </w:p>
        </w:tc>
        <w:tc>
          <w:tcPr>
            <w:tcW w:w="1020" w:type="dxa"/>
            <w:tcBorders>
              <w:top w:val="single" w:color="auto" w:sz="12" w:space="0"/>
              <w:bottom w:val="double" w:color="auto" w:sz="6" w:space="0"/>
            </w:tcBorders>
            <w:noWrap w:val="0"/>
            <w:vAlign w:val="center"/>
          </w:tcPr>
          <w:p w14:paraId="45BC949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制造年份</w:t>
            </w:r>
          </w:p>
        </w:tc>
        <w:tc>
          <w:tcPr>
            <w:tcW w:w="1480" w:type="dxa"/>
            <w:tcBorders>
              <w:top w:val="single" w:color="auto" w:sz="12" w:space="0"/>
              <w:bottom w:val="double" w:color="auto" w:sz="6" w:space="0"/>
            </w:tcBorders>
            <w:noWrap w:val="0"/>
            <w:vAlign w:val="center"/>
          </w:tcPr>
          <w:p w14:paraId="7B7DF9A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额定功率(kW)</w:t>
            </w:r>
          </w:p>
        </w:tc>
        <w:tc>
          <w:tcPr>
            <w:tcW w:w="1020" w:type="dxa"/>
            <w:tcBorders>
              <w:top w:val="single" w:color="auto" w:sz="12" w:space="0"/>
              <w:bottom w:val="double" w:color="auto" w:sz="6" w:space="0"/>
            </w:tcBorders>
            <w:noWrap w:val="0"/>
            <w:vAlign w:val="center"/>
          </w:tcPr>
          <w:p w14:paraId="489232C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生产能力</w:t>
            </w:r>
          </w:p>
        </w:tc>
        <w:tc>
          <w:tcPr>
            <w:tcW w:w="921" w:type="dxa"/>
            <w:tcBorders>
              <w:top w:val="single" w:color="auto" w:sz="12" w:space="0"/>
              <w:bottom w:val="double" w:color="auto" w:sz="6" w:space="0"/>
            </w:tcBorders>
            <w:noWrap w:val="0"/>
            <w:vAlign w:val="center"/>
          </w:tcPr>
          <w:p w14:paraId="00A09E2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备注</w:t>
            </w:r>
          </w:p>
        </w:tc>
      </w:tr>
      <w:tr w14:paraId="210A009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double" w:color="auto" w:sz="6" w:space="0"/>
              <w:bottom w:val="single" w:color="auto" w:sz="6" w:space="0"/>
            </w:tcBorders>
            <w:noWrap w:val="0"/>
            <w:vAlign w:val="center"/>
          </w:tcPr>
          <w:p w14:paraId="4D649DA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double" w:color="auto" w:sz="6" w:space="0"/>
              <w:bottom w:val="single" w:color="auto" w:sz="6" w:space="0"/>
            </w:tcBorders>
            <w:noWrap w:val="0"/>
            <w:vAlign w:val="center"/>
          </w:tcPr>
          <w:p w14:paraId="05ABECE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tcBorders>
              <w:top w:val="double" w:color="auto" w:sz="6" w:space="0"/>
              <w:bottom w:val="single" w:color="auto" w:sz="6" w:space="0"/>
            </w:tcBorders>
            <w:noWrap w:val="0"/>
            <w:vAlign w:val="center"/>
          </w:tcPr>
          <w:p w14:paraId="22969C6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tcBorders>
              <w:top w:val="double" w:color="auto" w:sz="6" w:space="0"/>
              <w:bottom w:val="single" w:color="auto" w:sz="6" w:space="0"/>
            </w:tcBorders>
            <w:noWrap w:val="0"/>
            <w:vAlign w:val="center"/>
          </w:tcPr>
          <w:p w14:paraId="0A38F92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tcBorders>
              <w:top w:val="double" w:color="auto" w:sz="6" w:space="0"/>
              <w:bottom w:val="single" w:color="auto" w:sz="6" w:space="0"/>
            </w:tcBorders>
            <w:noWrap w:val="0"/>
            <w:vAlign w:val="center"/>
          </w:tcPr>
          <w:p w14:paraId="48CA8AC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tcBorders>
              <w:top w:val="double" w:color="auto" w:sz="6" w:space="0"/>
              <w:bottom w:val="single" w:color="auto" w:sz="6" w:space="0"/>
            </w:tcBorders>
            <w:noWrap w:val="0"/>
            <w:vAlign w:val="center"/>
          </w:tcPr>
          <w:p w14:paraId="49BC229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tcBorders>
              <w:top w:val="double" w:color="auto" w:sz="6" w:space="0"/>
              <w:bottom w:val="single" w:color="auto" w:sz="6" w:space="0"/>
            </w:tcBorders>
            <w:noWrap w:val="0"/>
            <w:vAlign w:val="center"/>
          </w:tcPr>
          <w:p w14:paraId="23AF09C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tcBorders>
              <w:top w:val="double" w:color="auto" w:sz="6" w:space="0"/>
              <w:bottom w:val="single" w:color="auto" w:sz="6" w:space="0"/>
            </w:tcBorders>
            <w:noWrap w:val="0"/>
            <w:vAlign w:val="center"/>
          </w:tcPr>
          <w:p w14:paraId="06F2C3C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tcBorders>
              <w:top w:val="double" w:color="auto" w:sz="6" w:space="0"/>
              <w:bottom w:val="single" w:color="auto" w:sz="6" w:space="0"/>
            </w:tcBorders>
            <w:noWrap w:val="0"/>
            <w:vAlign w:val="center"/>
          </w:tcPr>
          <w:p w14:paraId="6574F1A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D31834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tcBorders>
              <w:top w:val="nil"/>
            </w:tcBorders>
            <w:noWrap w:val="0"/>
            <w:vAlign w:val="center"/>
          </w:tcPr>
          <w:p w14:paraId="635C974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center"/>
          </w:tcPr>
          <w:p w14:paraId="546696B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tcBorders>
              <w:top w:val="nil"/>
            </w:tcBorders>
            <w:noWrap w:val="0"/>
            <w:vAlign w:val="center"/>
          </w:tcPr>
          <w:p w14:paraId="5673E0D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tcBorders>
              <w:top w:val="nil"/>
            </w:tcBorders>
            <w:noWrap w:val="0"/>
            <w:vAlign w:val="center"/>
          </w:tcPr>
          <w:p w14:paraId="0707015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tcBorders>
              <w:top w:val="nil"/>
            </w:tcBorders>
            <w:noWrap w:val="0"/>
            <w:vAlign w:val="center"/>
          </w:tcPr>
          <w:p w14:paraId="2BFFFD8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tcBorders>
              <w:top w:val="nil"/>
            </w:tcBorders>
            <w:noWrap w:val="0"/>
            <w:vAlign w:val="center"/>
          </w:tcPr>
          <w:p w14:paraId="3F81CD8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tcBorders>
              <w:top w:val="nil"/>
            </w:tcBorders>
            <w:noWrap w:val="0"/>
            <w:vAlign w:val="center"/>
          </w:tcPr>
          <w:p w14:paraId="3EB7D83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tcBorders>
              <w:top w:val="nil"/>
            </w:tcBorders>
            <w:noWrap w:val="0"/>
            <w:vAlign w:val="center"/>
          </w:tcPr>
          <w:p w14:paraId="1AB9FB0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tcBorders>
              <w:top w:val="nil"/>
            </w:tcBorders>
            <w:noWrap w:val="0"/>
            <w:vAlign w:val="center"/>
          </w:tcPr>
          <w:p w14:paraId="3B5EFA5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67EAF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3348D91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288950C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center"/>
          </w:tcPr>
          <w:p w14:paraId="5680F37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center"/>
          </w:tcPr>
          <w:p w14:paraId="0DF3CB6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center"/>
          </w:tcPr>
          <w:p w14:paraId="67B04F1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74465FE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center"/>
          </w:tcPr>
          <w:p w14:paraId="50964A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4F96E9A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center"/>
          </w:tcPr>
          <w:p w14:paraId="08D402B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5C539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4FAD89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29FF96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center"/>
          </w:tcPr>
          <w:p w14:paraId="64AB8EB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center"/>
          </w:tcPr>
          <w:p w14:paraId="743E8F3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center"/>
          </w:tcPr>
          <w:p w14:paraId="37B231C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4DED389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center"/>
          </w:tcPr>
          <w:p w14:paraId="7D7A0E3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676BC1D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center"/>
          </w:tcPr>
          <w:p w14:paraId="3C91F3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F57F5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06BB8F2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1FF7DAC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center"/>
          </w:tcPr>
          <w:p w14:paraId="512863E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center"/>
          </w:tcPr>
          <w:p w14:paraId="5D8E036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center"/>
          </w:tcPr>
          <w:p w14:paraId="7AA0836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651959E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center"/>
          </w:tcPr>
          <w:p w14:paraId="3D86D07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6F7EBE8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center"/>
          </w:tcPr>
          <w:p w14:paraId="6CE5E47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21260E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58CA4D4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34FEBD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center"/>
          </w:tcPr>
          <w:p w14:paraId="7D5E1FC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center"/>
          </w:tcPr>
          <w:p w14:paraId="3BE21DA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center"/>
          </w:tcPr>
          <w:p w14:paraId="1AA8A11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44B5C2C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center"/>
          </w:tcPr>
          <w:p w14:paraId="7C94759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20E582F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center"/>
          </w:tcPr>
          <w:p w14:paraId="277CC61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0AC7B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A18F6E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5E725C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center"/>
          </w:tcPr>
          <w:p w14:paraId="1D80CAC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center"/>
          </w:tcPr>
          <w:p w14:paraId="45AC35E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center"/>
          </w:tcPr>
          <w:p w14:paraId="7290C87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643EEA0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center"/>
          </w:tcPr>
          <w:p w14:paraId="17E1456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6010B5B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center"/>
          </w:tcPr>
          <w:p w14:paraId="6AEE910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5C04D9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12F983F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5CD9B4F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center"/>
          </w:tcPr>
          <w:p w14:paraId="41D4A2A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center"/>
          </w:tcPr>
          <w:p w14:paraId="728C80B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center"/>
          </w:tcPr>
          <w:p w14:paraId="18E2928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529F06B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center"/>
          </w:tcPr>
          <w:p w14:paraId="6220547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0507750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center"/>
          </w:tcPr>
          <w:p w14:paraId="17AF82B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6E4D1B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554EE8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2022309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34F6798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077CD2B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0810A82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7470F79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1FFA500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5C932B6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580BF9F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142769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center"/>
          </w:tcPr>
          <w:p w14:paraId="790C00A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2EC2C6D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center"/>
          </w:tcPr>
          <w:p w14:paraId="24B7891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center"/>
          </w:tcPr>
          <w:p w14:paraId="5F51095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center"/>
          </w:tcPr>
          <w:p w14:paraId="6DF7127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5217FFF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center"/>
          </w:tcPr>
          <w:p w14:paraId="38B5C21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center"/>
          </w:tcPr>
          <w:p w14:paraId="5B0ADC9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center"/>
          </w:tcPr>
          <w:p w14:paraId="21777AF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16FA8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3DDED1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041E9F8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5DA9D415">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5FF26D6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7E29229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2468D8C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126EBC8F">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202BEE0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576E00A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0AC5EC5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2C0E544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63003C8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0FC6266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6614C649">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17F608A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408A0C2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7C0D22B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4F28A4B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6FD6486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437DD6B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1AE5C55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6B54948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3AECECC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0FF99F75">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6817CA4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32D0151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151870D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3CD37DF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6C1EE5E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74732FF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0AA4630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7C79398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308F862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7479BC4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2D38A5B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090FDE7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68357889">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739F4A8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66F61FE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0AEEDE2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62CD146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9329CE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4F750D2F">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341C8ED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21EDD08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498BB1D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63BEEC7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6FA599D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3849E1F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7B2743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328D18C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BAB2F5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41DD3FA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1C8CA3FF">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7FB9499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0F8A303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02188E05">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0FEE35F5">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6CB9429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581B712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7D3554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77D5A898">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36C9AB9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68FBBBE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5C1C853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6D50541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1A6404E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5E37544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67F2F15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r w14:paraId="131DBB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1162" w:type="dxa"/>
            <w:noWrap w:val="0"/>
            <w:vAlign w:val="top"/>
          </w:tcPr>
          <w:p w14:paraId="5F260810">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85800A9">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50" w:type="dxa"/>
            <w:noWrap w:val="0"/>
            <w:vAlign w:val="top"/>
          </w:tcPr>
          <w:p w14:paraId="1153AB93">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58" w:type="dxa"/>
            <w:noWrap w:val="0"/>
            <w:vAlign w:val="top"/>
          </w:tcPr>
          <w:p w14:paraId="7F191339">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880" w:type="dxa"/>
            <w:noWrap w:val="0"/>
            <w:vAlign w:val="top"/>
          </w:tcPr>
          <w:p w14:paraId="434AC6B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79171DF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480" w:type="dxa"/>
            <w:noWrap w:val="0"/>
            <w:vAlign w:val="top"/>
          </w:tcPr>
          <w:p w14:paraId="4E1A9D0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1020" w:type="dxa"/>
            <w:noWrap w:val="0"/>
            <w:vAlign w:val="top"/>
          </w:tcPr>
          <w:p w14:paraId="4BE7D0DF">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c>
          <w:tcPr>
            <w:tcW w:w="921" w:type="dxa"/>
            <w:noWrap w:val="0"/>
            <w:vAlign w:val="top"/>
          </w:tcPr>
          <w:p w14:paraId="37F2933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tc>
      </w:tr>
    </w:tbl>
    <w:p w14:paraId="0A82B361">
      <w:pPr>
        <w:pStyle w:val="72"/>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105" w:name="_Toc505871415"/>
      <w:bookmarkStart w:id="1106" w:name="_Toc256000125"/>
      <w:bookmarkStart w:id="1107" w:name="_Toc12988"/>
      <w:bookmarkStart w:id="1108" w:name="_Toc19278"/>
      <w:bookmarkStart w:id="1109" w:name="_Toc20561"/>
      <w:bookmarkStart w:id="1110" w:name="_Toc30754"/>
      <w:r>
        <w:rPr>
          <w:rFonts w:hint="eastAsia" w:ascii="宋体" w:hAnsi="宋体" w:eastAsia="宋体" w:cs="宋体"/>
          <w:b/>
          <w:i w:val="0"/>
          <w:caps w:val="0"/>
          <w:color w:val="auto"/>
          <w:spacing w:val="0"/>
          <w:w w:val="100"/>
          <w:sz w:val="32"/>
          <w:highlight w:val="none"/>
        </w:rPr>
        <w:t>附件6：</w:t>
      </w:r>
      <w:bookmarkEnd w:id="1105"/>
      <w:bookmarkEnd w:id="1106"/>
      <w:bookmarkStart w:id="1111" w:name="_Toc505871416"/>
      <w:bookmarkStart w:id="1112" w:name="_Toc256000126"/>
      <w:r>
        <w:rPr>
          <w:rFonts w:hint="eastAsia" w:ascii="宋体" w:hAnsi="宋体" w:eastAsia="宋体" w:cs="宋体"/>
          <w:b/>
          <w:i w:val="0"/>
          <w:caps w:val="0"/>
          <w:color w:val="auto"/>
          <w:spacing w:val="0"/>
          <w:w w:val="100"/>
          <w:sz w:val="32"/>
          <w:highlight w:val="none"/>
        </w:rPr>
        <w:t>承包人主要施工管理人员表</w:t>
      </w:r>
      <w:bookmarkEnd w:id="1107"/>
      <w:bookmarkEnd w:id="1108"/>
      <w:bookmarkEnd w:id="1109"/>
      <w:bookmarkEnd w:id="1110"/>
      <w:bookmarkEnd w:id="1111"/>
      <w:bookmarkEnd w:id="1112"/>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247A55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1A79A58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名    称</w:t>
            </w:r>
          </w:p>
        </w:tc>
        <w:tc>
          <w:tcPr>
            <w:tcW w:w="1418" w:type="dxa"/>
            <w:tcBorders>
              <w:top w:val="single" w:color="auto" w:sz="12" w:space="0"/>
              <w:bottom w:val="double" w:color="auto" w:sz="6" w:space="0"/>
            </w:tcBorders>
            <w:noWrap w:val="0"/>
            <w:vAlign w:val="center"/>
          </w:tcPr>
          <w:p w14:paraId="7FECC6F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姓名</w:t>
            </w:r>
          </w:p>
        </w:tc>
        <w:tc>
          <w:tcPr>
            <w:tcW w:w="1134" w:type="dxa"/>
            <w:tcBorders>
              <w:top w:val="single" w:color="auto" w:sz="12" w:space="0"/>
              <w:bottom w:val="double" w:color="auto" w:sz="6" w:space="0"/>
            </w:tcBorders>
            <w:noWrap w:val="0"/>
            <w:vAlign w:val="center"/>
          </w:tcPr>
          <w:p w14:paraId="726BB22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职务</w:t>
            </w:r>
          </w:p>
        </w:tc>
        <w:tc>
          <w:tcPr>
            <w:tcW w:w="1134" w:type="dxa"/>
            <w:tcBorders>
              <w:top w:val="single" w:color="auto" w:sz="12" w:space="0"/>
              <w:bottom w:val="double" w:color="auto" w:sz="6" w:space="0"/>
            </w:tcBorders>
            <w:noWrap w:val="0"/>
            <w:vAlign w:val="center"/>
          </w:tcPr>
          <w:p w14:paraId="48B9503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职称</w:t>
            </w:r>
          </w:p>
        </w:tc>
        <w:tc>
          <w:tcPr>
            <w:tcW w:w="4252" w:type="dxa"/>
            <w:tcBorders>
              <w:top w:val="single" w:color="auto" w:sz="12" w:space="0"/>
              <w:bottom w:val="double" w:color="auto" w:sz="6" w:space="0"/>
            </w:tcBorders>
            <w:noWrap w:val="0"/>
            <w:vAlign w:val="center"/>
          </w:tcPr>
          <w:p w14:paraId="6335981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主要资历、经验及承担过的项目</w:t>
            </w:r>
          </w:p>
        </w:tc>
      </w:tr>
      <w:tr w14:paraId="6FD451C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2367EB2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一、总部人员</w:t>
            </w:r>
          </w:p>
        </w:tc>
      </w:tr>
      <w:tr w14:paraId="3D0E71E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59D2CFE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项目主管</w:t>
            </w:r>
          </w:p>
        </w:tc>
        <w:tc>
          <w:tcPr>
            <w:tcW w:w="1418" w:type="dxa"/>
            <w:tcBorders>
              <w:top w:val="nil"/>
            </w:tcBorders>
            <w:noWrap w:val="0"/>
            <w:vAlign w:val="center"/>
          </w:tcPr>
          <w:p w14:paraId="6DAD642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top w:val="nil"/>
            </w:tcBorders>
            <w:noWrap w:val="0"/>
            <w:vAlign w:val="center"/>
          </w:tcPr>
          <w:p w14:paraId="1C49B18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top w:val="nil"/>
            </w:tcBorders>
            <w:noWrap w:val="0"/>
            <w:vAlign w:val="center"/>
          </w:tcPr>
          <w:p w14:paraId="49D873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tcBorders>
              <w:top w:val="nil"/>
            </w:tcBorders>
            <w:noWrap w:val="0"/>
            <w:vAlign w:val="center"/>
          </w:tcPr>
          <w:p w14:paraId="25F8AD6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694EA6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44457A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EDAB1C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56CC107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D0AC7A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16B564A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D3313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95873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其他人员</w:t>
            </w:r>
          </w:p>
        </w:tc>
        <w:tc>
          <w:tcPr>
            <w:tcW w:w="1418" w:type="dxa"/>
            <w:noWrap w:val="0"/>
            <w:vAlign w:val="center"/>
          </w:tcPr>
          <w:p w14:paraId="720CFB7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3D33B7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4B8597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521EF27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1608A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83B13B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9AF2C4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5B4BD06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DC92BA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5E4A128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34DF61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219BAAB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二、现场人员</w:t>
            </w:r>
          </w:p>
        </w:tc>
      </w:tr>
      <w:tr w14:paraId="5007DD4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0D9A6C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项目经理</w:t>
            </w:r>
          </w:p>
        </w:tc>
        <w:tc>
          <w:tcPr>
            <w:tcW w:w="1418" w:type="dxa"/>
            <w:noWrap w:val="0"/>
            <w:vAlign w:val="center"/>
          </w:tcPr>
          <w:p w14:paraId="7B7A02F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1EFD7AA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7EE10A0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7284A94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40520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6F3A78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项目副经理</w:t>
            </w:r>
          </w:p>
        </w:tc>
        <w:tc>
          <w:tcPr>
            <w:tcW w:w="1418" w:type="dxa"/>
            <w:noWrap w:val="0"/>
            <w:vAlign w:val="center"/>
          </w:tcPr>
          <w:p w14:paraId="4B3F99B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9973AA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97ED2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373E851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232926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79F5025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技术负责人</w:t>
            </w:r>
          </w:p>
        </w:tc>
        <w:tc>
          <w:tcPr>
            <w:tcW w:w="1418" w:type="dxa"/>
            <w:noWrap w:val="0"/>
            <w:vAlign w:val="center"/>
          </w:tcPr>
          <w:p w14:paraId="2EC2325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40F9AE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4B388D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2E89A82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9C6E4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A416E9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造价管理</w:t>
            </w:r>
          </w:p>
        </w:tc>
        <w:tc>
          <w:tcPr>
            <w:tcW w:w="1418" w:type="dxa"/>
            <w:noWrap w:val="0"/>
            <w:vAlign w:val="center"/>
          </w:tcPr>
          <w:p w14:paraId="420C474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FC2DDC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C9022B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4C7C7D6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55B5B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401A28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质量管理</w:t>
            </w:r>
          </w:p>
        </w:tc>
        <w:tc>
          <w:tcPr>
            <w:tcW w:w="1418" w:type="dxa"/>
            <w:noWrap w:val="0"/>
            <w:vAlign w:val="center"/>
          </w:tcPr>
          <w:p w14:paraId="0091376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1449A33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756AC80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3B47895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F11EB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1C7AB2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材料管理</w:t>
            </w:r>
          </w:p>
        </w:tc>
        <w:tc>
          <w:tcPr>
            <w:tcW w:w="1418" w:type="dxa"/>
            <w:noWrap w:val="0"/>
            <w:vAlign w:val="center"/>
          </w:tcPr>
          <w:p w14:paraId="6B499A7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D7CDD4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3549E26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2A565F4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2E958E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4FC635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计划管理</w:t>
            </w:r>
          </w:p>
        </w:tc>
        <w:tc>
          <w:tcPr>
            <w:tcW w:w="1418" w:type="dxa"/>
            <w:noWrap w:val="0"/>
            <w:vAlign w:val="center"/>
          </w:tcPr>
          <w:p w14:paraId="3FAC112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3E86605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81D066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404E649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48FCC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8DCB12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安全管理</w:t>
            </w:r>
          </w:p>
        </w:tc>
        <w:tc>
          <w:tcPr>
            <w:tcW w:w="1418" w:type="dxa"/>
            <w:noWrap w:val="0"/>
            <w:vAlign w:val="center"/>
          </w:tcPr>
          <w:p w14:paraId="712E023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6FB746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57E79C5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19A0F35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B9329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2D94EED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其他人员</w:t>
            </w:r>
          </w:p>
        </w:tc>
        <w:tc>
          <w:tcPr>
            <w:tcW w:w="1418" w:type="dxa"/>
            <w:noWrap w:val="0"/>
            <w:vAlign w:val="center"/>
          </w:tcPr>
          <w:p w14:paraId="6F9E5BA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730424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D7C1E1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493F94F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67D476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F79453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bottom w:val="nil"/>
            </w:tcBorders>
            <w:noWrap w:val="0"/>
            <w:vAlign w:val="center"/>
          </w:tcPr>
          <w:p w14:paraId="265858B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nil"/>
            </w:tcBorders>
            <w:noWrap w:val="0"/>
            <w:vAlign w:val="center"/>
          </w:tcPr>
          <w:p w14:paraId="0C8579F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nil"/>
            </w:tcBorders>
            <w:noWrap w:val="0"/>
            <w:vAlign w:val="center"/>
          </w:tcPr>
          <w:p w14:paraId="66BF07E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tcBorders>
              <w:bottom w:val="nil"/>
            </w:tcBorders>
            <w:noWrap w:val="0"/>
            <w:vAlign w:val="center"/>
          </w:tcPr>
          <w:p w14:paraId="38B3C22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B4D53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E79AEC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FDEDCF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96421A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4AA2EE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3F83397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31C081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73837B1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75D736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1D565C3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91BFDF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4C575EA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CF667C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5740E33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6B9E11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D075F2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DDF5C5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6C28519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43F3C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29E37D0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bottom w:val="single" w:color="auto" w:sz="12" w:space="0"/>
            </w:tcBorders>
            <w:noWrap w:val="0"/>
            <w:vAlign w:val="center"/>
          </w:tcPr>
          <w:p w14:paraId="2A82019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single" w:color="auto" w:sz="12" w:space="0"/>
            </w:tcBorders>
            <w:noWrap w:val="0"/>
            <w:vAlign w:val="center"/>
          </w:tcPr>
          <w:p w14:paraId="540C0C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single" w:color="auto" w:sz="12" w:space="0"/>
            </w:tcBorders>
            <w:noWrap w:val="0"/>
            <w:vAlign w:val="center"/>
          </w:tcPr>
          <w:p w14:paraId="321F656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tcBorders>
              <w:bottom w:val="single" w:color="auto" w:sz="12" w:space="0"/>
            </w:tcBorders>
            <w:noWrap w:val="0"/>
            <w:vAlign w:val="center"/>
          </w:tcPr>
          <w:p w14:paraId="0E847DA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bl>
    <w:p w14:paraId="05CE016D">
      <w:pPr>
        <w:pStyle w:val="72"/>
        <w:snapToGrid w:val="0"/>
        <w:spacing w:before="260" w:beforeAutospacing="0" w:after="260" w:afterAutospacing="0" w:line="416" w:lineRule="auto"/>
        <w:jc w:val="both"/>
        <w:textAlignment w:val="baseline"/>
        <w:outlineLvl w:val="9"/>
        <w:rPr>
          <w:rFonts w:hint="eastAsia" w:ascii="宋体" w:hAnsi="宋体" w:eastAsia="宋体" w:cs="宋体"/>
          <w:b/>
          <w:i w:val="0"/>
          <w:caps w:val="0"/>
          <w:color w:val="auto"/>
          <w:spacing w:val="0"/>
          <w:w w:val="100"/>
          <w:sz w:val="32"/>
          <w:highlight w:val="none"/>
        </w:rPr>
      </w:pPr>
      <w:r>
        <w:rPr>
          <w:rFonts w:hint="eastAsia" w:ascii="宋体" w:hAnsi="宋体" w:eastAsia="宋体" w:cs="宋体"/>
          <w:b/>
          <w:i w:val="0"/>
          <w:caps w:val="0"/>
          <w:color w:val="auto"/>
          <w:spacing w:val="0"/>
          <w:w w:val="100"/>
          <w:sz w:val="32"/>
          <w:highlight w:val="none"/>
        </w:rPr>
        <w:br w:type="page"/>
      </w:r>
    </w:p>
    <w:p w14:paraId="604A7F0F">
      <w:pPr>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113" w:name="_Toc505871417"/>
      <w:bookmarkStart w:id="1114" w:name="_Toc256000127"/>
      <w:bookmarkStart w:id="1115" w:name="_Toc17696"/>
      <w:bookmarkStart w:id="1116" w:name="_Toc28415"/>
      <w:bookmarkStart w:id="1117" w:name="_Toc20481"/>
      <w:bookmarkStart w:id="1118" w:name="_Toc28071"/>
      <w:r>
        <w:rPr>
          <w:rFonts w:hint="eastAsia" w:ascii="宋体" w:hAnsi="宋体" w:eastAsia="宋体" w:cs="宋体"/>
          <w:b/>
          <w:i w:val="0"/>
          <w:caps w:val="0"/>
          <w:color w:val="auto"/>
          <w:spacing w:val="0"/>
          <w:w w:val="100"/>
          <w:sz w:val="32"/>
          <w:highlight w:val="none"/>
        </w:rPr>
        <w:t>附件7：</w:t>
      </w:r>
      <w:bookmarkEnd w:id="1113"/>
      <w:bookmarkEnd w:id="1114"/>
      <w:bookmarkStart w:id="1119" w:name="_Toc505871418"/>
      <w:bookmarkStart w:id="1120" w:name="_Toc256000128"/>
      <w:r>
        <w:rPr>
          <w:rFonts w:hint="eastAsia" w:ascii="宋体" w:hAnsi="宋体" w:eastAsia="宋体" w:cs="宋体"/>
          <w:b/>
          <w:i w:val="0"/>
          <w:caps w:val="0"/>
          <w:color w:val="auto"/>
          <w:spacing w:val="0"/>
          <w:w w:val="100"/>
          <w:sz w:val="32"/>
          <w:highlight w:val="none"/>
        </w:rPr>
        <w:t>分包人主要施工管理人员表</w:t>
      </w:r>
      <w:bookmarkEnd w:id="1115"/>
      <w:bookmarkEnd w:id="1116"/>
      <w:bookmarkEnd w:id="1117"/>
      <w:bookmarkEnd w:id="1118"/>
      <w:bookmarkEnd w:id="1119"/>
      <w:bookmarkEnd w:id="1120"/>
    </w:p>
    <w:tbl>
      <w:tblPr>
        <w:tblStyle w:val="2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871"/>
        <w:gridCol w:w="1418"/>
        <w:gridCol w:w="1134"/>
        <w:gridCol w:w="1134"/>
        <w:gridCol w:w="4252"/>
      </w:tblGrid>
      <w:tr w14:paraId="14F9FB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12" w:space="0"/>
              <w:bottom w:val="double" w:color="auto" w:sz="6" w:space="0"/>
            </w:tcBorders>
            <w:noWrap w:val="0"/>
            <w:vAlign w:val="center"/>
          </w:tcPr>
          <w:p w14:paraId="0DE4BF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名    称</w:t>
            </w:r>
          </w:p>
        </w:tc>
        <w:tc>
          <w:tcPr>
            <w:tcW w:w="1418" w:type="dxa"/>
            <w:tcBorders>
              <w:top w:val="single" w:color="auto" w:sz="12" w:space="0"/>
              <w:bottom w:val="double" w:color="auto" w:sz="6" w:space="0"/>
            </w:tcBorders>
            <w:noWrap w:val="0"/>
            <w:vAlign w:val="center"/>
          </w:tcPr>
          <w:p w14:paraId="3BF15EE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姓名</w:t>
            </w:r>
          </w:p>
        </w:tc>
        <w:tc>
          <w:tcPr>
            <w:tcW w:w="1134" w:type="dxa"/>
            <w:tcBorders>
              <w:top w:val="single" w:color="auto" w:sz="12" w:space="0"/>
              <w:bottom w:val="double" w:color="auto" w:sz="6" w:space="0"/>
            </w:tcBorders>
            <w:noWrap w:val="0"/>
            <w:vAlign w:val="center"/>
          </w:tcPr>
          <w:p w14:paraId="24ECFF6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职务</w:t>
            </w:r>
          </w:p>
        </w:tc>
        <w:tc>
          <w:tcPr>
            <w:tcW w:w="1134" w:type="dxa"/>
            <w:tcBorders>
              <w:top w:val="single" w:color="auto" w:sz="12" w:space="0"/>
              <w:bottom w:val="double" w:color="auto" w:sz="6" w:space="0"/>
            </w:tcBorders>
            <w:noWrap w:val="0"/>
            <w:vAlign w:val="center"/>
          </w:tcPr>
          <w:p w14:paraId="63C5086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职称</w:t>
            </w:r>
          </w:p>
        </w:tc>
        <w:tc>
          <w:tcPr>
            <w:tcW w:w="4252" w:type="dxa"/>
            <w:tcBorders>
              <w:top w:val="single" w:color="auto" w:sz="12" w:space="0"/>
              <w:bottom w:val="double" w:color="auto" w:sz="6" w:space="0"/>
            </w:tcBorders>
            <w:noWrap w:val="0"/>
            <w:vAlign w:val="center"/>
          </w:tcPr>
          <w:p w14:paraId="0B488C2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主要资历、经验及承担过的项目</w:t>
            </w:r>
          </w:p>
        </w:tc>
      </w:tr>
      <w:tr w14:paraId="31627CA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double" w:color="auto" w:sz="6" w:space="0"/>
              <w:bottom w:val="single" w:color="auto" w:sz="6" w:space="0"/>
            </w:tcBorders>
            <w:noWrap w:val="0"/>
            <w:vAlign w:val="center"/>
          </w:tcPr>
          <w:p w14:paraId="1F1C24E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一、总部人员</w:t>
            </w:r>
          </w:p>
        </w:tc>
      </w:tr>
      <w:tr w14:paraId="190D116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465B611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项目主管</w:t>
            </w:r>
          </w:p>
        </w:tc>
        <w:tc>
          <w:tcPr>
            <w:tcW w:w="1418" w:type="dxa"/>
            <w:tcBorders>
              <w:top w:val="nil"/>
            </w:tcBorders>
            <w:noWrap w:val="0"/>
            <w:vAlign w:val="center"/>
          </w:tcPr>
          <w:p w14:paraId="0495F28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top w:val="nil"/>
            </w:tcBorders>
            <w:noWrap w:val="0"/>
            <w:vAlign w:val="center"/>
          </w:tcPr>
          <w:p w14:paraId="005FDDE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top w:val="nil"/>
            </w:tcBorders>
            <w:noWrap w:val="0"/>
            <w:vAlign w:val="center"/>
          </w:tcPr>
          <w:p w14:paraId="3A3B81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tcBorders>
              <w:top w:val="nil"/>
            </w:tcBorders>
            <w:noWrap w:val="0"/>
            <w:vAlign w:val="center"/>
          </w:tcPr>
          <w:p w14:paraId="14FDF36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B12B50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nil"/>
            </w:tcBorders>
            <w:noWrap w:val="0"/>
            <w:vAlign w:val="center"/>
          </w:tcPr>
          <w:p w14:paraId="43FE762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7EF7C36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1BCD73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5970798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6E624E1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DFB2B5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3AD5B4E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其他人员</w:t>
            </w:r>
          </w:p>
        </w:tc>
        <w:tc>
          <w:tcPr>
            <w:tcW w:w="1418" w:type="dxa"/>
            <w:noWrap w:val="0"/>
            <w:vAlign w:val="center"/>
          </w:tcPr>
          <w:p w14:paraId="4E6D2A2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185F3C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73F5EB4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2917E55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D48760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nil"/>
              <w:bottom w:val="nil"/>
            </w:tcBorders>
            <w:noWrap w:val="0"/>
            <w:vAlign w:val="center"/>
          </w:tcPr>
          <w:p w14:paraId="656B2B5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1406F2B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7A3083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3BCBBC1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092D122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742F80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809" w:type="dxa"/>
            <w:gridSpan w:val="5"/>
            <w:tcBorders>
              <w:top w:val="single" w:color="auto" w:sz="6" w:space="0"/>
              <w:bottom w:val="single" w:color="auto" w:sz="6" w:space="0"/>
            </w:tcBorders>
            <w:noWrap w:val="0"/>
            <w:vAlign w:val="center"/>
          </w:tcPr>
          <w:p w14:paraId="7FA9F24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二、现场人员</w:t>
            </w:r>
          </w:p>
        </w:tc>
      </w:tr>
      <w:tr w14:paraId="1EA901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E48B5A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项目经理</w:t>
            </w:r>
          </w:p>
        </w:tc>
        <w:tc>
          <w:tcPr>
            <w:tcW w:w="1418" w:type="dxa"/>
            <w:noWrap w:val="0"/>
            <w:vAlign w:val="center"/>
          </w:tcPr>
          <w:p w14:paraId="0286026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150530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C452D4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49802CD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A505C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0036864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项目副经理</w:t>
            </w:r>
          </w:p>
        </w:tc>
        <w:tc>
          <w:tcPr>
            <w:tcW w:w="1418" w:type="dxa"/>
            <w:noWrap w:val="0"/>
            <w:vAlign w:val="center"/>
          </w:tcPr>
          <w:p w14:paraId="37E1532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2A1EC4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9F9334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61D20AC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323D73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97C71F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技术负责人</w:t>
            </w:r>
          </w:p>
        </w:tc>
        <w:tc>
          <w:tcPr>
            <w:tcW w:w="1418" w:type="dxa"/>
            <w:noWrap w:val="0"/>
            <w:vAlign w:val="center"/>
          </w:tcPr>
          <w:p w14:paraId="178C62F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5CE36CC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65999E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662B95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3CEAFC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4243F0F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造价管理</w:t>
            </w:r>
          </w:p>
        </w:tc>
        <w:tc>
          <w:tcPr>
            <w:tcW w:w="1418" w:type="dxa"/>
            <w:noWrap w:val="0"/>
            <w:vAlign w:val="center"/>
          </w:tcPr>
          <w:p w14:paraId="06D872B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710FFA5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5E10980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088C812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C59B1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13E660D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质量管理</w:t>
            </w:r>
          </w:p>
        </w:tc>
        <w:tc>
          <w:tcPr>
            <w:tcW w:w="1418" w:type="dxa"/>
            <w:noWrap w:val="0"/>
            <w:vAlign w:val="center"/>
          </w:tcPr>
          <w:p w14:paraId="2DFA7F1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1E4744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1EBD95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135CD22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D3327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69E13C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材料管理</w:t>
            </w:r>
          </w:p>
        </w:tc>
        <w:tc>
          <w:tcPr>
            <w:tcW w:w="1418" w:type="dxa"/>
            <w:noWrap w:val="0"/>
            <w:vAlign w:val="center"/>
          </w:tcPr>
          <w:p w14:paraId="46EC1E2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BB42FA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0A887C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7AE69E9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E11C54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5FACD3F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计划管理</w:t>
            </w:r>
          </w:p>
        </w:tc>
        <w:tc>
          <w:tcPr>
            <w:tcW w:w="1418" w:type="dxa"/>
            <w:noWrap w:val="0"/>
            <w:vAlign w:val="center"/>
          </w:tcPr>
          <w:p w14:paraId="60B0585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78F6522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0170CE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1E4FFB5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219A4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tcBorders>
              <w:top w:val="single" w:color="auto" w:sz="6" w:space="0"/>
              <w:bottom w:val="single" w:color="auto" w:sz="6" w:space="0"/>
            </w:tcBorders>
            <w:noWrap w:val="0"/>
            <w:vAlign w:val="center"/>
          </w:tcPr>
          <w:p w14:paraId="2F64F35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安全管理</w:t>
            </w:r>
          </w:p>
        </w:tc>
        <w:tc>
          <w:tcPr>
            <w:tcW w:w="1418" w:type="dxa"/>
            <w:noWrap w:val="0"/>
            <w:vAlign w:val="center"/>
          </w:tcPr>
          <w:p w14:paraId="2C1899E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3C85539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601F74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698C6C0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E07C3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restart"/>
            <w:tcBorders>
              <w:top w:val="single" w:color="auto" w:sz="6" w:space="0"/>
            </w:tcBorders>
            <w:noWrap w:val="0"/>
            <w:vAlign w:val="center"/>
          </w:tcPr>
          <w:p w14:paraId="3A0B3F1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其他人员</w:t>
            </w:r>
          </w:p>
        </w:tc>
        <w:tc>
          <w:tcPr>
            <w:tcW w:w="1418" w:type="dxa"/>
            <w:noWrap w:val="0"/>
            <w:vAlign w:val="center"/>
          </w:tcPr>
          <w:p w14:paraId="5DCF757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638A591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1BD4542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6713BA6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DD4F4C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2005114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bottom w:val="nil"/>
            </w:tcBorders>
            <w:noWrap w:val="0"/>
            <w:vAlign w:val="center"/>
          </w:tcPr>
          <w:p w14:paraId="3E0371C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nil"/>
            </w:tcBorders>
            <w:noWrap w:val="0"/>
            <w:vAlign w:val="center"/>
          </w:tcPr>
          <w:p w14:paraId="0881C8A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nil"/>
            </w:tcBorders>
            <w:noWrap w:val="0"/>
            <w:vAlign w:val="center"/>
          </w:tcPr>
          <w:p w14:paraId="1BE4DE2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tcBorders>
              <w:bottom w:val="nil"/>
            </w:tcBorders>
            <w:noWrap w:val="0"/>
            <w:vAlign w:val="center"/>
          </w:tcPr>
          <w:p w14:paraId="4D9991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45086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12A029C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348AAC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465F46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F4FCDC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761D277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EA45E0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0613161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0175DC9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3BC42CF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275315E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47836DF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45BF40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noWrap w:val="0"/>
            <w:vAlign w:val="center"/>
          </w:tcPr>
          <w:p w14:paraId="38AD85C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center"/>
          </w:tcPr>
          <w:p w14:paraId="4A9C6EF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4E98399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noWrap w:val="0"/>
            <w:vAlign w:val="center"/>
          </w:tcPr>
          <w:p w14:paraId="068BE59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noWrap w:val="0"/>
            <w:vAlign w:val="center"/>
          </w:tcPr>
          <w:p w14:paraId="6B8DAC5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480FA2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1871" w:type="dxa"/>
            <w:vMerge w:val="continue"/>
            <w:tcBorders>
              <w:bottom w:val="single" w:color="auto" w:sz="12" w:space="0"/>
            </w:tcBorders>
            <w:noWrap w:val="0"/>
            <w:vAlign w:val="center"/>
          </w:tcPr>
          <w:p w14:paraId="01B5AE4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bottom w:val="single" w:color="auto" w:sz="12" w:space="0"/>
            </w:tcBorders>
            <w:noWrap w:val="0"/>
            <w:vAlign w:val="center"/>
          </w:tcPr>
          <w:p w14:paraId="4E034A6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single" w:color="auto" w:sz="12" w:space="0"/>
            </w:tcBorders>
            <w:noWrap w:val="0"/>
            <w:vAlign w:val="center"/>
          </w:tcPr>
          <w:p w14:paraId="7DB68FD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134" w:type="dxa"/>
            <w:tcBorders>
              <w:bottom w:val="single" w:color="auto" w:sz="12" w:space="0"/>
            </w:tcBorders>
            <w:noWrap w:val="0"/>
            <w:vAlign w:val="center"/>
          </w:tcPr>
          <w:p w14:paraId="0272B67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4252" w:type="dxa"/>
            <w:tcBorders>
              <w:bottom w:val="single" w:color="auto" w:sz="12" w:space="0"/>
            </w:tcBorders>
            <w:noWrap w:val="0"/>
            <w:vAlign w:val="center"/>
          </w:tcPr>
          <w:p w14:paraId="6F3CC22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bl>
    <w:p w14:paraId="7A0709E1">
      <w:pPr>
        <w:rPr>
          <w:rFonts w:hint="eastAsia" w:ascii="宋体" w:hAnsi="宋体" w:eastAsia="宋体" w:cs="宋体"/>
          <w:b/>
          <w:i w:val="0"/>
          <w:caps w:val="0"/>
          <w:color w:val="auto"/>
          <w:spacing w:val="0"/>
          <w:w w:val="100"/>
          <w:sz w:val="32"/>
          <w:highlight w:val="none"/>
        </w:rPr>
      </w:pPr>
      <w:bookmarkStart w:id="1121" w:name="_Toc505871419"/>
      <w:bookmarkStart w:id="1122" w:name="_Toc256000129"/>
      <w:bookmarkStart w:id="1123" w:name="_Toc27883"/>
      <w:r>
        <w:rPr>
          <w:rFonts w:hint="eastAsia" w:ascii="宋体" w:hAnsi="宋体" w:eastAsia="宋体" w:cs="宋体"/>
          <w:b/>
          <w:i w:val="0"/>
          <w:caps w:val="0"/>
          <w:color w:val="auto"/>
          <w:spacing w:val="0"/>
          <w:w w:val="100"/>
          <w:sz w:val="32"/>
          <w:highlight w:val="none"/>
        </w:rPr>
        <w:br w:type="page"/>
      </w:r>
    </w:p>
    <w:p w14:paraId="1BA249C2">
      <w:pPr>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124" w:name="_Toc16287"/>
      <w:bookmarkStart w:id="1125" w:name="_Toc17299"/>
      <w:bookmarkStart w:id="1126" w:name="_Toc9061"/>
      <w:r>
        <w:rPr>
          <w:rFonts w:hint="eastAsia" w:ascii="宋体" w:hAnsi="宋体" w:eastAsia="宋体" w:cs="宋体"/>
          <w:b/>
          <w:i w:val="0"/>
          <w:caps w:val="0"/>
          <w:color w:val="auto"/>
          <w:spacing w:val="0"/>
          <w:w w:val="100"/>
          <w:sz w:val="32"/>
          <w:highlight w:val="none"/>
        </w:rPr>
        <w:t>附件8：</w:t>
      </w:r>
      <w:bookmarkEnd w:id="1121"/>
      <w:bookmarkEnd w:id="1122"/>
      <w:bookmarkStart w:id="1127" w:name="_Toc505871420"/>
      <w:bookmarkStart w:id="1128" w:name="_Toc256000130"/>
      <w:r>
        <w:rPr>
          <w:rFonts w:hint="eastAsia" w:ascii="宋体" w:hAnsi="宋体" w:eastAsia="宋体" w:cs="宋体"/>
          <w:b/>
          <w:i w:val="0"/>
          <w:caps w:val="0"/>
          <w:color w:val="auto"/>
          <w:spacing w:val="0"/>
          <w:w w:val="100"/>
          <w:sz w:val="32"/>
          <w:highlight w:val="none"/>
        </w:rPr>
        <w:t>履约担保</w:t>
      </w:r>
      <w:bookmarkEnd w:id="1123"/>
      <w:bookmarkEnd w:id="1124"/>
      <w:bookmarkEnd w:id="1125"/>
      <w:bookmarkEnd w:id="1126"/>
      <w:bookmarkEnd w:id="1127"/>
      <w:bookmarkEnd w:id="1128"/>
    </w:p>
    <w:p w14:paraId="0C77E996">
      <w:pPr>
        <w:pStyle w:val="66"/>
        <w:snapToGrid w:val="0"/>
        <w:spacing w:before="0" w:beforeAutospacing="0" w:after="0" w:afterAutospacing="0" w:line="440" w:lineRule="exact"/>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rPr>
        <w:t>（发包人名称）：</w:t>
      </w:r>
    </w:p>
    <w:p w14:paraId="2623F3A3">
      <w:pPr>
        <w:pStyle w:val="66"/>
        <w:snapToGrid w:val="0"/>
        <w:spacing w:before="0" w:beforeAutospacing="0" w:after="0" w:afterAutospacing="0" w:line="440" w:lineRule="exact"/>
        <w:jc w:val="both"/>
        <w:textAlignment w:val="baseline"/>
        <w:rPr>
          <w:rFonts w:hint="eastAsia" w:ascii="宋体" w:hAnsi="宋体" w:eastAsia="宋体" w:cs="宋体"/>
          <w:b w:val="0"/>
          <w:i w:val="0"/>
          <w:caps w:val="0"/>
          <w:color w:val="auto"/>
          <w:spacing w:val="0"/>
          <w:w w:val="100"/>
          <w:sz w:val="24"/>
          <w:szCs w:val="24"/>
          <w:highlight w:val="none"/>
        </w:rPr>
      </w:pPr>
    </w:p>
    <w:p w14:paraId="1AC19053">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鉴于</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（发包人名称，以下简称“发包人”）与</w:t>
      </w:r>
    </w:p>
    <w:p w14:paraId="30703B9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（承包人名称）（以下称“承包人”）于</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日就</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（工程名称）施工及有关事项协商一致共同签订《建设工程施工合同》。我方愿意无条件地、不可撤销地就承包人履行与你方签订的合同，向你方提供连带责任担保。 </w:t>
      </w:r>
    </w:p>
    <w:p w14:paraId="556F2B99">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 担保金额人民币（大写）</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元（¥</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71912B1A">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 担保有效期自你方与承包人签订的合同生效之日起至你方签发或应签发工程接收证书之日止。</w:t>
      </w:r>
    </w:p>
    <w:p w14:paraId="0DACBED0">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 在本担保有效期内，因承包人违反合同约定的义务给你方造成经济损失时，我方在收到你方以书面形式提出的在担保金额内的赔偿要求后，在7天内无条件支付。</w:t>
      </w:r>
    </w:p>
    <w:p w14:paraId="45FA3687">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 你方和承包人按合同约定变更合同时，我方承担本担保规定的义务不变。</w:t>
      </w:r>
    </w:p>
    <w:p w14:paraId="4AA1B1D7">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5. 因本保函发生的纠纷，可由双方协商解决，协商不成的，任何一方均可提请</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仲裁委员会仲裁。</w:t>
      </w:r>
    </w:p>
    <w:p w14:paraId="035F1669">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 本保函自我方法定代表人（或其授权代理人）签字并加盖公章之日起生效。</w:t>
      </w:r>
    </w:p>
    <w:p w14:paraId="379434EA">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p>
    <w:p w14:paraId="188D6B8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担 保 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（盖单位章）</w:t>
      </w:r>
    </w:p>
    <w:p w14:paraId="38A3D9B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法定代表人或其委托代理人：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（签字）</w:t>
      </w:r>
    </w:p>
    <w:p w14:paraId="6FBA2191">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地    址：</w:t>
      </w:r>
      <w:r>
        <w:rPr>
          <w:rFonts w:hint="eastAsia" w:ascii="宋体" w:hAnsi="宋体" w:eastAsia="宋体" w:cs="宋体"/>
          <w:b w:val="0"/>
          <w:i w:val="0"/>
          <w:caps w:val="0"/>
          <w:color w:val="auto"/>
          <w:spacing w:val="0"/>
          <w:w w:val="100"/>
          <w:sz w:val="24"/>
          <w:szCs w:val="24"/>
          <w:highlight w:val="none"/>
          <w:u w:val="single" w:color="000000"/>
        </w:rPr>
        <w:t xml:space="preserve">                                      </w:t>
      </w:r>
    </w:p>
    <w:p w14:paraId="15AD869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邮政编码：</w:t>
      </w:r>
      <w:r>
        <w:rPr>
          <w:rFonts w:hint="eastAsia" w:ascii="宋体" w:hAnsi="宋体" w:eastAsia="宋体" w:cs="宋体"/>
          <w:b w:val="0"/>
          <w:i w:val="0"/>
          <w:caps w:val="0"/>
          <w:color w:val="auto"/>
          <w:spacing w:val="0"/>
          <w:w w:val="100"/>
          <w:sz w:val="24"/>
          <w:szCs w:val="24"/>
          <w:highlight w:val="none"/>
          <w:u w:val="single" w:color="000000"/>
        </w:rPr>
        <w:t xml:space="preserve">                                      </w:t>
      </w:r>
    </w:p>
    <w:p w14:paraId="49CCAE19">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电    话：</w:t>
      </w:r>
      <w:r>
        <w:rPr>
          <w:rFonts w:hint="eastAsia" w:ascii="宋体" w:hAnsi="宋体" w:eastAsia="宋体" w:cs="宋体"/>
          <w:b w:val="0"/>
          <w:i w:val="0"/>
          <w:caps w:val="0"/>
          <w:color w:val="auto"/>
          <w:spacing w:val="0"/>
          <w:w w:val="100"/>
          <w:sz w:val="24"/>
          <w:szCs w:val="24"/>
          <w:highlight w:val="none"/>
          <w:u w:val="single" w:color="000000"/>
        </w:rPr>
        <w:t xml:space="preserve">                                      </w:t>
      </w:r>
    </w:p>
    <w:p w14:paraId="6F49AAD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传    真：</w:t>
      </w:r>
      <w:r>
        <w:rPr>
          <w:rFonts w:hint="eastAsia" w:ascii="宋体" w:hAnsi="宋体" w:eastAsia="宋体" w:cs="宋体"/>
          <w:b w:val="0"/>
          <w:i w:val="0"/>
          <w:caps w:val="0"/>
          <w:color w:val="auto"/>
          <w:spacing w:val="0"/>
          <w:w w:val="100"/>
          <w:sz w:val="24"/>
          <w:szCs w:val="24"/>
          <w:highlight w:val="none"/>
          <w:u w:val="single" w:color="000000"/>
        </w:rPr>
        <w:t xml:space="preserve">                                      </w:t>
      </w:r>
    </w:p>
    <w:p w14:paraId="730CE363">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u w:val="single" w:color="000000"/>
        </w:rPr>
      </w:pPr>
    </w:p>
    <w:p w14:paraId="7563130D">
      <w:pPr>
        <w:pStyle w:val="66"/>
        <w:snapToGrid w:val="0"/>
        <w:spacing w:before="0" w:beforeAutospacing="0" w:after="0" w:afterAutospacing="0" w:line="360" w:lineRule="auto"/>
        <w:ind w:hangingChars="633"/>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w:t>
      </w:r>
    </w:p>
    <w:p w14:paraId="6FE36A42">
      <w:pPr>
        <w:pStyle w:val="72"/>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129" w:name="_Toc256000131"/>
      <w:bookmarkStart w:id="1130" w:name="_Toc505871421"/>
      <w:bookmarkStart w:id="1131" w:name="_Toc10712"/>
      <w:bookmarkStart w:id="1132" w:name="_Toc18301"/>
      <w:bookmarkStart w:id="1133" w:name="_Toc11663"/>
      <w:bookmarkStart w:id="1134" w:name="_Toc22800"/>
      <w:bookmarkStart w:id="1135" w:name="_Toc2673"/>
      <w:r>
        <w:rPr>
          <w:rFonts w:hint="eastAsia" w:ascii="宋体" w:hAnsi="宋体" w:eastAsia="宋体" w:cs="宋体"/>
          <w:b/>
          <w:i w:val="0"/>
          <w:caps w:val="0"/>
          <w:color w:val="auto"/>
          <w:spacing w:val="0"/>
          <w:w w:val="100"/>
          <w:sz w:val="32"/>
          <w:highlight w:val="none"/>
        </w:rPr>
        <w:t>附件9 ：</w:t>
      </w:r>
      <w:bookmarkEnd w:id="1129"/>
      <w:bookmarkEnd w:id="1130"/>
      <w:bookmarkStart w:id="1136" w:name="_Toc505871422"/>
      <w:bookmarkStart w:id="1137" w:name="_Toc256000132"/>
      <w:r>
        <w:rPr>
          <w:rFonts w:hint="eastAsia" w:ascii="宋体" w:hAnsi="宋体" w:eastAsia="宋体" w:cs="宋体"/>
          <w:b/>
          <w:i w:val="0"/>
          <w:caps w:val="0"/>
          <w:color w:val="auto"/>
          <w:spacing w:val="0"/>
          <w:w w:val="100"/>
          <w:sz w:val="32"/>
          <w:highlight w:val="none"/>
        </w:rPr>
        <w:t>预付款担保</w:t>
      </w:r>
      <w:bookmarkEnd w:id="1131"/>
      <w:bookmarkEnd w:id="1132"/>
      <w:bookmarkEnd w:id="1133"/>
      <w:bookmarkEnd w:id="1134"/>
      <w:bookmarkEnd w:id="1135"/>
      <w:bookmarkEnd w:id="1136"/>
      <w:bookmarkEnd w:id="1137"/>
    </w:p>
    <w:p w14:paraId="07E8D3A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（发包人名称）：</w:t>
      </w:r>
    </w:p>
    <w:p w14:paraId="2969986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p>
    <w:p w14:paraId="4D4F602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根据</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（承包人名称）（以下称“承包人”）与</w:t>
      </w:r>
    </w:p>
    <w:p w14:paraId="5EA5F374">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（发包人名称）（以下简称“发包人”）</w:t>
      </w:r>
    </w:p>
    <w:p w14:paraId="2055246E">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于</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日签订的</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（工程名称）《建设工程施工合同》，承包人按约定的金额向你方提交一份预付款担保，即有权得到你方支付相等金额的预付款。我方愿意就你方提供给承包人的预付款为承包人提供连带责任担保。</w:t>
      </w:r>
    </w:p>
    <w:p w14:paraId="0F32442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 担保金额人民币（大写）</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元（¥</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1A083694">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 担保有效期自预付款支付给承包人起生效，至你方签发的进度款支付证书说明已完全扣清止。</w:t>
      </w:r>
    </w:p>
    <w:p w14:paraId="424B7227">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 在本保函有效期内，因承包人违反合同约定的义务而要求收回预付款时，我方在收到你方的书面通知后，在７天内无条件支付。但本保函的担保金额，在任何时候不应超过预付款金额减去你方按合同约定在向承包人签发的进度款支付证书中扣除的金额。</w:t>
      </w:r>
    </w:p>
    <w:p w14:paraId="02A0710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 你方和承包人按合同约定变更合同时，我方承担本保函规定的义务不变。</w:t>
      </w:r>
    </w:p>
    <w:p w14:paraId="191A3059">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5. 因本保函发生的纠纷，可由双方协商解决，协商不成的，任何一方均可提请</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仲裁委员会仲裁。</w:t>
      </w:r>
    </w:p>
    <w:p w14:paraId="0DC690C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6. 本保函自我方法定代表人（或其授权代理人）签字并加盖公章之日起生效。</w:t>
      </w:r>
    </w:p>
    <w:p w14:paraId="6957CF62">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p>
    <w:p w14:paraId="3B7A9856">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担保人：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（盖单位章）</w:t>
      </w:r>
    </w:p>
    <w:p w14:paraId="74303B2C">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法定代表人或其委托代理人：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（签字）</w:t>
      </w:r>
    </w:p>
    <w:p w14:paraId="696E28C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地    址：</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p>
    <w:p w14:paraId="56D5777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邮政编码：</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p>
    <w:p w14:paraId="73A449DB">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电    话：</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p>
    <w:p w14:paraId="53276647">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传    真：</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r>
        <w:rPr>
          <w:rFonts w:hint="eastAsia" w:ascii="宋体" w:hAnsi="宋体" w:eastAsia="宋体" w:cs="宋体"/>
          <w:b w:val="0"/>
          <w:i w:val="0"/>
          <w:caps w:val="0"/>
          <w:color w:val="auto"/>
          <w:spacing w:val="0"/>
          <w:w w:val="100"/>
          <w:sz w:val="24"/>
          <w:szCs w:val="24"/>
          <w:highlight w:val="none"/>
          <w:u w:val="single" w:color="000000"/>
        </w:rPr>
        <w:tab/>
      </w:r>
    </w:p>
    <w:p w14:paraId="2B976D5D">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w:t>
      </w:r>
    </w:p>
    <w:p w14:paraId="5BEF23DB">
      <w:pPr>
        <w:pStyle w:val="72"/>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138" w:name="_Toc256000133"/>
      <w:bookmarkStart w:id="1139" w:name="_Toc505871423"/>
      <w:bookmarkStart w:id="1140" w:name="_Toc3531"/>
      <w:bookmarkStart w:id="1141" w:name="_Toc7526"/>
      <w:bookmarkStart w:id="1142" w:name="_Toc30218"/>
      <w:bookmarkStart w:id="1143" w:name="_Toc21545"/>
      <w:bookmarkStart w:id="1144" w:name="_Toc1512"/>
      <w:r>
        <w:rPr>
          <w:rFonts w:hint="eastAsia" w:ascii="宋体" w:hAnsi="宋体" w:eastAsia="宋体" w:cs="宋体"/>
          <w:b/>
          <w:i w:val="0"/>
          <w:caps w:val="0"/>
          <w:color w:val="auto"/>
          <w:spacing w:val="0"/>
          <w:w w:val="100"/>
          <w:sz w:val="32"/>
          <w:highlight w:val="none"/>
        </w:rPr>
        <w:t>附件10:</w:t>
      </w:r>
      <w:bookmarkEnd w:id="1138"/>
      <w:bookmarkEnd w:id="1139"/>
      <w:r>
        <w:rPr>
          <w:rFonts w:hint="eastAsia" w:ascii="宋体" w:hAnsi="宋体" w:eastAsia="宋体" w:cs="宋体"/>
          <w:b/>
          <w:i w:val="0"/>
          <w:caps w:val="0"/>
          <w:color w:val="auto"/>
          <w:spacing w:val="0"/>
          <w:w w:val="100"/>
          <w:sz w:val="32"/>
          <w:highlight w:val="none"/>
        </w:rPr>
        <w:t xml:space="preserve">  </w:t>
      </w:r>
      <w:bookmarkStart w:id="1145" w:name="_Toc505871424"/>
      <w:bookmarkStart w:id="1146" w:name="_Toc256000134"/>
      <w:r>
        <w:rPr>
          <w:rFonts w:hint="eastAsia" w:ascii="宋体" w:hAnsi="宋体" w:eastAsia="宋体" w:cs="宋体"/>
          <w:b/>
          <w:i w:val="0"/>
          <w:caps w:val="0"/>
          <w:color w:val="auto"/>
          <w:spacing w:val="0"/>
          <w:w w:val="100"/>
          <w:sz w:val="32"/>
          <w:highlight w:val="none"/>
        </w:rPr>
        <w:t>支付担保</w:t>
      </w:r>
      <w:bookmarkEnd w:id="1140"/>
      <w:bookmarkEnd w:id="1141"/>
      <w:bookmarkEnd w:id="1142"/>
      <w:bookmarkEnd w:id="1143"/>
      <w:bookmarkEnd w:id="1144"/>
      <w:bookmarkEnd w:id="1145"/>
      <w:bookmarkEnd w:id="1146"/>
    </w:p>
    <w:p w14:paraId="2676D72E">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highlight w:val="none"/>
          <w:u w:val="single"/>
        </w:rPr>
      </w:pPr>
      <w:r>
        <w:rPr>
          <w:rFonts w:hint="eastAsia" w:ascii="宋体" w:hAnsi="宋体" w:eastAsia="宋体" w:cs="宋体"/>
          <w:b/>
          <w:bCs/>
          <w:i w:val="0"/>
          <w:caps w:val="0"/>
          <w:color w:val="auto"/>
          <w:spacing w:val="0"/>
          <w:w w:val="100"/>
          <w:sz w:val="24"/>
          <w:highlight w:val="none"/>
          <w:u w:val="single" w:color="000000"/>
        </w:rPr>
        <w:t xml:space="preserve">             </w:t>
      </w:r>
      <w:bookmarkStart w:id="1147" w:name="_Toc30984"/>
      <w:r>
        <w:rPr>
          <w:rFonts w:hint="eastAsia" w:ascii="宋体" w:hAnsi="宋体" w:eastAsia="宋体" w:cs="宋体"/>
          <w:b/>
          <w:bCs/>
          <w:i w:val="0"/>
          <w:caps w:val="0"/>
          <w:color w:val="auto"/>
          <w:spacing w:val="0"/>
          <w:w w:val="100"/>
          <w:sz w:val="24"/>
          <w:highlight w:val="none"/>
        </w:rPr>
        <w:t>（承包人）：</w:t>
      </w:r>
      <w:bookmarkEnd w:id="1147"/>
    </w:p>
    <w:p w14:paraId="73E1A9C0">
      <w:pPr>
        <w:pStyle w:val="66"/>
        <w:snapToGrid w:val="0"/>
        <w:spacing w:before="0" w:beforeAutospacing="0" w:after="0" w:afterAutospacing="0" w:line="440" w:lineRule="exact"/>
        <w:jc w:val="left"/>
        <w:textAlignment w:val="baseline"/>
        <w:rPr>
          <w:rFonts w:hint="eastAsia" w:ascii="宋体" w:hAnsi="宋体" w:eastAsia="宋体" w:cs="宋体"/>
          <w:b w:val="0"/>
          <w:i w:val="0"/>
          <w:caps w:val="0"/>
          <w:color w:val="auto"/>
          <w:spacing w:val="0"/>
          <w:w w:val="100"/>
          <w:sz w:val="24"/>
          <w:szCs w:val="24"/>
          <w:highlight w:val="none"/>
        </w:rPr>
      </w:pPr>
    </w:p>
    <w:p w14:paraId="3EDADD7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鉴于你方作为承包人已经与</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（发包人名称）（以下称“发包人”）于</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日签订了</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（工程名称）《建设工程施工合同》（以下称“主合同”），应发包人的申请，我方愿就发包人履行主合同约定的工程款支付义务以保证的方式向你方提供如下担保：</w:t>
      </w:r>
    </w:p>
    <w:p w14:paraId="2244DEF1">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一、保证的范围及保证金额</w:t>
      </w:r>
    </w:p>
    <w:p w14:paraId="2EC8AAA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 我方的保证范围是主合同约定的工程款。</w:t>
      </w:r>
    </w:p>
    <w:p w14:paraId="0B66EFD5">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 本保函所称主合同约定的工程款是指主合同约定的除工程质量保证金以外的合同价款。</w:t>
      </w:r>
    </w:p>
    <w:p w14:paraId="281F1064">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 我方保证的金额是主合同约定的工程款的</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%，数额最高不超过人民币元（大写：</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w:t>
      </w:r>
    </w:p>
    <w:p w14:paraId="37CE3128">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二、保证的方式及保证期间</w:t>
      </w:r>
    </w:p>
    <w:p w14:paraId="33A1745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 我方保证的方式为：连带责任保证。</w:t>
      </w:r>
    </w:p>
    <w:p w14:paraId="4483A7D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 我方保证的期间为：自本合同生效之日起至主合同约定的工程款支付完毕之日后</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日内。</w:t>
      </w:r>
    </w:p>
    <w:p w14:paraId="2284B79F">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 你方与发包人协议变更工程款支付日期的，经我方书面同意后，保证期间按照变更后的支付日期做相应调整。</w:t>
      </w:r>
    </w:p>
    <w:p w14:paraId="6184516C">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三、承担保证责任的形式</w:t>
      </w:r>
    </w:p>
    <w:p w14:paraId="167EA4D4">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我方承担保证责任的形式是代为支付。发包人未按主合同约定向你方支付工程款的，由我方在保证金额内代为支付。</w:t>
      </w:r>
    </w:p>
    <w:p w14:paraId="505CF6F1">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四、代偿的安排</w:t>
      </w:r>
    </w:p>
    <w:p w14:paraId="2A8C736C">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 你方要求我方承担保证责任的，应向我方发出书面索赔通知及发包人未支付主合同约定工程款的证明材料。索赔通知应写明要求索赔的金额，支付款项应到达的账号。</w:t>
      </w:r>
    </w:p>
    <w:p w14:paraId="01F374E4">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 在出现你方与发包人因工程质量发生争议，发包人拒绝向你方支付工程款的情形时，你方要求我方履行保证责任代为支付的，需提供符合相应条件要求的工程质量检测机构出具的质量说明材料。</w:t>
      </w:r>
    </w:p>
    <w:p w14:paraId="42BBDBF1">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 我方收到你方的书面索赔通知及相应的证明材料后７天内无条件支付。</w:t>
      </w:r>
    </w:p>
    <w:p w14:paraId="0093C361">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五、保证责任的解除</w:t>
      </w:r>
    </w:p>
    <w:p w14:paraId="4BAA93F0">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 在本保函承诺的保证期间内，你方未书面向我方主张保证责任的，自保证期间届满次日起，我方保证责任解除。</w:t>
      </w:r>
    </w:p>
    <w:p w14:paraId="7BA0AFC6">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 发包人按主合同约定履行了工程款的全部支付义务的，自本保函承诺的保证期间届满次日起，我方保证责任解除。</w:t>
      </w:r>
    </w:p>
    <w:p w14:paraId="55312D0A">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 我方按照本保函向你方履行保证责任所支付金额达到本保函保证金额时，自我方向你方支付（支付款项从我方账户划出）之日起，保证责任即解除。</w:t>
      </w:r>
    </w:p>
    <w:p w14:paraId="57ADC5C7">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 按照法律法规的规定或出现应解除我方保证责任的其他情形的，我方在本保函项下的保证责任亦解除。</w:t>
      </w:r>
    </w:p>
    <w:p w14:paraId="3A17B6AB">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5. 我方解除保证责任后，你方应自我方保证责任解除之日起</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个工作日内，将本保函原件返还我方。</w:t>
      </w:r>
    </w:p>
    <w:p w14:paraId="243522F3">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六、免责条款</w:t>
      </w:r>
    </w:p>
    <w:p w14:paraId="1F7737D1">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 因你方违约致使发包人不能履行义务的，我方不承担保证责任。</w:t>
      </w:r>
    </w:p>
    <w:p w14:paraId="14B81BE0">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 依照法律法规的规定或你方与发包人的另行约定，免除发包人部分或全部义务的，我方亦免除其相应的保证责任。</w:t>
      </w:r>
    </w:p>
    <w:p w14:paraId="37ED0EC4">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 你方与发包人协议变更主合同的，如加重发包人责任致使我方保证责任加重的，需征得我方书面同意，否则我方不再承担因此而加重部分的保证责任，但主合同第10条〔变更〕约定的变更不受本款限制。</w:t>
      </w:r>
    </w:p>
    <w:p w14:paraId="33190179">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 因不可抗力造成发包人不能履行义务的，我方不承担保证责任。</w:t>
      </w:r>
    </w:p>
    <w:p w14:paraId="41E5C820">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七、争议解决</w:t>
      </w:r>
    </w:p>
    <w:p w14:paraId="3B61EB7F">
      <w:pPr>
        <w:pStyle w:val="66"/>
        <w:snapToGrid w:val="0"/>
        <w:spacing w:before="0" w:beforeAutospacing="0" w:after="12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因本保函或本保函相关事项发生的纠纷，可由双方协商解决，协商不成的，按下列第</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种方式解决：</w:t>
      </w:r>
    </w:p>
    <w:p w14:paraId="2A678388">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（1）向</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仲裁委员会申请仲裁；</w:t>
      </w:r>
    </w:p>
    <w:p w14:paraId="1BF8276E">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（2）向</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人民法院起诉。</w:t>
      </w:r>
    </w:p>
    <w:p w14:paraId="358567C0">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八、保函的生效</w:t>
      </w:r>
    </w:p>
    <w:p w14:paraId="3F363655">
      <w:pPr>
        <w:pStyle w:val="66"/>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本保函自我方法定代表人（或其授权代理人）签字并加盖公章之日起生效。</w:t>
      </w:r>
    </w:p>
    <w:p w14:paraId="74E42829">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p>
    <w:p w14:paraId="68AAD34C">
      <w:pPr>
        <w:pStyle w:val="66"/>
        <w:snapToGrid w:val="0"/>
        <w:spacing w:before="0" w:beforeAutospacing="0" w:after="0" w:afterAutospacing="0" w:line="360" w:lineRule="auto"/>
        <w:ind w:right="600"/>
        <w:jc w:val="left"/>
        <w:textAlignment w:val="baseline"/>
        <w:rPr>
          <w:rFonts w:hint="eastAsia" w:ascii="宋体" w:hAnsi="宋体" w:eastAsia="宋体" w:cs="宋体"/>
          <w:b w:val="0"/>
          <w:i w:val="0"/>
          <w:caps w:val="0"/>
          <w:color w:val="auto"/>
          <w:spacing w:val="0"/>
          <w:w w:val="100"/>
          <w:sz w:val="24"/>
          <w:szCs w:val="24"/>
          <w:highlight w:val="none"/>
        </w:rPr>
      </w:pPr>
    </w:p>
    <w:p w14:paraId="6394E4DC">
      <w:pPr>
        <w:pStyle w:val="66"/>
        <w:snapToGrid w:val="0"/>
        <w:spacing w:before="0" w:beforeAutospacing="0" w:after="0" w:afterAutospacing="0" w:line="360" w:lineRule="auto"/>
        <w:ind w:right="6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担保人：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（盖章）</w:t>
      </w:r>
    </w:p>
    <w:p w14:paraId="65614221">
      <w:pPr>
        <w:pStyle w:val="66"/>
        <w:snapToGrid w:val="0"/>
        <w:spacing w:before="0" w:beforeAutospacing="0" w:after="0" w:afterAutospacing="0" w:line="360" w:lineRule="auto"/>
        <w:ind w:right="1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法定代表人或委托代理人：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（签字）</w:t>
      </w:r>
    </w:p>
    <w:p w14:paraId="0F52D751">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地    址：</w:t>
      </w:r>
      <w:r>
        <w:rPr>
          <w:rFonts w:hint="eastAsia" w:ascii="宋体" w:hAnsi="宋体" w:eastAsia="宋体" w:cs="宋体"/>
          <w:b w:val="0"/>
          <w:i w:val="0"/>
          <w:caps w:val="0"/>
          <w:color w:val="auto"/>
          <w:spacing w:val="0"/>
          <w:w w:val="100"/>
          <w:sz w:val="24"/>
          <w:szCs w:val="24"/>
          <w:highlight w:val="none"/>
          <w:u w:val="single" w:color="000000"/>
        </w:rPr>
        <w:t xml:space="preserve">                                        </w:t>
      </w:r>
    </w:p>
    <w:p w14:paraId="2BD31DC5">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邮政编码：</w:t>
      </w:r>
      <w:r>
        <w:rPr>
          <w:rFonts w:hint="eastAsia" w:ascii="宋体" w:hAnsi="宋体" w:eastAsia="宋体" w:cs="宋体"/>
          <w:b w:val="0"/>
          <w:i w:val="0"/>
          <w:caps w:val="0"/>
          <w:color w:val="auto"/>
          <w:spacing w:val="0"/>
          <w:w w:val="100"/>
          <w:sz w:val="24"/>
          <w:szCs w:val="24"/>
          <w:highlight w:val="none"/>
          <w:u w:val="single" w:color="000000"/>
        </w:rPr>
        <w:t xml:space="preserve">                                        </w:t>
      </w:r>
    </w:p>
    <w:p w14:paraId="049079B6">
      <w:pPr>
        <w:pStyle w:val="66"/>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传    真：</w:t>
      </w:r>
      <w:r>
        <w:rPr>
          <w:rFonts w:hint="eastAsia" w:ascii="宋体" w:hAnsi="宋体" w:eastAsia="宋体" w:cs="宋体"/>
          <w:b w:val="0"/>
          <w:i w:val="0"/>
          <w:caps w:val="0"/>
          <w:color w:val="auto"/>
          <w:spacing w:val="0"/>
          <w:w w:val="100"/>
          <w:sz w:val="24"/>
          <w:szCs w:val="24"/>
          <w:highlight w:val="none"/>
          <w:u w:val="single" w:color="000000"/>
        </w:rPr>
        <w:t xml:space="preserve">                                        </w:t>
      </w:r>
    </w:p>
    <w:p w14:paraId="77DFD74A">
      <w:pPr>
        <w:pStyle w:val="66"/>
        <w:snapToGrid w:val="0"/>
        <w:spacing w:before="0" w:beforeAutospacing="0" w:after="0" w:afterAutospacing="0" w:line="360" w:lineRule="auto"/>
        <w:ind w:right="150" w:firstLine="480" w:firstLineChars="200"/>
        <w:jc w:val="left"/>
        <w:textAlignment w:val="baseline"/>
        <w:rPr>
          <w:rFonts w:hint="eastAsia" w:ascii="宋体" w:hAnsi="宋体" w:eastAsia="宋体" w:cs="宋体"/>
          <w:b w:val="0"/>
          <w:i w:val="0"/>
          <w:caps w:val="0"/>
          <w:color w:val="auto"/>
          <w:spacing w:val="0"/>
          <w:w w:val="100"/>
          <w:sz w:val="24"/>
          <w:szCs w:val="24"/>
          <w:highlight w:val="none"/>
          <w:u w:val="single" w:color="000000"/>
        </w:rPr>
      </w:pPr>
    </w:p>
    <w:p w14:paraId="40A90449">
      <w:pPr>
        <w:pStyle w:val="66"/>
        <w:snapToGrid w:val="0"/>
        <w:spacing w:before="0" w:beforeAutospacing="0" w:after="0" w:afterAutospacing="0" w:line="360" w:lineRule="auto"/>
        <w:ind w:right="150" w:firstLine="480" w:firstLineChars="200"/>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w:t>
      </w:r>
    </w:p>
    <w:p w14:paraId="7B7BF257">
      <w:pPr>
        <w:rPr>
          <w:rFonts w:hint="eastAsia" w:ascii="宋体" w:hAnsi="宋体" w:eastAsia="宋体" w:cs="宋体"/>
          <w:b/>
          <w:i w:val="0"/>
          <w:caps w:val="0"/>
          <w:color w:val="auto"/>
          <w:spacing w:val="0"/>
          <w:w w:val="100"/>
          <w:sz w:val="32"/>
          <w:highlight w:val="none"/>
        </w:rPr>
      </w:pPr>
      <w:bookmarkStart w:id="1148" w:name="_Toc18382"/>
      <w:bookmarkStart w:id="1149" w:name="_Toc256000135"/>
      <w:bookmarkStart w:id="1150" w:name="_Toc10191"/>
      <w:bookmarkStart w:id="1151" w:name="_Toc505871425"/>
      <w:r>
        <w:rPr>
          <w:rFonts w:hint="eastAsia" w:ascii="宋体" w:hAnsi="宋体" w:eastAsia="宋体" w:cs="宋体"/>
          <w:b/>
          <w:i w:val="0"/>
          <w:caps w:val="0"/>
          <w:color w:val="auto"/>
          <w:spacing w:val="0"/>
          <w:w w:val="100"/>
          <w:sz w:val="32"/>
          <w:highlight w:val="none"/>
        </w:rPr>
        <w:br w:type="page"/>
      </w:r>
    </w:p>
    <w:p w14:paraId="0E15F5A9">
      <w:pPr>
        <w:pStyle w:val="72"/>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152" w:name="_Toc4231"/>
      <w:bookmarkStart w:id="1153" w:name="_Toc27987"/>
      <w:bookmarkStart w:id="1154" w:name="_Toc25420"/>
      <w:r>
        <w:rPr>
          <w:rFonts w:hint="eastAsia" w:ascii="宋体" w:hAnsi="宋体" w:eastAsia="宋体" w:cs="宋体"/>
          <w:b/>
          <w:i w:val="0"/>
          <w:caps w:val="0"/>
          <w:color w:val="auto"/>
          <w:spacing w:val="0"/>
          <w:w w:val="100"/>
          <w:sz w:val="32"/>
          <w:highlight w:val="none"/>
        </w:rPr>
        <w:t>附件11：</w:t>
      </w:r>
      <w:bookmarkEnd w:id="1148"/>
      <w:bookmarkEnd w:id="1149"/>
      <w:bookmarkEnd w:id="1150"/>
      <w:bookmarkEnd w:id="1151"/>
      <w:bookmarkEnd w:id="1152"/>
      <w:bookmarkEnd w:id="1153"/>
      <w:bookmarkEnd w:id="1154"/>
    </w:p>
    <w:p w14:paraId="5978EC44">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1155" w:name="_Toc21156"/>
      <w:bookmarkStart w:id="1156" w:name="_Toc484"/>
      <w:bookmarkStart w:id="1157" w:name="_Toc256000136"/>
      <w:bookmarkStart w:id="1158" w:name="_Toc505871426"/>
      <w:bookmarkStart w:id="1159" w:name="_Toc30743"/>
      <w:bookmarkStart w:id="1160" w:name="_Toc2343"/>
      <w:r>
        <w:rPr>
          <w:rFonts w:hint="eastAsia" w:ascii="宋体" w:hAnsi="宋体" w:eastAsia="宋体" w:cs="宋体"/>
          <w:b/>
          <w:i w:val="0"/>
          <w:caps w:val="0"/>
          <w:color w:val="auto"/>
          <w:spacing w:val="0"/>
          <w:w w:val="100"/>
          <w:sz w:val="32"/>
          <w:highlight w:val="none"/>
        </w:rPr>
        <w:t>11-1：材料暂估价表</w:t>
      </w:r>
      <w:bookmarkEnd w:id="1155"/>
      <w:bookmarkEnd w:id="1156"/>
      <w:bookmarkEnd w:id="1157"/>
      <w:bookmarkEnd w:id="1158"/>
      <w:bookmarkEnd w:id="1159"/>
      <w:bookmarkEnd w:id="1160"/>
    </w:p>
    <w:tbl>
      <w:tblPr>
        <w:tblStyle w:val="23"/>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93"/>
        <w:gridCol w:w="1984"/>
        <w:gridCol w:w="851"/>
        <w:gridCol w:w="774"/>
        <w:gridCol w:w="1352"/>
        <w:gridCol w:w="1418"/>
        <w:gridCol w:w="1701"/>
      </w:tblGrid>
      <w:tr w14:paraId="629DB2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single" w:color="auto" w:sz="12" w:space="0"/>
              <w:bottom w:val="double" w:color="auto" w:sz="6" w:space="0"/>
            </w:tcBorders>
            <w:noWrap w:val="0"/>
            <w:vAlign w:val="top"/>
          </w:tcPr>
          <w:p w14:paraId="51CDFD8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序号</w:t>
            </w:r>
          </w:p>
        </w:tc>
        <w:tc>
          <w:tcPr>
            <w:tcW w:w="1984" w:type="dxa"/>
            <w:tcBorders>
              <w:top w:val="single" w:color="auto" w:sz="12" w:space="0"/>
              <w:bottom w:val="double" w:color="auto" w:sz="6" w:space="0"/>
            </w:tcBorders>
            <w:noWrap w:val="0"/>
            <w:vAlign w:val="top"/>
          </w:tcPr>
          <w:p w14:paraId="71A0544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名称</w:t>
            </w:r>
          </w:p>
        </w:tc>
        <w:tc>
          <w:tcPr>
            <w:tcW w:w="851" w:type="dxa"/>
            <w:tcBorders>
              <w:top w:val="single" w:color="auto" w:sz="12" w:space="0"/>
              <w:bottom w:val="double" w:color="auto" w:sz="6" w:space="0"/>
            </w:tcBorders>
            <w:noWrap w:val="0"/>
            <w:vAlign w:val="top"/>
          </w:tcPr>
          <w:p w14:paraId="5C5566E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单位</w:t>
            </w:r>
          </w:p>
        </w:tc>
        <w:tc>
          <w:tcPr>
            <w:tcW w:w="774" w:type="dxa"/>
            <w:tcBorders>
              <w:top w:val="single" w:color="auto" w:sz="12" w:space="0"/>
              <w:bottom w:val="double" w:color="auto" w:sz="6" w:space="0"/>
            </w:tcBorders>
            <w:noWrap w:val="0"/>
            <w:vAlign w:val="top"/>
          </w:tcPr>
          <w:p w14:paraId="7EAF01E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数量</w:t>
            </w:r>
          </w:p>
        </w:tc>
        <w:tc>
          <w:tcPr>
            <w:tcW w:w="1352" w:type="dxa"/>
            <w:tcBorders>
              <w:top w:val="single" w:color="auto" w:sz="12" w:space="0"/>
              <w:bottom w:val="double" w:color="auto" w:sz="6" w:space="0"/>
            </w:tcBorders>
            <w:noWrap w:val="0"/>
            <w:vAlign w:val="top"/>
          </w:tcPr>
          <w:p w14:paraId="3F4487E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单价（元）</w:t>
            </w:r>
          </w:p>
        </w:tc>
        <w:tc>
          <w:tcPr>
            <w:tcW w:w="1418" w:type="dxa"/>
            <w:tcBorders>
              <w:top w:val="single" w:color="auto" w:sz="12" w:space="0"/>
              <w:bottom w:val="double" w:color="auto" w:sz="6" w:space="0"/>
            </w:tcBorders>
            <w:noWrap w:val="0"/>
            <w:vAlign w:val="top"/>
          </w:tcPr>
          <w:p w14:paraId="28BDC23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合价（元）</w:t>
            </w:r>
          </w:p>
        </w:tc>
        <w:tc>
          <w:tcPr>
            <w:tcW w:w="1701" w:type="dxa"/>
            <w:tcBorders>
              <w:top w:val="single" w:color="auto" w:sz="12" w:space="0"/>
              <w:bottom w:val="double" w:color="auto" w:sz="6" w:space="0"/>
            </w:tcBorders>
            <w:noWrap w:val="0"/>
            <w:vAlign w:val="top"/>
          </w:tcPr>
          <w:p w14:paraId="2951BD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备注</w:t>
            </w:r>
          </w:p>
        </w:tc>
      </w:tr>
      <w:tr w14:paraId="515991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double" w:color="auto" w:sz="6" w:space="0"/>
              <w:bottom w:val="single" w:color="auto" w:sz="6" w:space="0"/>
            </w:tcBorders>
            <w:noWrap w:val="0"/>
            <w:vAlign w:val="top"/>
          </w:tcPr>
          <w:p w14:paraId="7E004A8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tcBorders>
              <w:top w:val="double" w:color="auto" w:sz="6" w:space="0"/>
              <w:bottom w:val="single" w:color="auto" w:sz="6" w:space="0"/>
            </w:tcBorders>
            <w:noWrap w:val="0"/>
            <w:vAlign w:val="top"/>
          </w:tcPr>
          <w:p w14:paraId="4AD48CD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tcBorders>
              <w:top w:val="double" w:color="auto" w:sz="6" w:space="0"/>
              <w:bottom w:val="single" w:color="auto" w:sz="6" w:space="0"/>
            </w:tcBorders>
            <w:noWrap w:val="0"/>
            <w:vAlign w:val="top"/>
          </w:tcPr>
          <w:p w14:paraId="7AC1259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tcBorders>
              <w:top w:val="double" w:color="auto" w:sz="6" w:space="0"/>
              <w:bottom w:val="single" w:color="auto" w:sz="6" w:space="0"/>
            </w:tcBorders>
            <w:noWrap w:val="0"/>
            <w:vAlign w:val="top"/>
          </w:tcPr>
          <w:p w14:paraId="718CE30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tcBorders>
              <w:top w:val="double" w:color="auto" w:sz="6" w:space="0"/>
              <w:bottom w:val="single" w:color="auto" w:sz="6" w:space="0"/>
            </w:tcBorders>
            <w:noWrap w:val="0"/>
            <w:vAlign w:val="top"/>
          </w:tcPr>
          <w:p w14:paraId="7531832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double" w:color="auto" w:sz="6" w:space="0"/>
              <w:bottom w:val="single" w:color="auto" w:sz="6" w:space="0"/>
            </w:tcBorders>
            <w:noWrap w:val="0"/>
            <w:vAlign w:val="top"/>
          </w:tcPr>
          <w:p w14:paraId="6D922CE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tcBorders>
              <w:top w:val="double" w:color="auto" w:sz="6" w:space="0"/>
              <w:bottom w:val="single" w:color="auto" w:sz="6" w:space="0"/>
            </w:tcBorders>
            <w:noWrap w:val="0"/>
            <w:vAlign w:val="top"/>
          </w:tcPr>
          <w:p w14:paraId="3AD9EDB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E8AC3D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tcBorders>
              <w:top w:val="nil"/>
            </w:tcBorders>
            <w:noWrap w:val="0"/>
            <w:vAlign w:val="top"/>
          </w:tcPr>
          <w:p w14:paraId="4134BD2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tcBorders>
              <w:top w:val="nil"/>
            </w:tcBorders>
            <w:noWrap w:val="0"/>
            <w:vAlign w:val="top"/>
          </w:tcPr>
          <w:p w14:paraId="1FA39D0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tcBorders>
              <w:top w:val="nil"/>
            </w:tcBorders>
            <w:noWrap w:val="0"/>
            <w:vAlign w:val="top"/>
          </w:tcPr>
          <w:p w14:paraId="1B2EC17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tcBorders>
              <w:top w:val="nil"/>
            </w:tcBorders>
            <w:noWrap w:val="0"/>
            <w:vAlign w:val="top"/>
          </w:tcPr>
          <w:p w14:paraId="50C936D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tcBorders>
              <w:top w:val="nil"/>
            </w:tcBorders>
            <w:noWrap w:val="0"/>
            <w:vAlign w:val="top"/>
          </w:tcPr>
          <w:p w14:paraId="37B4D5F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tcBorders>
              <w:top w:val="nil"/>
            </w:tcBorders>
            <w:noWrap w:val="0"/>
            <w:vAlign w:val="top"/>
          </w:tcPr>
          <w:p w14:paraId="47DFB27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tcBorders>
              <w:top w:val="nil"/>
            </w:tcBorders>
            <w:noWrap w:val="0"/>
            <w:vAlign w:val="top"/>
          </w:tcPr>
          <w:p w14:paraId="37AA30B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236AD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29481B4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05A332D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6840537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6B79093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4F7473E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187F13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4338986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47DBF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07C3DF3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76F40C6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68CE236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7556C13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02376F9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6E89C61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2B0E5AE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A28C2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CC094A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24F8D0B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651E580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523D2C8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25D62BA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F87D33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4E5DAE1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861CC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C1A4A0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0610C4C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7A023B9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272C19C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3454CE8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07C47D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7B77F6F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B1573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8837A3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65C867B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460ADC0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61D7E4D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24776C2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6BFFCB9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001662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765B5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E46969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6B3B8C1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4881BC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6B118C8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4AE2E3A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09AFBAA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0C9A93E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399C0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B28AF2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2D0006D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616F32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7DCB2CF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112FC33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98937B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6644AD6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B3142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32EF36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002ADC2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37FEE99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67267B3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323C3EB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1713111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710606A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4B39BE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CF924D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26E3650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75CC85F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22B9E4C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258AA80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293467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10BD04F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73EDE4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B452DA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748FBCB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6999F6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523D951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397FC23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3C7C096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205FB72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C134E8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7247E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3D4B8B9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464B07C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33080E2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1D2625B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3581E72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67C0EDF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3FB04A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9C2A7A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3BD01A6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0DB4E7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1B85CE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3705FF7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494BCB7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3378E86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B5E2DC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F18456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3904570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24B7EA9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6D67A9B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3D5E0A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47EC15F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1E75842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B6E09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4FCA0E9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0685583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1484A41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64C1F14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1141DD1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4D2CE7E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6EBD4F1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E596BD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9FEC43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242A445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300C18A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1FA0533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3C7243C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3F6CE74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4900BF7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8D8F25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1F54DDE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13DC3B9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7F3F302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7B14260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4D75E5B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023E3D8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128EBA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3C3040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B786D0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7E6F8AB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2239CE1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72C1A19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6C7DAE6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2DD0915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2ADE87E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3CB98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679EFDF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38F0281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2A8E1DB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5DCF359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0736DD7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090170F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268F383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254678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3FE99A0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3D8E1BE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03F79C9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4900A6E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4A5CE5E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0A5804D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6264E56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E4526F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B29575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3472ACC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3BA4650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030789F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38A85C5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4971B97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208B39C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4A6513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79CC00E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6000B2C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16DEDC6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6724947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05B59D7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59CB999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428F35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A508DB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c>
          <w:tcPr>
            <w:tcW w:w="993" w:type="dxa"/>
            <w:noWrap w:val="0"/>
            <w:vAlign w:val="top"/>
          </w:tcPr>
          <w:p w14:paraId="5639609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984" w:type="dxa"/>
            <w:noWrap w:val="0"/>
            <w:vAlign w:val="top"/>
          </w:tcPr>
          <w:p w14:paraId="7982BE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51" w:type="dxa"/>
            <w:noWrap w:val="0"/>
            <w:vAlign w:val="top"/>
          </w:tcPr>
          <w:p w14:paraId="254B2EE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74" w:type="dxa"/>
            <w:noWrap w:val="0"/>
            <w:vAlign w:val="top"/>
          </w:tcPr>
          <w:p w14:paraId="7FEE011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52" w:type="dxa"/>
            <w:noWrap w:val="0"/>
            <w:vAlign w:val="top"/>
          </w:tcPr>
          <w:p w14:paraId="08ABE6E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18" w:type="dxa"/>
            <w:noWrap w:val="0"/>
            <w:vAlign w:val="top"/>
          </w:tcPr>
          <w:p w14:paraId="1B4D070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01" w:type="dxa"/>
            <w:noWrap w:val="0"/>
            <w:vAlign w:val="top"/>
          </w:tcPr>
          <w:p w14:paraId="038669D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bl>
    <w:p w14:paraId="265C3C1E">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1161" w:name="_Toc2413"/>
      <w:bookmarkStart w:id="1162" w:name="_Toc505871427"/>
      <w:bookmarkStart w:id="1163" w:name="_Toc256000137"/>
      <w:bookmarkStart w:id="1164" w:name="_Toc11133"/>
      <w:bookmarkStart w:id="1165" w:name="_Toc3633"/>
      <w:bookmarkStart w:id="1166" w:name="_Toc7492"/>
      <w:r>
        <w:rPr>
          <w:rFonts w:hint="eastAsia" w:ascii="宋体" w:hAnsi="宋体" w:eastAsia="宋体" w:cs="宋体"/>
          <w:b/>
          <w:i w:val="0"/>
          <w:caps w:val="0"/>
          <w:color w:val="auto"/>
          <w:spacing w:val="0"/>
          <w:w w:val="100"/>
          <w:sz w:val="32"/>
          <w:highlight w:val="none"/>
        </w:rPr>
        <w:t>11-2：工程设备暂估价表</w:t>
      </w:r>
      <w:bookmarkEnd w:id="1161"/>
      <w:bookmarkEnd w:id="1162"/>
      <w:bookmarkEnd w:id="1163"/>
      <w:bookmarkEnd w:id="1164"/>
      <w:bookmarkEnd w:id="1165"/>
      <w:bookmarkEnd w:id="1166"/>
    </w:p>
    <w:tbl>
      <w:tblPr>
        <w:tblStyle w:val="23"/>
        <w:tblW w:w="0" w:type="auto"/>
        <w:tblInd w:w="-114"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1024"/>
        <w:gridCol w:w="2047"/>
        <w:gridCol w:w="878"/>
        <w:gridCol w:w="799"/>
        <w:gridCol w:w="1394"/>
        <w:gridCol w:w="1463"/>
        <w:gridCol w:w="1755"/>
      </w:tblGrid>
      <w:tr w14:paraId="1A603E1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97" w:hRule="atLeast"/>
        </w:trPr>
        <w:tc>
          <w:tcPr>
            <w:tcW w:w="1024" w:type="dxa"/>
            <w:tcBorders>
              <w:top w:val="single" w:color="auto" w:sz="12" w:space="0"/>
              <w:bottom w:val="double" w:color="auto" w:sz="6" w:space="0"/>
            </w:tcBorders>
            <w:noWrap w:val="0"/>
            <w:vAlign w:val="top"/>
          </w:tcPr>
          <w:p w14:paraId="5EFD9F4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序号</w:t>
            </w:r>
          </w:p>
        </w:tc>
        <w:tc>
          <w:tcPr>
            <w:tcW w:w="2047" w:type="dxa"/>
            <w:tcBorders>
              <w:top w:val="single" w:color="auto" w:sz="12" w:space="0"/>
              <w:bottom w:val="double" w:color="auto" w:sz="6" w:space="0"/>
            </w:tcBorders>
            <w:noWrap w:val="0"/>
            <w:vAlign w:val="top"/>
          </w:tcPr>
          <w:p w14:paraId="7AA4B43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名称</w:t>
            </w:r>
          </w:p>
        </w:tc>
        <w:tc>
          <w:tcPr>
            <w:tcW w:w="878" w:type="dxa"/>
            <w:tcBorders>
              <w:top w:val="single" w:color="auto" w:sz="12" w:space="0"/>
              <w:bottom w:val="double" w:color="auto" w:sz="6" w:space="0"/>
            </w:tcBorders>
            <w:noWrap w:val="0"/>
            <w:vAlign w:val="top"/>
          </w:tcPr>
          <w:p w14:paraId="3B4FC3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单位</w:t>
            </w:r>
          </w:p>
        </w:tc>
        <w:tc>
          <w:tcPr>
            <w:tcW w:w="799" w:type="dxa"/>
            <w:tcBorders>
              <w:top w:val="single" w:color="auto" w:sz="12" w:space="0"/>
              <w:bottom w:val="double" w:color="auto" w:sz="6" w:space="0"/>
            </w:tcBorders>
            <w:noWrap w:val="0"/>
            <w:vAlign w:val="top"/>
          </w:tcPr>
          <w:p w14:paraId="49FB65A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数量</w:t>
            </w:r>
          </w:p>
        </w:tc>
        <w:tc>
          <w:tcPr>
            <w:tcW w:w="1394" w:type="dxa"/>
            <w:tcBorders>
              <w:top w:val="single" w:color="auto" w:sz="12" w:space="0"/>
              <w:bottom w:val="double" w:color="auto" w:sz="6" w:space="0"/>
            </w:tcBorders>
            <w:noWrap w:val="0"/>
            <w:vAlign w:val="top"/>
          </w:tcPr>
          <w:p w14:paraId="21568CF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单价（元）</w:t>
            </w:r>
          </w:p>
        </w:tc>
        <w:tc>
          <w:tcPr>
            <w:tcW w:w="1463" w:type="dxa"/>
            <w:tcBorders>
              <w:top w:val="single" w:color="auto" w:sz="12" w:space="0"/>
              <w:bottom w:val="double" w:color="auto" w:sz="6" w:space="0"/>
            </w:tcBorders>
            <w:noWrap w:val="0"/>
            <w:vAlign w:val="top"/>
          </w:tcPr>
          <w:p w14:paraId="34D062F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合价（元）</w:t>
            </w:r>
          </w:p>
        </w:tc>
        <w:tc>
          <w:tcPr>
            <w:tcW w:w="1755" w:type="dxa"/>
            <w:tcBorders>
              <w:top w:val="single" w:color="auto" w:sz="12" w:space="0"/>
              <w:bottom w:val="double" w:color="auto" w:sz="6" w:space="0"/>
            </w:tcBorders>
            <w:noWrap w:val="0"/>
            <w:vAlign w:val="top"/>
          </w:tcPr>
          <w:p w14:paraId="23E4B7E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r>
              <w:rPr>
                <w:rFonts w:hint="eastAsia" w:ascii="宋体" w:hAnsi="宋体" w:eastAsia="宋体" w:cs="宋体"/>
                <w:b w:val="0"/>
                <w:i w:val="0"/>
                <w:caps w:val="0"/>
                <w:color w:val="auto"/>
                <w:spacing w:val="0"/>
                <w:w w:val="100"/>
                <w:sz w:val="21"/>
                <w:szCs w:val="21"/>
                <w:highlight w:val="none"/>
              </w:rPr>
              <w:t>备注</w:t>
            </w:r>
          </w:p>
        </w:tc>
      </w:tr>
      <w:tr w14:paraId="52D1DD8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6" w:hRule="atLeast"/>
        </w:trPr>
        <w:tc>
          <w:tcPr>
            <w:tcW w:w="1024" w:type="dxa"/>
            <w:tcBorders>
              <w:top w:val="double" w:color="auto" w:sz="6" w:space="0"/>
              <w:bottom w:val="single" w:color="auto" w:sz="6" w:space="0"/>
            </w:tcBorders>
            <w:noWrap w:val="0"/>
            <w:vAlign w:val="top"/>
          </w:tcPr>
          <w:p w14:paraId="55F2E34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tcBorders>
              <w:top w:val="double" w:color="auto" w:sz="6" w:space="0"/>
              <w:bottom w:val="single" w:color="auto" w:sz="6" w:space="0"/>
            </w:tcBorders>
            <w:noWrap w:val="0"/>
            <w:vAlign w:val="top"/>
          </w:tcPr>
          <w:p w14:paraId="3FAF676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tcBorders>
              <w:top w:val="double" w:color="auto" w:sz="6" w:space="0"/>
              <w:bottom w:val="single" w:color="auto" w:sz="6" w:space="0"/>
            </w:tcBorders>
            <w:noWrap w:val="0"/>
            <w:vAlign w:val="top"/>
          </w:tcPr>
          <w:p w14:paraId="2305DE9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tcBorders>
              <w:top w:val="double" w:color="auto" w:sz="6" w:space="0"/>
              <w:bottom w:val="single" w:color="auto" w:sz="6" w:space="0"/>
            </w:tcBorders>
            <w:noWrap w:val="0"/>
            <w:vAlign w:val="top"/>
          </w:tcPr>
          <w:p w14:paraId="5202C22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tcBorders>
              <w:top w:val="double" w:color="auto" w:sz="6" w:space="0"/>
              <w:bottom w:val="single" w:color="auto" w:sz="6" w:space="0"/>
            </w:tcBorders>
            <w:noWrap w:val="0"/>
            <w:vAlign w:val="top"/>
          </w:tcPr>
          <w:p w14:paraId="2979C0D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tcBorders>
              <w:top w:val="double" w:color="auto" w:sz="6" w:space="0"/>
              <w:bottom w:val="single" w:color="auto" w:sz="6" w:space="0"/>
            </w:tcBorders>
            <w:noWrap w:val="0"/>
            <w:vAlign w:val="top"/>
          </w:tcPr>
          <w:p w14:paraId="4E2F062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tcBorders>
              <w:top w:val="double" w:color="auto" w:sz="6" w:space="0"/>
              <w:bottom w:val="single" w:color="auto" w:sz="6" w:space="0"/>
            </w:tcBorders>
            <w:noWrap w:val="0"/>
            <w:vAlign w:val="top"/>
          </w:tcPr>
          <w:p w14:paraId="6828D30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D5CC12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tcBorders>
              <w:top w:val="nil"/>
            </w:tcBorders>
            <w:noWrap w:val="0"/>
            <w:vAlign w:val="top"/>
          </w:tcPr>
          <w:p w14:paraId="02709DA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tcBorders>
              <w:top w:val="nil"/>
            </w:tcBorders>
            <w:noWrap w:val="0"/>
            <w:vAlign w:val="top"/>
          </w:tcPr>
          <w:p w14:paraId="03AB18A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tcBorders>
              <w:top w:val="nil"/>
            </w:tcBorders>
            <w:noWrap w:val="0"/>
            <w:vAlign w:val="top"/>
          </w:tcPr>
          <w:p w14:paraId="0EABEFB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tcBorders>
              <w:top w:val="nil"/>
            </w:tcBorders>
            <w:noWrap w:val="0"/>
            <w:vAlign w:val="top"/>
          </w:tcPr>
          <w:p w14:paraId="2B61CE9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tcBorders>
              <w:top w:val="nil"/>
            </w:tcBorders>
            <w:noWrap w:val="0"/>
            <w:vAlign w:val="top"/>
          </w:tcPr>
          <w:p w14:paraId="36B7294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tcBorders>
              <w:top w:val="nil"/>
            </w:tcBorders>
            <w:noWrap w:val="0"/>
            <w:vAlign w:val="top"/>
          </w:tcPr>
          <w:p w14:paraId="67604EF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tcBorders>
              <w:top w:val="nil"/>
            </w:tcBorders>
            <w:noWrap w:val="0"/>
            <w:vAlign w:val="top"/>
          </w:tcPr>
          <w:p w14:paraId="5411DD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6EC521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2B9BB7C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534ECE1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586603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32B4CEB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73895A2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0ECD10F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4816A1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5A6D6F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12F6714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3723D12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4C236D9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7726911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57DE20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37082C1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44DBAE0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4D66AB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5E4C829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388A06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7208410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5ADDF91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117CE01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329AE9D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4759B78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B71A38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4FE7487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2214678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204E5EE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77D089D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0CCF1C8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62A80BF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4A66DD3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4236E5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7299D0B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071498A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35D512E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4325512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7209BB5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52B3D78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67D76D3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CAA3DA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387310C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02A2AD5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1CD4984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4026398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4B58A5C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6392AF4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0A6C091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4C4881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7CDB0E2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19D4779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4CD5D9F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06D1C7C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068C990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461029A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3F1B1F8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3073DB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782F8A8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358C928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30BF4C2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0211800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20E83ED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3BC6EBC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75BB21B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361A07B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3A54B0E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6DBCB75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3DA7344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1760D52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110F563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704B51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576EA1E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FC8296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2F6728F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617B8BF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057B55A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7E36DCD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306B7C6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60DF682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2DAD77A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AF5DAB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08AA02B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75B6EBD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7DFD95C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355170A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2E15959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4B62899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6073419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414E1DC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11308A6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76F70C7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4AE50EA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12B3323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4D3C3CC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1DD484A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2E2387D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E12CA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2687C20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54AB70E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1709427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69CFB73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134144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436C6B9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2DE8BCD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6EE7D9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085E9DB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0546CD8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13C2F3B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562AC01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343DFC4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5D951AB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2A2CC00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03CE71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0B2681C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399E046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645AA76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4BF0E6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07F0A50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58D9A3A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012BB65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A17C41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5154D6D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2DC3D70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623A4BD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2C49BA5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58B0AC0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1B51A38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2EAAF0E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69DB3E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262A727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57F0F34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0B7BD2D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56E45D1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418C4BD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444EEBE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0C01214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3C08D9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19E586F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29F2FE2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1A9A3A1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6966217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4A84BD3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4171A38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0F2B88E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2956CB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3D0CD27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66028F3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2010964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21BFE1A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73E89BC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5CCC932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7AF50C9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5B46657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15885AA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70BEBF7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77A7ED2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2377AE9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6556DB9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24CE25C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7BF9483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70B348A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67" w:hRule="atLeast"/>
        </w:trPr>
        <w:tc>
          <w:tcPr>
            <w:tcW w:w="1024" w:type="dxa"/>
            <w:noWrap w:val="0"/>
            <w:vAlign w:val="top"/>
          </w:tcPr>
          <w:p w14:paraId="3BE8D8B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2BEA865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4E79753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2CBCA17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3A5C16F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63709E2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5DF0EC0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r w14:paraId="1F8EA6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6" w:hRule="atLeast"/>
        </w:trPr>
        <w:tc>
          <w:tcPr>
            <w:tcW w:w="1024" w:type="dxa"/>
            <w:noWrap w:val="0"/>
            <w:vAlign w:val="top"/>
          </w:tcPr>
          <w:p w14:paraId="543DAC6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2047" w:type="dxa"/>
            <w:noWrap w:val="0"/>
            <w:vAlign w:val="top"/>
          </w:tcPr>
          <w:p w14:paraId="55D9DA3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878" w:type="dxa"/>
            <w:noWrap w:val="0"/>
            <w:vAlign w:val="top"/>
          </w:tcPr>
          <w:p w14:paraId="46D92C9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799" w:type="dxa"/>
            <w:noWrap w:val="0"/>
            <w:vAlign w:val="top"/>
          </w:tcPr>
          <w:p w14:paraId="49F68AE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394" w:type="dxa"/>
            <w:noWrap w:val="0"/>
            <w:vAlign w:val="top"/>
          </w:tcPr>
          <w:p w14:paraId="628AB10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463" w:type="dxa"/>
            <w:noWrap w:val="0"/>
            <w:vAlign w:val="top"/>
          </w:tcPr>
          <w:p w14:paraId="094B0AE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c>
          <w:tcPr>
            <w:tcW w:w="1755" w:type="dxa"/>
            <w:noWrap w:val="0"/>
            <w:vAlign w:val="top"/>
          </w:tcPr>
          <w:p w14:paraId="1CFC9E6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1"/>
                <w:szCs w:val="21"/>
                <w:highlight w:val="none"/>
              </w:rPr>
            </w:pPr>
          </w:p>
        </w:tc>
      </w:tr>
    </w:tbl>
    <w:p w14:paraId="6BF1A15C">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32"/>
          <w:highlight w:val="none"/>
        </w:rPr>
      </w:pPr>
      <w:bookmarkStart w:id="1167" w:name="_Toc8395"/>
      <w:bookmarkStart w:id="1168" w:name="_Toc2964"/>
      <w:bookmarkStart w:id="1169" w:name="_Toc29935"/>
      <w:bookmarkStart w:id="1170" w:name="_Toc256000138"/>
      <w:bookmarkStart w:id="1171" w:name="_Toc7305"/>
      <w:bookmarkStart w:id="1172" w:name="_Toc505871428"/>
      <w:r>
        <w:rPr>
          <w:rFonts w:hint="eastAsia" w:ascii="宋体" w:hAnsi="宋体" w:eastAsia="宋体" w:cs="宋体"/>
          <w:b/>
          <w:i w:val="0"/>
          <w:caps w:val="0"/>
          <w:color w:val="auto"/>
          <w:spacing w:val="0"/>
          <w:w w:val="100"/>
          <w:sz w:val="32"/>
          <w:highlight w:val="none"/>
        </w:rPr>
        <w:t>11-3：专业工程暂估价表</w:t>
      </w:r>
      <w:bookmarkEnd w:id="1167"/>
      <w:bookmarkEnd w:id="1168"/>
      <w:bookmarkEnd w:id="1169"/>
      <w:bookmarkEnd w:id="1170"/>
      <w:bookmarkEnd w:id="1171"/>
      <w:bookmarkEnd w:id="1172"/>
    </w:p>
    <w:tbl>
      <w:tblPr>
        <w:tblStyle w:val="23"/>
        <w:tblW w:w="0" w:type="auto"/>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905"/>
        <w:gridCol w:w="2043"/>
        <w:gridCol w:w="4818"/>
        <w:gridCol w:w="1314"/>
      </w:tblGrid>
      <w:tr w14:paraId="4BB988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13" w:hRule="atLeast"/>
        </w:trPr>
        <w:tc>
          <w:tcPr>
            <w:tcW w:w="905" w:type="dxa"/>
            <w:tcBorders>
              <w:top w:val="single" w:color="auto" w:sz="12" w:space="0"/>
              <w:bottom w:val="double" w:color="auto" w:sz="6" w:space="0"/>
            </w:tcBorders>
            <w:noWrap w:val="0"/>
            <w:vAlign w:val="top"/>
          </w:tcPr>
          <w:p w14:paraId="55895C2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序号</w:t>
            </w:r>
          </w:p>
        </w:tc>
        <w:tc>
          <w:tcPr>
            <w:tcW w:w="2043" w:type="dxa"/>
            <w:tcBorders>
              <w:top w:val="single" w:color="auto" w:sz="12" w:space="0"/>
              <w:bottom w:val="double" w:color="auto" w:sz="6" w:space="0"/>
            </w:tcBorders>
            <w:noWrap w:val="0"/>
            <w:vAlign w:val="top"/>
          </w:tcPr>
          <w:p w14:paraId="5C46D8D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专业工程名称</w:t>
            </w:r>
          </w:p>
        </w:tc>
        <w:tc>
          <w:tcPr>
            <w:tcW w:w="4818" w:type="dxa"/>
            <w:tcBorders>
              <w:top w:val="single" w:color="auto" w:sz="12" w:space="0"/>
              <w:bottom w:val="double" w:color="auto" w:sz="6" w:space="0"/>
            </w:tcBorders>
            <w:noWrap w:val="0"/>
            <w:vAlign w:val="top"/>
          </w:tcPr>
          <w:p w14:paraId="6ABC3CC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工程内容</w:t>
            </w:r>
          </w:p>
        </w:tc>
        <w:tc>
          <w:tcPr>
            <w:tcW w:w="1314" w:type="dxa"/>
            <w:tcBorders>
              <w:top w:val="single" w:color="auto" w:sz="12" w:space="0"/>
              <w:bottom w:val="double" w:color="auto" w:sz="6" w:space="0"/>
            </w:tcBorders>
            <w:noWrap w:val="0"/>
            <w:vAlign w:val="top"/>
          </w:tcPr>
          <w:p w14:paraId="7E3569B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金额</w:t>
            </w:r>
          </w:p>
        </w:tc>
      </w:tr>
      <w:tr w14:paraId="71E83F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3" w:hRule="atLeast"/>
        </w:trPr>
        <w:tc>
          <w:tcPr>
            <w:tcW w:w="905" w:type="dxa"/>
            <w:tcBorders>
              <w:top w:val="double" w:color="auto" w:sz="6" w:space="0"/>
              <w:bottom w:val="single" w:color="auto" w:sz="6" w:space="0"/>
            </w:tcBorders>
            <w:noWrap w:val="0"/>
            <w:vAlign w:val="top"/>
          </w:tcPr>
          <w:p w14:paraId="61C75B3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tcBorders>
              <w:top w:val="double" w:color="auto" w:sz="6" w:space="0"/>
              <w:bottom w:val="single" w:color="auto" w:sz="6" w:space="0"/>
            </w:tcBorders>
            <w:noWrap w:val="0"/>
            <w:vAlign w:val="top"/>
          </w:tcPr>
          <w:p w14:paraId="2B0FC46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tcBorders>
              <w:top w:val="double" w:color="auto" w:sz="6" w:space="0"/>
              <w:bottom w:val="single" w:color="auto" w:sz="6" w:space="0"/>
            </w:tcBorders>
            <w:noWrap w:val="0"/>
            <w:vAlign w:val="top"/>
          </w:tcPr>
          <w:p w14:paraId="60467A7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tcBorders>
              <w:top w:val="double" w:color="auto" w:sz="6" w:space="0"/>
              <w:bottom w:val="single" w:color="auto" w:sz="6" w:space="0"/>
            </w:tcBorders>
            <w:noWrap w:val="0"/>
            <w:vAlign w:val="top"/>
          </w:tcPr>
          <w:p w14:paraId="4AE8D55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3BCEFF3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tcBorders>
              <w:top w:val="nil"/>
            </w:tcBorders>
            <w:noWrap w:val="0"/>
            <w:vAlign w:val="top"/>
          </w:tcPr>
          <w:p w14:paraId="2108752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tcBorders>
              <w:top w:val="nil"/>
            </w:tcBorders>
            <w:noWrap w:val="0"/>
            <w:vAlign w:val="top"/>
          </w:tcPr>
          <w:p w14:paraId="2F70814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tcBorders>
              <w:top w:val="nil"/>
            </w:tcBorders>
            <w:noWrap w:val="0"/>
            <w:vAlign w:val="top"/>
          </w:tcPr>
          <w:p w14:paraId="517ACC8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tcBorders>
              <w:top w:val="nil"/>
            </w:tcBorders>
            <w:noWrap w:val="0"/>
            <w:vAlign w:val="top"/>
          </w:tcPr>
          <w:p w14:paraId="1096F3F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23CAC37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tcBorders>
              <w:top w:val="nil"/>
            </w:tcBorders>
            <w:noWrap w:val="0"/>
            <w:vAlign w:val="top"/>
          </w:tcPr>
          <w:p w14:paraId="70B5781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tcBorders>
              <w:top w:val="nil"/>
            </w:tcBorders>
            <w:noWrap w:val="0"/>
            <w:vAlign w:val="top"/>
          </w:tcPr>
          <w:p w14:paraId="471D017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tcBorders>
              <w:top w:val="nil"/>
            </w:tcBorders>
            <w:noWrap w:val="0"/>
            <w:vAlign w:val="top"/>
          </w:tcPr>
          <w:p w14:paraId="78EF1BC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tcBorders>
              <w:top w:val="nil"/>
            </w:tcBorders>
            <w:noWrap w:val="0"/>
            <w:vAlign w:val="top"/>
          </w:tcPr>
          <w:p w14:paraId="2C37C90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21F9F3A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4C3B9E4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60668FA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3754AFD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364EBED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2F021D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6DA9D87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023E50B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21D434B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52E3349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338172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06BD64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7D91F1A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61F3E63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2F214AA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5F67465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5E28613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52FB8B1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06878A1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2822468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756D8A0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2262D0F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34C55BE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27F6009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07A4A46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3E13E7A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29CE929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7F9CC9A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0A4D67E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5A28B33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075DCBF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6F3711E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3191F83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2ACFE21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10A6FB9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6B80FBA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7561754E">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4680DD5C">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37730E9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0DB4572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78FA861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1A28C60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34655AA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3262A58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3B771F0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56E1A1D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15E44CF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5188FE9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53C0254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456007C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163AED1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02877E1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5E89F295">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06715D36">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3C8F92C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11CABB7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2D3C873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2B9B6EF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77F33272">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119DE3B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462C564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310230D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0FF3A30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30B0918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114A0A0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4B15DD6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1CA69B1B">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31711FE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5AC65EF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24A86EB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0963DC3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131C0387">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1FBDD9F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5CE3ECA0">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66EB743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1E048C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178CD2C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1D193483">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3A564B7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2A61336D">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009FE6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1C29BEA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58EBF67A">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5B8C147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2CB2BD64">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5026D20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482" w:hRule="atLeast"/>
        </w:trPr>
        <w:tc>
          <w:tcPr>
            <w:tcW w:w="905" w:type="dxa"/>
            <w:noWrap w:val="0"/>
            <w:vAlign w:val="top"/>
          </w:tcPr>
          <w:p w14:paraId="03896B3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2043" w:type="dxa"/>
            <w:noWrap w:val="0"/>
            <w:vAlign w:val="top"/>
          </w:tcPr>
          <w:p w14:paraId="3D793361">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4818" w:type="dxa"/>
            <w:noWrap w:val="0"/>
            <w:vAlign w:val="top"/>
          </w:tcPr>
          <w:p w14:paraId="129695BF">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c>
          <w:tcPr>
            <w:tcW w:w="1314" w:type="dxa"/>
            <w:noWrap w:val="0"/>
            <w:vAlign w:val="top"/>
          </w:tcPr>
          <w:p w14:paraId="3E0023F9">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p>
        </w:tc>
      </w:tr>
      <w:tr w14:paraId="2CD5983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43" w:hRule="atLeast"/>
        </w:trPr>
        <w:tc>
          <w:tcPr>
            <w:tcW w:w="9080" w:type="dxa"/>
            <w:gridSpan w:val="4"/>
            <w:noWrap w:val="0"/>
            <w:vAlign w:val="top"/>
          </w:tcPr>
          <w:p w14:paraId="668F19F8">
            <w:pPr>
              <w:pStyle w:val="73"/>
              <w:snapToGrid w:val="0"/>
              <w:spacing w:before="0" w:beforeAutospacing="0" w:after="0" w:afterAutospacing="0" w:line="440" w:lineRule="exact"/>
              <w:ind w:left="63" w:right="63"/>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小计：</w:t>
            </w:r>
          </w:p>
        </w:tc>
      </w:tr>
    </w:tbl>
    <w:p w14:paraId="0594844F">
      <w:pPr>
        <w:pStyle w:val="66"/>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1"/>
          <w:szCs w:val="21"/>
          <w:highlight w:val="none"/>
        </w:rPr>
      </w:pPr>
    </w:p>
    <w:p w14:paraId="6B439F42">
      <w:pPr>
        <w:pStyle w:val="74"/>
        <w:snapToGrid w:val="0"/>
        <w:spacing w:before="0" w:beforeAutospacing="0" w:after="0" w:afterAutospacing="0" w:line="360" w:lineRule="auto"/>
        <w:ind w:firstLine="420" w:firstLineChars="200"/>
        <w:jc w:val="both"/>
        <w:textAlignment w:val="baseline"/>
        <w:rPr>
          <w:rFonts w:hint="eastAsia" w:ascii="宋体" w:hAnsi="宋体" w:eastAsia="宋体" w:cs="宋体"/>
          <w:b w:val="0"/>
          <w:i w:val="0"/>
          <w:caps w:val="0"/>
          <w:color w:val="auto"/>
          <w:spacing w:val="0"/>
          <w:w w:val="100"/>
          <w:sz w:val="21"/>
          <w:szCs w:val="21"/>
          <w:highlight w:val="none"/>
        </w:rPr>
      </w:pPr>
    </w:p>
    <w:p w14:paraId="1F387E5D">
      <w:pPr>
        <w:pStyle w:val="72"/>
        <w:snapToGrid w:val="0"/>
        <w:spacing w:before="260" w:beforeAutospacing="0" w:after="260" w:afterAutospacing="0" w:line="416" w:lineRule="auto"/>
        <w:jc w:val="both"/>
        <w:textAlignment w:val="baseline"/>
        <w:outlineLvl w:val="9"/>
        <w:rPr>
          <w:rFonts w:hint="eastAsia" w:ascii="宋体" w:hAnsi="宋体" w:eastAsia="宋体" w:cs="宋体"/>
          <w:b/>
          <w:i w:val="0"/>
          <w:caps w:val="0"/>
          <w:color w:val="auto"/>
          <w:spacing w:val="0"/>
          <w:w w:val="100"/>
          <w:sz w:val="32"/>
          <w:highlight w:val="none"/>
        </w:rPr>
      </w:pPr>
      <w:r>
        <w:rPr>
          <w:rFonts w:hint="eastAsia" w:ascii="宋体" w:hAnsi="宋体" w:eastAsia="宋体" w:cs="宋体"/>
          <w:b/>
          <w:i w:val="0"/>
          <w:caps w:val="0"/>
          <w:color w:val="auto"/>
          <w:spacing w:val="0"/>
          <w:w w:val="100"/>
          <w:sz w:val="32"/>
          <w:highlight w:val="none"/>
        </w:rPr>
        <w:br w:type="page"/>
      </w:r>
    </w:p>
    <w:p w14:paraId="4364F579">
      <w:pPr>
        <w:snapToGrid w:val="0"/>
        <w:spacing w:before="260" w:beforeAutospacing="0" w:after="260" w:afterAutospacing="0" w:line="416" w:lineRule="auto"/>
        <w:jc w:val="both"/>
        <w:textAlignment w:val="baseline"/>
        <w:outlineLvl w:val="0"/>
        <w:rPr>
          <w:rFonts w:hint="eastAsia" w:ascii="宋体" w:hAnsi="宋体" w:eastAsia="宋体" w:cs="宋体"/>
          <w:b/>
          <w:i w:val="0"/>
          <w:caps w:val="0"/>
          <w:color w:val="auto"/>
          <w:spacing w:val="0"/>
          <w:w w:val="100"/>
          <w:sz w:val="32"/>
          <w:highlight w:val="none"/>
        </w:rPr>
      </w:pPr>
      <w:bookmarkStart w:id="1173" w:name="_Toc3234"/>
      <w:bookmarkStart w:id="1174" w:name="_Toc13565"/>
      <w:bookmarkStart w:id="1175" w:name="_Toc505871429"/>
      <w:bookmarkStart w:id="1176" w:name="_Toc256000139"/>
      <w:bookmarkStart w:id="1177" w:name="_Toc15510"/>
      <w:bookmarkStart w:id="1178" w:name="_Toc8418"/>
      <w:r>
        <w:rPr>
          <w:rFonts w:hint="eastAsia" w:ascii="宋体" w:hAnsi="宋体" w:eastAsia="宋体" w:cs="宋体"/>
          <w:b/>
          <w:i w:val="0"/>
          <w:caps w:val="0"/>
          <w:color w:val="auto"/>
          <w:spacing w:val="0"/>
          <w:w w:val="100"/>
          <w:sz w:val="32"/>
          <w:highlight w:val="none"/>
        </w:rPr>
        <w:t>附件12：廉政责任书格式</w:t>
      </w:r>
      <w:bookmarkEnd w:id="1173"/>
      <w:bookmarkEnd w:id="1174"/>
      <w:bookmarkEnd w:id="1175"/>
      <w:bookmarkEnd w:id="1176"/>
      <w:bookmarkEnd w:id="1177"/>
      <w:bookmarkEnd w:id="1178"/>
    </w:p>
    <w:p w14:paraId="3BFD999D">
      <w:pPr>
        <w:pStyle w:val="69"/>
        <w:snapToGrid w:val="0"/>
        <w:spacing w:before="260" w:beforeAutospacing="0" w:after="260" w:afterAutospacing="0" w:line="416" w:lineRule="auto"/>
        <w:jc w:val="both"/>
        <w:textAlignment w:val="baseline"/>
        <w:rPr>
          <w:rFonts w:hint="eastAsia" w:ascii="宋体" w:hAnsi="宋体" w:eastAsia="宋体" w:cs="宋体"/>
          <w:b/>
          <w:i w:val="0"/>
          <w:caps w:val="0"/>
          <w:color w:val="auto"/>
          <w:spacing w:val="0"/>
          <w:w w:val="100"/>
          <w:sz w:val="24"/>
          <w:szCs w:val="24"/>
          <w:highlight w:val="none"/>
        </w:rPr>
      </w:pPr>
      <w:bookmarkStart w:id="1179" w:name="_Toc19694"/>
      <w:bookmarkStart w:id="1180" w:name="_Toc505871430"/>
      <w:bookmarkStart w:id="1181" w:name="_Toc6555"/>
      <w:bookmarkStart w:id="1182" w:name="_Toc15505"/>
      <w:bookmarkStart w:id="1183" w:name="_Toc12448"/>
      <w:bookmarkStart w:id="1184" w:name="_Toc256000140"/>
      <w:r>
        <w:rPr>
          <w:rFonts w:hint="eastAsia" w:ascii="宋体" w:hAnsi="宋体" w:eastAsia="宋体" w:cs="宋体"/>
          <w:b/>
          <w:i w:val="0"/>
          <w:caps w:val="0"/>
          <w:color w:val="auto"/>
          <w:spacing w:val="0"/>
          <w:w w:val="100"/>
          <w:sz w:val="32"/>
          <w:highlight w:val="none"/>
        </w:rPr>
        <w:t>建设工程廉政责任书</w:t>
      </w:r>
      <w:bookmarkEnd w:id="1179"/>
      <w:bookmarkEnd w:id="1180"/>
      <w:bookmarkEnd w:id="1181"/>
      <w:bookmarkEnd w:id="1182"/>
      <w:bookmarkEnd w:id="1183"/>
      <w:bookmarkEnd w:id="1184"/>
    </w:p>
    <w:p w14:paraId="4163C801">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发包人：____________________________________</w:t>
      </w:r>
    </w:p>
    <w:p w14:paraId="42843A51">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承包人：____________________________________</w:t>
      </w:r>
    </w:p>
    <w:p w14:paraId="4FE59EA0">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p>
    <w:p w14:paraId="43573217">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7EB268F2">
      <w:pPr>
        <w:pStyle w:val="66"/>
        <w:snapToGrid w:val="0"/>
        <w:spacing w:before="0" w:beforeAutospacing="0" w:after="0" w:afterAutospacing="0" w:line="360" w:lineRule="auto"/>
        <w:jc w:val="both"/>
        <w:textAlignment w:val="baseline"/>
        <w:outlineLvl w:val="0"/>
        <w:rPr>
          <w:rFonts w:hint="eastAsia" w:ascii="宋体" w:hAnsi="宋体" w:eastAsia="宋体" w:cs="宋体"/>
          <w:b/>
          <w:i w:val="0"/>
          <w:caps w:val="0"/>
          <w:color w:val="auto"/>
          <w:spacing w:val="0"/>
          <w:w w:val="100"/>
          <w:sz w:val="24"/>
          <w:szCs w:val="24"/>
          <w:highlight w:val="none"/>
        </w:rPr>
      </w:pPr>
      <w:bookmarkStart w:id="1185" w:name="_Toc22321"/>
      <w:bookmarkStart w:id="1186" w:name="_Toc11774"/>
      <w:bookmarkStart w:id="1187" w:name="_Toc5664"/>
      <w:bookmarkStart w:id="1188" w:name="_Toc13999"/>
      <w:r>
        <w:rPr>
          <w:rFonts w:hint="eastAsia" w:ascii="宋体" w:hAnsi="宋体" w:eastAsia="宋体" w:cs="宋体"/>
          <w:b/>
          <w:i w:val="0"/>
          <w:caps w:val="0"/>
          <w:color w:val="auto"/>
          <w:spacing w:val="0"/>
          <w:w w:val="100"/>
          <w:sz w:val="24"/>
          <w:szCs w:val="24"/>
          <w:highlight w:val="none"/>
        </w:rPr>
        <w:t>一、双方的责任</w:t>
      </w:r>
      <w:bookmarkEnd w:id="1185"/>
      <w:bookmarkEnd w:id="1186"/>
      <w:bookmarkEnd w:id="1187"/>
      <w:bookmarkEnd w:id="1188"/>
    </w:p>
    <w:p w14:paraId="385838A9">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1.1 应严格遵守国家关于建设工程的有关法律、法规，相关政策，以及廉政建设的各项规定。</w:t>
      </w:r>
    </w:p>
    <w:p w14:paraId="780E878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1.2 严格执行建设工程合同文件，自觉按合同办事。</w:t>
      </w:r>
    </w:p>
    <w:p w14:paraId="18000DF9">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1.3 各项活动必须坚持公开、公平、公正、诚信、透明的原则（除法律法规另有规定者外），不得为获取不正当的利益，损害国家、集体和对方利益，不得违反建设工程管理的规章制度。</w:t>
      </w:r>
    </w:p>
    <w:p w14:paraId="5CCE94EB">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1.4 发现对方在业务活动中有违规、违纪、违法行为的，应及时提醒对方，情节严重的，应向其上级主管部门或纪检监察、司法等有关机关举报。</w:t>
      </w:r>
    </w:p>
    <w:p w14:paraId="4F60F6C5">
      <w:pPr>
        <w:pStyle w:val="66"/>
        <w:snapToGrid w:val="0"/>
        <w:spacing w:before="0" w:beforeAutospacing="0" w:after="0" w:afterAutospacing="0" w:line="360" w:lineRule="auto"/>
        <w:jc w:val="both"/>
        <w:textAlignment w:val="baseline"/>
        <w:outlineLvl w:val="0"/>
        <w:rPr>
          <w:rFonts w:hint="eastAsia" w:ascii="宋体" w:hAnsi="宋体" w:eastAsia="宋体" w:cs="宋体"/>
          <w:b/>
          <w:i w:val="0"/>
          <w:caps w:val="0"/>
          <w:color w:val="auto"/>
          <w:spacing w:val="0"/>
          <w:w w:val="100"/>
          <w:sz w:val="24"/>
          <w:szCs w:val="24"/>
          <w:highlight w:val="none"/>
        </w:rPr>
      </w:pPr>
      <w:bookmarkStart w:id="1189" w:name="_Toc22012"/>
      <w:bookmarkStart w:id="1190" w:name="_Toc3048"/>
      <w:bookmarkStart w:id="1191" w:name="_Toc27255"/>
      <w:bookmarkStart w:id="1192" w:name="_Toc15159"/>
      <w:r>
        <w:rPr>
          <w:rFonts w:hint="eastAsia" w:ascii="宋体" w:hAnsi="宋体" w:eastAsia="宋体" w:cs="宋体"/>
          <w:b/>
          <w:i w:val="0"/>
          <w:caps w:val="0"/>
          <w:color w:val="auto"/>
          <w:spacing w:val="0"/>
          <w:w w:val="100"/>
          <w:sz w:val="24"/>
          <w:szCs w:val="24"/>
          <w:highlight w:val="none"/>
        </w:rPr>
        <w:t>二、发包人责任</w:t>
      </w:r>
      <w:bookmarkEnd w:id="1189"/>
      <w:bookmarkEnd w:id="1190"/>
      <w:bookmarkEnd w:id="1191"/>
      <w:bookmarkEnd w:id="1192"/>
    </w:p>
    <w:p w14:paraId="03478D66">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发包人的领导和从事该建设工程项目的工作人员，在工程建设的事前、事中、事后应遵守以下规定：</w:t>
      </w:r>
    </w:p>
    <w:p w14:paraId="0CFEF52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2.1不得向承包人和相关单位索要或接受回扣、礼金、有价证券、贵重物品和好处费、感谢费等。</w:t>
      </w:r>
    </w:p>
    <w:p w14:paraId="4DCF90FF">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2.2 不得在承包人和相关单位报销任何应由发包人或个人支付的费用。</w:t>
      </w:r>
    </w:p>
    <w:p w14:paraId="256AD55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2.3 不得要求、暗示或接受承包人和相关单位为个人装修住房、婚丧嫁娶、配偶子女的工作安排以及出国（境）、旅游等提供方便。</w:t>
      </w:r>
    </w:p>
    <w:p w14:paraId="5DC42000">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2.4 不得参加有可能影响公正执行公务的承包人和相关单位的宴请、健身、娱乐等活动。</w:t>
      </w:r>
    </w:p>
    <w:p w14:paraId="3B4E1490">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2.5 不得向承包人和相关单位介绍或为配偶、子女、亲属参与同发包人工程建设管理合同有关的业务活动；不得以任何理由要求承包人和相关单位使用某种产品、材料和设备。</w:t>
      </w:r>
    </w:p>
    <w:p w14:paraId="385D4257">
      <w:pPr>
        <w:pStyle w:val="66"/>
        <w:snapToGrid w:val="0"/>
        <w:spacing w:before="0" w:beforeAutospacing="0" w:after="0" w:afterAutospacing="0" w:line="360" w:lineRule="auto"/>
        <w:jc w:val="both"/>
        <w:textAlignment w:val="baseline"/>
        <w:outlineLvl w:val="0"/>
        <w:rPr>
          <w:rFonts w:hint="eastAsia" w:ascii="宋体" w:hAnsi="宋体" w:eastAsia="宋体" w:cs="宋体"/>
          <w:b/>
          <w:i w:val="0"/>
          <w:caps w:val="0"/>
          <w:color w:val="auto"/>
          <w:spacing w:val="0"/>
          <w:w w:val="100"/>
          <w:sz w:val="24"/>
          <w:szCs w:val="24"/>
          <w:highlight w:val="none"/>
        </w:rPr>
      </w:pPr>
      <w:bookmarkStart w:id="1193" w:name="_Toc30310"/>
      <w:bookmarkStart w:id="1194" w:name="_Toc11889"/>
      <w:bookmarkStart w:id="1195" w:name="_Toc3314"/>
      <w:bookmarkStart w:id="1196" w:name="_Toc4282"/>
      <w:r>
        <w:rPr>
          <w:rFonts w:hint="eastAsia" w:ascii="宋体" w:hAnsi="宋体" w:eastAsia="宋体" w:cs="宋体"/>
          <w:b/>
          <w:i w:val="0"/>
          <w:caps w:val="0"/>
          <w:color w:val="auto"/>
          <w:spacing w:val="0"/>
          <w:w w:val="100"/>
          <w:sz w:val="24"/>
          <w:szCs w:val="24"/>
          <w:highlight w:val="none"/>
        </w:rPr>
        <w:t>三、承包人责任</w:t>
      </w:r>
      <w:bookmarkEnd w:id="1193"/>
      <w:bookmarkEnd w:id="1194"/>
      <w:bookmarkEnd w:id="1195"/>
      <w:bookmarkEnd w:id="1196"/>
    </w:p>
    <w:p w14:paraId="0C640B66">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应与发包人保持正常的业务交往，按照有关法律法规和程序开展业务工作，严格执行工程建设的有关方针、政策，执行工程建设强制性标准，并遵守以下规定：</w:t>
      </w:r>
    </w:p>
    <w:p w14:paraId="09625215">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3.1 不得以任何理由向发包人及其工作人员索要、接受或赠送礼金、有价证券、贵重物品及回扣、好处费、感谢费等。</w:t>
      </w:r>
    </w:p>
    <w:p w14:paraId="20B16DC1">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3.2不得以任何理由为发包人和相关单位报销应由对方或个人支付的费用。</w:t>
      </w:r>
    </w:p>
    <w:p w14:paraId="31A5872C">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3.3不得接受或暗示为发包人、相关单位或个人装修住房、婚丧嫁娶、配偶子女的工作安排以及出国（境）、旅游等提供方便。</w:t>
      </w:r>
    </w:p>
    <w:p w14:paraId="67328AB4">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3.4不得以任何理由为发包人、相关单位或个人组织有可能影响公正执行公务的宴请、健身、娱乐等活动。</w:t>
      </w:r>
    </w:p>
    <w:p w14:paraId="3D8E5CA9">
      <w:pPr>
        <w:pStyle w:val="66"/>
        <w:snapToGrid w:val="0"/>
        <w:spacing w:before="0" w:beforeAutospacing="0" w:after="0" w:afterAutospacing="0" w:line="360" w:lineRule="auto"/>
        <w:jc w:val="both"/>
        <w:textAlignment w:val="baseline"/>
        <w:outlineLvl w:val="0"/>
        <w:rPr>
          <w:rFonts w:hint="eastAsia" w:ascii="宋体" w:hAnsi="宋体" w:eastAsia="宋体" w:cs="宋体"/>
          <w:b/>
          <w:i w:val="0"/>
          <w:caps w:val="0"/>
          <w:color w:val="auto"/>
          <w:spacing w:val="0"/>
          <w:w w:val="100"/>
          <w:sz w:val="24"/>
          <w:szCs w:val="24"/>
          <w:highlight w:val="none"/>
        </w:rPr>
      </w:pPr>
      <w:bookmarkStart w:id="1197" w:name="_Toc11200"/>
      <w:bookmarkStart w:id="1198" w:name="_Toc14586"/>
      <w:bookmarkStart w:id="1199" w:name="_Toc29371"/>
      <w:bookmarkStart w:id="1200" w:name="_Toc30972"/>
      <w:r>
        <w:rPr>
          <w:rFonts w:hint="eastAsia" w:ascii="宋体" w:hAnsi="宋体" w:eastAsia="宋体" w:cs="宋体"/>
          <w:b/>
          <w:i w:val="0"/>
          <w:caps w:val="0"/>
          <w:color w:val="auto"/>
          <w:spacing w:val="0"/>
          <w:w w:val="100"/>
          <w:sz w:val="24"/>
          <w:szCs w:val="24"/>
          <w:highlight w:val="none"/>
        </w:rPr>
        <w:t>四、违约责任</w:t>
      </w:r>
      <w:bookmarkEnd w:id="1197"/>
      <w:bookmarkEnd w:id="1198"/>
      <w:bookmarkEnd w:id="1199"/>
      <w:bookmarkEnd w:id="1200"/>
    </w:p>
    <w:p w14:paraId="32A55F9B">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4.1发包人工作人员有违反本责任书第一、二条责任行为的，依据有关法律、法规给予处理；涉嫌犯罪的，移交司法机关追究刑事责任；给承包人单位造成经济损失的，应予以赔偿。</w:t>
      </w:r>
    </w:p>
    <w:p w14:paraId="11FA1128">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4.2 承包人工作人员有违反本责任书第一、三条责任行为的，依据有关法律法规处理；涉嫌犯罪的，移交司法机关追究刑事责任；给发包人单位造成经济损失的，应予以赔偿。</w:t>
      </w:r>
    </w:p>
    <w:p w14:paraId="0982C0A0">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4.3 本责任书作为建设工程合同的组成部分，与建设工程合同具有同等法律效力。经双方签署后立即生效。</w:t>
      </w:r>
    </w:p>
    <w:p w14:paraId="25C2EDA4">
      <w:pPr>
        <w:pStyle w:val="66"/>
        <w:snapToGrid w:val="0"/>
        <w:spacing w:before="0" w:beforeAutospacing="0" w:after="0" w:afterAutospacing="0" w:line="360" w:lineRule="auto"/>
        <w:jc w:val="both"/>
        <w:textAlignment w:val="baseline"/>
        <w:outlineLvl w:val="0"/>
        <w:rPr>
          <w:rFonts w:hint="eastAsia" w:ascii="宋体" w:hAnsi="宋体" w:eastAsia="宋体" w:cs="宋体"/>
          <w:b/>
          <w:i w:val="0"/>
          <w:caps w:val="0"/>
          <w:color w:val="auto"/>
          <w:spacing w:val="0"/>
          <w:w w:val="100"/>
          <w:sz w:val="24"/>
          <w:szCs w:val="24"/>
          <w:highlight w:val="none"/>
        </w:rPr>
      </w:pPr>
      <w:bookmarkStart w:id="1201" w:name="_Toc30668"/>
      <w:bookmarkStart w:id="1202" w:name="_Toc15448"/>
      <w:bookmarkStart w:id="1203" w:name="_Toc22312"/>
      <w:bookmarkStart w:id="1204" w:name="_Toc8327"/>
      <w:r>
        <w:rPr>
          <w:rFonts w:hint="eastAsia" w:ascii="宋体" w:hAnsi="宋体" w:eastAsia="宋体" w:cs="宋体"/>
          <w:b/>
          <w:i w:val="0"/>
          <w:caps w:val="0"/>
          <w:color w:val="auto"/>
          <w:spacing w:val="0"/>
          <w:w w:val="100"/>
          <w:sz w:val="21"/>
          <w:szCs w:val="21"/>
          <w:highlight w:val="none"/>
        </w:rPr>
        <w:t>五、</w:t>
      </w:r>
      <w:r>
        <w:rPr>
          <w:rFonts w:hint="eastAsia" w:ascii="宋体" w:hAnsi="宋体" w:eastAsia="宋体" w:cs="宋体"/>
          <w:b/>
          <w:i w:val="0"/>
          <w:caps w:val="0"/>
          <w:color w:val="auto"/>
          <w:spacing w:val="0"/>
          <w:w w:val="100"/>
          <w:sz w:val="24"/>
          <w:szCs w:val="24"/>
          <w:highlight w:val="none"/>
        </w:rPr>
        <w:t>责任书有效期</w:t>
      </w:r>
      <w:bookmarkEnd w:id="1201"/>
      <w:bookmarkEnd w:id="1202"/>
      <w:bookmarkEnd w:id="1203"/>
      <w:bookmarkEnd w:id="1204"/>
    </w:p>
    <w:p w14:paraId="0969C003">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本责任书的有效期为双方签署之日起至该工程项目竣工验收合格时止。</w:t>
      </w:r>
    </w:p>
    <w:p w14:paraId="20D65D2E">
      <w:pPr>
        <w:pStyle w:val="66"/>
        <w:snapToGrid w:val="0"/>
        <w:spacing w:before="0" w:beforeAutospacing="0" w:after="0" w:afterAutospacing="0" w:line="360" w:lineRule="auto"/>
        <w:jc w:val="both"/>
        <w:textAlignment w:val="baseline"/>
        <w:outlineLvl w:val="0"/>
        <w:rPr>
          <w:rFonts w:hint="eastAsia" w:ascii="宋体" w:hAnsi="宋体" w:eastAsia="宋体" w:cs="宋体"/>
          <w:b/>
          <w:i w:val="0"/>
          <w:caps w:val="0"/>
          <w:color w:val="auto"/>
          <w:spacing w:val="0"/>
          <w:w w:val="100"/>
          <w:sz w:val="24"/>
          <w:szCs w:val="24"/>
          <w:highlight w:val="none"/>
        </w:rPr>
      </w:pPr>
      <w:bookmarkStart w:id="1205" w:name="_Toc31657"/>
      <w:bookmarkStart w:id="1206" w:name="_Toc11506"/>
      <w:bookmarkStart w:id="1207" w:name="_Toc5767"/>
      <w:bookmarkStart w:id="1208" w:name="_Toc21858"/>
      <w:r>
        <w:rPr>
          <w:rFonts w:hint="eastAsia" w:ascii="宋体" w:hAnsi="宋体" w:eastAsia="宋体" w:cs="宋体"/>
          <w:b/>
          <w:i w:val="0"/>
          <w:caps w:val="0"/>
          <w:color w:val="auto"/>
          <w:spacing w:val="0"/>
          <w:w w:val="100"/>
          <w:sz w:val="24"/>
          <w:szCs w:val="24"/>
          <w:highlight w:val="none"/>
        </w:rPr>
        <w:t>六、责任书份数</w:t>
      </w:r>
      <w:bookmarkEnd w:id="1205"/>
      <w:bookmarkEnd w:id="1206"/>
      <w:bookmarkEnd w:id="1207"/>
      <w:bookmarkEnd w:id="1208"/>
    </w:p>
    <w:p w14:paraId="6F434413">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本责任书一式二份，发包人承包人各执一份，具有同等效力。</w:t>
      </w:r>
    </w:p>
    <w:p w14:paraId="205B812E">
      <w:pPr>
        <w:pStyle w:val="66"/>
        <w:snapToGrid w:val="0"/>
        <w:spacing w:before="0" w:beforeAutospacing="0" w:after="0" w:afterAutospacing="0" w:line="360" w:lineRule="auto"/>
        <w:ind w:firstLine="570"/>
        <w:jc w:val="both"/>
        <w:textAlignment w:val="baseline"/>
        <w:rPr>
          <w:rFonts w:hint="eastAsia" w:ascii="宋体" w:hAnsi="宋体" w:eastAsia="宋体" w:cs="宋体"/>
          <w:b w:val="0"/>
          <w:i w:val="0"/>
          <w:caps w:val="0"/>
          <w:color w:val="auto"/>
          <w:spacing w:val="0"/>
          <w:w w:val="100"/>
          <w:sz w:val="24"/>
          <w:szCs w:val="24"/>
          <w:highlight w:val="none"/>
        </w:rPr>
      </w:pPr>
    </w:p>
    <w:p w14:paraId="37027F9B">
      <w:pPr>
        <w:pStyle w:val="66"/>
        <w:snapToGrid w:val="0"/>
        <w:spacing w:before="0" w:beforeAutospacing="0" w:after="0" w:afterAutospacing="0" w:line="360" w:lineRule="auto"/>
        <w:ind w:firstLine="570"/>
        <w:jc w:val="both"/>
        <w:textAlignment w:val="baseline"/>
        <w:rPr>
          <w:rFonts w:hint="eastAsia" w:ascii="宋体" w:hAnsi="宋体" w:eastAsia="宋体" w:cs="宋体"/>
          <w:b w:val="0"/>
          <w:i w:val="0"/>
          <w:caps w:val="0"/>
          <w:color w:val="auto"/>
          <w:spacing w:val="0"/>
          <w:w w:val="100"/>
          <w:sz w:val="24"/>
          <w:szCs w:val="24"/>
          <w:highlight w:val="none"/>
        </w:rPr>
      </w:pPr>
    </w:p>
    <w:p w14:paraId="1198692A">
      <w:pPr>
        <w:pStyle w:val="66"/>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发包人：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（公章）</w:t>
      </w:r>
      <w:r>
        <w:rPr>
          <w:rFonts w:hint="eastAsia" w:ascii="宋体" w:hAnsi="宋体" w:eastAsia="宋体" w:cs="宋体"/>
          <w:b w:val="0"/>
          <w:i w:val="0"/>
          <w:caps w:val="0"/>
          <w:color w:val="auto"/>
          <w:spacing w:val="0"/>
          <w:w w:val="100"/>
          <w:sz w:val="24"/>
          <w:szCs w:val="24"/>
          <w:highlight w:val="none"/>
        </w:rPr>
        <w:tab/>
      </w:r>
      <w:r>
        <w:rPr>
          <w:rFonts w:hint="eastAsia" w:ascii="宋体" w:hAnsi="宋体" w:eastAsia="宋体" w:cs="宋体"/>
          <w:b w:val="0"/>
          <w:i w:val="0"/>
          <w:caps w:val="0"/>
          <w:color w:val="auto"/>
          <w:spacing w:val="0"/>
          <w:w w:val="100"/>
          <w:sz w:val="24"/>
          <w:szCs w:val="24"/>
          <w:highlight w:val="none"/>
        </w:rPr>
        <w:t xml:space="preserve"> 承包人：</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（公章） </w:t>
      </w:r>
    </w:p>
    <w:p w14:paraId="211573EE">
      <w:pPr>
        <w:pStyle w:val="66"/>
        <w:tabs>
          <w:tab w:val="left" w:pos="4335"/>
        </w:tabs>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法定地址：</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ab/>
      </w:r>
      <w:r>
        <w:rPr>
          <w:rFonts w:hint="eastAsia" w:ascii="宋体" w:hAnsi="宋体" w:eastAsia="宋体" w:cs="宋体"/>
          <w:b w:val="0"/>
          <w:i w:val="0"/>
          <w:caps w:val="0"/>
          <w:color w:val="auto"/>
          <w:spacing w:val="0"/>
          <w:w w:val="100"/>
          <w:sz w:val="24"/>
          <w:szCs w:val="24"/>
          <w:highlight w:val="none"/>
        </w:rPr>
        <w:t>法定地址：</w:t>
      </w:r>
      <w:r>
        <w:rPr>
          <w:rFonts w:hint="eastAsia" w:ascii="宋体" w:hAnsi="宋体" w:eastAsia="宋体" w:cs="宋体"/>
          <w:b w:val="0"/>
          <w:i w:val="0"/>
          <w:caps w:val="0"/>
          <w:color w:val="auto"/>
          <w:spacing w:val="0"/>
          <w:w w:val="100"/>
          <w:sz w:val="24"/>
          <w:szCs w:val="24"/>
          <w:highlight w:val="none"/>
          <w:u w:val="single" w:color="000000"/>
        </w:rPr>
        <w:t xml:space="preserve">                </w:t>
      </w:r>
    </w:p>
    <w:p w14:paraId="48675EE3">
      <w:pPr>
        <w:pStyle w:val="66"/>
        <w:tabs>
          <w:tab w:val="left" w:pos="4275"/>
        </w:tabs>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法定代表人或其委托代理人：（签字）   法定代表人或其委托代理人：（签字）</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w:t>
      </w:r>
      <w:r>
        <w:rPr>
          <w:rFonts w:hint="eastAsia" w:ascii="宋体" w:hAnsi="宋体" w:eastAsia="宋体" w:cs="宋体"/>
          <w:b w:val="0"/>
          <w:i w:val="0"/>
          <w:caps w:val="0"/>
          <w:color w:val="auto"/>
          <w:spacing w:val="0"/>
          <w:w w:val="100"/>
          <w:sz w:val="24"/>
          <w:szCs w:val="24"/>
          <w:highlight w:val="none"/>
          <w:u w:val="single" w:color="000000"/>
        </w:rPr>
        <w:t xml:space="preserve">            </w:t>
      </w:r>
    </w:p>
    <w:p w14:paraId="076DAA29">
      <w:pPr>
        <w:pStyle w:val="66"/>
        <w:tabs>
          <w:tab w:val="left" w:pos="4335"/>
        </w:tabs>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电话：</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ab/>
      </w:r>
      <w:r>
        <w:rPr>
          <w:rFonts w:hint="eastAsia" w:ascii="宋体" w:hAnsi="宋体" w:eastAsia="宋体" w:cs="宋体"/>
          <w:b w:val="0"/>
          <w:i w:val="0"/>
          <w:caps w:val="0"/>
          <w:color w:val="auto"/>
          <w:spacing w:val="0"/>
          <w:w w:val="100"/>
          <w:sz w:val="24"/>
          <w:szCs w:val="24"/>
          <w:highlight w:val="none"/>
        </w:rPr>
        <w:t xml:space="preserve">     电话：</w:t>
      </w:r>
      <w:r>
        <w:rPr>
          <w:rFonts w:hint="eastAsia" w:ascii="宋体" w:hAnsi="宋体" w:eastAsia="宋体" w:cs="宋体"/>
          <w:b w:val="0"/>
          <w:i w:val="0"/>
          <w:caps w:val="0"/>
          <w:strike/>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 xml:space="preserve">                    </w:t>
      </w:r>
    </w:p>
    <w:p w14:paraId="6BF2A2C2">
      <w:pPr>
        <w:pStyle w:val="66"/>
        <w:tabs>
          <w:tab w:val="left" w:pos="4335"/>
        </w:tabs>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strike/>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传真：</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ab/>
      </w:r>
      <w:r>
        <w:rPr>
          <w:rFonts w:hint="eastAsia" w:ascii="宋体" w:hAnsi="宋体" w:eastAsia="宋体" w:cs="宋体"/>
          <w:b w:val="0"/>
          <w:i w:val="0"/>
          <w:caps w:val="0"/>
          <w:color w:val="auto"/>
          <w:spacing w:val="0"/>
          <w:w w:val="100"/>
          <w:sz w:val="24"/>
          <w:szCs w:val="24"/>
          <w:highlight w:val="none"/>
        </w:rPr>
        <w:t xml:space="preserve">     传真：</w:t>
      </w:r>
      <w:r>
        <w:rPr>
          <w:rFonts w:hint="eastAsia" w:ascii="宋体" w:hAnsi="宋体" w:eastAsia="宋体" w:cs="宋体"/>
          <w:b w:val="0"/>
          <w:i w:val="0"/>
          <w:caps w:val="0"/>
          <w:strike/>
          <w:color w:val="auto"/>
          <w:spacing w:val="0"/>
          <w:w w:val="100"/>
          <w:sz w:val="24"/>
          <w:szCs w:val="24"/>
          <w:highlight w:val="none"/>
          <w:u w:val="single" w:color="000000"/>
        </w:rPr>
        <w:t xml:space="preserve">                    </w:t>
      </w:r>
    </w:p>
    <w:p w14:paraId="72BCE2CE">
      <w:pPr>
        <w:pStyle w:val="66"/>
        <w:tabs>
          <w:tab w:val="left" w:pos="4700"/>
        </w:tabs>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strike/>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电子邮箱：</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电子邮箱：</w:t>
      </w:r>
      <w:r>
        <w:rPr>
          <w:rFonts w:hint="eastAsia" w:ascii="宋体" w:hAnsi="宋体" w:eastAsia="宋体" w:cs="宋体"/>
          <w:b w:val="0"/>
          <w:i w:val="0"/>
          <w:caps w:val="0"/>
          <w:strike/>
          <w:color w:val="auto"/>
          <w:spacing w:val="0"/>
          <w:w w:val="100"/>
          <w:sz w:val="24"/>
          <w:szCs w:val="24"/>
          <w:highlight w:val="none"/>
          <w:u w:val="single" w:color="000000"/>
        </w:rPr>
        <w:t xml:space="preserve">                </w:t>
      </w:r>
    </w:p>
    <w:p w14:paraId="5E13CB39">
      <w:pPr>
        <w:pStyle w:val="66"/>
        <w:tabs>
          <w:tab w:val="left" w:pos="4335"/>
        </w:tabs>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strike/>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开户银行：</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ab/>
      </w:r>
      <w:r>
        <w:rPr>
          <w:rFonts w:hint="eastAsia" w:ascii="宋体" w:hAnsi="宋体" w:eastAsia="宋体" w:cs="宋体"/>
          <w:b w:val="0"/>
          <w:i w:val="0"/>
          <w:caps w:val="0"/>
          <w:color w:val="auto"/>
          <w:spacing w:val="0"/>
          <w:w w:val="100"/>
          <w:sz w:val="24"/>
          <w:szCs w:val="24"/>
          <w:highlight w:val="none"/>
        </w:rPr>
        <w:t xml:space="preserve">     开户银行：</w:t>
      </w:r>
      <w:r>
        <w:rPr>
          <w:rFonts w:hint="eastAsia" w:ascii="宋体" w:hAnsi="宋体" w:eastAsia="宋体" w:cs="宋体"/>
          <w:b w:val="0"/>
          <w:i w:val="0"/>
          <w:caps w:val="0"/>
          <w:strike/>
          <w:color w:val="auto"/>
          <w:spacing w:val="0"/>
          <w:w w:val="100"/>
          <w:sz w:val="24"/>
          <w:szCs w:val="24"/>
          <w:highlight w:val="none"/>
          <w:u w:val="single" w:color="000000"/>
        </w:rPr>
        <w:t xml:space="preserve">                </w:t>
      </w:r>
    </w:p>
    <w:p w14:paraId="32CC6DA1">
      <w:pPr>
        <w:pStyle w:val="66"/>
        <w:tabs>
          <w:tab w:val="left" w:pos="4335"/>
        </w:tabs>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帐号：</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ab/>
      </w:r>
      <w:r>
        <w:rPr>
          <w:rFonts w:hint="eastAsia" w:ascii="宋体" w:hAnsi="宋体" w:eastAsia="宋体" w:cs="宋体"/>
          <w:b w:val="0"/>
          <w:i w:val="0"/>
          <w:caps w:val="0"/>
          <w:color w:val="auto"/>
          <w:spacing w:val="0"/>
          <w:w w:val="100"/>
          <w:sz w:val="24"/>
          <w:szCs w:val="24"/>
          <w:highlight w:val="none"/>
        </w:rPr>
        <w:t xml:space="preserve">     帐号：</w:t>
      </w:r>
      <w:r>
        <w:rPr>
          <w:rFonts w:hint="eastAsia" w:ascii="宋体" w:hAnsi="宋体" w:eastAsia="宋体" w:cs="宋体"/>
          <w:b w:val="0"/>
          <w:i w:val="0"/>
          <w:caps w:val="0"/>
          <w:strike/>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u w:val="single" w:color="000000"/>
        </w:rPr>
        <w:t xml:space="preserve">     </w:t>
      </w:r>
    </w:p>
    <w:p w14:paraId="19E32C9D">
      <w:pPr>
        <w:pStyle w:val="74"/>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strike/>
          <w:color w:val="auto"/>
          <w:spacing w:val="0"/>
          <w:w w:val="100"/>
          <w:sz w:val="24"/>
          <w:szCs w:val="24"/>
          <w:highlight w:val="none"/>
          <w:u w:val="single" w:color="000000"/>
        </w:rPr>
      </w:pPr>
      <w:r>
        <w:rPr>
          <w:rFonts w:hint="eastAsia" w:ascii="宋体" w:hAnsi="宋体" w:eastAsia="宋体" w:cs="宋体"/>
          <w:b w:val="0"/>
          <w:i w:val="0"/>
          <w:caps w:val="0"/>
          <w:color w:val="auto"/>
          <w:spacing w:val="0"/>
          <w:w w:val="100"/>
          <w:sz w:val="24"/>
          <w:szCs w:val="24"/>
          <w:highlight w:val="none"/>
        </w:rPr>
        <w:t>邮政编码：</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 xml:space="preserve">         邮政编码：</w:t>
      </w:r>
      <w:r>
        <w:rPr>
          <w:rFonts w:hint="eastAsia" w:ascii="宋体" w:hAnsi="宋体" w:eastAsia="宋体" w:cs="宋体"/>
          <w:b w:val="0"/>
          <w:i w:val="0"/>
          <w:caps w:val="0"/>
          <w:strike/>
          <w:color w:val="auto"/>
          <w:spacing w:val="0"/>
          <w:w w:val="100"/>
          <w:sz w:val="24"/>
          <w:szCs w:val="24"/>
          <w:highlight w:val="none"/>
          <w:u w:val="single" w:color="000000"/>
        </w:rPr>
        <w:t xml:space="preserve">                 </w:t>
      </w:r>
    </w:p>
    <w:p w14:paraId="286EAE06">
      <w:pPr>
        <w:pStyle w:val="74"/>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u w:val="single" w:color="000000"/>
        </w:rPr>
      </w:pPr>
    </w:p>
    <w:p w14:paraId="5FD90B24">
      <w:pPr>
        <w:pStyle w:val="74"/>
        <w:snapToGrid w:val="0"/>
        <w:spacing w:before="0" w:beforeAutospacing="0" w:after="0" w:afterAutospacing="0" w:line="360" w:lineRule="auto"/>
        <w:ind w:firstLine="480" w:firstLineChars="200"/>
        <w:jc w:val="both"/>
        <w:textAlignment w:val="baseline"/>
        <w:rPr>
          <w:rFonts w:hint="eastAsia" w:ascii="宋体" w:hAnsi="宋体" w:eastAsia="宋体" w:cs="宋体"/>
          <w:b w:val="0"/>
          <w:i w:val="0"/>
          <w:caps w:val="0"/>
          <w:color w:val="auto"/>
          <w:spacing w:val="0"/>
          <w:w w:val="100"/>
          <w:sz w:val="24"/>
          <w:szCs w:val="24"/>
          <w:highlight w:val="none"/>
          <w:u w:val="single" w:color="000000"/>
        </w:rPr>
      </w:pPr>
    </w:p>
    <w:p w14:paraId="202625D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 xml:space="preserve">  </w:t>
      </w:r>
    </w:p>
    <w:p w14:paraId="1AEF62B9">
      <w:pPr>
        <w:snapToGrid w:val="0"/>
        <w:spacing w:before="0" w:beforeAutospacing="0" w:after="0" w:afterAutospacing="0" w:line="480" w:lineRule="auto"/>
        <w:textAlignment w:val="baseline"/>
        <w:rPr>
          <w:rFonts w:hint="eastAsia" w:ascii="宋体" w:hAnsi="宋体" w:eastAsia="宋体" w:cs="宋体"/>
          <w:b w:val="0"/>
          <w:i w:val="0"/>
          <w:caps w:val="0"/>
          <w:color w:val="auto"/>
          <w:spacing w:val="0"/>
          <w:w w:val="100"/>
          <w:kern w:val="0"/>
          <w:sz w:val="20"/>
          <w:highlight w:val="none"/>
          <w:lang w:val="zh-CN"/>
        </w:rPr>
      </w:pPr>
    </w:p>
    <w:p w14:paraId="3833C90B">
      <w:pPr>
        <w:snapToGrid w:val="0"/>
        <w:spacing w:before="0" w:beforeAutospacing="0" w:after="0" w:afterAutospacing="0" w:line="48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kern w:val="0"/>
          <w:sz w:val="24"/>
          <w:highlight w:val="none"/>
          <w:lang w:val="zh-CN"/>
        </w:rPr>
        <w:t xml:space="preserve">                 </w:t>
      </w:r>
    </w:p>
    <w:p w14:paraId="2F11489E">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lang w:val="zh-CN"/>
        </w:rPr>
      </w:pPr>
    </w:p>
    <w:p w14:paraId="699E25DE">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lang w:val="zh-CN"/>
        </w:rPr>
      </w:pPr>
    </w:p>
    <w:p w14:paraId="62E7E82A">
      <w:pPr>
        <w:pStyle w:val="9"/>
        <w:snapToGrid w:val="0"/>
        <w:spacing w:before="0" w:beforeAutospacing="0" w:after="120" w:afterAutospacing="0" w:line="360" w:lineRule="auto"/>
        <w:jc w:val="both"/>
        <w:textAlignment w:val="baseline"/>
        <w:rPr>
          <w:rFonts w:hint="eastAsia" w:ascii="宋体" w:hAnsi="宋体" w:eastAsia="宋体" w:cs="宋体"/>
          <w:b w:val="0"/>
          <w:i w:val="0"/>
          <w:caps w:val="0"/>
          <w:color w:val="auto"/>
          <w:spacing w:val="0"/>
          <w:w w:val="100"/>
          <w:sz w:val="21"/>
          <w:highlight w:val="none"/>
          <w:lang w:eastAsia="zh-CN"/>
        </w:rPr>
      </w:pPr>
    </w:p>
    <w:p w14:paraId="75DC125C">
      <w:pPr>
        <w:pStyle w:val="3"/>
        <w:snapToGrid w:val="0"/>
        <w:spacing w:before="0" w:beforeAutospacing="0" w:after="0" w:afterAutospacing="0" w:line="360" w:lineRule="auto"/>
        <w:jc w:val="center"/>
        <w:textAlignment w:val="baseline"/>
        <w:outlineLvl w:val="9"/>
        <w:rPr>
          <w:rFonts w:hint="eastAsia" w:ascii="宋体" w:hAnsi="宋体" w:eastAsia="宋体" w:cs="宋体"/>
          <w:b w:val="0"/>
          <w:i w:val="0"/>
          <w:caps w:val="0"/>
          <w:color w:val="auto"/>
          <w:spacing w:val="0"/>
          <w:w w:val="100"/>
          <w:sz w:val="36"/>
          <w:szCs w:val="36"/>
          <w:highlight w:val="none"/>
        </w:rPr>
        <w:sectPr>
          <w:pgSz w:w="11905" w:h="16838"/>
          <w:pgMar w:top="1361" w:right="1361" w:bottom="1361" w:left="1361" w:header="850" w:footer="992" w:gutter="0"/>
          <w:pgBorders w:offsetFrom="page">
            <w:top w:val="single" w:color="A6A6A6" w:sz="18" w:space="24"/>
            <w:left w:val="single" w:color="A6A6A6" w:sz="18" w:space="24"/>
            <w:bottom w:val="single" w:color="A6A6A6" w:sz="18" w:space="24"/>
            <w:right w:val="single" w:color="A6A6A6" w:sz="18" w:space="24"/>
          </w:pgBorders>
          <w:pgNumType w:fmt="decimal"/>
          <w:cols w:space="0" w:num="1"/>
          <w:titlePg/>
          <w:rtlGutter w:val="0"/>
          <w:docGrid w:linePitch="312" w:charSpace="0"/>
        </w:sectPr>
      </w:pPr>
    </w:p>
    <w:p w14:paraId="69965792">
      <w:pPr>
        <w:pStyle w:val="2"/>
        <w:keepNext/>
        <w:keepLines/>
        <w:pageBreakBefore w:val="0"/>
        <w:widowControl/>
        <w:kinsoku/>
        <w:wordWrap/>
        <w:overflowPunct/>
        <w:topLinePunct w:val="0"/>
        <w:autoSpaceDE/>
        <w:autoSpaceDN/>
        <w:bidi w:val="0"/>
        <w:adjustRightInd w:val="0"/>
        <w:snapToGrid w:val="0"/>
        <w:spacing w:before="0" w:after="0" w:line="360" w:lineRule="auto"/>
        <w:jc w:val="center"/>
        <w:textAlignment w:val="auto"/>
        <w:rPr>
          <w:rFonts w:hint="eastAsia"/>
          <w:color w:val="auto"/>
        </w:rPr>
      </w:pPr>
      <w:bookmarkStart w:id="1209" w:name="_Toc26546"/>
      <w:bookmarkStart w:id="1210" w:name="_Toc15714"/>
      <w:bookmarkStart w:id="1211" w:name="_Toc28787"/>
      <w:bookmarkStart w:id="1212" w:name="_Toc23767"/>
      <w:r>
        <w:rPr>
          <w:rFonts w:hint="eastAsia"/>
          <w:color w:val="auto"/>
        </w:rPr>
        <w:t>第五章  磋商响应文件格式</w:t>
      </w:r>
      <w:bookmarkEnd w:id="1209"/>
      <w:bookmarkEnd w:id="1210"/>
      <w:bookmarkEnd w:id="1211"/>
      <w:bookmarkEnd w:id="1212"/>
    </w:p>
    <w:p w14:paraId="5710650B">
      <w:pPr>
        <w:snapToGrid w:val="0"/>
        <w:spacing w:before="0" w:beforeAutospacing="0" w:after="0" w:afterAutospacing="0" w:line="360" w:lineRule="auto"/>
        <w:ind w:firstLine="537" w:firstLineChars="224"/>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磋商人应严格按照本格式要求编制磋商响应文件，胶装成册并编制相应页码，否则其磋商响应文件将不予接受。</w:t>
      </w:r>
    </w:p>
    <w:p w14:paraId="71F67079">
      <w:pPr>
        <w:snapToGrid w:val="0"/>
        <w:spacing w:before="0" w:beforeAutospacing="0" w:after="0" w:afterAutospacing="0" w:line="240" w:lineRule="auto"/>
        <w:textAlignment w:val="baseline"/>
        <w:rPr>
          <w:rFonts w:hint="eastAsia" w:ascii="宋体" w:hAnsi="宋体" w:eastAsia="宋体" w:cs="宋体"/>
          <w:b w:val="0"/>
          <w:i w:val="0"/>
          <w:caps w:val="0"/>
          <w:color w:val="auto"/>
          <w:spacing w:val="0"/>
          <w:w w:val="100"/>
          <w:kern w:val="2"/>
          <w:sz w:val="20"/>
          <w:szCs w:val="20"/>
          <w:highlight w:val="none"/>
        </w:rPr>
      </w:pPr>
      <w:r>
        <w:rPr>
          <w:rFonts w:hint="eastAsia" w:ascii="宋体" w:hAnsi="宋体" w:eastAsia="宋体" w:cs="宋体"/>
          <w:b w:val="0"/>
          <w:i w:val="0"/>
          <w:caps w:val="0"/>
          <w:color w:val="auto"/>
          <w:spacing w:val="0"/>
          <w:w w:val="100"/>
          <w:kern w:val="2"/>
          <w:sz w:val="24"/>
          <w:szCs w:val="20"/>
          <w:highlight w:val="none"/>
        </w:rPr>
        <w:br w:type="page"/>
      </w:r>
    </w:p>
    <w:p w14:paraId="5A3E0F95">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0"/>
          <w:highlight w:val="none"/>
        </w:rPr>
      </w:pPr>
    </w:p>
    <w:p w14:paraId="3E867B56">
      <w:pPr>
        <w:snapToGrid w:val="0"/>
        <w:spacing w:before="0" w:beforeAutospacing="0" w:after="0" w:afterAutospacing="0" w:line="360" w:lineRule="auto"/>
        <w:jc w:val="center"/>
        <w:textAlignment w:val="baseline"/>
        <w:outlineLvl w:val="1"/>
        <w:rPr>
          <w:rFonts w:hint="eastAsia" w:ascii="宋体" w:hAnsi="宋体" w:eastAsia="宋体" w:cs="宋体"/>
          <w:b/>
          <w:i w:val="0"/>
          <w:caps w:val="0"/>
          <w:color w:val="auto"/>
          <w:spacing w:val="0"/>
          <w:w w:val="100"/>
          <w:sz w:val="96"/>
          <w:highlight w:val="none"/>
        </w:rPr>
      </w:pPr>
      <w:bookmarkStart w:id="1213" w:name="_Toc21417"/>
      <w:r>
        <w:rPr>
          <w:rFonts w:hint="eastAsia" w:ascii="宋体" w:hAnsi="宋体" w:eastAsia="宋体" w:cs="宋体"/>
          <w:b/>
          <w:i w:val="0"/>
          <w:caps w:val="0"/>
          <w:color w:val="auto"/>
          <w:spacing w:val="0"/>
          <w:w w:val="100"/>
          <w:sz w:val="72"/>
          <w:highlight w:val="none"/>
        </w:rPr>
        <w:t>青海省政府采购项目</w:t>
      </w:r>
      <w:bookmarkEnd w:id="1213"/>
    </w:p>
    <w:p w14:paraId="110FACC7">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48"/>
          <w:highlight w:val="none"/>
        </w:rPr>
      </w:pPr>
    </w:p>
    <w:p w14:paraId="648C65E7">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48"/>
          <w:highlight w:val="none"/>
        </w:rPr>
      </w:pPr>
    </w:p>
    <w:p w14:paraId="75D1CCCD">
      <w:pPr>
        <w:snapToGrid w:val="0"/>
        <w:spacing w:before="0" w:beforeAutospacing="0" w:after="0" w:afterAutospacing="0" w:line="360" w:lineRule="auto"/>
        <w:jc w:val="center"/>
        <w:textAlignment w:val="baseline"/>
        <w:outlineLvl w:val="1"/>
        <w:rPr>
          <w:rFonts w:hint="eastAsia" w:ascii="宋体" w:hAnsi="宋体" w:eastAsia="宋体" w:cs="宋体"/>
          <w:b/>
          <w:i w:val="0"/>
          <w:caps w:val="0"/>
          <w:color w:val="auto"/>
          <w:spacing w:val="0"/>
          <w:w w:val="100"/>
          <w:sz w:val="56"/>
          <w:highlight w:val="none"/>
        </w:rPr>
      </w:pPr>
      <w:bookmarkStart w:id="1214" w:name="_Toc6140"/>
      <w:r>
        <w:rPr>
          <w:rFonts w:hint="eastAsia" w:ascii="宋体" w:hAnsi="宋体" w:eastAsia="宋体" w:cs="宋体"/>
          <w:b/>
          <w:i w:val="0"/>
          <w:caps w:val="0"/>
          <w:color w:val="auto"/>
          <w:spacing w:val="0"/>
          <w:w w:val="100"/>
          <w:sz w:val="52"/>
          <w:highlight w:val="none"/>
        </w:rPr>
        <w:t>磋商响应文件</w:t>
      </w:r>
      <w:bookmarkEnd w:id="1214"/>
    </w:p>
    <w:p w14:paraId="56260F02">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32"/>
          <w:highlight w:val="none"/>
        </w:rPr>
      </w:pPr>
    </w:p>
    <w:p w14:paraId="52E60858">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32"/>
          <w:highlight w:val="none"/>
        </w:rPr>
      </w:pPr>
    </w:p>
    <w:p w14:paraId="62D00DDF">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32"/>
          <w:highlight w:val="none"/>
        </w:rPr>
      </w:pPr>
    </w:p>
    <w:p w14:paraId="5A4C70C9">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32"/>
          <w:highlight w:val="none"/>
        </w:rPr>
      </w:pPr>
    </w:p>
    <w:p w14:paraId="7F092861">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32"/>
          <w:highlight w:val="none"/>
        </w:rPr>
      </w:pPr>
    </w:p>
    <w:p w14:paraId="0171C561">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32"/>
          <w:highlight w:val="none"/>
        </w:rPr>
      </w:pPr>
    </w:p>
    <w:p w14:paraId="398ACA66">
      <w:pPr>
        <w:snapToGrid w:val="0"/>
        <w:spacing w:before="0" w:beforeAutospacing="0" w:after="0" w:afterAutospacing="0" w:line="360" w:lineRule="auto"/>
        <w:ind w:firstLine="643" w:firstLineChars="200"/>
        <w:textAlignment w:val="baseline"/>
        <w:outlineLvl w:val="1"/>
        <w:rPr>
          <w:rFonts w:hint="eastAsia" w:ascii="宋体" w:hAnsi="宋体" w:eastAsia="宋体" w:cs="宋体"/>
          <w:b/>
          <w:bCs/>
          <w:i w:val="0"/>
          <w:caps w:val="0"/>
          <w:color w:val="auto"/>
          <w:spacing w:val="0"/>
          <w:w w:val="100"/>
          <w:sz w:val="32"/>
          <w:szCs w:val="32"/>
          <w:highlight w:val="none"/>
          <w:u w:val="single"/>
        </w:rPr>
      </w:pPr>
      <w:bookmarkStart w:id="1215" w:name="_Toc8083"/>
      <w:r>
        <w:rPr>
          <w:rFonts w:hint="eastAsia" w:ascii="宋体" w:hAnsi="宋体" w:eastAsia="宋体" w:cs="宋体"/>
          <w:b/>
          <w:bCs/>
          <w:i w:val="0"/>
          <w:caps w:val="0"/>
          <w:color w:val="auto"/>
          <w:spacing w:val="0"/>
          <w:w w:val="100"/>
          <w:sz w:val="32"/>
          <w:szCs w:val="32"/>
          <w:highlight w:val="none"/>
        </w:rPr>
        <w:t>采购</w:t>
      </w:r>
      <w:r>
        <w:rPr>
          <w:rFonts w:hint="eastAsia" w:ascii="宋体" w:hAnsi="宋体" w:cs="宋体"/>
          <w:b/>
          <w:bCs/>
          <w:i w:val="0"/>
          <w:caps w:val="0"/>
          <w:color w:val="auto"/>
          <w:spacing w:val="0"/>
          <w:w w:val="100"/>
          <w:sz w:val="32"/>
          <w:szCs w:val="32"/>
          <w:highlight w:val="none"/>
          <w:lang w:eastAsia="zh-CN"/>
        </w:rPr>
        <w:t>项目编号</w:t>
      </w:r>
      <w:r>
        <w:rPr>
          <w:rFonts w:hint="eastAsia" w:ascii="宋体" w:hAnsi="宋体" w:eastAsia="宋体" w:cs="宋体"/>
          <w:b w:val="0"/>
          <w:i w:val="0"/>
          <w:caps w:val="0"/>
          <w:color w:val="auto"/>
          <w:spacing w:val="0"/>
          <w:w w:val="100"/>
          <w:sz w:val="32"/>
          <w:szCs w:val="32"/>
          <w:highlight w:val="none"/>
        </w:rPr>
        <w:t>：</w:t>
      </w:r>
      <w:bookmarkEnd w:id="1215"/>
      <w:r>
        <w:rPr>
          <w:rFonts w:hint="eastAsia" w:ascii="宋体" w:hAnsi="宋体" w:eastAsia="宋体" w:cs="宋体"/>
          <w:b w:val="0"/>
          <w:i w:val="0"/>
          <w:caps w:val="0"/>
          <w:color w:val="auto"/>
          <w:spacing w:val="0"/>
          <w:w w:val="100"/>
          <w:sz w:val="32"/>
          <w:szCs w:val="32"/>
          <w:highlight w:val="none"/>
          <w:u w:val="single" w:color="000000"/>
        </w:rPr>
        <w:t xml:space="preserve"> </w:t>
      </w:r>
      <w:r>
        <w:rPr>
          <w:rFonts w:hint="eastAsia" w:ascii="宋体" w:hAnsi="宋体" w:eastAsia="宋体" w:cs="宋体"/>
          <w:b w:val="0"/>
          <w:i w:val="0"/>
          <w:caps w:val="0"/>
          <w:color w:val="auto"/>
          <w:spacing w:val="0"/>
          <w:w w:val="100"/>
          <w:sz w:val="32"/>
          <w:szCs w:val="32"/>
          <w:highlight w:val="none"/>
          <w:u w:val="single" w:color="000000"/>
          <w:lang w:val="en-US" w:eastAsia="zh-CN"/>
        </w:rPr>
        <w:t xml:space="preserve">                             </w:t>
      </w:r>
      <w:r>
        <w:rPr>
          <w:rFonts w:hint="eastAsia" w:ascii="宋体" w:hAnsi="宋体" w:eastAsia="宋体" w:cs="宋体"/>
          <w:b w:val="0"/>
          <w:i w:val="0"/>
          <w:caps w:val="0"/>
          <w:color w:val="auto"/>
          <w:spacing w:val="0"/>
          <w:w w:val="100"/>
          <w:sz w:val="32"/>
          <w:szCs w:val="32"/>
          <w:highlight w:val="none"/>
          <w:u w:val="single" w:color="000000"/>
        </w:rPr>
        <w:t xml:space="preserve">    </w:t>
      </w:r>
    </w:p>
    <w:p w14:paraId="257D1892">
      <w:pPr>
        <w:snapToGrid w:val="0"/>
        <w:spacing w:before="0" w:beforeAutospacing="0" w:after="0" w:afterAutospacing="0" w:line="360" w:lineRule="auto"/>
        <w:ind w:firstLine="643" w:firstLineChars="200"/>
        <w:textAlignment w:val="baseline"/>
        <w:outlineLvl w:val="1"/>
        <w:rPr>
          <w:rFonts w:hint="eastAsia"/>
          <w:b/>
          <w:bCs/>
          <w:color w:val="auto"/>
          <w:sz w:val="32"/>
          <w:szCs w:val="32"/>
        </w:rPr>
      </w:pPr>
      <w:bookmarkStart w:id="1216" w:name="_Toc28616"/>
      <w:bookmarkStart w:id="1217" w:name="_Toc10688"/>
      <w:r>
        <w:rPr>
          <w:rFonts w:hint="eastAsia"/>
          <w:b/>
          <w:bCs/>
          <w:color w:val="auto"/>
          <w:sz w:val="32"/>
          <w:szCs w:val="32"/>
        </w:rPr>
        <w:t>采购项目名称：</w:t>
      </w:r>
      <w:bookmarkEnd w:id="1216"/>
      <w:bookmarkEnd w:id="1217"/>
      <w:r>
        <w:rPr>
          <w:rFonts w:hint="eastAsia" w:ascii="宋体" w:hAnsi="宋体" w:eastAsia="宋体" w:cs="宋体"/>
          <w:b w:val="0"/>
          <w:i w:val="0"/>
          <w:caps w:val="0"/>
          <w:color w:val="auto"/>
          <w:spacing w:val="0"/>
          <w:w w:val="100"/>
          <w:sz w:val="32"/>
          <w:szCs w:val="32"/>
          <w:highlight w:val="none"/>
          <w:u w:val="single" w:color="000000"/>
        </w:rPr>
        <w:t xml:space="preserve"> </w:t>
      </w:r>
      <w:r>
        <w:rPr>
          <w:rFonts w:hint="eastAsia" w:ascii="宋体" w:hAnsi="宋体" w:eastAsia="宋体" w:cs="宋体"/>
          <w:b w:val="0"/>
          <w:i w:val="0"/>
          <w:caps w:val="0"/>
          <w:color w:val="auto"/>
          <w:spacing w:val="0"/>
          <w:w w:val="100"/>
          <w:sz w:val="32"/>
          <w:szCs w:val="32"/>
          <w:highlight w:val="none"/>
          <w:u w:val="single" w:color="000000"/>
          <w:lang w:val="en-US" w:eastAsia="zh-CN"/>
        </w:rPr>
        <w:t xml:space="preserve">                             </w:t>
      </w:r>
      <w:r>
        <w:rPr>
          <w:rFonts w:hint="eastAsia" w:ascii="宋体" w:hAnsi="宋体" w:eastAsia="宋体" w:cs="宋体"/>
          <w:b w:val="0"/>
          <w:i w:val="0"/>
          <w:caps w:val="0"/>
          <w:color w:val="auto"/>
          <w:spacing w:val="0"/>
          <w:w w:val="100"/>
          <w:sz w:val="32"/>
          <w:szCs w:val="32"/>
          <w:highlight w:val="none"/>
          <w:u w:val="single" w:color="000000"/>
        </w:rPr>
        <w:t xml:space="preserve">    </w:t>
      </w:r>
      <w:r>
        <w:rPr>
          <w:rFonts w:hint="eastAsia"/>
          <w:b/>
          <w:bCs/>
          <w:color w:val="auto"/>
          <w:sz w:val="32"/>
          <w:szCs w:val="32"/>
        </w:rPr>
        <w:t xml:space="preserve">      </w:t>
      </w:r>
      <w:r>
        <w:rPr>
          <w:rFonts w:hint="eastAsia"/>
          <w:b/>
          <w:bCs/>
          <w:color w:val="auto"/>
          <w:sz w:val="32"/>
          <w:szCs w:val="32"/>
          <w:lang w:val="en-US" w:eastAsia="zh-CN"/>
        </w:rPr>
        <w:t xml:space="preserve">     </w:t>
      </w:r>
      <w:r>
        <w:rPr>
          <w:rFonts w:hint="eastAsia"/>
          <w:b/>
          <w:bCs/>
          <w:color w:val="auto"/>
          <w:sz w:val="32"/>
          <w:szCs w:val="32"/>
        </w:rPr>
        <w:t xml:space="preserve">                       </w:t>
      </w:r>
    </w:p>
    <w:p w14:paraId="6598C948">
      <w:pPr>
        <w:bidi w:val="0"/>
        <w:ind w:firstLine="643" w:firstLineChars="200"/>
        <w:rPr>
          <w:rFonts w:hint="eastAsia"/>
          <w:b/>
          <w:bCs/>
          <w:color w:val="auto"/>
          <w:sz w:val="32"/>
          <w:szCs w:val="32"/>
        </w:rPr>
      </w:pPr>
      <w:bookmarkStart w:id="1218" w:name="_Toc23591"/>
      <w:bookmarkStart w:id="1219" w:name="_Toc22811"/>
      <w:r>
        <w:rPr>
          <w:rFonts w:hint="eastAsia"/>
          <w:b/>
          <w:bCs/>
          <w:color w:val="auto"/>
          <w:sz w:val="32"/>
          <w:szCs w:val="32"/>
        </w:rPr>
        <w:t>磋商</w:t>
      </w:r>
      <w:r>
        <w:rPr>
          <w:rFonts w:hint="eastAsia"/>
          <w:b/>
          <w:bCs/>
          <w:color w:val="auto"/>
          <w:sz w:val="32"/>
          <w:szCs w:val="32"/>
          <w:lang w:eastAsia="zh-CN"/>
        </w:rPr>
        <w:t>响应人</w:t>
      </w:r>
      <w:r>
        <w:rPr>
          <w:rFonts w:hint="eastAsia"/>
          <w:b/>
          <w:bCs/>
          <w:color w:val="auto"/>
          <w:sz w:val="32"/>
          <w:szCs w:val="32"/>
        </w:rPr>
        <w:t>：</w:t>
      </w:r>
      <w:r>
        <w:rPr>
          <w:rFonts w:hint="eastAsia"/>
          <w:b/>
          <w:bCs/>
          <w:color w:val="auto"/>
          <w:sz w:val="32"/>
          <w:szCs w:val="32"/>
          <w:u w:val="single"/>
        </w:rPr>
        <w:t xml:space="preserve">         </w:t>
      </w:r>
      <w:r>
        <w:rPr>
          <w:rFonts w:hint="eastAsia"/>
          <w:b/>
          <w:bCs/>
          <w:color w:val="auto"/>
          <w:sz w:val="32"/>
          <w:szCs w:val="32"/>
          <w:u w:val="single"/>
          <w:lang w:val="en-US" w:eastAsia="zh-CN"/>
        </w:rPr>
        <w:t xml:space="preserve">   </w:t>
      </w:r>
      <w:r>
        <w:rPr>
          <w:rFonts w:hint="eastAsia"/>
          <w:b/>
          <w:bCs/>
          <w:color w:val="auto"/>
          <w:sz w:val="32"/>
          <w:szCs w:val="32"/>
          <w:u w:val="single"/>
        </w:rPr>
        <w:t xml:space="preserve">                </w:t>
      </w:r>
      <w:r>
        <w:rPr>
          <w:rFonts w:hint="eastAsia"/>
          <w:b/>
          <w:bCs/>
          <w:color w:val="auto"/>
          <w:sz w:val="32"/>
          <w:szCs w:val="32"/>
        </w:rPr>
        <w:t>（公章）</w:t>
      </w:r>
      <w:bookmarkEnd w:id="1218"/>
      <w:bookmarkEnd w:id="1219"/>
    </w:p>
    <w:p w14:paraId="1BAF5011">
      <w:pPr>
        <w:bidi w:val="0"/>
        <w:ind w:firstLine="643" w:firstLineChars="200"/>
        <w:rPr>
          <w:rFonts w:hint="eastAsia"/>
          <w:b/>
          <w:bCs/>
          <w:color w:val="auto"/>
          <w:sz w:val="32"/>
          <w:szCs w:val="32"/>
        </w:rPr>
      </w:pPr>
      <w:bookmarkStart w:id="1220" w:name="_Toc2628"/>
      <w:bookmarkStart w:id="1221" w:name="_Toc4727"/>
      <w:r>
        <w:rPr>
          <w:rFonts w:hint="eastAsia"/>
          <w:b/>
          <w:bCs/>
          <w:color w:val="auto"/>
          <w:sz w:val="32"/>
          <w:szCs w:val="32"/>
        </w:rPr>
        <w:t>法定代表人：</w:t>
      </w:r>
      <w:r>
        <w:rPr>
          <w:rFonts w:hint="eastAsia"/>
          <w:b/>
          <w:bCs/>
          <w:color w:val="auto"/>
          <w:sz w:val="32"/>
          <w:szCs w:val="32"/>
          <w:u w:val="single"/>
        </w:rPr>
        <w:t xml:space="preserve">           </w:t>
      </w:r>
      <w:r>
        <w:rPr>
          <w:rFonts w:hint="eastAsia"/>
          <w:b/>
          <w:bCs/>
          <w:color w:val="auto"/>
          <w:sz w:val="32"/>
          <w:szCs w:val="32"/>
        </w:rPr>
        <w:t>（签字</w:t>
      </w:r>
      <w:r>
        <w:rPr>
          <w:rFonts w:hint="eastAsia"/>
          <w:b/>
          <w:bCs/>
          <w:color w:val="auto"/>
          <w:sz w:val="32"/>
          <w:szCs w:val="32"/>
          <w:lang w:eastAsia="zh-CN"/>
        </w:rPr>
        <w:t>或加盖法定代表人章</w:t>
      </w:r>
      <w:r>
        <w:rPr>
          <w:rFonts w:hint="eastAsia"/>
          <w:b/>
          <w:bCs/>
          <w:color w:val="auto"/>
          <w:sz w:val="32"/>
          <w:szCs w:val="32"/>
        </w:rPr>
        <w:t>）</w:t>
      </w:r>
      <w:bookmarkEnd w:id="1220"/>
      <w:bookmarkEnd w:id="1221"/>
    </w:p>
    <w:p w14:paraId="0516A4E8">
      <w:pPr>
        <w:bidi w:val="0"/>
        <w:rPr>
          <w:rFonts w:hint="eastAsia"/>
          <w:b/>
          <w:bCs/>
          <w:color w:val="auto"/>
          <w:sz w:val="32"/>
          <w:szCs w:val="32"/>
        </w:rPr>
      </w:pPr>
    </w:p>
    <w:p w14:paraId="2972CBBD">
      <w:pPr>
        <w:bidi w:val="0"/>
        <w:rPr>
          <w:rFonts w:hint="eastAsia"/>
          <w:b/>
          <w:bCs/>
          <w:color w:val="auto"/>
          <w:sz w:val="32"/>
          <w:szCs w:val="32"/>
        </w:rPr>
      </w:pPr>
      <w:r>
        <w:rPr>
          <w:rFonts w:hint="eastAsia"/>
          <w:b/>
          <w:bCs/>
          <w:color w:val="auto"/>
          <w:sz w:val="32"/>
          <w:szCs w:val="32"/>
        </w:rPr>
        <w:t xml:space="preserve">               </w:t>
      </w:r>
      <w:r>
        <w:rPr>
          <w:rFonts w:hint="eastAsia"/>
          <w:b/>
          <w:bCs/>
          <w:color w:val="auto"/>
          <w:sz w:val="32"/>
          <w:szCs w:val="32"/>
          <w:lang w:val="en-US" w:eastAsia="zh-CN"/>
        </w:rPr>
        <w:t xml:space="preserve">         </w:t>
      </w:r>
      <w:r>
        <w:rPr>
          <w:rFonts w:hint="eastAsia"/>
          <w:b/>
          <w:bCs/>
          <w:color w:val="auto"/>
          <w:sz w:val="32"/>
          <w:szCs w:val="32"/>
        </w:rPr>
        <w:t xml:space="preserve"> </w:t>
      </w:r>
      <w:bookmarkStart w:id="1222" w:name="_Toc13070"/>
      <w:bookmarkStart w:id="1223" w:name="_Toc18352"/>
      <w:r>
        <w:rPr>
          <w:rFonts w:hint="eastAsia"/>
          <w:b/>
          <w:bCs/>
          <w:color w:val="auto"/>
          <w:sz w:val="32"/>
          <w:szCs w:val="32"/>
        </w:rPr>
        <w:t>年   月  日</w:t>
      </w:r>
      <w:bookmarkEnd w:id="1222"/>
      <w:bookmarkEnd w:id="1223"/>
    </w:p>
    <w:p w14:paraId="7DCDE027">
      <w:pPr>
        <w:pStyle w:val="3"/>
        <w:snapToGrid w:val="0"/>
        <w:spacing w:before="260" w:beforeAutospacing="0" w:after="260" w:afterAutospacing="0" w:line="415" w:lineRule="auto"/>
        <w:textAlignment w:val="baseline"/>
        <w:outlineLvl w:val="9"/>
        <w:rPr>
          <w:rFonts w:hint="eastAsia" w:ascii="宋体" w:hAnsi="宋体" w:eastAsia="宋体" w:cs="宋体"/>
          <w:b/>
          <w:i w:val="0"/>
          <w:caps w:val="0"/>
          <w:color w:val="auto"/>
          <w:spacing w:val="0"/>
          <w:w w:val="100"/>
          <w:sz w:val="24"/>
          <w:highlight w:val="none"/>
        </w:rPr>
      </w:pPr>
      <w:r>
        <w:rPr>
          <w:rFonts w:hint="eastAsia" w:ascii="宋体" w:hAnsi="宋体" w:eastAsia="宋体" w:cs="宋体"/>
          <w:b/>
          <w:i w:val="0"/>
          <w:caps w:val="0"/>
          <w:color w:val="auto"/>
          <w:spacing w:val="0"/>
          <w:w w:val="100"/>
          <w:sz w:val="28"/>
          <w:szCs w:val="28"/>
          <w:highlight w:val="none"/>
        </w:rPr>
        <w:br w:type="page"/>
      </w:r>
    </w:p>
    <w:p w14:paraId="07AD4BD1">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24" w:name="_Toc12168"/>
      <w:bookmarkStart w:id="1225" w:name="_Toc5073"/>
      <w:r>
        <w:rPr>
          <w:rFonts w:hint="eastAsia" w:ascii="宋体" w:hAnsi="宋体" w:eastAsia="宋体" w:cs="宋体"/>
          <w:b/>
          <w:bCs/>
          <w:i w:val="0"/>
          <w:caps w:val="0"/>
          <w:color w:val="auto"/>
          <w:spacing w:val="0"/>
          <w:w w:val="100"/>
          <w:sz w:val="24"/>
          <w:szCs w:val="32"/>
          <w:highlight w:val="none"/>
          <w:lang w:val="en-US" w:eastAsia="zh-CN" w:bidi="ar-SA"/>
        </w:rPr>
        <w:t>一、响应函及响应函附录</w:t>
      </w:r>
      <w:bookmarkEnd w:id="1224"/>
      <w:bookmarkEnd w:id="1225"/>
    </w:p>
    <w:p w14:paraId="35731C4B">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lang w:eastAsia="zh-CN"/>
        </w:rPr>
      </w:pPr>
      <w:r>
        <w:rPr>
          <w:rFonts w:hint="eastAsia" w:ascii="宋体" w:hAnsi="宋体" w:eastAsia="宋体" w:cs="宋体"/>
          <w:b/>
          <w:i w:val="0"/>
          <w:caps w:val="0"/>
          <w:color w:val="auto"/>
          <w:spacing w:val="0"/>
          <w:w w:val="100"/>
          <w:sz w:val="24"/>
          <w:highlight w:val="none"/>
          <w:lang w:eastAsia="zh-CN"/>
        </w:rPr>
        <w:t>（一）响 应 函</w:t>
      </w:r>
    </w:p>
    <w:p w14:paraId="0F0EEA5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致：（招标人名称）</w:t>
      </w:r>
    </w:p>
    <w:p w14:paraId="2A57D16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在充分研究</w:t>
      </w:r>
      <w:r>
        <w:rPr>
          <w:rFonts w:hint="eastAsia" w:ascii="宋体" w:hAnsi="宋体" w:eastAsia="宋体" w:cs="宋体"/>
          <w:b w:val="0"/>
          <w:i w:val="0"/>
          <w:caps w:val="0"/>
          <w:color w:val="auto"/>
          <w:spacing w:val="0"/>
          <w:w w:val="100"/>
          <w:sz w:val="24"/>
          <w:szCs w:val="24"/>
          <w:highlight w:val="none"/>
          <w:u w:val="single" w:color="000000"/>
        </w:rPr>
        <w:t xml:space="preserve">                 （项目名称）</w:t>
      </w:r>
      <w:r>
        <w:rPr>
          <w:rFonts w:hint="eastAsia" w:ascii="宋体" w:hAnsi="宋体" w:eastAsia="宋体" w:cs="宋体"/>
          <w:b w:val="0"/>
          <w:i w:val="0"/>
          <w:caps w:val="0"/>
          <w:color w:val="auto"/>
          <w:spacing w:val="0"/>
          <w:w w:val="100"/>
          <w:sz w:val="24"/>
          <w:szCs w:val="24"/>
          <w:highlight w:val="none"/>
        </w:rPr>
        <w:t>（以下简称“本工程”）施工竞争性磋商文件的全部内容后，我方兹以：</w:t>
      </w:r>
    </w:p>
    <w:p w14:paraId="6E47E2C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人民币（大写）：</w:t>
      </w:r>
      <w:r>
        <w:rPr>
          <w:rFonts w:hint="eastAsia" w:ascii="宋体" w:hAnsi="宋体" w:eastAsia="宋体" w:cs="宋体"/>
          <w:b w:val="0"/>
          <w:i w:val="0"/>
          <w:caps w:val="0"/>
          <w:color w:val="auto"/>
          <w:spacing w:val="0"/>
          <w:w w:val="100"/>
          <w:sz w:val="24"/>
          <w:szCs w:val="24"/>
          <w:highlight w:val="none"/>
          <w:lang w:val="en-US" w:eastAsia="zh-CN"/>
        </w:rPr>
        <w:t xml:space="preserve">   </w:t>
      </w:r>
      <w:r>
        <w:rPr>
          <w:rFonts w:hint="eastAsia" w:ascii="宋体" w:hAnsi="宋体" w:eastAsia="宋体" w:cs="宋体"/>
          <w:b w:val="0"/>
          <w:i w:val="0"/>
          <w:caps w:val="0"/>
          <w:color w:val="auto"/>
          <w:spacing w:val="0"/>
          <w:w w:val="100"/>
          <w:sz w:val="24"/>
          <w:szCs w:val="24"/>
          <w:highlight w:val="none"/>
        </w:rPr>
        <w:t>元</w:t>
      </w:r>
    </w:p>
    <w:p w14:paraId="56E0A20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RMB￥：</w:t>
      </w:r>
      <w:r>
        <w:rPr>
          <w:rFonts w:hint="eastAsia" w:ascii="宋体" w:hAnsi="宋体" w:eastAsia="宋体" w:cs="宋体"/>
          <w:b w:val="0"/>
          <w:i w:val="0"/>
          <w:caps w:val="0"/>
          <w:color w:val="auto"/>
          <w:spacing w:val="0"/>
          <w:w w:val="100"/>
          <w:sz w:val="24"/>
          <w:szCs w:val="24"/>
          <w:highlight w:val="none"/>
          <w:lang w:val="en-US" w:eastAsia="zh-CN"/>
        </w:rPr>
        <w:t xml:space="preserve">      </w:t>
      </w:r>
      <w:r>
        <w:rPr>
          <w:rFonts w:hint="eastAsia" w:ascii="宋体" w:hAnsi="宋体" w:eastAsia="宋体" w:cs="宋体"/>
          <w:b w:val="0"/>
          <w:i w:val="0"/>
          <w:caps w:val="0"/>
          <w:color w:val="auto"/>
          <w:spacing w:val="0"/>
          <w:w w:val="100"/>
          <w:sz w:val="24"/>
          <w:szCs w:val="24"/>
          <w:highlight w:val="none"/>
        </w:rPr>
        <w:t>元</w:t>
      </w:r>
    </w:p>
    <w:p w14:paraId="55CD00E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的投标价格和按合同约定有权得到的其它金额，并严格按照合同约定，施工、完工和交付本工程并维修其中的任何缺陷。</w:t>
      </w:r>
    </w:p>
    <w:p w14:paraId="0697762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在我方的上述报价中，包括：</w:t>
      </w:r>
    </w:p>
    <w:p w14:paraId="58B3EEE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安全文明施工费RMB￥：</w:t>
      </w:r>
      <w:r>
        <w:rPr>
          <w:rFonts w:hint="eastAsia" w:ascii="宋体" w:hAnsi="宋体" w:eastAsia="宋体" w:cs="宋体"/>
          <w:b w:val="0"/>
          <w:i w:val="0"/>
          <w:caps w:val="0"/>
          <w:color w:val="auto"/>
          <w:spacing w:val="0"/>
          <w:w w:val="100"/>
          <w:sz w:val="24"/>
          <w:szCs w:val="24"/>
          <w:highlight w:val="none"/>
          <w:lang w:val="en-US" w:eastAsia="zh-CN"/>
        </w:rPr>
        <w:t xml:space="preserve">     </w:t>
      </w:r>
      <w:r>
        <w:rPr>
          <w:rFonts w:hint="eastAsia" w:ascii="宋体" w:hAnsi="宋体" w:eastAsia="宋体" w:cs="宋体"/>
          <w:b w:val="0"/>
          <w:i w:val="0"/>
          <w:caps w:val="0"/>
          <w:color w:val="auto"/>
          <w:spacing w:val="0"/>
          <w:w w:val="100"/>
          <w:sz w:val="24"/>
          <w:szCs w:val="24"/>
          <w:highlight w:val="none"/>
        </w:rPr>
        <w:t>元</w:t>
      </w:r>
    </w:p>
    <w:p w14:paraId="0D85816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暂列金额（不包括计日工部分）RMB￥：</w:t>
      </w:r>
      <w:r>
        <w:rPr>
          <w:rFonts w:hint="eastAsia" w:ascii="宋体" w:hAnsi="宋体" w:eastAsia="宋体" w:cs="宋体"/>
          <w:b w:val="0"/>
          <w:i w:val="0"/>
          <w:caps w:val="0"/>
          <w:color w:val="auto"/>
          <w:spacing w:val="0"/>
          <w:w w:val="100"/>
          <w:sz w:val="24"/>
          <w:szCs w:val="24"/>
          <w:highlight w:val="none"/>
          <w:lang w:val="en-US" w:eastAsia="zh-CN"/>
        </w:rPr>
        <w:t xml:space="preserve">     </w:t>
      </w:r>
      <w:r>
        <w:rPr>
          <w:rFonts w:hint="eastAsia" w:ascii="宋体" w:hAnsi="宋体" w:eastAsia="宋体" w:cs="宋体"/>
          <w:b w:val="0"/>
          <w:i w:val="0"/>
          <w:caps w:val="0"/>
          <w:color w:val="auto"/>
          <w:spacing w:val="0"/>
          <w:w w:val="100"/>
          <w:sz w:val="24"/>
          <w:szCs w:val="24"/>
          <w:highlight w:val="none"/>
        </w:rPr>
        <w:t>元</w:t>
      </w:r>
    </w:p>
    <w:p w14:paraId="2638B5F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专业工程暂估价RMB￥：</w:t>
      </w:r>
      <w:r>
        <w:rPr>
          <w:rFonts w:hint="eastAsia" w:ascii="宋体" w:hAnsi="宋体" w:eastAsia="宋体" w:cs="宋体"/>
          <w:b w:val="0"/>
          <w:i w:val="0"/>
          <w:caps w:val="0"/>
          <w:color w:val="auto"/>
          <w:spacing w:val="0"/>
          <w:w w:val="100"/>
          <w:sz w:val="24"/>
          <w:szCs w:val="24"/>
          <w:highlight w:val="none"/>
          <w:lang w:val="en-US" w:eastAsia="zh-CN"/>
        </w:rPr>
        <w:t xml:space="preserve">      </w:t>
      </w:r>
      <w:r>
        <w:rPr>
          <w:rFonts w:hint="eastAsia" w:ascii="宋体" w:hAnsi="宋体" w:eastAsia="宋体" w:cs="宋体"/>
          <w:b w:val="0"/>
          <w:i w:val="0"/>
          <w:caps w:val="0"/>
          <w:color w:val="auto"/>
          <w:spacing w:val="0"/>
          <w:w w:val="100"/>
          <w:sz w:val="24"/>
          <w:szCs w:val="24"/>
          <w:highlight w:val="none"/>
        </w:rPr>
        <w:t>元</w:t>
      </w:r>
    </w:p>
    <w:p w14:paraId="5D30D4A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如果我方中标，我方保证在</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年</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月</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日或按照合同约定的开工日期开始本工程的施工，</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天（日历日）内完工，并确保工程质量达到标准。我方同意本响应函在</w:t>
      </w:r>
      <w:r>
        <w:rPr>
          <w:rFonts w:hint="eastAsia" w:ascii="宋体" w:hAnsi="宋体" w:eastAsia="宋体" w:cs="宋体"/>
          <w:b w:val="0"/>
          <w:i w:val="0"/>
          <w:caps w:val="0"/>
          <w:color w:val="auto"/>
          <w:spacing w:val="0"/>
          <w:w w:val="100"/>
          <w:sz w:val="24"/>
          <w:szCs w:val="24"/>
          <w:highlight w:val="none"/>
          <w:lang w:eastAsia="zh-CN"/>
        </w:rPr>
        <w:t>磋商</w:t>
      </w:r>
      <w:r>
        <w:rPr>
          <w:rFonts w:hint="eastAsia" w:ascii="宋体" w:hAnsi="宋体" w:eastAsia="宋体" w:cs="宋体"/>
          <w:b w:val="0"/>
          <w:i w:val="0"/>
          <w:caps w:val="0"/>
          <w:color w:val="auto"/>
          <w:spacing w:val="0"/>
          <w:w w:val="100"/>
          <w:sz w:val="24"/>
          <w:szCs w:val="24"/>
          <w:highlight w:val="none"/>
        </w:rPr>
        <w:t>文件规定的提交响应文件截止时间后，在磋商文件规定的磋商有效期</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cs="宋体"/>
          <w:b w:val="0"/>
          <w:i w:val="0"/>
          <w:caps w:val="0"/>
          <w:color w:val="auto"/>
          <w:spacing w:val="0"/>
          <w:w w:val="100"/>
          <w:sz w:val="24"/>
          <w:szCs w:val="24"/>
          <w:highlight w:val="none"/>
          <w:u w:val="single" w:color="000000"/>
          <w:lang w:val="en-US" w:eastAsia="zh-CN"/>
        </w:rPr>
        <w:t xml:space="preserve">  </w:t>
      </w:r>
      <w:r>
        <w:rPr>
          <w:rFonts w:hint="eastAsia" w:ascii="宋体" w:hAnsi="宋体" w:eastAsia="宋体" w:cs="宋体"/>
          <w:b w:val="0"/>
          <w:i w:val="0"/>
          <w:caps w:val="0"/>
          <w:color w:val="auto"/>
          <w:spacing w:val="0"/>
          <w:w w:val="100"/>
          <w:sz w:val="24"/>
          <w:szCs w:val="24"/>
          <w:highlight w:val="none"/>
        </w:rPr>
        <w:t>天（日历日）期满前对我方具有约束力，且随时准备接受你方发出的成交通知书。</w:t>
      </w:r>
    </w:p>
    <w:p w14:paraId="05F8095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随本响应函递交的响应函附录是本响应函的组成部分，对我方构成约束力。</w:t>
      </w:r>
    </w:p>
    <w:p w14:paraId="6FD152D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随同本响应函递交磋商保证金一份，金额为人民币（大写）：</w:t>
      </w:r>
      <w:r>
        <w:rPr>
          <w:rFonts w:hint="eastAsia" w:ascii="宋体" w:hAnsi="宋体" w:eastAsia="宋体" w:cs="宋体"/>
          <w:b w:val="0"/>
          <w:i w:val="0"/>
          <w:caps w:val="0"/>
          <w:color w:val="auto"/>
          <w:spacing w:val="0"/>
          <w:w w:val="100"/>
          <w:sz w:val="24"/>
          <w:szCs w:val="24"/>
          <w:highlight w:val="none"/>
          <w:u w:val="single" w:color="000000"/>
        </w:rPr>
        <w:t xml:space="preserve">        </w:t>
      </w:r>
      <w:r>
        <w:rPr>
          <w:rFonts w:hint="eastAsia" w:ascii="宋体" w:hAnsi="宋体" w:eastAsia="宋体" w:cs="宋体"/>
          <w:b w:val="0"/>
          <w:i w:val="0"/>
          <w:caps w:val="0"/>
          <w:color w:val="auto"/>
          <w:spacing w:val="0"/>
          <w:w w:val="100"/>
          <w:sz w:val="24"/>
          <w:szCs w:val="24"/>
          <w:highlight w:val="none"/>
        </w:rPr>
        <w:t>元（￥：元）。</w:t>
      </w:r>
    </w:p>
    <w:p w14:paraId="5573FF04">
      <w:pPr>
        <w:snapToGrid w:val="0"/>
        <w:spacing w:before="0" w:beforeAutospacing="0" w:after="0" w:afterAutospacing="0" w:line="360" w:lineRule="auto"/>
        <w:ind w:firstLine="420"/>
        <w:textAlignment w:val="baseline"/>
        <w:rPr>
          <w:rFonts w:hint="eastAsia" w:ascii="宋体" w:hAnsi="宋体" w:eastAsia="宋体" w:cs="宋体"/>
          <w:b w:val="0"/>
          <w:i w:val="0"/>
          <w:caps w:val="0"/>
          <w:color w:val="auto"/>
          <w:spacing w:val="0"/>
          <w:w w:val="100"/>
          <w:kern w:val="2"/>
          <w:sz w:val="28"/>
          <w:szCs w:val="20"/>
          <w:highlight w:val="none"/>
        </w:rPr>
      </w:pPr>
      <w:r>
        <w:rPr>
          <w:rFonts w:hint="eastAsia" w:ascii="宋体" w:hAnsi="宋体" w:eastAsia="宋体" w:cs="宋体"/>
          <w:b w:val="0"/>
          <w:i w:val="0"/>
          <w:caps w:val="0"/>
          <w:color w:val="auto"/>
          <w:spacing w:val="0"/>
          <w:w w:val="100"/>
          <w:sz w:val="24"/>
          <w:szCs w:val="24"/>
          <w:highlight w:val="none"/>
        </w:rPr>
        <w:t>在签署协议书之前，你方的成交通知书连同本响应函，包括响应函附录，对双方具有约束力。</w:t>
      </w:r>
    </w:p>
    <w:p w14:paraId="3B0BD87A">
      <w:pPr>
        <w:widowControl w:val="0"/>
        <w:snapToGrid w:val="0"/>
        <w:spacing w:before="0" w:beforeAutospacing="0" w:after="0" w:afterAutospacing="0" w:line="360" w:lineRule="auto"/>
        <w:ind w:right="240"/>
        <w:jc w:val="right"/>
        <w:textAlignment w:val="baseline"/>
        <w:rPr>
          <w:rFonts w:hint="eastAsia" w:ascii="宋体" w:hAnsi="宋体" w:eastAsia="宋体" w:cs="宋体"/>
          <w:b/>
          <w:bCs/>
          <w:i w:val="0"/>
          <w:caps w:val="0"/>
          <w:color w:val="auto"/>
          <w:spacing w:val="0"/>
          <w:w w:val="100"/>
          <w:kern w:val="2"/>
          <w:sz w:val="20"/>
          <w:szCs w:val="20"/>
          <w:highlight w:val="none"/>
          <w:lang w:val="zh-CN"/>
        </w:rPr>
      </w:pPr>
      <w:r>
        <w:rPr>
          <w:rFonts w:hint="eastAsia" w:ascii="宋体" w:hAnsi="宋体" w:eastAsia="宋体" w:cs="宋体"/>
          <w:b/>
          <w:bCs/>
          <w:i w:val="0"/>
          <w:caps w:val="0"/>
          <w:color w:val="auto"/>
          <w:spacing w:val="0"/>
          <w:w w:val="100"/>
          <w:kern w:val="2"/>
          <w:sz w:val="24"/>
          <w:szCs w:val="20"/>
          <w:highlight w:val="none"/>
          <w:lang w:val="zh-CN"/>
        </w:rPr>
        <w:t>磋商响应人：</w:t>
      </w:r>
      <w:r>
        <w:rPr>
          <w:rFonts w:hint="eastAsia" w:ascii="宋体" w:hAnsi="宋体" w:eastAsia="宋体" w:cs="宋体"/>
          <w:b/>
          <w:bCs/>
          <w:i w:val="0"/>
          <w:caps w:val="0"/>
          <w:color w:val="auto"/>
          <w:spacing w:val="0"/>
          <w:w w:val="100"/>
          <w:kern w:val="2"/>
          <w:sz w:val="24"/>
          <w:szCs w:val="20"/>
          <w:highlight w:val="none"/>
          <w:u w:val="single" w:color="000000"/>
          <w:lang w:val="zh-CN"/>
        </w:rPr>
        <w:t>名称</w:t>
      </w:r>
      <w:r>
        <w:rPr>
          <w:rFonts w:hint="eastAsia" w:ascii="宋体" w:hAnsi="宋体" w:eastAsia="宋体" w:cs="宋体"/>
          <w:b/>
          <w:bCs/>
          <w:i w:val="0"/>
          <w:caps w:val="0"/>
          <w:color w:val="auto"/>
          <w:spacing w:val="0"/>
          <w:w w:val="100"/>
          <w:kern w:val="2"/>
          <w:sz w:val="24"/>
          <w:szCs w:val="20"/>
          <w:highlight w:val="none"/>
          <w:lang w:val="zh-CN"/>
        </w:rPr>
        <w:t>（公章）</w:t>
      </w:r>
    </w:p>
    <w:p w14:paraId="7A0C716E">
      <w:pPr>
        <w:widowControl w:val="0"/>
        <w:snapToGrid w:val="0"/>
        <w:spacing w:before="0" w:beforeAutospacing="0" w:after="0" w:afterAutospacing="0" w:line="360" w:lineRule="auto"/>
        <w:ind w:right="240"/>
        <w:jc w:val="right"/>
        <w:textAlignment w:val="baseline"/>
        <w:rPr>
          <w:rFonts w:hint="eastAsia" w:ascii="宋体" w:hAnsi="宋体" w:eastAsia="宋体" w:cs="宋体"/>
          <w:b/>
          <w:bCs/>
          <w:i w:val="0"/>
          <w:caps w:val="0"/>
          <w:color w:val="auto"/>
          <w:spacing w:val="0"/>
          <w:w w:val="100"/>
          <w:kern w:val="2"/>
          <w:sz w:val="20"/>
          <w:szCs w:val="20"/>
          <w:highlight w:val="none"/>
          <w:lang w:val="zh-CN"/>
        </w:rPr>
      </w:pPr>
      <w:r>
        <w:rPr>
          <w:rFonts w:hint="eastAsia" w:ascii="宋体" w:hAnsi="宋体" w:eastAsia="宋体" w:cs="宋体"/>
          <w:b/>
          <w:bCs/>
          <w:i w:val="0"/>
          <w:caps w:val="0"/>
          <w:color w:val="auto"/>
          <w:spacing w:val="0"/>
          <w:w w:val="100"/>
          <w:kern w:val="2"/>
          <w:sz w:val="24"/>
          <w:szCs w:val="20"/>
          <w:highlight w:val="none"/>
          <w:lang w:val="zh-CN"/>
        </w:rPr>
        <w:t>法定代表人/或委托代理人：                 （签字）</w:t>
      </w:r>
    </w:p>
    <w:p w14:paraId="3D2F98B6">
      <w:pPr>
        <w:snapToGrid w:val="0"/>
        <w:spacing w:before="0" w:beforeAutospacing="0" w:after="0" w:afterAutospacing="0" w:line="360" w:lineRule="auto"/>
        <w:ind w:firstLine="480"/>
        <w:jc w:val="right"/>
        <w:textAlignment w:val="baseline"/>
        <w:rPr>
          <w:rFonts w:hint="eastAsia" w:ascii="宋体" w:hAnsi="宋体" w:eastAsia="宋体" w:cs="宋体"/>
          <w:b w:val="0"/>
          <w:i w:val="0"/>
          <w:caps w:val="0"/>
          <w:color w:val="auto"/>
          <w:spacing w:val="0"/>
          <w:w w:val="100"/>
          <w:kern w:val="2"/>
          <w:sz w:val="28"/>
          <w:szCs w:val="20"/>
          <w:highlight w:val="none"/>
        </w:rPr>
      </w:pPr>
      <w:r>
        <w:rPr>
          <w:rFonts w:hint="eastAsia" w:ascii="宋体" w:hAnsi="宋体" w:eastAsia="宋体" w:cs="宋体"/>
          <w:b/>
          <w:bCs/>
          <w:i w:val="0"/>
          <w:caps w:val="0"/>
          <w:color w:val="auto"/>
          <w:spacing w:val="0"/>
          <w:w w:val="100"/>
          <w:kern w:val="2"/>
          <w:sz w:val="24"/>
          <w:szCs w:val="20"/>
          <w:highlight w:val="none"/>
          <w:lang w:val="zh-CN"/>
        </w:rPr>
        <w:t>年   月   日</w:t>
      </w:r>
    </w:p>
    <w:p w14:paraId="75B8503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bCs/>
          <w:i w:val="0"/>
          <w:caps w:val="0"/>
          <w:color w:val="auto"/>
          <w:spacing w:val="0"/>
          <w:w w:val="100"/>
          <w:sz w:val="24"/>
          <w:szCs w:val="20"/>
          <w:highlight w:val="none"/>
        </w:rPr>
        <w:br w:type="page"/>
      </w:r>
    </w:p>
    <w:p w14:paraId="60B304CA">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i w:val="0"/>
          <w:caps w:val="0"/>
          <w:color w:val="auto"/>
          <w:spacing w:val="0"/>
          <w:w w:val="100"/>
          <w:sz w:val="24"/>
          <w:highlight w:val="none"/>
          <w:lang w:eastAsia="zh-CN"/>
        </w:rPr>
        <w:t>（二）响应函附录</w:t>
      </w:r>
    </w:p>
    <w:p w14:paraId="2108160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工程名称：（项目名称）</w:t>
      </w:r>
    </w:p>
    <w:tbl>
      <w:tblPr>
        <w:tblStyle w:val="23"/>
        <w:tblW w:w="9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3"/>
        <w:gridCol w:w="3084"/>
        <w:gridCol w:w="1625"/>
        <w:gridCol w:w="2184"/>
        <w:gridCol w:w="1874"/>
      </w:tblGrid>
      <w:tr w14:paraId="0C265A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 w:hRule="atLeast"/>
        </w:trPr>
        <w:tc>
          <w:tcPr>
            <w:tcW w:w="973" w:type="dxa"/>
            <w:vAlign w:val="center"/>
          </w:tcPr>
          <w:p w14:paraId="1E140F0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序号</w:t>
            </w:r>
          </w:p>
        </w:tc>
        <w:tc>
          <w:tcPr>
            <w:tcW w:w="3084" w:type="dxa"/>
            <w:vAlign w:val="center"/>
          </w:tcPr>
          <w:p w14:paraId="51F292E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条款内容</w:t>
            </w:r>
          </w:p>
        </w:tc>
        <w:tc>
          <w:tcPr>
            <w:tcW w:w="1625" w:type="dxa"/>
            <w:vAlign w:val="center"/>
          </w:tcPr>
          <w:p w14:paraId="65CB239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合同条款号</w:t>
            </w:r>
          </w:p>
        </w:tc>
        <w:tc>
          <w:tcPr>
            <w:tcW w:w="2184" w:type="dxa"/>
            <w:vAlign w:val="center"/>
          </w:tcPr>
          <w:p w14:paraId="7DB3B4E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约定内容</w:t>
            </w:r>
          </w:p>
        </w:tc>
        <w:tc>
          <w:tcPr>
            <w:tcW w:w="1874" w:type="dxa"/>
            <w:vAlign w:val="center"/>
          </w:tcPr>
          <w:p w14:paraId="240A378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备注</w:t>
            </w:r>
          </w:p>
        </w:tc>
      </w:tr>
      <w:tr w14:paraId="270BFF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4B48996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w:t>
            </w:r>
          </w:p>
        </w:tc>
        <w:tc>
          <w:tcPr>
            <w:tcW w:w="3084" w:type="dxa"/>
            <w:vAlign w:val="center"/>
          </w:tcPr>
          <w:p w14:paraId="6CD8126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项目经理</w:t>
            </w:r>
          </w:p>
        </w:tc>
        <w:tc>
          <w:tcPr>
            <w:tcW w:w="1625" w:type="dxa"/>
            <w:tcMar>
              <w:left w:w="170" w:type="dxa"/>
            </w:tcMar>
            <w:vAlign w:val="center"/>
          </w:tcPr>
          <w:p w14:paraId="43BACD2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1.1.2.4</w:t>
            </w:r>
          </w:p>
        </w:tc>
        <w:tc>
          <w:tcPr>
            <w:tcW w:w="2184" w:type="dxa"/>
            <w:vAlign w:val="center"/>
          </w:tcPr>
          <w:p w14:paraId="5F50960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姓名：</w:t>
            </w:r>
          </w:p>
        </w:tc>
        <w:tc>
          <w:tcPr>
            <w:tcW w:w="1874" w:type="dxa"/>
            <w:vAlign w:val="center"/>
          </w:tcPr>
          <w:p w14:paraId="0390F65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099BE4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atLeast"/>
        </w:trPr>
        <w:tc>
          <w:tcPr>
            <w:tcW w:w="973" w:type="dxa"/>
            <w:vAlign w:val="center"/>
          </w:tcPr>
          <w:p w14:paraId="29A9809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2</w:t>
            </w:r>
          </w:p>
        </w:tc>
        <w:tc>
          <w:tcPr>
            <w:tcW w:w="3084" w:type="dxa"/>
            <w:vAlign w:val="center"/>
          </w:tcPr>
          <w:p w14:paraId="10EEE7A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工期</w:t>
            </w:r>
          </w:p>
        </w:tc>
        <w:tc>
          <w:tcPr>
            <w:tcW w:w="1625" w:type="dxa"/>
            <w:tcMar>
              <w:left w:w="170" w:type="dxa"/>
            </w:tcMar>
            <w:vAlign w:val="center"/>
          </w:tcPr>
          <w:p w14:paraId="65EFEA2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1.1.4.3</w:t>
            </w:r>
          </w:p>
        </w:tc>
        <w:tc>
          <w:tcPr>
            <w:tcW w:w="2184" w:type="dxa"/>
            <w:vAlign w:val="center"/>
          </w:tcPr>
          <w:p w14:paraId="6778A29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u w:val="single" w:color="000000"/>
              </w:rPr>
              <w:t xml:space="preserve">     </w:t>
            </w:r>
            <w:r>
              <w:rPr>
                <w:rFonts w:hint="eastAsia" w:ascii="宋体" w:hAnsi="宋体" w:eastAsia="宋体" w:cs="宋体"/>
                <w:b w:val="0"/>
                <w:i w:val="0"/>
                <w:caps w:val="0"/>
                <w:color w:val="auto"/>
                <w:spacing w:val="0"/>
                <w:w w:val="100"/>
                <w:sz w:val="24"/>
                <w:highlight w:val="none"/>
              </w:rPr>
              <w:t>日历日</w:t>
            </w:r>
          </w:p>
        </w:tc>
        <w:tc>
          <w:tcPr>
            <w:tcW w:w="1874" w:type="dxa"/>
            <w:vAlign w:val="center"/>
          </w:tcPr>
          <w:p w14:paraId="28D157B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7AF2B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1486EE6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3</w:t>
            </w:r>
          </w:p>
        </w:tc>
        <w:tc>
          <w:tcPr>
            <w:tcW w:w="3084" w:type="dxa"/>
            <w:vAlign w:val="center"/>
          </w:tcPr>
          <w:p w14:paraId="65C1F26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缺陷责任期</w:t>
            </w:r>
          </w:p>
        </w:tc>
        <w:tc>
          <w:tcPr>
            <w:tcW w:w="1625" w:type="dxa"/>
            <w:tcMar>
              <w:left w:w="170" w:type="dxa"/>
            </w:tcMar>
            <w:vAlign w:val="center"/>
          </w:tcPr>
          <w:p w14:paraId="2A338A7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1.1.4.5</w:t>
            </w:r>
          </w:p>
        </w:tc>
        <w:tc>
          <w:tcPr>
            <w:tcW w:w="2184" w:type="dxa"/>
            <w:vAlign w:val="center"/>
          </w:tcPr>
          <w:p w14:paraId="7826106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lang w:eastAsia="zh-CN"/>
              </w:rPr>
              <w:t>叁</w:t>
            </w:r>
            <w:r>
              <w:rPr>
                <w:rFonts w:hint="eastAsia" w:ascii="宋体" w:hAnsi="宋体" w:eastAsia="宋体" w:cs="宋体"/>
                <w:b w:val="0"/>
                <w:i w:val="0"/>
                <w:caps w:val="0"/>
                <w:color w:val="auto"/>
                <w:spacing w:val="0"/>
                <w:w w:val="100"/>
                <w:sz w:val="24"/>
                <w:highlight w:val="none"/>
              </w:rPr>
              <w:t>年</w:t>
            </w:r>
          </w:p>
        </w:tc>
        <w:tc>
          <w:tcPr>
            <w:tcW w:w="1874" w:type="dxa"/>
            <w:vAlign w:val="center"/>
          </w:tcPr>
          <w:p w14:paraId="67F93B7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09F7D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445237B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4</w:t>
            </w:r>
          </w:p>
        </w:tc>
        <w:tc>
          <w:tcPr>
            <w:tcW w:w="3084" w:type="dxa"/>
            <w:vAlign w:val="center"/>
          </w:tcPr>
          <w:p w14:paraId="60F662F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承包人履约担保金额</w:t>
            </w:r>
          </w:p>
        </w:tc>
        <w:tc>
          <w:tcPr>
            <w:tcW w:w="1625" w:type="dxa"/>
            <w:tcMar>
              <w:left w:w="170" w:type="dxa"/>
            </w:tcMar>
            <w:vAlign w:val="center"/>
          </w:tcPr>
          <w:p w14:paraId="57FB83B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4.2</w:t>
            </w:r>
          </w:p>
        </w:tc>
        <w:tc>
          <w:tcPr>
            <w:tcW w:w="2184" w:type="dxa"/>
            <w:vAlign w:val="center"/>
          </w:tcPr>
          <w:p w14:paraId="38DE8ED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无</w:t>
            </w:r>
          </w:p>
        </w:tc>
        <w:tc>
          <w:tcPr>
            <w:tcW w:w="1874" w:type="dxa"/>
            <w:vAlign w:val="center"/>
          </w:tcPr>
          <w:p w14:paraId="683441F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2B8D6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4FAC11C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5</w:t>
            </w:r>
          </w:p>
        </w:tc>
        <w:tc>
          <w:tcPr>
            <w:tcW w:w="3084" w:type="dxa"/>
            <w:vAlign w:val="center"/>
          </w:tcPr>
          <w:p w14:paraId="48C6087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分包</w:t>
            </w:r>
          </w:p>
        </w:tc>
        <w:tc>
          <w:tcPr>
            <w:tcW w:w="1625" w:type="dxa"/>
            <w:tcMar>
              <w:left w:w="170" w:type="dxa"/>
            </w:tcMar>
            <w:vAlign w:val="center"/>
          </w:tcPr>
          <w:p w14:paraId="0869915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4.3.4</w:t>
            </w:r>
          </w:p>
        </w:tc>
        <w:tc>
          <w:tcPr>
            <w:tcW w:w="2184" w:type="dxa"/>
            <w:vAlign w:val="center"/>
          </w:tcPr>
          <w:p w14:paraId="64DBDB2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见分包项目情况表</w:t>
            </w:r>
          </w:p>
        </w:tc>
        <w:tc>
          <w:tcPr>
            <w:tcW w:w="1874" w:type="dxa"/>
            <w:vAlign w:val="center"/>
          </w:tcPr>
          <w:p w14:paraId="013B6B0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6267D1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0DE9891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6</w:t>
            </w:r>
          </w:p>
        </w:tc>
        <w:tc>
          <w:tcPr>
            <w:tcW w:w="3084" w:type="dxa"/>
            <w:vAlign w:val="center"/>
          </w:tcPr>
          <w:p w14:paraId="719FAF3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逾期竣工违约金</w:t>
            </w:r>
          </w:p>
        </w:tc>
        <w:tc>
          <w:tcPr>
            <w:tcW w:w="1625" w:type="dxa"/>
            <w:tcMar>
              <w:left w:w="170" w:type="dxa"/>
            </w:tcMar>
            <w:vAlign w:val="center"/>
          </w:tcPr>
          <w:p w14:paraId="643D654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11.5</w:t>
            </w:r>
          </w:p>
        </w:tc>
        <w:tc>
          <w:tcPr>
            <w:tcW w:w="2184" w:type="dxa"/>
            <w:vAlign w:val="center"/>
          </w:tcPr>
          <w:p w14:paraId="0CFD5C1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元/天</w:t>
            </w:r>
          </w:p>
        </w:tc>
        <w:tc>
          <w:tcPr>
            <w:tcW w:w="1874" w:type="dxa"/>
            <w:vAlign w:val="center"/>
          </w:tcPr>
          <w:p w14:paraId="1F5C26A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5ED41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4E2E0F3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7</w:t>
            </w:r>
          </w:p>
        </w:tc>
        <w:tc>
          <w:tcPr>
            <w:tcW w:w="3084" w:type="dxa"/>
            <w:vAlign w:val="center"/>
          </w:tcPr>
          <w:p w14:paraId="0FB4A96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逾期竣工违约金最高限额</w:t>
            </w:r>
          </w:p>
        </w:tc>
        <w:tc>
          <w:tcPr>
            <w:tcW w:w="1625" w:type="dxa"/>
            <w:tcMar>
              <w:left w:w="170" w:type="dxa"/>
            </w:tcMar>
            <w:vAlign w:val="center"/>
          </w:tcPr>
          <w:p w14:paraId="371E3A5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11.5</w:t>
            </w:r>
          </w:p>
        </w:tc>
        <w:tc>
          <w:tcPr>
            <w:tcW w:w="2184" w:type="dxa"/>
            <w:vAlign w:val="center"/>
          </w:tcPr>
          <w:p w14:paraId="5ABF187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c>
          <w:tcPr>
            <w:tcW w:w="1874" w:type="dxa"/>
            <w:vAlign w:val="center"/>
          </w:tcPr>
          <w:p w14:paraId="0C3B70F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49A682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371D3C2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8</w:t>
            </w:r>
          </w:p>
        </w:tc>
        <w:tc>
          <w:tcPr>
            <w:tcW w:w="3084" w:type="dxa"/>
            <w:vAlign w:val="center"/>
          </w:tcPr>
          <w:p w14:paraId="70AF00D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质量标准</w:t>
            </w:r>
          </w:p>
        </w:tc>
        <w:tc>
          <w:tcPr>
            <w:tcW w:w="1625" w:type="dxa"/>
            <w:tcMar>
              <w:left w:w="170" w:type="dxa"/>
            </w:tcMar>
            <w:vAlign w:val="center"/>
          </w:tcPr>
          <w:p w14:paraId="1B1FE8F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13.1</w:t>
            </w:r>
          </w:p>
        </w:tc>
        <w:tc>
          <w:tcPr>
            <w:tcW w:w="2184" w:type="dxa"/>
            <w:vAlign w:val="center"/>
          </w:tcPr>
          <w:p w14:paraId="5EEDFE3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合格</w:t>
            </w:r>
          </w:p>
        </w:tc>
        <w:tc>
          <w:tcPr>
            <w:tcW w:w="1874" w:type="dxa"/>
            <w:vAlign w:val="center"/>
          </w:tcPr>
          <w:p w14:paraId="566ED81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5E595B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372F7EE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9</w:t>
            </w:r>
          </w:p>
        </w:tc>
        <w:tc>
          <w:tcPr>
            <w:tcW w:w="3084" w:type="dxa"/>
            <w:vAlign w:val="center"/>
          </w:tcPr>
          <w:p w14:paraId="78AA60E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价格调整的差额计算</w:t>
            </w:r>
          </w:p>
        </w:tc>
        <w:tc>
          <w:tcPr>
            <w:tcW w:w="1625" w:type="dxa"/>
            <w:tcMar>
              <w:left w:w="170" w:type="dxa"/>
            </w:tcMar>
            <w:vAlign w:val="center"/>
          </w:tcPr>
          <w:p w14:paraId="02EC13A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16.1.1</w:t>
            </w:r>
          </w:p>
        </w:tc>
        <w:tc>
          <w:tcPr>
            <w:tcW w:w="2184" w:type="dxa"/>
            <w:vAlign w:val="center"/>
          </w:tcPr>
          <w:p w14:paraId="2D86002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无</w:t>
            </w:r>
          </w:p>
        </w:tc>
        <w:tc>
          <w:tcPr>
            <w:tcW w:w="1874" w:type="dxa"/>
            <w:vAlign w:val="center"/>
          </w:tcPr>
          <w:p w14:paraId="63AF2F5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3F2DE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 w:hRule="atLeast"/>
        </w:trPr>
        <w:tc>
          <w:tcPr>
            <w:tcW w:w="973" w:type="dxa"/>
            <w:vAlign w:val="center"/>
          </w:tcPr>
          <w:p w14:paraId="2732E0B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10</w:t>
            </w:r>
          </w:p>
        </w:tc>
        <w:tc>
          <w:tcPr>
            <w:tcW w:w="3084" w:type="dxa"/>
            <w:vAlign w:val="center"/>
          </w:tcPr>
          <w:p w14:paraId="12AD101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预付款额度</w:t>
            </w:r>
          </w:p>
        </w:tc>
        <w:tc>
          <w:tcPr>
            <w:tcW w:w="1625" w:type="dxa"/>
            <w:tcMar>
              <w:left w:w="170" w:type="dxa"/>
            </w:tcMar>
            <w:vAlign w:val="center"/>
          </w:tcPr>
          <w:p w14:paraId="237317A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12.2.1</w:t>
            </w:r>
          </w:p>
        </w:tc>
        <w:tc>
          <w:tcPr>
            <w:tcW w:w="2184" w:type="dxa"/>
            <w:vAlign w:val="center"/>
          </w:tcPr>
          <w:p w14:paraId="6625680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无</w:t>
            </w:r>
          </w:p>
        </w:tc>
        <w:tc>
          <w:tcPr>
            <w:tcW w:w="1874" w:type="dxa"/>
            <w:vAlign w:val="center"/>
          </w:tcPr>
          <w:p w14:paraId="725B1E7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27C9E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3FC157A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11</w:t>
            </w:r>
          </w:p>
        </w:tc>
        <w:tc>
          <w:tcPr>
            <w:tcW w:w="3084" w:type="dxa"/>
            <w:vAlign w:val="center"/>
          </w:tcPr>
          <w:p w14:paraId="0A6C704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预付款保函金额</w:t>
            </w:r>
          </w:p>
        </w:tc>
        <w:tc>
          <w:tcPr>
            <w:tcW w:w="1625" w:type="dxa"/>
            <w:tcMar>
              <w:left w:w="170" w:type="dxa"/>
            </w:tcMar>
            <w:vAlign w:val="center"/>
          </w:tcPr>
          <w:p w14:paraId="131624E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17.2.2</w:t>
            </w:r>
          </w:p>
        </w:tc>
        <w:tc>
          <w:tcPr>
            <w:tcW w:w="2184" w:type="dxa"/>
            <w:vAlign w:val="center"/>
          </w:tcPr>
          <w:p w14:paraId="765011A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无</w:t>
            </w:r>
          </w:p>
        </w:tc>
        <w:tc>
          <w:tcPr>
            <w:tcW w:w="1874" w:type="dxa"/>
            <w:vAlign w:val="center"/>
          </w:tcPr>
          <w:p w14:paraId="0FFF641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161C14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973" w:type="dxa"/>
            <w:vAlign w:val="center"/>
          </w:tcPr>
          <w:p w14:paraId="220E55D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12</w:t>
            </w:r>
          </w:p>
        </w:tc>
        <w:tc>
          <w:tcPr>
            <w:tcW w:w="3084" w:type="dxa"/>
            <w:vAlign w:val="center"/>
          </w:tcPr>
          <w:p w14:paraId="12A4964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质量保证金扣留百分比</w:t>
            </w:r>
          </w:p>
        </w:tc>
        <w:tc>
          <w:tcPr>
            <w:tcW w:w="1625" w:type="dxa"/>
            <w:tcMar>
              <w:left w:w="170" w:type="dxa"/>
            </w:tcMar>
            <w:vAlign w:val="center"/>
          </w:tcPr>
          <w:p w14:paraId="0AA96D9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17.4.1</w:t>
            </w:r>
          </w:p>
        </w:tc>
        <w:tc>
          <w:tcPr>
            <w:tcW w:w="2184" w:type="dxa"/>
            <w:vAlign w:val="center"/>
          </w:tcPr>
          <w:p w14:paraId="10FC679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合同价的</w:t>
            </w:r>
            <w:r>
              <w:rPr>
                <w:rFonts w:hint="eastAsia" w:ascii="宋体" w:hAnsi="宋体" w:eastAsia="宋体" w:cs="宋体"/>
                <w:b w:val="0"/>
                <w:i w:val="0"/>
                <w:caps w:val="0"/>
                <w:color w:val="auto"/>
                <w:spacing w:val="0"/>
                <w:w w:val="100"/>
                <w:sz w:val="24"/>
                <w:highlight w:val="none"/>
                <w:lang w:val="en-US" w:eastAsia="zh-CN"/>
              </w:rPr>
              <w:t>3</w:t>
            </w:r>
            <w:r>
              <w:rPr>
                <w:rFonts w:hint="eastAsia" w:ascii="宋体" w:hAnsi="宋体" w:eastAsia="宋体" w:cs="宋体"/>
                <w:b w:val="0"/>
                <w:i w:val="0"/>
                <w:caps w:val="0"/>
                <w:color w:val="auto"/>
                <w:spacing w:val="0"/>
                <w:w w:val="100"/>
                <w:sz w:val="24"/>
                <w:highlight w:val="none"/>
              </w:rPr>
              <w:t>%</w:t>
            </w:r>
          </w:p>
        </w:tc>
        <w:tc>
          <w:tcPr>
            <w:tcW w:w="1874" w:type="dxa"/>
            <w:vAlign w:val="center"/>
          </w:tcPr>
          <w:p w14:paraId="6CE3666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1A5A8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1" w:hRule="atLeast"/>
        </w:trPr>
        <w:tc>
          <w:tcPr>
            <w:tcW w:w="973" w:type="dxa"/>
            <w:vAlign w:val="center"/>
          </w:tcPr>
          <w:p w14:paraId="26D345B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13</w:t>
            </w:r>
          </w:p>
        </w:tc>
        <w:tc>
          <w:tcPr>
            <w:tcW w:w="3084" w:type="dxa"/>
            <w:vAlign w:val="center"/>
          </w:tcPr>
          <w:p w14:paraId="0011849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质量保证金额度</w:t>
            </w:r>
          </w:p>
        </w:tc>
        <w:tc>
          <w:tcPr>
            <w:tcW w:w="1625" w:type="dxa"/>
            <w:tcMar>
              <w:left w:w="170" w:type="dxa"/>
            </w:tcMar>
            <w:vAlign w:val="center"/>
          </w:tcPr>
          <w:p w14:paraId="4704F4E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17.4.1</w:t>
            </w:r>
          </w:p>
        </w:tc>
        <w:tc>
          <w:tcPr>
            <w:tcW w:w="2184" w:type="dxa"/>
            <w:vAlign w:val="center"/>
          </w:tcPr>
          <w:p w14:paraId="508CC34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c>
          <w:tcPr>
            <w:tcW w:w="1874" w:type="dxa"/>
            <w:vAlign w:val="center"/>
          </w:tcPr>
          <w:p w14:paraId="4556D62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6A3E9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 w:hRule="atLeast"/>
        </w:trPr>
        <w:tc>
          <w:tcPr>
            <w:tcW w:w="973" w:type="dxa"/>
            <w:vAlign w:val="center"/>
          </w:tcPr>
          <w:p w14:paraId="6144D72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w:t>
            </w:r>
          </w:p>
        </w:tc>
        <w:tc>
          <w:tcPr>
            <w:tcW w:w="3084" w:type="dxa"/>
            <w:vAlign w:val="center"/>
          </w:tcPr>
          <w:p w14:paraId="3CB715F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w:t>
            </w:r>
          </w:p>
        </w:tc>
        <w:tc>
          <w:tcPr>
            <w:tcW w:w="1625" w:type="dxa"/>
            <w:vAlign w:val="center"/>
          </w:tcPr>
          <w:p w14:paraId="35438BF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c>
          <w:tcPr>
            <w:tcW w:w="2184" w:type="dxa"/>
            <w:vAlign w:val="center"/>
          </w:tcPr>
          <w:p w14:paraId="691F92C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c>
          <w:tcPr>
            <w:tcW w:w="1874" w:type="dxa"/>
            <w:vAlign w:val="center"/>
          </w:tcPr>
          <w:p w14:paraId="39AF502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4AA349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atLeast"/>
        </w:trPr>
        <w:tc>
          <w:tcPr>
            <w:tcW w:w="9740" w:type="dxa"/>
            <w:gridSpan w:val="5"/>
            <w:vAlign w:val="center"/>
          </w:tcPr>
          <w:p w14:paraId="68CAA30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备注：磋商响应人在响应</w:t>
            </w:r>
            <w:r>
              <w:rPr>
                <w:rFonts w:hint="eastAsia" w:ascii="宋体" w:hAnsi="宋体" w:eastAsia="宋体" w:cs="宋体"/>
                <w:b w:val="0"/>
                <w:i w:val="0"/>
                <w:caps w:val="0"/>
                <w:color w:val="auto"/>
                <w:spacing w:val="0"/>
                <w:w w:val="100"/>
                <w:sz w:val="24"/>
                <w:szCs w:val="24"/>
                <w:highlight w:val="none"/>
              </w:rPr>
              <w:t>文件</w:t>
            </w:r>
            <w:r>
              <w:rPr>
                <w:rFonts w:hint="eastAsia" w:ascii="宋体" w:hAnsi="宋体" w:eastAsia="宋体" w:cs="宋体"/>
                <w:b w:val="0"/>
                <w:i w:val="0"/>
                <w:caps w:val="0"/>
                <w:color w:val="auto"/>
                <w:spacing w:val="0"/>
                <w:w w:val="100"/>
                <w:sz w:val="24"/>
                <w:highlight w:val="none"/>
              </w:rPr>
              <w:t>中规定的实质性要求和条件的基础上，可做出其他有利于招标人的承诺。此类承诺可在本表中予以补充填写。</w:t>
            </w:r>
          </w:p>
        </w:tc>
      </w:tr>
    </w:tbl>
    <w:p w14:paraId="6E626BC0">
      <w:pPr>
        <w:widowControl w:val="0"/>
        <w:snapToGrid w:val="0"/>
        <w:spacing w:before="0" w:beforeAutospacing="0" w:after="0" w:afterAutospacing="0" w:line="360" w:lineRule="auto"/>
        <w:jc w:val="right"/>
        <w:textAlignment w:val="baseline"/>
        <w:rPr>
          <w:rFonts w:hint="eastAsia" w:ascii="宋体" w:hAnsi="宋体" w:eastAsia="宋体" w:cs="宋体"/>
          <w:b/>
          <w:bCs/>
          <w:i w:val="0"/>
          <w:caps w:val="0"/>
          <w:color w:val="auto"/>
          <w:spacing w:val="0"/>
          <w:w w:val="100"/>
          <w:kern w:val="2"/>
          <w:sz w:val="20"/>
          <w:szCs w:val="20"/>
          <w:highlight w:val="none"/>
          <w:lang w:val="zh-CN"/>
        </w:rPr>
      </w:pPr>
      <w:r>
        <w:rPr>
          <w:rFonts w:hint="eastAsia" w:ascii="宋体" w:hAnsi="宋体" w:eastAsia="宋体" w:cs="宋体"/>
          <w:b/>
          <w:bCs/>
          <w:i w:val="0"/>
          <w:caps w:val="0"/>
          <w:color w:val="auto"/>
          <w:spacing w:val="0"/>
          <w:w w:val="100"/>
          <w:kern w:val="2"/>
          <w:sz w:val="24"/>
          <w:szCs w:val="20"/>
          <w:highlight w:val="none"/>
          <w:lang w:val="zh-CN"/>
        </w:rPr>
        <w:t>磋商响应人：                         （公章）</w:t>
      </w:r>
    </w:p>
    <w:p w14:paraId="0FA90641">
      <w:pPr>
        <w:widowControl w:val="0"/>
        <w:snapToGrid w:val="0"/>
        <w:spacing w:before="0" w:beforeAutospacing="0" w:after="0" w:afterAutospacing="0" w:line="360" w:lineRule="auto"/>
        <w:jc w:val="right"/>
        <w:textAlignment w:val="baseline"/>
        <w:rPr>
          <w:rFonts w:hint="eastAsia" w:ascii="宋体" w:hAnsi="宋体" w:eastAsia="宋体" w:cs="宋体"/>
          <w:b/>
          <w:bCs/>
          <w:i w:val="0"/>
          <w:caps w:val="0"/>
          <w:color w:val="auto"/>
          <w:spacing w:val="0"/>
          <w:w w:val="100"/>
          <w:kern w:val="2"/>
          <w:sz w:val="20"/>
          <w:szCs w:val="20"/>
          <w:highlight w:val="none"/>
          <w:lang w:val="zh-CN"/>
        </w:rPr>
      </w:pPr>
      <w:r>
        <w:rPr>
          <w:rFonts w:hint="eastAsia" w:ascii="宋体" w:hAnsi="宋体" w:eastAsia="宋体" w:cs="宋体"/>
          <w:b/>
          <w:bCs/>
          <w:i w:val="0"/>
          <w:caps w:val="0"/>
          <w:color w:val="auto"/>
          <w:spacing w:val="0"/>
          <w:w w:val="100"/>
          <w:kern w:val="2"/>
          <w:sz w:val="24"/>
          <w:szCs w:val="20"/>
          <w:highlight w:val="none"/>
          <w:lang w:val="zh-CN"/>
        </w:rPr>
        <w:t>法定代表人或委托代理人：           （签字）</w:t>
      </w:r>
    </w:p>
    <w:p w14:paraId="4EAEAACF">
      <w:pPr>
        <w:snapToGrid w:val="0"/>
        <w:spacing w:before="0" w:beforeAutospacing="0" w:after="0" w:afterAutospacing="0" w:line="360" w:lineRule="auto"/>
        <w:ind w:firstLine="426"/>
        <w:jc w:val="right"/>
        <w:textAlignment w:val="baseline"/>
        <w:rPr>
          <w:rFonts w:hint="eastAsia" w:ascii="宋体" w:hAnsi="宋体" w:eastAsia="宋体" w:cs="宋体"/>
          <w:b/>
          <w:bCs/>
          <w:i w:val="0"/>
          <w:caps w:val="0"/>
          <w:color w:val="auto"/>
          <w:spacing w:val="0"/>
          <w:w w:val="100"/>
          <w:kern w:val="2"/>
          <w:sz w:val="20"/>
          <w:szCs w:val="20"/>
          <w:highlight w:val="none"/>
          <w:lang w:val="zh-CN"/>
        </w:rPr>
      </w:pPr>
      <w:r>
        <w:rPr>
          <w:rFonts w:hint="eastAsia" w:ascii="宋体" w:hAnsi="宋体" w:eastAsia="宋体" w:cs="宋体"/>
          <w:b/>
          <w:bCs/>
          <w:i w:val="0"/>
          <w:caps w:val="0"/>
          <w:color w:val="auto"/>
          <w:spacing w:val="0"/>
          <w:w w:val="100"/>
          <w:kern w:val="2"/>
          <w:sz w:val="24"/>
          <w:szCs w:val="20"/>
          <w:highlight w:val="none"/>
          <w:lang w:val="zh-CN"/>
        </w:rPr>
        <w:t>年   月   日</w:t>
      </w:r>
    </w:p>
    <w:p w14:paraId="6185E4B6">
      <w:pPr>
        <w:snapToGrid w:val="0"/>
        <w:spacing w:before="0" w:beforeAutospacing="0" w:after="0" w:afterAutospacing="0" w:line="360" w:lineRule="auto"/>
        <w:ind w:firstLine="426"/>
        <w:jc w:val="right"/>
        <w:textAlignment w:val="baseline"/>
        <w:rPr>
          <w:rFonts w:hint="eastAsia" w:ascii="宋体" w:hAnsi="宋体" w:eastAsia="宋体" w:cs="宋体"/>
          <w:b/>
          <w:bCs/>
          <w:i w:val="0"/>
          <w:caps w:val="0"/>
          <w:color w:val="auto"/>
          <w:spacing w:val="0"/>
          <w:w w:val="100"/>
          <w:kern w:val="2"/>
          <w:sz w:val="20"/>
          <w:szCs w:val="20"/>
          <w:highlight w:val="none"/>
          <w:lang w:val="zh-CN"/>
        </w:rPr>
      </w:pPr>
      <w:r>
        <w:rPr>
          <w:rFonts w:hint="eastAsia" w:ascii="宋体" w:hAnsi="宋体" w:eastAsia="宋体" w:cs="宋体"/>
          <w:b/>
          <w:bCs/>
          <w:i w:val="0"/>
          <w:caps w:val="0"/>
          <w:color w:val="auto"/>
          <w:spacing w:val="0"/>
          <w:w w:val="100"/>
          <w:kern w:val="2"/>
          <w:sz w:val="24"/>
          <w:szCs w:val="20"/>
          <w:highlight w:val="none"/>
          <w:lang w:val="zh-CN"/>
        </w:rPr>
        <w:br w:type="page"/>
      </w:r>
    </w:p>
    <w:p w14:paraId="7929114C">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26" w:name="_Toc10867"/>
      <w:bookmarkStart w:id="1227" w:name="_Toc20267"/>
      <w:bookmarkStart w:id="1228" w:name="_Toc30593"/>
      <w:bookmarkStart w:id="1229" w:name="_Toc27484"/>
      <w:r>
        <w:rPr>
          <w:rFonts w:hint="eastAsia" w:ascii="宋体" w:hAnsi="宋体" w:eastAsia="宋体" w:cs="宋体"/>
          <w:b/>
          <w:bCs/>
          <w:i w:val="0"/>
          <w:caps w:val="0"/>
          <w:color w:val="auto"/>
          <w:spacing w:val="0"/>
          <w:w w:val="100"/>
          <w:sz w:val="24"/>
          <w:szCs w:val="32"/>
          <w:highlight w:val="none"/>
          <w:lang w:val="en-US" w:eastAsia="zh-CN" w:bidi="ar-SA"/>
        </w:rPr>
        <w:t>二、首次报价表格式</w:t>
      </w:r>
      <w:bookmarkEnd w:id="1226"/>
      <w:bookmarkEnd w:id="1227"/>
      <w:bookmarkEnd w:id="1228"/>
      <w:bookmarkEnd w:id="1229"/>
    </w:p>
    <w:p w14:paraId="5BFD802D">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rPr>
      </w:pPr>
      <w:r>
        <w:rPr>
          <w:rFonts w:hint="eastAsia" w:ascii="宋体" w:hAnsi="宋体" w:eastAsia="宋体" w:cs="宋体"/>
          <w:b/>
          <w:i w:val="0"/>
          <w:caps w:val="0"/>
          <w:color w:val="auto"/>
          <w:spacing w:val="0"/>
          <w:w w:val="100"/>
          <w:sz w:val="24"/>
          <w:highlight w:val="none"/>
          <w:lang w:eastAsia="zh-CN"/>
        </w:rPr>
        <w:t>首次</w:t>
      </w:r>
      <w:r>
        <w:rPr>
          <w:rFonts w:hint="eastAsia" w:ascii="宋体" w:hAnsi="宋体" w:eastAsia="宋体" w:cs="宋体"/>
          <w:b/>
          <w:i w:val="0"/>
          <w:caps w:val="0"/>
          <w:color w:val="auto"/>
          <w:spacing w:val="0"/>
          <w:w w:val="100"/>
          <w:sz w:val="24"/>
          <w:highlight w:val="none"/>
        </w:rPr>
        <w:t>报价表</w:t>
      </w:r>
    </w:p>
    <w:p w14:paraId="22CCEAE5">
      <w:pPr>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 xml:space="preserve">磋商响应人名称：                                                                   </w:t>
      </w:r>
      <w:r>
        <w:rPr>
          <w:rFonts w:hint="eastAsia" w:ascii="宋体" w:hAnsi="宋体" w:cs="宋体"/>
          <w:b w:val="0"/>
          <w:i w:val="0"/>
          <w:caps w:val="0"/>
          <w:color w:val="auto"/>
          <w:spacing w:val="0"/>
          <w:w w:val="100"/>
          <w:sz w:val="24"/>
          <w:highlight w:val="none"/>
          <w:lang w:eastAsia="zh-CN"/>
        </w:rPr>
        <w:t>项目编号</w:t>
      </w:r>
      <w:r>
        <w:rPr>
          <w:rFonts w:hint="eastAsia" w:ascii="宋体" w:hAnsi="宋体" w:eastAsia="宋体" w:cs="宋体"/>
          <w:b w:val="0"/>
          <w:i w:val="0"/>
          <w:caps w:val="0"/>
          <w:color w:val="auto"/>
          <w:spacing w:val="0"/>
          <w:w w:val="100"/>
          <w:sz w:val="24"/>
          <w:highlight w:val="none"/>
        </w:rPr>
        <w:t>：</w:t>
      </w:r>
      <w:r>
        <w:rPr>
          <w:rFonts w:hint="eastAsia" w:ascii="宋体" w:hAnsi="宋体" w:eastAsia="宋体" w:cs="宋体"/>
          <w:b w:val="0"/>
          <w:i w:val="0"/>
          <w:caps w:val="0"/>
          <w:color w:val="auto"/>
          <w:spacing w:val="0"/>
          <w:w w:val="100"/>
          <w:sz w:val="24"/>
          <w:highlight w:val="none"/>
          <w:lang w:val="en-US" w:eastAsia="zh-CN"/>
        </w:rPr>
        <w:t xml:space="preserve">                       </w:t>
      </w:r>
      <w:r>
        <w:rPr>
          <w:rFonts w:hint="eastAsia" w:ascii="宋体" w:hAnsi="宋体" w:eastAsia="宋体" w:cs="宋体"/>
          <w:b w:val="0"/>
          <w:i w:val="0"/>
          <w:caps w:val="0"/>
          <w:color w:val="auto"/>
          <w:spacing w:val="0"/>
          <w:w w:val="100"/>
          <w:sz w:val="24"/>
          <w:highlight w:val="none"/>
        </w:rPr>
        <w:t>单位：</w:t>
      </w:r>
      <w:r>
        <w:rPr>
          <w:rFonts w:hint="eastAsia" w:ascii="宋体" w:hAnsi="宋体" w:eastAsia="宋体" w:cs="宋体"/>
          <w:b w:val="0"/>
          <w:bCs/>
          <w:i w:val="0"/>
          <w:caps w:val="0"/>
          <w:color w:val="auto"/>
          <w:spacing w:val="0"/>
          <w:w w:val="100"/>
          <w:sz w:val="24"/>
          <w:highlight w:val="none"/>
        </w:rPr>
        <w:t>人民币（元）</w:t>
      </w:r>
    </w:p>
    <w:tbl>
      <w:tblPr>
        <w:tblStyle w:val="23"/>
        <w:tblpPr w:leftFromText="180" w:rightFromText="180" w:vertAnchor="text" w:horzAnchor="margin" w:tblpXSpec="center" w:tblpY="147"/>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11"/>
        <w:gridCol w:w="2003"/>
        <w:gridCol w:w="4044"/>
        <w:gridCol w:w="2140"/>
      </w:tblGrid>
      <w:tr w14:paraId="55BF8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111" w:type="dxa"/>
            <w:vAlign w:val="center"/>
          </w:tcPr>
          <w:p w14:paraId="159AAA07">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序号</w:t>
            </w:r>
          </w:p>
        </w:tc>
        <w:tc>
          <w:tcPr>
            <w:tcW w:w="2003" w:type="dxa"/>
            <w:vAlign w:val="center"/>
          </w:tcPr>
          <w:p w14:paraId="757D48B3">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项目名称</w:t>
            </w:r>
          </w:p>
        </w:tc>
        <w:tc>
          <w:tcPr>
            <w:tcW w:w="4044" w:type="dxa"/>
            <w:vAlign w:val="center"/>
          </w:tcPr>
          <w:p w14:paraId="6BD05F42">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投标总价（元）</w:t>
            </w:r>
          </w:p>
        </w:tc>
        <w:tc>
          <w:tcPr>
            <w:tcW w:w="2140" w:type="dxa"/>
            <w:vAlign w:val="center"/>
          </w:tcPr>
          <w:p w14:paraId="445F4368">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工期</w:t>
            </w:r>
          </w:p>
          <w:p w14:paraId="6BB845C4">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（日历</w:t>
            </w:r>
            <w:r>
              <w:rPr>
                <w:rFonts w:hint="eastAsia" w:ascii="宋体" w:hAnsi="宋体" w:eastAsia="宋体" w:cs="宋体"/>
                <w:b w:val="0"/>
                <w:i w:val="0"/>
                <w:caps w:val="0"/>
                <w:color w:val="auto"/>
                <w:spacing w:val="0"/>
                <w:w w:val="100"/>
                <w:sz w:val="24"/>
                <w:highlight w:val="none"/>
                <w:lang w:eastAsia="zh-CN"/>
              </w:rPr>
              <w:t>天</w:t>
            </w:r>
            <w:r>
              <w:rPr>
                <w:rFonts w:hint="eastAsia" w:ascii="宋体" w:hAnsi="宋体" w:eastAsia="宋体" w:cs="宋体"/>
                <w:b w:val="0"/>
                <w:i w:val="0"/>
                <w:caps w:val="0"/>
                <w:color w:val="auto"/>
                <w:spacing w:val="0"/>
                <w:w w:val="100"/>
                <w:sz w:val="24"/>
                <w:highlight w:val="none"/>
              </w:rPr>
              <w:t>）</w:t>
            </w:r>
          </w:p>
        </w:tc>
      </w:tr>
      <w:tr w14:paraId="7811AC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111" w:type="dxa"/>
            <w:vAlign w:val="center"/>
          </w:tcPr>
          <w:p w14:paraId="10477251">
            <w:pPr>
              <w:pStyle w:val="48"/>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sz w:val="24"/>
                <w:highlight w:val="none"/>
              </w:rPr>
            </w:pPr>
          </w:p>
        </w:tc>
        <w:tc>
          <w:tcPr>
            <w:tcW w:w="2003" w:type="dxa"/>
            <w:vAlign w:val="center"/>
          </w:tcPr>
          <w:p w14:paraId="1ABE5BE7">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p>
        </w:tc>
        <w:tc>
          <w:tcPr>
            <w:tcW w:w="4044" w:type="dxa"/>
            <w:vAlign w:val="center"/>
          </w:tcPr>
          <w:p w14:paraId="144BFE19">
            <w:pPr>
              <w:pStyle w:val="48"/>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大写：</w:t>
            </w:r>
          </w:p>
          <w:p w14:paraId="0D33B169">
            <w:pPr>
              <w:pStyle w:val="48"/>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小写：</w:t>
            </w:r>
          </w:p>
        </w:tc>
        <w:tc>
          <w:tcPr>
            <w:tcW w:w="2140" w:type="dxa"/>
            <w:vAlign w:val="center"/>
          </w:tcPr>
          <w:p w14:paraId="3723D640">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p>
        </w:tc>
      </w:tr>
      <w:tr w14:paraId="0B1B5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96" w:hRule="atLeast"/>
        </w:trPr>
        <w:tc>
          <w:tcPr>
            <w:tcW w:w="1111" w:type="dxa"/>
            <w:vAlign w:val="center"/>
          </w:tcPr>
          <w:p w14:paraId="589DF6FB">
            <w:pPr>
              <w:pStyle w:val="48"/>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sz w:val="24"/>
                <w:highlight w:val="none"/>
              </w:rPr>
            </w:pPr>
            <w:r>
              <w:rPr>
                <w:rFonts w:hint="eastAsia" w:ascii="宋体" w:hAnsi="宋体" w:eastAsia="宋体" w:cs="宋体"/>
                <w:b/>
                <w:bCs/>
                <w:i w:val="0"/>
                <w:caps w:val="0"/>
                <w:color w:val="auto"/>
                <w:spacing w:val="0"/>
                <w:w w:val="100"/>
                <w:sz w:val="24"/>
                <w:highlight w:val="none"/>
              </w:rPr>
              <w:t>合计</w:t>
            </w:r>
          </w:p>
        </w:tc>
        <w:tc>
          <w:tcPr>
            <w:tcW w:w="8187" w:type="dxa"/>
            <w:gridSpan w:val="3"/>
            <w:vAlign w:val="center"/>
          </w:tcPr>
          <w:p w14:paraId="063229E5">
            <w:pPr>
              <w:pStyle w:val="48"/>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大写：</w:t>
            </w:r>
          </w:p>
          <w:p w14:paraId="19E7BF24">
            <w:pPr>
              <w:pStyle w:val="48"/>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小写：</w:t>
            </w:r>
          </w:p>
        </w:tc>
      </w:tr>
      <w:tr w14:paraId="28970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56" w:hRule="atLeast"/>
        </w:trPr>
        <w:tc>
          <w:tcPr>
            <w:tcW w:w="9298" w:type="dxa"/>
            <w:gridSpan w:val="4"/>
            <w:vAlign w:val="center"/>
          </w:tcPr>
          <w:p w14:paraId="3B3FD698">
            <w:pPr>
              <w:pStyle w:val="48"/>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4"/>
                <w:highlight w:val="none"/>
              </w:rPr>
            </w:pPr>
            <w:r>
              <w:rPr>
                <w:rFonts w:hint="eastAsia" w:ascii="宋体" w:hAnsi="宋体" w:eastAsia="宋体" w:cs="宋体"/>
                <w:b w:val="0"/>
                <w:i w:val="0"/>
                <w:caps w:val="0"/>
                <w:color w:val="auto"/>
                <w:spacing w:val="0"/>
                <w:w w:val="100"/>
                <w:sz w:val="24"/>
                <w:highlight w:val="none"/>
              </w:rPr>
              <w:t>优惠承诺及其他：</w:t>
            </w:r>
          </w:p>
        </w:tc>
      </w:tr>
    </w:tbl>
    <w:p w14:paraId="1A790151">
      <w:pPr>
        <w:keepLines w:val="0"/>
        <w:widowControl/>
        <w:snapToGrid w:val="0"/>
        <w:spacing w:before="0" w:beforeAutospacing="0" w:after="0" w:afterAutospacing="0" w:line="360" w:lineRule="auto"/>
        <w:ind w:firstLine="0" w:firstLineChars="0"/>
        <w:textAlignment w:val="baseline"/>
        <w:rPr>
          <w:rFonts w:hint="eastAsia" w:ascii="宋体" w:hAnsi="宋体" w:eastAsia="宋体" w:cs="宋体"/>
          <w:b/>
          <w:i w:val="0"/>
          <w:caps w:val="0"/>
          <w:color w:val="auto"/>
          <w:spacing w:val="0"/>
          <w:w w:val="100"/>
          <w:sz w:val="20"/>
          <w:highlight w:val="none"/>
        </w:rPr>
      </w:pPr>
      <w:r>
        <w:rPr>
          <w:rFonts w:hint="eastAsia" w:ascii="宋体" w:hAnsi="宋体" w:eastAsia="宋体" w:cs="宋体"/>
          <w:b/>
          <w:i w:val="0"/>
          <w:caps w:val="0"/>
          <w:color w:val="auto"/>
          <w:spacing w:val="0"/>
          <w:w w:val="100"/>
          <w:sz w:val="24"/>
          <w:highlight w:val="none"/>
        </w:rPr>
        <w:t>注：</w:t>
      </w:r>
    </w:p>
    <w:p w14:paraId="0C25C2DE">
      <w:pPr>
        <w:keepLines w:val="0"/>
        <w:widowControl/>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1、填写此表时不得改变表格的形式。</w:t>
      </w:r>
    </w:p>
    <w:p w14:paraId="718CC5A2">
      <w:pPr>
        <w:keepLines w:val="0"/>
        <w:widowControl/>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lang w:val="zh-CN"/>
        </w:rPr>
        <w:t>2、“首次报价表”须为打印版，手写无效。</w:t>
      </w:r>
    </w:p>
    <w:p w14:paraId="4A93B260">
      <w:pPr>
        <w:keepLines w:val="0"/>
        <w:widowControl/>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3、工期是指签订合同后多少个日历日内交付使用或完工。</w:t>
      </w:r>
    </w:p>
    <w:p w14:paraId="2236C2A6">
      <w:pPr>
        <w:keepLines w:val="0"/>
        <w:widowControl/>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highlight w:val="none"/>
          <w:lang w:eastAsia="zh-CN"/>
        </w:rPr>
      </w:pPr>
      <w:r>
        <w:rPr>
          <w:rFonts w:hint="eastAsia" w:ascii="宋体" w:hAnsi="宋体" w:eastAsia="宋体" w:cs="宋体"/>
          <w:b w:val="0"/>
          <w:i w:val="0"/>
          <w:caps w:val="0"/>
          <w:color w:val="auto"/>
          <w:spacing w:val="0"/>
          <w:w w:val="100"/>
          <w:sz w:val="24"/>
          <w:highlight w:val="none"/>
        </w:rPr>
        <w:t>4、报价应是本</w:t>
      </w:r>
      <w:r>
        <w:rPr>
          <w:rFonts w:hint="eastAsia" w:ascii="宋体" w:hAnsi="宋体" w:eastAsia="宋体" w:cs="宋体"/>
          <w:b w:val="0"/>
          <w:i w:val="0"/>
          <w:caps w:val="0"/>
          <w:color w:val="auto"/>
          <w:spacing w:val="0"/>
          <w:w w:val="100"/>
          <w:sz w:val="24"/>
          <w:highlight w:val="none"/>
          <w:lang w:eastAsia="zh-CN"/>
        </w:rPr>
        <w:t>响应</w:t>
      </w:r>
      <w:r>
        <w:rPr>
          <w:rFonts w:hint="eastAsia" w:ascii="宋体" w:hAnsi="宋体" w:eastAsia="宋体" w:cs="宋体"/>
          <w:b w:val="0"/>
          <w:i w:val="0"/>
          <w:caps w:val="0"/>
          <w:color w:val="auto"/>
          <w:spacing w:val="0"/>
          <w:w w:val="100"/>
          <w:sz w:val="24"/>
          <w:highlight w:val="none"/>
        </w:rPr>
        <w:t>文件所确定的全部工作内容的价格体现。其应包括</w:t>
      </w:r>
      <w:r>
        <w:rPr>
          <w:rFonts w:hint="eastAsia" w:ascii="宋体" w:hAnsi="宋体" w:cs="宋体"/>
          <w:b w:val="0"/>
          <w:i w:val="0"/>
          <w:caps w:val="0"/>
          <w:color w:val="auto"/>
          <w:spacing w:val="0"/>
          <w:w w:val="100"/>
          <w:sz w:val="24"/>
          <w:highlight w:val="none"/>
          <w:lang w:eastAsia="zh-CN"/>
        </w:rPr>
        <w:t>施工设备、劳务、管理、材料、安装、维护、税金及人工费、材料费、机械费、措施项目费等政策性文件规定的各项应有费用。</w:t>
      </w:r>
    </w:p>
    <w:p w14:paraId="0B158BAE">
      <w:pPr>
        <w:keepLines w:val="0"/>
        <w:widowControl/>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5、</w:t>
      </w:r>
      <w:r>
        <w:rPr>
          <w:rFonts w:hint="eastAsia" w:ascii="宋体" w:hAnsi="宋体" w:eastAsia="宋体" w:cs="宋体"/>
          <w:b w:val="0"/>
          <w:i w:val="0"/>
          <w:caps w:val="0"/>
          <w:color w:val="auto"/>
          <w:spacing w:val="0"/>
          <w:w w:val="100"/>
          <w:sz w:val="24"/>
          <w:highlight w:val="none"/>
          <w:lang w:eastAsia="zh-CN"/>
        </w:rPr>
        <w:t>磋商响应人</w:t>
      </w:r>
      <w:r>
        <w:rPr>
          <w:rFonts w:hint="eastAsia" w:ascii="宋体" w:hAnsi="宋体" w:eastAsia="宋体" w:cs="宋体"/>
          <w:b w:val="0"/>
          <w:i w:val="0"/>
          <w:caps w:val="0"/>
          <w:color w:val="auto"/>
          <w:spacing w:val="0"/>
          <w:w w:val="100"/>
          <w:sz w:val="24"/>
          <w:highlight w:val="none"/>
        </w:rPr>
        <w:t>如果需要对报价、服务或其它内容加以说明，可在“优惠条件及其他承诺”一栏中填写。</w:t>
      </w:r>
    </w:p>
    <w:p w14:paraId="76593ECE">
      <w:pPr>
        <w:keepLines w:val="0"/>
        <w:widowControl/>
        <w:snapToGrid w:val="0"/>
        <w:spacing w:before="0" w:beforeAutospacing="0" w:after="0" w:afterAutospacing="0" w:line="360" w:lineRule="auto"/>
        <w:ind w:firstLine="0" w:firstLineChars="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6、响应文件的报价大写金额和小写金额不一致时，以大写金额为准。</w:t>
      </w:r>
    </w:p>
    <w:p w14:paraId="5CC367AE">
      <w:pPr>
        <w:keepLines w:val="0"/>
        <w:widowControl/>
        <w:snapToGrid w:val="0"/>
        <w:spacing w:before="0" w:beforeAutospacing="0" w:after="0" w:afterAutospacing="0" w:line="360" w:lineRule="auto"/>
        <w:ind w:firstLine="0" w:firstLineChars="0"/>
        <w:jc w:val="right"/>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磋商响应人名称（盖章）：</w:t>
      </w:r>
    </w:p>
    <w:p w14:paraId="2070ED90">
      <w:pPr>
        <w:keepLines w:val="0"/>
        <w:widowControl/>
        <w:snapToGrid w:val="0"/>
        <w:spacing w:before="0" w:beforeAutospacing="0" w:after="0" w:afterAutospacing="0" w:line="360" w:lineRule="auto"/>
        <w:ind w:firstLine="0" w:firstLineChars="0"/>
        <w:jc w:val="right"/>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法定代表人或委托代理人（签字）：</w:t>
      </w:r>
    </w:p>
    <w:p w14:paraId="7136DF61">
      <w:pPr>
        <w:snapToGrid w:val="0"/>
        <w:spacing w:before="0" w:beforeAutospacing="0" w:after="0" w:afterAutospacing="0" w:line="360" w:lineRule="auto"/>
        <w:ind w:firstLine="426"/>
        <w:jc w:val="right"/>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年   月    日</w:t>
      </w:r>
    </w:p>
    <w:p w14:paraId="2E258BD8">
      <w:pPr>
        <w:pStyle w:val="21"/>
        <w:snapToGrid w:val="0"/>
        <w:spacing w:before="0" w:beforeAutospacing="0" w:after="0" w:afterAutospacing="0" w:line="360" w:lineRule="auto"/>
        <w:jc w:val="left"/>
        <w:textAlignment w:val="baseline"/>
        <w:outlineLvl w:val="9"/>
        <w:rPr>
          <w:rFonts w:hint="eastAsia" w:ascii="宋体" w:hAnsi="宋体" w:eastAsia="宋体" w:cs="宋体"/>
          <w:b/>
          <w:i w:val="0"/>
          <w:caps w:val="0"/>
          <w:color w:val="auto"/>
          <w:spacing w:val="0"/>
          <w:w w:val="100"/>
          <w:sz w:val="36"/>
          <w:highlight w:val="none"/>
        </w:rPr>
      </w:pPr>
      <w:r>
        <w:rPr>
          <w:rFonts w:hint="eastAsia" w:ascii="宋体" w:hAnsi="宋体" w:eastAsia="宋体" w:cs="宋体"/>
          <w:b/>
          <w:i w:val="0"/>
          <w:caps w:val="0"/>
          <w:color w:val="auto"/>
          <w:spacing w:val="0"/>
          <w:w w:val="100"/>
          <w:sz w:val="36"/>
          <w:highlight w:val="none"/>
        </w:rPr>
        <w:br w:type="page"/>
      </w:r>
    </w:p>
    <w:p w14:paraId="4C681B27">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30" w:name="_Toc29979"/>
      <w:bookmarkStart w:id="1231" w:name="_Toc30487"/>
      <w:r>
        <w:rPr>
          <w:rFonts w:hint="eastAsia" w:ascii="宋体" w:hAnsi="宋体" w:eastAsia="宋体" w:cs="宋体"/>
          <w:b/>
          <w:bCs/>
          <w:i w:val="0"/>
          <w:caps w:val="0"/>
          <w:color w:val="auto"/>
          <w:spacing w:val="0"/>
          <w:w w:val="100"/>
          <w:sz w:val="24"/>
          <w:szCs w:val="32"/>
          <w:highlight w:val="none"/>
          <w:lang w:val="en-US" w:eastAsia="zh-CN" w:bidi="ar-SA"/>
        </w:rPr>
        <w:t>三、</w:t>
      </w:r>
      <w:bookmarkStart w:id="1232" w:name="_Toc416965480"/>
      <w:r>
        <w:rPr>
          <w:rFonts w:hint="eastAsia" w:ascii="宋体" w:hAnsi="宋体" w:eastAsia="宋体" w:cs="宋体"/>
          <w:b/>
          <w:bCs/>
          <w:i w:val="0"/>
          <w:caps w:val="0"/>
          <w:color w:val="auto"/>
          <w:spacing w:val="0"/>
          <w:w w:val="100"/>
          <w:sz w:val="24"/>
          <w:szCs w:val="32"/>
          <w:highlight w:val="none"/>
          <w:lang w:val="en-US" w:eastAsia="zh-CN" w:bidi="ar-SA"/>
        </w:rPr>
        <w:t>法定代表人证明书</w:t>
      </w:r>
      <w:bookmarkEnd w:id="1230"/>
      <w:bookmarkEnd w:id="1231"/>
    </w:p>
    <w:p w14:paraId="347CDB1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8"/>
          <w:szCs w:val="28"/>
          <w:highlight w:val="none"/>
          <w:lang w:val="zh-CN"/>
        </w:rPr>
      </w:pPr>
    </w:p>
    <w:p w14:paraId="533E0E1A">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lang w:val="zh-CN" w:eastAsia="zh-CN"/>
        </w:rPr>
      </w:pPr>
      <w:r>
        <w:rPr>
          <w:rFonts w:hint="eastAsia" w:ascii="宋体" w:hAnsi="宋体" w:eastAsia="宋体" w:cs="宋体"/>
          <w:b/>
          <w:i w:val="0"/>
          <w:caps w:val="0"/>
          <w:color w:val="auto"/>
          <w:spacing w:val="0"/>
          <w:w w:val="100"/>
          <w:sz w:val="24"/>
          <w:highlight w:val="none"/>
          <w:lang w:val="zh-CN" w:eastAsia="zh-CN"/>
        </w:rPr>
        <w:t>法定代表人证明书</w:t>
      </w:r>
    </w:p>
    <w:p w14:paraId="25EA02D3">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kern w:val="0"/>
          <w:sz w:val="28"/>
          <w:szCs w:val="28"/>
          <w:highlight w:val="none"/>
          <w:lang w:val="zh-CN"/>
        </w:rPr>
      </w:pPr>
    </w:p>
    <w:p w14:paraId="1A8DD640">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kern w:val="0"/>
          <w:sz w:val="20"/>
          <w:highlight w:val="none"/>
          <w:u w:val="single"/>
          <w:lang w:eastAsia="zh-CN"/>
        </w:rPr>
      </w:pPr>
      <w:r>
        <w:rPr>
          <w:rFonts w:hint="eastAsia" w:ascii="宋体" w:hAnsi="宋体" w:eastAsia="宋体" w:cs="宋体"/>
          <w:b/>
          <w:bCs/>
          <w:i w:val="0"/>
          <w:caps w:val="0"/>
          <w:color w:val="auto"/>
          <w:spacing w:val="0"/>
          <w:w w:val="100"/>
          <w:kern w:val="0"/>
          <w:sz w:val="24"/>
          <w:highlight w:val="none"/>
          <w:lang w:val="zh-CN"/>
        </w:rPr>
        <w:t>致：</w:t>
      </w:r>
      <w:r>
        <w:rPr>
          <w:rFonts w:hint="eastAsia" w:ascii="宋体" w:hAnsi="宋体" w:cs="宋体"/>
          <w:b/>
          <w:bCs/>
          <w:i w:val="0"/>
          <w:caps w:val="0"/>
          <w:color w:val="auto"/>
          <w:spacing w:val="0"/>
          <w:w w:val="100"/>
          <w:kern w:val="0"/>
          <w:sz w:val="24"/>
          <w:highlight w:val="none"/>
          <w:u w:val="single" w:color="000000"/>
          <w:lang w:eastAsia="zh-CN"/>
        </w:rPr>
        <w:t>青海佳荣工程项目管理有限公司</w:t>
      </w:r>
    </w:p>
    <w:p w14:paraId="3792108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 xml:space="preserve">    </w:t>
      </w:r>
      <w:r>
        <w:rPr>
          <w:rFonts w:hint="eastAsia" w:ascii="宋体" w:hAnsi="宋体" w:eastAsia="宋体" w:cs="宋体"/>
          <w:b w:val="0"/>
          <w:i w:val="0"/>
          <w:caps w:val="0"/>
          <w:color w:val="auto"/>
          <w:spacing w:val="0"/>
          <w:w w:val="100"/>
          <w:kern w:val="0"/>
          <w:sz w:val="24"/>
          <w:highlight w:val="none"/>
          <w:u w:val="single" w:color="000000"/>
          <w:lang w:val="zh-CN"/>
        </w:rPr>
        <w:t>（法定代表人姓名）</w:t>
      </w:r>
      <w:r>
        <w:rPr>
          <w:rFonts w:hint="eastAsia" w:ascii="宋体" w:hAnsi="宋体" w:eastAsia="宋体" w:cs="宋体"/>
          <w:b w:val="0"/>
          <w:i w:val="0"/>
          <w:caps w:val="0"/>
          <w:color w:val="auto"/>
          <w:spacing w:val="0"/>
          <w:w w:val="100"/>
          <w:kern w:val="0"/>
          <w:sz w:val="24"/>
          <w:highlight w:val="none"/>
          <w:lang w:val="zh-CN"/>
        </w:rPr>
        <w:t>现任我单位</w:t>
      </w:r>
      <w:r>
        <w:rPr>
          <w:rFonts w:hint="eastAsia" w:ascii="宋体" w:hAnsi="宋体" w:eastAsia="宋体" w:cs="宋体"/>
          <w:b w:val="0"/>
          <w:i w:val="0"/>
          <w:caps w:val="0"/>
          <w:color w:val="auto"/>
          <w:spacing w:val="0"/>
          <w:w w:val="100"/>
          <w:kern w:val="0"/>
          <w:sz w:val="24"/>
          <w:highlight w:val="none"/>
          <w:u w:val="single" w:color="000000"/>
          <w:lang w:val="zh-CN"/>
        </w:rPr>
        <w:t xml:space="preserve">      </w:t>
      </w:r>
      <w:r>
        <w:rPr>
          <w:rFonts w:hint="eastAsia" w:ascii="宋体" w:hAnsi="宋体" w:eastAsia="宋体" w:cs="宋体"/>
          <w:b w:val="0"/>
          <w:i w:val="0"/>
          <w:caps w:val="0"/>
          <w:color w:val="auto"/>
          <w:spacing w:val="0"/>
          <w:w w:val="100"/>
          <w:kern w:val="0"/>
          <w:sz w:val="24"/>
          <w:highlight w:val="none"/>
          <w:lang w:val="zh-CN"/>
        </w:rPr>
        <w:t>职务，为法定代表人，特此证明。</w:t>
      </w:r>
    </w:p>
    <w:p w14:paraId="1679990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194BA56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法定代表人基本情况：</w:t>
      </w:r>
    </w:p>
    <w:p w14:paraId="68489CA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u w:val="single"/>
          <w:lang w:val="zh-CN"/>
        </w:rPr>
      </w:pPr>
      <w:r>
        <w:rPr>
          <w:rFonts w:hint="eastAsia" w:ascii="宋体" w:hAnsi="宋体" w:eastAsia="宋体" w:cs="宋体"/>
          <w:b w:val="0"/>
          <w:i w:val="0"/>
          <w:caps w:val="0"/>
          <w:color w:val="auto"/>
          <w:spacing w:val="0"/>
          <w:w w:val="100"/>
          <w:kern w:val="0"/>
          <w:sz w:val="24"/>
          <w:highlight w:val="none"/>
          <w:lang w:val="zh-CN"/>
        </w:rPr>
        <w:t>性别：</w:t>
      </w:r>
      <w:r>
        <w:rPr>
          <w:rFonts w:hint="eastAsia" w:ascii="宋体" w:hAnsi="宋体" w:eastAsia="宋体" w:cs="宋体"/>
          <w:b w:val="0"/>
          <w:i w:val="0"/>
          <w:caps w:val="0"/>
          <w:color w:val="auto"/>
          <w:spacing w:val="0"/>
          <w:w w:val="100"/>
          <w:kern w:val="0"/>
          <w:sz w:val="24"/>
          <w:highlight w:val="none"/>
          <w:u w:val="single" w:color="000000"/>
          <w:lang w:val="zh-CN"/>
        </w:rPr>
        <w:t xml:space="preserve">           </w:t>
      </w:r>
      <w:r>
        <w:rPr>
          <w:rFonts w:hint="eastAsia" w:ascii="宋体" w:hAnsi="宋体" w:eastAsia="宋体" w:cs="宋体"/>
          <w:b w:val="0"/>
          <w:i w:val="0"/>
          <w:caps w:val="0"/>
          <w:color w:val="auto"/>
          <w:spacing w:val="0"/>
          <w:w w:val="100"/>
          <w:kern w:val="0"/>
          <w:sz w:val="24"/>
          <w:highlight w:val="none"/>
          <w:lang w:val="zh-CN"/>
        </w:rPr>
        <w:t>年龄：</w:t>
      </w:r>
      <w:r>
        <w:rPr>
          <w:rFonts w:hint="eastAsia" w:ascii="宋体" w:hAnsi="宋体" w:eastAsia="宋体" w:cs="宋体"/>
          <w:b w:val="0"/>
          <w:i w:val="0"/>
          <w:caps w:val="0"/>
          <w:color w:val="auto"/>
          <w:spacing w:val="0"/>
          <w:w w:val="100"/>
          <w:kern w:val="0"/>
          <w:sz w:val="24"/>
          <w:highlight w:val="none"/>
          <w:u w:val="single" w:color="000000"/>
          <w:lang w:val="zh-CN"/>
        </w:rPr>
        <w:t xml:space="preserve">           </w:t>
      </w:r>
      <w:r>
        <w:rPr>
          <w:rFonts w:hint="eastAsia" w:ascii="宋体" w:hAnsi="宋体" w:eastAsia="宋体" w:cs="宋体"/>
          <w:b w:val="0"/>
          <w:i w:val="0"/>
          <w:caps w:val="0"/>
          <w:color w:val="auto"/>
          <w:spacing w:val="0"/>
          <w:w w:val="100"/>
          <w:kern w:val="0"/>
          <w:sz w:val="24"/>
          <w:highlight w:val="none"/>
          <w:lang w:val="zh-CN"/>
        </w:rPr>
        <w:t xml:space="preserve"> 民族：</w:t>
      </w:r>
      <w:r>
        <w:rPr>
          <w:rFonts w:hint="eastAsia" w:ascii="宋体" w:hAnsi="宋体" w:eastAsia="宋体" w:cs="宋体"/>
          <w:b w:val="0"/>
          <w:i w:val="0"/>
          <w:caps w:val="0"/>
          <w:color w:val="auto"/>
          <w:spacing w:val="0"/>
          <w:w w:val="100"/>
          <w:kern w:val="0"/>
          <w:sz w:val="24"/>
          <w:highlight w:val="none"/>
          <w:u w:val="single" w:color="000000"/>
          <w:lang w:val="zh-CN"/>
        </w:rPr>
        <w:t xml:space="preserve">         </w:t>
      </w:r>
    </w:p>
    <w:p w14:paraId="4852F5F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u w:val="single"/>
          <w:lang w:val="zh-CN"/>
        </w:rPr>
      </w:pPr>
      <w:r>
        <w:rPr>
          <w:rFonts w:hint="eastAsia" w:ascii="宋体" w:hAnsi="宋体" w:eastAsia="宋体" w:cs="宋体"/>
          <w:b w:val="0"/>
          <w:i w:val="0"/>
          <w:caps w:val="0"/>
          <w:color w:val="auto"/>
          <w:spacing w:val="0"/>
          <w:w w:val="100"/>
          <w:kern w:val="0"/>
          <w:sz w:val="24"/>
          <w:highlight w:val="none"/>
          <w:lang w:val="zh-CN"/>
        </w:rPr>
        <w:t>地址：</w:t>
      </w:r>
    </w:p>
    <w:p w14:paraId="582FF06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身份证号码：</w:t>
      </w:r>
    </w:p>
    <w:p w14:paraId="7A448A6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0B11324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附法定代表人第二代身份证双面扫描（或复印）件）</w:t>
      </w:r>
    </w:p>
    <w:p w14:paraId="7C57BB0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76D3D5A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3F08524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7523B108">
      <w:pPr>
        <w:snapToGrid w:val="0"/>
        <w:spacing w:before="0" w:beforeAutospacing="0" w:after="0" w:afterAutospacing="0" w:line="360" w:lineRule="auto"/>
        <w:jc w:val="right"/>
        <w:textAlignment w:val="baseline"/>
        <w:rPr>
          <w:rFonts w:hint="eastAsia" w:ascii="宋体" w:hAnsi="宋体" w:eastAsia="宋体" w:cs="宋体"/>
          <w:b/>
          <w:bCs/>
          <w:i w:val="0"/>
          <w:caps w:val="0"/>
          <w:color w:val="auto"/>
          <w:spacing w:val="0"/>
          <w:w w:val="100"/>
          <w:sz w:val="20"/>
          <w:highlight w:val="none"/>
        </w:rPr>
      </w:pPr>
      <w:r>
        <w:rPr>
          <w:rFonts w:hint="eastAsia" w:ascii="宋体" w:hAnsi="宋体" w:eastAsia="宋体" w:cs="宋体"/>
          <w:b/>
          <w:bCs/>
          <w:i w:val="0"/>
          <w:caps w:val="0"/>
          <w:color w:val="auto"/>
          <w:spacing w:val="0"/>
          <w:w w:val="100"/>
          <w:sz w:val="24"/>
          <w:highlight w:val="none"/>
          <w:lang w:val="zh-CN"/>
        </w:rPr>
        <w:t xml:space="preserve">磋商响应人名称：   </w:t>
      </w:r>
      <w:r>
        <w:rPr>
          <w:rFonts w:hint="eastAsia" w:ascii="宋体" w:hAnsi="宋体" w:eastAsia="宋体" w:cs="宋体"/>
          <w:b/>
          <w:bCs/>
          <w:i w:val="0"/>
          <w:caps w:val="0"/>
          <w:color w:val="auto"/>
          <w:spacing w:val="0"/>
          <w:w w:val="100"/>
          <w:sz w:val="24"/>
          <w:highlight w:val="none"/>
        </w:rPr>
        <w:t xml:space="preserve">   </w:t>
      </w:r>
      <w:r>
        <w:rPr>
          <w:rFonts w:hint="eastAsia" w:ascii="宋体" w:hAnsi="宋体" w:eastAsia="宋体" w:cs="宋体"/>
          <w:b/>
          <w:bCs/>
          <w:i w:val="0"/>
          <w:caps w:val="0"/>
          <w:color w:val="auto"/>
          <w:spacing w:val="0"/>
          <w:w w:val="100"/>
          <w:sz w:val="24"/>
          <w:highlight w:val="none"/>
          <w:lang w:val="zh-CN"/>
        </w:rPr>
        <w:t xml:space="preserve"> </w:t>
      </w:r>
      <w:r>
        <w:rPr>
          <w:rFonts w:hint="eastAsia" w:ascii="宋体" w:hAnsi="宋体" w:eastAsia="宋体" w:cs="宋体"/>
          <w:b/>
          <w:bCs/>
          <w:i w:val="0"/>
          <w:caps w:val="0"/>
          <w:color w:val="auto"/>
          <w:spacing w:val="0"/>
          <w:w w:val="100"/>
          <w:sz w:val="24"/>
          <w:highlight w:val="none"/>
        </w:rPr>
        <w:t xml:space="preserve">   </w:t>
      </w:r>
      <w:r>
        <w:rPr>
          <w:rFonts w:hint="eastAsia" w:ascii="宋体" w:hAnsi="宋体" w:eastAsia="宋体" w:cs="宋体"/>
          <w:b/>
          <w:bCs/>
          <w:i w:val="0"/>
          <w:caps w:val="0"/>
          <w:color w:val="auto"/>
          <w:spacing w:val="0"/>
          <w:w w:val="100"/>
          <w:sz w:val="24"/>
          <w:highlight w:val="none"/>
          <w:lang w:val="zh-CN"/>
        </w:rPr>
        <w:t xml:space="preserve">     </w:t>
      </w:r>
      <w:r>
        <w:rPr>
          <w:rFonts w:hint="eastAsia" w:ascii="宋体" w:hAnsi="宋体" w:eastAsia="宋体" w:cs="宋体"/>
          <w:b/>
          <w:bCs/>
          <w:i w:val="0"/>
          <w:caps w:val="0"/>
          <w:color w:val="auto"/>
          <w:spacing w:val="0"/>
          <w:w w:val="100"/>
          <w:sz w:val="24"/>
          <w:highlight w:val="none"/>
        </w:rPr>
        <w:t xml:space="preserve"> </w:t>
      </w:r>
      <w:r>
        <w:rPr>
          <w:rFonts w:hint="eastAsia" w:ascii="宋体" w:hAnsi="宋体" w:eastAsia="宋体" w:cs="宋体"/>
          <w:b/>
          <w:bCs/>
          <w:i w:val="0"/>
          <w:caps w:val="0"/>
          <w:color w:val="auto"/>
          <w:spacing w:val="0"/>
          <w:w w:val="100"/>
          <w:sz w:val="24"/>
          <w:highlight w:val="none"/>
          <w:lang w:val="zh-CN"/>
        </w:rPr>
        <w:t xml:space="preserve">  （公章）</w:t>
      </w:r>
      <w:r>
        <w:rPr>
          <w:rFonts w:hint="eastAsia" w:ascii="宋体" w:hAnsi="宋体" w:eastAsia="宋体" w:cs="宋体"/>
          <w:b/>
          <w:bCs/>
          <w:i w:val="0"/>
          <w:caps w:val="0"/>
          <w:color w:val="auto"/>
          <w:spacing w:val="0"/>
          <w:w w:val="100"/>
          <w:sz w:val="24"/>
          <w:highlight w:val="none"/>
        </w:rPr>
        <w:t xml:space="preserve">         </w:t>
      </w:r>
    </w:p>
    <w:p w14:paraId="41B12DD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bCs/>
          <w:i w:val="0"/>
          <w:caps w:val="0"/>
          <w:color w:val="auto"/>
          <w:spacing w:val="0"/>
          <w:w w:val="100"/>
          <w:kern w:val="0"/>
          <w:sz w:val="24"/>
          <w:highlight w:val="none"/>
          <w:lang w:val="en-US" w:eastAsia="zh-CN"/>
        </w:rPr>
        <w:t xml:space="preserve">                           </w:t>
      </w:r>
      <w:r>
        <w:rPr>
          <w:rFonts w:hint="eastAsia" w:ascii="宋体" w:hAnsi="宋体" w:eastAsia="宋体" w:cs="宋体"/>
          <w:b/>
          <w:bCs/>
          <w:i w:val="0"/>
          <w:caps w:val="0"/>
          <w:color w:val="auto"/>
          <w:spacing w:val="0"/>
          <w:w w:val="100"/>
          <w:kern w:val="0"/>
          <w:sz w:val="24"/>
          <w:highlight w:val="none"/>
          <w:lang w:val="zh-CN"/>
        </w:rPr>
        <w:t xml:space="preserve">年 </w:t>
      </w:r>
      <w:r>
        <w:rPr>
          <w:rFonts w:hint="eastAsia" w:ascii="宋体" w:hAnsi="宋体" w:eastAsia="宋体" w:cs="宋体"/>
          <w:b/>
          <w:bCs/>
          <w:i w:val="0"/>
          <w:caps w:val="0"/>
          <w:color w:val="auto"/>
          <w:spacing w:val="0"/>
          <w:w w:val="100"/>
          <w:kern w:val="0"/>
          <w:sz w:val="24"/>
          <w:highlight w:val="none"/>
        </w:rPr>
        <w:t xml:space="preserve"> </w:t>
      </w:r>
      <w:r>
        <w:rPr>
          <w:rFonts w:hint="eastAsia" w:ascii="宋体" w:hAnsi="宋体" w:eastAsia="宋体" w:cs="宋体"/>
          <w:b/>
          <w:bCs/>
          <w:i w:val="0"/>
          <w:caps w:val="0"/>
          <w:color w:val="auto"/>
          <w:spacing w:val="0"/>
          <w:w w:val="100"/>
          <w:kern w:val="0"/>
          <w:sz w:val="24"/>
          <w:highlight w:val="none"/>
          <w:lang w:val="zh-CN"/>
        </w:rPr>
        <w:t xml:space="preserve">  月  </w:t>
      </w:r>
      <w:r>
        <w:rPr>
          <w:rFonts w:hint="eastAsia" w:ascii="宋体" w:hAnsi="宋体" w:eastAsia="宋体" w:cs="宋体"/>
          <w:b/>
          <w:bCs/>
          <w:i w:val="0"/>
          <w:caps w:val="0"/>
          <w:color w:val="auto"/>
          <w:spacing w:val="0"/>
          <w:w w:val="100"/>
          <w:kern w:val="0"/>
          <w:sz w:val="24"/>
          <w:highlight w:val="none"/>
        </w:rPr>
        <w:t xml:space="preserve"> </w:t>
      </w:r>
      <w:r>
        <w:rPr>
          <w:rFonts w:hint="eastAsia" w:ascii="宋体" w:hAnsi="宋体" w:eastAsia="宋体" w:cs="宋体"/>
          <w:b/>
          <w:bCs/>
          <w:i w:val="0"/>
          <w:caps w:val="0"/>
          <w:color w:val="auto"/>
          <w:spacing w:val="0"/>
          <w:w w:val="100"/>
          <w:kern w:val="0"/>
          <w:sz w:val="24"/>
          <w:highlight w:val="none"/>
          <w:lang w:val="zh-CN"/>
        </w:rPr>
        <w:t xml:space="preserve"> 日</w:t>
      </w:r>
    </w:p>
    <w:p w14:paraId="73C797A7">
      <w:pPr>
        <w:snapToGrid w:val="0"/>
        <w:spacing w:before="0" w:beforeAutospacing="0" w:after="0" w:afterAutospacing="0" w:line="360" w:lineRule="auto"/>
        <w:jc w:val="right"/>
        <w:textAlignment w:val="baseline"/>
        <w:rPr>
          <w:rFonts w:hint="eastAsia" w:ascii="宋体" w:hAnsi="宋体" w:eastAsia="宋体" w:cs="宋体"/>
          <w:b/>
          <w:bCs/>
          <w:i w:val="0"/>
          <w:caps w:val="0"/>
          <w:color w:val="auto"/>
          <w:spacing w:val="0"/>
          <w:w w:val="100"/>
          <w:kern w:val="0"/>
          <w:sz w:val="20"/>
          <w:highlight w:val="none"/>
          <w:lang w:val="zh-CN"/>
        </w:rPr>
      </w:pPr>
    </w:p>
    <w:p w14:paraId="55631F5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0AF6AD56">
      <w:pPr>
        <w:widowControl w:val="0"/>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kern w:val="2"/>
          <w:sz w:val="20"/>
          <w:szCs w:val="20"/>
          <w:highlight w:val="none"/>
          <w:lang w:val="zh-CN"/>
        </w:rPr>
      </w:pPr>
      <w:r>
        <w:rPr>
          <w:rFonts w:hint="eastAsia" w:ascii="宋体" w:hAnsi="宋体" w:eastAsia="宋体" w:cs="宋体"/>
          <w:b w:val="0"/>
          <w:i w:val="0"/>
          <w:caps w:val="0"/>
          <w:color w:val="auto"/>
          <w:spacing w:val="0"/>
          <w:w w:val="100"/>
          <w:sz w:val="24"/>
          <w:highlight w:val="none"/>
          <w:lang w:val="zh-CN"/>
        </w:rPr>
        <w:br w:type="page"/>
      </w:r>
    </w:p>
    <w:p w14:paraId="1095F7A4">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zh-CN" w:eastAsia="zh-CN" w:bidi="ar-SA"/>
        </w:rPr>
      </w:pPr>
      <w:bookmarkStart w:id="1233" w:name="_Toc2775"/>
      <w:bookmarkStart w:id="1234" w:name="_Toc1492"/>
      <w:bookmarkStart w:id="1235" w:name="_Toc2466"/>
      <w:bookmarkStart w:id="1236" w:name="_Toc17012"/>
      <w:r>
        <w:rPr>
          <w:rFonts w:hint="eastAsia" w:ascii="宋体" w:hAnsi="宋体" w:eastAsia="宋体" w:cs="宋体"/>
          <w:b/>
          <w:bCs/>
          <w:i w:val="0"/>
          <w:caps w:val="0"/>
          <w:color w:val="auto"/>
          <w:spacing w:val="0"/>
          <w:w w:val="100"/>
          <w:sz w:val="24"/>
          <w:szCs w:val="32"/>
          <w:highlight w:val="none"/>
          <w:lang w:val="en-US" w:eastAsia="zh-CN" w:bidi="ar-SA"/>
        </w:rPr>
        <w:t>四、</w:t>
      </w:r>
      <w:bookmarkEnd w:id="1232"/>
      <w:r>
        <w:rPr>
          <w:rFonts w:hint="eastAsia" w:ascii="宋体" w:hAnsi="宋体" w:eastAsia="宋体" w:cs="宋体"/>
          <w:b/>
          <w:bCs/>
          <w:i w:val="0"/>
          <w:caps w:val="0"/>
          <w:color w:val="auto"/>
          <w:spacing w:val="0"/>
          <w:w w:val="100"/>
          <w:sz w:val="24"/>
          <w:szCs w:val="32"/>
          <w:highlight w:val="none"/>
          <w:lang w:val="zh-CN" w:eastAsia="zh-CN" w:bidi="ar-SA"/>
        </w:rPr>
        <w:t>法定代表人授权书</w:t>
      </w:r>
      <w:bookmarkEnd w:id="1233"/>
      <w:bookmarkEnd w:id="1234"/>
      <w:bookmarkEnd w:id="1235"/>
      <w:bookmarkEnd w:id="1236"/>
    </w:p>
    <w:p w14:paraId="4C4AC64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8"/>
          <w:szCs w:val="28"/>
          <w:highlight w:val="none"/>
          <w:lang w:val="zh-CN"/>
        </w:rPr>
      </w:pPr>
    </w:p>
    <w:p w14:paraId="39F14DE8">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lang w:val="zh-CN" w:eastAsia="zh-CN"/>
        </w:rPr>
      </w:pPr>
      <w:r>
        <w:rPr>
          <w:rFonts w:hint="eastAsia" w:ascii="宋体" w:hAnsi="宋体" w:eastAsia="宋体" w:cs="宋体"/>
          <w:b/>
          <w:i w:val="0"/>
          <w:caps w:val="0"/>
          <w:color w:val="auto"/>
          <w:spacing w:val="0"/>
          <w:w w:val="100"/>
          <w:sz w:val="24"/>
          <w:highlight w:val="none"/>
          <w:lang w:val="zh-CN" w:eastAsia="zh-CN"/>
        </w:rPr>
        <w:t>法定代表人授权书</w:t>
      </w:r>
    </w:p>
    <w:p w14:paraId="3E0F489B">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kern w:val="0"/>
          <w:sz w:val="28"/>
          <w:szCs w:val="28"/>
          <w:highlight w:val="none"/>
          <w:lang w:val="zh-CN"/>
        </w:rPr>
      </w:pPr>
    </w:p>
    <w:p w14:paraId="1D9CBAB2">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kern w:val="0"/>
          <w:sz w:val="20"/>
          <w:highlight w:val="none"/>
          <w:lang w:val="zh-CN" w:eastAsia="zh-CN"/>
        </w:rPr>
      </w:pPr>
      <w:r>
        <w:rPr>
          <w:rFonts w:hint="eastAsia" w:ascii="宋体" w:hAnsi="宋体" w:eastAsia="宋体" w:cs="宋体"/>
          <w:b/>
          <w:bCs/>
          <w:i w:val="0"/>
          <w:caps w:val="0"/>
          <w:color w:val="auto"/>
          <w:spacing w:val="0"/>
          <w:w w:val="100"/>
          <w:kern w:val="0"/>
          <w:sz w:val="24"/>
          <w:highlight w:val="none"/>
          <w:lang w:val="zh-CN"/>
        </w:rPr>
        <w:t>致：</w:t>
      </w:r>
      <w:r>
        <w:rPr>
          <w:rFonts w:hint="eastAsia" w:ascii="宋体" w:hAnsi="宋体" w:cs="宋体"/>
          <w:b/>
          <w:bCs/>
          <w:i w:val="0"/>
          <w:caps w:val="0"/>
          <w:color w:val="auto"/>
          <w:spacing w:val="0"/>
          <w:w w:val="100"/>
          <w:kern w:val="0"/>
          <w:sz w:val="24"/>
          <w:highlight w:val="none"/>
          <w:u w:val="single" w:color="000000"/>
          <w:lang w:eastAsia="zh-CN"/>
        </w:rPr>
        <w:t>青海佳荣工程项目管理有限公司</w:t>
      </w:r>
    </w:p>
    <w:p w14:paraId="3229B4F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 xml:space="preserve">    </w:t>
      </w:r>
      <w:r>
        <w:rPr>
          <w:rFonts w:hint="eastAsia" w:ascii="宋体" w:hAnsi="宋体" w:eastAsia="宋体" w:cs="宋体"/>
          <w:b w:val="0"/>
          <w:i w:val="0"/>
          <w:caps w:val="0"/>
          <w:color w:val="auto"/>
          <w:spacing w:val="0"/>
          <w:w w:val="100"/>
          <w:kern w:val="0"/>
          <w:sz w:val="24"/>
          <w:highlight w:val="none"/>
          <w:u w:val="single" w:color="000000"/>
          <w:lang w:val="zh-CN"/>
        </w:rPr>
        <w:t>（磋商响应人名称）</w:t>
      </w:r>
      <w:r>
        <w:rPr>
          <w:rFonts w:hint="eastAsia" w:ascii="宋体" w:hAnsi="宋体" w:eastAsia="宋体" w:cs="宋体"/>
          <w:b w:val="0"/>
          <w:i w:val="0"/>
          <w:caps w:val="0"/>
          <w:color w:val="auto"/>
          <w:spacing w:val="0"/>
          <w:w w:val="100"/>
          <w:kern w:val="0"/>
          <w:sz w:val="24"/>
          <w:highlight w:val="none"/>
          <w:lang w:val="zh-CN"/>
        </w:rPr>
        <w:t>系中华人民共和国合法企业，法定地址</w:t>
      </w:r>
      <w:r>
        <w:rPr>
          <w:rFonts w:hint="eastAsia" w:ascii="宋体" w:hAnsi="宋体" w:eastAsia="宋体" w:cs="宋体"/>
          <w:b w:val="0"/>
          <w:i w:val="0"/>
          <w:caps w:val="0"/>
          <w:color w:val="auto"/>
          <w:spacing w:val="0"/>
          <w:w w:val="100"/>
          <w:kern w:val="0"/>
          <w:sz w:val="24"/>
          <w:highlight w:val="none"/>
          <w:u w:val="single" w:color="000000"/>
          <w:lang w:val="zh-CN"/>
        </w:rPr>
        <w:t xml:space="preserve">              </w:t>
      </w:r>
      <w:r>
        <w:rPr>
          <w:rFonts w:hint="eastAsia" w:ascii="宋体" w:hAnsi="宋体" w:eastAsia="宋体" w:cs="宋体"/>
          <w:b w:val="0"/>
          <w:i w:val="0"/>
          <w:caps w:val="0"/>
          <w:color w:val="auto"/>
          <w:spacing w:val="0"/>
          <w:w w:val="100"/>
          <w:kern w:val="0"/>
          <w:sz w:val="24"/>
          <w:highlight w:val="none"/>
          <w:lang w:val="zh-CN"/>
        </w:rPr>
        <w:t>。</w:t>
      </w:r>
    </w:p>
    <w:p w14:paraId="5D112F9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rPr>
        <w:t xml:space="preserve">    </w:t>
      </w:r>
      <w:r>
        <w:rPr>
          <w:rFonts w:hint="eastAsia" w:ascii="宋体" w:hAnsi="宋体" w:eastAsia="宋体" w:cs="宋体"/>
          <w:b w:val="0"/>
          <w:i w:val="0"/>
          <w:caps w:val="0"/>
          <w:color w:val="auto"/>
          <w:spacing w:val="0"/>
          <w:w w:val="100"/>
          <w:kern w:val="0"/>
          <w:sz w:val="24"/>
          <w:highlight w:val="none"/>
          <w:u w:val="single" w:color="000000"/>
          <w:lang w:val="zh-CN"/>
        </w:rPr>
        <w:t>（法定代表人姓名）</w:t>
      </w:r>
      <w:r>
        <w:rPr>
          <w:rFonts w:hint="eastAsia" w:ascii="宋体" w:hAnsi="宋体" w:eastAsia="宋体" w:cs="宋体"/>
          <w:b w:val="0"/>
          <w:i w:val="0"/>
          <w:caps w:val="0"/>
          <w:color w:val="auto"/>
          <w:spacing w:val="0"/>
          <w:w w:val="100"/>
          <w:kern w:val="0"/>
          <w:sz w:val="24"/>
          <w:highlight w:val="none"/>
          <w:lang w:val="zh-CN"/>
        </w:rPr>
        <w:t>特授权</w:t>
      </w:r>
      <w:r>
        <w:rPr>
          <w:rFonts w:hint="eastAsia" w:ascii="宋体" w:hAnsi="宋体" w:eastAsia="宋体" w:cs="宋体"/>
          <w:b w:val="0"/>
          <w:i w:val="0"/>
          <w:caps w:val="0"/>
          <w:color w:val="auto"/>
          <w:spacing w:val="0"/>
          <w:w w:val="100"/>
          <w:kern w:val="0"/>
          <w:sz w:val="24"/>
          <w:highlight w:val="none"/>
          <w:u w:val="single" w:color="000000"/>
          <w:lang w:val="zh-CN"/>
        </w:rPr>
        <w:t>（委托代理人姓名）</w:t>
      </w:r>
      <w:r>
        <w:rPr>
          <w:rFonts w:hint="eastAsia" w:ascii="宋体" w:hAnsi="宋体" w:eastAsia="宋体" w:cs="宋体"/>
          <w:b w:val="0"/>
          <w:i w:val="0"/>
          <w:caps w:val="0"/>
          <w:color w:val="auto"/>
          <w:spacing w:val="0"/>
          <w:w w:val="100"/>
          <w:kern w:val="0"/>
          <w:sz w:val="24"/>
          <w:highlight w:val="none"/>
          <w:lang w:val="zh-CN"/>
        </w:rPr>
        <w:t>代表我单位全权办理</w:t>
      </w:r>
    </w:p>
    <w:p w14:paraId="456029B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u w:val="single" w:color="000000"/>
          <w:lang w:val="zh-CN"/>
        </w:rPr>
        <w:t xml:space="preserve">                         </w:t>
      </w:r>
      <w:r>
        <w:rPr>
          <w:rFonts w:hint="eastAsia" w:ascii="宋体" w:hAnsi="宋体" w:eastAsia="宋体" w:cs="宋体"/>
          <w:b w:val="0"/>
          <w:i w:val="0"/>
          <w:caps w:val="0"/>
          <w:color w:val="auto"/>
          <w:spacing w:val="0"/>
          <w:w w:val="100"/>
          <w:kern w:val="0"/>
          <w:sz w:val="24"/>
          <w:highlight w:val="none"/>
          <w:lang w:val="zh-CN"/>
        </w:rPr>
        <w:t>项目的投标、答疑等具体工作，并签署全部有关的文件、资料。</w:t>
      </w:r>
    </w:p>
    <w:p w14:paraId="178DCF3F">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我单位对被授权人的签名负全部责任。</w:t>
      </w:r>
    </w:p>
    <w:p w14:paraId="57832A5C">
      <w:pPr>
        <w:widowControl/>
        <w:snapToGrid w:val="0"/>
        <w:spacing w:before="0" w:beforeAutospacing="0" w:after="0" w:afterAutospacing="0" w:line="360" w:lineRule="auto"/>
        <w:ind w:firstLine="480" w:firstLineChars="200"/>
        <w:jc w:val="left"/>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kern w:val="0"/>
          <w:sz w:val="24"/>
          <w:highlight w:val="none"/>
          <w:lang w:bidi="ar"/>
        </w:rPr>
        <w:t xml:space="preserve">授权期限：自  年  月  日起至  年  月  日止（授权期限必须满足投标有效期的要求）。 </w:t>
      </w:r>
    </w:p>
    <w:p w14:paraId="7F21264B">
      <w:pPr>
        <w:snapToGrid w:val="0"/>
        <w:spacing w:before="0" w:beforeAutospacing="0" w:after="0" w:afterAutospacing="0" w:line="360" w:lineRule="auto"/>
        <w:ind w:firstLine="1200" w:firstLineChars="500"/>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被授权人联系电话：</w:t>
      </w:r>
    </w:p>
    <w:p w14:paraId="3B6035A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u w:val="single"/>
          <w:lang w:val="zh-CN"/>
        </w:rPr>
      </w:pPr>
      <w:r>
        <w:rPr>
          <w:rFonts w:hint="eastAsia" w:ascii="宋体" w:hAnsi="宋体" w:eastAsia="宋体" w:cs="宋体"/>
          <w:b w:val="0"/>
          <w:i w:val="0"/>
          <w:caps w:val="0"/>
          <w:color w:val="auto"/>
          <w:spacing w:val="0"/>
          <w:w w:val="100"/>
          <w:kern w:val="0"/>
          <w:sz w:val="24"/>
          <w:highlight w:val="none"/>
          <w:lang w:val="zh-CN"/>
        </w:rPr>
        <w:t>被授权人（委托代理人）签字：</w:t>
      </w:r>
      <w:r>
        <w:rPr>
          <w:rFonts w:hint="eastAsia" w:ascii="宋体" w:hAnsi="宋体" w:eastAsia="宋体" w:cs="宋体"/>
          <w:b w:val="0"/>
          <w:i w:val="0"/>
          <w:caps w:val="0"/>
          <w:color w:val="auto"/>
          <w:spacing w:val="0"/>
          <w:w w:val="100"/>
          <w:kern w:val="0"/>
          <w:sz w:val="24"/>
          <w:highlight w:val="none"/>
          <w:u w:val="single" w:color="000000"/>
          <w:lang w:val="zh-CN"/>
        </w:rPr>
        <w:t xml:space="preserve">       </w:t>
      </w:r>
      <w:r>
        <w:rPr>
          <w:rFonts w:hint="eastAsia" w:ascii="宋体" w:hAnsi="宋体" w:eastAsia="宋体" w:cs="宋体"/>
          <w:b w:val="0"/>
          <w:i w:val="0"/>
          <w:caps w:val="0"/>
          <w:color w:val="auto"/>
          <w:spacing w:val="0"/>
          <w:w w:val="100"/>
          <w:kern w:val="0"/>
          <w:sz w:val="24"/>
          <w:highlight w:val="none"/>
          <w:lang w:val="zh-CN"/>
        </w:rPr>
        <w:t xml:space="preserve">  授权人（法定代表人）签字：</w:t>
      </w:r>
      <w:r>
        <w:rPr>
          <w:rFonts w:hint="eastAsia" w:ascii="宋体" w:hAnsi="宋体" w:eastAsia="宋体" w:cs="宋体"/>
          <w:b w:val="0"/>
          <w:i w:val="0"/>
          <w:caps w:val="0"/>
          <w:color w:val="auto"/>
          <w:spacing w:val="0"/>
          <w:w w:val="100"/>
          <w:kern w:val="0"/>
          <w:sz w:val="24"/>
          <w:highlight w:val="none"/>
          <w:u w:val="single" w:color="000000"/>
          <w:lang w:val="zh-CN"/>
        </w:rPr>
        <w:t xml:space="preserve">       </w:t>
      </w:r>
    </w:p>
    <w:p w14:paraId="1924998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u w:val="single"/>
          <w:lang w:val="zh-CN"/>
        </w:rPr>
      </w:pPr>
      <w:r>
        <w:rPr>
          <w:rFonts w:hint="eastAsia" w:ascii="宋体" w:hAnsi="宋体" w:eastAsia="宋体" w:cs="宋体"/>
          <w:b w:val="0"/>
          <w:i w:val="0"/>
          <w:caps w:val="0"/>
          <w:color w:val="auto"/>
          <w:spacing w:val="0"/>
          <w:w w:val="100"/>
          <w:kern w:val="0"/>
          <w:sz w:val="24"/>
          <w:highlight w:val="none"/>
          <w:lang w:val="zh-CN"/>
        </w:rPr>
        <w:t>职务：</w:t>
      </w:r>
      <w:r>
        <w:rPr>
          <w:rFonts w:hint="eastAsia" w:ascii="宋体" w:hAnsi="宋体" w:eastAsia="宋体" w:cs="宋体"/>
          <w:b w:val="0"/>
          <w:i w:val="0"/>
          <w:caps w:val="0"/>
          <w:color w:val="auto"/>
          <w:spacing w:val="0"/>
          <w:w w:val="100"/>
          <w:kern w:val="0"/>
          <w:sz w:val="24"/>
          <w:highlight w:val="none"/>
          <w:u w:val="single" w:color="000000"/>
          <w:lang w:val="zh-CN"/>
        </w:rPr>
        <w:t xml:space="preserve">                             </w:t>
      </w:r>
      <w:r>
        <w:rPr>
          <w:rFonts w:hint="eastAsia" w:ascii="宋体" w:hAnsi="宋体" w:eastAsia="宋体" w:cs="宋体"/>
          <w:b w:val="0"/>
          <w:i w:val="0"/>
          <w:caps w:val="0"/>
          <w:color w:val="auto"/>
          <w:spacing w:val="0"/>
          <w:w w:val="100"/>
          <w:kern w:val="0"/>
          <w:sz w:val="24"/>
          <w:highlight w:val="none"/>
          <w:lang w:val="zh-CN"/>
        </w:rPr>
        <w:t xml:space="preserve">  职务：</w:t>
      </w:r>
      <w:r>
        <w:rPr>
          <w:rFonts w:hint="eastAsia" w:ascii="宋体" w:hAnsi="宋体" w:eastAsia="宋体" w:cs="宋体"/>
          <w:b w:val="0"/>
          <w:i w:val="0"/>
          <w:caps w:val="0"/>
          <w:color w:val="auto"/>
          <w:spacing w:val="0"/>
          <w:w w:val="100"/>
          <w:kern w:val="0"/>
          <w:sz w:val="24"/>
          <w:highlight w:val="none"/>
          <w:u w:val="single" w:color="000000"/>
          <w:lang w:val="zh-CN"/>
        </w:rPr>
        <w:t xml:space="preserve">                           </w:t>
      </w:r>
    </w:p>
    <w:p w14:paraId="3A3FACA3">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36FAEFED">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0"/>
          <w:sz w:val="20"/>
          <w:highlight w:val="none"/>
          <w:lang w:val="zh-CN"/>
        </w:rPr>
      </w:pPr>
      <w:r>
        <w:rPr>
          <w:rFonts w:hint="eastAsia" w:ascii="宋体" w:hAnsi="宋体" w:eastAsia="宋体" w:cs="宋体"/>
          <w:b w:val="0"/>
          <w:i w:val="0"/>
          <w:caps w:val="0"/>
          <w:color w:val="auto"/>
          <w:spacing w:val="0"/>
          <w:w w:val="100"/>
          <w:kern w:val="0"/>
          <w:sz w:val="24"/>
          <w:highlight w:val="none"/>
          <w:lang w:val="zh-CN"/>
        </w:rPr>
        <w:t>附被授权人第二代身份证双面扫描（或复印）件</w:t>
      </w:r>
    </w:p>
    <w:p w14:paraId="7759A231">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6A57323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346AF76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031E9E3B">
      <w:pPr>
        <w:snapToGrid w:val="0"/>
        <w:spacing w:before="0" w:beforeAutospacing="0" w:after="0" w:afterAutospacing="0" w:line="360" w:lineRule="auto"/>
        <w:jc w:val="right"/>
        <w:textAlignment w:val="baseline"/>
        <w:rPr>
          <w:rFonts w:hint="eastAsia" w:ascii="宋体" w:hAnsi="宋体" w:eastAsia="宋体" w:cs="宋体"/>
          <w:b/>
          <w:bCs/>
          <w:i w:val="0"/>
          <w:caps w:val="0"/>
          <w:color w:val="auto"/>
          <w:spacing w:val="0"/>
          <w:w w:val="100"/>
          <w:sz w:val="20"/>
          <w:highlight w:val="none"/>
        </w:rPr>
      </w:pPr>
      <w:r>
        <w:rPr>
          <w:rFonts w:hint="eastAsia" w:ascii="宋体" w:hAnsi="宋体" w:eastAsia="宋体" w:cs="宋体"/>
          <w:b/>
          <w:bCs/>
          <w:i w:val="0"/>
          <w:caps w:val="0"/>
          <w:color w:val="auto"/>
          <w:spacing w:val="0"/>
          <w:w w:val="100"/>
          <w:sz w:val="24"/>
          <w:highlight w:val="none"/>
          <w:lang w:val="zh-CN" w:eastAsia="zh-CN"/>
        </w:rPr>
        <w:t>磋商响应人</w:t>
      </w:r>
      <w:r>
        <w:rPr>
          <w:rFonts w:hint="eastAsia" w:ascii="宋体" w:hAnsi="宋体" w:eastAsia="宋体" w:cs="宋体"/>
          <w:b/>
          <w:bCs/>
          <w:i w:val="0"/>
          <w:caps w:val="0"/>
          <w:color w:val="auto"/>
          <w:spacing w:val="0"/>
          <w:w w:val="100"/>
          <w:sz w:val="24"/>
          <w:highlight w:val="none"/>
          <w:lang w:val="zh-CN"/>
        </w:rPr>
        <w:t xml:space="preserve">名称：   </w:t>
      </w:r>
      <w:r>
        <w:rPr>
          <w:rFonts w:hint="eastAsia" w:ascii="宋体" w:hAnsi="宋体" w:eastAsia="宋体" w:cs="宋体"/>
          <w:b/>
          <w:bCs/>
          <w:i w:val="0"/>
          <w:caps w:val="0"/>
          <w:color w:val="auto"/>
          <w:spacing w:val="0"/>
          <w:w w:val="100"/>
          <w:sz w:val="24"/>
          <w:highlight w:val="none"/>
        </w:rPr>
        <w:t xml:space="preserve">   </w:t>
      </w:r>
      <w:r>
        <w:rPr>
          <w:rFonts w:hint="eastAsia" w:ascii="宋体" w:hAnsi="宋体" w:eastAsia="宋体" w:cs="宋体"/>
          <w:b/>
          <w:bCs/>
          <w:i w:val="0"/>
          <w:caps w:val="0"/>
          <w:color w:val="auto"/>
          <w:spacing w:val="0"/>
          <w:w w:val="100"/>
          <w:sz w:val="24"/>
          <w:highlight w:val="none"/>
          <w:lang w:val="zh-CN"/>
        </w:rPr>
        <w:t xml:space="preserve"> </w:t>
      </w:r>
      <w:r>
        <w:rPr>
          <w:rFonts w:hint="eastAsia" w:ascii="宋体" w:hAnsi="宋体" w:eastAsia="宋体" w:cs="宋体"/>
          <w:b/>
          <w:bCs/>
          <w:i w:val="0"/>
          <w:caps w:val="0"/>
          <w:color w:val="auto"/>
          <w:spacing w:val="0"/>
          <w:w w:val="100"/>
          <w:sz w:val="24"/>
          <w:highlight w:val="none"/>
        </w:rPr>
        <w:t xml:space="preserve">   </w:t>
      </w:r>
      <w:r>
        <w:rPr>
          <w:rFonts w:hint="eastAsia" w:ascii="宋体" w:hAnsi="宋体" w:eastAsia="宋体" w:cs="宋体"/>
          <w:b/>
          <w:bCs/>
          <w:i w:val="0"/>
          <w:caps w:val="0"/>
          <w:color w:val="auto"/>
          <w:spacing w:val="0"/>
          <w:w w:val="100"/>
          <w:sz w:val="24"/>
          <w:highlight w:val="none"/>
          <w:lang w:val="zh-CN"/>
        </w:rPr>
        <w:t xml:space="preserve">     </w:t>
      </w:r>
      <w:r>
        <w:rPr>
          <w:rFonts w:hint="eastAsia" w:ascii="宋体" w:hAnsi="宋体" w:eastAsia="宋体" w:cs="宋体"/>
          <w:b/>
          <w:bCs/>
          <w:i w:val="0"/>
          <w:caps w:val="0"/>
          <w:color w:val="auto"/>
          <w:spacing w:val="0"/>
          <w:w w:val="100"/>
          <w:sz w:val="24"/>
          <w:highlight w:val="none"/>
        </w:rPr>
        <w:t xml:space="preserve"> </w:t>
      </w:r>
      <w:r>
        <w:rPr>
          <w:rFonts w:hint="eastAsia" w:ascii="宋体" w:hAnsi="宋体" w:eastAsia="宋体" w:cs="宋体"/>
          <w:b/>
          <w:bCs/>
          <w:i w:val="0"/>
          <w:caps w:val="0"/>
          <w:color w:val="auto"/>
          <w:spacing w:val="0"/>
          <w:w w:val="100"/>
          <w:sz w:val="24"/>
          <w:highlight w:val="none"/>
          <w:lang w:val="zh-CN"/>
        </w:rPr>
        <w:t xml:space="preserve">  （公章）</w:t>
      </w:r>
      <w:r>
        <w:rPr>
          <w:rFonts w:hint="eastAsia" w:ascii="宋体" w:hAnsi="宋体" w:eastAsia="宋体" w:cs="宋体"/>
          <w:b/>
          <w:bCs/>
          <w:i w:val="0"/>
          <w:caps w:val="0"/>
          <w:color w:val="auto"/>
          <w:spacing w:val="0"/>
          <w:w w:val="100"/>
          <w:sz w:val="24"/>
          <w:highlight w:val="none"/>
        </w:rPr>
        <w:t xml:space="preserve">         </w:t>
      </w:r>
    </w:p>
    <w:p w14:paraId="04022B7E">
      <w:pPr>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kern w:val="0"/>
          <w:sz w:val="20"/>
          <w:highlight w:val="none"/>
          <w:lang w:val="zh-CN"/>
        </w:rPr>
      </w:pPr>
      <w:r>
        <w:rPr>
          <w:rFonts w:hint="eastAsia" w:ascii="宋体" w:hAnsi="宋体" w:eastAsia="宋体" w:cs="宋体"/>
          <w:b/>
          <w:bCs/>
          <w:i w:val="0"/>
          <w:caps w:val="0"/>
          <w:color w:val="auto"/>
          <w:spacing w:val="0"/>
          <w:w w:val="100"/>
          <w:kern w:val="0"/>
          <w:sz w:val="24"/>
          <w:highlight w:val="none"/>
          <w:lang w:val="en-US" w:eastAsia="zh-CN"/>
        </w:rPr>
        <w:t xml:space="preserve">                      </w:t>
      </w:r>
      <w:r>
        <w:rPr>
          <w:rFonts w:hint="eastAsia" w:ascii="宋体" w:hAnsi="宋体" w:eastAsia="宋体" w:cs="宋体"/>
          <w:b/>
          <w:bCs/>
          <w:i w:val="0"/>
          <w:caps w:val="0"/>
          <w:color w:val="auto"/>
          <w:spacing w:val="0"/>
          <w:w w:val="100"/>
          <w:kern w:val="0"/>
          <w:sz w:val="24"/>
          <w:highlight w:val="none"/>
          <w:lang w:val="zh-CN"/>
        </w:rPr>
        <w:t xml:space="preserve">年 </w:t>
      </w:r>
      <w:r>
        <w:rPr>
          <w:rFonts w:hint="eastAsia" w:ascii="宋体" w:hAnsi="宋体" w:eastAsia="宋体" w:cs="宋体"/>
          <w:b/>
          <w:bCs/>
          <w:i w:val="0"/>
          <w:caps w:val="0"/>
          <w:color w:val="auto"/>
          <w:spacing w:val="0"/>
          <w:w w:val="100"/>
          <w:kern w:val="0"/>
          <w:sz w:val="24"/>
          <w:highlight w:val="none"/>
        </w:rPr>
        <w:t xml:space="preserve"> </w:t>
      </w:r>
      <w:r>
        <w:rPr>
          <w:rFonts w:hint="eastAsia" w:ascii="宋体" w:hAnsi="宋体" w:eastAsia="宋体" w:cs="宋体"/>
          <w:b/>
          <w:bCs/>
          <w:i w:val="0"/>
          <w:caps w:val="0"/>
          <w:color w:val="auto"/>
          <w:spacing w:val="0"/>
          <w:w w:val="100"/>
          <w:kern w:val="0"/>
          <w:sz w:val="24"/>
          <w:highlight w:val="none"/>
          <w:lang w:val="zh-CN"/>
        </w:rPr>
        <w:t xml:space="preserve">  月  </w:t>
      </w:r>
      <w:r>
        <w:rPr>
          <w:rFonts w:hint="eastAsia" w:ascii="宋体" w:hAnsi="宋体" w:eastAsia="宋体" w:cs="宋体"/>
          <w:b/>
          <w:bCs/>
          <w:i w:val="0"/>
          <w:caps w:val="0"/>
          <w:color w:val="auto"/>
          <w:spacing w:val="0"/>
          <w:w w:val="100"/>
          <w:kern w:val="0"/>
          <w:sz w:val="24"/>
          <w:highlight w:val="none"/>
        </w:rPr>
        <w:t xml:space="preserve"> </w:t>
      </w:r>
      <w:r>
        <w:rPr>
          <w:rFonts w:hint="eastAsia" w:ascii="宋体" w:hAnsi="宋体" w:eastAsia="宋体" w:cs="宋体"/>
          <w:b/>
          <w:bCs/>
          <w:i w:val="0"/>
          <w:caps w:val="0"/>
          <w:color w:val="auto"/>
          <w:spacing w:val="0"/>
          <w:w w:val="100"/>
          <w:kern w:val="0"/>
          <w:sz w:val="24"/>
          <w:highlight w:val="none"/>
          <w:lang w:val="zh-CN"/>
        </w:rPr>
        <w:t xml:space="preserve"> 日</w:t>
      </w:r>
    </w:p>
    <w:p w14:paraId="4FCA97A2">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0"/>
          <w:sz w:val="20"/>
          <w:highlight w:val="none"/>
          <w:lang w:val="zh-CN"/>
        </w:rPr>
      </w:pPr>
    </w:p>
    <w:p w14:paraId="542200D7">
      <w:pPr>
        <w:widowControl w:val="0"/>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br w:type="page"/>
      </w:r>
    </w:p>
    <w:p w14:paraId="49BCF241">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37" w:name="_Toc12472"/>
      <w:bookmarkStart w:id="1238" w:name="_Toc18634"/>
      <w:bookmarkStart w:id="1239" w:name="_Toc928"/>
      <w:bookmarkStart w:id="1240" w:name="_Toc31534"/>
      <w:r>
        <w:rPr>
          <w:rFonts w:hint="eastAsia" w:ascii="宋体" w:hAnsi="宋体" w:eastAsia="宋体" w:cs="宋体"/>
          <w:b/>
          <w:bCs/>
          <w:i w:val="0"/>
          <w:caps w:val="0"/>
          <w:color w:val="auto"/>
          <w:spacing w:val="0"/>
          <w:w w:val="100"/>
          <w:sz w:val="24"/>
          <w:szCs w:val="32"/>
          <w:highlight w:val="none"/>
          <w:lang w:val="en-US" w:eastAsia="zh-CN" w:bidi="ar-SA"/>
        </w:rPr>
        <w:t>五、磋商响应人诚信承诺书</w:t>
      </w:r>
      <w:bookmarkEnd w:id="1237"/>
      <w:bookmarkEnd w:id="1238"/>
      <w:bookmarkEnd w:id="1239"/>
      <w:bookmarkEnd w:id="1240"/>
    </w:p>
    <w:p w14:paraId="115802CF">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lang w:val="zh-CN" w:eastAsia="zh-CN"/>
        </w:rPr>
      </w:pPr>
      <w:r>
        <w:rPr>
          <w:rFonts w:hint="eastAsia" w:ascii="宋体" w:hAnsi="宋体" w:eastAsia="宋体" w:cs="宋体"/>
          <w:b/>
          <w:i w:val="0"/>
          <w:caps w:val="0"/>
          <w:color w:val="auto"/>
          <w:spacing w:val="0"/>
          <w:w w:val="100"/>
          <w:sz w:val="24"/>
          <w:highlight w:val="none"/>
          <w:lang w:val="zh-CN" w:eastAsia="zh-CN"/>
        </w:rPr>
        <w:t>磋商响应人诚信承诺书</w:t>
      </w:r>
    </w:p>
    <w:p w14:paraId="6401335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40112E20">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highlight w:val="none"/>
          <w:lang w:val="zh-CN"/>
        </w:rPr>
      </w:pPr>
      <w:r>
        <w:rPr>
          <w:rFonts w:hint="eastAsia" w:ascii="宋体" w:hAnsi="宋体" w:eastAsia="宋体" w:cs="宋体"/>
          <w:b/>
          <w:bCs/>
          <w:i w:val="0"/>
          <w:caps w:val="0"/>
          <w:color w:val="auto"/>
          <w:spacing w:val="0"/>
          <w:w w:val="100"/>
          <w:sz w:val="24"/>
          <w:highlight w:val="none"/>
          <w:lang w:val="zh-CN"/>
        </w:rPr>
        <w:t>致：</w:t>
      </w:r>
      <w:r>
        <w:rPr>
          <w:rFonts w:hint="eastAsia" w:ascii="宋体" w:hAnsi="宋体" w:cs="宋体"/>
          <w:b/>
          <w:bCs/>
          <w:i w:val="0"/>
          <w:caps w:val="0"/>
          <w:color w:val="auto"/>
          <w:spacing w:val="0"/>
          <w:w w:val="100"/>
          <w:sz w:val="24"/>
          <w:highlight w:val="none"/>
          <w:lang w:val="zh-CN"/>
        </w:rPr>
        <w:t>青海佳荣工程项目管理有限公司</w:t>
      </w:r>
    </w:p>
    <w:p w14:paraId="4753D01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28635DD9">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为了诚实、客观、有序地参与青海省政府采购活动，愿就以下内容做出承诺：</w:t>
      </w:r>
    </w:p>
    <w:p w14:paraId="3838DC9B">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一、自觉遵守各项法律、法规、规章、制度以及社会公德，维护廉洁环境，与同场竞争的磋商响应人平等参加政府采购活动。</w:t>
      </w:r>
    </w:p>
    <w:p w14:paraId="0D6A8409">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二、参加采购代理机构组织的政府采购活动时，严格按照磋商文件的规定和要求提供所需的相关材料，并对所提供的各类资料的真实性负责，不虚假应标，不虚列业绩。</w:t>
      </w:r>
    </w:p>
    <w:p w14:paraId="62C50227">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三、尊重参与政府采购活动各相关方的合法行为，接受政府采购活动依法形成的意见、结果。</w:t>
      </w:r>
    </w:p>
    <w:p w14:paraId="2535C9F4">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四、依法参加政府采购活动，不围标、串标，维护市场秩序，不提供“三无”产品、以次充好。</w:t>
      </w:r>
    </w:p>
    <w:p w14:paraId="3467F70F">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五、积极推动政府采购活动健康开展，对采购活动有疑问、异议时，按法律规定的程序实名（加盖单位章和法定代表人签名）反映情况，不恶意中伤、无事生非，以和谐、平等的心态参加政府采购活动。</w:t>
      </w:r>
    </w:p>
    <w:p w14:paraId="6DEC652E">
      <w:pPr>
        <w:snapToGrid w:val="0"/>
        <w:spacing w:before="0" w:beforeAutospacing="0" w:after="0" w:afterAutospacing="0" w:line="360" w:lineRule="auto"/>
        <w:ind w:firstLine="48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六、认真履行成交人应承担的责任和义务，全面执行采购合同规定的各项内容，保质保量地按时提供采购物品。</w:t>
      </w:r>
    </w:p>
    <w:p w14:paraId="4B01B1F1">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若本企业（单位）发生有悖于上述承诺的行为，愿意接受《中华人民共和国政府采购法》和《政府采购法实施条例》中对磋商响应人的相关处理。</w:t>
      </w:r>
    </w:p>
    <w:p w14:paraId="53C772B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本承诺是采购项目磋商文件的组成部分。</w:t>
      </w:r>
    </w:p>
    <w:p w14:paraId="1EC26ED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46C6F5B4">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67B8C289">
      <w:pPr>
        <w:tabs>
          <w:tab w:val="left" w:pos="168"/>
        </w:tabs>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8"/>
          <w:szCs w:val="28"/>
          <w:highlight w:val="none"/>
        </w:rPr>
      </w:pPr>
    </w:p>
    <w:p w14:paraId="527A64B6">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磋商</w:t>
      </w:r>
      <w:r>
        <w:rPr>
          <w:rFonts w:hint="eastAsia" w:ascii="宋体" w:hAnsi="宋体" w:eastAsia="宋体" w:cs="宋体"/>
          <w:b w:val="0"/>
          <w:bCs/>
          <w:i w:val="0"/>
          <w:caps w:val="0"/>
          <w:color w:val="auto"/>
          <w:spacing w:val="0"/>
          <w:w w:val="100"/>
          <w:sz w:val="24"/>
          <w:szCs w:val="28"/>
          <w:highlight w:val="none"/>
          <w:lang w:eastAsia="zh-CN"/>
        </w:rPr>
        <w:t>响应人</w:t>
      </w:r>
      <w:r>
        <w:rPr>
          <w:rFonts w:hint="eastAsia" w:ascii="宋体" w:hAnsi="宋体" w:eastAsia="宋体" w:cs="宋体"/>
          <w:b w:val="0"/>
          <w:bCs/>
          <w:i w:val="0"/>
          <w:caps w:val="0"/>
          <w:color w:val="auto"/>
          <w:spacing w:val="0"/>
          <w:w w:val="100"/>
          <w:sz w:val="24"/>
          <w:szCs w:val="28"/>
          <w:highlight w:val="none"/>
        </w:rPr>
        <w:t>：                   （公章）</w:t>
      </w:r>
    </w:p>
    <w:p w14:paraId="4DA85FC2">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法定代表人或委托代理人：                （签字）</w:t>
      </w:r>
    </w:p>
    <w:p w14:paraId="16CCF4E1">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 xml:space="preserve">          年   月   日</w:t>
      </w:r>
    </w:p>
    <w:p w14:paraId="15B83A97">
      <w:pPr>
        <w:snapToGrid w:val="0"/>
        <w:spacing w:before="0" w:beforeAutospacing="0" w:after="0" w:afterAutospacing="0" w:line="240" w:lineRule="auto"/>
        <w:textAlignment w:val="baseline"/>
        <w:rPr>
          <w:rFonts w:hint="eastAsia" w:ascii="宋体" w:hAnsi="宋体" w:eastAsia="宋体" w:cs="宋体"/>
          <w:b/>
          <w:bCs/>
          <w:i w:val="0"/>
          <w:caps w:val="0"/>
          <w:color w:val="auto"/>
          <w:spacing w:val="0"/>
          <w:w w:val="100"/>
          <w:sz w:val="20"/>
          <w:szCs w:val="20"/>
          <w:highlight w:val="none"/>
        </w:rPr>
      </w:pPr>
      <w:r>
        <w:rPr>
          <w:rFonts w:hint="eastAsia" w:ascii="宋体" w:hAnsi="宋体" w:eastAsia="宋体" w:cs="宋体"/>
          <w:b/>
          <w:bCs/>
          <w:i w:val="0"/>
          <w:caps w:val="0"/>
          <w:color w:val="auto"/>
          <w:spacing w:val="0"/>
          <w:w w:val="100"/>
          <w:sz w:val="24"/>
          <w:szCs w:val="20"/>
          <w:highlight w:val="none"/>
        </w:rPr>
        <w:br w:type="page"/>
      </w:r>
    </w:p>
    <w:p w14:paraId="1FFF45DC">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41" w:name="_Toc29001"/>
      <w:bookmarkStart w:id="1242" w:name="_Toc27217"/>
      <w:r>
        <w:rPr>
          <w:rFonts w:hint="eastAsia" w:ascii="宋体" w:hAnsi="宋体" w:eastAsia="宋体" w:cs="宋体"/>
          <w:b/>
          <w:bCs/>
          <w:i w:val="0"/>
          <w:caps w:val="0"/>
          <w:color w:val="auto"/>
          <w:spacing w:val="0"/>
          <w:w w:val="100"/>
          <w:sz w:val="24"/>
          <w:szCs w:val="32"/>
          <w:highlight w:val="none"/>
          <w:lang w:val="en-US" w:eastAsia="zh-CN" w:bidi="ar-SA"/>
        </w:rPr>
        <w:t>六、磋商磋商响应人承诺函</w:t>
      </w:r>
      <w:bookmarkEnd w:id="1241"/>
      <w:bookmarkEnd w:id="1242"/>
    </w:p>
    <w:p w14:paraId="1E2E8703">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lang w:val="zh-CN" w:eastAsia="zh-CN"/>
        </w:rPr>
      </w:pPr>
      <w:r>
        <w:rPr>
          <w:rFonts w:hint="eastAsia" w:ascii="宋体" w:hAnsi="宋体" w:eastAsia="宋体" w:cs="宋体"/>
          <w:b/>
          <w:i w:val="0"/>
          <w:caps w:val="0"/>
          <w:color w:val="auto"/>
          <w:spacing w:val="0"/>
          <w:w w:val="100"/>
          <w:sz w:val="24"/>
          <w:highlight w:val="none"/>
          <w:lang w:val="zh-CN" w:eastAsia="zh-CN"/>
        </w:rPr>
        <w:t>磋商磋商响应人承诺函</w:t>
      </w:r>
    </w:p>
    <w:p w14:paraId="5EACE952">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szCs w:val="28"/>
          <w:highlight w:val="none"/>
          <w:lang w:eastAsia="zh-CN"/>
        </w:rPr>
      </w:pPr>
      <w:r>
        <w:rPr>
          <w:rFonts w:hint="eastAsia" w:ascii="宋体" w:hAnsi="宋体" w:eastAsia="宋体" w:cs="宋体"/>
          <w:b/>
          <w:bCs/>
          <w:i w:val="0"/>
          <w:caps w:val="0"/>
          <w:color w:val="auto"/>
          <w:spacing w:val="0"/>
          <w:w w:val="100"/>
          <w:sz w:val="24"/>
          <w:szCs w:val="28"/>
          <w:highlight w:val="none"/>
        </w:rPr>
        <w:t>致：</w:t>
      </w:r>
      <w:r>
        <w:rPr>
          <w:rFonts w:hint="eastAsia" w:ascii="宋体" w:hAnsi="宋体" w:cs="宋体"/>
          <w:b/>
          <w:bCs/>
          <w:i w:val="0"/>
          <w:caps w:val="0"/>
          <w:color w:val="auto"/>
          <w:spacing w:val="0"/>
          <w:w w:val="100"/>
          <w:sz w:val="24"/>
          <w:szCs w:val="28"/>
          <w:highlight w:val="none"/>
          <w:lang w:eastAsia="zh-CN"/>
        </w:rPr>
        <w:t>青海佳荣工程项目管理有限公司</w:t>
      </w:r>
    </w:p>
    <w:p w14:paraId="3B10BBDE">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szCs w:val="28"/>
          <w:highlight w:val="none"/>
        </w:rPr>
      </w:pPr>
    </w:p>
    <w:p w14:paraId="45D4B6E3">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8"/>
          <w:highlight w:val="none"/>
        </w:rPr>
      </w:pPr>
      <w:r>
        <w:rPr>
          <w:rFonts w:hint="eastAsia" w:ascii="宋体" w:hAnsi="宋体" w:eastAsia="宋体" w:cs="宋体"/>
          <w:b w:val="0"/>
          <w:i w:val="0"/>
          <w:caps w:val="0"/>
          <w:color w:val="auto"/>
          <w:spacing w:val="0"/>
          <w:w w:val="100"/>
          <w:sz w:val="24"/>
          <w:szCs w:val="28"/>
          <w:highlight w:val="none"/>
        </w:rPr>
        <w:t>关于贵方</w:t>
      </w:r>
      <w:r>
        <w:rPr>
          <w:rFonts w:hint="eastAsia" w:ascii="宋体" w:hAnsi="宋体" w:eastAsia="宋体" w:cs="宋体"/>
          <w:b w:val="0"/>
          <w:i w:val="0"/>
          <w:caps w:val="0"/>
          <w:color w:val="auto"/>
          <w:spacing w:val="0"/>
          <w:w w:val="100"/>
          <w:sz w:val="24"/>
          <w:szCs w:val="28"/>
          <w:highlight w:val="none"/>
          <w:u w:val="single" w:color="000000"/>
        </w:rPr>
        <w:t xml:space="preserve">   </w:t>
      </w:r>
      <w:r>
        <w:rPr>
          <w:rFonts w:hint="eastAsia" w:ascii="宋体" w:hAnsi="宋体" w:eastAsia="宋体" w:cs="宋体"/>
          <w:b w:val="0"/>
          <w:i w:val="0"/>
          <w:caps w:val="0"/>
          <w:color w:val="auto"/>
          <w:spacing w:val="0"/>
          <w:w w:val="100"/>
          <w:sz w:val="24"/>
          <w:szCs w:val="28"/>
          <w:highlight w:val="none"/>
        </w:rPr>
        <w:t>年</w:t>
      </w:r>
      <w:r>
        <w:rPr>
          <w:rFonts w:hint="eastAsia" w:ascii="宋体" w:hAnsi="宋体" w:eastAsia="宋体" w:cs="宋体"/>
          <w:b w:val="0"/>
          <w:i w:val="0"/>
          <w:caps w:val="0"/>
          <w:color w:val="auto"/>
          <w:spacing w:val="0"/>
          <w:w w:val="100"/>
          <w:sz w:val="24"/>
          <w:szCs w:val="28"/>
          <w:highlight w:val="none"/>
          <w:u w:val="single" w:color="000000"/>
        </w:rPr>
        <w:t xml:space="preserve">   </w:t>
      </w:r>
      <w:r>
        <w:rPr>
          <w:rFonts w:hint="eastAsia" w:ascii="宋体" w:hAnsi="宋体" w:eastAsia="宋体" w:cs="宋体"/>
          <w:b w:val="0"/>
          <w:i w:val="0"/>
          <w:caps w:val="0"/>
          <w:color w:val="auto"/>
          <w:spacing w:val="0"/>
          <w:w w:val="100"/>
          <w:sz w:val="24"/>
          <w:szCs w:val="28"/>
          <w:highlight w:val="none"/>
        </w:rPr>
        <w:t>月</w:t>
      </w:r>
      <w:r>
        <w:rPr>
          <w:rFonts w:hint="eastAsia" w:ascii="宋体" w:hAnsi="宋体" w:eastAsia="宋体" w:cs="宋体"/>
          <w:b w:val="0"/>
          <w:i w:val="0"/>
          <w:caps w:val="0"/>
          <w:color w:val="auto"/>
          <w:spacing w:val="0"/>
          <w:w w:val="100"/>
          <w:sz w:val="24"/>
          <w:szCs w:val="28"/>
          <w:highlight w:val="none"/>
          <w:u w:val="single" w:color="000000"/>
        </w:rPr>
        <w:t xml:space="preserve">   </w:t>
      </w:r>
      <w:r>
        <w:rPr>
          <w:rFonts w:hint="eastAsia" w:ascii="宋体" w:hAnsi="宋体" w:eastAsia="宋体" w:cs="宋体"/>
          <w:b w:val="0"/>
          <w:i w:val="0"/>
          <w:caps w:val="0"/>
          <w:color w:val="auto"/>
          <w:spacing w:val="0"/>
          <w:w w:val="100"/>
          <w:sz w:val="24"/>
          <w:szCs w:val="28"/>
          <w:highlight w:val="none"/>
        </w:rPr>
        <w:t>日</w:t>
      </w:r>
      <w:r>
        <w:rPr>
          <w:rFonts w:hint="eastAsia" w:ascii="宋体" w:hAnsi="宋体" w:eastAsia="宋体" w:cs="宋体"/>
          <w:b w:val="0"/>
          <w:i w:val="0"/>
          <w:caps w:val="0"/>
          <w:color w:val="auto"/>
          <w:spacing w:val="0"/>
          <w:w w:val="100"/>
          <w:sz w:val="24"/>
          <w:szCs w:val="28"/>
          <w:highlight w:val="none"/>
          <w:u w:val="single" w:color="000000"/>
        </w:rPr>
        <w:t xml:space="preserve"> (项目名称)</w:t>
      </w:r>
      <w:r>
        <w:rPr>
          <w:rFonts w:hint="eastAsia" w:ascii="宋体" w:hAnsi="宋体" w:eastAsia="宋体" w:cs="宋体"/>
          <w:b w:val="0"/>
          <w:i w:val="0"/>
          <w:caps w:val="0"/>
          <w:color w:val="auto"/>
          <w:spacing w:val="0"/>
          <w:w w:val="100"/>
          <w:sz w:val="24"/>
          <w:szCs w:val="28"/>
          <w:highlight w:val="none"/>
        </w:rPr>
        <w:t>采购项目，本签字人愿意参加磋商，提供采购一览表中要求的所有产品，并证实提交的所有资料是准确的和真实的。同时，我代表（磋商</w:t>
      </w:r>
      <w:r>
        <w:rPr>
          <w:rFonts w:hint="eastAsia" w:ascii="宋体" w:hAnsi="宋体" w:eastAsia="宋体" w:cs="宋体"/>
          <w:b w:val="0"/>
          <w:i w:val="0"/>
          <w:caps w:val="0"/>
          <w:color w:val="auto"/>
          <w:spacing w:val="0"/>
          <w:w w:val="100"/>
          <w:sz w:val="24"/>
          <w:highlight w:val="none"/>
          <w:lang w:eastAsia="zh-CN"/>
        </w:rPr>
        <w:t>磋商响应人</w:t>
      </w:r>
      <w:r>
        <w:rPr>
          <w:rFonts w:hint="eastAsia" w:ascii="宋体" w:hAnsi="宋体" w:eastAsia="宋体" w:cs="宋体"/>
          <w:b w:val="0"/>
          <w:i w:val="0"/>
          <w:caps w:val="0"/>
          <w:color w:val="auto"/>
          <w:spacing w:val="0"/>
          <w:w w:val="100"/>
          <w:sz w:val="24"/>
          <w:szCs w:val="28"/>
          <w:highlight w:val="none"/>
        </w:rPr>
        <w:t>名称），在此作如下承诺：</w:t>
      </w:r>
    </w:p>
    <w:p w14:paraId="528C2829">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8"/>
          <w:highlight w:val="none"/>
        </w:rPr>
      </w:pPr>
      <w:r>
        <w:rPr>
          <w:rFonts w:hint="eastAsia" w:ascii="宋体" w:hAnsi="宋体" w:eastAsia="宋体" w:cs="宋体"/>
          <w:b w:val="0"/>
          <w:i w:val="0"/>
          <w:caps w:val="0"/>
          <w:color w:val="auto"/>
          <w:spacing w:val="0"/>
          <w:w w:val="100"/>
          <w:sz w:val="24"/>
          <w:szCs w:val="28"/>
          <w:highlight w:val="none"/>
        </w:rPr>
        <w:t>1、完全理解和接受磋商文件的一切规定和要求；</w:t>
      </w:r>
    </w:p>
    <w:p w14:paraId="305B34A8">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8"/>
          <w:highlight w:val="none"/>
        </w:rPr>
      </w:pPr>
      <w:r>
        <w:rPr>
          <w:rFonts w:hint="eastAsia" w:ascii="宋体" w:hAnsi="宋体" w:eastAsia="宋体" w:cs="宋体"/>
          <w:b w:val="0"/>
          <w:i w:val="0"/>
          <w:caps w:val="0"/>
          <w:color w:val="auto"/>
          <w:spacing w:val="0"/>
          <w:w w:val="100"/>
          <w:sz w:val="24"/>
          <w:szCs w:val="28"/>
          <w:highlight w:val="none"/>
        </w:rPr>
        <w:t>2、若成交，我方将按照磋商文件的具体规定与采购单位签订合同，并且严格履行合同义务，按时交货，提供优质的产品和服务。如果在合同执行过程中，发现质量出现问题，我方一定尽快更换或保修，并承担相应的经济责任；</w:t>
      </w:r>
    </w:p>
    <w:p w14:paraId="4D1342B8">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8"/>
          <w:highlight w:val="none"/>
        </w:rPr>
      </w:pPr>
      <w:r>
        <w:rPr>
          <w:rFonts w:hint="eastAsia" w:ascii="宋体" w:hAnsi="宋体" w:eastAsia="宋体" w:cs="宋体"/>
          <w:b w:val="0"/>
          <w:i w:val="0"/>
          <w:caps w:val="0"/>
          <w:color w:val="auto"/>
          <w:spacing w:val="0"/>
          <w:w w:val="100"/>
          <w:sz w:val="24"/>
          <w:szCs w:val="28"/>
          <w:highlight w:val="none"/>
        </w:rPr>
        <w:t>3、在整个磋商过程中我方若有违规行为，贵方可按磋商文件之规定给予惩罚，我方完全接受。</w:t>
      </w:r>
    </w:p>
    <w:p w14:paraId="5A92D406">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8"/>
          <w:highlight w:val="none"/>
        </w:rPr>
      </w:pPr>
      <w:r>
        <w:rPr>
          <w:rFonts w:hint="eastAsia" w:ascii="宋体" w:hAnsi="宋体" w:eastAsia="宋体" w:cs="宋体"/>
          <w:b w:val="0"/>
          <w:i w:val="0"/>
          <w:caps w:val="0"/>
          <w:color w:val="auto"/>
          <w:spacing w:val="0"/>
          <w:w w:val="100"/>
          <w:sz w:val="24"/>
          <w:szCs w:val="28"/>
          <w:highlight w:val="none"/>
        </w:rPr>
        <w:t>4、若成交，本承诺将成为合同不可分割的一部分，与合同具有同等的法律效力。</w:t>
      </w:r>
    </w:p>
    <w:p w14:paraId="369FF01E">
      <w:pPr>
        <w:rPr>
          <w:rFonts w:hint="eastAsia" w:ascii="宋体" w:hAnsi="宋体" w:eastAsia="宋体" w:cs="宋体"/>
          <w:b w:val="0"/>
          <w:i w:val="0"/>
          <w:caps w:val="0"/>
          <w:color w:val="auto"/>
          <w:spacing w:val="0"/>
          <w:w w:val="100"/>
          <w:sz w:val="24"/>
          <w:szCs w:val="28"/>
          <w:highlight w:val="none"/>
        </w:rPr>
      </w:pPr>
      <w:r>
        <w:rPr>
          <w:rFonts w:hint="eastAsia" w:ascii="宋体" w:hAnsi="宋体" w:eastAsia="宋体" w:cs="宋体"/>
          <w:b w:val="0"/>
          <w:i w:val="0"/>
          <w:caps w:val="0"/>
          <w:color w:val="auto"/>
          <w:spacing w:val="0"/>
          <w:w w:val="100"/>
          <w:sz w:val="24"/>
          <w:szCs w:val="28"/>
          <w:highlight w:val="none"/>
        </w:rPr>
        <w:br w:type="page"/>
      </w:r>
    </w:p>
    <w:p w14:paraId="4B98A4C0">
      <w:pPr>
        <w:pStyle w:val="21"/>
        <w:snapToGrid w:val="0"/>
        <w:spacing w:before="0" w:beforeAutospacing="0" w:after="0" w:afterAutospacing="0" w:line="360" w:lineRule="auto"/>
        <w:jc w:val="left"/>
        <w:textAlignment w:val="baseline"/>
        <w:outlineLvl w:val="1"/>
        <w:rPr>
          <w:rFonts w:hint="default" w:ascii="宋体" w:hAnsi="宋体" w:eastAsia="宋体" w:cs="宋体"/>
          <w:b/>
          <w:bCs/>
          <w:i w:val="0"/>
          <w:caps w:val="0"/>
          <w:color w:val="auto"/>
          <w:spacing w:val="0"/>
          <w:w w:val="100"/>
          <w:sz w:val="24"/>
          <w:szCs w:val="32"/>
          <w:highlight w:val="none"/>
          <w:lang w:val="en-US" w:eastAsia="zh-CN" w:bidi="ar-SA"/>
        </w:rPr>
      </w:pPr>
      <w:bookmarkStart w:id="1243" w:name="_Toc24245"/>
      <w:bookmarkStart w:id="1244" w:name="_Toc8866"/>
      <w:r>
        <w:rPr>
          <w:rFonts w:hint="eastAsia" w:ascii="宋体" w:hAnsi="宋体" w:eastAsia="宋体" w:cs="宋体"/>
          <w:b/>
          <w:bCs/>
          <w:i w:val="0"/>
          <w:caps w:val="0"/>
          <w:color w:val="auto"/>
          <w:spacing w:val="0"/>
          <w:w w:val="100"/>
          <w:sz w:val="24"/>
          <w:szCs w:val="32"/>
          <w:highlight w:val="none"/>
          <w:lang w:val="en-US" w:eastAsia="zh-CN" w:bidi="ar-SA"/>
        </w:rPr>
        <w:t>七、磋商响应人对投标材料质量的承诺</w:t>
      </w:r>
      <w:bookmarkEnd w:id="1243"/>
      <w:bookmarkEnd w:id="1244"/>
    </w:p>
    <w:p w14:paraId="25DFC088">
      <w:pPr>
        <w:snapToGrid w:val="0"/>
        <w:spacing w:before="0" w:beforeAutospacing="0" w:after="0" w:afterAutospacing="0" w:line="360" w:lineRule="auto"/>
        <w:jc w:val="center"/>
        <w:textAlignment w:val="baseline"/>
        <w:rPr>
          <w:rFonts w:hint="eastAsia" w:ascii="宋体" w:hAnsi="宋体" w:cs="宋体"/>
          <w:b/>
          <w:bCs/>
          <w:i w:val="0"/>
          <w:caps w:val="0"/>
          <w:color w:val="auto"/>
          <w:spacing w:val="0"/>
          <w:w w:val="100"/>
          <w:sz w:val="24"/>
          <w:szCs w:val="20"/>
          <w:highlight w:val="none"/>
          <w:lang w:val="en-US" w:eastAsia="zh-CN"/>
        </w:rPr>
      </w:pPr>
      <w:r>
        <w:rPr>
          <w:rFonts w:hint="eastAsia" w:ascii="宋体" w:hAnsi="宋体" w:eastAsia="宋体" w:cs="宋体"/>
          <w:b/>
          <w:bCs/>
          <w:i w:val="0"/>
          <w:caps w:val="0"/>
          <w:color w:val="auto"/>
          <w:spacing w:val="0"/>
          <w:w w:val="100"/>
          <w:sz w:val="24"/>
          <w:szCs w:val="20"/>
          <w:highlight w:val="none"/>
        </w:rPr>
        <w:t>磋商</w:t>
      </w:r>
      <w:r>
        <w:rPr>
          <w:rFonts w:hint="eastAsia" w:ascii="宋体" w:hAnsi="宋体" w:eastAsia="宋体" w:cs="宋体"/>
          <w:b/>
          <w:bCs/>
          <w:i w:val="0"/>
          <w:caps w:val="0"/>
          <w:color w:val="auto"/>
          <w:spacing w:val="0"/>
          <w:w w:val="100"/>
          <w:sz w:val="24"/>
          <w:szCs w:val="20"/>
          <w:highlight w:val="none"/>
          <w:lang w:eastAsia="zh-CN"/>
        </w:rPr>
        <w:t>响应人</w:t>
      </w:r>
      <w:r>
        <w:rPr>
          <w:rFonts w:hint="eastAsia" w:ascii="宋体" w:hAnsi="宋体" w:cs="宋体"/>
          <w:b/>
          <w:bCs/>
          <w:i w:val="0"/>
          <w:caps w:val="0"/>
          <w:color w:val="auto"/>
          <w:spacing w:val="0"/>
          <w:w w:val="100"/>
          <w:sz w:val="24"/>
          <w:szCs w:val="20"/>
          <w:highlight w:val="none"/>
          <w:lang w:val="en-US" w:eastAsia="zh-CN"/>
        </w:rPr>
        <w:t>对投标材料质量的承诺</w:t>
      </w:r>
    </w:p>
    <w:p w14:paraId="4AA509F4">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szCs w:val="28"/>
          <w:highlight w:val="none"/>
          <w:lang w:eastAsia="zh-CN"/>
        </w:rPr>
      </w:pPr>
      <w:r>
        <w:rPr>
          <w:rFonts w:hint="eastAsia" w:ascii="宋体" w:hAnsi="宋体" w:eastAsia="宋体" w:cs="宋体"/>
          <w:b/>
          <w:bCs/>
          <w:i w:val="0"/>
          <w:caps w:val="0"/>
          <w:color w:val="auto"/>
          <w:spacing w:val="0"/>
          <w:w w:val="100"/>
          <w:sz w:val="24"/>
          <w:szCs w:val="28"/>
          <w:highlight w:val="none"/>
        </w:rPr>
        <w:t>致：</w:t>
      </w:r>
      <w:r>
        <w:rPr>
          <w:rFonts w:hint="eastAsia" w:ascii="宋体" w:hAnsi="宋体" w:cs="宋体"/>
          <w:b/>
          <w:bCs/>
          <w:i w:val="0"/>
          <w:caps w:val="0"/>
          <w:color w:val="auto"/>
          <w:spacing w:val="0"/>
          <w:w w:val="100"/>
          <w:sz w:val="24"/>
          <w:szCs w:val="28"/>
          <w:highlight w:val="none"/>
          <w:lang w:eastAsia="zh-CN"/>
        </w:rPr>
        <w:t>青海佳荣工程项目管理有限公司</w:t>
      </w:r>
    </w:p>
    <w:p w14:paraId="45C239D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szCs w:val="28"/>
          <w:highlight w:val="none"/>
        </w:rPr>
      </w:pPr>
    </w:p>
    <w:p w14:paraId="248D8C26">
      <w:pPr>
        <w:tabs>
          <w:tab w:val="left" w:pos="168"/>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8"/>
          <w:highlight w:val="none"/>
        </w:rPr>
      </w:pPr>
      <w:r>
        <w:rPr>
          <w:rFonts w:hint="eastAsia" w:ascii="宋体" w:hAnsi="宋体" w:eastAsia="宋体" w:cs="宋体"/>
          <w:b w:val="0"/>
          <w:i w:val="0"/>
          <w:caps w:val="0"/>
          <w:color w:val="auto"/>
          <w:spacing w:val="0"/>
          <w:w w:val="100"/>
          <w:sz w:val="24"/>
          <w:szCs w:val="28"/>
          <w:highlight w:val="none"/>
        </w:rPr>
        <w:t>关于贵方</w:t>
      </w:r>
      <w:r>
        <w:rPr>
          <w:rFonts w:hint="eastAsia" w:ascii="宋体" w:hAnsi="宋体" w:eastAsia="宋体" w:cs="宋体"/>
          <w:b w:val="0"/>
          <w:i w:val="0"/>
          <w:caps w:val="0"/>
          <w:color w:val="auto"/>
          <w:spacing w:val="0"/>
          <w:w w:val="100"/>
          <w:sz w:val="24"/>
          <w:szCs w:val="28"/>
          <w:highlight w:val="none"/>
          <w:u w:val="single" w:color="000000"/>
        </w:rPr>
        <w:t xml:space="preserve">   </w:t>
      </w:r>
      <w:r>
        <w:rPr>
          <w:rFonts w:hint="eastAsia" w:ascii="宋体" w:hAnsi="宋体" w:eastAsia="宋体" w:cs="宋体"/>
          <w:b w:val="0"/>
          <w:i w:val="0"/>
          <w:caps w:val="0"/>
          <w:color w:val="auto"/>
          <w:spacing w:val="0"/>
          <w:w w:val="100"/>
          <w:sz w:val="24"/>
          <w:szCs w:val="28"/>
          <w:highlight w:val="none"/>
        </w:rPr>
        <w:t>年</w:t>
      </w:r>
      <w:r>
        <w:rPr>
          <w:rFonts w:hint="eastAsia" w:ascii="宋体" w:hAnsi="宋体" w:eastAsia="宋体" w:cs="宋体"/>
          <w:b w:val="0"/>
          <w:i w:val="0"/>
          <w:caps w:val="0"/>
          <w:color w:val="auto"/>
          <w:spacing w:val="0"/>
          <w:w w:val="100"/>
          <w:sz w:val="24"/>
          <w:szCs w:val="28"/>
          <w:highlight w:val="none"/>
          <w:u w:val="single" w:color="000000"/>
        </w:rPr>
        <w:t xml:space="preserve">   </w:t>
      </w:r>
      <w:r>
        <w:rPr>
          <w:rFonts w:hint="eastAsia" w:ascii="宋体" w:hAnsi="宋体" w:eastAsia="宋体" w:cs="宋体"/>
          <w:b w:val="0"/>
          <w:i w:val="0"/>
          <w:caps w:val="0"/>
          <w:color w:val="auto"/>
          <w:spacing w:val="0"/>
          <w:w w:val="100"/>
          <w:sz w:val="24"/>
          <w:szCs w:val="28"/>
          <w:highlight w:val="none"/>
        </w:rPr>
        <w:t>月</w:t>
      </w:r>
      <w:r>
        <w:rPr>
          <w:rFonts w:hint="eastAsia" w:ascii="宋体" w:hAnsi="宋体" w:eastAsia="宋体" w:cs="宋体"/>
          <w:b w:val="0"/>
          <w:i w:val="0"/>
          <w:caps w:val="0"/>
          <w:color w:val="auto"/>
          <w:spacing w:val="0"/>
          <w:w w:val="100"/>
          <w:sz w:val="24"/>
          <w:szCs w:val="28"/>
          <w:highlight w:val="none"/>
          <w:u w:val="single" w:color="000000"/>
        </w:rPr>
        <w:t xml:space="preserve">   </w:t>
      </w:r>
      <w:r>
        <w:rPr>
          <w:rFonts w:hint="eastAsia" w:ascii="宋体" w:hAnsi="宋体" w:eastAsia="宋体" w:cs="宋体"/>
          <w:b w:val="0"/>
          <w:i w:val="0"/>
          <w:caps w:val="0"/>
          <w:color w:val="auto"/>
          <w:spacing w:val="0"/>
          <w:w w:val="100"/>
          <w:sz w:val="24"/>
          <w:szCs w:val="28"/>
          <w:highlight w:val="none"/>
        </w:rPr>
        <w:t>日</w:t>
      </w:r>
      <w:r>
        <w:rPr>
          <w:rFonts w:hint="eastAsia" w:ascii="宋体" w:hAnsi="宋体" w:eastAsia="宋体" w:cs="宋体"/>
          <w:b w:val="0"/>
          <w:i w:val="0"/>
          <w:caps w:val="0"/>
          <w:color w:val="auto"/>
          <w:spacing w:val="0"/>
          <w:w w:val="100"/>
          <w:sz w:val="24"/>
          <w:szCs w:val="28"/>
          <w:highlight w:val="none"/>
          <w:u w:val="single" w:color="000000"/>
        </w:rPr>
        <w:t xml:space="preserve"> (项目名称)</w:t>
      </w:r>
      <w:r>
        <w:rPr>
          <w:rFonts w:hint="eastAsia" w:ascii="宋体" w:hAnsi="宋体" w:eastAsia="宋体" w:cs="宋体"/>
          <w:b w:val="0"/>
          <w:i w:val="0"/>
          <w:caps w:val="0"/>
          <w:color w:val="auto"/>
          <w:spacing w:val="0"/>
          <w:w w:val="100"/>
          <w:sz w:val="24"/>
          <w:szCs w:val="28"/>
          <w:highlight w:val="none"/>
        </w:rPr>
        <w:t>采购项目，本签字人愿意参加磋商，提供采购一览表中要求的所有产品，并证实提交的所有资料是准确的和真实的。同时，我代表（磋商</w:t>
      </w:r>
      <w:r>
        <w:rPr>
          <w:rFonts w:hint="eastAsia" w:ascii="宋体" w:hAnsi="宋体" w:eastAsia="宋体" w:cs="宋体"/>
          <w:b w:val="0"/>
          <w:i w:val="0"/>
          <w:caps w:val="0"/>
          <w:color w:val="auto"/>
          <w:spacing w:val="0"/>
          <w:w w:val="100"/>
          <w:sz w:val="24"/>
          <w:highlight w:val="none"/>
          <w:lang w:eastAsia="zh-CN"/>
        </w:rPr>
        <w:t>磋商响应人</w:t>
      </w:r>
      <w:r>
        <w:rPr>
          <w:rFonts w:hint="eastAsia" w:ascii="宋体" w:hAnsi="宋体" w:eastAsia="宋体" w:cs="宋体"/>
          <w:b w:val="0"/>
          <w:i w:val="0"/>
          <w:caps w:val="0"/>
          <w:color w:val="auto"/>
          <w:spacing w:val="0"/>
          <w:w w:val="100"/>
          <w:sz w:val="24"/>
          <w:szCs w:val="28"/>
          <w:highlight w:val="none"/>
        </w:rPr>
        <w:t>名称），</w:t>
      </w:r>
      <w:r>
        <w:rPr>
          <w:rFonts w:hint="eastAsia" w:ascii="宋体" w:hAnsi="宋体" w:cs="宋体"/>
          <w:b w:val="0"/>
          <w:i w:val="0"/>
          <w:caps w:val="0"/>
          <w:color w:val="auto"/>
          <w:spacing w:val="0"/>
          <w:w w:val="100"/>
          <w:sz w:val="24"/>
          <w:szCs w:val="28"/>
          <w:highlight w:val="none"/>
          <w:lang w:eastAsia="zh-CN"/>
        </w:rPr>
        <w:t>投标人根据该项目投标材料</w:t>
      </w:r>
      <w:r>
        <w:rPr>
          <w:rFonts w:hint="eastAsia" w:ascii="宋体" w:hAnsi="宋体" w:eastAsia="宋体" w:cs="宋体"/>
          <w:b w:val="0"/>
          <w:i w:val="0"/>
          <w:caps w:val="0"/>
          <w:color w:val="auto"/>
          <w:spacing w:val="0"/>
          <w:w w:val="100"/>
          <w:sz w:val="24"/>
          <w:szCs w:val="28"/>
          <w:highlight w:val="none"/>
        </w:rPr>
        <w:t>作如下承诺：</w:t>
      </w:r>
    </w:p>
    <w:p w14:paraId="1FF9CAC0">
      <w:pPr>
        <w:tabs>
          <w:tab w:val="left" w:pos="168"/>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2"/>
          <w:highlight w:val="none"/>
          <w:lang w:val="en-US" w:eastAsia="zh-CN" w:bidi="ar-SA"/>
        </w:rPr>
      </w:pPr>
      <w:r>
        <w:rPr>
          <w:rFonts w:hint="eastAsia" w:ascii="宋体" w:hAnsi="宋体" w:cs="宋体"/>
          <w:b w:val="0"/>
          <w:i w:val="0"/>
          <w:caps w:val="0"/>
          <w:color w:val="auto"/>
          <w:spacing w:val="0"/>
          <w:w w:val="100"/>
          <w:sz w:val="24"/>
          <w:szCs w:val="22"/>
          <w:highlight w:val="none"/>
          <w:lang w:val="en-US" w:eastAsia="zh-CN" w:bidi="ar-SA"/>
        </w:rPr>
        <w:t>从</w:t>
      </w:r>
      <w:r>
        <w:rPr>
          <w:rFonts w:hint="eastAsia" w:ascii="宋体" w:hAnsi="宋体" w:eastAsia="宋体" w:cs="宋体"/>
          <w:b w:val="0"/>
          <w:i w:val="0"/>
          <w:caps w:val="0"/>
          <w:color w:val="auto"/>
          <w:spacing w:val="0"/>
          <w:w w:val="100"/>
          <w:sz w:val="24"/>
          <w:szCs w:val="22"/>
          <w:highlight w:val="none"/>
          <w:lang w:val="en-US" w:eastAsia="zh-CN" w:bidi="ar-SA"/>
        </w:rPr>
        <w:t>环保</w:t>
      </w:r>
      <w:r>
        <w:rPr>
          <w:rFonts w:hint="eastAsia" w:ascii="宋体" w:hAnsi="宋体" w:cs="宋体"/>
          <w:b w:val="0"/>
          <w:i w:val="0"/>
          <w:caps w:val="0"/>
          <w:color w:val="auto"/>
          <w:spacing w:val="0"/>
          <w:w w:val="100"/>
          <w:sz w:val="24"/>
          <w:szCs w:val="22"/>
          <w:highlight w:val="none"/>
          <w:lang w:val="en-US" w:eastAsia="zh-CN" w:bidi="ar-SA"/>
        </w:rPr>
        <w:t>、</w:t>
      </w:r>
      <w:r>
        <w:rPr>
          <w:rFonts w:hint="eastAsia" w:ascii="宋体" w:hAnsi="宋体" w:eastAsia="宋体" w:cs="宋体"/>
          <w:b w:val="0"/>
          <w:i w:val="0"/>
          <w:caps w:val="0"/>
          <w:color w:val="auto"/>
          <w:spacing w:val="0"/>
          <w:w w:val="100"/>
          <w:sz w:val="24"/>
          <w:szCs w:val="22"/>
          <w:highlight w:val="none"/>
          <w:lang w:val="en-US" w:eastAsia="zh-CN" w:bidi="ar-SA"/>
        </w:rPr>
        <w:t>安全</w:t>
      </w:r>
      <w:r>
        <w:rPr>
          <w:rFonts w:hint="eastAsia" w:ascii="宋体" w:hAnsi="宋体" w:cs="宋体"/>
          <w:b w:val="0"/>
          <w:i w:val="0"/>
          <w:caps w:val="0"/>
          <w:color w:val="auto"/>
          <w:spacing w:val="0"/>
          <w:w w:val="100"/>
          <w:sz w:val="24"/>
          <w:szCs w:val="22"/>
          <w:highlight w:val="none"/>
          <w:lang w:val="en-US" w:eastAsia="zh-CN" w:bidi="ar-SA"/>
        </w:rPr>
        <w:t>、质量方面做出</w:t>
      </w:r>
      <w:r>
        <w:rPr>
          <w:rFonts w:hint="eastAsia" w:ascii="宋体" w:hAnsi="宋体" w:eastAsia="宋体" w:cs="宋体"/>
          <w:b w:val="0"/>
          <w:i w:val="0"/>
          <w:caps w:val="0"/>
          <w:color w:val="auto"/>
          <w:spacing w:val="0"/>
          <w:w w:val="100"/>
          <w:sz w:val="24"/>
          <w:szCs w:val="22"/>
          <w:highlight w:val="none"/>
          <w:lang w:val="en-US" w:eastAsia="zh-CN" w:bidi="ar-SA"/>
        </w:rPr>
        <w:t>承诺；</w:t>
      </w:r>
    </w:p>
    <w:p w14:paraId="3765804E">
      <w:pPr>
        <w:tabs>
          <w:tab w:val="left" w:pos="168"/>
        </w:tabs>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4"/>
          <w:szCs w:val="22"/>
          <w:highlight w:val="none"/>
          <w:lang w:val="en-US" w:eastAsia="zh-CN" w:bidi="ar-SA"/>
        </w:rPr>
      </w:pPr>
      <w:r>
        <w:rPr>
          <w:rFonts w:hint="eastAsia" w:ascii="宋体" w:hAnsi="宋体" w:cs="宋体"/>
          <w:b w:val="0"/>
          <w:i w:val="0"/>
          <w:caps w:val="0"/>
          <w:color w:val="auto"/>
          <w:spacing w:val="0"/>
          <w:w w:val="100"/>
          <w:sz w:val="24"/>
          <w:szCs w:val="22"/>
          <w:highlight w:val="none"/>
          <w:lang w:val="en-US" w:eastAsia="zh-CN" w:bidi="ar-SA"/>
        </w:rPr>
        <w:t>（格式自拟）</w:t>
      </w:r>
    </w:p>
    <w:p w14:paraId="763EABB5">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71BF64DA">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0A18E9F1">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0AEA318F">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7AF6D775">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306B7750">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5ACCFAAD">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0D783708">
      <w:pPr>
        <w:tabs>
          <w:tab w:val="left" w:pos="168"/>
        </w:tabs>
        <w:snapToGrid w:val="0"/>
        <w:spacing w:before="0" w:beforeAutospacing="0" w:after="0" w:afterAutospacing="0" w:line="360" w:lineRule="auto"/>
        <w:ind w:firstLine="560" w:firstLineChars="200"/>
        <w:textAlignment w:val="baseline"/>
        <w:rPr>
          <w:rFonts w:hint="eastAsia" w:ascii="宋体" w:hAnsi="宋体" w:eastAsia="宋体" w:cs="宋体"/>
          <w:b w:val="0"/>
          <w:bCs/>
          <w:i w:val="0"/>
          <w:caps w:val="0"/>
          <w:color w:val="auto"/>
          <w:spacing w:val="0"/>
          <w:w w:val="100"/>
          <w:sz w:val="28"/>
          <w:szCs w:val="28"/>
          <w:highlight w:val="none"/>
        </w:rPr>
      </w:pPr>
    </w:p>
    <w:p w14:paraId="75C86768">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磋商</w:t>
      </w:r>
      <w:r>
        <w:rPr>
          <w:rFonts w:hint="eastAsia" w:ascii="宋体" w:hAnsi="宋体" w:eastAsia="宋体" w:cs="宋体"/>
          <w:b w:val="0"/>
          <w:i w:val="0"/>
          <w:caps w:val="0"/>
          <w:color w:val="auto"/>
          <w:spacing w:val="0"/>
          <w:w w:val="100"/>
          <w:sz w:val="24"/>
          <w:highlight w:val="none"/>
          <w:lang w:eastAsia="zh-CN"/>
        </w:rPr>
        <w:t>响应人</w:t>
      </w:r>
      <w:r>
        <w:rPr>
          <w:rFonts w:hint="eastAsia" w:ascii="宋体" w:hAnsi="宋体" w:eastAsia="宋体" w:cs="宋体"/>
          <w:b w:val="0"/>
          <w:bCs/>
          <w:i w:val="0"/>
          <w:caps w:val="0"/>
          <w:color w:val="auto"/>
          <w:spacing w:val="0"/>
          <w:w w:val="100"/>
          <w:sz w:val="24"/>
          <w:szCs w:val="28"/>
          <w:highlight w:val="none"/>
        </w:rPr>
        <w:t>：                   （公章）</w:t>
      </w:r>
    </w:p>
    <w:p w14:paraId="3CCB0C21">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法定代表人或委托代理人：                （签字）</w:t>
      </w:r>
    </w:p>
    <w:p w14:paraId="179CADF9">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 xml:space="preserve">        年   月   日</w:t>
      </w:r>
    </w:p>
    <w:p w14:paraId="25B4DD24">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szCs w:val="20"/>
          <w:highlight w:val="none"/>
        </w:rPr>
      </w:pPr>
      <w:r>
        <w:rPr>
          <w:rFonts w:hint="eastAsia" w:ascii="宋体" w:hAnsi="宋体" w:eastAsia="宋体" w:cs="宋体"/>
          <w:b/>
          <w:bCs/>
          <w:i w:val="0"/>
          <w:caps w:val="0"/>
          <w:color w:val="auto"/>
          <w:spacing w:val="0"/>
          <w:w w:val="100"/>
          <w:sz w:val="24"/>
          <w:szCs w:val="20"/>
          <w:highlight w:val="none"/>
        </w:rPr>
        <w:br w:type="page"/>
      </w:r>
    </w:p>
    <w:p w14:paraId="346EDE90">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45" w:name="_Toc22627"/>
      <w:bookmarkStart w:id="1246" w:name="_Toc28179"/>
      <w:bookmarkStart w:id="1247" w:name="_Toc451517389"/>
      <w:r>
        <w:rPr>
          <w:rFonts w:hint="eastAsia" w:ascii="宋体" w:hAnsi="宋体" w:eastAsia="宋体" w:cs="宋体"/>
          <w:b/>
          <w:bCs/>
          <w:i w:val="0"/>
          <w:caps w:val="0"/>
          <w:color w:val="auto"/>
          <w:spacing w:val="0"/>
          <w:w w:val="100"/>
          <w:sz w:val="24"/>
          <w:szCs w:val="32"/>
          <w:highlight w:val="none"/>
          <w:lang w:val="en-US" w:eastAsia="zh-CN" w:bidi="ar-SA"/>
        </w:rPr>
        <w:t>八、未被列入“失信被执行人”的证明</w:t>
      </w:r>
      <w:bookmarkEnd w:id="1245"/>
      <w:bookmarkEnd w:id="1246"/>
    </w:p>
    <w:p w14:paraId="77A8136F">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lang w:val="zh-CN" w:eastAsia="zh-CN"/>
        </w:rPr>
      </w:pPr>
      <w:r>
        <w:rPr>
          <w:rFonts w:hint="eastAsia" w:ascii="宋体" w:hAnsi="宋体" w:eastAsia="宋体" w:cs="宋体"/>
          <w:b/>
          <w:i w:val="0"/>
          <w:caps w:val="0"/>
          <w:color w:val="auto"/>
          <w:spacing w:val="0"/>
          <w:w w:val="100"/>
          <w:sz w:val="24"/>
          <w:highlight w:val="none"/>
          <w:lang w:val="zh-CN" w:eastAsia="zh-CN"/>
        </w:rPr>
        <w:t>未被列入“失信被执行人”的证明</w:t>
      </w:r>
    </w:p>
    <w:p w14:paraId="28F90E0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 xml:space="preserve">    </w:t>
      </w:r>
    </w:p>
    <w:p w14:paraId="4C0907F8">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szCs w:val="24"/>
          <w:highlight w:val="none"/>
        </w:rPr>
      </w:pPr>
      <w:bookmarkStart w:id="1248" w:name="_Toc2340"/>
      <w:bookmarkStart w:id="1249" w:name="_Toc29175"/>
      <w:bookmarkStart w:id="1250" w:name="_Toc12122"/>
      <w:r>
        <w:rPr>
          <w:rFonts w:hint="eastAsia" w:ascii="宋体" w:hAnsi="宋体" w:eastAsia="宋体" w:cs="宋体"/>
          <w:b w:val="0"/>
          <w:i w:val="0"/>
          <w:caps w:val="0"/>
          <w:color w:val="auto"/>
          <w:spacing w:val="0"/>
          <w:w w:val="100"/>
          <w:sz w:val="24"/>
          <w:szCs w:val="24"/>
          <w:highlight w:val="none"/>
        </w:rPr>
        <w:t>经信用中国（www.creditchina.gov.cn）、中国政府采购网（www.ccgp.gov.cn）等渠道查询后，列入失信被执行人、重大税收违法案件当事人名单、政府采购严重违法失信行为记录名单的，取消投标资格。（提供</w:t>
      </w:r>
      <w:r>
        <w:rPr>
          <w:rFonts w:hint="eastAsia" w:ascii="宋体" w:hAnsi="宋体" w:eastAsia="宋体" w:cs="宋体"/>
          <w:b w:val="0"/>
          <w:i w:val="0"/>
          <w:caps w:val="0"/>
          <w:color w:val="auto"/>
          <w:spacing w:val="0"/>
          <w:w w:val="100"/>
          <w:sz w:val="24"/>
          <w:szCs w:val="24"/>
          <w:highlight w:val="none"/>
          <w:lang w:eastAsia="zh-CN"/>
        </w:rPr>
        <w:t>“信用中国”及“中国政府采购网”</w:t>
      </w:r>
      <w:r>
        <w:rPr>
          <w:rFonts w:hint="eastAsia" w:ascii="宋体" w:hAnsi="宋体" w:eastAsia="宋体" w:cs="宋体"/>
          <w:b w:val="0"/>
          <w:i w:val="0"/>
          <w:caps w:val="0"/>
          <w:color w:val="auto"/>
          <w:spacing w:val="0"/>
          <w:w w:val="100"/>
          <w:sz w:val="24"/>
          <w:szCs w:val="24"/>
          <w:highlight w:val="none"/>
        </w:rPr>
        <w:t>网站无任何不良记录的查询截图，时间为投标截止时间前</w:t>
      </w:r>
      <w:r>
        <w:rPr>
          <w:rFonts w:hint="eastAsia" w:ascii="宋体" w:hAnsi="宋体" w:eastAsia="宋体" w:cs="宋体"/>
          <w:b w:val="0"/>
          <w:i w:val="0"/>
          <w:caps w:val="0"/>
          <w:color w:val="auto"/>
          <w:spacing w:val="0"/>
          <w:w w:val="100"/>
          <w:sz w:val="24"/>
          <w:szCs w:val="24"/>
          <w:highlight w:val="none"/>
          <w:lang w:val="en-US" w:eastAsia="zh-CN"/>
        </w:rPr>
        <w:t>20天</w:t>
      </w:r>
      <w:r>
        <w:rPr>
          <w:rFonts w:hint="eastAsia" w:ascii="宋体" w:hAnsi="宋体" w:eastAsia="宋体" w:cs="宋体"/>
          <w:b w:val="0"/>
          <w:i w:val="0"/>
          <w:caps w:val="0"/>
          <w:color w:val="auto"/>
          <w:spacing w:val="0"/>
          <w:w w:val="100"/>
          <w:sz w:val="24"/>
          <w:szCs w:val="24"/>
          <w:highlight w:val="none"/>
        </w:rPr>
        <w:t>内）。</w:t>
      </w:r>
    </w:p>
    <w:p w14:paraId="07258615">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szCs w:val="20"/>
          <w:highlight w:val="none"/>
        </w:rPr>
      </w:pPr>
      <w:r>
        <w:rPr>
          <w:rFonts w:hint="eastAsia" w:ascii="宋体" w:hAnsi="宋体" w:eastAsia="宋体" w:cs="宋体"/>
          <w:b w:val="0"/>
          <w:bCs w:val="0"/>
          <w:i w:val="0"/>
          <w:caps w:val="0"/>
          <w:color w:val="auto"/>
          <w:spacing w:val="0"/>
          <w:w w:val="100"/>
          <w:sz w:val="24"/>
          <w:szCs w:val="20"/>
          <w:highlight w:val="none"/>
        </w:rPr>
        <w:t>注：附网站查询截图，截图中须显示“报告查看时间”，时间为投标截止时间前20天内，否则视为无效投标</w:t>
      </w:r>
      <w:r>
        <w:rPr>
          <w:rFonts w:hint="eastAsia" w:ascii="宋体" w:hAnsi="宋体" w:eastAsia="宋体" w:cs="宋体"/>
          <w:b w:val="0"/>
          <w:bCs w:val="0"/>
          <w:i w:val="0"/>
          <w:caps w:val="0"/>
          <w:color w:val="auto"/>
          <w:spacing w:val="0"/>
          <w:w w:val="100"/>
          <w:sz w:val="24"/>
          <w:szCs w:val="20"/>
          <w:highlight w:val="none"/>
          <w:lang w:eastAsia="zh-CN"/>
        </w:rPr>
        <w:t>。</w:t>
      </w:r>
      <w:r>
        <w:rPr>
          <w:rFonts w:hint="eastAsia" w:ascii="宋体" w:hAnsi="宋体" w:eastAsia="宋体" w:cs="宋体"/>
          <w:b/>
          <w:bCs/>
          <w:i w:val="0"/>
          <w:caps w:val="0"/>
          <w:color w:val="auto"/>
          <w:spacing w:val="0"/>
          <w:w w:val="100"/>
          <w:sz w:val="24"/>
          <w:szCs w:val="20"/>
          <w:highlight w:val="none"/>
        </w:rPr>
        <w:br w:type="page"/>
      </w:r>
    </w:p>
    <w:bookmarkEnd w:id="1248"/>
    <w:bookmarkEnd w:id="1249"/>
    <w:bookmarkEnd w:id="1250"/>
    <w:p w14:paraId="005C77BF">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highlight w:val="none"/>
        </w:rPr>
      </w:pPr>
    </w:p>
    <w:p w14:paraId="678E4AD7">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51" w:name="_Toc12525"/>
      <w:bookmarkStart w:id="1252" w:name="_Toc21514"/>
      <w:r>
        <w:rPr>
          <w:rFonts w:hint="eastAsia" w:ascii="宋体" w:hAnsi="宋体" w:eastAsia="宋体" w:cs="宋体"/>
          <w:b/>
          <w:bCs/>
          <w:i w:val="0"/>
          <w:caps w:val="0"/>
          <w:color w:val="auto"/>
          <w:spacing w:val="0"/>
          <w:w w:val="100"/>
          <w:sz w:val="24"/>
          <w:szCs w:val="32"/>
          <w:highlight w:val="none"/>
          <w:lang w:val="en-US" w:eastAsia="zh-CN" w:bidi="ar-SA"/>
        </w:rPr>
        <w:t>九、已标价工程量清单</w:t>
      </w:r>
      <w:bookmarkEnd w:id="1247"/>
      <w:bookmarkEnd w:id="1251"/>
      <w:bookmarkEnd w:id="1252"/>
    </w:p>
    <w:p w14:paraId="68C6EE2A">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bookmarkStart w:id="1253" w:name="_Toc476056277"/>
      <w:bookmarkStart w:id="1254" w:name="_Toc20844"/>
    </w:p>
    <w:p w14:paraId="7B51EF89">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20"/>
          <w:highlight w:val="none"/>
          <w:lang w:val="zh-CN" w:eastAsia="zh-CN"/>
        </w:rPr>
      </w:pPr>
      <w:r>
        <w:rPr>
          <w:rFonts w:hint="eastAsia" w:ascii="宋体" w:hAnsi="宋体" w:eastAsia="宋体" w:cs="宋体"/>
          <w:b/>
          <w:i w:val="0"/>
          <w:caps w:val="0"/>
          <w:color w:val="auto"/>
          <w:spacing w:val="0"/>
          <w:w w:val="100"/>
          <w:sz w:val="24"/>
          <w:highlight w:val="none"/>
          <w:lang w:val="zh-CN" w:eastAsia="zh-CN"/>
        </w:rPr>
        <w:t>已标价工程量清单</w:t>
      </w:r>
      <w:bookmarkEnd w:id="1253"/>
      <w:bookmarkEnd w:id="1254"/>
    </w:p>
    <w:p w14:paraId="0E418F2A">
      <w:pPr>
        <w:rPr>
          <w:rFonts w:hint="eastAsia" w:ascii="宋体" w:hAnsi="宋体" w:eastAsia="宋体" w:cs="宋体"/>
          <w:b/>
          <w:bCs/>
          <w:i w:val="0"/>
          <w:caps w:val="0"/>
          <w:color w:val="auto"/>
          <w:spacing w:val="0"/>
          <w:w w:val="100"/>
          <w:sz w:val="24"/>
          <w:szCs w:val="32"/>
          <w:highlight w:val="none"/>
          <w:lang w:val="en-US" w:eastAsia="zh-CN" w:bidi="ar-SA"/>
        </w:rPr>
      </w:pPr>
      <w:bookmarkStart w:id="1255" w:name="_Toc6371"/>
      <w:r>
        <w:rPr>
          <w:rFonts w:hint="eastAsia" w:ascii="宋体" w:hAnsi="宋体" w:eastAsia="宋体" w:cs="宋体"/>
          <w:b/>
          <w:bCs/>
          <w:i w:val="0"/>
          <w:caps w:val="0"/>
          <w:color w:val="auto"/>
          <w:spacing w:val="0"/>
          <w:w w:val="100"/>
          <w:sz w:val="24"/>
          <w:szCs w:val="32"/>
          <w:highlight w:val="none"/>
          <w:lang w:val="en-US" w:eastAsia="zh-CN" w:bidi="ar-SA"/>
        </w:rPr>
        <w:br w:type="page"/>
      </w:r>
    </w:p>
    <w:p w14:paraId="473F8577">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56" w:name="_Toc29790"/>
      <w:r>
        <w:rPr>
          <w:rFonts w:hint="eastAsia" w:ascii="宋体" w:hAnsi="宋体" w:eastAsia="宋体" w:cs="宋体"/>
          <w:b/>
          <w:bCs/>
          <w:i w:val="0"/>
          <w:caps w:val="0"/>
          <w:color w:val="auto"/>
          <w:spacing w:val="0"/>
          <w:w w:val="100"/>
          <w:sz w:val="24"/>
          <w:szCs w:val="32"/>
          <w:highlight w:val="none"/>
          <w:lang w:val="en-US" w:eastAsia="zh-CN" w:bidi="ar-SA"/>
        </w:rPr>
        <w:t>十、施工组织设计</w:t>
      </w:r>
      <w:bookmarkEnd w:id="1255"/>
      <w:bookmarkEnd w:id="1256"/>
    </w:p>
    <w:p w14:paraId="6FDDE587">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w:t>
      </w:r>
      <w:bookmarkStart w:id="1257" w:name="_Toc420929924"/>
      <w:bookmarkStart w:id="1258" w:name="_Toc414469101"/>
      <w:r>
        <w:rPr>
          <w:rFonts w:hint="eastAsia" w:ascii="宋体" w:hAnsi="宋体" w:eastAsia="宋体" w:cs="宋体"/>
          <w:b w:val="0"/>
          <w:i w:val="0"/>
          <w:caps w:val="0"/>
          <w:color w:val="auto"/>
          <w:spacing w:val="0"/>
          <w:w w:val="100"/>
          <w:kern w:val="2"/>
          <w:sz w:val="24"/>
          <w:szCs w:val="24"/>
          <w:highlight w:val="none"/>
        </w:rPr>
        <w:t>．磋商响应人应根据磋商文件，采用</w:t>
      </w:r>
      <w:bookmarkEnd w:id="1257"/>
      <w:bookmarkEnd w:id="1258"/>
      <w:r>
        <w:rPr>
          <w:rFonts w:hint="eastAsia" w:ascii="宋体" w:hAnsi="宋体" w:eastAsia="宋体" w:cs="宋体"/>
          <w:b w:val="0"/>
          <w:i w:val="0"/>
          <w:caps w:val="0"/>
          <w:color w:val="auto"/>
          <w:spacing w:val="0"/>
          <w:w w:val="100"/>
          <w:kern w:val="2"/>
          <w:sz w:val="24"/>
          <w:szCs w:val="24"/>
          <w:highlight w:val="none"/>
        </w:rPr>
        <w:t>文字并结合图表形式，参考以下要点编制本工程的施工组织设计：</w:t>
      </w:r>
    </w:p>
    <w:p w14:paraId="6EE698CD">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（1）施工方案及技术措施；</w:t>
      </w:r>
    </w:p>
    <w:p w14:paraId="1FF8BD98">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（2）质量保证措施和创优计划；</w:t>
      </w:r>
    </w:p>
    <w:p w14:paraId="33347348">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（3）施工总进度计划及保证措施（包括以横道图或标明关键线路的网络进度计划、保障进度计划需要的主要施工机械设备、劳动力需求计划及保证措施、材料设备进场计划及其他保证措施等）；</w:t>
      </w:r>
    </w:p>
    <w:p w14:paraId="518952BE">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（4）施工安全措施计划；</w:t>
      </w:r>
    </w:p>
    <w:p w14:paraId="732D221F">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（5）文明施工措施计划；</w:t>
      </w:r>
    </w:p>
    <w:p w14:paraId="65C31624">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（6）施工场地治安保卫管理计划；</w:t>
      </w:r>
    </w:p>
    <w:p w14:paraId="4FD8384B">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（7）施工环保措施计划；</w:t>
      </w:r>
    </w:p>
    <w:p w14:paraId="7C86E884">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（8）冬季和</w:t>
      </w:r>
      <w:r>
        <w:rPr>
          <w:rFonts w:hint="eastAsia" w:ascii="宋体" w:hAnsi="宋体" w:cs="宋体"/>
          <w:b w:val="0"/>
          <w:i w:val="0"/>
          <w:caps w:val="0"/>
          <w:color w:val="auto"/>
          <w:spacing w:val="0"/>
          <w:w w:val="100"/>
          <w:kern w:val="2"/>
          <w:sz w:val="24"/>
          <w:szCs w:val="24"/>
          <w:highlight w:val="none"/>
          <w:lang w:eastAsia="zh-CN"/>
        </w:rPr>
        <w:t>冬季</w:t>
      </w:r>
      <w:r>
        <w:rPr>
          <w:rFonts w:hint="eastAsia" w:ascii="宋体" w:hAnsi="宋体" w:eastAsia="宋体" w:cs="宋体"/>
          <w:b w:val="0"/>
          <w:i w:val="0"/>
          <w:caps w:val="0"/>
          <w:color w:val="auto"/>
          <w:spacing w:val="0"/>
          <w:w w:val="100"/>
          <w:kern w:val="2"/>
          <w:sz w:val="24"/>
          <w:szCs w:val="24"/>
          <w:highlight w:val="none"/>
        </w:rPr>
        <w:t>施工方案；</w:t>
      </w:r>
    </w:p>
    <w:p w14:paraId="164BC007">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9）施工现场总平面布置（磋商响应人应递交一份施工总平面图，绘出现场临时设施布置图表并附文字说明，说明临时设施、加工车间、现场办公、设备及仓储、供电、供水、卫生、生活、道路、消防等设施的情况和布置）；</w:t>
      </w:r>
    </w:p>
    <w:p w14:paraId="4D801294">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（10）项目组织管理机构（若施工组织设计采用“暗标”方式评审，则在任何情况下，“项目管理机构”不得涉及人员姓名、简历、公司名称等暴露磋商响应人身份的内容）；</w:t>
      </w:r>
    </w:p>
    <w:p w14:paraId="275679BB">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（11）承包人自行施工范围内拟分包的非主体和非关键性工作、材料计划和劳动力计划；</w:t>
      </w:r>
    </w:p>
    <w:p w14:paraId="25D04A44">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（12）成品保护和工程保修工作的管理措施和承诺；</w:t>
      </w:r>
    </w:p>
    <w:p w14:paraId="6075E191">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（13）任何可能的紧急情况的处理措施、预案以及抵抗风险（包括工程施工过程中可能遇到的各种风险）的措施；</w:t>
      </w:r>
    </w:p>
    <w:p w14:paraId="06FF33D6">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（14）对总包管理的认识以及对专业分包工程的配合、协调、管理、服务方案；</w:t>
      </w:r>
    </w:p>
    <w:p w14:paraId="5BB49572">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（15）与发包人、监理及设计人的配合；</w:t>
      </w:r>
    </w:p>
    <w:p w14:paraId="3A49CCB0">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（16）</w:t>
      </w:r>
      <w:r>
        <w:rPr>
          <w:rFonts w:hint="eastAsia" w:ascii="宋体" w:hAnsi="宋体" w:eastAsia="宋体" w:cs="宋体"/>
          <w:b w:val="0"/>
          <w:i w:val="0"/>
          <w:caps w:val="0"/>
          <w:color w:val="auto"/>
          <w:spacing w:val="0"/>
          <w:w w:val="100"/>
          <w:kern w:val="2"/>
          <w:sz w:val="24"/>
          <w:szCs w:val="24"/>
          <w:highlight w:val="none"/>
          <w:lang w:eastAsia="zh-CN"/>
        </w:rPr>
        <w:t>磋商</w:t>
      </w:r>
      <w:r>
        <w:rPr>
          <w:rFonts w:hint="eastAsia" w:ascii="宋体" w:hAnsi="宋体" w:eastAsia="宋体" w:cs="宋体"/>
          <w:b w:val="0"/>
          <w:i w:val="0"/>
          <w:caps w:val="0"/>
          <w:color w:val="auto"/>
          <w:spacing w:val="0"/>
          <w:w w:val="100"/>
          <w:kern w:val="2"/>
          <w:sz w:val="24"/>
          <w:szCs w:val="24"/>
          <w:highlight w:val="none"/>
        </w:rPr>
        <w:t>文件规定的其他内容。</w:t>
      </w:r>
    </w:p>
    <w:p w14:paraId="190022D1">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w:t>
      </w:r>
      <w:r>
        <w:rPr>
          <w:rFonts w:hint="eastAsia" w:ascii="宋体" w:hAnsi="宋体" w:eastAsia="宋体" w:cs="宋体"/>
          <w:b w:val="0"/>
          <w:i w:val="0"/>
          <w:caps w:val="0"/>
          <w:color w:val="auto"/>
          <w:spacing w:val="0"/>
          <w:w w:val="100"/>
          <w:kern w:val="2"/>
          <w:sz w:val="24"/>
          <w:szCs w:val="20"/>
          <w:highlight w:val="none"/>
        </w:rPr>
        <w:t>危险性较大的分部项工程安全专项施工方案</w:t>
      </w:r>
    </w:p>
    <w:p w14:paraId="31560E22">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br w:type="page"/>
      </w:r>
    </w:p>
    <w:p w14:paraId="47109EC0">
      <w:pPr>
        <w:snapToGrid w:val="0"/>
        <w:spacing w:before="0" w:beforeAutospacing="0" w:after="0" w:afterAutospacing="0" w:line="360" w:lineRule="auto"/>
        <w:ind w:firstLine="480" w:firstLineChars="200"/>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kern w:val="2"/>
          <w:sz w:val="24"/>
          <w:szCs w:val="24"/>
          <w:highlight w:val="none"/>
        </w:rPr>
        <w:t>附表一拟投入本工程的主要施工设备表</w:t>
      </w:r>
    </w:p>
    <w:p w14:paraId="49061CC6">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附表二拟配备本工程的试验和检测仪器设备表</w:t>
      </w:r>
    </w:p>
    <w:p w14:paraId="64171288">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附表三劳动力计划表</w:t>
      </w:r>
    </w:p>
    <w:p w14:paraId="3A2F7A11">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附表四计划开、竣工日期和施工进度网络图</w:t>
      </w:r>
    </w:p>
    <w:p w14:paraId="01369164">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附表五施工总平面图</w:t>
      </w:r>
    </w:p>
    <w:p w14:paraId="41092E08">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附表六临时用地表</w:t>
      </w:r>
    </w:p>
    <w:p w14:paraId="1B31F032">
      <w:pPr>
        <w:keepLines/>
        <w:snapToGrid w:val="0"/>
        <w:spacing w:before="260" w:beforeAutospacing="0" w:after="260" w:afterAutospacing="0" w:line="416" w:lineRule="auto"/>
        <w:textAlignment w:val="baseline"/>
        <w:rPr>
          <w:rFonts w:hint="eastAsia" w:ascii="宋体" w:hAnsi="宋体" w:eastAsia="宋体" w:cs="宋体"/>
          <w:b/>
          <w:bCs/>
          <w:i w:val="0"/>
          <w:caps w:val="0"/>
          <w:color w:val="auto"/>
          <w:spacing w:val="0"/>
          <w:w w:val="100"/>
          <w:sz w:val="20"/>
          <w:szCs w:val="24"/>
          <w:highlight w:val="none"/>
        </w:rPr>
      </w:pPr>
      <w:r>
        <w:rPr>
          <w:rFonts w:hint="eastAsia" w:ascii="宋体" w:hAnsi="宋体" w:eastAsia="宋体" w:cs="宋体"/>
          <w:b/>
          <w:bCs/>
          <w:i w:val="0"/>
          <w:caps w:val="0"/>
          <w:color w:val="auto"/>
          <w:spacing w:val="0"/>
          <w:w w:val="100"/>
          <w:sz w:val="24"/>
          <w:szCs w:val="24"/>
          <w:highlight w:val="none"/>
        </w:rPr>
        <w:br w:type="page"/>
      </w:r>
    </w:p>
    <w:p w14:paraId="73704A4D">
      <w:pPr>
        <w:snapToGrid w:val="0"/>
        <w:spacing w:before="260" w:beforeAutospacing="0" w:after="260" w:afterAutospacing="0" w:line="416" w:lineRule="auto"/>
        <w:textAlignment w:val="baseline"/>
        <w:rPr>
          <w:rFonts w:hint="eastAsia" w:ascii="宋体" w:hAnsi="宋体" w:eastAsia="宋体" w:cs="宋体"/>
          <w:b/>
          <w:i w:val="0"/>
          <w:caps w:val="0"/>
          <w:color w:val="auto"/>
          <w:spacing w:val="0"/>
          <w:w w:val="100"/>
          <w:sz w:val="20"/>
          <w:highlight w:val="none"/>
        </w:rPr>
      </w:pPr>
      <w:bookmarkStart w:id="1259" w:name="_Toc27936"/>
      <w:bookmarkStart w:id="1260" w:name="_Toc17541"/>
      <w:r>
        <w:rPr>
          <w:rFonts w:hint="eastAsia" w:ascii="宋体" w:hAnsi="宋体" w:eastAsia="宋体" w:cs="宋体"/>
          <w:b/>
          <w:bCs/>
          <w:i w:val="0"/>
          <w:caps w:val="0"/>
          <w:color w:val="auto"/>
          <w:spacing w:val="0"/>
          <w:w w:val="100"/>
          <w:sz w:val="24"/>
          <w:szCs w:val="24"/>
          <w:highlight w:val="none"/>
        </w:rPr>
        <w:t>附表一：拟投入本工程的主要施工设备表</w:t>
      </w:r>
      <w:bookmarkEnd w:id="1259"/>
      <w:bookmarkEnd w:id="1260"/>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9"/>
        <w:gridCol w:w="1205"/>
        <w:gridCol w:w="761"/>
        <w:gridCol w:w="1157"/>
        <w:gridCol w:w="803"/>
        <w:gridCol w:w="803"/>
        <w:gridCol w:w="1331"/>
        <w:gridCol w:w="988"/>
        <w:gridCol w:w="988"/>
        <w:gridCol w:w="863"/>
      </w:tblGrid>
      <w:tr w14:paraId="08BBA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29" w:type="dxa"/>
            <w:vAlign w:val="center"/>
          </w:tcPr>
          <w:p w14:paraId="2C7813EF">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序号</w:t>
            </w:r>
          </w:p>
        </w:tc>
        <w:tc>
          <w:tcPr>
            <w:tcW w:w="1205" w:type="dxa"/>
            <w:vAlign w:val="center"/>
          </w:tcPr>
          <w:p w14:paraId="53DCA334">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设备名</w:t>
            </w:r>
            <w:bookmarkStart w:id="1261" w:name="_Toc414469102"/>
            <w:bookmarkStart w:id="1262" w:name="_Toc420929925"/>
            <w:r>
              <w:rPr>
                <w:rFonts w:hint="eastAsia" w:ascii="宋体" w:hAnsi="宋体" w:eastAsia="宋体" w:cs="宋体"/>
                <w:b w:val="0"/>
                <w:i w:val="0"/>
                <w:caps w:val="0"/>
                <w:color w:val="auto"/>
                <w:spacing w:val="0"/>
                <w:w w:val="100"/>
                <w:kern w:val="2"/>
                <w:sz w:val="24"/>
                <w:szCs w:val="24"/>
                <w:highlight w:val="none"/>
              </w:rPr>
              <w:t>称</w:t>
            </w:r>
          </w:p>
        </w:tc>
        <w:tc>
          <w:tcPr>
            <w:tcW w:w="761" w:type="dxa"/>
            <w:vAlign w:val="center"/>
          </w:tcPr>
          <w:p w14:paraId="7074580F">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型号</w:t>
            </w:r>
          </w:p>
          <w:p w14:paraId="5B5D9212">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规格</w:t>
            </w:r>
          </w:p>
        </w:tc>
        <w:tc>
          <w:tcPr>
            <w:tcW w:w="1157" w:type="dxa"/>
            <w:vAlign w:val="center"/>
          </w:tcPr>
          <w:p w14:paraId="3584627C">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数量</w:t>
            </w:r>
          </w:p>
        </w:tc>
        <w:tc>
          <w:tcPr>
            <w:tcW w:w="803" w:type="dxa"/>
            <w:vAlign w:val="center"/>
          </w:tcPr>
          <w:p w14:paraId="019C0478">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国别</w:t>
            </w:r>
          </w:p>
          <w:p w14:paraId="7D017B14">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产地</w:t>
            </w:r>
          </w:p>
        </w:tc>
        <w:tc>
          <w:tcPr>
            <w:tcW w:w="803" w:type="dxa"/>
            <w:vAlign w:val="center"/>
          </w:tcPr>
          <w:p w14:paraId="4AFDABB8">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制</w:t>
            </w:r>
            <w:bookmarkEnd w:id="1261"/>
            <w:bookmarkEnd w:id="1262"/>
            <w:r>
              <w:rPr>
                <w:rFonts w:hint="eastAsia" w:ascii="宋体" w:hAnsi="宋体" w:eastAsia="宋体" w:cs="宋体"/>
                <w:b w:val="0"/>
                <w:i w:val="0"/>
                <w:caps w:val="0"/>
                <w:color w:val="auto"/>
                <w:spacing w:val="0"/>
                <w:w w:val="100"/>
                <w:kern w:val="2"/>
                <w:sz w:val="24"/>
                <w:szCs w:val="24"/>
                <w:highlight w:val="none"/>
              </w:rPr>
              <w:t>造</w:t>
            </w:r>
          </w:p>
          <w:p w14:paraId="6141EBA6">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年份</w:t>
            </w:r>
          </w:p>
        </w:tc>
        <w:tc>
          <w:tcPr>
            <w:tcW w:w="1331" w:type="dxa"/>
            <w:vAlign w:val="center"/>
          </w:tcPr>
          <w:p w14:paraId="2D806367">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额定功率</w:t>
            </w:r>
          </w:p>
          <w:p w14:paraId="05964DB5">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（KW）</w:t>
            </w:r>
          </w:p>
        </w:tc>
        <w:tc>
          <w:tcPr>
            <w:tcW w:w="988" w:type="dxa"/>
            <w:vAlign w:val="center"/>
          </w:tcPr>
          <w:p w14:paraId="421CA3FB">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生产</w:t>
            </w:r>
          </w:p>
          <w:p w14:paraId="4663D837">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能力</w:t>
            </w:r>
          </w:p>
        </w:tc>
        <w:tc>
          <w:tcPr>
            <w:tcW w:w="988" w:type="dxa"/>
            <w:vAlign w:val="center"/>
          </w:tcPr>
          <w:p w14:paraId="1FBBCF92">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用于施</w:t>
            </w:r>
          </w:p>
          <w:p w14:paraId="1B1D97D1">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工部位</w:t>
            </w:r>
          </w:p>
        </w:tc>
        <w:tc>
          <w:tcPr>
            <w:tcW w:w="863" w:type="dxa"/>
            <w:vAlign w:val="center"/>
          </w:tcPr>
          <w:p w14:paraId="7C9C125E">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tc>
      </w:tr>
      <w:tr w14:paraId="0285C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422DCE3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6A5798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38231D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56387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87AE2C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C0A89A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7FC4F5C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AE2C90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553DCF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42136A0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E36F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5F6787E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8C1C46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712B302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2EA9BA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B4D7A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DFBF8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654A705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BA636D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90DA22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75C3FF1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7436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41A3AF2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1CB2767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0B2C778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C06BD6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FDBC56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4C6917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18A8550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616B3D4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71B2277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139C17C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626D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795131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6647110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6B03F4B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CF6B13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831C5C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865EBF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421EFFF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00B1F02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0EC274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7D2D02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D5AD1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32E439C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7D97559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F4C9A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25D489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727165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3B5B3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52D869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1F2538E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695DFFB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7FED13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7529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715D6AC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03C87E1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5C01C86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F3970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AA3DF7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42BA6B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6F0819C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CFEBD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F27DA2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31EBEF7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7907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3E2A11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3006E82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6A333F0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16CE599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BBD2D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2B1C59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2FB26A6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1758172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C24F17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1D16AF6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E7957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43C447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68AD13E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75FDA0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44C68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B76315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2E398D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6FD5410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980DAA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F3E0D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2A56CFE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2C9F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6BAB7EF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430E5F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7B8A343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25F2068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9FBF5F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FC34CF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67CAF26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56DA71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1A38E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1C23B14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A4FD3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586D7B7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3A014A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1E2B2C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2A91116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B47FAD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C66BB3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EC2895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619459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693827E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3DCC612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91277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13585AE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6665F66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035FE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6B4B14B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4B51F6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26739A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26B6CC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50B607F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E4B276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43655C6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E5003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28325A8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472250A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F966CD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37B8612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75A288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2E33ED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49BA90E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262FE3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772CDF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27EC529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9A2D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2F4EF58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259623D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28B2CFC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6750E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335D33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651F43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5EEDBFF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48FF72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7257667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19E9118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CB43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1C85178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63DC41C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19A2015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311130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70573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45DA23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631983A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74265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1D2155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43131A5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D51A5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5001A2C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23E3CEA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107D4AB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1C4772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FAA5FD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0627A2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7A40786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0E06499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59915DC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4CB2547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B8012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246E417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789161C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0940D15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74B7CE0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51DB4F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B957D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5B5F45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D15BF8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527AFF5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23AC9D8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C2767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7647E6B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32FEB4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6D26471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8568C3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BF500D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C5851A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02614B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F27B57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5E6853D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1EFD2D6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1DF97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30E3562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742EF3A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85715F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6B6E34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95472B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2E2398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7386F78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2B3F6E6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0156E9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5CA32A5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DE609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72A2A06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C8F7D8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253BE47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47F7F42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F23011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569B01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B5BFDA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51670A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02AE3F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163905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32E0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658BC46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3F2FEAF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5D0A151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219AFF6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8EC81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C31B04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0182312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647196A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6704C0E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0244892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5D9ED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748220E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4D9A70A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0B685C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66B272E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9E6AA1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B8EB1B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24681CC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73B56B1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3620C19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45D4522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0627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4663641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37B911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75247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BBC3BF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78DBAB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06FF55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057254E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06DC44B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E03397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4F986EC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D428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29" w:type="dxa"/>
            <w:vAlign w:val="center"/>
          </w:tcPr>
          <w:p w14:paraId="24C4AA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6B80868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6FBF679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20D097F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37C862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BFD028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46CBC56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427DD4D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88" w:type="dxa"/>
            <w:vAlign w:val="center"/>
          </w:tcPr>
          <w:p w14:paraId="0101C96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63" w:type="dxa"/>
            <w:vAlign w:val="center"/>
          </w:tcPr>
          <w:p w14:paraId="7E8C78F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03B83B3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D41FA38">
      <w:pPr>
        <w:keepLines/>
        <w:snapToGrid w:val="0"/>
        <w:spacing w:before="260" w:beforeAutospacing="0" w:after="260" w:afterAutospacing="0" w:line="416" w:lineRule="auto"/>
        <w:textAlignment w:val="baseline"/>
        <w:rPr>
          <w:rFonts w:hint="eastAsia" w:ascii="宋体" w:hAnsi="宋体" w:eastAsia="宋体" w:cs="宋体"/>
          <w:b/>
          <w:bCs/>
          <w:i w:val="0"/>
          <w:caps w:val="0"/>
          <w:color w:val="auto"/>
          <w:spacing w:val="0"/>
          <w:w w:val="100"/>
          <w:sz w:val="20"/>
          <w:szCs w:val="24"/>
          <w:highlight w:val="none"/>
        </w:rPr>
      </w:pPr>
      <w:r>
        <w:rPr>
          <w:rFonts w:hint="eastAsia" w:ascii="宋体" w:hAnsi="宋体" w:eastAsia="宋体" w:cs="宋体"/>
          <w:b/>
          <w:bCs/>
          <w:i w:val="0"/>
          <w:caps w:val="0"/>
          <w:color w:val="auto"/>
          <w:spacing w:val="0"/>
          <w:w w:val="100"/>
          <w:sz w:val="24"/>
          <w:szCs w:val="24"/>
          <w:highlight w:val="none"/>
        </w:rPr>
        <w:br w:type="page"/>
      </w:r>
    </w:p>
    <w:p w14:paraId="11004B66">
      <w:pPr>
        <w:snapToGrid w:val="0"/>
        <w:spacing w:before="260" w:beforeAutospacing="0" w:after="260" w:afterAutospacing="0" w:line="416" w:lineRule="auto"/>
        <w:textAlignment w:val="baseline"/>
        <w:rPr>
          <w:rFonts w:hint="eastAsia" w:ascii="宋体" w:hAnsi="宋体" w:eastAsia="宋体" w:cs="宋体"/>
          <w:b/>
          <w:i w:val="0"/>
          <w:caps w:val="0"/>
          <w:color w:val="auto"/>
          <w:spacing w:val="0"/>
          <w:w w:val="100"/>
          <w:sz w:val="20"/>
          <w:highlight w:val="none"/>
        </w:rPr>
      </w:pPr>
      <w:bookmarkStart w:id="1263" w:name="_Toc19881"/>
      <w:bookmarkStart w:id="1264" w:name="_Toc10553"/>
      <w:r>
        <w:rPr>
          <w:rFonts w:hint="eastAsia" w:ascii="宋体" w:hAnsi="宋体" w:eastAsia="宋体" w:cs="宋体"/>
          <w:b/>
          <w:bCs/>
          <w:i w:val="0"/>
          <w:caps w:val="0"/>
          <w:color w:val="auto"/>
          <w:spacing w:val="0"/>
          <w:w w:val="100"/>
          <w:sz w:val="24"/>
          <w:szCs w:val="24"/>
          <w:highlight w:val="none"/>
        </w:rPr>
        <w:t>附表二：拟配备本工程的试验和检测仪器设备表</w:t>
      </w:r>
      <w:bookmarkEnd w:id="1263"/>
      <w:bookmarkEnd w:id="1264"/>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0"/>
        <w:gridCol w:w="1205"/>
        <w:gridCol w:w="761"/>
        <w:gridCol w:w="1157"/>
        <w:gridCol w:w="803"/>
        <w:gridCol w:w="803"/>
        <w:gridCol w:w="1331"/>
        <w:gridCol w:w="1877"/>
        <w:gridCol w:w="961"/>
      </w:tblGrid>
      <w:tr w14:paraId="20DEC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730" w:type="dxa"/>
            <w:vAlign w:val="center"/>
          </w:tcPr>
          <w:p w14:paraId="6FF29088">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序号</w:t>
            </w:r>
          </w:p>
        </w:tc>
        <w:tc>
          <w:tcPr>
            <w:tcW w:w="1205" w:type="dxa"/>
            <w:vAlign w:val="center"/>
          </w:tcPr>
          <w:p w14:paraId="73A8E573">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bookmarkStart w:id="1265" w:name="_Toc414469103"/>
            <w:bookmarkStart w:id="1266" w:name="_Toc420929926"/>
            <w:r>
              <w:rPr>
                <w:rFonts w:hint="eastAsia" w:ascii="宋体" w:hAnsi="宋体" w:eastAsia="宋体" w:cs="宋体"/>
                <w:b w:val="0"/>
                <w:i w:val="0"/>
                <w:caps w:val="0"/>
                <w:color w:val="auto"/>
                <w:spacing w:val="0"/>
                <w:w w:val="100"/>
                <w:kern w:val="2"/>
                <w:sz w:val="24"/>
                <w:szCs w:val="24"/>
                <w:highlight w:val="none"/>
              </w:rPr>
              <w:t>仪器设备</w:t>
            </w:r>
          </w:p>
          <w:p w14:paraId="57DEA7DD">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名称</w:t>
            </w:r>
          </w:p>
        </w:tc>
        <w:tc>
          <w:tcPr>
            <w:tcW w:w="761" w:type="dxa"/>
            <w:vAlign w:val="center"/>
          </w:tcPr>
          <w:p w14:paraId="5CEF9E4A">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型号</w:t>
            </w:r>
          </w:p>
          <w:p w14:paraId="2539F9CB">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规格</w:t>
            </w:r>
          </w:p>
        </w:tc>
        <w:tc>
          <w:tcPr>
            <w:tcW w:w="1157" w:type="dxa"/>
            <w:vAlign w:val="center"/>
          </w:tcPr>
          <w:p w14:paraId="28422A36">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数量</w:t>
            </w:r>
          </w:p>
        </w:tc>
        <w:tc>
          <w:tcPr>
            <w:tcW w:w="803" w:type="dxa"/>
            <w:vAlign w:val="center"/>
          </w:tcPr>
          <w:p w14:paraId="2C7D4D16">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国别</w:t>
            </w:r>
          </w:p>
          <w:p w14:paraId="6C4D85DE">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产</w:t>
            </w:r>
            <w:bookmarkEnd w:id="1265"/>
            <w:bookmarkEnd w:id="1266"/>
            <w:r>
              <w:rPr>
                <w:rFonts w:hint="eastAsia" w:ascii="宋体" w:hAnsi="宋体" w:eastAsia="宋体" w:cs="宋体"/>
                <w:b w:val="0"/>
                <w:i w:val="0"/>
                <w:caps w:val="0"/>
                <w:color w:val="auto"/>
                <w:spacing w:val="0"/>
                <w:w w:val="100"/>
                <w:kern w:val="2"/>
                <w:sz w:val="24"/>
                <w:szCs w:val="24"/>
                <w:highlight w:val="none"/>
              </w:rPr>
              <w:t>地</w:t>
            </w:r>
          </w:p>
        </w:tc>
        <w:tc>
          <w:tcPr>
            <w:tcW w:w="803" w:type="dxa"/>
            <w:vAlign w:val="center"/>
          </w:tcPr>
          <w:p w14:paraId="4813AF9F">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制造</w:t>
            </w:r>
          </w:p>
          <w:p w14:paraId="10B919C7">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年份</w:t>
            </w:r>
          </w:p>
        </w:tc>
        <w:tc>
          <w:tcPr>
            <w:tcW w:w="1331" w:type="dxa"/>
            <w:vAlign w:val="center"/>
          </w:tcPr>
          <w:p w14:paraId="24E3AD78">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已使用台</w:t>
            </w:r>
          </w:p>
          <w:p w14:paraId="3DF293EE">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时数</w:t>
            </w:r>
          </w:p>
        </w:tc>
        <w:tc>
          <w:tcPr>
            <w:tcW w:w="1877" w:type="dxa"/>
            <w:vAlign w:val="center"/>
          </w:tcPr>
          <w:p w14:paraId="3A8839AD">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用途</w:t>
            </w:r>
          </w:p>
        </w:tc>
        <w:tc>
          <w:tcPr>
            <w:tcW w:w="961" w:type="dxa"/>
            <w:vAlign w:val="center"/>
          </w:tcPr>
          <w:p w14:paraId="05A0FBE6">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tc>
      </w:tr>
      <w:tr w14:paraId="3C18D0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23D55AC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67B709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08E6FB2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42648D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70C8A1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3927DC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4C15A1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243FC45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4328377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88F1C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7550C0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B18159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7AF35E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8B9E0A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3586BF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5FD469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5048D45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5F93E0D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40C171C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85D72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0666A93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0DA2F22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2E138E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33FF25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7DF0F8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3A4272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B64015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4F7A96E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1D3721A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43745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4CF1107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230298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0FBAA77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7E00760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EAA3A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FA3E0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26F0F45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423D3C7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1F54EEC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CF8E9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5BB65BD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5A7CC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50F72D9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224EEE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14FA3B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695C3D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245894A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688CA77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052C7E0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1FA4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312B192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0079547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1179186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6CE4912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3302F5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E97C54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39FD0C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643B79E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2961B93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5A4CD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1A51F85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231D2C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7768B59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72514F0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9BBCB8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0287C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14F60D7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77DD58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6D24570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499FB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5F56736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67C7F05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26BE384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73E05B5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38C49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412B59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49774B7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227132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6A4D7F6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F9132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3521E31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2DDB08F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27349DE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870B75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D16EDD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F083D3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1FA908B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762BED1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3FBF491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04BC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7E171A1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72C331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983830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574E2CF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D5A592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C12C0E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089CE9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74371E8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30EF469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1075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518AF45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00D2750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9AAEDB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1373F8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06641F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F763F3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575D639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76248DA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6E04016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BA9B4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517CF85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513405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547960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4F4A586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6DEFF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8136EA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1BDBE3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574CEB6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4418569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C212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532656D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391447A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2C286FC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1084EB0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D347FC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45BC05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76F08F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3FCCCB0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71D0229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A0DB8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21B1E15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050C2C8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B9EB5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7CCA723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C458FF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B6963D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5E3D23A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1E1EB1A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3113CD5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1466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217C973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EE6A96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FB589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1B00520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E674D6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40A609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10A1ED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489DE4D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3E050E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4981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403015E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29866F2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6C141AF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442C516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A4C34A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07CCC3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40E335E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65E9243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306B770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07A4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1F44A2C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BEFC9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5CBEFA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674F57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97F5B2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00ED2B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18E2F95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146645F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49C8EB3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A0AE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5E5A0F3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5728185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13673D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795EAC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5FA454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9FED7A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5A703F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4611A87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469375C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3422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0BCDA06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7849AA8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7CED4F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3645DB3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FD9474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1CF5C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5C93D21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1D69504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6316D5A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D0B77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44F4BC7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229C304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F1F0F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49C0B9D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F12665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71352F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47C7B1A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6EE69B7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3D98C8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25B3B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0552B03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4D4ABD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FD03C7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3513D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3417DD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07E3C9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EBBC7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7093DFB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25AFC5B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9A7A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1CAFD7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02618E6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40352A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34AB971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3FF7C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8D40B9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38FF4E3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4529C9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4186533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17B8A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730" w:type="dxa"/>
            <w:vAlign w:val="center"/>
          </w:tcPr>
          <w:p w14:paraId="4194984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5" w:type="dxa"/>
            <w:vAlign w:val="center"/>
          </w:tcPr>
          <w:p w14:paraId="7D0911E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761" w:type="dxa"/>
            <w:vAlign w:val="center"/>
          </w:tcPr>
          <w:p w14:paraId="32222F3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62C289F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189B87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D5102E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31" w:type="dxa"/>
            <w:vAlign w:val="center"/>
          </w:tcPr>
          <w:p w14:paraId="6DA42F3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877" w:type="dxa"/>
            <w:vAlign w:val="center"/>
          </w:tcPr>
          <w:p w14:paraId="3C45C37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961" w:type="dxa"/>
            <w:vAlign w:val="center"/>
          </w:tcPr>
          <w:p w14:paraId="733E62F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09D839E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529EBD6E">
      <w:pPr>
        <w:keepLines/>
        <w:snapToGrid w:val="0"/>
        <w:spacing w:before="260" w:beforeAutospacing="0" w:after="260" w:afterAutospacing="0" w:line="416" w:lineRule="auto"/>
        <w:textAlignment w:val="baseline"/>
        <w:rPr>
          <w:rFonts w:hint="eastAsia" w:ascii="宋体" w:hAnsi="宋体" w:eastAsia="宋体" w:cs="宋体"/>
          <w:b/>
          <w:bCs/>
          <w:i w:val="0"/>
          <w:caps w:val="0"/>
          <w:color w:val="auto"/>
          <w:spacing w:val="0"/>
          <w:w w:val="100"/>
          <w:sz w:val="20"/>
          <w:szCs w:val="24"/>
          <w:highlight w:val="none"/>
        </w:rPr>
      </w:pPr>
      <w:r>
        <w:rPr>
          <w:rFonts w:hint="eastAsia" w:ascii="宋体" w:hAnsi="宋体" w:eastAsia="宋体" w:cs="宋体"/>
          <w:b/>
          <w:bCs/>
          <w:i w:val="0"/>
          <w:caps w:val="0"/>
          <w:color w:val="auto"/>
          <w:spacing w:val="0"/>
          <w:w w:val="100"/>
          <w:sz w:val="24"/>
          <w:szCs w:val="24"/>
          <w:highlight w:val="none"/>
        </w:rPr>
        <w:br w:type="page"/>
      </w:r>
    </w:p>
    <w:p w14:paraId="62BE2F15">
      <w:pPr>
        <w:snapToGrid w:val="0"/>
        <w:spacing w:before="260" w:beforeAutospacing="0" w:after="260" w:afterAutospacing="0" w:line="416" w:lineRule="auto"/>
        <w:textAlignment w:val="baseline"/>
        <w:rPr>
          <w:rFonts w:hint="eastAsia" w:ascii="宋体" w:hAnsi="宋体" w:eastAsia="宋体" w:cs="宋体"/>
          <w:b/>
          <w:i w:val="0"/>
          <w:caps w:val="0"/>
          <w:color w:val="auto"/>
          <w:spacing w:val="0"/>
          <w:w w:val="100"/>
          <w:sz w:val="20"/>
          <w:highlight w:val="none"/>
        </w:rPr>
      </w:pPr>
      <w:bookmarkStart w:id="1267" w:name="_Toc1794"/>
      <w:bookmarkStart w:id="1268" w:name="_Toc5522"/>
      <w:r>
        <w:rPr>
          <w:rFonts w:hint="eastAsia" w:ascii="宋体" w:hAnsi="宋体" w:eastAsia="宋体" w:cs="宋体"/>
          <w:b/>
          <w:bCs/>
          <w:i w:val="0"/>
          <w:caps w:val="0"/>
          <w:color w:val="auto"/>
          <w:spacing w:val="0"/>
          <w:w w:val="100"/>
          <w:sz w:val="24"/>
          <w:szCs w:val="24"/>
          <w:highlight w:val="none"/>
        </w:rPr>
        <w:t>附表三：劳动力计划表</w:t>
      </w:r>
      <w:bookmarkEnd w:id="1267"/>
      <w:bookmarkEnd w:id="1268"/>
    </w:p>
    <w:p w14:paraId="56A1A67B">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单位：人</w:t>
      </w:r>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605"/>
        <w:gridCol w:w="1203"/>
        <w:gridCol w:w="1204"/>
        <w:gridCol w:w="1204"/>
        <w:gridCol w:w="1204"/>
        <w:gridCol w:w="1204"/>
        <w:gridCol w:w="1204"/>
      </w:tblGrid>
      <w:tr w14:paraId="1588A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atLeast"/>
        </w:trPr>
        <w:tc>
          <w:tcPr>
            <w:tcW w:w="800" w:type="dxa"/>
            <w:vAlign w:val="center"/>
          </w:tcPr>
          <w:p w14:paraId="00212C4C">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工种</w:t>
            </w:r>
          </w:p>
        </w:tc>
        <w:tc>
          <w:tcPr>
            <w:tcW w:w="8828" w:type="dxa"/>
            <w:gridSpan w:val="7"/>
            <w:vAlign w:val="center"/>
          </w:tcPr>
          <w:p w14:paraId="2DE6E2DB">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按工程施工阶段投入劳动力情况</w:t>
            </w:r>
          </w:p>
        </w:tc>
      </w:tr>
      <w:tr w14:paraId="407E8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7D1708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4C4864C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586C1C6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5A92C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4B9175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CCA9A6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098760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261F1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A9B3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6402F30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681AD15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359810E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885FBD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EF0FFC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1B080E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9DA706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AB5A89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E993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13981FE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78ABBD8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14C259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9150AB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0065FE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6476D7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375C0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3D78B5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B9777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0A5ECE5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3BA4594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138CF0B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5B2028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22629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94DCA1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17D153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7BB759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D74B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5FF6203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2E71447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2C61017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B3A790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8DFD7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E6DC7C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1EFCA1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4F1635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BCB02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3EC1EBE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0358FDC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249BFB9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971FB2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7B4407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657D76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31929F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80847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8F37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09813FD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09A38C4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657B5C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0078E1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FFFA60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80BCCC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8863D8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1F4E10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1A25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29563F0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79864F2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1BCD5F8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C62DA6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3F6F90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8418A5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0EB72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4CBB7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2875C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2BAF590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24C38C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5C5A05B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E293DE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D80355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56A379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CE9751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1DC9F7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FE77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02DC40B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20BF1B7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1016152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7DF2BD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FE9444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AFB1AB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2FD23B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C36DC8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0C4B1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300F84D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5BBCA7F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791E0B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25B48D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05B9A5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B8A685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0F7732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5FDC4D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B9FF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50FCD60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5E4C297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76D36BB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0D36F7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82868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EC11F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403B59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851153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78B3C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0E93A6E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37252BB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08B2293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2BC26E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460757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042D7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388FEB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068CB7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A8086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390B175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1F0A43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11932BD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155251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52659B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956BA1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0FBCE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6E8496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65F7A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32ED5E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2499E0A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4A8186B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B3F780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50813C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96AA3B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3A35D9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608D9C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1DB7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508B234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6726EEA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63C6CE5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EEF6ED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E127BE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0CD734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925A8B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D90A5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98F1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6A30531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0EA12D2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146B6CD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45D93C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955568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0D35CA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6C9F19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AAF1FE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5D1D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7365D54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252797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06BFD80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DE1CA4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213488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EEDCF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5EDB50E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1293F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221E6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7B7A937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3C7FF4C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74D26AE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EEAFBB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B5B1EC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B7A50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D20F47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B399B7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76F16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1836DB6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3F4EF99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3088C9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1322062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125668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A415FC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6EE93A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7419F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02F9A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3606A6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23026D3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6A5414A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27252A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7F3AF4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3F2A49A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6D4C5C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32CD85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B529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1AE60A6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30D4A54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2B3471F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D3A572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CE2335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E5F85E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23B417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B176FB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6946D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800" w:type="dxa"/>
            <w:vAlign w:val="center"/>
          </w:tcPr>
          <w:p w14:paraId="521EE89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605" w:type="dxa"/>
            <w:vAlign w:val="center"/>
          </w:tcPr>
          <w:p w14:paraId="6B203AC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3" w:type="dxa"/>
            <w:vAlign w:val="center"/>
          </w:tcPr>
          <w:p w14:paraId="1AE3D76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729D9F7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0123E09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28DA0E8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41650A8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04" w:type="dxa"/>
            <w:vAlign w:val="center"/>
          </w:tcPr>
          <w:p w14:paraId="6C72455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08849831">
      <w:pPr>
        <w:keepLines/>
        <w:snapToGrid w:val="0"/>
        <w:spacing w:before="260" w:beforeAutospacing="0" w:after="260" w:afterAutospacing="0" w:line="416" w:lineRule="auto"/>
        <w:textAlignment w:val="baseline"/>
        <w:rPr>
          <w:rFonts w:hint="eastAsia" w:ascii="宋体" w:hAnsi="宋体" w:eastAsia="宋体" w:cs="宋体"/>
          <w:b/>
          <w:bCs/>
          <w:i w:val="0"/>
          <w:caps w:val="0"/>
          <w:color w:val="auto"/>
          <w:spacing w:val="0"/>
          <w:w w:val="100"/>
          <w:sz w:val="20"/>
          <w:szCs w:val="24"/>
          <w:highlight w:val="none"/>
        </w:rPr>
      </w:pPr>
      <w:r>
        <w:rPr>
          <w:rFonts w:hint="eastAsia" w:ascii="宋体" w:hAnsi="宋体" w:eastAsia="宋体" w:cs="宋体"/>
          <w:b/>
          <w:bCs/>
          <w:i w:val="0"/>
          <w:caps w:val="0"/>
          <w:color w:val="auto"/>
          <w:spacing w:val="0"/>
          <w:w w:val="100"/>
          <w:sz w:val="24"/>
          <w:szCs w:val="24"/>
          <w:highlight w:val="none"/>
        </w:rPr>
        <w:br w:type="page"/>
      </w:r>
    </w:p>
    <w:p w14:paraId="33707D37">
      <w:pPr>
        <w:snapToGrid w:val="0"/>
        <w:spacing w:before="260" w:beforeAutospacing="0" w:after="260" w:afterAutospacing="0" w:line="416" w:lineRule="auto"/>
        <w:textAlignment w:val="baseline"/>
        <w:rPr>
          <w:rFonts w:hint="eastAsia" w:ascii="宋体" w:hAnsi="宋体" w:eastAsia="宋体" w:cs="宋体"/>
          <w:b/>
          <w:i w:val="0"/>
          <w:caps w:val="0"/>
          <w:color w:val="auto"/>
          <w:spacing w:val="0"/>
          <w:w w:val="100"/>
          <w:sz w:val="20"/>
          <w:highlight w:val="none"/>
        </w:rPr>
      </w:pPr>
      <w:bookmarkStart w:id="1269" w:name="_Toc13329"/>
      <w:bookmarkStart w:id="1270" w:name="_Toc20763"/>
      <w:r>
        <w:rPr>
          <w:rFonts w:hint="eastAsia" w:ascii="宋体" w:hAnsi="宋体" w:eastAsia="宋体" w:cs="宋体"/>
          <w:b/>
          <w:bCs/>
          <w:i w:val="0"/>
          <w:caps w:val="0"/>
          <w:color w:val="auto"/>
          <w:spacing w:val="0"/>
          <w:w w:val="100"/>
          <w:sz w:val="24"/>
          <w:szCs w:val="24"/>
          <w:highlight w:val="none"/>
        </w:rPr>
        <w:t>附表四：计划开、竣工日期和施工进度网络图</w:t>
      </w:r>
      <w:bookmarkEnd w:id="1269"/>
      <w:bookmarkEnd w:id="1270"/>
    </w:p>
    <w:p w14:paraId="4ABF436B">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1．磋商响应人</w:t>
      </w:r>
      <w:bookmarkStart w:id="1271" w:name="_Toc414469105"/>
      <w:bookmarkStart w:id="1272" w:name="_Toc420929928"/>
      <w:r>
        <w:rPr>
          <w:rFonts w:hint="eastAsia" w:ascii="宋体" w:hAnsi="宋体" w:eastAsia="宋体" w:cs="宋体"/>
          <w:b w:val="0"/>
          <w:i w:val="0"/>
          <w:caps w:val="0"/>
          <w:color w:val="auto"/>
          <w:spacing w:val="0"/>
          <w:w w:val="100"/>
          <w:kern w:val="2"/>
          <w:sz w:val="24"/>
          <w:szCs w:val="24"/>
          <w:highlight w:val="none"/>
        </w:rPr>
        <w:t>应递交施工进度网络图或施工进度表，说明</w:t>
      </w:r>
      <w:bookmarkEnd w:id="1271"/>
      <w:bookmarkEnd w:id="1272"/>
      <w:r>
        <w:rPr>
          <w:rFonts w:hint="eastAsia" w:ascii="宋体" w:hAnsi="宋体" w:eastAsia="宋体" w:cs="宋体"/>
          <w:b w:val="0"/>
          <w:i w:val="0"/>
          <w:caps w:val="0"/>
          <w:color w:val="auto"/>
          <w:spacing w:val="0"/>
          <w:w w:val="100"/>
          <w:kern w:val="2"/>
          <w:sz w:val="24"/>
          <w:szCs w:val="24"/>
          <w:highlight w:val="none"/>
        </w:rPr>
        <w:t>按</w:t>
      </w:r>
      <w:r>
        <w:rPr>
          <w:rFonts w:hint="eastAsia" w:ascii="宋体" w:hAnsi="宋体" w:eastAsia="宋体" w:cs="宋体"/>
          <w:b w:val="0"/>
          <w:i w:val="0"/>
          <w:caps w:val="0"/>
          <w:color w:val="auto"/>
          <w:spacing w:val="0"/>
          <w:w w:val="100"/>
          <w:kern w:val="2"/>
          <w:sz w:val="24"/>
          <w:szCs w:val="24"/>
          <w:highlight w:val="none"/>
          <w:lang w:eastAsia="zh-CN"/>
        </w:rPr>
        <w:t>磋商</w:t>
      </w:r>
      <w:r>
        <w:rPr>
          <w:rFonts w:hint="eastAsia" w:ascii="宋体" w:hAnsi="宋体" w:eastAsia="宋体" w:cs="宋体"/>
          <w:b w:val="0"/>
          <w:i w:val="0"/>
          <w:caps w:val="0"/>
          <w:color w:val="auto"/>
          <w:spacing w:val="0"/>
          <w:w w:val="100"/>
          <w:kern w:val="2"/>
          <w:sz w:val="24"/>
          <w:szCs w:val="24"/>
          <w:highlight w:val="none"/>
        </w:rPr>
        <w:t>文件要求的计划工期进行施工的各个关键日期。</w:t>
      </w:r>
    </w:p>
    <w:p w14:paraId="09FEA57A">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2．施工进度表可采用网络图和（或）横道图表示。</w:t>
      </w:r>
    </w:p>
    <w:p w14:paraId="170531E7">
      <w:pPr>
        <w:keepLines/>
        <w:snapToGrid w:val="0"/>
        <w:spacing w:before="260" w:beforeAutospacing="0" w:after="260" w:afterAutospacing="0" w:line="416" w:lineRule="auto"/>
        <w:textAlignment w:val="baseline"/>
        <w:rPr>
          <w:rFonts w:hint="eastAsia" w:ascii="宋体" w:hAnsi="宋体" w:eastAsia="宋体" w:cs="宋体"/>
          <w:b/>
          <w:bCs/>
          <w:i w:val="0"/>
          <w:caps w:val="0"/>
          <w:color w:val="auto"/>
          <w:spacing w:val="0"/>
          <w:w w:val="100"/>
          <w:sz w:val="20"/>
          <w:szCs w:val="24"/>
          <w:highlight w:val="none"/>
        </w:rPr>
      </w:pPr>
      <w:r>
        <w:rPr>
          <w:rFonts w:hint="eastAsia" w:ascii="宋体" w:hAnsi="宋体" w:eastAsia="宋体" w:cs="宋体"/>
          <w:b/>
          <w:bCs/>
          <w:i w:val="0"/>
          <w:caps w:val="0"/>
          <w:color w:val="auto"/>
          <w:spacing w:val="0"/>
          <w:w w:val="100"/>
          <w:sz w:val="24"/>
          <w:szCs w:val="24"/>
          <w:highlight w:val="none"/>
        </w:rPr>
        <w:br w:type="page"/>
      </w:r>
    </w:p>
    <w:p w14:paraId="1CFCC01F">
      <w:pPr>
        <w:snapToGrid w:val="0"/>
        <w:spacing w:before="260" w:beforeAutospacing="0" w:after="260" w:afterAutospacing="0" w:line="416" w:lineRule="auto"/>
        <w:textAlignment w:val="baseline"/>
        <w:rPr>
          <w:rFonts w:hint="eastAsia" w:ascii="宋体" w:hAnsi="宋体" w:eastAsia="宋体" w:cs="宋体"/>
          <w:b/>
          <w:i w:val="0"/>
          <w:caps w:val="0"/>
          <w:color w:val="auto"/>
          <w:spacing w:val="0"/>
          <w:w w:val="100"/>
          <w:sz w:val="20"/>
          <w:highlight w:val="none"/>
        </w:rPr>
      </w:pPr>
      <w:bookmarkStart w:id="1273" w:name="_Toc9154"/>
      <w:bookmarkStart w:id="1274" w:name="_Toc27885"/>
      <w:r>
        <w:rPr>
          <w:rFonts w:hint="eastAsia" w:ascii="宋体" w:hAnsi="宋体" w:eastAsia="宋体" w:cs="宋体"/>
          <w:b/>
          <w:bCs/>
          <w:i w:val="0"/>
          <w:caps w:val="0"/>
          <w:color w:val="auto"/>
          <w:spacing w:val="0"/>
          <w:w w:val="100"/>
          <w:sz w:val="24"/>
          <w:szCs w:val="24"/>
          <w:highlight w:val="none"/>
        </w:rPr>
        <w:t>附表五：施工总平面图</w:t>
      </w:r>
      <w:bookmarkEnd w:id="1273"/>
      <w:bookmarkEnd w:id="1274"/>
    </w:p>
    <w:p w14:paraId="17E8174F">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磋商响应人应递交一份施工总平面图</w:t>
      </w:r>
      <w:bookmarkStart w:id="1275" w:name="_Toc420929929"/>
      <w:bookmarkStart w:id="1276" w:name="_Toc414469106"/>
      <w:r>
        <w:rPr>
          <w:rFonts w:hint="eastAsia" w:ascii="宋体" w:hAnsi="宋体" w:eastAsia="宋体" w:cs="宋体"/>
          <w:b w:val="0"/>
          <w:i w:val="0"/>
          <w:caps w:val="0"/>
          <w:color w:val="auto"/>
          <w:spacing w:val="0"/>
          <w:w w:val="100"/>
          <w:kern w:val="2"/>
          <w:sz w:val="24"/>
          <w:szCs w:val="24"/>
          <w:highlight w:val="none"/>
        </w:rPr>
        <w:t>，绘出现场临时设施布</w:t>
      </w:r>
      <w:bookmarkEnd w:id="1275"/>
      <w:bookmarkEnd w:id="1276"/>
      <w:r>
        <w:rPr>
          <w:rFonts w:hint="eastAsia" w:ascii="宋体" w:hAnsi="宋体" w:eastAsia="宋体" w:cs="宋体"/>
          <w:b w:val="0"/>
          <w:i w:val="0"/>
          <w:caps w:val="0"/>
          <w:color w:val="auto"/>
          <w:spacing w:val="0"/>
          <w:w w:val="100"/>
          <w:kern w:val="2"/>
          <w:sz w:val="24"/>
          <w:szCs w:val="24"/>
          <w:highlight w:val="none"/>
        </w:rPr>
        <w:t>置图表并附文字说明，说明临时设施、加工车间、现场办公、设备及仓储、供电、供水、卫生、生活、道路、消防等设施的情况和布置。</w:t>
      </w:r>
    </w:p>
    <w:p w14:paraId="5B7B1319">
      <w:pPr>
        <w:keepLines/>
        <w:snapToGrid w:val="0"/>
        <w:spacing w:before="260" w:beforeAutospacing="0" w:after="260" w:afterAutospacing="0" w:line="416" w:lineRule="auto"/>
        <w:textAlignment w:val="baseline"/>
        <w:rPr>
          <w:rFonts w:hint="eastAsia" w:ascii="宋体" w:hAnsi="宋体" w:eastAsia="宋体" w:cs="宋体"/>
          <w:b/>
          <w:bCs/>
          <w:i w:val="0"/>
          <w:caps w:val="0"/>
          <w:color w:val="auto"/>
          <w:spacing w:val="0"/>
          <w:w w:val="100"/>
          <w:sz w:val="20"/>
          <w:szCs w:val="24"/>
          <w:highlight w:val="none"/>
        </w:rPr>
      </w:pPr>
      <w:r>
        <w:rPr>
          <w:rFonts w:hint="eastAsia" w:ascii="宋体" w:hAnsi="宋体" w:eastAsia="宋体" w:cs="宋体"/>
          <w:b/>
          <w:bCs/>
          <w:i w:val="0"/>
          <w:caps w:val="0"/>
          <w:color w:val="auto"/>
          <w:spacing w:val="0"/>
          <w:w w:val="100"/>
          <w:sz w:val="24"/>
          <w:szCs w:val="24"/>
          <w:highlight w:val="none"/>
        </w:rPr>
        <w:br w:type="page"/>
      </w:r>
    </w:p>
    <w:p w14:paraId="1C172F98">
      <w:pPr>
        <w:snapToGrid w:val="0"/>
        <w:spacing w:before="260" w:beforeAutospacing="0" w:after="260" w:afterAutospacing="0" w:line="416" w:lineRule="auto"/>
        <w:textAlignment w:val="baseline"/>
        <w:rPr>
          <w:rFonts w:hint="eastAsia" w:ascii="宋体" w:hAnsi="宋体" w:eastAsia="宋体" w:cs="宋体"/>
          <w:b/>
          <w:i w:val="0"/>
          <w:caps w:val="0"/>
          <w:color w:val="auto"/>
          <w:spacing w:val="0"/>
          <w:w w:val="100"/>
          <w:sz w:val="20"/>
          <w:highlight w:val="none"/>
        </w:rPr>
      </w:pPr>
      <w:bookmarkStart w:id="1277" w:name="_Toc32161"/>
      <w:bookmarkStart w:id="1278" w:name="_Toc10625"/>
      <w:r>
        <w:rPr>
          <w:rFonts w:hint="eastAsia" w:ascii="宋体" w:hAnsi="宋体" w:eastAsia="宋体" w:cs="宋体"/>
          <w:b/>
          <w:bCs/>
          <w:i w:val="0"/>
          <w:caps w:val="0"/>
          <w:color w:val="auto"/>
          <w:spacing w:val="0"/>
          <w:w w:val="100"/>
          <w:sz w:val="24"/>
          <w:szCs w:val="24"/>
          <w:highlight w:val="none"/>
        </w:rPr>
        <w:t>附表六：临时用地表</w:t>
      </w:r>
      <w:bookmarkEnd w:id="1277"/>
      <w:bookmarkEnd w:id="1278"/>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69"/>
        <w:gridCol w:w="2353"/>
        <w:gridCol w:w="2353"/>
        <w:gridCol w:w="2353"/>
      </w:tblGrid>
      <w:tr w14:paraId="56962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vAlign w:val="center"/>
          </w:tcPr>
          <w:p w14:paraId="09F432D6">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用途</w:t>
            </w:r>
          </w:p>
        </w:tc>
        <w:tc>
          <w:tcPr>
            <w:tcW w:w="2353" w:type="dxa"/>
            <w:vAlign w:val="center"/>
          </w:tcPr>
          <w:p w14:paraId="488A7236">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面积（平方米）</w:t>
            </w:r>
          </w:p>
        </w:tc>
        <w:tc>
          <w:tcPr>
            <w:tcW w:w="2353" w:type="dxa"/>
            <w:vAlign w:val="center"/>
          </w:tcPr>
          <w:p w14:paraId="5DC0FA97">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位置</w:t>
            </w:r>
          </w:p>
        </w:tc>
        <w:tc>
          <w:tcPr>
            <w:tcW w:w="2353" w:type="dxa"/>
            <w:vAlign w:val="center"/>
          </w:tcPr>
          <w:p w14:paraId="128F75E1">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需用时间</w:t>
            </w:r>
          </w:p>
        </w:tc>
      </w:tr>
      <w:tr w14:paraId="3DB16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153167C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F83491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7C5554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1F3BA8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C6468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172A7EC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611CEB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29BBD9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8B0D4F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D666A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2FAFE51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3D846C3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423E7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559840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40F5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00AA2C9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1FF5E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F11E22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B64F15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09BD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63C9E0C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69D352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D0D325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CEEF2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8AEBA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35063A3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D26898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29507B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A55279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D39B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69EF8B4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3BE3A1D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23A1EA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B63B79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1861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58CD7DA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B2649D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C94AE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88923C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AC83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7540965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634A08A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8183D7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69AB6A0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246D0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163425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21B06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BE2597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1FCF07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6B0C1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0583D05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A8BA28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77972E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A833E5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CE6CD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67BCEF3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3D01972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6751A3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A2113B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B225B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3D02ADB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70F30D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395B52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240AD1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40AE5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3AFD399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51DE1C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8416AF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E5377C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9841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719ACF1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21B11E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364262B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2C69BE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0A55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6A2DD3B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25C4C8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A22902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56DF4C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E78F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2634BF8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DD4C80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D56391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47A731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FBD33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5E1C4D3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354A118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502F79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64BD15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8CA6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5C79B3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55A894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DC2584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D634BB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988E2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609A2E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960EE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33EF65C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67D1CF2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7E1F7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5A1DE9E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3DB8191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7EF7C0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62FC91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E628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4DD206A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711B6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640D725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50D5B1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1C31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2A8876F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0F2CCF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CC1887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28B1DD6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9251E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735200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46F0CC4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6FF9E3F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0E8DA66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A6BDE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2569" w:type="dxa"/>
          </w:tcPr>
          <w:p w14:paraId="3A325A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17CA5BB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4EB0BC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353" w:type="dxa"/>
          </w:tcPr>
          <w:p w14:paraId="75AEDD5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29D9BEBA">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szCs w:val="20"/>
          <w:highlight w:val="none"/>
        </w:rPr>
      </w:pPr>
      <w:r>
        <w:rPr>
          <w:rFonts w:hint="eastAsia" w:ascii="宋体" w:hAnsi="宋体" w:eastAsia="宋体" w:cs="宋体"/>
          <w:b/>
          <w:bCs/>
          <w:i w:val="0"/>
          <w:caps w:val="0"/>
          <w:color w:val="auto"/>
          <w:spacing w:val="0"/>
          <w:w w:val="100"/>
          <w:sz w:val="24"/>
          <w:szCs w:val="20"/>
          <w:highlight w:val="none"/>
        </w:rPr>
        <w:br w:type="page"/>
      </w:r>
    </w:p>
    <w:p w14:paraId="7F15971F">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79" w:name="_Toc3400"/>
      <w:bookmarkStart w:id="1280" w:name="_Toc21397"/>
      <w:r>
        <w:rPr>
          <w:rFonts w:hint="eastAsia" w:ascii="宋体" w:hAnsi="宋体" w:eastAsia="宋体" w:cs="宋体"/>
          <w:b/>
          <w:bCs/>
          <w:i w:val="0"/>
          <w:caps w:val="0"/>
          <w:color w:val="auto"/>
          <w:spacing w:val="0"/>
          <w:w w:val="100"/>
          <w:sz w:val="24"/>
          <w:szCs w:val="32"/>
          <w:highlight w:val="none"/>
          <w:lang w:val="en-US" w:eastAsia="zh-CN" w:bidi="ar-SA"/>
        </w:rPr>
        <w:t>十一、项目管理机构</w:t>
      </w:r>
      <w:bookmarkEnd w:id="1279"/>
      <w:bookmarkEnd w:id="1280"/>
    </w:p>
    <w:p w14:paraId="629E69C7">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（一）项目管理机构组成表</w:t>
      </w:r>
    </w:p>
    <w:tbl>
      <w:tblPr>
        <w:tblStyle w:val="23"/>
        <w:tblW w:w="96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3"/>
        <w:gridCol w:w="803"/>
        <w:gridCol w:w="803"/>
        <w:gridCol w:w="1284"/>
        <w:gridCol w:w="872"/>
        <w:gridCol w:w="892"/>
        <w:gridCol w:w="1172"/>
        <w:gridCol w:w="2198"/>
        <w:gridCol w:w="801"/>
      </w:tblGrid>
      <w:tr w14:paraId="4D24B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restart"/>
            <w:vAlign w:val="center"/>
          </w:tcPr>
          <w:p w14:paraId="15E1D803">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职</w:t>
            </w:r>
            <w:bookmarkStart w:id="1281" w:name="_Toc414469109"/>
            <w:bookmarkStart w:id="1282" w:name="_Toc420929931"/>
            <w:r>
              <w:rPr>
                <w:rFonts w:hint="eastAsia" w:ascii="宋体" w:hAnsi="宋体" w:eastAsia="宋体" w:cs="宋体"/>
                <w:b w:val="0"/>
                <w:i w:val="0"/>
                <w:caps w:val="0"/>
                <w:color w:val="auto"/>
                <w:spacing w:val="0"/>
                <w:w w:val="100"/>
                <w:kern w:val="2"/>
                <w:sz w:val="24"/>
                <w:szCs w:val="24"/>
                <w:highlight w:val="none"/>
              </w:rPr>
              <w:t>务</w:t>
            </w:r>
          </w:p>
        </w:tc>
        <w:tc>
          <w:tcPr>
            <w:tcW w:w="803" w:type="dxa"/>
            <w:vMerge w:val="restart"/>
            <w:vAlign w:val="center"/>
          </w:tcPr>
          <w:p w14:paraId="67D6A010">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姓名</w:t>
            </w:r>
          </w:p>
        </w:tc>
        <w:tc>
          <w:tcPr>
            <w:tcW w:w="803" w:type="dxa"/>
            <w:vMerge w:val="restart"/>
            <w:vAlign w:val="center"/>
          </w:tcPr>
          <w:p w14:paraId="14BAC439">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职称</w:t>
            </w:r>
          </w:p>
        </w:tc>
        <w:tc>
          <w:tcPr>
            <w:tcW w:w="6418" w:type="dxa"/>
            <w:gridSpan w:val="5"/>
            <w:vAlign w:val="center"/>
          </w:tcPr>
          <w:p w14:paraId="72E36B7B">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执业</w:t>
            </w:r>
            <w:bookmarkEnd w:id="1281"/>
            <w:bookmarkEnd w:id="1282"/>
            <w:r>
              <w:rPr>
                <w:rFonts w:hint="eastAsia" w:ascii="宋体" w:hAnsi="宋体" w:eastAsia="宋体" w:cs="宋体"/>
                <w:b w:val="0"/>
                <w:i w:val="0"/>
                <w:caps w:val="0"/>
                <w:color w:val="auto"/>
                <w:spacing w:val="0"/>
                <w:w w:val="100"/>
                <w:kern w:val="2"/>
                <w:sz w:val="24"/>
                <w:szCs w:val="24"/>
                <w:highlight w:val="none"/>
              </w:rPr>
              <w:t>或职业资格证明</w:t>
            </w:r>
          </w:p>
        </w:tc>
        <w:tc>
          <w:tcPr>
            <w:tcW w:w="801" w:type="dxa"/>
            <w:vMerge w:val="restart"/>
            <w:vAlign w:val="center"/>
          </w:tcPr>
          <w:p w14:paraId="6EDFB37D">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tc>
      </w:tr>
      <w:tr w14:paraId="43F727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Merge w:val="continue"/>
            <w:vAlign w:val="center"/>
          </w:tcPr>
          <w:p w14:paraId="3A19FC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Merge w:val="continue"/>
            <w:vAlign w:val="center"/>
          </w:tcPr>
          <w:p w14:paraId="681E679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Merge w:val="continue"/>
            <w:vAlign w:val="center"/>
          </w:tcPr>
          <w:p w14:paraId="73DD360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20F3F861">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证书名称</w:t>
            </w:r>
          </w:p>
        </w:tc>
        <w:tc>
          <w:tcPr>
            <w:tcW w:w="872" w:type="dxa"/>
            <w:vAlign w:val="center"/>
          </w:tcPr>
          <w:p w14:paraId="3218420F">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级别</w:t>
            </w:r>
          </w:p>
        </w:tc>
        <w:tc>
          <w:tcPr>
            <w:tcW w:w="892" w:type="dxa"/>
            <w:vAlign w:val="center"/>
          </w:tcPr>
          <w:p w14:paraId="277A4068">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证号</w:t>
            </w:r>
          </w:p>
        </w:tc>
        <w:tc>
          <w:tcPr>
            <w:tcW w:w="1172" w:type="dxa"/>
            <w:vAlign w:val="center"/>
          </w:tcPr>
          <w:p w14:paraId="124E4E28">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专业</w:t>
            </w:r>
          </w:p>
        </w:tc>
        <w:tc>
          <w:tcPr>
            <w:tcW w:w="2198" w:type="dxa"/>
            <w:vAlign w:val="center"/>
          </w:tcPr>
          <w:p w14:paraId="05E88A6B">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其他</w:t>
            </w:r>
          </w:p>
        </w:tc>
        <w:tc>
          <w:tcPr>
            <w:tcW w:w="801" w:type="dxa"/>
            <w:vMerge w:val="continue"/>
            <w:vAlign w:val="center"/>
          </w:tcPr>
          <w:p w14:paraId="13BF7FD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2F91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236195E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493CC5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ECB4B2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3D714BB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3BACA56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1B58D37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63C9AE0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136DDB3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65BAD5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F6D2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67606F6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F7034E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2A475A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65893BE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0A0AA9F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2342F89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2D61189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403A43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3F56109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72F2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0E8B3E9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7D2F08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7841F7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0EAB902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35E43D4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103D253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2B46F4F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46A2F93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5119D65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278C3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6169348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9D21BB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7F0CA5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0947D24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73F7A16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6B61FF9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24062C8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61D646D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1729BD8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E24A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28C9520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5BF85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E35ECB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0798DAA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0233769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5DD769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6F84C88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7ED3727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489F25E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32D1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4BFCE92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AD6AD3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17D155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575E9AF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23788A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119668B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67FA3B2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0A8B7F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0A0492D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B170A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4224C4F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5E30F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384BE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49CEDEB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6312064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32F7D9C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7DE75DF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46BFAD1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4325715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99F52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4A7DBF7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DA6FDF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07EBE0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63EA7E0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3D27894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53A2DFC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79D7912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13C9AE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416BB48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5D30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2EBDE4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A7F75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F31F6B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337F44C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54104E9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77EB9E5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4FFFC7C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604089C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1374178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5F914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302386C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C5B6D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14D109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037EFD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74924BC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04387B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74B2B19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3B37445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5BC6CBE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F3FC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0B69D3C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36F583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7801D2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46BF54B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473ADF8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47616DE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20CFEFA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2E7C500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707F80C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23AE4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0A5B008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B54AE4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35E2A3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196CFE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6950056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0C2EA9D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42C3DDA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35D2BC9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76817EF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3F86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53563BD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CC2C9E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5F8449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61DCCA3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76E8856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4DE18F4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6F9A32B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0E4531D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200A414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806CE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173D35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D68302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54BDB86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1D844EF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114FDD7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6EB0892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1977BB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4B86C27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738A810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44D2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727B442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4F69E2D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24939E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1E1C405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22CF4F0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4B9CBDC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10D7B34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5EF96A1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59535EF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7ABB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435BC2A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B231C1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206269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5FC68A3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60606AE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3355157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08C6DBC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35DAA88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52A2395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C964E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30B0CA4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0B64D0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7E6F28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35508B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2F7CAEA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3752888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40B2DA5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63877E9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3B2803A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F0783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2A82565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6F0CD8F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4915B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3276E6A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3EA776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1534056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58E284E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6B1A272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5144E2A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A8A89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7B818D1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31E309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6F522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3992953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2AE40D4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0941E73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5E74A3F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759594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4049F22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333A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63B6CC2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12D22B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78A175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5A8E5D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291B3A1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4DA9C8E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328CDC5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471AB29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393F470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5560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03" w:type="dxa"/>
            <w:vAlign w:val="center"/>
          </w:tcPr>
          <w:p w14:paraId="4194212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13A01DF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24CFDFB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84" w:type="dxa"/>
            <w:vAlign w:val="center"/>
          </w:tcPr>
          <w:p w14:paraId="41BD7A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72" w:type="dxa"/>
            <w:vAlign w:val="center"/>
          </w:tcPr>
          <w:p w14:paraId="23538BC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92" w:type="dxa"/>
            <w:vAlign w:val="center"/>
          </w:tcPr>
          <w:p w14:paraId="78A2A21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72" w:type="dxa"/>
            <w:vAlign w:val="center"/>
          </w:tcPr>
          <w:p w14:paraId="68B9F6A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198" w:type="dxa"/>
            <w:vAlign w:val="center"/>
          </w:tcPr>
          <w:p w14:paraId="1D76C43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1" w:type="dxa"/>
            <w:vAlign w:val="center"/>
          </w:tcPr>
          <w:p w14:paraId="758C658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25D28EAA">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br w:type="page"/>
      </w:r>
    </w:p>
    <w:p w14:paraId="5824F038">
      <w:pPr>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kern w:val="2"/>
          <w:sz w:val="24"/>
          <w:szCs w:val="24"/>
          <w:highlight w:val="none"/>
        </w:rPr>
        <w:t>（二）主要人员简历表</w:t>
      </w:r>
    </w:p>
    <w:p w14:paraId="5471B06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附1：项目经理简历表</w:t>
      </w:r>
    </w:p>
    <w:p w14:paraId="01D0DFC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项目经理应附建造师执业证、注册证、具备有效的安全生产考核合格证书、职称证、学历证等。</w:t>
      </w:r>
    </w:p>
    <w:tbl>
      <w:tblPr>
        <w:tblStyle w:val="23"/>
        <w:tblW w:w="97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1"/>
        <w:gridCol w:w="1184"/>
        <w:gridCol w:w="1299"/>
        <w:gridCol w:w="1461"/>
        <w:gridCol w:w="2110"/>
        <w:gridCol w:w="2435"/>
      </w:tblGrid>
      <w:tr w14:paraId="571D9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51" w:type="dxa"/>
            <w:vAlign w:val="center"/>
          </w:tcPr>
          <w:p w14:paraId="63C29B2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姓名</w:t>
            </w:r>
          </w:p>
        </w:tc>
        <w:tc>
          <w:tcPr>
            <w:tcW w:w="1184" w:type="dxa"/>
            <w:vAlign w:val="center"/>
          </w:tcPr>
          <w:p w14:paraId="3EECB110">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1299" w:type="dxa"/>
            <w:vAlign w:val="center"/>
          </w:tcPr>
          <w:p w14:paraId="15357A3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年龄</w:t>
            </w:r>
          </w:p>
        </w:tc>
        <w:tc>
          <w:tcPr>
            <w:tcW w:w="1461" w:type="dxa"/>
            <w:vAlign w:val="center"/>
          </w:tcPr>
          <w:p w14:paraId="4AD4686B">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7BC8C03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学历</w:t>
            </w:r>
          </w:p>
        </w:tc>
        <w:tc>
          <w:tcPr>
            <w:tcW w:w="2435" w:type="dxa"/>
            <w:vAlign w:val="center"/>
          </w:tcPr>
          <w:p w14:paraId="59BCB8F1">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2756FC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51" w:type="dxa"/>
            <w:vAlign w:val="center"/>
          </w:tcPr>
          <w:p w14:paraId="6E50BF0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职称</w:t>
            </w:r>
          </w:p>
        </w:tc>
        <w:tc>
          <w:tcPr>
            <w:tcW w:w="1184" w:type="dxa"/>
            <w:vAlign w:val="center"/>
          </w:tcPr>
          <w:p w14:paraId="4401D3AA">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1299" w:type="dxa"/>
            <w:vAlign w:val="center"/>
          </w:tcPr>
          <w:p w14:paraId="3ED913F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职务</w:t>
            </w:r>
          </w:p>
        </w:tc>
        <w:tc>
          <w:tcPr>
            <w:tcW w:w="1461" w:type="dxa"/>
            <w:vAlign w:val="center"/>
          </w:tcPr>
          <w:p w14:paraId="0E2D3DD1">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3329B184">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拟在本工程任职</w:t>
            </w:r>
          </w:p>
        </w:tc>
        <w:tc>
          <w:tcPr>
            <w:tcW w:w="2435" w:type="dxa"/>
            <w:vAlign w:val="center"/>
          </w:tcPr>
          <w:p w14:paraId="1A41574A">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0864A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51" w:type="dxa"/>
            <w:vAlign w:val="center"/>
          </w:tcPr>
          <w:p w14:paraId="18E28A1D">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毕业学校</w:t>
            </w:r>
          </w:p>
        </w:tc>
        <w:tc>
          <w:tcPr>
            <w:tcW w:w="8489" w:type="dxa"/>
            <w:gridSpan w:val="5"/>
            <w:vAlign w:val="center"/>
          </w:tcPr>
          <w:p w14:paraId="3BDC2C11">
            <w:pPr>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 xml:space="preserve">年毕业于     </w:t>
            </w:r>
            <w:r>
              <w:rPr>
                <w:rFonts w:hint="eastAsia" w:ascii="宋体" w:hAnsi="宋体" w:eastAsia="宋体" w:cs="宋体"/>
                <w:b w:val="0"/>
                <w:i w:val="0"/>
                <w:caps w:val="0"/>
                <w:color w:val="auto"/>
                <w:spacing w:val="0"/>
                <w:w w:val="100"/>
                <w:sz w:val="24"/>
                <w:szCs w:val="24"/>
                <w:highlight w:val="none"/>
                <w:lang w:val="en-US" w:eastAsia="zh-CN"/>
              </w:rPr>
              <w:t xml:space="preserve">   </w:t>
            </w:r>
            <w:r>
              <w:rPr>
                <w:rFonts w:hint="eastAsia" w:ascii="宋体" w:hAnsi="宋体" w:eastAsia="宋体" w:cs="宋体"/>
                <w:b w:val="0"/>
                <w:i w:val="0"/>
                <w:caps w:val="0"/>
                <w:color w:val="auto"/>
                <w:spacing w:val="0"/>
                <w:w w:val="100"/>
                <w:sz w:val="24"/>
                <w:szCs w:val="24"/>
                <w:highlight w:val="none"/>
              </w:rPr>
              <w:t xml:space="preserve"> 学校   </w:t>
            </w:r>
            <w:r>
              <w:rPr>
                <w:rFonts w:hint="eastAsia" w:ascii="宋体" w:hAnsi="宋体" w:eastAsia="宋体" w:cs="宋体"/>
                <w:b w:val="0"/>
                <w:i w:val="0"/>
                <w:caps w:val="0"/>
                <w:color w:val="auto"/>
                <w:spacing w:val="0"/>
                <w:w w:val="100"/>
                <w:sz w:val="24"/>
                <w:szCs w:val="24"/>
                <w:highlight w:val="none"/>
                <w:lang w:val="en-US" w:eastAsia="zh-CN"/>
              </w:rPr>
              <w:t xml:space="preserve">   </w:t>
            </w:r>
            <w:r>
              <w:rPr>
                <w:rFonts w:hint="eastAsia" w:ascii="宋体" w:hAnsi="宋体" w:eastAsia="宋体" w:cs="宋体"/>
                <w:b w:val="0"/>
                <w:i w:val="0"/>
                <w:caps w:val="0"/>
                <w:color w:val="auto"/>
                <w:spacing w:val="0"/>
                <w:w w:val="100"/>
                <w:sz w:val="24"/>
                <w:szCs w:val="24"/>
                <w:highlight w:val="none"/>
              </w:rPr>
              <w:t xml:space="preserve">  专业</w:t>
            </w:r>
          </w:p>
        </w:tc>
      </w:tr>
      <w:tr w14:paraId="3AC74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740" w:type="dxa"/>
            <w:gridSpan w:val="6"/>
            <w:vAlign w:val="center"/>
          </w:tcPr>
          <w:p w14:paraId="6B0F2960">
            <w:pPr>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主要工作经历</w:t>
            </w:r>
          </w:p>
        </w:tc>
      </w:tr>
      <w:tr w14:paraId="3D209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251" w:type="dxa"/>
            <w:vAlign w:val="center"/>
          </w:tcPr>
          <w:p w14:paraId="641E79F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时间</w:t>
            </w:r>
          </w:p>
        </w:tc>
        <w:tc>
          <w:tcPr>
            <w:tcW w:w="3944" w:type="dxa"/>
            <w:gridSpan w:val="3"/>
            <w:vAlign w:val="center"/>
          </w:tcPr>
          <w:p w14:paraId="1CA1F59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参加过的类似项目名称</w:t>
            </w:r>
          </w:p>
        </w:tc>
        <w:tc>
          <w:tcPr>
            <w:tcW w:w="2110" w:type="dxa"/>
            <w:vAlign w:val="center"/>
          </w:tcPr>
          <w:p w14:paraId="2C1D75A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担任职务</w:t>
            </w:r>
          </w:p>
        </w:tc>
        <w:tc>
          <w:tcPr>
            <w:tcW w:w="2435" w:type="dxa"/>
            <w:vAlign w:val="center"/>
          </w:tcPr>
          <w:p w14:paraId="4B91CFD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发包人及联系电话</w:t>
            </w:r>
          </w:p>
        </w:tc>
      </w:tr>
      <w:tr w14:paraId="38EFEE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1" w:type="dxa"/>
            <w:vAlign w:val="center"/>
          </w:tcPr>
          <w:p w14:paraId="1918F4D7">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3944" w:type="dxa"/>
            <w:gridSpan w:val="3"/>
            <w:vAlign w:val="center"/>
          </w:tcPr>
          <w:p w14:paraId="033C6085">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1B3DD884">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435" w:type="dxa"/>
            <w:vAlign w:val="center"/>
          </w:tcPr>
          <w:p w14:paraId="7D15041D">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60D427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1" w:type="dxa"/>
            <w:vAlign w:val="center"/>
          </w:tcPr>
          <w:p w14:paraId="266F5670">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3944" w:type="dxa"/>
            <w:gridSpan w:val="3"/>
            <w:vAlign w:val="center"/>
          </w:tcPr>
          <w:p w14:paraId="5238411E">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187229E5">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435" w:type="dxa"/>
            <w:vAlign w:val="center"/>
          </w:tcPr>
          <w:p w14:paraId="1D7435E5">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7CC6A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1" w:type="dxa"/>
            <w:vAlign w:val="center"/>
          </w:tcPr>
          <w:p w14:paraId="18AC535E">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3944" w:type="dxa"/>
            <w:gridSpan w:val="3"/>
            <w:vAlign w:val="center"/>
          </w:tcPr>
          <w:p w14:paraId="61B96E07">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2E2C48BF">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435" w:type="dxa"/>
            <w:vAlign w:val="center"/>
          </w:tcPr>
          <w:p w14:paraId="01DEA4B7">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3997E9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1" w:type="dxa"/>
            <w:vAlign w:val="center"/>
          </w:tcPr>
          <w:p w14:paraId="6331505C">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3944" w:type="dxa"/>
            <w:gridSpan w:val="3"/>
            <w:vAlign w:val="center"/>
          </w:tcPr>
          <w:p w14:paraId="1B021F04">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5C6E1E4E">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435" w:type="dxa"/>
            <w:vAlign w:val="center"/>
          </w:tcPr>
          <w:p w14:paraId="4CA5C731">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69517B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1" w:type="dxa"/>
            <w:vAlign w:val="center"/>
          </w:tcPr>
          <w:p w14:paraId="12FB4BEA">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3944" w:type="dxa"/>
            <w:gridSpan w:val="3"/>
            <w:vAlign w:val="center"/>
          </w:tcPr>
          <w:p w14:paraId="3CE8C3CB">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7049997C">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435" w:type="dxa"/>
            <w:vAlign w:val="center"/>
          </w:tcPr>
          <w:p w14:paraId="21A31633">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645D0F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1" w:type="dxa"/>
            <w:vAlign w:val="center"/>
          </w:tcPr>
          <w:p w14:paraId="6AE0F6A5">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3944" w:type="dxa"/>
            <w:gridSpan w:val="3"/>
            <w:vAlign w:val="center"/>
          </w:tcPr>
          <w:p w14:paraId="705E10D1">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078702D0">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435" w:type="dxa"/>
            <w:vAlign w:val="center"/>
          </w:tcPr>
          <w:p w14:paraId="1DD8A6B3">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r w14:paraId="7905CB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251" w:type="dxa"/>
            <w:vAlign w:val="center"/>
          </w:tcPr>
          <w:p w14:paraId="63643356">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3944" w:type="dxa"/>
            <w:gridSpan w:val="3"/>
            <w:vAlign w:val="center"/>
          </w:tcPr>
          <w:p w14:paraId="791091B8">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110" w:type="dxa"/>
            <w:vAlign w:val="center"/>
          </w:tcPr>
          <w:p w14:paraId="78B8B6FB">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c>
          <w:tcPr>
            <w:tcW w:w="2435" w:type="dxa"/>
            <w:vAlign w:val="center"/>
          </w:tcPr>
          <w:p w14:paraId="3D4BEC89">
            <w:pPr>
              <w:snapToGrid w:val="0"/>
              <w:spacing w:before="0" w:beforeAutospacing="0" w:after="0" w:afterAutospacing="0" w:line="360" w:lineRule="auto"/>
              <w:ind w:firstLine="354" w:firstLineChars="177"/>
              <w:jc w:val="both"/>
              <w:textAlignment w:val="baseline"/>
              <w:rPr>
                <w:rFonts w:hint="eastAsia" w:ascii="宋体" w:hAnsi="宋体" w:eastAsia="宋体" w:cs="宋体"/>
                <w:b w:val="0"/>
                <w:i w:val="0"/>
                <w:caps w:val="0"/>
                <w:color w:val="auto"/>
                <w:spacing w:val="0"/>
                <w:w w:val="100"/>
                <w:sz w:val="20"/>
                <w:szCs w:val="24"/>
                <w:highlight w:val="none"/>
              </w:rPr>
            </w:pPr>
          </w:p>
        </w:tc>
      </w:tr>
    </w:tbl>
    <w:p w14:paraId="7735E6B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365EC07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kern w:val="2"/>
          <w:sz w:val="24"/>
          <w:szCs w:val="24"/>
          <w:highlight w:val="none"/>
        </w:rPr>
        <w:br w:type="page"/>
      </w:r>
    </w:p>
    <w:p w14:paraId="590245FA">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szCs w:val="24"/>
          <w:highlight w:val="none"/>
        </w:rPr>
        <w:t>附2：主要项目管理人员简历表</w:t>
      </w:r>
    </w:p>
    <w:p w14:paraId="0DF4CC3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cs="宋体"/>
          <w:b w:val="0"/>
          <w:i w:val="0"/>
          <w:caps w:val="0"/>
          <w:color w:val="auto"/>
          <w:spacing w:val="0"/>
          <w:w w:val="100"/>
          <w:sz w:val="24"/>
          <w:szCs w:val="24"/>
          <w:highlight w:val="none"/>
          <w:lang w:val="en-US" w:eastAsia="zh-CN"/>
        </w:rPr>
        <w:t>项目管理班子成员依据《青海省市政工程施工现场主要管理人员配备办法》要求，配备施工项目部主要管理人员</w:t>
      </w:r>
      <w:r>
        <w:rPr>
          <w:rFonts w:hint="eastAsia" w:ascii="宋体" w:hAnsi="宋体" w:eastAsia="宋体" w:cs="宋体"/>
          <w:b w:val="0"/>
          <w:i w:val="0"/>
          <w:caps w:val="0"/>
          <w:color w:val="auto"/>
          <w:spacing w:val="0"/>
          <w:w w:val="100"/>
          <w:sz w:val="24"/>
          <w:szCs w:val="24"/>
          <w:highlight w:val="none"/>
        </w:rPr>
        <w:t>。</w:t>
      </w:r>
    </w:p>
    <w:tbl>
      <w:tblPr>
        <w:tblStyle w:val="23"/>
        <w:tblW w:w="980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8"/>
        <w:gridCol w:w="1192"/>
        <w:gridCol w:w="1308"/>
        <w:gridCol w:w="1471"/>
        <w:gridCol w:w="2124"/>
        <w:gridCol w:w="2451"/>
      </w:tblGrid>
      <w:tr w14:paraId="520E7F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258" w:type="dxa"/>
            <w:vAlign w:val="center"/>
          </w:tcPr>
          <w:p w14:paraId="4580FA65">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姓名</w:t>
            </w:r>
          </w:p>
        </w:tc>
        <w:tc>
          <w:tcPr>
            <w:tcW w:w="1192" w:type="dxa"/>
            <w:vAlign w:val="center"/>
          </w:tcPr>
          <w:p w14:paraId="16E995C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1308" w:type="dxa"/>
            <w:vAlign w:val="center"/>
          </w:tcPr>
          <w:p w14:paraId="4E2BECE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年龄</w:t>
            </w:r>
          </w:p>
        </w:tc>
        <w:tc>
          <w:tcPr>
            <w:tcW w:w="1471" w:type="dxa"/>
            <w:vAlign w:val="center"/>
          </w:tcPr>
          <w:p w14:paraId="2AF8743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7C3E10C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学历</w:t>
            </w:r>
          </w:p>
        </w:tc>
        <w:tc>
          <w:tcPr>
            <w:tcW w:w="2451" w:type="dxa"/>
            <w:vAlign w:val="center"/>
          </w:tcPr>
          <w:p w14:paraId="2D685F7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566D7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258" w:type="dxa"/>
            <w:vAlign w:val="center"/>
          </w:tcPr>
          <w:p w14:paraId="049EC1D3">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职称</w:t>
            </w:r>
          </w:p>
        </w:tc>
        <w:tc>
          <w:tcPr>
            <w:tcW w:w="1192" w:type="dxa"/>
            <w:vAlign w:val="center"/>
          </w:tcPr>
          <w:p w14:paraId="46B88036">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1308" w:type="dxa"/>
            <w:vAlign w:val="center"/>
          </w:tcPr>
          <w:p w14:paraId="0BDAD8C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职务</w:t>
            </w:r>
          </w:p>
        </w:tc>
        <w:tc>
          <w:tcPr>
            <w:tcW w:w="1471" w:type="dxa"/>
            <w:vAlign w:val="center"/>
          </w:tcPr>
          <w:p w14:paraId="325A9E8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09DED27A">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拟在本工程任职</w:t>
            </w:r>
          </w:p>
        </w:tc>
        <w:tc>
          <w:tcPr>
            <w:tcW w:w="2451" w:type="dxa"/>
            <w:vAlign w:val="center"/>
          </w:tcPr>
          <w:p w14:paraId="4F924F8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3DC1A1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258" w:type="dxa"/>
            <w:vAlign w:val="center"/>
          </w:tcPr>
          <w:p w14:paraId="3E6B0F4B">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毕业学校</w:t>
            </w:r>
          </w:p>
        </w:tc>
        <w:tc>
          <w:tcPr>
            <w:tcW w:w="8546" w:type="dxa"/>
            <w:gridSpan w:val="5"/>
            <w:vAlign w:val="center"/>
          </w:tcPr>
          <w:p w14:paraId="37739C6C">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年    毕业于学校           专业</w:t>
            </w:r>
          </w:p>
        </w:tc>
      </w:tr>
      <w:tr w14:paraId="5EFE57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9804" w:type="dxa"/>
            <w:gridSpan w:val="6"/>
            <w:vAlign w:val="center"/>
          </w:tcPr>
          <w:p w14:paraId="2A996244">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主要工作经历</w:t>
            </w:r>
          </w:p>
        </w:tc>
      </w:tr>
      <w:tr w14:paraId="4B881E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atLeast"/>
        </w:trPr>
        <w:tc>
          <w:tcPr>
            <w:tcW w:w="1258" w:type="dxa"/>
            <w:vAlign w:val="center"/>
          </w:tcPr>
          <w:p w14:paraId="48D90BE9">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时间</w:t>
            </w:r>
          </w:p>
        </w:tc>
        <w:tc>
          <w:tcPr>
            <w:tcW w:w="3971" w:type="dxa"/>
            <w:gridSpan w:val="3"/>
            <w:vAlign w:val="center"/>
          </w:tcPr>
          <w:p w14:paraId="178C2594">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参加过的类似项目名称</w:t>
            </w:r>
          </w:p>
        </w:tc>
        <w:tc>
          <w:tcPr>
            <w:tcW w:w="2124" w:type="dxa"/>
            <w:vAlign w:val="center"/>
          </w:tcPr>
          <w:p w14:paraId="3101318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担任职务</w:t>
            </w:r>
          </w:p>
        </w:tc>
        <w:tc>
          <w:tcPr>
            <w:tcW w:w="2451" w:type="dxa"/>
            <w:vAlign w:val="center"/>
          </w:tcPr>
          <w:p w14:paraId="382A914A">
            <w:pPr>
              <w:snapToGrid w:val="0"/>
              <w:spacing w:before="0" w:beforeAutospacing="0" w:after="0" w:afterAutospacing="0" w:line="360" w:lineRule="auto"/>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发包人及联系电话</w:t>
            </w:r>
          </w:p>
        </w:tc>
      </w:tr>
      <w:tr w14:paraId="27E441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0EBA5D67">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56419F3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7A0AFB9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071A8D87">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2DC18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7EB2D01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30BF926B">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36E7BF6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2E3B20C7">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12C8AF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0F8084A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2E175C1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263581F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1A742C6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5CA63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4402A73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6771BD8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3300A66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307E11C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43A03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4C2555F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01484933">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79BC55F5">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3DCDFE32">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0340C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77573846">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62B90AD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32693020">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1BBD82DE">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297E1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585CA051">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3C9D0246">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7E7CC918">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57E5425A">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r w14:paraId="3B152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58" w:type="dxa"/>
            <w:vAlign w:val="center"/>
          </w:tcPr>
          <w:p w14:paraId="34F2CFEF">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3971" w:type="dxa"/>
            <w:gridSpan w:val="3"/>
            <w:vAlign w:val="center"/>
          </w:tcPr>
          <w:p w14:paraId="06A1D72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124" w:type="dxa"/>
            <w:vAlign w:val="center"/>
          </w:tcPr>
          <w:p w14:paraId="677B9894">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c>
          <w:tcPr>
            <w:tcW w:w="2451" w:type="dxa"/>
            <w:vAlign w:val="center"/>
          </w:tcPr>
          <w:p w14:paraId="68A93F69">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szCs w:val="24"/>
                <w:highlight w:val="none"/>
              </w:rPr>
            </w:pPr>
          </w:p>
        </w:tc>
      </w:tr>
    </w:tbl>
    <w:p w14:paraId="5251734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DC5566B">
      <w:pPr>
        <w:snapToGrid w:val="0"/>
        <w:spacing w:before="0" w:beforeAutospacing="0" w:after="0" w:afterAutospacing="0" w:line="24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br w:type="page"/>
      </w:r>
    </w:p>
    <w:p w14:paraId="269A4F45">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附3：项目经理承诺书</w:t>
      </w:r>
    </w:p>
    <w:p w14:paraId="3F487CFA">
      <w:pPr>
        <w:bidi w:val="0"/>
        <w:jc w:val="center"/>
        <w:rPr>
          <w:rFonts w:hint="eastAsia"/>
          <w:color w:val="auto"/>
        </w:rPr>
      </w:pPr>
      <w:bookmarkStart w:id="1283" w:name="_Toc12729"/>
      <w:bookmarkStart w:id="1284" w:name="_Toc11499"/>
      <w:r>
        <w:rPr>
          <w:rFonts w:hint="eastAsia"/>
          <w:color w:val="auto"/>
        </w:rPr>
        <w:t>项目经理承诺书</w:t>
      </w:r>
      <w:bookmarkEnd w:id="1283"/>
      <w:bookmarkEnd w:id="1284"/>
    </w:p>
    <w:p w14:paraId="0F7C584D">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————————（招标人名称）：</w:t>
      </w:r>
    </w:p>
    <w:p w14:paraId="7D01238E">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我方在此声明，我方拟派往</w:t>
      </w:r>
      <w:r>
        <w:rPr>
          <w:rFonts w:hint="eastAsia" w:ascii="宋体" w:hAnsi="宋体" w:eastAsia="宋体" w:cs="宋体"/>
          <w:b w:val="0"/>
          <w:i w:val="0"/>
          <w:caps w:val="0"/>
          <w:color w:val="auto"/>
          <w:spacing w:val="0"/>
          <w:w w:val="100"/>
          <w:kern w:val="2"/>
          <w:sz w:val="24"/>
          <w:szCs w:val="24"/>
          <w:highlight w:val="none"/>
          <w:u w:val="single" w:color="000000"/>
        </w:rPr>
        <w:t>（项目名称）</w:t>
      </w:r>
      <w:r>
        <w:rPr>
          <w:rFonts w:hint="eastAsia" w:ascii="宋体" w:hAnsi="宋体" w:eastAsia="宋体" w:cs="宋体"/>
          <w:b w:val="0"/>
          <w:i w:val="0"/>
          <w:caps w:val="0"/>
          <w:color w:val="auto"/>
          <w:spacing w:val="0"/>
          <w:w w:val="100"/>
          <w:kern w:val="2"/>
          <w:sz w:val="24"/>
          <w:szCs w:val="24"/>
          <w:highlight w:val="none"/>
        </w:rPr>
        <w:t>（以下简称“本工程”）的项目经理</w:t>
      </w:r>
      <w:r>
        <w:rPr>
          <w:rFonts w:hint="eastAsia" w:ascii="宋体" w:hAnsi="宋体" w:eastAsia="宋体" w:cs="宋体"/>
          <w:b w:val="0"/>
          <w:i w:val="0"/>
          <w:caps w:val="0"/>
          <w:color w:val="auto"/>
          <w:spacing w:val="0"/>
          <w:w w:val="100"/>
          <w:kern w:val="2"/>
          <w:sz w:val="24"/>
          <w:szCs w:val="24"/>
          <w:highlight w:val="none"/>
          <w:u w:val="single" w:color="000000"/>
        </w:rPr>
        <w:t>（项目经理姓名）</w:t>
      </w:r>
      <w:r>
        <w:rPr>
          <w:rFonts w:hint="eastAsia" w:ascii="宋体" w:hAnsi="宋体" w:eastAsia="宋体" w:cs="宋体"/>
          <w:b w:val="0"/>
          <w:i w:val="0"/>
          <w:caps w:val="0"/>
          <w:color w:val="auto"/>
          <w:spacing w:val="0"/>
          <w:w w:val="100"/>
          <w:kern w:val="2"/>
          <w:sz w:val="24"/>
          <w:szCs w:val="24"/>
          <w:highlight w:val="none"/>
        </w:rPr>
        <w:t>现阶段没有担任任何在建工程项目的项目经理。</w:t>
      </w:r>
    </w:p>
    <w:p w14:paraId="75538E7A">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我方保证上述信息的真实和准确，并愿意承担因我方就此弄虚作假所引起的一切法律后果。</w:t>
      </w:r>
    </w:p>
    <w:p w14:paraId="76C0672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37D3C3A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1F03AE7F">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特此承诺</w:t>
      </w:r>
    </w:p>
    <w:p w14:paraId="7F4E097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BF8153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31EA43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96E01F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DBB01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40E25CE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FACA4F4">
      <w:pPr>
        <w:widowControl w:val="0"/>
        <w:snapToGrid w:val="0"/>
        <w:spacing w:before="0" w:beforeAutospacing="0" w:after="0" w:afterAutospacing="0" w:line="360" w:lineRule="auto"/>
        <w:ind w:firstLine="4624" w:firstLineChars="192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磋商响应人：</w:t>
      </w:r>
      <w:r>
        <w:rPr>
          <w:rFonts w:hint="eastAsia" w:ascii="宋体" w:hAnsi="宋体" w:cs="宋体"/>
          <w:b w:val="0"/>
          <w:i w:val="0"/>
          <w:caps w:val="0"/>
          <w:color w:val="auto"/>
          <w:spacing w:val="0"/>
          <w:w w:val="100"/>
          <w:kern w:val="2"/>
          <w:sz w:val="24"/>
          <w:szCs w:val="24"/>
          <w:highlight w:val="none"/>
          <w:lang w:val="en-US" w:eastAsia="zh-CN"/>
        </w:rPr>
        <w:t xml:space="preserve">      </w:t>
      </w:r>
      <w:r>
        <w:rPr>
          <w:rFonts w:hint="eastAsia" w:ascii="宋体" w:hAnsi="宋体" w:eastAsia="宋体" w:cs="宋体"/>
          <w:b w:val="0"/>
          <w:i w:val="0"/>
          <w:caps w:val="0"/>
          <w:color w:val="auto"/>
          <w:spacing w:val="0"/>
          <w:w w:val="100"/>
          <w:kern w:val="2"/>
          <w:sz w:val="24"/>
          <w:szCs w:val="24"/>
          <w:highlight w:val="none"/>
        </w:rPr>
        <w:t>（盖单位</w:t>
      </w:r>
      <w:r>
        <w:rPr>
          <w:rFonts w:hint="eastAsia" w:ascii="宋体" w:hAnsi="宋体" w:eastAsia="宋体" w:cs="宋体"/>
          <w:b w:val="0"/>
          <w:i w:val="0"/>
          <w:caps w:val="0"/>
          <w:color w:val="auto"/>
          <w:spacing w:val="0"/>
          <w:w w:val="100"/>
          <w:kern w:val="2"/>
          <w:sz w:val="24"/>
          <w:szCs w:val="24"/>
          <w:highlight w:val="none"/>
          <w:lang w:eastAsia="zh-CN"/>
        </w:rPr>
        <w:t>公</w:t>
      </w:r>
      <w:r>
        <w:rPr>
          <w:rFonts w:hint="eastAsia" w:ascii="宋体" w:hAnsi="宋体" w:eastAsia="宋体" w:cs="宋体"/>
          <w:b w:val="0"/>
          <w:i w:val="0"/>
          <w:caps w:val="0"/>
          <w:color w:val="auto"/>
          <w:spacing w:val="0"/>
          <w:w w:val="100"/>
          <w:kern w:val="2"/>
          <w:sz w:val="24"/>
          <w:szCs w:val="24"/>
          <w:highlight w:val="none"/>
        </w:rPr>
        <w:t>章）</w:t>
      </w:r>
    </w:p>
    <w:p w14:paraId="26461703">
      <w:pPr>
        <w:widowControl w:val="0"/>
        <w:snapToGrid w:val="0"/>
        <w:spacing w:before="0" w:beforeAutospacing="0" w:after="0" w:afterAutospacing="0" w:line="360" w:lineRule="auto"/>
        <w:ind w:firstLine="4744" w:firstLineChars="1977"/>
        <w:textAlignment w:val="baseline"/>
        <w:rPr>
          <w:rFonts w:hint="eastAsia" w:ascii="宋体" w:hAnsi="宋体" w:eastAsia="宋体" w:cs="宋体"/>
          <w:b w:val="0"/>
          <w:i w:val="0"/>
          <w:caps w:val="0"/>
          <w:color w:val="auto"/>
          <w:spacing w:val="0"/>
          <w:w w:val="100"/>
          <w:kern w:val="2"/>
          <w:sz w:val="24"/>
          <w:szCs w:val="24"/>
          <w:highlight w:val="none"/>
          <w:lang w:eastAsia="zh-CN"/>
        </w:rPr>
      </w:pPr>
      <w:r>
        <w:rPr>
          <w:rFonts w:hint="eastAsia" w:ascii="宋体" w:hAnsi="宋体" w:cs="宋体"/>
          <w:b w:val="0"/>
          <w:i w:val="0"/>
          <w:caps w:val="0"/>
          <w:color w:val="auto"/>
          <w:spacing w:val="0"/>
          <w:w w:val="100"/>
          <w:kern w:val="2"/>
          <w:sz w:val="24"/>
          <w:szCs w:val="24"/>
          <w:highlight w:val="none"/>
          <w:lang w:eastAsia="zh-CN"/>
        </w:rPr>
        <w:t>项目经理：</w:t>
      </w:r>
      <w:r>
        <w:rPr>
          <w:rFonts w:hint="eastAsia" w:ascii="宋体" w:hAnsi="宋体" w:cs="宋体"/>
          <w:b w:val="0"/>
          <w:i w:val="0"/>
          <w:caps w:val="0"/>
          <w:color w:val="auto"/>
          <w:spacing w:val="0"/>
          <w:w w:val="100"/>
          <w:kern w:val="2"/>
          <w:sz w:val="24"/>
          <w:szCs w:val="24"/>
          <w:highlight w:val="none"/>
          <w:lang w:val="en-US" w:eastAsia="zh-CN"/>
        </w:rPr>
        <w:t xml:space="preserve">        </w:t>
      </w:r>
      <w:r>
        <w:rPr>
          <w:rFonts w:hint="eastAsia" w:ascii="宋体" w:hAnsi="宋体" w:cs="宋体"/>
          <w:b w:val="0"/>
          <w:i w:val="0"/>
          <w:caps w:val="0"/>
          <w:color w:val="auto"/>
          <w:spacing w:val="0"/>
          <w:w w:val="100"/>
          <w:kern w:val="2"/>
          <w:sz w:val="24"/>
          <w:szCs w:val="24"/>
          <w:highlight w:val="none"/>
          <w:lang w:eastAsia="zh-CN"/>
        </w:rPr>
        <w:t>（签字）</w:t>
      </w:r>
    </w:p>
    <w:p w14:paraId="2BBE4038">
      <w:pPr>
        <w:widowControl w:val="0"/>
        <w:snapToGrid w:val="0"/>
        <w:spacing w:before="0" w:beforeAutospacing="0" w:after="0" w:afterAutospacing="0" w:line="360" w:lineRule="auto"/>
        <w:ind w:firstLine="4744" w:firstLineChars="19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法定代表人</w:t>
      </w:r>
      <w:r>
        <w:rPr>
          <w:rFonts w:hint="eastAsia" w:ascii="宋体" w:hAnsi="宋体" w:eastAsia="宋体" w:cs="宋体"/>
          <w:b w:val="0"/>
          <w:i w:val="0"/>
          <w:caps w:val="0"/>
          <w:color w:val="auto"/>
          <w:spacing w:val="0"/>
          <w:w w:val="100"/>
          <w:kern w:val="2"/>
          <w:sz w:val="24"/>
          <w:szCs w:val="24"/>
          <w:highlight w:val="none"/>
          <w:lang w:eastAsia="zh-CN"/>
        </w:rPr>
        <w:t>或委托代理人</w:t>
      </w:r>
      <w:r>
        <w:rPr>
          <w:rFonts w:hint="eastAsia" w:ascii="宋体" w:hAnsi="宋体" w:eastAsia="宋体" w:cs="宋体"/>
          <w:b w:val="0"/>
          <w:i w:val="0"/>
          <w:caps w:val="0"/>
          <w:color w:val="auto"/>
          <w:spacing w:val="0"/>
          <w:w w:val="100"/>
          <w:kern w:val="2"/>
          <w:sz w:val="24"/>
          <w:szCs w:val="24"/>
          <w:highlight w:val="none"/>
        </w:rPr>
        <w:t>：（签字）</w:t>
      </w:r>
    </w:p>
    <w:p w14:paraId="04DA24EE">
      <w:pPr>
        <w:widowControl w:val="0"/>
        <w:snapToGrid w:val="0"/>
        <w:spacing w:before="0" w:beforeAutospacing="0" w:after="0" w:afterAutospacing="0" w:line="360" w:lineRule="auto"/>
        <w:ind w:firstLine="5224" w:firstLineChars="2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年    月     日</w:t>
      </w:r>
    </w:p>
    <w:p w14:paraId="453C628A">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p>
    <w:p w14:paraId="2689B5B7">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p>
    <w:p w14:paraId="5D5F03EB">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p>
    <w:p w14:paraId="31693ABF">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p>
    <w:p w14:paraId="758530F2">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p>
    <w:p w14:paraId="08611CE7">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32"/>
          <w:szCs w:val="32"/>
          <w:highlight w:val="none"/>
        </w:rPr>
      </w:pPr>
      <w:r>
        <w:rPr>
          <w:rFonts w:hint="eastAsia" w:ascii="宋体" w:hAnsi="宋体" w:eastAsia="宋体" w:cs="宋体"/>
          <w:b w:val="0"/>
          <w:i w:val="0"/>
          <w:caps w:val="0"/>
          <w:color w:val="auto"/>
          <w:spacing w:val="0"/>
          <w:w w:val="100"/>
          <w:kern w:val="2"/>
          <w:sz w:val="24"/>
          <w:szCs w:val="24"/>
          <w:highlight w:val="none"/>
        </w:rPr>
        <w:br w:type="page"/>
      </w:r>
    </w:p>
    <w:p w14:paraId="0FBC3881">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85" w:name="_Toc18238"/>
      <w:r>
        <w:rPr>
          <w:rFonts w:hint="eastAsia" w:ascii="宋体" w:hAnsi="宋体" w:eastAsia="宋体" w:cs="宋体"/>
          <w:b/>
          <w:bCs/>
          <w:i w:val="0"/>
          <w:caps w:val="0"/>
          <w:color w:val="auto"/>
          <w:spacing w:val="0"/>
          <w:w w:val="100"/>
          <w:sz w:val="24"/>
          <w:szCs w:val="32"/>
          <w:highlight w:val="none"/>
          <w:lang w:val="en-US" w:eastAsia="zh-CN" w:bidi="ar-SA"/>
        </w:rPr>
        <w:t>十二、拟分包计划表（本项目不适用）</w:t>
      </w:r>
      <w:bookmarkEnd w:id="1285"/>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4"/>
        <w:gridCol w:w="2085"/>
        <w:gridCol w:w="851"/>
        <w:gridCol w:w="1074"/>
        <w:gridCol w:w="1271"/>
        <w:gridCol w:w="1234"/>
        <w:gridCol w:w="1356"/>
        <w:gridCol w:w="1113"/>
      </w:tblGrid>
      <w:tr w14:paraId="3BAB3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restart"/>
            <w:tcMar>
              <w:left w:w="108" w:type="dxa"/>
              <w:right w:w="108" w:type="dxa"/>
            </w:tcMar>
            <w:vAlign w:val="center"/>
          </w:tcPr>
          <w:p w14:paraId="26237A41">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序</w:t>
            </w:r>
          </w:p>
          <w:p w14:paraId="01E4AC51">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号</w:t>
            </w:r>
          </w:p>
        </w:tc>
        <w:tc>
          <w:tcPr>
            <w:tcW w:w="2085" w:type="dxa"/>
            <w:vMerge w:val="restart"/>
            <w:tcMar>
              <w:left w:w="108" w:type="dxa"/>
              <w:right w:w="108" w:type="dxa"/>
            </w:tcMar>
            <w:vAlign w:val="center"/>
          </w:tcPr>
          <w:p w14:paraId="21CE6279">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拟分包项目名称、范围及理由</w:t>
            </w:r>
          </w:p>
        </w:tc>
        <w:tc>
          <w:tcPr>
            <w:tcW w:w="5786" w:type="dxa"/>
            <w:gridSpan w:val="5"/>
            <w:tcMar>
              <w:left w:w="108" w:type="dxa"/>
              <w:right w:w="108" w:type="dxa"/>
            </w:tcMar>
            <w:vAlign w:val="center"/>
          </w:tcPr>
          <w:p w14:paraId="20C00293">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拟选分包人</w:t>
            </w:r>
          </w:p>
        </w:tc>
        <w:tc>
          <w:tcPr>
            <w:tcW w:w="1113" w:type="dxa"/>
            <w:vMerge w:val="restart"/>
            <w:tcMar>
              <w:left w:w="108" w:type="dxa"/>
              <w:right w:w="108" w:type="dxa"/>
            </w:tcMar>
            <w:vAlign w:val="center"/>
          </w:tcPr>
          <w:p w14:paraId="54969D20">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tc>
      </w:tr>
      <w:tr w14:paraId="5DADF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18F14C6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36C279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925" w:type="dxa"/>
            <w:gridSpan w:val="2"/>
            <w:tcMar>
              <w:left w:w="108" w:type="dxa"/>
              <w:right w:w="108" w:type="dxa"/>
            </w:tcMar>
            <w:vAlign w:val="center"/>
          </w:tcPr>
          <w:p w14:paraId="3864B5B1">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拟选分包人名称</w:t>
            </w:r>
          </w:p>
        </w:tc>
        <w:tc>
          <w:tcPr>
            <w:tcW w:w="1271" w:type="dxa"/>
            <w:tcMar>
              <w:left w:w="108" w:type="dxa"/>
              <w:right w:w="108" w:type="dxa"/>
            </w:tcMar>
            <w:vAlign w:val="center"/>
          </w:tcPr>
          <w:p w14:paraId="65B4A578">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注册地点</w:t>
            </w:r>
          </w:p>
        </w:tc>
        <w:tc>
          <w:tcPr>
            <w:tcW w:w="1234" w:type="dxa"/>
            <w:tcMar>
              <w:left w:w="108" w:type="dxa"/>
              <w:right w:w="108" w:type="dxa"/>
            </w:tcMar>
            <w:vAlign w:val="center"/>
          </w:tcPr>
          <w:p w14:paraId="48F5EBEE">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企业资质</w:t>
            </w:r>
          </w:p>
        </w:tc>
        <w:tc>
          <w:tcPr>
            <w:tcW w:w="1356" w:type="dxa"/>
            <w:tcMar>
              <w:left w:w="108" w:type="dxa"/>
              <w:right w:w="108" w:type="dxa"/>
            </w:tcMar>
            <w:vAlign w:val="center"/>
          </w:tcPr>
          <w:p w14:paraId="1AA4152A">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有关业绩</w:t>
            </w:r>
          </w:p>
        </w:tc>
        <w:tc>
          <w:tcPr>
            <w:tcW w:w="1113" w:type="dxa"/>
            <w:vMerge w:val="continue"/>
            <w:tcMar>
              <w:left w:w="108" w:type="dxa"/>
              <w:right w:w="108" w:type="dxa"/>
            </w:tcMar>
            <w:vAlign w:val="center"/>
          </w:tcPr>
          <w:p w14:paraId="756763C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87FD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restart"/>
            <w:tcMar>
              <w:left w:w="108" w:type="dxa"/>
              <w:right w:w="108" w:type="dxa"/>
            </w:tcMar>
            <w:vAlign w:val="center"/>
          </w:tcPr>
          <w:p w14:paraId="25C591B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restart"/>
            <w:tcMar>
              <w:left w:w="108" w:type="dxa"/>
              <w:right w:w="108" w:type="dxa"/>
            </w:tcMar>
            <w:vAlign w:val="center"/>
          </w:tcPr>
          <w:p w14:paraId="429F469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5B81BB9A">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w:t>
            </w:r>
          </w:p>
        </w:tc>
        <w:tc>
          <w:tcPr>
            <w:tcW w:w="1074" w:type="dxa"/>
            <w:tcMar>
              <w:left w:w="108" w:type="dxa"/>
              <w:right w:w="108" w:type="dxa"/>
            </w:tcMar>
            <w:vAlign w:val="center"/>
          </w:tcPr>
          <w:p w14:paraId="005AE8E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798EB7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1ACDAD7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0292851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4B62EDB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FDEE5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042CF1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5377E24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0130E80F">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w:t>
            </w:r>
          </w:p>
        </w:tc>
        <w:tc>
          <w:tcPr>
            <w:tcW w:w="1074" w:type="dxa"/>
            <w:tcMar>
              <w:left w:w="108" w:type="dxa"/>
              <w:right w:w="108" w:type="dxa"/>
            </w:tcMar>
            <w:vAlign w:val="center"/>
          </w:tcPr>
          <w:p w14:paraId="682718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02F2D31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54DCAAE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5EE486E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6DA8D43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4D2D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603DA6A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6230DB6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5298ADFF">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3</w:t>
            </w:r>
          </w:p>
        </w:tc>
        <w:tc>
          <w:tcPr>
            <w:tcW w:w="1074" w:type="dxa"/>
            <w:tcMar>
              <w:left w:w="108" w:type="dxa"/>
              <w:right w:w="108" w:type="dxa"/>
            </w:tcMar>
            <w:vAlign w:val="center"/>
          </w:tcPr>
          <w:p w14:paraId="09B767A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1AA8A9C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48EE7A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5BFC252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74705C0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3183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restart"/>
            <w:tcMar>
              <w:left w:w="108" w:type="dxa"/>
              <w:right w:w="108" w:type="dxa"/>
            </w:tcMar>
            <w:vAlign w:val="center"/>
          </w:tcPr>
          <w:p w14:paraId="39FE876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restart"/>
            <w:tcMar>
              <w:left w:w="108" w:type="dxa"/>
              <w:right w:w="108" w:type="dxa"/>
            </w:tcMar>
            <w:vAlign w:val="center"/>
          </w:tcPr>
          <w:p w14:paraId="1C46A2A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51EC8423">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w:t>
            </w:r>
          </w:p>
        </w:tc>
        <w:tc>
          <w:tcPr>
            <w:tcW w:w="1074" w:type="dxa"/>
            <w:tcMar>
              <w:left w:w="108" w:type="dxa"/>
              <w:right w:w="108" w:type="dxa"/>
            </w:tcMar>
            <w:vAlign w:val="center"/>
          </w:tcPr>
          <w:p w14:paraId="340FD8C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0F40A9C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19117A8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6957BCA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6926C34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1C55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6C4879A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0075F73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450741B2">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w:t>
            </w:r>
          </w:p>
        </w:tc>
        <w:tc>
          <w:tcPr>
            <w:tcW w:w="1074" w:type="dxa"/>
            <w:tcMar>
              <w:left w:w="108" w:type="dxa"/>
              <w:right w:w="108" w:type="dxa"/>
            </w:tcMar>
            <w:vAlign w:val="center"/>
          </w:tcPr>
          <w:p w14:paraId="7B44F83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3382B5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42A8A37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7BCD19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4FD3A7E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DD2CE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7037E5A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17A4955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1C91FFB0">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3</w:t>
            </w:r>
          </w:p>
        </w:tc>
        <w:tc>
          <w:tcPr>
            <w:tcW w:w="1074" w:type="dxa"/>
            <w:tcMar>
              <w:left w:w="108" w:type="dxa"/>
              <w:right w:w="108" w:type="dxa"/>
            </w:tcMar>
            <w:vAlign w:val="center"/>
          </w:tcPr>
          <w:p w14:paraId="3D55DC3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273142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1FE8AE4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30FCF60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4CA90E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DCD16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restart"/>
            <w:tcMar>
              <w:left w:w="108" w:type="dxa"/>
              <w:right w:w="108" w:type="dxa"/>
            </w:tcMar>
            <w:vAlign w:val="center"/>
          </w:tcPr>
          <w:p w14:paraId="2A0488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restart"/>
            <w:tcMar>
              <w:left w:w="108" w:type="dxa"/>
              <w:right w:w="108" w:type="dxa"/>
            </w:tcMar>
            <w:vAlign w:val="center"/>
          </w:tcPr>
          <w:p w14:paraId="5B0D5EE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4454C383">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w:t>
            </w:r>
          </w:p>
        </w:tc>
        <w:tc>
          <w:tcPr>
            <w:tcW w:w="1074" w:type="dxa"/>
            <w:tcMar>
              <w:left w:w="108" w:type="dxa"/>
              <w:right w:w="108" w:type="dxa"/>
            </w:tcMar>
            <w:vAlign w:val="center"/>
          </w:tcPr>
          <w:p w14:paraId="4A9332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70E2E8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6457DB2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14E3923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63F0015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6789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1E8D85B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68BBDC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35BFF95C">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w:t>
            </w:r>
          </w:p>
        </w:tc>
        <w:tc>
          <w:tcPr>
            <w:tcW w:w="1074" w:type="dxa"/>
            <w:tcMar>
              <w:left w:w="108" w:type="dxa"/>
              <w:right w:w="108" w:type="dxa"/>
            </w:tcMar>
            <w:vAlign w:val="center"/>
          </w:tcPr>
          <w:p w14:paraId="0077F06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0FFD7AA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66A077D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620FACA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53789A7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9C58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6621FC4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3780528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7E2948FF">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3</w:t>
            </w:r>
          </w:p>
        </w:tc>
        <w:tc>
          <w:tcPr>
            <w:tcW w:w="1074" w:type="dxa"/>
            <w:tcMar>
              <w:left w:w="108" w:type="dxa"/>
              <w:right w:w="108" w:type="dxa"/>
            </w:tcMar>
            <w:vAlign w:val="center"/>
          </w:tcPr>
          <w:p w14:paraId="79E90F1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35A70F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0E142DF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261A3D2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661489B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43F7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restart"/>
            <w:tcMar>
              <w:left w:w="108" w:type="dxa"/>
              <w:right w:w="108" w:type="dxa"/>
            </w:tcMar>
            <w:vAlign w:val="center"/>
          </w:tcPr>
          <w:p w14:paraId="706C38E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restart"/>
            <w:tcMar>
              <w:left w:w="108" w:type="dxa"/>
              <w:right w:w="108" w:type="dxa"/>
            </w:tcMar>
            <w:vAlign w:val="center"/>
          </w:tcPr>
          <w:p w14:paraId="05DC973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643C03A0">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w:t>
            </w:r>
          </w:p>
        </w:tc>
        <w:tc>
          <w:tcPr>
            <w:tcW w:w="1074" w:type="dxa"/>
            <w:tcMar>
              <w:left w:w="108" w:type="dxa"/>
              <w:right w:w="108" w:type="dxa"/>
            </w:tcMar>
            <w:vAlign w:val="center"/>
          </w:tcPr>
          <w:p w14:paraId="0AEB76E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7886F22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2FA8B7F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62335E0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5652156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C1321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779700F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643A14B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61F14A20">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w:t>
            </w:r>
          </w:p>
        </w:tc>
        <w:tc>
          <w:tcPr>
            <w:tcW w:w="1074" w:type="dxa"/>
            <w:tcMar>
              <w:left w:w="108" w:type="dxa"/>
              <w:right w:w="108" w:type="dxa"/>
            </w:tcMar>
            <w:vAlign w:val="center"/>
          </w:tcPr>
          <w:p w14:paraId="078AA81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799C908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6E31DFF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085F92D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173F4A9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D83C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4" w:type="dxa"/>
            <w:vMerge w:val="continue"/>
            <w:tcMar>
              <w:left w:w="108" w:type="dxa"/>
              <w:right w:w="108" w:type="dxa"/>
            </w:tcMar>
            <w:vAlign w:val="center"/>
          </w:tcPr>
          <w:p w14:paraId="4CFE2D6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085" w:type="dxa"/>
            <w:vMerge w:val="continue"/>
            <w:tcMar>
              <w:left w:w="108" w:type="dxa"/>
              <w:right w:w="108" w:type="dxa"/>
            </w:tcMar>
            <w:vAlign w:val="center"/>
          </w:tcPr>
          <w:p w14:paraId="093F53B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51" w:type="dxa"/>
            <w:tcMar>
              <w:left w:w="108" w:type="dxa"/>
              <w:right w:w="108" w:type="dxa"/>
            </w:tcMar>
            <w:vAlign w:val="center"/>
          </w:tcPr>
          <w:p w14:paraId="3F4AB2F7">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3</w:t>
            </w:r>
          </w:p>
        </w:tc>
        <w:tc>
          <w:tcPr>
            <w:tcW w:w="1074" w:type="dxa"/>
            <w:tcMar>
              <w:left w:w="108" w:type="dxa"/>
              <w:right w:w="108" w:type="dxa"/>
            </w:tcMar>
            <w:vAlign w:val="center"/>
          </w:tcPr>
          <w:p w14:paraId="7BB4F71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71" w:type="dxa"/>
            <w:tcMar>
              <w:left w:w="108" w:type="dxa"/>
              <w:right w:w="108" w:type="dxa"/>
            </w:tcMar>
            <w:vAlign w:val="center"/>
          </w:tcPr>
          <w:p w14:paraId="7C0EA56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234" w:type="dxa"/>
            <w:tcMar>
              <w:left w:w="108" w:type="dxa"/>
              <w:right w:w="108" w:type="dxa"/>
            </w:tcMar>
            <w:vAlign w:val="center"/>
          </w:tcPr>
          <w:p w14:paraId="299BC53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356" w:type="dxa"/>
            <w:tcMar>
              <w:left w:w="108" w:type="dxa"/>
              <w:right w:w="108" w:type="dxa"/>
            </w:tcMar>
            <w:vAlign w:val="center"/>
          </w:tcPr>
          <w:p w14:paraId="3E5492A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13" w:type="dxa"/>
            <w:tcMar>
              <w:left w:w="108" w:type="dxa"/>
              <w:right w:w="108" w:type="dxa"/>
            </w:tcMar>
            <w:vAlign w:val="center"/>
          </w:tcPr>
          <w:p w14:paraId="7F0EFCA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7956D3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6A2482AA">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备注：本表所列分包仅限于承包人自行施工范围内的非主体、非关键工程。</w:t>
      </w:r>
    </w:p>
    <w:p w14:paraId="2800B805">
      <w:pPr>
        <w:widowControl w:val="0"/>
        <w:snapToGrid w:val="0"/>
        <w:spacing w:before="0" w:beforeAutospacing="0" w:after="0" w:afterAutospacing="0" w:line="360" w:lineRule="auto"/>
        <w:ind w:firstLine="4984" w:firstLineChars="20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日期：      年   月   日</w:t>
      </w:r>
    </w:p>
    <w:p w14:paraId="68739DBD">
      <w:pPr>
        <w:keepLines/>
        <w:snapToGrid w:val="0"/>
        <w:spacing w:before="260" w:beforeAutospacing="0" w:after="260" w:afterAutospacing="0" w:line="416" w:lineRule="auto"/>
        <w:textAlignment w:val="baseline"/>
        <w:rPr>
          <w:rFonts w:hint="eastAsia" w:ascii="宋体" w:hAnsi="宋体" w:eastAsia="宋体" w:cs="宋体"/>
          <w:b/>
          <w:bCs/>
          <w:i w:val="0"/>
          <w:caps w:val="0"/>
          <w:color w:val="auto"/>
          <w:spacing w:val="0"/>
          <w:w w:val="100"/>
          <w:sz w:val="32"/>
          <w:szCs w:val="32"/>
          <w:highlight w:val="none"/>
        </w:rPr>
      </w:pPr>
      <w:r>
        <w:rPr>
          <w:rFonts w:hint="eastAsia" w:ascii="宋体" w:hAnsi="宋体" w:eastAsia="宋体" w:cs="宋体"/>
          <w:b/>
          <w:bCs/>
          <w:i w:val="0"/>
          <w:caps w:val="0"/>
          <w:color w:val="auto"/>
          <w:spacing w:val="0"/>
          <w:w w:val="100"/>
          <w:sz w:val="24"/>
          <w:szCs w:val="24"/>
          <w:highlight w:val="none"/>
        </w:rPr>
        <w:br w:type="page"/>
      </w:r>
    </w:p>
    <w:p w14:paraId="25DF5E05">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86" w:name="_Toc20100"/>
      <w:r>
        <w:rPr>
          <w:rFonts w:hint="eastAsia" w:ascii="宋体" w:hAnsi="宋体" w:eastAsia="宋体" w:cs="宋体"/>
          <w:b/>
          <w:bCs/>
          <w:i w:val="0"/>
          <w:caps w:val="0"/>
          <w:color w:val="auto"/>
          <w:spacing w:val="0"/>
          <w:w w:val="100"/>
          <w:sz w:val="24"/>
          <w:szCs w:val="32"/>
          <w:highlight w:val="none"/>
          <w:lang w:val="en-US" w:eastAsia="zh-CN" w:bidi="ar-SA"/>
        </w:rPr>
        <w:t>十三、资料审查</w:t>
      </w:r>
      <w:bookmarkEnd w:id="1286"/>
    </w:p>
    <w:p w14:paraId="65FDBC5C">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（一）磋商响应人基本情况表</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80"/>
        <w:gridCol w:w="1015"/>
        <w:gridCol w:w="1157"/>
        <w:gridCol w:w="1125"/>
        <w:gridCol w:w="320"/>
        <w:gridCol w:w="220"/>
        <w:gridCol w:w="1411"/>
        <w:gridCol w:w="295"/>
        <w:gridCol w:w="803"/>
        <w:gridCol w:w="1602"/>
      </w:tblGrid>
      <w:tr w14:paraId="18D2D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39E13B9B">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磋商响应人</w:t>
            </w:r>
            <w:bookmarkStart w:id="1287" w:name="_Toc414469111"/>
            <w:bookmarkStart w:id="1288" w:name="_Toc420929933"/>
            <w:r>
              <w:rPr>
                <w:rFonts w:hint="eastAsia" w:ascii="宋体" w:hAnsi="宋体" w:eastAsia="宋体" w:cs="宋体"/>
                <w:b w:val="0"/>
                <w:i w:val="0"/>
                <w:caps w:val="0"/>
                <w:color w:val="auto"/>
                <w:spacing w:val="0"/>
                <w:w w:val="100"/>
                <w:kern w:val="2"/>
                <w:sz w:val="24"/>
                <w:szCs w:val="24"/>
                <w:highlight w:val="none"/>
              </w:rPr>
              <w:t>名称</w:t>
            </w:r>
          </w:p>
        </w:tc>
        <w:tc>
          <w:tcPr>
            <w:tcW w:w="7948" w:type="dxa"/>
            <w:gridSpan w:val="9"/>
            <w:vAlign w:val="center"/>
          </w:tcPr>
          <w:p w14:paraId="2824440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252A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2EE01A9B">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注册地址</w:t>
            </w:r>
            <w:bookmarkEnd w:id="1287"/>
            <w:bookmarkEnd w:id="1288"/>
          </w:p>
        </w:tc>
        <w:tc>
          <w:tcPr>
            <w:tcW w:w="3837" w:type="dxa"/>
            <w:gridSpan w:val="5"/>
            <w:vAlign w:val="center"/>
          </w:tcPr>
          <w:p w14:paraId="764C091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411" w:type="dxa"/>
            <w:vAlign w:val="center"/>
          </w:tcPr>
          <w:p w14:paraId="2E16038B">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邮政编码</w:t>
            </w:r>
          </w:p>
        </w:tc>
        <w:tc>
          <w:tcPr>
            <w:tcW w:w="2700" w:type="dxa"/>
            <w:gridSpan w:val="3"/>
            <w:vAlign w:val="center"/>
          </w:tcPr>
          <w:p w14:paraId="6F93876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D4AE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Merge w:val="restart"/>
            <w:vAlign w:val="center"/>
          </w:tcPr>
          <w:p w14:paraId="5ED49DCC">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联系方式</w:t>
            </w:r>
          </w:p>
        </w:tc>
        <w:tc>
          <w:tcPr>
            <w:tcW w:w="1015" w:type="dxa"/>
            <w:vAlign w:val="center"/>
          </w:tcPr>
          <w:p w14:paraId="2FB12E1C">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联系人</w:t>
            </w:r>
          </w:p>
        </w:tc>
        <w:tc>
          <w:tcPr>
            <w:tcW w:w="2822" w:type="dxa"/>
            <w:gridSpan w:val="4"/>
            <w:vAlign w:val="center"/>
          </w:tcPr>
          <w:p w14:paraId="2CB75D9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411" w:type="dxa"/>
            <w:vAlign w:val="center"/>
          </w:tcPr>
          <w:p w14:paraId="77461050">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电话</w:t>
            </w:r>
          </w:p>
        </w:tc>
        <w:tc>
          <w:tcPr>
            <w:tcW w:w="2700" w:type="dxa"/>
            <w:gridSpan w:val="3"/>
            <w:vAlign w:val="center"/>
          </w:tcPr>
          <w:p w14:paraId="69ED84E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933CC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Merge w:val="continue"/>
            <w:vAlign w:val="center"/>
          </w:tcPr>
          <w:p w14:paraId="5360AE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015" w:type="dxa"/>
            <w:vAlign w:val="center"/>
          </w:tcPr>
          <w:p w14:paraId="5B0E3AE9">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传真</w:t>
            </w:r>
          </w:p>
        </w:tc>
        <w:tc>
          <w:tcPr>
            <w:tcW w:w="2822" w:type="dxa"/>
            <w:gridSpan w:val="4"/>
            <w:vAlign w:val="center"/>
          </w:tcPr>
          <w:p w14:paraId="344C0AB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411" w:type="dxa"/>
            <w:vAlign w:val="center"/>
          </w:tcPr>
          <w:p w14:paraId="5B496655">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网址</w:t>
            </w:r>
          </w:p>
        </w:tc>
        <w:tc>
          <w:tcPr>
            <w:tcW w:w="2700" w:type="dxa"/>
            <w:gridSpan w:val="3"/>
            <w:vAlign w:val="center"/>
          </w:tcPr>
          <w:p w14:paraId="4349932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FF4D7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25A3C2CB">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组织结构</w:t>
            </w:r>
          </w:p>
        </w:tc>
        <w:tc>
          <w:tcPr>
            <w:tcW w:w="7948" w:type="dxa"/>
            <w:gridSpan w:val="9"/>
            <w:vAlign w:val="center"/>
          </w:tcPr>
          <w:p w14:paraId="50484F5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4F498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754FE45C">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法定代表人</w:t>
            </w:r>
          </w:p>
        </w:tc>
        <w:tc>
          <w:tcPr>
            <w:tcW w:w="1015" w:type="dxa"/>
            <w:vAlign w:val="center"/>
          </w:tcPr>
          <w:p w14:paraId="7AFC009D">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姓名</w:t>
            </w:r>
          </w:p>
        </w:tc>
        <w:tc>
          <w:tcPr>
            <w:tcW w:w="1157" w:type="dxa"/>
            <w:vAlign w:val="center"/>
          </w:tcPr>
          <w:p w14:paraId="4EF9C04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445" w:type="dxa"/>
            <w:gridSpan w:val="2"/>
            <w:vAlign w:val="center"/>
          </w:tcPr>
          <w:p w14:paraId="2413879D">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技术职称</w:t>
            </w:r>
          </w:p>
        </w:tc>
        <w:tc>
          <w:tcPr>
            <w:tcW w:w="1926" w:type="dxa"/>
            <w:gridSpan w:val="3"/>
            <w:vAlign w:val="center"/>
          </w:tcPr>
          <w:p w14:paraId="130EC8D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72A4A295">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电话</w:t>
            </w:r>
          </w:p>
        </w:tc>
        <w:tc>
          <w:tcPr>
            <w:tcW w:w="1602" w:type="dxa"/>
            <w:vAlign w:val="center"/>
          </w:tcPr>
          <w:p w14:paraId="6402D19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BFBE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2B42FAD1">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技术负责人</w:t>
            </w:r>
          </w:p>
        </w:tc>
        <w:tc>
          <w:tcPr>
            <w:tcW w:w="1015" w:type="dxa"/>
            <w:vAlign w:val="center"/>
          </w:tcPr>
          <w:p w14:paraId="4123E9E6">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姓名</w:t>
            </w:r>
          </w:p>
        </w:tc>
        <w:tc>
          <w:tcPr>
            <w:tcW w:w="1157" w:type="dxa"/>
            <w:vAlign w:val="center"/>
          </w:tcPr>
          <w:p w14:paraId="632EEFD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445" w:type="dxa"/>
            <w:gridSpan w:val="2"/>
            <w:vAlign w:val="center"/>
          </w:tcPr>
          <w:p w14:paraId="74F9E536">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技术职称</w:t>
            </w:r>
          </w:p>
        </w:tc>
        <w:tc>
          <w:tcPr>
            <w:tcW w:w="1926" w:type="dxa"/>
            <w:gridSpan w:val="3"/>
            <w:vAlign w:val="center"/>
          </w:tcPr>
          <w:p w14:paraId="683ECE7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803" w:type="dxa"/>
            <w:vAlign w:val="center"/>
          </w:tcPr>
          <w:p w14:paraId="04B3FDB2">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电话</w:t>
            </w:r>
          </w:p>
        </w:tc>
        <w:tc>
          <w:tcPr>
            <w:tcW w:w="1602" w:type="dxa"/>
            <w:vAlign w:val="center"/>
          </w:tcPr>
          <w:p w14:paraId="67AC17F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F311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748AEBEA">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成立时间</w:t>
            </w:r>
          </w:p>
        </w:tc>
        <w:tc>
          <w:tcPr>
            <w:tcW w:w="2172" w:type="dxa"/>
            <w:gridSpan w:val="2"/>
            <w:vAlign w:val="center"/>
          </w:tcPr>
          <w:p w14:paraId="2EB9086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5776" w:type="dxa"/>
            <w:gridSpan w:val="7"/>
            <w:vAlign w:val="center"/>
          </w:tcPr>
          <w:p w14:paraId="5E18711D">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员工总人数：</w:t>
            </w:r>
          </w:p>
        </w:tc>
      </w:tr>
      <w:tr w14:paraId="6BC24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4C80DADF">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企业资质等级</w:t>
            </w:r>
          </w:p>
        </w:tc>
        <w:tc>
          <w:tcPr>
            <w:tcW w:w="1015" w:type="dxa"/>
            <w:vAlign w:val="center"/>
          </w:tcPr>
          <w:p w14:paraId="53EB5D1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6E7D64A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25" w:type="dxa"/>
            <w:vMerge w:val="restart"/>
            <w:vAlign w:val="center"/>
          </w:tcPr>
          <w:p w14:paraId="02D2405D">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其中</w:t>
            </w:r>
          </w:p>
        </w:tc>
        <w:tc>
          <w:tcPr>
            <w:tcW w:w="2246" w:type="dxa"/>
            <w:gridSpan w:val="4"/>
            <w:vAlign w:val="center"/>
          </w:tcPr>
          <w:p w14:paraId="3EC325A2">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项目经理</w:t>
            </w:r>
          </w:p>
        </w:tc>
        <w:tc>
          <w:tcPr>
            <w:tcW w:w="2405" w:type="dxa"/>
            <w:gridSpan w:val="2"/>
            <w:vAlign w:val="center"/>
          </w:tcPr>
          <w:p w14:paraId="1B4AA61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85ED8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2813D3D4">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营业执照号</w:t>
            </w:r>
          </w:p>
        </w:tc>
        <w:tc>
          <w:tcPr>
            <w:tcW w:w="1015" w:type="dxa"/>
            <w:vAlign w:val="center"/>
          </w:tcPr>
          <w:p w14:paraId="74BB789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326D287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25" w:type="dxa"/>
            <w:vMerge w:val="continue"/>
            <w:vAlign w:val="center"/>
          </w:tcPr>
          <w:p w14:paraId="42764FC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246" w:type="dxa"/>
            <w:gridSpan w:val="4"/>
            <w:vAlign w:val="center"/>
          </w:tcPr>
          <w:p w14:paraId="5CBB4D34">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高级职称人员</w:t>
            </w:r>
          </w:p>
        </w:tc>
        <w:tc>
          <w:tcPr>
            <w:tcW w:w="2405" w:type="dxa"/>
            <w:gridSpan w:val="2"/>
            <w:vAlign w:val="center"/>
          </w:tcPr>
          <w:p w14:paraId="7300384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93B1D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4DABE0E0">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注册资金</w:t>
            </w:r>
          </w:p>
        </w:tc>
        <w:tc>
          <w:tcPr>
            <w:tcW w:w="1015" w:type="dxa"/>
            <w:vAlign w:val="center"/>
          </w:tcPr>
          <w:p w14:paraId="0F74F15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367CD88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25" w:type="dxa"/>
            <w:vMerge w:val="continue"/>
            <w:vAlign w:val="center"/>
          </w:tcPr>
          <w:p w14:paraId="4332A48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246" w:type="dxa"/>
            <w:gridSpan w:val="4"/>
            <w:vAlign w:val="center"/>
          </w:tcPr>
          <w:p w14:paraId="16B705E7">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中级职称人员</w:t>
            </w:r>
          </w:p>
        </w:tc>
        <w:tc>
          <w:tcPr>
            <w:tcW w:w="2405" w:type="dxa"/>
            <w:gridSpan w:val="2"/>
            <w:vAlign w:val="center"/>
          </w:tcPr>
          <w:p w14:paraId="4AA405C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38C6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59AAE441">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开户银行</w:t>
            </w:r>
          </w:p>
        </w:tc>
        <w:tc>
          <w:tcPr>
            <w:tcW w:w="1015" w:type="dxa"/>
            <w:vAlign w:val="center"/>
          </w:tcPr>
          <w:p w14:paraId="3FCE8FB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BFD9A6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25" w:type="dxa"/>
            <w:vMerge w:val="continue"/>
            <w:vAlign w:val="center"/>
          </w:tcPr>
          <w:p w14:paraId="3F07E0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246" w:type="dxa"/>
            <w:gridSpan w:val="4"/>
            <w:vAlign w:val="center"/>
          </w:tcPr>
          <w:p w14:paraId="6AB6F762">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初级职称人员</w:t>
            </w:r>
          </w:p>
        </w:tc>
        <w:tc>
          <w:tcPr>
            <w:tcW w:w="2405" w:type="dxa"/>
            <w:gridSpan w:val="2"/>
            <w:vAlign w:val="center"/>
          </w:tcPr>
          <w:p w14:paraId="04026A7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45224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086AEF4A">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账号</w:t>
            </w:r>
          </w:p>
        </w:tc>
        <w:tc>
          <w:tcPr>
            <w:tcW w:w="1015" w:type="dxa"/>
            <w:vAlign w:val="center"/>
          </w:tcPr>
          <w:p w14:paraId="61C07D5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57" w:type="dxa"/>
            <w:vAlign w:val="center"/>
          </w:tcPr>
          <w:p w14:paraId="08A0B22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1125" w:type="dxa"/>
            <w:vMerge w:val="continue"/>
            <w:vAlign w:val="center"/>
          </w:tcPr>
          <w:p w14:paraId="31FA844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c>
          <w:tcPr>
            <w:tcW w:w="2246" w:type="dxa"/>
            <w:gridSpan w:val="4"/>
            <w:vAlign w:val="center"/>
          </w:tcPr>
          <w:p w14:paraId="361C2E21">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技工</w:t>
            </w:r>
          </w:p>
        </w:tc>
        <w:tc>
          <w:tcPr>
            <w:tcW w:w="2405" w:type="dxa"/>
            <w:gridSpan w:val="2"/>
            <w:vAlign w:val="center"/>
          </w:tcPr>
          <w:p w14:paraId="2FA5422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C0AE2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2" w:hRule="atLeast"/>
          <w:jc w:val="center"/>
        </w:trPr>
        <w:tc>
          <w:tcPr>
            <w:tcW w:w="1680" w:type="dxa"/>
            <w:vAlign w:val="center"/>
          </w:tcPr>
          <w:p w14:paraId="01A4AB1C">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经营范围</w:t>
            </w:r>
          </w:p>
        </w:tc>
        <w:tc>
          <w:tcPr>
            <w:tcW w:w="7948" w:type="dxa"/>
            <w:gridSpan w:val="9"/>
            <w:vAlign w:val="center"/>
          </w:tcPr>
          <w:p w14:paraId="2DDD1E2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AEB11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680" w:type="dxa"/>
            <w:vAlign w:val="center"/>
          </w:tcPr>
          <w:p w14:paraId="75D9452A">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tc>
        <w:tc>
          <w:tcPr>
            <w:tcW w:w="7948" w:type="dxa"/>
            <w:gridSpan w:val="9"/>
            <w:vAlign w:val="center"/>
          </w:tcPr>
          <w:p w14:paraId="211BD83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28978B55">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备注：本表后应附企业法人营业执照及其企业资质证书副本、安全生产许可证等材料的复印件</w:t>
      </w:r>
      <w:r>
        <w:rPr>
          <w:rFonts w:hint="eastAsia" w:ascii="宋体" w:hAnsi="宋体" w:eastAsia="宋体" w:cs="宋体"/>
          <w:b w:val="0"/>
          <w:i w:val="0"/>
          <w:caps w:val="0"/>
          <w:color w:val="auto"/>
          <w:spacing w:val="0"/>
          <w:w w:val="100"/>
          <w:kern w:val="2"/>
          <w:sz w:val="24"/>
          <w:szCs w:val="24"/>
          <w:highlight w:val="none"/>
          <w:lang w:eastAsia="zh-CN"/>
        </w:rPr>
        <w:t>。</w:t>
      </w:r>
      <w:r>
        <w:rPr>
          <w:rFonts w:hint="eastAsia" w:ascii="宋体" w:hAnsi="宋体" w:eastAsia="宋体" w:cs="宋体"/>
          <w:b w:val="0"/>
          <w:i w:val="0"/>
          <w:caps w:val="0"/>
          <w:color w:val="auto"/>
          <w:spacing w:val="0"/>
          <w:w w:val="100"/>
          <w:kern w:val="2"/>
          <w:sz w:val="24"/>
          <w:szCs w:val="24"/>
          <w:highlight w:val="none"/>
        </w:rPr>
        <w:br w:type="page"/>
      </w:r>
    </w:p>
    <w:p w14:paraId="2B121808">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lang w:eastAsia="zh-CN"/>
        </w:rPr>
      </w:pPr>
      <w:r>
        <w:rPr>
          <w:rFonts w:hint="eastAsia" w:ascii="宋体" w:hAnsi="宋体" w:eastAsia="宋体" w:cs="宋体"/>
          <w:b w:val="0"/>
          <w:i w:val="0"/>
          <w:caps w:val="0"/>
          <w:color w:val="auto"/>
          <w:spacing w:val="0"/>
          <w:w w:val="100"/>
          <w:kern w:val="2"/>
          <w:sz w:val="24"/>
          <w:szCs w:val="24"/>
          <w:highlight w:val="none"/>
          <w:lang w:eastAsia="zh-CN"/>
        </w:rPr>
        <w:t>（二）近年财务状况报告</w:t>
      </w:r>
    </w:p>
    <w:p w14:paraId="63669E0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40E03E4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1549AF8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BC9FC5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131BBAA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502D75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A704B0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141DD89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142F2B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658DCA2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3065142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D553EA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505ACB0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01E746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35DC464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45B9E03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9DE420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3280EBF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52577CB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41664D0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F2C8CB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C7B853D">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DFBD658">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194EA5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3F3EBD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457A349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CCA918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7964CD03">
      <w:pPr>
        <w:widowControl w:val="0"/>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kern w:val="2"/>
          <w:sz w:val="20"/>
          <w:szCs w:val="24"/>
          <w:highlight w:val="none"/>
        </w:rPr>
      </w:pPr>
    </w:p>
    <w:p w14:paraId="114AF607">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4"/>
          <w:szCs w:val="24"/>
          <w:highlight w:val="none"/>
        </w:rPr>
        <w:sectPr>
          <w:pgSz w:w="11905" w:h="16838"/>
          <w:pgMar w:top="1361" w:right="1361" w:bottom="1361" w:left="1361" w:header="850" w:footer="992" w:gutter="0"/>
          <w:pgBorders w:offsetFrom="page">
            <w:top w:val="single" w:color="A6A6A6" w:sz="18" w:space="24"/>
            <w:left w:val="single" w:color="A6A6A6" w:sz="18" w:space="24"/>
            <w:bottom w:val="single" w:color="A6A6A6" w:sz="18" w:space="24"/>
            <w:right w:val="single" w:color="A6A6A6" w:sz="18" w:space="24"/>
          </w:pgBorders>
          <w:pgNumType w:fmt="decimal"/>
          <w:cols w:space="0" w:num="1"/>
          <w:titlePg/>
          <w:rtlGutter w:val="0"/>
          <w:docGrid w:linePitch="312" w:charSpace="0"/>
        </w:sectPr>
      </w:pPr>
    </w:p>
    <w:p w14:paraId="076E27E4">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（三）近年完成的类似项目情况表</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9"/>
        <w:gridCol w:w="6899"/>
      </w:tblGrid>
      <w:tr w14:paraId="0DAF66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146848A3">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项目名称</w:t>
            </w:r>
          </w:p>
        </w:tc>
        <w:tc>
          <w:tcPr>
            <w:tcW w:w="6899" w:type="dxa"/>
            <w:vAlign w:val="center"/>
          </w:tcPr>
          <w:p w14:paraId="1A9A7AD3">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3AE3A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4A00EE06">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项目所在地</w:t>
            </w:r>
          </w:p>
        </w:tc>
        <w:tc>
          <w:tcPr>
            <w:tcW w:w="6899" w:type="dxa"/>
            <w:vAlign w:val="center"/>
          </w:tcPr>
          <w:p w14:paraId="71F3C2B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9EB96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3E7D40C5">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发包人名称</w:t>
            </w:r>
          </w:p>
        </w:tc>
        <w:tc>
          <w:tcPr>
            <w:tcW w:w="6899" w:type="dxa"/>
            <w:vAlign w:val="center"/>
          </w:tcPr>
          <w:p w14:paraId="02787A60">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4A86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0FA3970C">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发包人地址</w:t>
            </w:r>
          </w:p>
        </w:tc>
        <w:tc>
          <w:tcPr>
            <w:tcW w:w="6899" w:type="dxa"/>
            <w:vAlign w:val="center"/>
          </w:tcPr>
          <w:p w14:paraId="719C890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4BD1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202A1DC7">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发包人联系人及电话</w:t>
            </w:r>
          </w:p>
        </w:tc>
        <w:tc>
          <w:tcPr>
            <w:tcW w:w="6899" w:type="dxa"/>
            <w:vAlign w:val="center"/>
          </w:tcPr>
          <w:p w14:paraId="47E8EA9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D1AA1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5ECDAC36">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合同价格</w:t>
            </w:r>
          </w:p>
        </w:tc>
        <w:tc>
          <w:tcPr>
            <w:tcW w:w="6899" w:type="dxa"/>
            <w:vAlign w:val="center"/>
          </w:tcPr>
          <w:p w14:paraId="057D551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79B4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3FBEFF95">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开工日期</w:t>
            </w:r>
          </w:p>
        </w:tc>
        <w:tc>
          <w:tcPr>
            <w:tcW w:w="6899" w:type="dxa"/>
            <w:vAlign w:val="center"/>
          </w:tcPr>
          <w:p w14:paraId="037E0B9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4E2C2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482AF30D">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竣工日期</w:t>
            </w:r>
          </w:p>
        </w:tc>
        <w:tc>
          <w:tcPr>
            <w:tcW w:w="6899" w:type="dxa"/>
            <w:vAlign w:val="center"/>
          </w:tcPr>
          <w:p w14:paraId="02339B1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2E54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070230FB">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承担的工作</w:t>
            </w:r>
          </w:p>
        </w:tc>
        <w:tc>
          <w:tcPr>
            <w:tcW w:w="6899" w:type="dxa"/>
            <w:vAlign w:val="center"/>
          </w:tcPr>
          <w:p w14:paraId="3B2B444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D8FB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1A151B3E">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工程质量</w:t>
            </w:r>
          </w:p>
        </w:tc>
        <w:tc>
          <w:tcPr>
            <w:tcW w:w="6899" w:type="dxa"/>
            <w:vAlign w:val="center"/>
          </w:tcPr>
          <w:p w14:paraId="06A87CA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A771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648E1F26">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项目经理</w:t>
            </w:r>
          </w:p>
        </w:tc>
        <w:tc>
          <w:tcPr>
            <w:tcW w:w="6899" w:type="dxa"/>
            <w:vAlign w:val="center"/>
          </w:tcPr>
          <w:p w14:paraId="3F96AFE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7EC2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5460235B">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技术负责人</w:t>
            </w:r>
          </w:p>
        </w:tc>
        <w:tc>
          <w:tcPr>
            <w:tcW w:w="6899" w:type="dxa"/>
            <w:vAlign w:val="center"/>
          </w:tcPr>
          <w:p w14:paraId="70FBD86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E7DD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5D0F9D09">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总监理工程师及电话</w:t>
            </w:r>
          </w:p>
        </w:tc>
        <w:tc>
          <w:tcPr>
            <w:tcW w:w="6899" w:type="dxa"/>
            <w:vAlign w:val="center"/>
          </w:tcPr>
          <w:p w14:paraId="5CEEDF8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8A21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8" w:hRule="atLeast"/>
          <w:jc w:val="center"/>
        </w:trPr>
        <w:tc>
          <w:tcPr>
            <w:tcW w:w="2729" w:type="dxa"/>
            <w:vAlign w:val="center"/>
          </w:tcPr>
          <w:p w14:paraId="2CB49A38">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项目描述</w:t>
            </w:r>
          </w:p>
        </w:tc>
        <w:tc>
          <w:tcPr>
            <w:tcW w:w="6899" w:type="dxa"/>
            <w:vAlign w:val="center"/>
          </w:tcPr>
          <w:p w14:paraId="16E35407">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4FC41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24AA1242">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tc>
        <w:tc>
          <w:tcPr>
            <w:tcW w:w="6899" w:type="dxa"/>
            <w:vAlign w:val="center"/>
          </w:tcPr>
          <w:p w14:paraId="168BFB3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31269206">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p w14:paraId="2C8B97E9">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4"/>
          <w:szCs w:val="24"/>
          <w:highlight w:val="none"/>
        </w:rPr>
      </w:pPr>
      <w:r>
        <w:rPr>
          <w:rFonts w:hint="eastAsia" w:ascii="宋体" w:hAnsi="宋体" w:eastAsia="宋体" w:cs="宋体"/>
          <w:b w:val="0"/>
          <w:i w:val="0"/>
          <w:caps w:val="0"/>
          <w:color w:val="auto"/>
          <w:spacing w:val="0"/>
          <w:w w:val="100"/>
          <w:kern w:val="2"/>
          <w:sz w:val="24"/>
          <w:szCs w:val="24"/>
          <w:highlight w:val="none"/>
        </w:rPr>
        <w:t>本表后附</w:t>
      </w:r>
      <w:r>
        <w:rPr>
          <w:rFonts w:hint="eastAsia" w:ascii="宋体" w:hAnsi="宋体" w:eastAsia="宋体" w:cs="宋体"/>
          <w:b w:val="0"/>
          <w:i w:val="0"/>
          <w:caps w:val="0"/>
          <w:color w:val="auto"/>
          <w:spacing w:val="0"/>
          <w:w w:val="100"/>
          <w:kern w:val="2"/>
          <w:sz w:val="24"/>
          <w:szCs w:val="24"/>
          <w:highlight w:val="none"/>
          <w:lang w:val="en-US" w:eastAsia="zh-CN"/>
        </w:rPr>
        <w:t>中标通知书和合同协议书复印件</w:t>
      </w:r>
      <w:r>
        <w:rPr>
          <w:rFonts w:hint="eastAsia" w:ascii="宋体" w:hAnsi="宋体" w:eastAsia="宋体" w:cs="宋体"/>
          <w:b w:val="0"/>
          <w:i w:val="0"/>
          <w:caps w:val="0"/>
          <w:color w:val="auto"/>
          <w:spacing w:val="0"/>
          <w:w w:val="100"/>
          <w:kern w:val="2"/>
          <w:sz w:val="24"/>
          <w:szCs w:val="24"/>
          <w:highlight w:val="none"/>
        </w:rPr>
        <w:t>，具体年份要求见磋商响应人须知前附表。每张表格只填写一个项目，并表明序号。</w:t>
      </w:r>
    </w:p>
    <w:p w14:paraId="233D22CC">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br w:type="page"/>
      </w:r>
    </w:p>
    <w:p w14:paraId="70F57874">
      <w:pPr>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kern w:val="2"/>
          <w:sz w:val="24"/>
          <w:szCs w:val="24"/>
          <w:highlight w:val="none"/>
        </w:rPr>
        <w:t>（四）正在施工的和新承接的项目情况表</w:t>
      </w:r>
    </w:p>
    <w:tbl>
      <w:tblPr>
        <w:tblStyle w:val="23"/>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29"/>
        <w:gridCol w:w="6899"/>
      </w:tblGrid>
      <w:tr w14:paraId="14F88C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1308A464">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项目名称</w:t>
            </w:r>
          </w:p>
        </w:tc>
        <w:tc>
          <w:tcPr>
            <w:tcW w:w="6899" w:type="dxa"/>
            <w:vAlign w:val="center"/>
          </w:tcPr>
          <w:p w14:paraId="412E66D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58F48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65C0A6C7">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项目所在地</w:t>
            </w:r>
          </w:p>
        </w:tc>
        <w:tc>
          <w:tcPr>
            <w:tcW w:w="6899" w:type="dxa"/>
            <w:vAlign w:val="center"/>
          </w:tcPr>
          <w:p w14:paraId="2195C4B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9DBA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72D13D09">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发包人名称</w:t>
            </w:r>
          </w:p>
        </w:tc>
        <w:tc>
          <w:tcPr>
            <w:tcW w:w="6899" w:type="dxa"/>
            <w:vAlign w:val="center"/>
          </w:tcPr>
          <w:p w14:paraId="6B72925B">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103B5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432995A3">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发包人地址</w:t>
            </w:r>
          </w:p>
        </w:tc>
        <w:tc>
          <w:tcPr>
            <w:tcW w:w="6899" w:type="dxa"/>
            <w:vAlign w:val="center"/>
          </w:tcPr>
          <w:p w14:paraId="58811E0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B4C8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11552584">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发包人电话</w:t>
            </w:r>
          </w:p>
        </w:tc>
        <w:tc>
          <w:tcPr>
            <w:tcW w:w="6899" w:type="dxa"/>
            <w:vAlign w:val="center"/>
          </w:tcPr>
          <w:p w14:paraId="5BF995D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607A8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5993CDD1">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签约合同价</w:t>
            </w:r>
          </w:p>
        </w:tc>
        <w:tc>
          <w:tcPr>
            <w:tcW w:w="6899" w:type="dxa"/>
            <w:vAlign w:val="center"/>
          </w:tcPr>
          <w:p w14:paraId="39B3BAB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40711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52361D2D">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开工日期</w:t>
            </w:r>
          </w:p>
        </w:tc>
        <w:tc>
          <w:tcPr>
            <w:tcW w:w="6899" w:type="dxa"/>
            <w:vAlign w:val="center"/>
          </w:tcPr>
          <w:p w14:paraId="44F9CB5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F5611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3BE8F5D6">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计划竣工日期</w:t>
            </w:r>
          </w:p>
        </w:tc>
        <w:tc>
          <w:tcPr>
            <w:tcW w:w="6899" w:type="dxa"/>
            <w:vAlign w:val="center"/>
          </w:tcPr>
          <w:p w14:paraId="439F74D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7A966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287DB1D0">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承担的工作</w:t>
            </w:r>
          </w:p>
        </w:tc>
        <w:tc>
          <w:tcPr>
            <w:tcW w:w="6899" w:type="dxa"/>
            <w:vAlign w:val="center"/>
          </w:tcPr>
          <w:p w14:paraId="4C53A27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2E42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627F9D39">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工程质量</w:t>
            </w:r>
          </w:p>
        </w:tc>
        <w:tc>
          <w:tcPr>
            <w:tcW w:w="6899" w:type="dxa"/>
            <w:vAlign w:val="center"/>
          </w:tcPr>
          <w:p w14:paraId="33C68C3E">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A5A6C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411F8FF4">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项目经理</w:t>
            </w:r>
          </w:p>
        </w:tc>
        <w:tc>
          <w:tcPr>
            <w:tcW w:w="6899" w:type="dxa"/>
            <w:vAlign w:val="center"/>
          </w:tcPr>
          <w:p w14:paraId="51453052">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40EEF1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6FBB20E9">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技术负责人</w:t>
            </w:r>
          </w:p>
        </w:tc>
        <w:tc>
          <w:tcPr>
            <w:tcW w:w="6899" w:type="dxa"/>
            <w:vAlign w:val="center"/>
          </w:tcPr>
          <w:p w14:paraId="43CA3FB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064B5D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3D7B84DE">
            <w:pPr>
              <w:widowControl w:val="0"/>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总监理工程师及电话</w:t>
            </w:r>
          </w:p>
        </w:tc>
        <w:tc>
          <w:tcPr>
            <w:tcW w:w="6899" w:type="dxa"/>
            <w:vAlign w:val="center"/>
          </w:tcPr>
          <w:p w14:paraId="7C4A288C">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2DD7FA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5" w:hRule="atLeast"/>
          <w:jc w:val="center"/>
        </w:trPr>
        <w:tc>
          <w:tcPr>
            <w:tcW w:w="2729" w:type="dxa"/>
            <w:vAlign w:val="center"/>
          </w:tcPr>
          <w:p w14:paraId="47DD7EE8">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项目描述</w:t>
            </w:r>
          </w:p>
        </w:tc>
        <w:tc>
          <w:tcPr>
            <w:tcW w:w="6899" w:type="dxa"/>
            <w:vAlign w:val="center"/>
          </w:tcPr>
          <w:p w14:paraId="43B438F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r w14:paraId="3DC6B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4" w:hRule="atLeast"/>
          <w:jc w:val="center"/>
        </w:trPr>
        <w:tc>
          <w:tcPr>
            <w:tcW w:w="2729" w:type="dxa"/>
            <w:vAlign w:val="center"/>
          </w:tcPr>
          <w:p w14:paraId="2EE32453">
            <w:pPr>
              <w:widowControl w:val="0"/>
              <w:snapToGrid w:val="0"/>
              <w:spacing w:before="0" w:beforeAutospacing="0" w:after="0" w:afterAutospacing="0" w:line="360" w:lineRule="auto"/>
              <w:ind w:firstLine="424" w:firstLineChars="177"/>
              <w:jc w:val="center"/>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w:t>
            </w:r>
          </w:p>
        </w:tc>
        <w:tc>
          <w:tcPr>
            <w:tcW w:w="6899" w:type="dxa"/>
            <w:vAlign w:val="center"/>
          </w:tcPr>
          <w:p w14:paraId="39D1CAC1">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tc>
      </w:tr>
    </w:tbl>
    <w:p w14:paraId="635BC547">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备注：本表后附成交通知书和（或）合同协议书复印件。每张表格只填写一个项目，并标明序号。</w:t>
      </w:r>
    </w:p>
    <w:p w14:paraId="545E787F">
      <w:pPr>
        <w:widowControl w:val="0"/>
        <w:snapToGrid w:val="0"/>
        <w:spacing w:before="0" w:beforeAutospacing="0" w:after="0" w:afterAutospacing="0" w:line="220" w:lineRule="atLeast"/>
        <w:textAlignment w:val="baseline"/>
        <w:rPr>
          <w:rFonts w:hint="eastAsia" w:ascii="宋体" w:hAnsi="宋体" w:eastAsia="宋体" w:cs="宋体"/>
          <w:b w:val="0"/>
          <w:i w:val="0"/>
          <w:caps w:val="0"/>
          <w:color w:val="auto"/>
          <w:spacing w:val="0"/>
          <w:w w:val="100"/>
          <w:kern w:val="2"/>
          <w:sz w:val="20"/>
          <w:szCs w:val="24"/>
          <w:highlight w:val="none"/>
        </w:rPr>
      </w:pPr>
    </w:p>
    <w:p w14:paraId="78876AFE">
      <w:pPr>
        <w:widowControl w:val="0"/>
        <w:snapToGrid w:val="0"/>
        <w:spacing w:before="0" w:beforeAutospacing="0" w:after="0" w:afterAutospacing="0" w:line="220" w:lineRule="atLeast"/>
        <w:textAlignment w:val="baseline"/>
        <w:rPr>
          <w:rFonts w:hint="eastAsia" w:ascii="宋体" w:hAnsi="宋体" w:eastAsia="宋体" w:cs="宋体"/>
          <w:b w:val="0"/>
          <w:i w:val="0"/>
          <w:caps w:val="0"/>
          <w:color w:val="auto"/>
          <w:spacing w:val="0"/>
          <w:w w:val="100"/>
          <w:kern w:val="2"/>
          <w:sz w:val="20"/>
          <w:szCs w:val="24"/>
          <w:highlight w:val="none"/>
        </w:rPr>
      </w:pPr>
    </w:p>
    <w:p w14:paraId="63018371">
      <w:pPr>
        <w:widowControl w:val="0"/>
        <w:snapToGrid w:val="0"/>
        <w:spacing w:before="0" w:beforeAutospacing="0" w:after="0" w:afterAutospacing="0" w:line="220" w:lineRule="atLeast"/>
        <w:textAlignment w:val="baseline"/>
        <w:rPr>
          <w:rFonts w:hint="eastAsia" w:ascii="宋体" w:hAnsi="宋体" w:eastAsia="宋体" w:cs="宋体"/>
          <w:b w:val="0"/>
          <w:i w:val="0"/>
          <w:caps w:val="0"/>
          <w:color w:val="auto"/>
          <w:spacing w:val="0"/>
          <w:w w:val="100"/>
          <w:kern w:val="2"/>
          <w:sz w:val="20"/>
          <w:szCs w:val="24"/>
          <w:highlight w:val="none"/>
        </w:rPr>
      </w:pPr>
    </w:p>
    <w:p w14:paraId="154BA739">
      <w:pPr>
        <w:widowControl w:val="0"/>
        <w:snapToGrid w:val="0"/>
        <w:spacing w:before="0" w:beforeAutospacing="0" w:after="0" w:afterAutospacing="0" w:line="220" w:lineRule="atLeast"/>
        <w:textAlignment w:val="baseline"/>
        <w:rPr>
          <w:rFonts w:hint="eastAsia" w:ascii="宋体" w:hAnsi="宋体" w:eastAsia="宋体" w:cs="宋体"/>
          <w:b w:val="0"/>
          <w:i w:val="0"/>
          <w:caps w:val="0"/>
          <w:color w:val="auto"/>
          <w:spacing w:val="0"/>
          <w:w w:val="100"/>
          <w:kern w:val="2"/>
          <w:sz w:val="20"/>
          <w:szCs w:val="24"/>
          <w:highlight w:val="none"/>
        </w:rPr>
      </w:pPr>
    </w:p>
    <w:p w14:paraId="5280CB41">
      <w:pPr>
        <w:widowControl w:val="0"/>
        <w:snapToGrid w:val="0"/>
        <w:spacing w:before="0" w:beforeAutospacing="0" w:after="0" w:afterAutospacing="0" w:line="220" w:lineRule="atLeast"/>
        <w:textAlignment w:val="baseline"/>
        <w:rPr>
          <w:rFonts w:hint="eastAsia" w:ascii="宋体" w:hAnsi="宋体" w:eastAsia="宋体" w:cs="宋体"/>
          <w:b w:val="0"/>
          <w:i w:val="0"/>
          <w:caps w:val="0"/>
          <w:color w:val="auto"/>
          <w:spacing w:val="0"/>
          <w:w w:val="100"/>
          <w:kern w:val="2"/>
          <w:sz w:val="20"/>
          <w:szCs w:val="24"/>
          <w:highlight w:val="none"/>
        </w:rPr>
      </w:pPr>
    </w:p>
    <w:p w14:paraId="1B61505B">
      <w:pPr>
        <w:widowControl w:val="0"/>
        <w:snapToGrid w:val="0"/>
        <w:spacing w:before="0" w:beforeAutospacing="0" w:after="0" w:afterAutospacing="0" w:line="220" w:lineRule="atLeast"/>
        <w:textAlignment w:val="baseline"/>
        <w:rPr>
          <w:rFonts w:hint="eastAsia" w:ascii="宋体" w:hAnsi="宋体" w:eastAsia="宋体" w:cs="宋体"/>
          <w:b w:val="0"/>
          <w:i w:val="0"/>
          <w:caps w:val="0"/>
          <w:color w:val="auto"/>
          <w:spacing w:val="0"/>
          <w:w w:val="100"/>
          <w:kern w:val="2"/>
          <w:sz w:val="20"/>
          <w:szCs w:val="24"/>
          <w:highlight w:val="none"/>
        </w:rPr>
      </w:pPr>
    </w:p>
    <w:p w14:paraId="39310E41">
      <w:pPr>
        <w:widowControl w:val="0"/>
        <w:snapToGrid w:val="0"/>
        <w:spacing w:before="0" w:beforeAutospacing="0" w:after="0" w:afterAutospacing="0" w:line="220" w:lineRule="atLeast"/>
        <w:textAlignment w:val="baseline"/>
        <w:rPr>
          <w:rFonts w:hint="eastAsia" w:ascii="宋体" w:hAnsi="宋体" w:eastAsia="宋体" w:cs="宋体"/>
          <w:b w:val="0"/>
          <w:i w:val="0"/>
          <w:caps w:val="0"/>
          <w:color w:val="auto"/>
          <w:spacing w:val="0"/>
          <w:w w:val="100"/>
          <w:kern w:val="2"/>
          <w:sz w:val="20"/>
          <w:szCs w:val="24"/>
          <w:highlight w:val="none"/>
        </w:rPr>
      </w:pPr>
    </w:p>
    <w:p w14:paraId="5C377A81">
      <w:pPr>
        <w:snapToGrid w:val="0"/>
        <w:spacing w:before="0" w:beforeAutospacing="0" w:after="0" w:afterAutospacing="0" w:line="240" w:lineRule="auto"/>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br w:type="page"/>
      </w:r>
    </w:p>
    <w:p w14:paraId="106B6550">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（五）近年发生的诉讼和仲裁情况</w:t>
      </w:r>
    </w:p>
    <w:p w14:paraId="2D2BD3FE">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说明：近年发生的诉讼和仲裁情况仅限于磋商响应人败诉的，且与履行施工承包合同有关的案件，不包括调解结案以及未裁决的仲裁或未终审判决的诉讼。</w:t>
      </w:r>
    </w:p>
    <w:p w14:paraId="00E0E593">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br w:type="page"/>
      </w:r>
    </w:p>
    <w:p w14:paraId="74913F1D">
      <w:pPr>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kern w:val="2"/>
          <w:sz w:val="24"/>
          <w:szCs w:val="24"/>
          <w:highlight w:val="none"/>
        </w:rPr>
        <w:t>（六）企业其他信誉情况表（年份要求同诉讼及仲裁情况年份要求）</w:t>
      </w:r>
    </w:p>
    <w:p w14:paraId="507977F5">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1、近年企业不良行为记录情况</w:t>
      </w:r>
    </w:p>
    <w:p w14:paraId="7629479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0E583C5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0F73E2F">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16D3B06D">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2、在施工程以及近年已竣工工程合同履行情况</w:t>
      </w:r>
    </w:p>
    <w:p w14:paraId="1BBF6BE5">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0549D796">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15471639">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10B12FDC">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3、其他</w:t>
      </w:r>
    </w:p>
    <w:p w14:paraId="40E99694">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44993DEA">
      <w:pPr>
        <w:widowControl w:val="0"/>
        <w:snapToGrid w:val="0"/>
        <w:spacing w:before="0" w:beforeAutospacing="0" w:after="0" w:afterAutospacing="0" w:line="360" w:lineRule="auto"/>
        <w:ind w:firstLine="354" w:firstLineChars="177"/>
        <w:textAlignment w:val="baseline"/>
        <w:rPr>
          <w:rFonts w:hint="eastAsia" w:ascii="宋体" w:hAnsi="宋体" w:eastAsia="宋体" w:cs="宋体"/>
          <w:b w:val="0"/>
          <w:i w:val="0"/>
          <w:caps w:val="0"/>
          <w:color w:val="auto"/>
          <w:spacing w:val="0"/>
          <w:w w:val="100"/>
          <w:kern w:val="2"/>
          <w:sz w:val="20"/>
          <w:szCs w:val="24"/>
          <w:highlight w:val="none"/>
        </w:rPr>
      </w:pPr>
    </w:p>
    <w:p w14:paraId="211D84F1">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备注：1、企业不良行为记录情况主要是近年磋商响应人在工程建设过程中因违反有关工程建设的法律、法规、规章或强制性标准和执业行为规范，经县级以上建设行政主管部门或其委托的执法监督机构查实和行政处罚，形成的不良行为记录。应当结合第二章“磋商响应人须知”前附表第10.1.2项定义的范围填写。</w:t>
      </w:r>
    </w:p>
    <w:p w14:paraId="1020D18A">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2、合同履行情况主要是磋商响应人近年所承接工程和已竣工工程是否按合同约定的工期、质量、安全等履行合同义务，对未竣工工程合同履行情况还应重点说明非不可抗力解除合同（如果有)的原因等具体情况，等等。</w:t>
      </w:r>
    </w:p>
    <w:p w14:paraId="4D12CE8B">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（七）主要项目管理人员简历表</w:t>
      </w:r>
    </w:p>
    <w:p w14:paraId="5890E1DA">
      <w:pPr>
        <w:widowControl w:val="0"/>
        <w:snapToGrid w:val="0"/>
        <w:spacing w:before="0" w:beforeAutospacing="0" w:after="0" w:afterAutospacing="0" w:line="360" w:lineRule="auto"/>
        <w:ind w:firstLine="424" w:firstLineChars="177"/>
        <w:textAlignment w:val="baseline"/>
        <w:rPr>
          <w:rFonts w:hint="eastAsia" w:ascii="宋体" w:hAnsi="宋体" w:eastAsia="宋体" w:cs="宋体"/>
          <w:b w:val="0"/>
          <w:i w:val="0"/>
          <w:caps w:val="0"/>
          <w:color w:val="auto"/>
          <w:spacing w:val="0"/>
          <w:w w:val="100"/>
          <w:kern w:val="2"/>
          <w:sz w:val="20"/>
          <w:szCs w:val="24"/>
          <w:highlight w:val="none"/>
        </w:rPr>
      </w:pPr>
      <w:r>
        <w:rPr>
          <w:rFonts w:hint="eastAsia" w:ascii="宋体" w:hAnsi="宋体" w:eastAsia="宋体" w:cs="宋体"/>
          <w:b w:val="0"/>
          <w:i w:val="0"/>
          <w:caps w:val="0"/>
          <w:color w:val="auto"/>
          <w:spacing w:val="0"/>
          <w:w w:val="100"/>
          <w:kern w:val="2"/>
          <w:sz w:val="24"/>
          <w:szCs w:val="24"/>
          <w:highlight w:val="none"/>
        </w:rPr>
        <w:t>说明：“主要人员简历表”同本章附件七之（二）。未进行资格预审但本章“项目管理机构”已有本表内容的，无需重复提交。</w:t>
      </w:r>
    </w:p>
    <w:p w14:paraId="761AC163">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szCs w:val="20"/>
          <w:highlight w:val="none"/>
        </w:rPr>
      </w:pPr>
      <w:r>
        <w:rPr>
          <w:rFonts w:hint="eastAsia" w:ascii="宋体" w:hAnsi="宋体" w:eastAsia="宋体" w:cs="宋体"/>
          <w:b/>
          <w:bCs/>
          <w:i w:val="0"/>
          <w:caps w:val="0"/>
          <w:color w:val="auto"/>
          <w:spacing w:val="0"/>
          <w:w w:val="100"/>
          <w:sz w:val="24"/>
          <w:szCs w:val="20"/>
          <w:highlight w:val="none"/>
        </w:rPr>
        <w:br w:type="page"/>
      </w:r>
    </w:p>
    <w:p w14:paraId="268E8265">
      <w:pPr>
        <w:pStyle w:val="21"/>
        <w:snapToGrid w:val="0"/>
        <w:spacing w:before="0" w:beforeAutospacing="0" w:after="0" w:afterAutospacing="0" w:line="360" w:lineRule="auto"/>
        <w:jc w:val="left"/>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bookmarkStart w:id="1289" w:name="_Toc3937"/>
      <w:r>
        <w:rPr>
          <w:rFonts w:hint="eastAsia" w:ascii="宋体" w:hAnsi="宋体" w:eastAsia="宋体" w:cs="宋体"/>
          <w:b/>
          <w:bCs/>
          <w:i w:val="0"/>
          <w:caps w:val="0"/>
          <w:color w:val="auto"/>
          <w:spacing w:val="0"/>
          <w:w w:val="100"/>
          <w:sz w:val="24"/>
          <w:szCs w:val="32"/>
          <w:highlight w:val="none"/>
          <w:lang w:val="en-US" w:eastAsia="zh-CN" w:bidi="ar-SA"/>
        </w:rPr>
        <w:t>十四、磋商最终报价表</w:t>
      </w:r>
      <w:bookmarkEnd w:id="1289"/>
    </w:p>
    <w:p w14:paraId="2F996ADE">
      <w:pPr>
        <w:snapToGrid w:val="0"/>
        <w:spacing w:before="0" w:beforeAutospacing="0" w:after="0" w:afterAutospacing="0" w:line="360" w:lineRule="auto"/>
        <w:jc w:val="center"/>
        <w:textAlignment w:val="baseline"/>
        <w:rPr>
          <w:rFonts w:hint="eastAsia" w:ascii="宋体" w:hAnsi="宋体" w:eastAsia="宋体" w:cs="宋体"/>
          <w:b/>
          <w:i w:val="0"/>
          <w:caps w:val="0"/>
          <w:color w:val="auto"/>
          <w:spacing w:val="0"/>
          <w:w w:val="100"/>
          <w:sz w:val="30"/>
          <w:szCs w:val="30"/>
          <w:highlight w:val="none"/>
        </w:rPr>
      </w:pPr>
      <w:r>
        <w:rPr>
          <w:rFonts w:hint="eastAsia" w:ascii="宋体" w:hAnsi="宋体" w:eastAsia="宋体" w:cs="宋体"/>
          <w:b/>
          <w:i w:val="0"/>
          <w:caps w:val="0"/>
          <w:color w:val="auto"/>
          <w:spacing w:val="0"/>
          <w:w w:val="100"/>
          <w:sz w:val="30"/>
          <w:szCs w:val="30"/>
          <w:highlight w:val="none"/>
        </w:rPr>
        <w:t>磋商最终报价表</w:t>
      </w:r>
    </w:p>
    <w:p w14:paraId="68246D50">
      <w:pPr>
        <w:snapToGrid w:val="0"/>
        <w:spacing w:before="0" w:beforeAutospacing="0" w:after="0" w:afterAutospacing="0" w:line="360" w:lineRule="auto"/>
        <w:textAlignment w:val="baseline"/>
        <w:rPr>
          <w:rFonts w:hint="eastAsia" w:ascii="宋体" w:hAnsi="宋体" w:eastAsia="宋体" w:cs="宋体"/>
          <w:b/>
          <w:i w:val="0"/>
          <w:caps w:val="0"/>
          <w:color w:val="auto"/>
          <w:spacing w:val="0"/>
          <w:w w:val="100"/>
          <w:sz w:val="20"/>
          <w:szCs w:val="24"/>
          <w:highlight w:val="none"/>
        </w:rPr>
      </w:pPr>
      <w:r>
        <w:rPr>
          <w:rFonts w:hint="eastAsia" w:ascii="宋体" w:hAnsi="宋体" w:eastAsia="宋体" w:cs="宋体"/>
          <w:b/>
          <w:i w:val="0"/>
          <w:caps w:val="0"/>
          <w:color w:val="auto"/>
          <w:spacing w:val="0"/>
          <w:w w:val="100"/>
          <w:sz w:val="24"/>
          <w:szCs w:val="24"/>
          <w:highlight w:val="none"/>
        </w:rPr>
        <w:t xml:space="preserve">项目名称：                                       </w:t>
      </w:r>
      <w:r>
        <w:rPr>
          <w:rFonts w:hint="eastAsia" w:ascii="宋体" w:hAnsi="宋体" w:eastAsia="宋体" w:cs="宋体"/>
          <w:b/>
          <w:i w:val="0"/>
          <w:caps w:val="0"/>
          <w:color w:val="auto"/>
          <w:spacing w:val="0"/>
          <w:w w:val="100"/>
          <w:sz w:val="24"/>
          <w:szCs w:val="24"/>
          <w:highlight w:val="none"/>
          <w:lang w:val="en-US" w:eastAsia="zh-CN"/>
        </w:rPr>
        <w:t xml:space="preserve">         </w:t>
      </w:r>
      <w:r>
        <w:rPr>
          <w:rFonts w:hint="eastAsia" w:ascii="宋体" w:hAnsi="宋体" w:eastAsia="宋体" w:cs="宋体"/>
          <w:b/>
          <w:i w:val="0"/>
          <w:caps w:val="0"/>
          <w:color w:val="auto"/>
          <w:spacing w:val="0"/>
          <w:w w:val="100"/>
          <w:sz w:val="24"/>
          <w:szCs w:val="24"/>
          <w:highlight w:val="none"/>
        </w:rPr>
        <w:t xml:space="preserve"> 单位：</w:t>
      </w:r>
      <w:r>
        <w:rPr>
          <w:rFonts w:hint="eastAsia" w:ascii="宋体" w:hAnsi="宋体" w:eastAsia="宋体" w:cs="宋体"/>
          <w:b/>
          <w:i w:val="0"/>
          <w:caps w:val="0"/>
          <w:color w:val="auto"/>
          <w:spacing w:val="0"/>
          <w:w w:val="100"/>
          <w:sz w:val="24"/>
          <w:szCs w:val="24"/>
          <w:highlight w:val="none"/>
          <w:lang w:val="en-US" w:eastAsia="zh-CN"/>
        </w:rPr>
        <w:t xml:space="preserve">   </w:t>
      </w:r>
      <w:r>
        <w:rPr>
          <w:rFonts w:hint="eastAsia" w:ascii="宋体" w:hAnsi="宋体" w:eastAsia="宋体" w:cs="宋体"/>
          <w:b/>
          <w:i w:val="0"/>
          <w:caps w:val="0"/>
          <w:color w:val="auto"/>
          <w:spacing w:val="0"/>
          <w:w w:val="100"/>
          <w:sz w:val="24"/>
          <w:szCs w:val="24"/>
          <w:highlight w:val="none"/>
        </w:rPr>
        <w:t>万元</w:t>
      </w:r>
    </w:p>
    <w:tbl>
      <w:tblPr>
        <w:tblStyle w:val="23"/>
        <w:tblW w:w="941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79"/>
        <w:gridCol w:w="1985"/>
        <w:gridCol w:w="1642"/>
        <w:gridCol w:w="1760"/>
        <w:gridCol w:w="1050"/>
      </w:tblGrid>
      <w:tr w14:paraId="2BBE2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979" w:type="dxa"/>
            <w:vAlign w:val="center"/>
          </w:tcPr>
          <w:p w14:paraId="78D41887">
            <w:pPr>
              <w:snapToGrid w:val="0"/>
              <w:spacing w:before="0" w:beforeAutospacing="0" w:after="0" w:afterAutospacing="0" w:line="360" w:lineRule="auto"/>
              <w:jc w:val="center"/>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项目名称</w:t>
            </w:r>
          </w:p>
        </w:tc>
        <w:tc>
          <w:tcPr>
            <w:tcW w:w="1985" w:type="dxa"/>
            <w:vAlign w:val="center"/>
          </w:tcPr>
          <w:p w14:paraId="2BB5C174">
            <w:pPr>
              <w:snapToGrid w:val="0"/>
              <w:spacing w:before="0" w:beforeAutospacing="0" w:after="0" w:afterAutospacing="0" w:line="360" w:lineRule="auto"/>
              <w:jc w:val="center"/>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最初报价</w:t>
            </w:r>
          </w:p>
          <w:p w14:paraId="3D154F0D">
            <w:pPr>
              <w:snapToGrid w:val="0"/>
              <w:spacing w:before="0" w:beforeAutospacing="0" w:after="0" w:afterAutospacing="0" w:line="360" w:lineRule="auto"/>
              <w:jc w:val="center"/>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（万元）</w:t>
            </w:r>
          </w:p>
        </w:tc>
        <w:tc>
          <w:tcPr>
            <w:tcW w:w="1642" w:type="dxa"/>
          </w:tcPr>
          <w:p w14:paraId="5F69A583">
            <w:pPr>
              <w:snapToGrid w:val="0"/>
              <w:spacing w:before="0" w:beforeAutospacing="0" w:after="0" w:afterAutospacing="0" w:line="360" w:lineRule="auto"/>
              <w:jc w:val="center"/>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最终报价</w:t>
            </w:r>
          </w:p>
          <w:p w14:paraId="0E3C0DCF">
            <w:pPr>
              <w:snapToGrid w:val="0"/>
              <w:spacing w:before="0" w:beforeAutospacing="0" w:after="0" w:afterAutospacing="0" w:line="360" w:lineRule="auto"/>
              <w:jc w:val="center"/>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（万元）</w:t>
            </w:r>
          </w:p>
        </w:tc>
        <w:tc>
          <w:tcPr>
            <w:tcW w:w="1760" w:type="dxa"/>
            <w:vAlign w:val="center"/>
          </w:tcPr>
          <w:p w14:paraId="406A49CF">
            <w:pPr>
              <w:snapToGrid w:val="0"/>
              <w:spacing w:before="0" w:beforeAutospacing="0" w:after="0" w:afterAutospacing="0" w:line="360" w:lineRule="auto"/>
              <w:jc w:val="center"/>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工期</w:t>
            </w:r>
          </w:p>
        </w:tc>
        <w:tc>
          <w:tcPr>
            <w:tcW w:w="1050" w:type="dxa"/>
            <w:vAlign w:val="center"/>
          </w:tcPr>
          <w:p w14:paraId="10AA4FB9">
            <w:pPr>
              <w:snapToGrid w:val="0"/>
              <w:spacing w:before="0" w:beforeAutospacing="0" w:after="0" w:afterAutospacing="0" w:line="360" w:lineRule="auto"/>
              <w:jc w:val="center"/>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备注</w:t>
            </w:r>
          </w:p>
        </w:tc>
      </w:tr>
      <w:tr w14:paraId="588874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979" w:type="dxa"/>
            <w:vAlign w:val="center"/>
          </w:tcPr>
          <w:p w14:paraId="0829B9B6">
            <w:pPr>
              <w:pStyle w:val="48"/>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4"/>
                <w:highlight w:val="none"/>
              </w:rPr>
            </w:pPr>
          </w:p>
        </w:tc>
        <w:tc>
          <w:tcPr>
            <w:tcW w:w="1985" w:type="dxa"/>
            <w:vAlign w:val="center"/>
          </w:tcPr>
          <w:p w14:paraId="553C39EE">
            <w:pPr>
              <w:pStyle w:val="48"/>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highlight w:val="none"/>
              </w:rPr>
            </w:pPr>
          </w:p>
        </w:tc>
        <w:tc>
          <w:tcPr>
            <w:tcW w:w="1642" w:type="dxa"/>
            <w:vAlign w:val="center"/>
          </w:tcPr>
          <w:p w14:paraId="796B9761">
            <w:pPr>
              <w:pStyle w:val="48"/>
              <w:snapToGrid w:val="0"/>
              <w:spacing w:before="0" w:beforeAutospacing="0" w:after="0" w:afterAutospacing="0" w:line="360" w:lineRule="auto"/>
              <w:jc w:val="left"/>
              <w:textAlignment w:val="baseline"/>
              <w:rPr>
                <w:rFonts w:hint="eastAsia" w:ascii="宋体" w:hAnsi="宋体" w:eastAsia="宋体" w:cs="宋体"/>
                <w:b w:val="0"/>
                <w:i w:val="0"/>
                <w:caps w:val="0"/>
                <w:color w:val="auto"/>
                <w:spacing w:val="0"/>
                <w:w w:val="100"/>
                <w:sz w:val="24"/>
                <w:highlight w:val="none"/>
              </w:rPr>
            </w:pPr>
          </w:p>
        </w:tc>
        <w:tc>
          <w:tcPr>
            <w:tcW w:w="1760" w:type="dxa"/>
            <w:vAlign w:val="center"/>
          </w:tcPr>
          <w:p w14:paraId="55A12FF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c>
          <w:tcPr>
            <w:tcW w:w="1050" w:type="dxa"/>
            <w:vAlign w:val="center"/>
          </w:tcPr>
          <w:p w14:paraId="502415B5">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43890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979" w:type="dxa"/>
            <w:vAlign w:val="center"/>
          </w:tcPr>
          <w:p w14:paraId="33C5EDAD">
            <w:pPr>
              <w:snapToGrid w:val="0"/>
              <w:spacing w:before="0" w:beforeAutospacing="0" w:after="0" w:afterAutospacing="0" w:line="360" w:lineRule="auto"/>
              <w:jc w:val="center"/>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调整因素</w:t>
            </w:r>
          </w:p>
        </w:tc>
        <w:tc>
          <w:tcPr>
            <w:tcW w:w="6437" w:type="dxa"/>
            <w:gridSpan w:val="4"/>
            <w:vAlign w:val="center"/>
          </w:tcPr>
          <w:p w14:paraId="49FC964C">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r w14:paraId="106D0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52" w:hRule="atLeast"/>
          <w:jc w:val="center"/>
        </w:trPr>
        <w:tc>
          <w:tcPr>
            <w:tcW w:w="9416" w:type="dxa"/>
            <w:gridSpan w:val="5"/>
          </w:tcPr>
          <w:p w14:paraId="4EBBD9D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r>
              <w:rPr>
                <w:rFonts w:hint="eastAsia" w:ascii="宋体" w:hAnsi="宋体" w:eastAsia="宋体" w:cs="宋体"/>
                <w:b w:val="0"/>
                <w:i w:val="0"/>
                <w:caps w:val="0"/>
                <w:color w:val="auto"/>
                <w:spacing w:val="0"/>
                <w:w w:val="100"/>
                <w:sz w:val="24"/>
                <w:highlight w:val="none"/>
              </w:rPr>
              <w:t>最终确定的优惠条件及其他承诺：</w:t>
            </w:r>
          </w:p>
          <w:p w14:paraId="758919D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1FDA95D8">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p w14:paraId="2EFD9759">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rPr>
            </w:pPr>
          </w:p>
        </w:tc>
      </w:tr>
    </w:tbl>
    <w:p w14:paraId="58B9047E">
      <w:pPr>
        <w:tabs>
          <w:tab w:val="left" w:pos="168"/>
        </w:tabs>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注：1、此表不需装订在磋商响应文件中，在磋商期间，由磋商小组确定合格的供应商按政采云平台要求网上递交。</w:t>
      </w:r>
    </w:p>
    <w:p w14:paraId="2D458714">
      <w:pPr>
        <w:tabs>
          <w:tab w:val="left" w:pos="168"/>
        </w:tabs>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highlight w:val="none"/>
        </w:rPr>
      </w:pPr>
      <w:r>
        <w:rPr>
          <w:rFonts w:hint="eastAsia" w:ascii="宋体" w:hAnsi="宋体" w:eastAsia="宋体" w:cs="宋体"/>
          <w:b w:val="0"/>
          <w:bCs/>
          <w:i w:val="0"/>
          <w:caps w:val="0"/>
          <w:color w:val="auto"/>
          <w:spacing w:val="0"/>
          <w:w w:val="100"/>
          <w:sz w:val="24"/>
          <w:highlight w:val="none"/>
        </w:rPr>
        <w:t>2、若在磋商小组在磋商过程中需要</w:t>
      </w:r>
      <w:r>
        <w:rPr>
          <w:rFonts w:hint="eastAsia" w:ascii="宋体" w:hAnsi="宋体" w:eastAsia="宋体" w:cs="宋体"/>
          <w:b w:val="0"/>
          <w:i w:val="0"/>
          <w:caps w:val="0"/>
          <w:color w:val="auto"/>
          <w:spacing w:val="0"/>
          <w:w w:val="100"/>
          <w:sz w:val="24"/>
          <w:highlight w:val="none"/>
          <w:lang w:eastAsia="zh-CN"/>
        </w:rPr>
        <w:t>磋商响应人</w:t>
      </w:r>
      <w:r>
        <w:rPr>
          <w:rFonts w:hint="eastAsia" w:ascii="宋体" w:hAnsi="宋体" w:eastAsia="宋体" w:cs="宋体"/>
          <w:b w:val="0"/>
          <w:bCs/>
          <w:i w:val="0"/>
          <w:caps w:val="0"/>
          <w:color w:val="auto"/>
          <w:spacing w:val="0"/>
          <w:w w:val="100"/>
          <w:sz w:val="24"/>
          <w:highlight w:val="none"/>
        </w:rPr>
        <w:t>进行二轮、三轮报价时，</w:t>
      </w:r>
      <w:r>
        <w:rPr>
          <w:rFonts w:hint="eastAsia" w:ascii="宋体" w:hAnsi="宋体" w:cs="宋体"/>
          <w:b w:val="0"/>
          <w:bCs/>
          <w:i w:val="0"/>
          <w:caps w:val="0"/>
          <w:color w:val="auto"/>
          <w:spacing w:val="0"/>
          <w:w w:val="100"/>
          <w:sz w:val="24"/>
          <w:highlight w:val="none"/>
          <w:lang w:eastAsia="zh-CN"/>
        </w:rPr>
        <w:t>政采云系统</w:t>
      </w:r>
      <w:r>
        <w:rPr>
          <w:rFonts w:hint="eastAsia" w:ascii="宋体" w:hAnsi="宋体" w:eastAsia="宋体" w:cs="宋体"/>
          <w:b w:val="0"/>
          <w:bCs/>
          <w:i w:val="0"/>
          <w:caps w:val="0"/>
          <w:color w:val="auto"/>
          <w:spacing w:val="0"/>
          <w:w w:val="100"/>
          <w:sz w:val="24"/>
          <w:highlight w:val="none"/>
        </w:rPr>
        <w:t>通知各</w:t>
      </w:r>
      <w:r>
        <w:rPr>
          <w:rFonts w:hint="eastAsia" w:ascii="宋体" w:hAnsi="宋体" w:eastAsia="宋体" w:cs="宋体"/>
          <w:b w:val="0"/>
          <w:bCs/>
          <w:i w:val="0"/>
          <w:caps w:val="0"/>
          <w:color w:val="auto"/>
          <w:spacing w:val="0"/>
          <w:w w:val="100"/>
          <w:sz w:val="24"/>
          <w:highlight w:val="none"/>
          <w:lang w:eastAsia="zh-CN"/>
        </w:rPr>
        <w:t>磋商响应</w:t>
      </w:r>
      <w:r>
        <w:rPr>
          <w:rFonts w:hint="eastAsia" w:ascii="宋体" w:hAnsi="宋体" w:eastAsia="宋体" w:cs="宋体"/>
          <w:b w:val="0"/>
          <w:i w:val="0"/>
          <w:caps w:val="0"/>
          <w:color w:val="auto"/>
          <w:spacing w:val="0"/>
          <w:w w:val="100"/>
          <w:sz w:val="24"/>
          <w:highlight w:val="none"/>
          <w:lang w:eastAsia="zh-CN"/>
        </w:rPr>
        <w:t>人</w:t>
      </w:r>
      <w:r>
        <w:rPr>
          <w:rFonts w:hint="eastAsia" w:ascii="宋体" w:hAnsi="宋体" w:eastAsia="宋体" w:cs="宋体"/>
          <w:b w:val="0"/>
          <w:bCs/>
          <w:i w:val="0"/>
          <w:caps w:val="0"/>
          <w:color w:val="auto"/>
          <w:spacing w:val="0"/>
          <w:w w:val="100"/>
          <w:sz w:val="24"/>
          <w:highlight w:val="none"/>
        </w:rPr>
        <w:t>。</w:t>
      </w:r>
    </w:p>
    <w:p w14:paraId="5605B011">
      <w:pPr>
        <w:tabs>
          <w:tab w:val="left" w:pos="168"/>
        </w:tabs>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8"/>
          <w:highlight w:val="none"/>
        </w:rPr>
      </w:pPr>
    </w:p>
    <w:p w14:paraId="57CEFEC0">
      <w:pPr>
        <w:tabs>
          <w:tab w:val="left" w:pos="168"/>
        </w:tabs>
        <w:snapToGrid w:val="0"/>
        <w:spacing w:before="0" w:beforeAutospacing="0" w:after="0" w:afterAutospacing="0" w:line="360" w:lineRule="auto"/>
        <w:textAlignment w:val="baseline"/>
        <w:rPr>
          <w:rFonts w:hint="eastAsia" w:ascii="宋体" w:hAnsi="宋体" w:eastAsia="宋体" w:cs="宋体"/>
          <w:b w:val="0"/>
          <w:bCs/>
          <w:i w:val="0"/>
          <w:caps w:val="0"/>
          <w:color w:val="auto"/>
          <w:spacing w:val="0"/>
          <w:w w:val="100"/>
          <w:sz w:val="28"/>
          <w:szCs w:val="28"/>
          <w:highlight w:val="none"/>
        </w:rPr>
      </w:pPr>
    </w:p>
    <w:p w14:paraId="2D8D893C">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磋商</w:t>
      </w:r>
      <w:r>
        <w:rPr>
          <w:rFonts w:hint="eastAsia" w:ascii="宋体" w:hAnsi="宋体" w:eastAsia="宋体" w:cs="宋体"/>
          <w:b w:val="0"/>
          <w:bCs/>
          <w:i w:val="0"/>
          <w:caps w:val="0"/>
          <w:color w:val="auto"/>
          <w:spacing w:val="0"/>
          <w:w w:val="100"/>
          <w:sz w:val="24"/>
          <w:szCs w:val="28"/>
          <w:highlight w:val="none"/>
          <w:lang w:eastAsia="zh-CN"/>
        </w:rPr>
        <w:t>响应人</w:t>
      </w:r>
      <w:r>
        <w:rPr>
          <w:rFonts w:hint="eastAsia" w:ascii="宋体" w:hAnsi="宋体" w:eastAsia="宋体" w:cs="宋体"/>
          <w:b w:val="0"/>
          <w:bCs/>
          <w:i w:val="0"/>
          <w:caps w:val="0"/>
          <w:color w:val="auto"/>
          <w:spacing w:val="0"/>
          <w:w w:val="100"/>
          <w:sz w:val="24"/>
          <w:szCs w:val="28"/>
          <w:highlight w:val="none"/>
        </w:rPr>
        <w:t>：                   （公章）</w:t>
      </w:r>
    </w:p>
    <w:p w14:paraId="427A597D">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highlight w:val="none"/>
        </w:rPr>
        <w:t>法定代表人或委托代理人</w:t>
      </w:r>
      <w:r>
        <w:rPr>
          <w:rFonts w:hint="eastAsia" w:ascii="宋体" w:hAnsi="宋体" w:eastAsia="宋体" w:cs="宋体"/>
          <w:b w:val="0"/>
          <w:bCs/>
          <w:i w:val="0"/>
          <w:caps w:val="0"/>
          <w:color w:val="auto"/>
          <w:spacing w:val="0"/>
          <w:w w:val="100"/>
          <w:sz w:val="24"/>
          <w:szCs w:val="28"/>
          <w:highlight w:val="none"/>
        </w:rPr>
        <w:t>：                （签字）</w:t>
      </w:r>
    </w:p>
    <w:p w14:paraId="1E54CD79">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 xml:space="preserve">      年   月   日</w:t>
      </w:r>
    </w:p>
    <w:p w14:paraId="2A064341">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szCs w:val="20"/>
          <w:highlight w:val="none"/>
        </w:rPr>
      </w:pPr>
      <w:r>
        <w:rPr>
          <w:rFonts w:hint="eastAsia" w:ascii="宋体" w:hAnsi="宋体" w:eastAsia="宋体" w:cs="宋体"/>
          <w:b w:val="0"/>
          <w:i w:val="0"/>
          <w:caps w:val="0"/>
          <w:color w:val="auto"/>
          <w:spacing w:val="0"/>
          <w:w w:val="100"/>
          <w:sz w:val="24"/>
          <w:highlight w:val="none"/>
        </w:rPr>
        <w:br w:type="page"/>
      </w:r>
    </w:p>
    <w:p w14:paraId="31F8D4D0">
      <w:pPr>
        <w:snapToGrid w:val="0"/>
        <w:spacing w:before="0" w:beforeAutospacing="0" w:after="0" w:afterAutospacing="0" w:line="360" w:lineRule="auto"/>
        <w:textAlignment w:val="baseline"/>
        <w:outlineLvl w:val="1"/>
        <w:rPr>
          <w:rFonts w:hint="eastAsia" w:ascii="宋体" w:hAnsi="宋体" w:eastAsia="宋体" w:cs="宋体"/>
          <w:b/>
          <w:bCs/>
          <w:i w:val="0"/>
          <w:caps w:val="0"/>
          <w:color w:val="auto"/>
          <w:spacing w:val="0"/>
          <w:w w:val="100"/>
          <w:sz w:val="24"/>
          <w:szCs w:val="32"/>
          <w:highlight w:val="none"/>
          <w:lang w:val="en-US" w:eastAsia="zh-CN" w:bidi="ar-SA"/>
        </w:rPr>
      </w:pPr>
      <w:r>
        <w:rPr>
          <w:rFonts w:hint="eastAsia" w:ascii="宋体" w:hAnsi="宋体" w:eastAsia="宋体" w:cs="宋体"/>
          <w:b/>
          <w:bCs/>
          <w:i w:val="0"/>
          <w:caps w:val="0"/>
          <w:color w:val="auto"/>
          <w:spacing w:val="0"/>
          <w:w w:val="100"/>
          <w:sz w:val="24"/>
          <w:szCs w:val="32"/>
          <w:highlight w:val="none"/>
          <w:lang w:val="en-US" w:eastAsia="zh-CN" w:bidi="ar-SA"/>
        </w:rPr>
        <w:t>十五、其他材料</w:t>
      </w:r>
    </w:p>
    <w:p w14:paraId="1BF2C3BB">
      <w:pPr>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sz w:val="30"/>
          <w:szCs w:val="30"/>
          <w:highlight w:val="none"/>
          <w:lang w:val="zh-CN"/>
        </w:rPr>
      </w:pPr>
      <w:r>
        <w:rPr>
          <w:rFonts w:hint="eastAsia" w:ascii="宋体" w:hAnsi="宋体" w:cs="宋体"/>
          <w:b/>
          <w:bCs/>
          <w:i w:val="0"/>
          <w:caps w:val="0"/>
          <w:color w:val="auto"/>
          <w:spacing w:val="0"/>
          <w:w w:val="100"/>
          <w:sz w:val="30"/>
          <w:szCs w:val="30"/>
          <w:highlight w:val="none"/>
          <w:lang w:val="en-US" w:eastAsia="zh-CN"/>
        </w:rPr>
        <w:t>1.</w:t>
      </w:r>
      <w:r>
        <w:rPr>
          <w:rFonts w:hint="eastAsia" w:ascii="宋体" w:hAnsi="宋体" w:eastAsia="宋体" w:cs="宋体"/>
          <w:b/>
          <w:bCs/>
          <w:i w:val="0"/>
          <w:caps w:val="0"/>
          <w:color w:val="auto"/>
          <w:spacing w:val="0"/>
          <w:w w:val="100"/>
          <w:sz w:val="30"/>
          <w:szCs w:val="30"/>
          <w:highlight w:val="none"/>
          <w:lang w:val="zh-CN"/>
        </w:rPr>
        <w:t>磋商保证金证明</w:t>
      </w:r>
    </w:p>
    <w:p w14:paraId="63100408">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8"/>
          <w:szCs w:val="28"/>
          <w:highlight w:val="none"/>
          <w:lang w:val="zh-CN"/>
        </w:rPr>
      </w:pPr>
      <w:bookmarkStart w:id="1290" w:name="_Toc325726048"/>
      <w:bookmarkEnd w:id="1290"/>
    </w:p>
    <w:p w14:paraId="6AD17C80">
      <w:pPr>
        <w:bidi w:val="0"/>
        <w:rPr>
          <w:rFonts w:hint="eastAsia"/>
          <w:color w:val="auto"/>
          <w:sz w:val="28"/>
          <w:szCs w:val="28"/>
          <w:lang w:val="zh-CN"/>
        </w:rPr>
      </w:pPr>
      <w:bookmarkStart w:id="1291" w:name="_Toc8245"/>
      <w:bookmarkStart w:id="1292" w:name="_Toc4582"/>
      <w:r>
        <w:rPr>
          <w:rFonts w:hint="eastAsia"/>
          <w:color w:val="auto"/>
          <w:sz w:val="28"/>
          <w:szCs w:val="28"/>
          <w:lang w:val="zh-CN"/>
        </w:rPr>
        <w:t>致：青海佳荣工程项目管理有限公司</w:t>
      </w:r>
      <w:bookmarkEnd w:id="1291"/>
      <w:bookmarkEnd w:id="1292"/>
    </w:p>
    <w:p w14:paraId="04CFC3E8">
      <w:pPr>
        <w:snapToGrid w:val="0"/>
        <w:spacing w:before="0" w:beforeAutospacing="0" w:after="0" w:afterAutospacing="0" w:line="360" w:lineRule="auto"/>
        <w:textAlignment w:val="baseline"/>
        <w:rPr>
          <w:rFonts w:hint="eastAsia" w:ascii="宋体" w:hAnsi="宋体" w:eastAsia="宋体" w:cs="宋体"/>
          <w:b/>
          <w:bCs/>
          <w:i w:val="0"/>
          <w:caps w:val="0"/>
          <w:color w:val="auto"/>
          <w:spacing w:val="0"/>
          <w:w w:val="100"/>
          <w:sz w:val="20"/>
          <w:highlight w:val="none"/>
          <w:lang w:val="zh-CN"/>
        </w:rPr>
      </w:pPr>
    </w:p>
    <w:p w14:paraId="0044EC0D">
      <w:pPr>
        <w:snapToGrid w:val="0"/>
        <w:spacing w:before="0" w:beforeAutospacing="0" w:after="0" w:afterAutospacing="0" w:line="360" w:lineRule="auto"/>
        <w:ind w:firstLine="36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我方为（项目名称）项目（采购编号为：</w:t>
      </w:r>
      <w:r>
        <w:rPr>
          <w:rFonts w:hint="eastAsia" w:ascii="宋体" w:hAnsi="宋体" w:eastAsia="宋体" w:cs="宋体"/>
          <w:b w:val="0"/>
          <w:i w:val="0"/>
          <w:caps w:val="0"/>
          <w:color w:val="auto"/>
          <w:spacing w:val="0"/>
          <w:w w:val="100"/>
          <w:sz w:val="24"/>
          <w:highlight w:val="none"/>
          <w:u w:val="single" w:color="000000"/>
          <w:lang w:val="zh-CN"/>
        </w:rPr>
        <w:t xml:space="preserve">          </w:t>
      </w:r>
      <w:r>
        <w:rPr>
          <w:rFonts w:hint="eastAsia" w:ascii="宋体" w:hAnsi="宋体" w:eastAsia="宋体" w:cs="宋体"/>
          <w:b w:val="0"/>
          <w:i w:val="0"/>
          <w:caps w:val="0"/>
          <w:color w:val="auto"/>
          <w:spacing w:val="0"/>
          <w:w w:val="100"/>
          <w:sz w:val="24"/>
          <w:highlight w:val="none"/>
          <w:lang w:val="zh-CN"/>
        </w:rPr>
        <w:t>）递交保证金人民币</w:t>
      </w:r>
      <w:r>
        <w:rPr>
          <w:rFonts w:hint="eastAsia" w:ascii="宋体" w:hAnsi="宋体" w:eastAsia="宋体" w:cs="宋体"/>
          <w:b w:val="0"/>
          <w:i w:val="0"/>
          <w:caps w:val="0"/>
          <w:color w:val="auto"/>
          <w:spacing w:val="0"/>
          <w:w w:val="100"/>
          <w:sz w:val="24"/>
          <w:highlight w:val="none"/>
          <w:u w:val="single" w:color="000000"/>
          <w:lang w:val="zh-CN"/>
        </w:rPr>
        <w:t xml:space="preserve">            </w:t>
      </w:r>
      <w:r>
        <w:rPr>
          <w:rFonts w:hint="eastAsia" w:ascii="宋体" w:hAnsi="宋体" w:eastAsia="宋体" w:cs="宋体"/>
          <w:b w:val="0"/>
          <w:i w:val="0"/>
          <w:caps w:val="0"/>
          <w:color w:val="auto"/>
          <w:spacing w:val="0"/>
          <w:w w:val="100"/>
          <w:sz w:val="24"/>
          <w:highlight w:val="none"/>
          <w:lang w:val="zh-CN"/>
        </w:rPr>
        <w:t>（大写：人民币</w:t>
      </w:r>
      <w:r>
        <w:rPr>
          <w:rFonts w:hint="eastAsia" w:ascii="宋体" w:hAnsi="宋体" w:eastAsia="宋体" w:cs="宋体"/>
          <w:b w:val="0"/>
          <w:i w:val="0"/>
          <w:caps w:val="0"/>
          <w:color w:val="auto"/>
          <w:spacing w:val="0"/>
          <w:w w:val="100"/>
          <w:sz w:val="24"/>
          <w:highlight w:val="none"/>
          <w:u w:val="single" w:color="000000"/>
          <w:lang w:val="zh-CN"/>
        </w:rPr>
        <w:t xml:space="preserve">        </w:t>
      </w:r>
      <w:r>
        <w:rPr>
          <w:rFonts w:hint="eastAsia" w:ascii="宋体" w:hAnsi="宋体" w:eastAsia="宋体" w:cs="宋体"/>
          <w:b w:val="0"/>
          <w:i w:val="0"/>
          <w:caps w:val="0"/>
          <w:color w:val="auto"/>
          <w:spacing w:val="0"/>
          <w:w w:val="100"/>
          <w:sz w:val="24"/>
          <w:highlight w:val="none"/>
          <w:lang w:val="zh-CN"/>
        </w:rPr>
        <w:t>元）已于</w:t>
      </w:r>
      <w:r>
        <w:rPr>
          <w:rFonts w:hint="eastAsia" w:ascii="宋体" w:hAnsi="宋体" w:eastAsia="宋体" w:cs="宋体"/>
          <w:b w:val="0"/>
          <w:i w:val="0"/>
          <w:caps w:val="0"/>
          <w:color w:val="auto"/>
          <w:spacing w:val="0"/>
          <w:w w:val="100"/>
          <w:sz w:val="24"/>
          <w:highlight w:val="none"/>
          <w:u w:val="single" w:color="000000"/>
          <w:lang w:val="zh-CN"/>
        </w:rPr>
        <w:t xml:space="preserve">     </w:t>
      </w:r>
      <w:r>
        <w:rPr>
          <w:rFonts w:hint="eastAsia" w:ascii="宋体" w:hAnsi="宋体" w:eastAsia="宋体" w:cs="宋体"/>
          <w:b w:val="0"/>
          <w:i w:val="0"/>
          <w:caps w:val="0"/>
          <w:color w:val="auto"/>
          <w:spacing w:val="0"/>
          <w:w w:val="100"/>
          <w:sz w:val="24"/>
          <w:highlight w:val="none"/>
          <w:lang w:val="zh-CN"/>
        </w:rPr>
        <w:t>年</w:t>
      </w:r>
      <w:r>
        <w:rPr>
          <w:rFonts w:hint="eastAsia" w:ascii="宋体" w:hAnsi="宋体" w:eastAsia="宋体" w:cs="宋体"/>
          <w:b w:val="0"/>
          <w:i w:val="0"/>
          <w:caps w:val="0"/>
          <w:color w:val="auto"/>
          <w:spacing w:val="0"/>
          <w:w w:val="100"/>
          <w:sz w:val="24"/>
          <w:highlight w:val="none"/>
          <w:u w:val="single" w:color="000000"/>
          <w:lang w:val="zh-CN"/>
        </w:rPr>
        <w:t xml:space="preserve">    </w:t>
      </w:r>
      <w:r>
        <w:rPr>
          <w:rFonts w:hint="eastAsia" w:ascii="宋体" w:hAnsi="宋体" w:eastAsia="宋体" w:cs="宋体"/>
          <w:b w:val="0"/>
          <w:i w:val="0"/>
          <w:caps w:val="0"/>
          <w:color w:val="auto"/>
          <w:spacing w:val="0"/>
          <w:w w:val="100"/>
          <w:sz w:val="24"/>
          <w:highlight w:val="none"/>
          <w:lang w:val="zh-CN"/>
        </w:rPr>
        <w:t>月</w:t>
      </w:r>
      <w:r>
        <w:rPr>
          <w:rFonts w:hint="eastAsia" w:ascii="宋体" w:hAnsi="宋体" w:eastAsia="宋体" w:cs="宋体"/>
          <w:b w:val="0"/>
          <w:i w:val="0"/>
          <w:caps w:val="0"/>
          <w:color w:val="auto"/>
          <w:spacing w:val="0"/>
          <w:w w:val="100"/>
          <w:sz w:val="24"/>
          <w:highlight w:val="none"/>
          <w:u w:val="single" w:color="000000"/>
          <w:lang w:val="zh-CN"/>
        </w:rPr>
        <w:t xml:space="preserve">    </w:t>
      </w:r>
      <w:r>
        <w:rPr>
          <w:rFonts w:hint="eastAsia" w:ascii="宋体" w:hAnsi="宋体" w:eastAsia="宋体" w:cs="宋体"/>
          <w:b w:val="0"/>
          <w:i w:val="0"/>
          <w:caps w:val="0"/>
          <w:color w:val="auto"/>
          <w:spacing w:val="0"/>
          <w:w w:val="100"/>
          <w:sz w:val="24"/>
          <w:highlight w:val="none"/>
          <w:lang w:val="zh-CN"/>
        </w:rPr>
        <w:t>日以基本户转账方式汇入</w:t>
      </w:r>
      <w:r>
        <w:rPr>
          <w:rFonts w:hint="eastAsia" w:ascii="宋体" w:hAnsi="宋体" w:eastAsia="宋体" w:cs="宋体"/>
          <w:b w:val="0"/>
          <w:i w:val="0"/>
          <w:caps w:val="0"/>
          <w:color w:val="auto"/>
          <w:spacing w:val="0"/>
          <w:w w:val="100"/>
          <w:sz w:val="24"/>
          <w:highlight w:val="none"/>
          <w:lang w:eastAsia="zh-CN"/>
        </w:rPr>
        <w:t>指定</w:t>
      </w:r>
      <w:r>
        <w:rPr>
          <w:rFonts w:hint="eastAsia" w:ascii="宋体" w:hAnsi="宋体" w:eastAsia="宋体" w:cs="宋体"/>
          <w:b w:val="0"/>
          <w:i w:val="0"/>
          <w:caps w:val="0"/>
          <w:color w:val="auto"/>
          <w:spacing w:val="0"/>
          <w:w w:val="100"/>
          <w:sz w:val="24"/>
          <w:highlight w:val="none"/>
          <w:lang w:val="zh-CN"/>
        </w:rPr>
        <w:t>账户。</w:t>
      </w:r>
    </w:p>
    <w:p w14:paraId="7A55A060">
      <w:pPr>
        <w:snapToGrid w:val="0"/>
        <w:spacing w:before="0" w:beforeAutospacing="0" w:after="0" w:afterAutospacing="0" w:line="360" w:lineRule="auto"/>
        <w:ind w:firstLine="360"/>
        <w:textAlignment w:val="baseline"/>
        <w:rPr>
          <w:rFonts w:hint="eastAsia" w:ascii="宋体" w:hAnsi="宋体" w:eastAsia="宋体" w:cs="宋体"/>
          <w:b w:val="0"/>
          <w:bCs/>
          <w:i w:val="0"/>
          <w:caps w:val="0"/>
          <w:color w:val="auto"/>
          <w:spacing w:val="0"/>
          <w:w w:val="100"/>
          <w:sz w:val="20"/>
          <w:highlight w:val="none"/>
          <w:lang w:val="zh-CN"/>
        </w:rPr>
      </w:pPr>
      <w:r>
        <w:rPr>
          <w:rFonts w:hint="eastAsia" w:ascii="宋体" w:hAnsi="宋体" w:eastAsia="宋体" w:cs="宋体"/>
          <w:b w:val="0"/>
          <w:bCs/>
          <w:i w:val="0"/>
          <w:caps w:val="0"/>
          <w:color w:val="auto"/>
          <w:spacing w:val="0"/>
          <w:w w:val="100"/>
          <w:sz w:val="24"/>
          <w:highlight w:val="none"/>
          <w:lang w:val="zh-CN"/>
        </w:rPr>
        <w:t>附件：保证金交款证明及基本账户信息复印件）</w:t>
      </w:r>
    </w:p>
    <w:p w14:paraId="2CC4866E">
      <w:pPr>
        <w:snapToGrid w:val="0"/>
        <w:spacing w:before="0" w:beforeAutospacing="0" w:after="0" w:afterAutospacing="0" w:line="360" w:lineRule="auto"/>
        <w:ind w:firstLine="36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退还保证金时请按以下内容汇入至我方账户（同递交保证金账户）。若因提供内容不全、错误等原因导致该项目保证金未能及时退还或退还过程中发生错误，我方将承担全部责任和损失。</w:t>
      </w:r>
    </w:p>
    <w:p w14:paraId="7DBFDD1D">
      <w:pPr>
        <w:snapToGrid w:val="0"/>
        <w:spacing w:before="0" w:beforeAutospacing="0" w:after="0" w:afterAutospacing="0" w:line="360" w:lineRule="auto"/>
        <w:ind w:firstLine="36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户    名：</w:t>
      </w:r>
    </w:p>
    <w:p w14:paraId="5567EDE3">
      <w:pPr>
        <w:snapToGrid w:val="0"/>
        <w:spacing w:before="0" w:beforeAutospacing="0" w:after="0" w:afterAutospacing="0" w:line="360" w:lineRule="auto"/>
        <w:ind w:firstLine="36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开户银行：</w:t>
      </w:r>
    </w:p>
    <w:p w14:paraId="0DD9370D">
      <w:pPr>
        <w:snapToGrid w:val="0"/>
        <w:spacing w:before="0" w:beforeAutospacing="0" w:after="0" w:afterAutospacing="0" w:line="360" w:lineRule="auto"/>
        <w:ind w:firstLine="360"/>
        <w:textAlignment w:val="baseline"/>
        <w:rPr>
          <w:rFonts w:hint="eastAsia" w:ascii="宋体" w:hAnsi="宋体" w:eastAsia="宋体" w:cs="宋体"/>
          <w:b w:val="0"/>
          <w:i w:val="0"/>
          <w:caps w:val="0"/>
          <w:color w:val="auto"/>
          <w:spacing w:val="0"/>
          <w:w w:val="100"/>
          <w:sz w:val="20"/>
          <w:highlight w:val="none"/>
          <w:lang w:val="zh-CN"/>
        </w:rPr>
      </w:pPr>
      <w:r>
        <w:rPr>
          <w:rFonts w:hint="eastAsia" w:ascii="宋体" w:hAnsi="宋体" w:eastAsia="宋体" w:cs="宋体"/>
          <w:b w:val="0"/>
          <w:i w:val="0"/>
          <w:caps w:val="0"/>
          <w:color w:val="auto"/>
          <w:spacing w:val="0"/>
          <w:w w:val="100"/>
          <w:sz w:val="24"/>
          <w:highlight w:val="none"/>
          <w:lang w:val="zh-CN"/>
        </w:rPr>
        <w:t>开户帐号：</w:t>
      </w:r>
    </w:p>
    <w:p w14:paraId="01DA07B0">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6CF44ADF">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1BC37A4B">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0A7581D7">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6ADA38BD">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1A76A386">
      <w:pPr>
        <w:snapToGrid w:val="0"/>
        <w:spacing w:before="0" w:beforeAutospacing="0" w:after="0" w:afterAutospacing="0" w:line="360" w:lineRule="auto"/>
        <w:textAlignment w:val="baseline"/>
        <w:rPr>
          <w:rFonts w:hint="eastAsia" w:ascii="宋体" w:hAnsi="宋体" w:eastAsia="宋体" w:cs="宋体"/>
          <w:b w:val="0"/>
          <w:i w:val="0"/>
          <w:caps w:val="0"/>
          <w:color w:val="auto"/>
          <w:spacing w:val="0"/>
          <w:w w:val="100"/>
          <w:sz w:val="20"/>
          <w:highlight w:val="none"/>
          <w:lang w:val="zh-CN"/>
        </w:rPr>
      </w:pPr>
    </w:p>
    <w:p w14:paraId="543AD688">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r>
        <w:rPr>
          <w:rFonts w:hint="eastAsia" w:ascii="宋体" w:hAnsi="宋体" w:eastAsia="宋体" w:cs="宋体"/>
          <w:b w:val="0"/>
          <w:bCs/>
          <w:i w:val="0"/>
          <w:caps w:val="0"/>
          <w:color w:val="auto"/>
          <w:spacing w:val="0"/>
          <w:w w:val="100"/>
          <w:sz w:val="24"/>
          <w:szCs w:val="28"/>
          <w:highlight w:val="none"/>
        </w:rPr>
        <w:t>磋商</w:t>
      </w:r>
      <w:r>
        <w:rPr>
          <w:rFonts w:hint="eastAsia" w:ascii="宋体" w:hAnsi="宋体" w:eastAsia="宋体" w:cs="宋体"/>
          <w:b w:val="0"/>
          <w:bCs/>
          <w:i w:val="0"/>
          <w:caps w:val="0"/>
          <w:color w:val="auto"/>
          <w:spacing w:val="0"/>
          <w:w w:val="100"/>
          <w:sz w:val="24"/>
          <w:szCs w:val="28"/>
          <w:highlight w:val="none"/>
          <w:lang w:eastAsia="zh-CN"/>
        </w:rPr>
        <w:t>响应人</w:t>
      </w:r>
      <w:r>
        <w:rPr>
          <w:rFonts w:hint="eastAsia" w:ascii="宋体" w:hAnsi="宋体" w:eastAsia="宋体" w:cs="宋体"/>
          <w:b w:val="0"/>
          <w:bCs/>
          <w:i w:val="0"/>
          <w:caps w:val="0"/>
          <w:color w:val="auto"/>
          <w:spacing w:val="0"/>
          <w:w w:val="100"/>
          <w:sz w:val="24"/>
          <w:szCs w:val="28"/>
          <w:highlight w:val="none"/>
        </w:rPr>
        <w:t>：                   （公章）</w:t>
      </w:r>
    </w:p>
    <w:p w14:paraId="4CB75D80">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4"/>
          <w:szCs w:val="28"/>
          <w:highlight w:val="none"/>
        </w:rPr>
      </w:pPr>
      <w:r>
        <w:rPr>
          <w:rFonts w:hint="eastAsia" w:ascii="宋体" w:hAnsi="宋体" w:eastAsia="宋体" w:cs="宋体"/>
          <w:b w:val="0"/>
          <w:bCs/>
          <w:i w:val="0"/>
          <w:caps w:val="0"/>
          <w:color w:val="auto"/>
          <w:spacing w:val="0"/>
          <w:w w:val="100"/>
          <w:sz w:val="24"/>
          <w:szCs w:val="28"/>
          <w:highlight w:val="none"/>
        </w:rPr>
        <w:t>法定代表人或委托代理人：                （签字）</w:t>
      </w:r>
    </w:p>
    <w:p w14:paraId="40C01389">
      <w:pPr>
        <w:rPr>
          <w:rFonts w:hint="eastAsia" w:ascii="宋体" w:hAnsi="宋体" w:eastAsia="宋体" w:cs="宋体"/>
          <w:b w:val="0"/>
          <w:bCs/>
          <w:i w:val="0"/>
          <w:caps w:val="0"/>
          <w:color w:val="auto"/>
          <w:spacing w:val="0"/>
          <w:w w:val="100"/>
          <w:sz w:val="24"/>
          <w:szCs w:val="28"/>
          <w:highlight w:val="none"/>
        </w:rPr>
      </w:pPr>
      <w:r>
        <w:rPr>
          <w:rFonts w:hint="eastAsia" w:ascii="宋体" w:hAnsi="宋体" w:eastAsia="宋体" w:cs="宋体"/>
          <w:b w:val="0"/>
          <w:bCs/>
          <w:i w:val="0"/>
          <w:caps w:val="0"/>
          <w:color w:val="auto"/>
          <w:spacing w:val="0"/>
          <w:w w:val="100"/>
          <w:sz w:val="24"/>
          <w:szCs w:val="28"/>
          <w:highlight w:val="none"/>
        </w:rPr>
        <w:br w:type="page"/>
      </w:r>
    </w:p>
    <w:p w14:paraId="6DA9E82E">
      <w:pPr>
        <w:numPr>
          <w:ilvl w:val="0"/>
          <w:numId w:val="9"/>
        </w:numPr>
        <w:autoSpaceDE w:val="0"/>
        <w:autoSpaceDN w:val="0"/>
        <w:adjustRightInd w:val="0"/>
        <w:spacing w:line="360" w:lineRule="auto"/>
        <w:jc w:val="center"/>
        <w:rPr>
          <w:rFonts w:hint="eastAsia" w:ascii="宋体" w:hAnsi="宋体" w:eastAsia="宋体" w:cs="宋体"/>
          <w:b/>
          <w:bCs/>
          <w:color w:val="auto"/>
          <w:kern w:val="0"/>
          <w:sz w:val="30"/>
          <w:szCs w:val="30"/>
          <w:highlight w:val="none"/>
          <w:lang w:val="en-US" w:eastAsia="zh-CN"/>
        </w:rPr>
      </w:pPr>
      <w:r>
        <w:rPr>
          <w:rFonts w:hint="eastAsia" w:ascii="宋体" w:hAnsi="宋体" w:eastAsia="宋体" w:cs="宋体"/>
          <w:b/>
          <w:bCs/>
          <w:color w:val="auto"/>
          <w:kern w:val="0"/>
          <w:sz w:val="30"/>
          <w:szCs w:val="30"/>
          <w:highlight w:val="none"/>
          <w:lang w:val="en-US" w:eastAsia="zh-CN"/>
        </w:rPr>
        <w:t>享受政府采购政策优惠的证明资料</w:t>
      </w:r>
    </w:p>
    <w:p w14:paraId="13B0E0F9">
      <w:pPr>
        <w:numPr>
          <w:ilvl w:val="0"/>
          <w:numId w:val="0"/>
        </w:numPr>
        <w:autoSpaceDE w:val="0"/>
        <w:autoSpaceDN w:val="0"/>
        <w:adjustRightInd w:val="0"/>
        <w:spacing w:line="360" w:lineRule="auto"/>
        <w:jc w:val="center"/>
        <w:rPr>
          <w:rFonts w:hint="eastAsia" w:ascii="宋体" w:hAnsi="宋体" w:eastAsia="宋体" w:cs="宋体"/>
          <w:b/>
          <w:bCs/>
          <w:color w:val="auto"/>
          <w:kern w:val="0"/>
          <w:sz w:val="30"/>
          <w:szCs w:val="30"/>
          <w:highlight w:val="none"/>
          <w:lang w:val="zh-CN"/>
        </w:rPr>
      </w:pPr>
      <w:r>
        <w:rPr>
          <w:rFonts w:hint="eastAsia" w:ascii="宋体" w:hAnsi="宋体" w:eastAsia="宋体" w:cs="宋体"/>
          <w:b/>
          <w:bCs/>
          <w:color w:val="auto"/>
          <w:kern w:val="0"/>
          <w:sz w:val="30"/>
          <w:szCs w:val="30"/>
          <w:highlight w:val="none"/>
          <w:lang w:val="en-US" w:eastAsia="zh-CN"/>
        </w:rPr>
        <w:t>2.1中小企业声明函（工程、服务）</w:t>
      </w:r>
    </w:p>
    <w:p w14:paraId="615E8F1A">
      <w:pPr>
        <w:spacing w:line="360" w:lineRule="auto"/>
        <w:ind w:firstLine="480" w:firstLineChars="200"/>
        <w:rPr>
          <w:rFonts w:hint="eastAsia" w:ascii="宋体" w:hAnsi="宋体" w:eastAsia="宋体" w:cs="宋体"/>
          <w:color w:val="auto"/>
          <w:sz w:val="24"/>
          <w:highlight w:val="none"/>
          <w:lang w:val="en-US" w:eastAsia="zh-CN"/>
        </w:rPr>
      </w:pPr>
    </w:p>
    <w:p w14:paraId="005A9A31">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本公司（联合体）郑重声明，根据《政府采购促进中小企业发展管理办法》（财库﹝2020﹞46号）的规定，本公司（联合体）参加（单位名称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）的（项目名称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）采购活动，工程的施工单位全部为符合政策要求的中小企业（或者：服务全部由符合政策要求的中小企业承接）。相关企业（含联合体中的中小企业、签订分包意向协议的中小企业）的具体情况如下：</w:t>
      </w:r>
    </w:p>
    <w:p w14:paraId="5E027443">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1.（标的名称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），属于（采购文件中明确的所属行业</w:t>
      </w:r>
      <w:r>
        <w:rPr>
          <w:rFonts w:hint="eastAsia" w:ascii="宋体" w:hAnsi="宋体" w:cs="宋体"/>
          <w:color w:val="auto"/>
          <w:sz w:val="24"/>
          <w:highlight w:val="none"/>
          <w:u w:val="single"/>
          <w:lang w:val="en-US" w:eastAsia="zh-CN"/>
        </w:rPr>
        <w:t xml:space="preserve">  建筑业 </w:t>
      </w:r>
      <w:r>
        <w:rPr>
          <w:rFonts w:hint="eastAsia" w:ascii="宋体" w:hAnsi="宋体" w:eastAsia="宋体" w:cs="宋体"/>
          <w:color w:val="auto"/>
          <w:sz w:val="24"/>
          <w:highlight w:val="none"/>
          <w:lang w:val="en-US" w:eastAsia="zh-CN"/>
        </w:rPr>
        <w:t>）；承建（承接）企业为（企业名称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），从业人员</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人，营业收入为</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万元，资产总额为</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万元，属于</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（中型企业、小型企业、微型企业）；</w:t>
      </w:r>
    </w:p>
    <w:p w14:paraId="0042B09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2.（标的名称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），属于（采购文件中明确的所属行业</w:t>
      </w:r>
      <w:r>
        <w:rPr>
          <w:rFonts w:hint="eastAsia" w:ascii="宋体" w:hAnsi="宋体" w:cs="宋体"/>
          <w:color w:val="auto"/>
          <w:sz w:val="24"/>
          <w:highlight w:val="none"/>
          <w:u w:val="single"/>
          <w:lang w:val="en-US" w:eastAsia="zh-CN"/>
        </w:rPr>
        <w:t xml:space="preserve">  建筑业 </w:t>
      </w:r>
      <w:r>
        <w:rPr>
          <w:rFonts w:hint="eastAsia" w:ascii="宋体" w:hAnsi="宋体" w:eastAsia="宋体" w:cs="宋体"/>
          <w:color w:val="auto"/>
          <w:sz w:val="24"/>
          <w:highlight w:val="none"/>
          <w:lang w:val="en-US" w:eastAsia="zh-CN"/>
        </w:rPr>
        <w:t>）；承建（承接）企业为（企业名称</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），从业人员   人，营业收入为</w:t>
      </w:r>
      <w:r>
        <w:rPr>
          <w:rFonts w:hint="eastAsia" w:ascii="宋体" w:hAnsi="宋体" w:eastAsia="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万元，资产总额为</w:t>
      </w:r>
      <w:r>
        <w:rPr>
          <w:rFonts w:hint="eastAsia" w:ascii="宋体" w:hAnsi="宋体" w:eastAsia="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万元，属于</w:t>
      </w:r>
      <w:r>
        <w:rPr>
          <w:rFonts w:hint="eastAsia" w:ascii="宋体" w:hAnsi="宋体" w:cs="宋体"/>
          <w:color w:val="auto"/>
          <w:sz w:val="24"/>
          <w:highlight w:val="none"/>
          <w:u w:val="single"/>
          <w:lang w:val="en-US" w:eastAsia="zh-CN"/>
        </w:rPr>
        <w:t xml:space="preserve">        </w:t>
      </w:r>
      <w:r>
        <w:rPr>
          <w:rFonts w:hint="eastAsia" w:ascii="宋体" w:hAnsi="宋体" w:eastAsia="宋体" w:cs="宋体"/>
          <w:color w:val="auto"/>
          <w:sz w:val="24"/>
          <w:highlight w:val="none"/>
          <w:lang w:val="en-US" w:eastAsia="zh-CN"/>
        </w:rPr>
        <w:t>（中型企业、小型企业、微型企业）；</w:t>
      </w:r>
    </w:p>
    <w:p w14:paraId="10501CB4">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w:t>
      </w:r>
    </w:p>
    <w:p w14:paraId="7007B016">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zh-CN" w:eastAsia="zh-CN"/>
        </w:rPr>
      </w:pPr>
      <w:r>
        <w:rPr>
          <w:rFonts w:hint="eastAsia" w:ascii="宋体" w:hAnsi="宋体" w:eastAsia="宋体" w:cs="宋体"/>
          <w:color w:val="auto"/>
          <w:sz w:val="24"/>
          <w:highlight w:val="none"/>
          <w:lang w:val="en-US" w:eastAsia="zh-CN"/>
        </w:rPr>
        <w:t>以上企业，不属于大企业的分支机构，不存在控股股东为大企业的情形，也不存在与大企业的负责人为同一人的情形。</w:t>
      </w:r>
    </w:p>
    <w:p w14:paraId="4BDE8CBA">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本企业对上述声明内容的真实性负责。如有虚假，将依法承担相应责任。</w:t>
      </w:r>
    </w:p>
    <w:p w14:paraId="79E673DC">
      <w:pPr>
        <w:keepNext w:val="0"/>
        <w:keepLines w:val="0"/>
        <w:pageBreakBefore w:val="0"/>
        <w:widowControl w:val="0"/>
        <w:kinsoku/>
        <w:wordWrap/>
        <w:overflowPunct/>
        <w:topLinePunct w:val="0"/>
        <w:autoSpaceDE/>
        <w:autoSpaceDN/>
        <w:bidi w:val="0"/>
        <w:adjustRightInd/>
        <w:snapToGrid/>
        <w:spacing w:line="480" w:lineRule="auto"/>
        <w:ind w:firstLine="4560" w:firstLineChars="19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企业名称（盖章）： </w:t>
      </w:r>
    </w:p>
    <w:p w14:paraId="0B21D53A">
      <w:pPr>
        <w:keepNext w:val="0"/>
        <w:keepLines w:val="0"/>
        <w:pageBreakBefore w:val="0"/>
        <w:widowControl w:val="0"/>
        <w:kinsoku/>
        <w:wordWrap/>
        <w:overflowPunct/>
        <w:topLinePunct w:val="0"/>
        <w:autoSpaceDE/>
        <w:autoSpaceDN/>
        <w:bidi w:val="0"/>
        <w:adjustRightInd/>
        <w:snapToGrid/>
        <w:spacing w:line="480" w:lineRule="auto"/>
        <w:ind w:firstLine="5040" w:firstLineChars="2100"/>
        <w:textAlignment w:val="auto"/>
        <w:rPr>
          <w:rFonts w:hint="eastAsia" w:ascii="宋体" w:hAnsi="宋体" w:cs="宋体"/>
          <w:color w:val="auto"/>
          <w:sz w:val="24"/>
          <w:highlight w:val="none"/>
          <w:lang w:val="en-US" w:eastAsia="zh-CN"/>
        </w:rPr>
      </w:pPr>
      <w:r>
        <w:rPr>
          <w:rFonts w:hint="eastAsia" w:ascii="宋体" w:hAnsi="宋体" w:eastAsia="宋体" w:cs="宋体"/>
          <w:color w:val="auto"/>
          <w:sz w:val="24"/>
          <w:highlight w:val="none"/>
          <w:lang w:val="en-US" w:eastAsia="zh-CN"/>
        </w:rPr>
        <w:t xml:space="preserve">日期： </w:t>
      </w:r>
      <w:r>
        <w:rPr>
          <w:rFonts w:hint="eastAsia" w:ascii="宋体" w:hAnsi="宋体" w:cs="宋体"/>
          <w:color w:val="auto"/>
          <w:sz w:val="24"/>
          <w:highlight w:val="none"/>
          <w:lang w:val="en-US" w:eastAsia="zh-CN"/>
        </w:rPr>
        <w:t xml:space="preserve">     年    月    日</w:t>
      </w:r>
    </w:p>
    <w:p w14:paraId="47EC4428">
      <w:pPr>
        <w:keepNext w:val="0"/>
        <w:keepLines w:val="0"/>
        <w:pageBreakBefore w:val="0"/>
        <w:widowControl w:val="0"/>
        <w:kinsoku/>
        <w:wordWrap/>
        <w:overflowPunct/>
        <w:topLinePunct w:val="0"/>
        <w:autoSpaceDE/>
        <w:autoSpaceDN/>
        <w:bidi w:val="0"/>
        <w:adjustRightInd/>
        <w:snapToGrid/>
        <w:spacing w:line="480" w:lineRule="auto"/>
        <w:ind w:firstLine="420" w:firstLineChars="200"/>
        <w:textAlignment w:val="auto"/>
        <w:rPr>
          <w:rFonts w:hint="eastAsia" w:ascii="宋体" w:hAnsi="宋体" w:cs="宋体"/>
          <w:color w:val="auto"/>
          <w:sz w:val="21"/>
          <w:szCs w:val="21"/>
          <w:highlight w:val="none"/>
          <w:lang w:val="zh-CN" w:eastAsia="zh-CN"/>
        </w:rPr>
      </w:pPr>
      <w:r>
        <w:rPr>
          <w:rFonts w:hint="eastAsia" w:ascii="宋体" w:hAnsi="宋体" w:cs="宋体"/>
          <w:color w:val="auto"/>
          <w:sz w:val="21"/>
          <w:szCs w:val="21"/>
          <w:highlight w:val="none"/>
          <w:lang w:val="zh-CN" w:eastAsia="zh-CN"/>
        </w:rPr>
        <w:t>从业人员、营业收入、资产总额填报上一年度数据，无上一年度数据的新成立企业可不填报。</w:t>
      </w:r>
    </w:p>
    <w:p w14:paraId="3DD87640">
      <w:pPr>
        <w:rPr>
          <w:rFonts w:hint="eastAsia" w:ascii="宋体" w:hAnsi="宋体" w:cs="宋体"/>
          <w:color w:val="auto"/>
          <w:sz w:val="21"/>
          <w:szCs w:val="21"/>
          <w:highlight w:val="none"/>
          <w:lang w:val="zh-CN" w:eastAsia="zh-CN"/>
        </w:rPr>
      </w:pPr>
      <w:r>
        <w:rPr>
          <w:rFonts w:hint="eastAsia" w:ascii="宋体" w:hAnsi="宋体" w:cs="宋体"/>
          <w:color w:val="auto"/>
          <w:sz w:val="21"/>
          <w:szCs w:val="21"/>
          <w:highlight w:val="none"/>
          <w:lang w:val="zh-CN" w:eastAsia="zh-CN"/>
        </w:rPr>
        <w:br w:type="page"/>
      </w:r>
    </w:p>
    <w:p w14:paraId="6E72716D">
      <w:pPr>
        <w:spacing w:line="520" w:lineRule="exact"/>
        <w:jc w:val="center"/>
        <w:rPr>
          <w:b/>
          <w:bCs/>
          <w:color w:val="auto"/>
          <w:sz w:val="32"/>
          <w:szCs w:val="32"/>
        </w:rPr>
      </w:pPr>
      <w:r>
        <w:rPr>
          <w:rFonts w:hint="eastAsia"/>
          <w:b/>
          <w:bCs/>
          <w:color w:val="auto"/>
          <w:sz w:val="32"/>
          <w:szCs w:val="32"/>
          <w:lang w:val="en-US" w:eastAsia="zh-CN"/>
        </w:rPr>
        <w:t>2.2</w:t>
      </w:r>
      <w:r>
        <w:rPr>
          <w:rFonts w:hint="eastAsia"/>
          <w:b/>
          <w:bCs/>
          <w:color w:val="auto"/>
          <w:sz w:val="32"/>
          <w:szCs w:val="32"/>
        </w:rPr>
        <w:t>残疾人福利性单位声明函</w:t>
      </w:r>
    </w:p>
    <w:p w14:paraId="50951859">
      <w:pPr>
        <w:spacing w:line="560" w:lineRule="exact"/>
        <w:ind w:firstLine="504"/>
        <w:rPr>
          <w:rFonts w:cs="仿宋_GB2312"/>
          <w:color w:val="auto"/>
          <w:spacing w:val="6"/>
        </w:rPr>
      </w:pPr>
      <w:r>
        <w:rPr>
          <w:rFonts w:hint="eastAsia" w:cs="仿宋_GB2312"/>
          <w:color w:val="auto"/>
          <w:spacing w:val="6"/>
        </w:rPr>
        <w:t>本单位郑重声明，根据《财政部、民政部、中国残疾人联合会关于促进残疾人就业政府采购政策的通知》（财库〔2017〕141号）的规定，本单位为符合条件的残疾人福利性单位，本单位在职职工人数为</w:t>
      </w:r>
      <w:r>
        <w:rPr>
          <w:rFonts w:hint="eastAsia" w:cs="仿宋_GB2312"/>
          <w:color w:val="auto"/>
          <w:spacing w:val="6"/>
          <w:u w:val="single"/>
        </w:rPr>
        <w:t xml:space="preserve">       </w:t>
      </w:r>
      <w:r>
        <w:rPr>
          <w:rFonts w:hint="eastAsia" w:cs="仿宋_GB2312"/>
          <w:color w:val="auto"/>
          <w:spacing w:val="6"/>
        </w:rPr>
        <w:t>人，安置的残疾人人数</w:t>
      </w:r>
      <w:r>
        <w:rPr>
          <w:rFonts w:hint="eastAsia" w:cs="仿宋_GB2312"/>
          <w:color w:val="auto"/>
          <w:spacing w:val="6"/>
          <w:u w:val="single"/>
        </w:rPr>
        <w:t xml:space="preserve">      </w:t>
      </w:r>
      <w:r>
        <w:rPr>
          <w:rFonts w:hint="eastAsia" w:cs="仿宋_GB2312"/>
          <w:color w:val="auto"/>
          <w:spacing w:val="6"/>
        </w:rPr>
        <w:t>人。且本单位参加</w:t>
      </w:r>
      <w:r>
        <w:rPr>
          <w:rFonts w:hint="eastAsia" w:cs="仿宋_GB2312"/>
          <w:color w:val="auto"/>
          <w:spacing w:val="6"/>
          <w:u w:val="single"/>
        </w:rPr>
        <w:t xml:space="preserve">      </w:t>
      </w:r>
      <w:r>
        <w:rPr>
          <w:rFonts w:hint="eastAsia" w:cs="仿宋_GB2312"/>
          <w:color w:val="auto"/>
          <w:spacing w:val="6"/>
        </w:rPr>
        <w:t>单位的</w:t>
      </w:r>
      <w:r>
        <w:rPr>
          <w:rFonts w:hint="eastAsia" w:cs="仿宋_GB2312"/>
          <w:color w:val="auto"/>
          <w:spacing w:val="6"/>
          <w:u w:val="single"/>
        </w:rPr>
        <w:t xml:space="preserve">       </w:t>
      </w:r>
      <w:r>
        <w:rPr>
          <w:rFonts w:hint="eastAsia" w:cs="仿宋_GB2312"/>
          <w:color w:val="auto"/>
          <w:spacing w:val="6"/>
        </w:rPr>
        <w:t>项目采购活动提供本单位承担的工程，或者提供其他残疾人福利性单位承担的工程。</w:t>
      </w:r>
    </w:p>
    <w:p w14:paraId="46B44396">
      <w:pPr>
        <w:spacing w:line="560" w:lineRule="exact"/>
        <w:ind w:firstLine="504"/>
        <w:rPr>
          <w:rFonts w:cs="仿宋_GB2312"/>
          <w:color w:val="auto"/>
          <w:spacing w:val="6"/>
        </w:rPr>
      </w:pPr>
      <w:r>
        <w:rPr>
          <w:rFonts w:hint="eastAsia" w:cs="仿宋_GB2312"/>
          <w:color w:val="auto"/>
          <w:spacing w:val="6"/>
        </w:rPr>
        <w:t>本单位对上述声明的真实性负责。如有虚假，将依法承担相应责任。</w:t>
      </w:r>
    </w:p>
    <w:p w14:paraId="22016247">
      <w:pPr>
        <w:spacing w:before="120" w:beforeLines="50" w:line="560" w:lineRule="exact"/>
        <w:ind w:firstLine="504"/>
        <w:jc w:val="center"/>
        <w:rPr>
          <w:rFonts w:cs="仿宋_GB2312"/>
          <w:color w:val="auto"/>
          <w:spacing w:val="6"/>
        </w:rPr>
      </w:pPr>
      <w:r>
        <w:rPr>
          <w:rFonts w:hint="eastAsia" w:cs="仿宋_GB2312"/>
          <w:color w:val="auto"/>
          <w:spacing w:val="6"/>
        </w:rPr>
        <w:t xml:space="preserve">                </w:t>
      </w:r>
      <w:bookmarkStart w:id="1293" w:name="_Toc17628_WPSOffice_Level3"/>
    </w:p>
    <w:p w14:paraId="4FF74532">
      <w:pPr>
        <w:spacing w:line="520" w:lineRule="exact"/>
        <w:rPr>
          <w:rFonts w:cs="仿宋_GB2312"/>
          <w:color w:val="auto"/>
          <w:spacing w:val="6"/>
        </w:rPr>
      </w:pPr>
      <w:r>
        <w:rPr>
          <w:rFonts w:hint="eastAsia" w:cs="仿宋_GB2312"/>
          <w:color w:val="auto"/>
          <w:spacing w:val="6"/>
        </w:rPr>
        <w:t xml:space="preserve">                                </w:t>
      </w:r>
      <w:bookmarkEnd w:id="1293"/>
      <w:r>
        <w:rPr>
          <w:rFonts w:hint="eastAsia"/>
          <w:color w:val="auto"/>
        </w:rPr>
        <w:t>供应商：</w:t>
      </w:r>
      <w:r>
        <w:rPr>
          <w:rFonts w:hint="eastAsia"/>
          <w:color w:val="auto"/>
          <w:sz w:val="28"/>
          <w:szCs w:val="28"/>
          <w:u w:val="single"/>
        </w:rPr>
        <w:t xml:space="preserve">       </w:t>
      </w:r>
      <w:r>
        <w:rPr>
          <w:rFonts w:hint="eastAsia"/>
          <w:color w:val="auto"/>
        </w:rPr>
        <w:t>（公章）</w:t>
      </w:r>
    </w:p>
    <w:p w14:paraId="4EFD8B88">
      <w:pPr>
        <w:spacing w:before="120" w:beforeLines="50" w:line="560" w:lineRule="exact"/>
        <w:ind w:firstLine="504"/>
        <w:jc w:val="center"/>
        <w:rPr>
          <w:rFonts w:cs="仿宋_GB2312"/>
          <w:color w:val="auto"/>
          <w:spacing w:val="6"/>
        </w:rPr>
      </w:pPr>
      <w:r>
        <w:rPr>
          <w:rFonts w:hint="eastAsia" w:cs="仿宋_GB2312"/>
          <w:color w:val="auto"/>
          <w:spacing w:val="6"/>
        </w:rPr>
        <w:t xml:space="preserve">        </w:t>
      </w:r>
      <w:bookmarkStart w:id="1294" w:name="_Toc32124_WPSOffice_Level3"/>
      <w:r>
        <w:rPr>
          <w:rFonts w:hint="eastAsia" w:cs="仿宋_GB2312"/>
          <w:color w:val="auto"/>
          <w:spacing w:val="6"/>
        </w:rPr>
        <w:t>法定代表人或委托代理人：</w:t>
      </w:r>
      <w:r>
        <w:rPr>
          <w:rFonts w:hint="eastAsia" w:cs="仿宋_GB2312"/>
          <w:color w:val="auto"/>
          <w:spacing w:val="6"/>
          <w:u w:val="single"/>
        </w:rPr>
        <w:t xml:space="preserve">       </w:t>
      </w:r>
      <w:r>
        <w:rPr>
          <w:rFonts w:hint="eastAsia" w:cs="仿宋_GB2312"/>
          <w:color w:val="auto"/>
          <w:spacing w:val="6"/>
        </w:rPr>
        <w:t>（签字或盖章）</w:t>
      </w:r>
      <w:bookmarkEnd w:id="1294"/>
    </w:p>
    <w:p w14:paraId="0FA23439">
      <w:pPr>
        <w:spacing w:before="120" w:beforeLines="50" w:line="560" w:lineRule="exact"/>
        <w:ind w:firstLine="504"/>
        <w:jc w:val="center"/>
        <w:rPr>
          <w:rFonts w:hint="eastAsia" w:cs="仿宋_GB2312"/>
          <w:color w:val="auto"/>
          <w:spacing w:val="6"/>
        </w:rPr>
      </w:pPr>
      <w:r>
        <w:rPr>
          <w:rFonts w:hint="eastAsia" w:cs="仿宋_GB2312"/>
          <w:color w:val="auto"/>
          <w:spacing w:val="6"/>
        </w:rPr>
        <w:t xml:space="preserve">                                    </w:t>
      </w:r>
      <w:bookmarkStart w:id="1295" w:name="_Toc1871_WPSOffice_Level3"/>
      <w:r>
        <w:rPr>
          <w:rFonts w:hint="eastAsia" w:cs="仿宋_GB2312"/>
          <w:color w:val="auto"/>
          <w:spacing w:val="6"/>
        </w:rPr>
        <w:t>年   月  日</w:t>
      </w:r>
      <w:bookmarkEnd w:id="1295"/>
    </w:p>
    <w:p w14:paraId="5F49909F">
      <w:pPr>
        <w:rPr>
          <w:rFonts w:hint="eastAsia" w:cs="仿宋_GB2312"/>
          <w:color w:val="auto"/>
          <w:spacing w:val="6"/>
        </w:rPr>
      </w:pPr>
      <w:r>
        <w:rPr>
          <w:rFonts w:hint="eastAsia" w:cs="仿宋_GB2312"/>
          <w:color w:val="auto"/>
          <w:spacing w:val="6"/>
        </w:rPr>
        <w:br w:type="page"/>
      </w:r>
    </w:p>
    <w:p w14:paraId="59DF151F">
      <w:pPr>
        <w:spacing w:line="520" w:lineRule="exact"/>
        <w:jc w:val="center"/>
        <w:rPr>
          <w:b/>
          <w:bCs/>
          <w:color w:val="auto"/>
          <w:sz w:val="32"/>
          <w:szCs w:val="32"/>
        </w:rPr>
      </w:pPr>
      <w:r>
        <w:rPr>
          <w:rFonts w:hint="eastAsia"/>
          <w:b/>
          <w:bCs/>
          <w:color w:val="auto"/>
          <w:sz w:val="32"/>
          <w:szCs w:val="32"/>
          <w:lang w:val="en-US" w:eastAsia="zh-CN"/>
        </w:rPr>
        <w:t>2.3</w:t>
      </w:r>
      <w:r>
        <w:rPr>
          <w:rFonts w:hint="eastAsia"/>
          <w:b/>
          <w:bCs/>
          <w:color w:val="auto"/>
          <w:sz w:val="32"/>
          <w:szCs w:val="32"/>
        </w:rPr>
        <w:t>监狱企业证明资料</w:t>
      </w:r>
    </w:p>
    <w:p w14:paraId="1B5642CB">
      <w:pPr>
        <w:adjustRightInd w:val="0"/>
        <w:snapToGrid w:val="0"/>
        <w:spacing w:line="560" w:lineRule="exact"/>
        <w:ind w:firstLine="504"/>
        <w:rPr>
          <w:rFonts w:cs="仿宋_GB2312"/>
          <w:color w:val="auto"/>
        </w:rPr>
      </w:pPr>
      <w:r>
        <w:rPr>
          <w:rFonts w:hint="eastAsia" w:cs="仿宋_GB2312"/>
          <w:bCs/>
          <w:color w:val="auto"/>
          <w:spacing w:val="6"/>
        </w:rPr>
        <w:t>备注：</w:t>
      </w:r>
      <w:r>
        <w:rPr>
          <w:rFonts w:hint="eastAsia" w:cs="仿宋_GB2312"/>
          <w:color w:val="auto"/>
        </w:rPr>
        <w:t>按</w:t>
      </w:r>
      <w:r>
        <w:rPr>
          <w:rFonts w:hint="eastAsia" w:cs="仿宋_GB2312"/>
          <w:color w:val="auto"/>
          <w:spacing w:val="6"/>
        </w:rPr>
        <w:t>《</w:t>
      </w:r>
      <w:r>
        <w:rPr>
          <w:rFonts w:hint="eastAsia" w:cs="仿宋_GB2312"/>
          <w:color w:val="auto"/>
        </w:rPr>
        <w:t>财政部 司法部关于政府采购支持监狱企业发展有关问题的通知</w:t>
      </w:r>
      <w:r>
        <w:rPr>
          <w:rFonts w:hint="eastAsia" w:cs="仿宋_GB2312"/>
          <w:color w:val="auto"/>
          <w:spacing w:val="6"/>
        </w:rPr>
        <w:t>》</w:t>
      </w:r>
      <w:r>
        <w:rPr>
          <w:rFonts w:hint="eastAsia" w:cs="仿宋_GB2312"/>
          <w:color w:val="auto"/>
        </w:rPr>
        <w:t>(财库〔2014〕68号)文件规定提供证明文件（复印件）。</w:t>
      </w:r>
    </w:p>
    <w:p w14:paraId="410EBB6F">
      <w:pPr>
        <w:adjustRightInd w:val="0"/>
        <w:snapToGrid w:val="0"/>
        <w:spacing w:line="560" w:lineRule="exact"/>
        <w:ind w:firstLine="480"/>
        <w:rPr>
          <w:rFonts w:cs="仿宋_GB2312"/>
          <w:color w:val="auto"/>
        </w:rPr>
      </w:pPr>
    </w:p>
    <w:p w14:paraId="0C06E8F4">
      <w:pPr>
        <w:adjustRightInd w:val="0"/>
        <w:snapToGrid w:val="0"/>
        <w:spacing w:line="560" w:lineRule="exact"/>
        <w:ind w:firstLine="480"/>
        <w:rPr>
          <w:rFonts w:cs="仿宋_GB2312"/>
          <w:color w:val="auto"/>
        </w:rPr>
      </w:pPr>
    </w:p>
    <w:p w14:paraId="0B18A5DC">
      <w:pPr>
        <w:spacing w:before="120" w:beforeLines="50" w:line="560" w:lineRule="exact"/>
        <w:ind w:firstLine="480"/>
        <w:jc w:val="center"/>
        <w:rPr>
          <w:rFonts w:cs="仿宋_GB2312"/>
          <w:bCs/>
          <w:color w:val="auto"/>
        </w:rPr>
      </w:pPr>
      <w:bookmarkStart w:id="1296" w:name="_Toc22071_WPSOffice_Level3"/>
      <w:r>
        <w:rPr>
          <w:rFonts w:hint="eastAsia" w:cs="仿宋_GB2312"/>
          <w:bCs/>
          <w:color w:val="auto"/>
        </w:rPr>
        <w:t xml:space="preserve">                  </w:t>
      </w:r>
      <w:bookmarkEnd w:id="1296"/>
      <w:r>
        <w:rPr>
          <w:rFonts w:hint="eastAsia"/>
          <w:color w:val="auto"/>
        </w:rPr>
        <w:t>供应商：</w:t>
      </w:r>
      <w:r>
        <w:rPr>
          <w:rFonts w:hint="eastAsia"/>
          <w:color w:val="auto"/>
          <w:sz w:val="28"/>
          <w:szCs w:val="28"/>
          <w:u w:val="single"/>
        </w:rPr>
        <w:t xml:space="preserve">      </w:t>
      </w:r>
      <w:r>
        <w:rPr>
          <w:rFonts w:hint="eastAsia"/>
          <w:color w:val="auto"/>
        </w:rPr>
        <w:t>（公章）</w:t>
      </w:r>
    </w:p>
    <w:p w14:paraId="17968385">
      <w:pPr>
        <w:spacing w:before="120" w:beforeLines="50" w:line="560" w:lineRule="exact"/>
        <w:ind w:firstLine="480"/>
        <w:jc w:val="center"/>
        <w:rPr>
          <w:rFonts w:cs="仿宋_GB2312"/>
          <w:bCs/>
          <w:color w:val="auto"/>
        </w:rPr>
      </w:pPr>
      <w:r>
        <w:rPr>
          <w:rFonts w:hint="eastAsia" w:cs="仿宋_GB2312"/>
          <w:bCs/>
          <w:color w:val="auto"/>
        </w:rPr>
        <w:t xml:space="preserve">        </w:t>
      </w:r>
      <w:bookmarkStart w:id="1297" w:name="_Toc11539_WPSOffice_Level3"/>
      <w:r>
        <w:rPr>
          <w:rFonts w:hint="eastAsia" w:cs="仿宋_GB2312"/>
          <w:bCs/>
          <w:color w:val="auto"/>
        </w:rPr>
        <w:t>法定代表人或委托代理人：</w:t>
      </w:r>
      <w:r>
        <w:rPr>
          <w:rFonts w:hint="eastAsia" w:cs="仿宋_GB2312"/>
          <w:bCs/>
          <w:color w:val="auto"/>
          <w:u w:val="single"/>
        </w:rPr>
        <w:t xml:space="preserve">       </w:t>
      </w:r>
      <w:r>
        <w:rPr>
          <w:rFonts w:hint="eastAsia" w:cs="仿宋_GB2312"/>
          <w:bCs/>
          <w:color w:val="auto"/>
        </w:rPr>
        <w:t>（签字或盖章）</w:t>
      </w:r>
      <w:bookmarkEnd w:id="1297"/>
    </w:p>
    <w:p w14:paraId="50CFF0CA">
      <w:pPr>
        <w:pStyle w:val="9"/>
        <w:jc w:val="right"/>
        <w:rPr>
          <w:rFonts w:hint="eastAsia"/>
          <w:color w:val="auto"/>
        </w:rPr>
      </w:pPr>
      <w:r>
        <w:rPr>
          <w:rFonts w:hint="eastAsia" w:cs="仿宋_GB2312"/>
          <w:bCs/>
          <w:color w:val="auto"/>
        </w:rPr>
        <w:t xml:space="preserve">                                </w:t>
      </w:r>
      <w:r>
        <w:rPr>
          <w:rFonts w:hint="eastAsia" w:ascii="Arial" w:hAnsi="Arial" w:eastAsia="宋体" w:cstheme="minorBidi"/>
          <w:color w:val="auto"/>
          <w:kern w:val="0"/>
          <w:sz w:val="24"/>
          <w:szCs w:val="22"/>
          <w:lang w:val="en-US" w:eastAsia="zh-CN" w:bidi="ar-SA"/>
        </w:rPr>
        <w:t xml:space="preserve">    </w:t>
      </w:r>
      <w:bookmarkStart w:id="1298" w:name="_Toc3285_WPSOffice_Level3"/>
      <w:r>
        <w:rPr>
          <w:rFonts w:hint="eastAsia" w:ascii="Arial" w:hAnsi="Arial" w:eastAsia="宋体" w:cstheme="minorBidi"/>
          <w:color w:val="auto"/>
          <w:kern w:val="0"/>
          <w:sz w:val="24"/>
          <w:szCs w:val="22"/>
          <w:lang w:val="en-US" w:eastAsia="zh-CN" w:bidi="ar-SA"/>
        </w:rPr>
        <w:t>年   月  日</w:t>
      </w:r>
      <w:bookmarkEnd w:id="1298"/>
    </w:p>
    <w:p w14:paraId="73E4DE57">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p>
    <w:p w14:paraId="6173E521">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p>
    <w:p w14:paraId="44CDEF1A">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p>
    <w:p w14:paraId="4D3433CB">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p>
    <w:p w14:paraId="10FD5058">
      <w:pPr>
        <w:tabs>
          <w:tab w:val="left" w:pos="168"/>
        </w:tabs>
        <w:snapToGrid w:val="0"/>
        <w:spacing w:before="0" w:beforeAutospacing="0" w:after="0" w:afterAutospacing="0" w:line="360" w:lineRule="auto"/>
        <w:jc w:val="right"/>
        <w:textAlignment w:val="baseline"/>
        <w:rPr>
          <w:rFonts w:hint="eastAsia" w:ascii="宋体" w:hAnsi="宋体" w:eastAsia="宋体" w:cs="宋体"/>
          <w:b w:val="0"/>
          <w:bCs/>
          <w:i w:val="0"/>
          <w:caps w:val="0"/>
          <w:color w:val="auto"/>
          <w:spacing w:val="0"/>
          <w:w w:val="100"/>
          <w:sz w:val="20"/>
          <w:szCs w:val="28"/>
          <w:highlight w:val="none"/>
        </w:rPr>
      </w:pPr>
    </w:p>
    <w:p w14:paraId="1B77D44A">
      <w:pPr>
        <w:tabs>
          <w:tab w:val="left" w:pos="168"/>
        </w:tabs>
        <w:snapToGrid w:val="0"/>
        <w:spacing w:before="0" w:beforeAutospacing="0" w:after="0" w:afterAutospacing="0" w:line="360" w:lineRule="auto"/>
        <w:jc w:val="both"/>
        <w:textAlignment w:val="baseline"/>
        <w:rPr>
          <w:rFonts w:hint="eastAsia" w:ascii="宋体" w:hAnsi="宋体" w:eastAsia="宋体" w:cs="宋体"/>
          <w:b w:val="0"/>
          <w:bCs/>
          <w:i w:val="0"/>
          <w:caps w:val="0"/>
          <w:color w:val="auto"/>
          <w:spacing w:val="0"/>
          <w:w w:val="100"/>
          <w:sz w:val="20"/>
          <w:szCs w:val="28"/>
          <w:highlight w:val="none"/>
        </w:rPr>
      </w:pPr>
    </w:p>
    <w:p w14:paraId="0954F77F">
      <w:pPr>
        <w:snapToGrid w:val="0"/>
        <w:spacing w:before="0" w:beforeAutospacing="0" w:after="0" w:afterAutospacing="0" w:line="360" w:lineRule="auto"/>
        <w:jc w:val="center"/>
        <w:textAlignment w:val="baseline"/>
        <w:rPr>
          <w:rFonts w:hint="eastAsia" w:ascii="宋体" w:hAnsi="宋体" w:eastAsia="宋体" w:cs="宋体"/>
          <w:b/>
          <w:bCs/>
          <w:i w:val="0"/>
          <w:caps w:val="0"/>
          <w:color w:val="auto"/>
          <w:spacing w:val="0"/>
          <w:w w:val="100"/>
          <w:sz w:val="36"/>
          <w:szCs w:val="36"/>
          <w:highlight w:val="none"/>
        </w:rPr>
      </w:pPr>
    </w:p>
    <w:p w14:paraId="6D98D7C8">
      <w:pPr>
        <w:rPr>
          <w:rFonts w:hint="eastAsia" w:ascii="宋体" w:hAnsi="宋体" w:eastAsia="宋体" w:cs="宋体"/>
          <w:b/>
          <w:bCs/>
          <w:i w:val="0"/>
          <w:caps w:val="0"/>
          <w:color w:val="auto"/>
          <w:spacing w:val="0"/>
          <w:w w:val="100"/>
          <w:sz w:val="36"/>
          <w:szCs w:val="36"/>
          <w:highlight w:val="none"/>
        </w:rPr>
      </w:pPr>
      <w:bookmarkStart w:id="1299" w:name="_Toc24388"/>
      <w:bookmarkStart w:id="1300" w:name="_Toc2710"/>
      <w:r>
        <w:rPr>
          <w:rFonts w:hint="eastAsia" w:ascii="宋体" w:hAnsi="宋体" w:eastAsia="宋体" w:cs="宋体"/>
          <w:b/>
          <w:bCs/>
          <w:i w:val="0"/>
          <w:caps w:val="0"/>
          <w:color w:val="auto"/>
          <w:spacing w:val="0"/>
          <w:w w:val="100"/>
          <w:sz w:val="36"/>
          <w:szCs w:val="36"/>
          <w:highlight w:val="none"/>
        </w:rPr>
        <w:br w:type="page"/>
      </w:r>
    </w:p>
    <w:p w14:paraId="217F5927">
      <w:pPr>
        <w:snapToGrid w:val="0"/>
        <w:spacing w:before="0" w:beforeAutospacing="0" w:after="0" w:afterAutospacing="0" w:line="360" w:lineRule="auto"/>
        <w:jc w:val="center"/>
        <w:textAlignment w:val="baseline"/>
        <w:outlineLvl w:val="0"/>
        <w:rPr>
          <w:rFonts w:hint="eastAsia" w:ascii="宋体" w:hAnsi="宋体" w:eastAsia="宋体" w:cs="宋体"/>
          <w:b/>
          <w:bCs/>
          <w:i w:val="0"/>
          <w:caps w:val="0"/>
          <w:color w:val="auto"/>
          <w:spacing w:val="0"/>
          <w:w w:val="100"/>
          <w:sz w:val="36"/>
          <w:szCs w:val="36"/>
          <w:highlight w:val="none"/>
        </w:rPr>
      </w:pPr>
      <w:bookmarkStart w:id="1301" w:name="_Toc11078"/>
      <w:r>
        <w:rPr>
          <w:rFonts w:hint="eastAsia" w:ascii="宋体" w:hAnsi="宋体" w:eastAsia="宋体" w:cs="宋体"/>
          <w:b/>
          <w:bCs/>
          <w:i w:val="0"/>
          <w:caps w:val="0"/>
          <w:color w:val="auto"/>
          <w:spacing w:val="0"/>
          <w:w w:val="100"/>
          <w:sz w:val="36"/>
          <w:szCs w:val="36"/>
          <w:highlight w:val="none"/>
        </w:rPr>
        <w:t>第六章工程量清单</w:t>
      </w:r>
      <w:bookmarkEnd w:id="1299"/>
      <w:bookmarkEnd w:id="1300"/>
      <w:bookmarkEnd w:id="1301"/>
    </w:p>
    <w:p w14:paraId="55F7A42E">
      <w:pPr>
        <w:pStyle w:val="3"/>
        <w:snapToGrid w:val="0"/>
        <w:spacing w:before="260" w:beforeAutospacing="0" w:after="260" w:afterAutospacing="0" w:line="415" w:lineRule="auto"/>
        <w:textAlignment w:val="baseline"/>
        <w:rPr>
          <w:rFonts w:hint="eastAsia" w:ascii="宋体" w:hAnsi="宋体" w:eastAsia="宋体" w:cs="宋体"/>
          <w:b/>
          <w:i w:val="0"/>
          <w:caps w:val="0"/>
          <w:color w:val="auto"/>
          <w:spacing w:val="0"/>
          <w:w w:val="100"/>
          <w:sz w:val="24"/>
          <w:highlight w:val="none"/>
        </w:rPr>
      </w:pPr>
      <w:bookmarkStart w:id="1302" w:name="_Toc28385"/>
      <w:bookmarkStart w:id="1303" w:name="_Toc5044"/>
      <w:bookmarkStart w:id="1304" w:name="_Toc414468302"/>
      <w:bookmarkStart w:id="1305" w:name="_Toc26813"/>
      <w:bookmarkStart w:id="1306" w:name="_Toc28380"/>
      <w:bookmarkStart w:id="1307" w:name="_Toc27785"/>
      <w:bookmarkStart w:id="1308" w:name="_Toc458606537"/>
      <w:r>
        <w:rPr>
          <w:rFonts w:hint="eastAsia" w:ascii="宋体" w:hAnsi="宋体" w:eastAsia="宋体" w:cs="宋体"/>
          <w:b/>
          <w:i w:val="0"/>
          <w:caps w:val="0"/>
          <w:color w:val="auto"/>
          <w:spacing w:val="0"/>
          <w:w w:val="100"/>
          <w:sz w:val="24"/>
          <w:highlight w:val="none"/>
        </w:rPr>
        <w:t>1、工程量清单说明</w:t>
      </w:r>
      <w:bookmarkEnd w:id="1302"/>
      <w:bookmarkEnd w:id="1303"/>
      <w:bookmarkEnd w:id="1304"/>
      <w:bookmarkEnd w:id="1305"/>
      <w:bookmarkEnd w:id="1306"/>
      <w:bookmarkEnd w:id="1307"/>
      <w:bookmarkEnd w:id="1308"/>
    </w:p>
    <w:p w14:paraId="108EDF9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1.1本工程量清单是依据中华人民共和国国家标准《建设工程工程量清单计价规范》(以下简称“计价规范”)以及招标文件中包括的图纸等编制。计价规范中规定的工程量计算规则中没有的子目，应在本章第1.4款约定；计价规范中规定的工程量计算规则中没有且本章第1.4款也未约定的，双方协商确定；协商不成的，可向省级或行业工程造价管理机构申请裁定或按照有合同约束力的图纸所标示尺寸的理论净量计算。计量采用中华人民共和国法定的基本计量单位。</w:t>
      </w:r>
    </w:p>
    <w:p w14:paraId="6668DDE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1.2本工程量清单应与招标文件中的</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人须知、通用合同条款、专用合同条款、技术标准和要求及图纸等章节内容一起阅读和理解。</w:t>
      </w:r>
    </w:p>
    <w:p w14:paraId="6F7380F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1.3本工程量清单仅是投标报价的共同基础，竣工结算的工程量按合同约定确定。合同价格的确定以及价款支付应遵循合同条款(包括通用合同条款和专用合同条款)、技术标准和要求以及本章的有关约定。</w:t>
      </w:r>
    </w:p>
    <w:p w14:paraId="346B252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1.4补充子目的子目特征、计量单位、工程量计算规则及工作内容说明如下：</w:t>
      </w:r>
    </w:p>
    <w:p w14:paraId="78BD8B8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1.5本条第1.1款中约定的计量和计价规则适用于合同履约过程中工程量计量与价款支付、工程变更、索赔和工程结算。</w:t>
      </w:r>
    </w:p>
    <w:p w14:paraId="303800D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1.6本条与下述第2条和第3条的说明内容是构成合同文件的已标价工程量清单的组成部分。</w:t>
      </w:r>
    </w:p>
    <w:p w14:paraId="36778210">
      <w:pPr>
        <w:pStyle w:val="3"/>
        <w:snapToGrid w:val="0"/>
        <w:spacing w:before="260" w:beforeAutospacing="0" w:after="260" w:afterAutospacing="0" w:line="415" w:lineRule="auto"/>
        <w:textAlignment w:val="baseline"/>
        <w:rPr>
          <w:rFonts w:hint="eastAsia" w:ascii="宋体" w:hAnsi="宋体" w:eastAsia="宋体" w:cs="宋体"/>
          <w:b/>
          <w:i w:val="0"/>
          <w:caps w:val="0"/>
          <w:color w:val="auto"/>
          <w:spacing w:val="0"/>
          <w:w w:val="100"/>
          <w:sz w:val="24"/>
          <w:highlight w:val="none"/>
        </w:rPr>
      </w:pPr>
      <w:bookmarkStart w:id="1309" w:name="_Toc1494"/>
      <w:bookmarkStart w:id="1310" w:name="_Toc28984"/>
      <w:bookmarkStart w:id="1311" w:name="_Toc458606538"/>
      <w:bookmarkStart w:id="1312" w:name="_Toc23139"/>
      <w:bookmarkStart w:id="1313" w:name="_Toc414468303"/>
      <w:bookmarkStart w:id="1314" w:name="_Toc2200"/>
      <w:bookmarkStart w:id="1315" w:name="_Toc7244"/>
      <w:r>
        <w:rPr>
          <w:rFonts w:hint="eastAsia" w:ascii="宋体" w:hAnsi="宋体" w:eastAsia="宋体" w:cs="宋体"/>
          <w:b/>
          <w:i w:val="0"/>
          <w:caps w:val="0"/>
          <w:color w:val="auto"/>
          <w:spacing w:val="0"/>
          <w:w w:val="100"/>
          <w:sz w:val="24"/>
          <w:highlight w:val="none"/>
        </w:rPr>
        <w:t>2、投标报价说明</w:t>
      </w:r>
      <w:bookmarkEnd w:id="1309"/>
      <w:bookmarkEnd w:id="1310"/>
      <w:bookmarkEnd w:id="1311"/>
      <w:bookmarkEnd w:id="1312"/>
      <w:bookmarkEnd w:id="1313"/>
      <w:bookmarkEnd w:id="1314"/>
      <w:bookmarkEnd w:id="1315"/>
    </w:p>
    <w:p w14:paraId="4FE207E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2.1投标报价应根据招标文件中的有关计价要求，并按照下列依据自主报价。</w:t>
      </w:r>
    </w:p>
    <w:p w14:paraId="208006A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(1)本招标文件；</w:t>
      </w:r>
    </w:p>
    <w:p w14:paraId="672525C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(2)《建设工程工程量清单计价规范》；</w:t>
      </w:r>
    </w:p>
    <w:p w14:paraId="16DBA0C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(3)国家或省级、行业建设主管部门颁发的计价办法；</w:t>
      </w:r>
    </w:p>
    <w:p w14:paraId="0169552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(4)企业定额，国家或省级、行业建设主管部门颁发的计价定额；</w:t>
      </w:r>
    </w:p>
    <w:p w14:paraId="2934D34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(5)招标文件(包括工程量清单)的澄清、补充和修改文件；</w:t>
      </w:r>
    </w:p>
    <w:p w14:paraId="3E036AC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(6)建设工程设计文件及相关资料；</w:t>
      </w:r>
    </w:p>
    <w:p w14:paraId="3E09ED8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(7)施工现场情况、工程特点及拟定的投标施工组织设计或施工方案；</w:t>
      </w:r>
    </w:p>
    <w:p w14:paraId="649179E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(8)与建设项目相关的标准、规定等技术资料；</w:t>
      </w:r>
    </w:p>
    <w:p w14:paraId="069A953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(9)市场价格信息或工程造价管理机构发布的工程造价信息；</w:t>
      </w:r>
    </w:p>
    <w:p w14:paraId="6718D52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(10)其他的相关资料。</w:t>
      </w:r>
    </w:p>
    <w:p w14:paraId="1842BA0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2.2工程量清单中的每一子目须填入单价或价格，且只允许有一个报价。</w:t>
      </w:r>
    </w:p>
    <w:p w14:paraId="42CACDE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2.3工程量清单中标价的单价或金额，应包括所需人工费、材料费、施工机械使用费和管理费及利润，以及一定范围内的风险费用。所谓“一定范围内的风险”是指合同约定的风险。</w:t>
      </w:r>
    </w:p>
    <w:p w14:paraId="4BE9AD5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2.4已标价工程量清单中</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人没有填入单价或价格的子目，其费用视为已分摊在工程量清单中其他已标价的相关子目的单价或价格之中。</w:t>
      </w:r>
    </w:p>
    <w:p w14:paraId="345B66B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2.5“投标报价汇总表”中的投标总价由分部分项工程费、措施项目费、其他项目费、规费和税金组成，并且“投标报价汇总表”中的投标总价应当与构成已标价工程量清单的分部分项工程费、措施项目费、其他项目费、规费、税金的合计金额一致。</w:t>
      </w:r>
    </w:p>
    <w:p w14:paraId="628A534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2.6分部分项工程项目按下列要求报价：</w:t>
      </w:r>
    </w:p>
    <w:p w14:paraId="1E424C4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2.6.1分部分项工程量清单计价应依据计价规范中关于综合单价的组成内容确定报价。</w:t>
      </w:r>
    </w:p>
    <w:p w14:paraId="2C1BA99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2.6.2如果分部分项工程量清单中涉及“材料和工程设备暂估单价表”中列出的材料和工程设备，则按照本节第3.3.2项的报价原则，将该类材料和工程设备的暂估单价本身以及除对应的规费及税金以外的费用计入分部分项工程量清单相应子目的综合单价。</w:t>
      </w:r>
    </w:p>
    <w:p w14:paraId="3A70FAC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2.6.3如果分部分项工程量清单中涉及“发包人提供的材料和工程设备一览表”(见第三章合同条款及格式第三节附件三)中列出的材料和工程设备，则该类材料和工程设备供应至现场指定位置的采购供应价本身不计入投标报价，但应将该类材料和工程设备的安装、安装所需要的辅助材料、安装损耗以及其他必要的辅助工作及其对应的管理费及利润计入分部分项工程量清单相应子目的综合单价，并其他项目清单报价中计取与合同约定服务内容相对应的总承包服务费。</w:t>
      </w:r>
    </w:p>
    <w:p w14:paraId="6D2F834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2.6.4“分部分项工程量清单与计价表”所列各子目的综合单价组成中，各子目的人工、材料和机械台班消耗量由</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人按照其自身情况做充分的、竞争性考虑。材料消耗量包括损耗量。</w:t>
      </w:r>
    </w:p>
    <w:p w14:paraId="0072F5B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2.6.5</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在投标文件中提交并构成合同文件的“主要材料和工程设备选用表”中所列的材料和工程设备的价格是指此类材料和工程设备到达施工现场指定堆放地点的落地价格，即包括采购、包装、运输、装卸、堆放等到达施工现场指定落地或堆放地点之前的全部费用，但不包括落地之后发生的仓储、保管、库损以及从堆放地点运至安装地点的二次搬运费用。“主要材料和工程设备选用表”中所列材料和工程设备的价格应与构成综合单价相应材料或工程设备的价格一致。落地之后发生的仓储、保管、库损以及从堆放地点运至安装地点的二次搬运等其他费用均应在投标报价中考虑。</w:t>
      </w:r>
    </w:p>
    <w:p w14:paraId="3F47B2B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2.7措施项目按下列要求报价：</w:t>
      </w:r>
    </w:p>
    <w:p w14:paraId="53AE246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2.7.1措施项目清单计价应根据</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人的施工组织设计进行报价。可以计量工程量的措施项目，应按分部分项工程量清单的方式采用综合单价计价；其余的措施项目可以“项”为单位的方式计价。</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人所填报价格应包括除规费、税金外的全部费用。</w:t>
      </w:r>
    </w:p>
    <w:p w14:paraId="41BC75F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2.7.2措施项目清单中的安全文明施工费应按国家、省级或行业建设主管部门的规定计价，不得作为竞争性费用。</w:t>
      </w:r>
    </w:p>
    <w:p w14:paraId="7CFE01B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2.7.3招标人提供的措施项目清单中所列项目仅指一般的通用项目，</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在报价时应充分、全面地阅读和理解招标文件的相关内容和约定，包括第七章“技术标准和要求”的相关约定，详实了解工程场地及其周围环境，充分考虑招标工程特点及拟定的施工方案和施工组织设计，对招标人给出的措施项目清单的内容进行细化或增减。</w:t>
      </w:r>
    </w:p>
    <w:p w14:paraId="2238FFB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2.7.4“措施项目清单与计价表”中所填写的报价金额，应全面涵盖招标文件约定的</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人中标后施工、竣工、交付本工程并维修其任何缺陷所需要履行的责任和义务的全部费用。</w:t>
      </w:r>
    </w:p>
    <w:p w14:paraId="0A578B3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2.7.5对于“措施项目清单与计价表”中所填写的报价金额，应按照“措施项目清单报价分析表”对措施项目报价的组成进行详细的列项和分析。</w:t>
      </w:r>
    </w:p>
    <w:p w14:paraId="1EFF2E9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2.8其他项目清单费应按下列规定报价：</w:t>
      </w:r>
    </w:p>
    <w:p w14:paraId="68192CF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2.8.1暂列金额按“暂列金额明细表”中列出的金额报价，此处的暂列金额是招标人在招标文件中统一给定的，并不包括本章第2.8.3项的计日工金额。</w:t>
      </w:r>
    </w:p>
    <w:p w14:paraId="1EC431B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2.8.2暂估价分为材料和工程设备暂估单价和专业工程暂估价两类。其中的材料和工程设备暂估单价按本节第3.3.2项的报价原则进入分部分项工程量清单之综合单价，不在其他项目清单中汇总；专业工程暂估价直接按“专业工程暂估价表”中列出的金额和本节第3.3.3项的报价原则计入其他项目清单报价。</w:t>
      </w:r>
    </w:p>
    <w:p w14:paraId="423B77E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2.8.3计日工按“计日工表”中列出的子目和估算数量，自主确定综合单价并计算计日工金额。计日工综合单价均不包括规费和税金，其中：</w:t>
      </w:r>
    </w:p>
    <w:p w14:paraId="72E5FA3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(1)劳务单价应当包括工人工资、交通费用、各种补贴、劳动安全保护、社保费用、手提手动和电动工器具、施工场地内已经搭设的脚手架、水电和低值易耗品费用、现场管理费用、企业管理费和利润；</w:t>
      </w:r>
    </w:p>
    <w:p w14:paraId="665D46A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(2)材料价格包括材料运到现场的价格以及现场搬运、仓储、二次搬运、损耗、保险、企业管理费和利润；</w:t>
      </w:r>
    </w:p>
    <w:p w14:paraId="22743C2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(3)施工机械限于在施工场地(现场)的机械设备，其价格包括租赁或折旧、维修、维护和燃油等消耗品以及操作人员费用，包括承包人企业管理费和利润，但不包括规费和税金。辅助人员按劳务价格另计。</w:t>
      </w:r>
    </w:p>
    <w:p w14:paraId="1B61EE9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2.8.4总承包服务费根据招标文件中列出的内容和要求，按“总承包服务费计价表”所列格式自主报价。</w:t>
      </w:r>
    </w:p>
    <w:p w14:paraId="26660E9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2.9规费和税金应按“规费、税金项目清单与计价表”所列项目并根据国家、省级或行业建设主管部门的有关规定列项和计算，不得作为竞争性费用。</w:t>
      </w:r>
    </w:p>
    <w:p w14:paraId="3583970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2.10除招标文件有强制性规定以及不可竞争部分以外，投标报价由</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人自主确定，但不得低于其成本。</w:t>
      </w:r>
    </w:p>
    <w:p w14:paraId="3F13035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2.11工程量清单计价所涉及的生产资源(包括各类人工、材料、工程设备、施工设备、临时设施、临时用水、临时用电等)的投标价格，应根据自身的信息渠道和采购渠道，分析其市场价格水平并判断其整个施工周期内的变化趋势，体现</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人自身的管理水平、技术水平和综合实力。</w:t>
      </w:r>
    </w:p>
    <w:p w14:paraId="79017D0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2.12管理费应由</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人在保证不低于其成本的基础上做竞争性考虑；利润由</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人根据自身情况和综合实力做竞争性考虑。</w:t>
      </w:r>
    </w:p>
    <w:p w14:paraId="6041534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2.13投标报价中应考虑招标文件中要求</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人承担的风险范围以及相关的费用。</w:t>
      </w:r>
    </w:p>
    <w:p w14:paraId="020D4E4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2.14投标总价为</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人在投标文件中提出的各项支付金额的总和，为实施、完成招标工程并修补缺陷以及履行招标文件中约定的风险范围内的所有责任和义务所发生的全部费用。</w:t>
      </w:r>
    </w:p>
    <w:p w14:paraId="2EA8A05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2.15有关投标报价的其他说明：</w:t>
      </w:r>
    </w:p>
    <w:p w14:paraId="51E7810D">
      <w:pPr>
        <w:pStyle w:val="3"/>
        <w:snapToGrid w:val="0"/>
        <w:spacing w:before="260" w:beforeAutospacing="0" w:after="260" w:afterAutospacing="0" w:line="415" w:lineRule="auto"/>
        <w:textAlignment w:val="baseline"/>
        <w:rPr>
          <w:rFonts w:hint="eastAsia" w:ascii="宋体" w:hAnsi="宋体" w:eastAsia="宋体" w:cs="宋体"/>
          <w:b/>
          <w:i w:val="0"/>
          <w:caps w:val="0"/>
          <w:color w:val="auto"/>
          <w:spacing w:val="0"/>
          <w:w w:val="100"/>
          <w:sz w:val="24"/>
          <w:highlight w:val="none"/>
        </w:rPr>
      </w:pPr>
      <w:bookmarkStart w:id="1316" w:name="_Toc9538"/>
      <w:bookmarkStart w:id="1317" w:name="_Toc19816"/>
      <w:bookmarkStart w:id="1318" w:name="_Toc6579"/>
      <w:bookmarkStart w:id="1319" w:name="_Toc414468304"/>
      <w:bookmarkStart w:id="1320" w:name="_Toc9918"/>
      <w:bookmarkStart w:id="1321" w:name="_Toc9665"/>
      <w:bookmarkStart w:id="1322" w:name="_Toc458606539"/>
      <w:r>
        <w:rPr>
          <w:rFonts w:hint="eastAsia" w:ascii="宋体" w:hAnsi="宋体" w:eastAsia="宋体" w:cs="宋体"/>
          <w:b/>
          <w:i w:val="0"/>
          <w:caps w:val="0"/>
          <w:color w:val="auto"/>
          <w:spacing w:val="0"/>
          <w:w w:val="100"/>
          <w:sz w:val="24"/>
          <w:highlight w:val="none"/>
        </w:rPr>
        <w:t>3、其他说明</w:t>
      </w:r>
      <w:bookmarkEnd w:id="1316"/>
      <w:bookmarkEnd w:id="1317"/>
      <w:bookmarkEnd w:id="1318"/>
      <w:bookmarkEnd w:id="1319"/>
      <w:bookmarkEnd w:id="1320"/>
      <w:bookmarkEnd w:id="1321"/>
      <w:bookmarkEnd w:id="1322"/>
    </w:p>
    <w:p w14:paraId="1DE3631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3.1词语和定义</w:t>
      </w:r>
    </w:p>
    <w:p w14:paraId="216955B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3.1.1工程量清单</w:t>
      </w:r>
    </w:p>
    <w:p w14:paraId="3D57402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是表现本工程分部分项工程项目、措施项目、其他项目、规费项目和税金的名称和相应数量等的明细清单。</w:t>
      </w:r>
    </w:p>
    <w:p w14:paraId="5710647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23" w:name="_Toc3483"/>
      <w:bookmarkStart w:id="1324" w:name="_Toc21293"/>
      <w:bookmarkStart w:id="1325" w:name="_Toc23635"/>
      <w:r>
        <w:rPr>
          <w:rFonts w:hint="eastAsia" w:ascii="宋体" w:hAnsi="宋体" w:eastAsia="宋体" w:cs="宋体"/>
          <w:b w:val="0"/>
          <w:i w:val="0"/>
          <w:caps w:val="0"/>
          <w:color w:val="auto"/>
          <w:spacing w:val="0"/>
          <w:w w:val="100"/>
          <w:sz w:val="24"/>
          <w:szCs w:val="24"/>
          <w:highlight w:val="none"/>
        </w:rPr>
        <w:t>3.1.2总价子目</w:t>
      </w:r>
      <w:bookmarkEnd w:id="1323"/>
      <w:bookmarkEnd w:id="1324"/>
      <w:bookmarkEnd w:id="1325"/>
    </w:p>
    <w:p w14:paraId="5E0AFAD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工程量清单中以总价计价，以“项”为计量单位，工程量为整数1的子目，除专用合同条款另有约定外，总价固定包干。采用总价合同形式时，合同订立后，已标价工程量清单中的工程量均没有合同约束力，所有子目均是总价子目，视同按项计量(合同条款第15条约定的变更除外)。</w:t>
      </w:r>
    </w:p>
    <w:p w14:paraId="3564484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26" w:name="_Toc16282"/>
      <w:bookmarkStart w:id="1327" w:name="_Toc10158"/>
      <w:bookmarkStart w:id="1328" w:name="_Toc21827"/>
      <w:r>
        <w:rPr>
          <w:rFonts w:hint="eastAsia" w:ascii="宋体" w:hAnsi="宋体" w:eastAsia="宋体" w:cs="宋体"/>
          <w:b w:val="0"/>
          <w:i w:val="0"/>
          <w:caps w:val="0"/>
          <w:color w:val="auto"/>
          <w:spacing w:val="0"/>
          <w:w w:val="100"/>
          <w:sz w:val="24"/>
          <w:szCs w:val="24"/>
          <w:highlight w:val="none"/>
        </w:rPr>
        <w:t>3.1.3单价子目</w:t>
      </w:r>
      <w:bookmarkEnd w:id="1326"/>
      <w:bookmarkEnd w:id="1327"/>
      <w:bookmarkEnd w:id="1328"/>
    </w:p>
    <w:p w14:paraId="6B0DA69F">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工程量清单中以单价计价，根据有合同约束力的图纸和工程量计算规则进行计量，以实际完成数量乘以相应单价进行结算的子目。</w:t>
      </w:r>
    </w:p>
    <w:p w14:paraId="7FD1AC1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29" w:name="_Toc5147"/>
      <w:bookmarkStart w:id="1330" w:name="_Toc16161"/>
      <w:bookmarkStart w:id="1331" w:name="_Toc4463"/>
      <w:r>
        <w:rPr>
          <w:rFonts w:hint="eastAsia" w:ascii="宋体" w:hAnsi="宋体" w:eastAsia="宋体" w:cs="宋体"/>
          <w:b w:val="0"/>
          <w:i w:val="0"/>
          <w:caps w:val="0"/>
          <w:color w:val="auto"/>
          <w:spacing w:val="0"/>
          <w:w w:val="100"/>
          <w:sz w:val="24"/>
          <w:szCs w:val="24"/>
          <w:highlight w:val="none"/>
        </w:rPr>
        <w:t>3.1.4子目编码</w:t>
      </w:r>
      <w:bookmarkEnd w:id="1329"/>
      <w:bookmarkEnd w:id="1330"/>
      <w:bookmarkEnd w:id="1331"/>
    </w:p>
    <w:p w14:paraId="4B289FA4">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分部分项工程项目清单中所列的子目名称的数字标识和代码，子目编码与项目编码同义。</w:t>
      </w:r>
    </w:p>
    <w:p w14:paraId="101909C7">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32" w:name="_Toc18802"/>
      <w:bookmarkStart w:id="1333" w:name="_Toc13968"/>
      <w:bookmarkStart w:id="1334" w:name="_Toc5198"/>
      <w:r>
        <w:rPr>
          <w:rFonts w:hint="eastAsia" w:ascii="宋体" w:hAnsi="宋体" w:eastAsia="宋体" w:cs="宋体"/>
          <w:b w:val="0"/>
          <w:i w:val="0"/>
          <w:caps w:val="0"/>
          <w:color w:val="auto"/>
          <w:spacing w:val="0"/>
          <w:w w:val="100"/>
          <w:sz w:val="24"/>
          <w:szCs w:val="24"/>
          <w:highlight w:val="none"/>
        </w:rPr>
        <w:t>3.1.5子目特征</w:t>
      </w:r>
      <w:bookmarkEnd w:id="1332"/>
      <w:bookmarkEnd w:id="1333"/>
      <w:bookmarkEnd w:id="1334"/>
    </w:p>
    <w:p w14:paraId="04B1E049">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构成分部分项工程项目清单子目、措施项目的实质内容、决定其自身价值的本质特征，子目特征与项目特征同义。</w:t>
      </w:r>
    </w:p>
    <w:p w14:paraId="69D93F1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35" w:name="_Toc24169"/>
      <w:bookmarkStart w:id="1336" w:name="_Toc10621"/>
      <w:bookmarkStart w:id="1337" w:name="_Toc29568"/>
      <w:r>
        <w:rPr>
          <w:rFonts w:hint="eastAsia" w:ascii="宋体" w:hAnsi="宋体" w:eastAsia="宋体" w:cs="宋体"/>
          <w:b w:val="0"/>
          <w:i w:val="0"/>
          <w:caps w:val="0"/>
          <w:color w:val="auto"/>
          <w:spacing w:val="0"/>
          <w:w w:val="100"/>
          <w:sz w:val="24"/>
          <w:szCs w:val="24"/>
          <w:highlight w:val="none"/>
        </w:rPr>
        <w:t>3.1.6规费</w:t>
      </w:r>
      <w:bookmarkEnd w:id="1335"/>
      <w:bookmarkEnd w:id="1336"/>
      <w:bookmarkEnd w:id="1337"/>
    </w:p>
    <w:p w14:paraId="0A269776">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承包人根据省级政府或省级有关权力部门规定必须缴纳的，应计入建筑安装工程造价的费用。</w:t>
      </w:r>
    </w:p>
    <w:p w14:paraId="4F1D9841">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38" w:name="_Toc29860"/>
      <w:bookmarkStart w:id="1339" w:name="_Toc12101"/>
      <w:bookmarkStart w:id="1340" w:name="_Toc13823"/>
      <w:r>
        <w:rPr>
          <w:rFonts w:hint="eastAsia" w:ascii="宋体" w:hAnsi="宋体" w:eastAsia="宋体" w:cs="宋体"/>
          <w:b w:val="0"/>
          <w:i w:val="0"/>
          <w:caps w:val="0"/>
          <w:color w:val="auto"/>
          <w:spacing w:val="0"/>
          <w:w w:val="100"/>
          <w:sz w:val="24"/>
          <w:szCs w:val="24"/>
          <w:highlight w:val="none"/>
        </w:rPr>
        <w:t>3.1.7税金</w:t>
      </w:r>
      <w:bookmarkEnd w:id="1338"/>
      <w:bookmarkEnd w:id="1339"/>
      <w:bookmarkEnd w:id="1340"/>
    </w:p>
    <w:p w14:paraId="4D3C002E">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国家税法规定的应计入建筑安装工程造价内的营业税、城市维护建设税及教育费附加等。</w:t>
      </w:r>
    </w:p>
    <w:p w14:paraId="5DE52F8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41" w:name="_Toc20313"/>
      <w:bookmarkStart w:id="1342" w:name="_Toc31738"/>
      <w:bookmarkStart w:id="1343" w:name="_Toc5708"/>
      <w:r>
        <w:rPr>
          <w:rFonts w:hint="eastAsia" w:ascii="宋体" w:hAnsi="宋体" w:eastAsia="宋体" w:cs="宋体"/>
          <w:b w:val="0"/>
          <w:i w:val="0"/>
          <w:caps w:val="0"/>
          <w:color w:val="auto"/>
          <w:spacing w:val="0"/>
          <w:w w:val="100"/>
          <w:sz w:val="24"/>
          <w:szCs w:val="24"/>
          <w:highlight w:val="none"/>
        </w:rPr>
        <w:t>3.1.8总承包服务费</w:t>
      </w:r>
      <w:bookmarkEnd w:id="1341"/>
      <w:bookmarkEnd w:id="1342"/>
      <w:bookmarkEnd w:id="1343"/>
    </w:p>
    <w:p w14:paraId="13FD54A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总承包人为配合协调发包人发包的专业工程以及发包人采购的材料和工程设备等进行管理、服务以及施工现场管理、竣工资料汇总整理等所需的费用。</w:t>
      </w:r>
    </w:p>
    <w:p w14:paraId="47872032">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44" w:name="_Toc12640"/>
      <w:bookmarkStart w:id="1345" w:name="_Toc6969"/>
      <w:bookmarkStart w:id="1346" w:name="_Toc14458"/>
      <w:r>
        <w:rPr>
          <w:rFonts w:hint="eastAsia" w:ascii="宋体" w:hAnsi="宋体" w:eastAsia="宋体" w:cs="宋体"/>
          <w:b w:val="0"/>
          <w:i w:val="0"/>
          <w:caps w:val="0"/>
          <w:color w:val="auto"/>
          <w:spacing w:val="0"/>
          <w:w w:val="100"/>
          <w:sz w:val="24"/>
          <w:szCs w:val="24"/>
          <w:highlight w:val="none"/>
        </w:rPr>
        <w:t>3.1.9同义词语</w:t>
      </w:r>
      <w:bookmarkEnd w:id="1344"/>
      <w:bookmarkEnd w:id="1345"/>
      <w:bookmarkEnd w:id="1346"/>
    </w:p>
    <w:p w14:paraId="71658EFD">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本章中使用的词语“招标人”和“</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人”分别与合同条款中定义的“发包人”和“承包人”同义；就工程量清单而言，“子目”与“项目”同义。</w:t>
      </w:r>
    </w:p>
    <w:p w14:paraId="7B390545">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47" w:name="_Toc18933"/>
      <w:bookmarkStart w:id="1348" w:name="_Toc20275"/>
      <w:bookmarkStart w:id="1349" w:name="_Toc9428"/>
      <w:r>
        <w:rPr>
          <w:rFonts w:hint="eastAsia" w:ascii="宋体" w:hAnsi="宋体" w:eastAsia="宋体" w:cs="宋体"/>
          <w:b w:val="0"/>
          <w:i w:val="0"/>
          <w:caps w:val="0"/>
          <w:color w:val="auto"/>
          <w:spacing w:val="0"/>
          <w:w w:val="100"/>
          <w:sz w:val="24"/>
          <w:szCs w:val="24"/>
          <w:highlight w:val="none"/>
        </w:rPr>
        <w:t>3.2工程量差异调整</w:t>
      </w:r>
      <w:bookmarkEnd w:id="1347"/>
      <w:bookmarkEnd w:id="1348"/>
      <w:bookmarkEnd w:id="1349"/>
    </w:p>
    <w:p w14:paraId="06DE8FC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3.2.1工程量清单中的工作内容分类、子目列项、特征描述以及“分部分项工程量清单与计价表”中附带的工程量都不应理解为是对承包(招标)范围以及合同工作内容的唯一的、最终的或全部的定义。</w:t>
      </w:r>
    </w:p>
    <w:p w14:paraId="3DB809AC">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3.2.2</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应对招标人提供的工程量清单进行认真细致的复核。这种复核包括对招标人提供的工程量清单中的子目编码、子目名称、子目特征描述、计量单位、工程量的准确性以及可能存在的任何书写、打印错误进行检查和复核，特别是对“分部分项工程量清单与计价表”中每个工作子目的工程量进行重新计算和校核。如果</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人经过检查和复核以后认为招标人提供的工程量清单存在差异，则</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人应将此类差异的详细情况连同按</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人须知规定提交的要求招标人澄清的其他问题一起提交给招标人，招标人将根据实际情况决定是否颁发工程量清单的补充和(或)修改文件。</w:t>
      </w:r>
    </w:p>
    <w:p w14:paraId="6C0E42A8">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3.2.3如果招标人在检查</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人根据上文第3.2.2项提交的工程量差异问题后认为没有必要对工程量清单进行补充和(或)修改，或者招标人根据上文第3.2.2项对工程量清单进行了补充和(或)修改，但</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人认为工程量清单中的工程量依然存在差异，则此类差异不再提交招标人答疑和修正，而是直接按招标人提供的工程量清单(包括招标人可能的补充和(或)修改)进行投标报价。</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在按照工程量清单进行报价时，除按照本节2.7.3项要求对招标人提供的措施项目清单的内容进行细化或增减外，不得改变(包括对工程量清单子目的子目名称、子目特征描述、计量单位以及工程量的任何修改、增加或减少)招标人提供的分部分项工程量清单和其他项目清单。即使按照图纸和招标范围的约定并不存在的子目，只要在招标人提供的分部分项工程量清单中已经列明，</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人都需要对其报价，并纳入投标总价的计算。</w:t>
      </w:r>
    </w:p>
    <w:p w14:paraId="5E3193AB">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bookmarkStart w:id="1350" w:name="_Toc21422"/>
      <w:bookmarkStart w:id="1351" w:name="_Toc18934"/>
      <w:bookmarkStart w:id="1352" w:name="_Toc21157"/>
      <w:r>
        <w:rPr>
          <w:rFonts w:hint="eastAsia" w:ascii="宋体" w:hAnsi="宋体" w:eastAsia="宋体" w:cs="宋体"/>
          <w:b w:val="0"/>
          <w:i w:val="0"/>
          <w:caps w:val="0"/>
          <w:color w:val="auto"/>
          <w:spacing w:val="0"/>
          <w:w w:val="100"/>
          <w:sz w:val="24"/>
          <w:szCs w:val="24"/>
          <w:highlight w:val="none"/>
        </w:rPr>
        <w:t>3.3暂列金额和暂估价</w:t>
      </w:r>
      <w:bookmarkEnd w:id="1350"/>
      <w:bookmarkEnd w:id="1351"/>
      <w:bookmarkEnd w:id="1352"/>
    </w:p>
    <w:p w14:paraId="03425420">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3.3.1“暂列金额明细表”中所列暂列金额(不包括计日工金额)中已经包含与其对应的管理费、利润和规费，但不含税金。</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人应按本招标文件规定将此类暂列金额直接纳入其他项目清单的投标价格并计取相应的税金，不需要考虑除税金以外的其他任何费用。</w:t>
      </w:r>
    </w:p>
    <w:p w14:paraId="28CD6683">
      <w:pPr>
        <w:snapToGrid w:val="0"/>
        <w:spacing w:before="0" w:beforeAutospacing="0" w:after="0" w:afterAutospacing="0" w:line="360" w:lineRule="auto"/>
        <w:ind w:firstLine="424" w:firstLineChars="177"/>
        <w:jc w:val="both"/>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3.3.2“材料和工程设备暂估价表”中所列的材料和工程设备暂估价是此类材料、工程设备本身运至施工现场内的工地地面价，不包括其本身所对应的管理费、利润、规费、税金以及这些材料和工程设备的安装、安装所需要的辅助材料、安装损耗、驻厂监造以及发生在现场内的验收、存储、保管、开箱、二次倒运、从存放地点运至安装地点以及其他任何必要的辅助工作(以下简称“暂估价材料和工程设备的安装及辅助工作”)所发生的费用及其对应的管理费、利润、规费和税金。除应按本招标文件规定将此类暂估价本身纳入分部分项工程量清单相应子目的综合单价以外，</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人还应将上述材料和工程设备的安装及辅助工作所发生的费用以及与此类费用有关的管理费和利润包含在分部分项工程量清单相应子目的综合单价中，并计取相应的规费和税金。</w:t>
      </w:r>
    </w:p>
    <w:p w14:paraId="7421DE95">
      <w:pPr>
        <w:snapToGrid w:val="0"/>
        <w:spacing w:before="0" w:beforeAutospacing="0" w:after="0" w:afterAutospacing="0" w:line="360" w:lineRule="auto"/>
        <w:ind w:firstLine="424" w:firstLineChars="177"/>
        <w:jc w:val="left"/>
        <w:textAlignment w:val="baseline"/>
        <w:rPr>
          <w:rFonts w:hint="eastAsia" w:ascii="宋体" w:hAnsi="宋体" w:eastAsia="宋体" w:cs="宋体"/>
          <w:b w:val="0"/>
          <w:i w:val="0"/>
          <w:caps w:val="0"/>
          <w:color w:val="auto"/>
          <w:spacing w:val="0"/>
          <w:w w:val="100"/>
          <w:sz w:val="20"/>
          <w:szCs w:val="24"/>
          <w:highlight w:val="none"/>
        </w:rPr>
      </w:pPr>
      <w:r>
        <w:rPr>
          <w:rFonts w:hint="eastAsia" w:ascii="宋体" w:hAnsi="宋体" w:eastAsia="宋体" w:cs="宋体"/>
          <w:b w:val="0"/>
          <w:i w:val="0"/>
          <w:caps w:val="0"/>
          <w:color w:val="auto"/>
          <w:spacing w:val="0"/>
          <w:w w:val="100"/>
          <w:sz w:val="24"/>
          <w:szCs w:val="24"/>
          <w:highlight w:val="none"/>
        </w:rPr>
        <w:t>3.3.3专业工程暂估价表中所列的专业工程暂估价已经包含与其对应的管理费、利润和规费，但不含税金。</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人应按本招标文件规定将此类暂估价直接纳入其他项目清单的投标价格并计取相应的税金。除按本招标文件规定将此类暂估价纳入其他项目清单的投标价格并计取相应的税金以外，</w:t>
      </w:r>
      <w:r>
        <w:rPr>
          <w:rFonts w:hint="eastAsia" w:ascii="宋体" w:hAnsi="宋体" w:eastAsia="宋体" w:cs="宋体"/>
          <w:b w:val="0"/>
          <w:i w:val="0"/>
          <w:caps w:val="0"/>
          <w:color w:val="auto"/>
          <w:spacing w:val="0"/>
          <w:w w:val="100"/>
          <w:sz w:val="24"/>
          <w:szCs w:val="24"/>
          <w:highlight w:val="none"/>
          <w:lang w:eastAsia="zh-CN"/>
        </w:rPr>
        <w:t>磋商响应</w:t>
      </w:r>
      <w:r>
        <w:rPr>
          <w:rFonts w:hint="eastAsia" w:ascii="宋体" w:hAnsi="宋体" w:eastAsia="宋体" w:cs="宋体"/>
          <w:b w:val="0"/>
          <w:i w:val="0"/>
          <w:caps w:val="0"/>
          <w:color w:val="auto"/>
          <w:spacing w:val="0"/>
          <w:w w:val="100"/>
          <w:sz w:val="24"/>
          <w:szCs w:val="24"/>
          <w:highlight w:val="none"/>
        </w:rPr>
        <w:t>人还需要根据招标文件规定的内容考虑相应的总承包服务费以及与总承包服务费有关的规费和税金。</w:t>
      </w:r>
      <w:bookmarkStart w:id="1353" w:name="_Toc10054"/>
      <w:bookmarkStart w:id="1354" w:name="_Toc15661"/>
      <w:bookmarkStart w:id="1355" w:name="_Toc18793"/>
    </w:p>
    <w:p w14:paraId="77C0EFDF">
      <w:pPr>
        <w:snapToGrid w:val="0"/>
        <w:spacing w:before="0" w:beforeAutospacing="0" w:after="0" w:afterAutospacing="0" w:line="360" w:lineRule="auto"/>
        <w:ind w:firstLine="424" w:firstLineChars="177"/>
        <w:jc w:val="left"/>
        <w:textAlignment w:val="baseline"/>
        <w:rPr>
          <w:rFonts w:hint="eastAsia" w:ascii="宋体" w:hAnsi="宋体" w:eastAsia="宋体" w:cs="宋体"/>
          <w:b w:val="0"/>
          <w:i w:val="0"/>
          <w:caps w:val="0"/>
          <w:color w:val="auto"/>
          <w:spacing w:val="0"/>
          <w:w w:val="100"/>
          <w:sz w:val="24"/>
          <w:szCs w:val="24"/>
          <w:highlight w:val="none"/>
        </w:rPr>
      </w:pPr>
      <w:r>
        <w:rPr>
          <w:rFonts w:hint="eastAsia" w:ascii="宋体" w:hAnsi="宋体" w:eastAsia="宋体" w:cs="宋体"/>
          <w:b w:val="0"/>
          <w:i w:val="0"/>
          <w:caps w:val="0"/>
          <w:color w:val="auto"/>
          <w:spacing w:val="0"/>
          <w:w w:val="100"/>
          <w:sz w:val="24"/>
          <w:szCs w:val="24"/>
          <w:highlight w:val="none"/>
        </w:rPr>
        <w:t>3.4其他补充说明</w:t>
      </w:r>
      <w:bookmarkEnd w:id="1353"/>
      <w:bookmarkEnd w:id="1354"/>
      <w:bookmarkEnd w:id="1355"/>
    </w:p>
    <w:p w14:paraId="07F4578B">
      <w:pPr>
        <w:rPr>
          <w:rFonts w:hint="eastAsia"/>
          <w:color w:val="auto"/>
          <w:lang w:eastAsia="zh-CN"/>
        </w:rPr>
      </w:pPr>
      <w:r>
        <w:rPr>
          <w:rFonts w:hint="eastAsia"/>
          <w:color w:val="auto"/>
          <w:lang w:eastAsia="zh-CN"/>
        </w:rPr>
        <w:br w:type="page"/>
      </w:r>
    </w:p>
    <w:p w14:paraId="6FAE04CC">
      <w:pPr>
        <w:pStyle w:val="10"/>
        <w:jc w:val="center"/>
        <w:rPr>
          <w:rFonts w:hint="eastAsia" w:ascii="宋体" w:hAnsi="宋体" w:eastAsia="宋体" w:cs="宋体"/>
          <w:color w:val="auto"/>
          <w:lang w:eastAsia="zh-CN"/>
        </w:rPr>
      </w:pPr>
      <w:r>
        <w:rPr>
          <w:rFonts w:hint="eastAsia" w:ascii="宋体" w:hAnsi="宋体" w:eastAsia="宋体" w:cs="宋体"/>
          <w:color w:val="auto"/>
          <w:lang w:eastAsia="zh-CN"/>
        </w:rPr>
        <w:t>工程量清单</w:t>
      </w:r>
    </w:p>
    <w:p w14:paraId="0AA6D033">
      <w:pPr>
        <w:pStyle w:val="11"/>
        <w:jc w:val="center"/>
        <w:rPr>
          <w:rFonts w:hint="default"/>
          <w:color w:val="auto"/>
          <w:lang w:val="en-US" w:eastAsia="zh-CN"/>
        </w:rPr>
      </w:pPr>
      <w:r>
        <w:rPr>
          <w:rFonts w:hint="eastAsia"/>
          <w:color w:val="auto"/>
          <w:lang w:val="en-US" w:eastAsia="zh-CN"/>
        </w:rPr>
        <w:t>另附</w:t>
      </w:r>
    </w:p>
    <w:sectPr>
      <w:pgSz w:w="11905" w:h="16838"/>
      <w:pgMar w:top="1361" w:right="1361" w:bottom="1361" w:left="1361" w:header="850" w:footer="992" w:gutter="0"/>
      <w:pgBorders w:offsetFrom="page">
        <w:top w:val="single" w:color="A6A6A6" w:sz="18" w:space="24"/>
        <w:left w:val="single" w:color="A6A6A6" w:sz="18" w:space="24"/>
        <w:bottom w:val="single" w:color="A6A6A6" w:sz="18" w:space="24"/>
        <w:right w:val="single" w:color="A6A6A6" w:sz="18" w:space="24"/>
      </w:pgBorders>
      <w:pgNumType w:fmt="decimal"/>
      <w:cols w:space="0" w:num="1"/>
      <w:titlePg/>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2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Cambria">
    <w:panose1 w:val="02040503050406030204"/>
    <w:charset w:val="00"/>
    <w:family w:val="roman"/>
    <w:pitch w:val="default"/>
    <w:sig w:usb0="E00006FF" w:usb1="420024FF" w:usb2="02000000" w:usb3="00000000" w:csb0="2000019F" w:csb1="00000000"/>
  </w:font>
  <w:font w:name="monospace">
    <w:altName w:val="Segoe Print"/>
    <w:panose1 w:val="00000000000000000000"/>
    <w:charset w:val="00"/>
    <w:family w:val="auto"/>
    <w:pitch w:val="default"/>
    <w:sig w:usb0="00000000" w:usb1="00000000" w:usb2="00000000" w:usb3="00000000" w:csb0="00000000" w:csb1="00000000"/>
  </w:font>
  <w:font w:name="Consolas">
    <w:panose1 w:val="020B0609020204030204"/>
    <w:charset w:val="00"/>
    <w:family w:val="auto"/>
    <w:pitch w:val="default"/>
    <w:sig w:usb0="E00006FF" w:usb1="0000FCFF" w:usb2="00000001" w:usb3="00000000" w:csb0="6000019F" w:csb1="DFD70000"/>
  </w:font>
  <w:font w:name="Calibri Light">
    <w:panose1 w:val="020F0302020204030204"/>
    <w:charset w:val="00"/>
    <w:family w:val="swiss"/>
    <w:pitch w:val="default"/>
    <w:sig w:usb0="E4002EFF" w:usb1="C000247B" w:usb2="00000009" w:usb3="00000000" w:csb0="200001FF" w:csb1="00000000"/>
  </w:font>
  <w:font w:name="sfont">
    <w:altName w:val="Segoe Print"/>
    <w:panose1 w:val="00000000000000000000"/>
    <w:charset w:val="00"/>
    <w:family w:val="auto"/>
    <w:pitch w:val="default"/>
    <w:sig w:usb0="00000000" w:usb1="00000000" w:usb2="00000000" w:usb3="00000000" w:csb0="00000000" w:csb1="00000000"/>
  </w:font>
  <w:font w:name="仿宋_GB2312">
    <w:altName w:val="仿宋"/>
    <w:panose1 w:val="02010609030101010101"/>
    <w:charset w:val="86"/>
    <w:family w:val="modern"/>
    <w:pitch w:val="default"/>
    <w:sig w:usb0="00000000" w:usb1="00000000" w:usb2="00000000" w:usb3="00000000" w:csb0="00040000" w:csb1="00000000"/>
  </w:font>
  <w:font w:name="Segoe Print">
    <w:panose1 w:val="02000600000000000000"/>
    <w:charset w:val="00"/>
    <w:family w:val="auto"/>
    <w:pitch w:val="default"/>
    <w:sig w:usb0="0000028F" w:usb1="00000000" w:usb2="00000000" w:usb3="00000000" w:csb0="2000009F" w:csb1="4701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472A52">
    <w:pPr>
      <w:pStyle w:val="15"/>
      <w:tabs>
        <w:tab w:val="clear" w:pos="4153"/>
      </w:tabs>
      <w:jc w:val="center"/>
      <w:rPr>
        <w:rFonts w:hint="default" w:eastAsia="微软雅黑"/>
        <w:lang w:val="en-US" w:eastAsia="zh-CN"/>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350B9D">
    <w:pPr>
      <w:pStyle w:val="15"/>
      <w:jc w:val="center"/>
    </w:pPr>
    <w:r>
      <w:fldChar w:fldCharType="begin"/>
    </w:r>
    <w:r>
      <w:instrText xml:space="preserve"> PAGE   \* MERGEFORMAT </w:instrText>
    </w:r>
    <w:r>
      <w:fldChar w:fldCharType="separate"/>
    </w:r>
    <w:r>
      <w:rPr>
        <w:lang w:val="zh-CN"/>
      </w:rPr>
      <w:t>4</w:t>
    </w:r>
    <w:r>
      <w:rPr>
        <w:lang w:val="zh-CN"/>
      </w:rPr>
      <w:fldChar w:fldCharType="end"/>
    </w:r>
  </w:p>
  <w:tbl>
    <w:tblPr>
      <w:tblStyle w:val="23"/>
      <w:tblW w:w="9696" w:type="dxa"/>
      <w:tblInd w:w="0" w:type="dxa"/>
      <w:tblLayout w:type="fixed"/>
      <w:tblCellMar>
        <w:top w:w="0" w:type="dxa"/>
        <w:left w:w="108" w:type="dxa"/>
        <w:bottom w:w="0" w:type="dxa"/>
        <w:right w:w="108" w:type="dxa"/>
      </w:tblCellMar>
    </w:tblPr>
    <w:tblGrid>
      <w:gridCol w:w="805"/>
      <w:gridCol w:w="8891"/>
    </w:tblGrid>
    <w:tr w14:paraId="2F639A6B">
      <w:tblPrEx>
        <w:tblCellMar>
          <w:top w:w="0" w:type="dxa"/>
          <w:left w:w="108" w:type="dxa"/>
          <w:bottom w:w="0" w:type="dxa"/>
          <w:right w:w="108" w:type="dxa"/>
        </w:tblCellMar>
      </w:tblPrEx>
      <w:trPr>
        <w:trHeight w:val="528" w:hRule="atLeast"/>
      </w:trPr>
      <w:tc>
        <w:tcPr>
          <w:tcW w:w="805" w:type="dxa"/>
        </w:tcPr>
        <w:p w14:paraId="2589D0EC">
          <w:pPr>
            <w:tabs>
              <w:tab w:val="center" w:pos="4153"/>
              <w:tab w:val="right" w:pos="8306"/>
            </w:tabs>
            <w:rPr>
              <w:rFonts w:ascii="Calibri" w:hAnsi="Calibri"/>
              <w:sz w:val="18"/>
              <w:szCs w:val="18"/>
            </w:rPr>
          </w:pPr>
          <w:r>
            <w:pict>
              <v:shape id="_x0000_s2055" o:spid="_x0000_s2055" o:spt="136" type="#_x0000_t136" style="position:absolute;left:0pt;height:132.7pt;width:530.8pt;mso-position-horizontal:center;mso-position-horizontal-relative:margin;mso-position-vertical:center;mso-position-vertical-relative:margin;rotation:20643840f;z-index:-251656192;mso-width-relative:page;mso-height-relative:page;" fillcolor="#F2F2F2" filled="t" stroked="f" coordsize="21600,21600" o:allowincell="f">
                <v:path/>
                <v:fill on="t" opacity="32768f" focussize="0,0"/>
                <v:stroke on="f"/>
                <v:imagedata o:title=""/>
                <o:lock v:ext="edit"/>
                <v:textpath on="t" fitshape="t" fitpath="t" trim="t" xscale="f" string="容基招标" style="font-family:宋体;font-size:8pt;v-text-align:center;"/>
              </v:shape>
            </w:pict>
          </w:r>
          <w:r>
            <w:rPr>
              <w:rFonts w:ascii="Calibri" w:hAnsi="Calibri"/>
              <w:sz w:val="18"/>
              <w:szCs w:val="18"/>
            </w:rPr>
            <w:drawing>
              <wp:inline distT="0" distB="0" distL="114300" distR="114300">
                <wp:extent cx="347980" cy="359410"/>
                <wp:effectExtent l="0" t="0" r="13970" b="2540"/>
                <wp:docPr id="5"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8"/>
                        <pic:cNvPicPr>
                          <a:picLocks noChangeAspect="1"/>
                        </pic:cNvPicPr>
                      </pic:nvPicPr>
                      <pic:blipFill>
                        <a:blip r:embed="rId1"/>
                        <a:stretch>
                          <a:fillRect/>
                        </a:stretch>
                      </pic:blipFill>
                      <pic:spPr>
                        <a:xfrm>
                          <a:off x="0" y="0"/>
                          <a:ext cx="347980" cy="359410"/>
                        </a:xfrm>
                        <a:prstGeom prst="rect">
                          <a:avLst/>
                        </a:prstGeom>
                        <a:noFill/>
                        <a:ln w="9525">
                          <a:noFill/>
                        </a:ln>
                      </pic:spPr>
                    </pic:pic>
                  </a:graphicData>
                </a:graphic>
              </wp:inline>
            </w:drawing>
          </w:r>
        </w:p>
      </w:tc>
      <w:tc>
        <w:tcPr>
          <w:tcW w:w="8891" w:type="dxa"/>
          <w:vAlign w:val="center"/>
        </w:tcPr>
        <w:p w14:paraId="55E3ABA0">
          <w:pPr>
            <w:textAlignment w:val="baseline"/>
            <w:rPr>
              <w:rFonts w:hint="eastAsia" w:ascii="宋体" w:hAnsi="宋体" w:eastAsia="宋体" w:cs="宋体"/>
              <w:lang w:eastAsia="zh-CN"/>
            </w:rPr>
          </w:pPr>
          <w:r>
            <w:rPr>
              <w:rFonts w:hint="eastAsia" w:ascii="黑体" w:hAnsi="宋体" w:eastAsia="黑体"/>
              <w:color w:val="000000"/>
              <w:kern w:val="24"/>
              <w:sz w:val="20"/>
              <w:lang w:eastAsia="zh-CN"/>
            </w:rPr>
            <w:t>青海佳荣工程项目管理有限公司</w:t>
          </w:r>
        </w:p>
        <w:p w14:paraId="17624372">
          <w:pPr>
            <w:textAlignment w:val="baseline"/>
            <w:rPr>
              <w:rFonts w:ascii="宋体" w:hAnsi="宋体" w:cs="宋体"/>
            </w:rPr>
          </w:pPr>
          <w:r>
            <w:rPr>
              <w:rFonts w:hint="eastAsia" w:ascii="黑体" w:hAnsi="宋体" w:eastAsia="黑体"/>
              <w:b/>
              <w:bCs/>
              <w:color w:val="000000"/>
              <w:kern w:val="24"/>
              <w:sz w:val="20"/>
            </w:rPr>
            <w:t>SHANGHAI RONGJI PROJECT MANAGEMENT CO.,LTD Qinghai Branch</w:t>
          </w:r>
        </w:p>
      </w:tc>
    </w:tr>
  </w:tbl>
  <w:p w14:paraId="71FC7A0A">
    <w:pPr>
      <w:pStyle w:val="15"/>
      <w:ind w:firstLine="360" w:firstLineChars="200"/>
      <w:rPr>
        <w:color w:val="FF000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23"/>
      <w:tblW w:w="9696" w:type="dxa"/>
      <w:tblInd w:w="0" w:type="dxa"/>
      <w:tblLayout w:type="fixed"/>
      <w:tblCellMar>
        <w:top w:w="0" w:type="dxa"/>
        <w:left w:w="108" w:type="dxa"/>
        <w:bottom w:w="0" w:type="dxa"/>
        <w:right w:w="108" w:type="dxa"/>
      </w:tblCellMar>
    </w:tblPr>
    <w:tblGrid>
      <w:gridCol w:w="9696"/>
    </w:tblGrid>
    <w:tr w14:paraId="44F0991D">
      <w:tblPrEx>
        <w:tblCellMar>
          <w:top w:w="0" w:type="dxa"/>
          <w:left w:w="108" w:type="dxa"/>
          <w:bottom w:w="0" w:type="dxa"/>
          <w:right w:w="108" w:type="dxa"/>
        </w:tblCellMar>
      </w:tblPrEx>
      <w:trPr>
        <w:trHeight w:val="528" w:hRule="atLeast"/>
      </w:trPr>
      <w:tc>
        <w:tcPr>
          <w:tcW w:w="9696" w:type="dxa"/>
        </w:tcPr>
        <w:p w14:paraId="425E4831">
          <w:pPr>
            <w:tabs>
              <w:tab w:val="center" w:pos="4153"/>
              <w:tab w:val="right" w:pos="8306"/>
            </w:tabs>
            <w:rPr>
              <w:rFonts w:ascii="Calibri" w:hAnsi="Calibri"/>
              <w:sz w:val="18"/>
              <w:szCs w:val="18"/>
            </w:rPr>
          </w:pPr>
        </w:p>
        <w:p w14:paraId="35EB4FD6">
          <w:pPr>
            <w:textAlignment w:val="baseline"/>
            <w:rPr>
              <w:rFonts w:ascii="宋体" w:hAnsi="宋体" w:cs="宋体"/>
            </w:rPr>
          </w:pPr>
          <w:r>
            <w:rPr>
              <w:rFonts w:hint="eastAsia" w:eastAsia="宋体"/>
              <w:lang w:eastAsia="zh-CN"/>
            </w:rPr>
            <w:drawing>
              <wp:inline distT="0" distB="0" distL="114300" distR="114300">
                <wp:extent cx="3705225" cy="438150"/>
                <wp:effectExtent l="0" t="0" r="13335" b="3810"/>
                <wp:docPr id="12" name="图片 7" descr="佳荣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7" descr="佳荣标志"/>
                        <pic:cNvPicPr>
                          <a:picLocks noChangeAspect="1"/>
                        </pic:cNvPicPr>
                      </pic:nvPicPr>
                      <pic:blipFill>
                        <a:blip r:embed="rId1"/>
                        <a:stretch>
                          <a:fillRect/>
                        </a:stretch>
                      </pic:blipFill>
                      <pic:spPr>
                        <a:xfrm>
                          <a:off x="0" y="0"/>
                          <a:ext cx="3705225" cy="438150"/>
                        </a:xfrm>
                        <a:prstGeom prst="rect">
                          <a:avLst/>
                        </a:prstGeom>
                        <a:noFill/>
                        <a:ln>
                          <a:noFill/>
                        </a:ln>
                      </pic:spPr>
                    </pic:pic>
                  </a:graphicData>
                </a:graphic>
              </wp:inline>
            </w:drawing>
          </w:r>
        </w:p>
      </w:tc>
    </w:tr>
  </w:tbl>
  <w:p w14:paraId="6806EC72">
    <w:pPr>
      <w:pStyle w:val="15"/>
      <w:ind w:firstLine="9245" w:firstLineChars="3850"/>
      <w:rPr>
        <w:rFonts w:ascii="Arial" w:hAnsi="Arial" w:cs="Arial"/>
        <w:b/>
        <w:bCs/>
        <w:sz w:val="24"/>
        <w:szCs w:val="24"/>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06E185">
    <w:pPr>
      <w:pStyle w:val="15"/>
      <w:tabs>
        <w:tab w:val="clear" w:pos="4153"/>
      </w:tabs>
      <w:jc w:val="both"/>
      <w:rPr>
        <w:rFonts w:hint="default" w:eastAsia="微软雅黑"/>
        <w:lang w:val="en-US" w:eastAsia="zh-CN"/>
      </w:rPr>
    </w:pPr>
    <w:r>
      <w:rPr>
        <w:rFonts w:hint="eastAsia" w:eastAsia="宋体"/>
        <w:lang w:eastAsia="zh-CN"/>
      </w:rPr>
      <w:drawing>
        <wp:inline distT="0" distB="0" distL="114300" distR="114300">
          <wp:extent cx="3705225" cy="438150"/>
          <wp:effectExtent l="0" t="0" r="13335" b="3810"/>
          <wp:docPr id="11" name="图片 6" descr="佳荣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6" descr="佳荣标志"/>
                  <pic:cNvPicPr>
                    <a:picLocks noChangeAspect="1"/>
                  </pic:cNvPicPr>
                </pic:nvPicPr>
                <pic:blipFill>
                  <a:blip r:embed="rId1"/>
                  <a:stretch>
                    <a:fillRect/>
                  </a:stretch>
                </pic:blipFill>
                <pic:spPr>
                  <a:xfrm>
                    <a:off x="0" y="0"/>
                    <a:ext cx="3705225" cy="438150"/>
                  </a:xfrm>
                  <a:prstGeom prst="rect">
                    <a:avLst/>
                  </a:prstGeom>
                  <a:noFill/>
                  <a:ln>
                    <a:noFill/>
                  </a:ln>
                </pic:spPr>
              </pic:pic>
            </a:graphicData>
          </a:graphic>
        </wp:inline>
      </w:drawing>
    </w:r>
    <w:r>
      <w:rPr>
        <w:sz w:val="24"/>
      </w:rPr>
      <mc:AlternateContent>
        <mc:Choice Requires="wps">
          <w:drawing>
            <wp:anchor distT="0" distB="0" distL="114300" distR="114300" simplePos="0" relativeHeight="251661312" behindDoc="0" locked="0" layoutInCell="1" allowOverlap="1">
              <wp:simplePos x="0" y="0"/>
              <wp:positionH relativeFrom="margin">
                <wp:posOffset>2513965</wp:posOffset>
              </wp:positionH>
              <wp:positionV relativeFrom="paragraph">
                <wp:posOffset>38735</wp:posOffset>
              </wp:positionV>
              <wp:extent cx="1591945" cy="149225"/>
              <wp:effectExtent l="0" t="0" r="0" b="0"/>
              <wp:wrapNone/>
              <wp:docPr id="2" name="文本框 2"/>
              <wp:cNvGraphicFramePr/>
              <a:graphic xmlns:a="http://schemas.openxmlformats.org/drawingml/2006/main">
                <a:graphicData uri="http://schemas.microsoft.com/office/word/2010/wordprocessingShape">
                  <wps:wsp>
                    <wps:cNvSpPr txBox="1"/>
                    <wps:spPr>
                      <a:xfrm>
                        <a:off x="0" y="0"/>
                        <a:ext cx="1591945" cy="14922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2B7CC71">
                          <w:pPr>
                            <w:pStyle w:val="15"/>
                            <w:jc w:val="center"/>
                            <w:rPr>
                              <w:rFonts w:hint="eastAsia" w:eastAsia="宋体"/>
                              <w:lang w:eastAsia="zh-CN"/>
                            </w:rPr>
                          </w:pPr>
                          <w:r>
                            <w:rPr>
                              <w:rFonts w:hint="eastAsia" w:eastAsia="宋体"/>
                              <w:lang w:eastAsia="zh-CN"/>
                            </w:rPr>
                            <w:t xml:space="preserve">第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w:t>
                          </w:r>
                          <w:r>
                            <w:rPr>
                              <w:rFonts w:hint="eastAsia" w:eastAsia="宋体"/>
                              <w:lang w:eastAsia="zh-CN"/>
                            </w:rPr>
                            <w:fldChar w:fldCharType="end"/>
                          </w:r>
                          <w:r>
                            <w:rPr>
                              <w:rFonts w:hint="eastAsia" w:eastAsia="宋体"/>
                              <w:lang w:eastAsia="zh-CN"/>
                            </w:rPr>
                            <w:t xml:space="preserve"> 页 共 </w:t>
                          </w:r>
                          <w:r>
                            <w:rPr>
                              <w:rFonts w:hint="eastAsia" w:eastAsia="宋体"/>
                              <w:lang w:eastAsia="zh-CN"/>
                            </w:rPr>
                            <w:fldChar w:fldCharType="begin"/>
                          </w:r>
                          <w:r>
                            <w:rPr>
                              <w:rFonts w:hint="eastAsia" w:eastAsia="宋体"/>
                              <w:lang w:eastAsia="zh-CN"/>
                            </w:rPr>
                            <w:instrText xml:space="preserve"> NUMPAGES  \* MERGEFORMAT </w:instrText>
                          </w:r>
                          <w:r>
                            <w:rPr>
                              <w:rFonts w:hint="eastAsia" w:eastAsia="宋体"/>
                              <w:lang w:eastAsia="zh-CN"/>
                            </w:rPr>
                            <w:fldChar w:fldCharType="separate"/>
                          </w:r>
                          <w:r>
                            <w:rPr>
                              <w:rFonts w:hint="eastAsia" w:eastAsia="宋体"/>
                              <w:lang w:eastAsia="zh-CN"/>
                            </w:rPr>
                            <w:t>234</w:t>
                          </w:r>
                          <w:r>
                            <w:rPr>
                              <w:rFonts w:hint="eastAsia" w:eastAsia="宋体"/>
                              <w:lang w:eastAsia="zh-CN"/>
                            </w:rPr>
                            <w:fldChar w:fldCharType="end"/>
                          </w:r>
                          <w:r>
                            <w:rPr>
                              <w:rFonts w:hint="eastAsia" w:eastAsia="宋体"/>
                              <w:lang w:eastAsia="zh-CN"/>
                            </w:rPr>
                            <w:t xml:space="preserve"> 页</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197.95pt;margin-top:3.05pt;height:11.75pt;width:125.35pt;mso-position-horizontal-relative:margin;z-index:251661312;mso-width-relative:page;mso-height-relative:page;" filled="f" stroked="f" coordsize="21600,21600" o:gfxdata="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UHmQh9cAAAAIAQAADwAAAAAAAAABACAAAAAiAAAAZHJzL2Rvd25y&#10;ZXYueG1sUEsBAhQAFAAAAAgAh07iQLx5HvY4AgAAYgQAAA4AAAAAAAAAAQAgAAAAJgEAAGRycy9l&#10;Mm9Eb2MueG1sUEsFBgAAAAAGAAYAWQEAANAFAAAAAA==&#10;">
              <v:fill on="f" focussize="0,0"/>
              <v:stroke on="f" weight="0.5pt"/>
              <v:imagedata o:title=""/>
              <o:lock v:ext="edit" aspectratio="f"/>
              <v:textbox inset="0mm,0mm,0mm,0mm">
                <w:txbxContent>
                  <w:p w14:paraId="22B7CC71">
                    <w:pPr>
                      <w:pStyle w:val="15"/>
                      <w:jc w:val="center"/>
                      <w:rPr>
                        <w:rFonts w:hint="eastAsia" w:eastAsia="宋体"/>
                        <w:lang w:eastAsia="zh-CN"/>
                      </w:rPr>
                    </w:pPr>
                    <w:r>
                      <w:rPr>
                        <w:rFonts w:hint="eastAsia" w:eastAsia="宋体"/>
                        <w:lang w:eastAsia="zh-CN"/>
                      </w:rPr>
                      <w:t xml:space="preserve">第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6</w:t>
                    </w:r>
                    <w:r>
                      <w:rPr>
                        <w:rFonts w:hint="eastAsia" w:eastAsia="宋体"/>
                        <w:lang w:eastAsia="zh-CN"/>
                      </w:rPr>
                      <w:fldChar w:fldCharType="end"/>
                    </w:r>
                    <w:r>
                      <w:rPr>
                        <w:rFonts w:hint="eastAsia" w:eastAsia="宋体"/>
                        <w:lang w:eastAsia="zh-CN"/>
                      </w:rPr>
                      <w:t xml:space="preserve"> 页 共 </w:t>
                    </w:r>
                    <w:r>
                      <w:rPr>
                        <w:rFonts w:hint="eastAsia" w:eastAsia="宋体"/>
                        <w:lang w:eastAsia="zh-CN"/>
                      </w:rPr>
                      <w:fldChar w:fldCharType="begin"/>
                    </w:r>
                    <w:r>
                      <w:rPr>
                        <w:rFonts w:hint="eastAsia" w:eastAsia="宋体"/>
                        <w:lang w:eastAsia="zh-CN"/>
                      </w:rPr>
                      <w:instrText xml:space="preserve"> NUMPAGES  \* MERGEFORMAT </w:instrText>
                    </w:r>
                    <w:r>
                      <w:rPr>
                        <w:rFonts w:hint="eastAsia" w:eastAsia="宋体"/>
                        <w:lang w:eastAsia="zh-CN"/>
                      </w:rPr>
                      <w:fldChar w:fldCharType="separate"/>
                    </w:r>
                    <w:r>
                      <w:rPr>
                        <w:rFonts w:hint="eastAsia" w:eastAsia="宋体"/>
                        <w:lang w:eastAsia="zh-CN"/>
                      </w:rPr>
                      <w:t>234</w:t>
                    </w:r>
                    <w:r>
                      <w:rPr>
                        <w:rFonts w:hint="eastAsia" w:eastAsia="宋体"/>
                        <w:lang w:eastAsia="zh-CN"/>
                      </w:rPr>
                      <w:fldChar w:fldCharType="end"/>
                    </w:r>
                    <w:r>
                      <w:rPr>
                        <w:rFonts w:hint="eastAsia" w:eastAsia="宋体"/>
                        <w:lang w:eastAsia="zh-CN"/>
                      </w:rP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tbl>
    <w:tblPr>
      <w:tblStyle w:val="23"/>
      <w:tblW w:w="9696" w:type="dxa"/>
      <w:tblInd w:w="0" w:type="dxa"/>
      <w:tblLayout w:type="fixed"/>
      <w:tblCellMar>
        <w:top w:w="0" w:type="dxa"/>
        <w:left w:w="108" w:type="dxa"/>
        <w:bottom w:w="0" w:type="dxa"/>
        <w:right w:w="108" w:type="dxa"/>
      </w:tblCellMar>
    </w:tblPr>
    <w:tblGrid>
      <w:gridCol w:w="9696"/>
    </w:tblGrid>
    <w:tr w14:paraId="1770B46F">
      <w:tblPrEx>
        <w:tblCellMar>
          <w:top w:w="0" w:type="dxa"/>
          <w:left w:w="108" w:type="dxa"/>
          <w:bottom w:w="0" w:type="dxa"/>
          <w:right w:w="108" w:type="dxa"/>
        </w:tblCellMar>
      </w:tblPrEx>
      <w:trPr>
        <w:trHeight w:val="528" w:hRule="atLeast"/>
      </w:trPr>
      <w:tc>
        <w:tcPr>
          <w:tcW w:w="9696" w:type="dxa"/>
        </w:tcPr>
        <w:p w14:paraId="478BDB48">
          <w:pPr>
            <w:textAlignment w:val="baseline"/>
            <w:rPr>
              <w:rFonts w:ascii="宋体" w:hAnsi="宋体" w:cs="宋体"/>
            </w:rPr>
          </w:pPr>
          <w:r>
            <w:rPr>
              <w:rFonts w:hint="eastAsia" w:eastAsia="宋体"/>
              <w:lang w:eastAsia="zh-CN"/>
            </w:rPr>
            <w:drawing>
              <wp:inline distT="0" distB="0" distL="114300" distR="114300">
                <wp:extent cx="3705225" cy="438150"/>
                <wp:effectExtent l="0" t="0" r="13335" b="3810"/>
                <wp:docPr id="34" name="图片 7" descr="佳荣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7" descr="佳荣标志"/>
                        <pic:cNvPicPr>
                          <a:picLocks noChangeAspect="1"/>
                        </pic:cNvPicPr>
                      </pic:nvPicPr>
                      <pic:blipFill>
                        <a:blip r:embed="rId1"/>
                        <a:stretch>
                          <a:fillRect/>
                        </a:stretch>
                      </pic:blipFill>
                      <pic:spPr>
                        <a:xfrm>
                          <a:off x="0" y="0"/>
                          <a:ext cx="3705225" cy="438150"/>
                        </a:xfrm>
                        <a:prstGeom prst="rect">
                          <a:avLst/>
                        </a:prstGeom>
                        <a:noFill/>
                        <a:ln>
                          <a:noFill/>
                        </a:ln>
                      </pic:spPr>
                    </pic:pic>
                  </a:graphicData>
                </a:graphic>
              </wp:inline>
            </w:drawing>
          </w:r>
        </w:p>
      </w:tc>
    </w:tr>
  </w:tbl>
  <w:p w14:paraId="417B1A93">
    <w:pPr>
      <w:pStyle w:val="15"/>
      <w:jc w:val="right"/>
      <w:rPr>
        <w:rFonts w:cs="Arial"/>
        <w:sz w:val="24"/>
        <w:szCs w:val="24"/>
      </w:rPr>
    </w:pPr>
    <w:r>
      <w:rPr>
        <w:sz w:val="18"/>
      </w:rPr>
      <mc:AlternateContent>
        <mc:Choice Requires="wps">
          <w:drawing>
            <wp:anchor distT="0" distB="0" distL="114300" distR="114300" simplePos="0" relativeHeight="251662336" behindDoc="0" locked="0" layoutInCell="1" allowOverlap="1">
              <wp:simplePos x="0" y="0"/>
              <wp:positionH relativeFrom="margin">
                <wp:posOffset>2702560</wp:posOffset>
              </wp:positionH>
              <wp:positionV relativeFrom="paragraph">
                <wp:posOffset>6985</wp:posOffset>
              </wp:positionV>
              <wp:extent cx="1213485" cy="193675"/>
              <wp:effectExtent l="0" t="0" r="0" b="0"/>
              <wp:wrapNone/>
              <wp:docPr id="7" name="文本框 7"/>
              <wp:cNvGraphicFramePr/>
              <a:graphic xmlns:a="http://schemas.openxmlformats.org/drawingml/2006/main">
                <a:graphicData uri="http://schemas.microsoft.com/office/word/2010/wordprocessingShape">
                  <wps:wsp>
                    <wps:cNvSpPr txBox="1"/>
                    <wps:spPr>
                      <a:xfrm>
                        <a:off x="0" y="0"/>
                        <a:ext cx="1213485" cy="19367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B63DEC1">
                          <w:pPr>
                            <w:pStyle w:val="15"/>
                            <w:rPr>
                              <w:rFonts w:hint="eastAsia" w:eastAsia="宋体"/>
                              <w:lang w:eastAsia="zh-CN"/>
                            </w:rPr>
                          </w:pPr>
                          <w:r>
                            <w:rPr>
                              <w:rFonts w:hint="eastAsia" w:eastAsia="宋体"/>
                              <w:lang w:eastAsia="zh-CN"/>
                            </w:rPr>
                            <w:t xml:space="preserve">第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w:t>
                          </w:r>
                          <w:r>
                            <w:rPr>
                              <w:rFonts w:hint="eastAsia" w:eastAsia="宋体"/>
                              <w:lang w:eastAsia="zh-CN"/>
                            </w:rPr>
                            <w:fldChar w:fldCharType="end"/>
                          </w:r>
                          <w:r>
                            <w:rPr>
                              <w:rFonts w:hint="eastAsia" w:eastAsia="宋体"/>
                              <w:lang w:eastAsia="zh-CN"/>
                            </w:rPr>
                            <w:t xml:space="preserve"> 页 共 </w:t>
                          </w:r>
                          <w:r>
                            <w:rPr>
                              <w:rFonts w:hint="eastAsia" w:eastAsia="宋体"/>
                              <w:lang w:eastAsia="zh-CN"/>
                            </w:rPr>
                            <w:fldChar w:fldCharType="begin"/>
                          </w:r>
                          <w:r>
                            <w:rPr>
                              <w:rFonts w:hint="eastAsia" w:eastAsia="宋体"/>
                              <w:lang w:eastAsia="zh-CN"/>
                            </w:rPr>
                            <w:instrText xml:space="preserve"> NUMPAGES  \* MERGEFORMAT </w:instrText>
                          </w:r>
                          <w:r>
                            <w:rPr>
                              <w:rFonts w:hint="eastAsia" w:eastAsia="宋体"/>
                              <w:lang w:eastAsia="zh-CN"/>
                            </w:rPr>
                            <w:fldChar w:fldCharType="separate"/>
                          </w:r>
                          <w:r>
                            <w:rPr>
                              <w:rFonts w:hint="eastAsia" w:eastAsia="宋体"/>
                              <w:lang w:eastAsia="zh-CN"/>
                            </w:rPr>
                            <w:t>234</w:t>
                          </w:r>
                          <w:r>
                            <w:rPr>
                              <w:rFonts w:hint="eastAsia" w:eastAsia="宋体"/>
                              <w:lang w:eastAsia="zh-CN"/>
                            </w:rPr>
                            <w:fldChar w:fldCharType="end"/>
                          </w:r>
                          <w:r>
                            <w:rPr>
                              <w:rFonts w:hint="eastAsia" w:eastAsia="宋体"/>
                              <w:lang w:eastAsia="zh-CN"/>
                            </w:rPr>
                            <w:t xml:space="preserve"> 页</w:t>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12.8pt;margin-top:0.55pt;height:15.25pt;width:95.55pt;mso-position-horizontal-relative:margin;z-index:251662336;mso-width-relative:page;mso-height-relative:page;" filled="f" stroked="f" coordsize="21600,21600" o:gfxdata="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">
              <v:fill on="f" focussize="0,0"/>
              <v:stroke on="f" weight="0.5pt"/>
              <v:imagedata o:title=""/>
              <o:lock v:ext="edit" aspectratio="f"/>
              <v:textbox inset="0mm,0mm,0mm,0mm">
                <w:txbxContent>
                  <w:p w14:paraId="0B63DEC1">
                    <w:pPr>
                      <w:pStyle w:val="15"/>
                      <w:rPr>
                        <w:rFonts w:hint="eastAsia" w:eastAsia="宋体"/>
                        <w:lang w:eastAsia="zh-CN"/>
                      </w:rPr>
                    </w:pPr>
                    <w:r>
                      <w:rPr>
                        <w:rFonts w:hint="eastAsia" w:eastAsia="宋体"/>
                        <w:lang w:eastAsia="zh-CN"/>
                      </w:rPr>
                      <w:t xml:space="preserve">第 </w:t>
                    </w:r>
                    <w:r>
                      <w:rPr>
                        <w:rFonts w:hint="eastAsia" w:eastAsia="宋体"/>
                        <w:lang w:eastAsia="zh-CN"/>
                      </w:rPr>
                      <w:fldChar w:fldCharType="begin"/>
                    </w:r>
                    <w:r>
                      <w:rPr>
                        <w:rFonts w:hint="eastAsia" w:eastAsia="宋体"/>
                        <w:lang w:eastAsia="zh-CN"/>
                      </w:rPr>
                      <w:instrText xml:space="preserve"> PAGE  \* MERGEFORMAT </w:instrText>
                    </w:r>
                    <w:r>
                      <w:rPr>
                        <w:rFonts w:hint="eastAsia" w:eastAsia="宋体"/>
                        <w:lang w:eastAsia="zh-CN"/>
                      </w:rPr>
                      <w:fldChar w:fldCharType="separate"/>
                    </w:r>
                    <w:r>
                      <w:rPr>
                        <w:rFonts w:hint="eastAsia" w:eastAsia="宋体"/>
                        <w:lang w:eastAsia="zh-CN"/>
                      </w:rPr>
                      <w:t>5</w:t>
                    </w:r>
                    <w:r>
                      <w:rPr>
                        <w:rFonts w:hint="eastAsia" w:eastAsia="宋体"/>
                        <w:lang w:eastAsia="zh-CN"/>
                      </w:rPr>
                      <w:fldChar w:fldCharType="end"/>
                    </w:r>
                    <w:r>
                      <w:rPr>
                        <w:rFonts w:hint="eastAsia" w:eastAsia="宋体"/>
                        <w:lang w:eastAsia="zh-CN"/>
                      </w:rPr>
                      <w:t xml:space="preserve"> 页 共 </w:t>
                    </w:r>
                    <w:r>
                      <w:rPr>
                        <w:rFonts w:hint="eastAsia" w:eastAsia="宋体"/>
                        <w:lang w:eastAsia="zh-CN"/>
                      </w:rPr>
                      <w:fldChar w:fldCharType="begin"/>
                    </w:r>
                    <w:r>
                      <w:rPr>
                        <w:rFonts w:hint="eastAsia" w:eastAsia="宋体"/>
                        <w:lang w:eastAsia="zh-CN"/>
                      </w:rPr>
                      <w:instrText xml:space="preserve"> NUMPAGES  \* MERGEFORMAT </w:instrText>
                    </w:r>
                    <w:r>
                      <w:rPr>
                        <w:rFonts w:hint="eastAsia" w:eastAsia="宋体"/>
                        <w:lang w:eastAsia="zh-CN"/>
                      </w:rPr>
                      <w:fldChar w:fldCharType="separate"/>
                    </w:r>
                    <w:r>
                      <w:rPr>
                        <w:rFonts w:hint="eastAsia" w:eastAsia="宋体"/>
                        <w:lang w:eastAsia="zh-CN"/>
                      </w:rPr>
                      <w:t>234</w:t>
                    </w:r>
                    <w:r>
                      <w:rPr>
                        <w:rFonts w:hint="eastAsia" w:eastAsia="宋体"/>
                        <w:lang w:eastAsia="zh-CN"/>
                      </w:rPr>
                      <w:fldChar w:fldCharType="end"/>
                    </w:r>
                    <w:r>
                      <w:rPr>
                        <w:rFonts w:hint="eastAsia" w:eastAsia="宋体"/>
                        <w:lang w:eastAsia="zh-CN"/>
                      </w:rP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421F39">
    <w:pPr>
      <w:autoSpaceDE w:val="0"/>
      <w:autoSpaceDN w:val="0"/>
      <w:rPr>
        <w:rFonts w:ascii="宋体" w:hAnsi="宋体"/>
        <w:sz w:val="18"/>
        <w:szCs w:val="18"/>
        <w:u w:val="single"/>
      </w:rPr>
    </w:pPr>
    <w:r>
      <w:rPr>
        <w:rFonts w:hint="eastAsia" w:ascii="宋体" w:hAnsi="宋体"/>
        <w:sz w:val="18"/>
        <w:szCs w:val="18"/>
        <w:u w:val="single"/>
        <w:lang w:eastAsia="zh-CN"/>
      </w:rPr>
      <w:t xml:space="preserve">胜利路社区卫生服务中心建设项目室内改造（第二次）） </w:t>
    </w:r>
    <w:r>
      <w:rPr>
        <w:rFonts w:hint="eastAsia" w:ascii="宋体" w:hAnsi="宋体"/>
        <w:sz w:val="18"/>
        <w:szCs w:val="18"/>
        <w:u w:val="single"/>
        <w:lang w:val="en-US" w:eastAsia="zh-CN"/>
      </w:rPr>
      <w:t xml:space="preserve">                                            </w:t>
    </w:r>
    <w:r>
      <w:rPr>
        <w:rFonts w:hint="eastAsia" w:ascii="宋体" w:hAnsi="宋体"/>
        <w:sz w:val="18"/>
        <w:szCs w:val="18"/>
        <w:u w:val="single"/>
      </w:rPr>
      <w:t>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E87216">
    <w:pPr>
      <w:rPr>
        <w:rFonts w:ascii="宋体" w:hAnsi="宋体"/>
        <w:sz w:val="15"/>
        <w:szCs w:val="15"/>
        <w:u w:val="single"/>
      </w:rPr>
    </w:pPr>
    <w:r>
      <w:rPr>
        <w:rFonts w:hint="eastAsia" w:ascii="宋体" w:hAnsi="宋体"/>
        <w:sz w:val="18"/>
        <w:szCs w:val="18"/>
        <w:u w:val="single"/>
      </w:rPr>
      <w:t>东峡乡石崖庄村广场及文化舞台工程  谈判文件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1E0018">
    <w:pPr>
      <w:autoSpaceDE w:val="0"/>
      <w:autoSpaceDN w:val="0"/>
      <w:rPr>
        <w:rFonts w:hint="eastAsia" w:ascii="宋体" w:hAnsi="宋体"/>
        <w:sz w:val="21"/>
        <w:szCs w:val="21"/>
        <w:u w:val="single"/>
        <w:lang w:eastAsia="zh-CN"/>
      </w:rPr>
    </w:pPr>
    <w:r>
      <w:rPr>
        <w:rFonts w:hint="eastAsia" w:ascii="宋体" w:hAnsi="宋体"/>
        <w:sz w:val="21"/>
        <w:szCs w:val="21"/>
        <w:u w:val="single"/>
        <w:lang w:val="zh-CN" w:eastAsia="zh-CN"/>
      </w:rPr>
      <w:t>G315国道茫崖市黄瓜梁至茫崖镇路口路域环境整治项目</w:t>
    </w:r>
    <w:r>
      <w:rPr>
        <w:rFonts w:hint="eastAsia" w:ascii="宋体" w:hAnsi="宋体"/>
        <w:sz w:val="21"/>
        <w:szCs w:val="21"/>
        <w:u w:val="single"/>
        <w:lang w:eastAsia="zh-CN"/>
      </w:rPr>
      <w:t xml:space="preserve">  </w:t>
    </w:r>
    <w:r>
      <w:rPr>
        <w:rFonts w:hint="eastAsia" w:ascii="宋体" w:hAnsi="宋体"/>
        <w:sz w:val="21"/>
        <w:szCs w:val="21"/>
        <w:u w:val="single"/>
        <w:lang w:val="en-US" w:eastAsia="zh-CN"/>
      </w:rPr>
      <w:t xml:space="preserve">                 </w:t>
    </w:r>
    <w:r>
      <w:rPr>
        <w:rFonts w:hint="eastAsia" w:ascii="宋体" w:hAnsi="宋体"/>
        <w:sz w:val="21"/>
        <w:szCs w:val="21"/>
        <w:u w:val="single"/>
        <w:lang w:eastAsia="zh-CN"/>
      </w:rPr>
      <w:drawing>
        <wp:anchor distT="0" distB="0" distL="114300" distR="114300" simplePos="0" relativeHeight="251663360" behindDoc="1" locked="0" layoutInCell="1" allowOverlap="1">
          <wp:simplePos x="0" y="0"/>
          <wp:positionH relativeFrom="margin">
            <wp:align>center</wp:align>
          </wp:positionH>
          <wp:positionV relativeFrom="margin">
            <wp:align>center</wp:align>
          </wp:positionV>
          <wp:extent cx="2805430" cy="2764155"/>
          <wp:effectExtent l="0" t="0" r="13970" b="17145"/>
          <wp:wrapNone/>
          <wp:docPr id="1" name="WordPictureWatermark33226"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33226" descr="图片1"/>
                  <pic:cNvPicPr>
                    <a:picLocks noChangeAspect="1"/>
                  </pic:cNvPicPr>
                </pic:nvPicPr>
                <pic:blipFill>
                  <a:blip r:embed="rId1">
                    <a:lum bright="69998" contrast="-70001"/>
                  </a:blip>
                  <a:stretch>
                    <a:fillRect/>
                  </a:stretch>
                </pic:blipFill>
                <pic:spPr>
                  <a:xfrm>
                    <a:off x="0" y="0"/>
                    <a:ext cx="2805430" cy="2764155"/>
                  </a:xfrm>
                  <a:prstGeom prst="rect">
                    <a:avLst/>
                  </a:prstGeom>
                  <a:noFill/>
                  <a:ln>
                    <a:noFill/>
                  </a:ln>
                </pic:spPr>
              </pic:pic>
            </a:graphicData>
          </a:graphic>
        </wp:anchor>
      </w:drawing>
    </w:r>
    <w:r>
      <w:rPr>
        <w:rFonts w:hint="eastAsia" w:ascii="宋体" w:hAnsi="宋体"/>
        <w:sz w:val="21"/>
        <w:szCs w:val="21"/>
        <w:u w:val="single"/>
        <w:lang w:val="en-US" w:eastAsia="zh-CN"/>
      </w:rPr>
      <w:t xml:space="preserve">         </w:t>
    </w:r>
    <w:r>
      <w:rPr>
        <w:rFonts w:hint="eastAsia" w:ascii="宋体" w:hAnsi="宋体"/>
        <w:sz w:val="21"/>
        <w:szCs w:val="21"/>
        <w:u w:val="single"/>
        <w:lang w:eastAsia="zh-CN"/>
      </w:rPr>
      <w:t>磋商文件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AA681A">
    <w:pPr>
      <w:autoSpaceDE w:val="0"/>
      <w:autoSpaceDN w:val="0"/>
      <w:rPr>
        <w:rFonts w:ascii="宋体" w:hAnsi="宋体"/>
        <w:sz w:val="18"/>
        <w:szCs w:val="18"/>
        <w:u w:val="single"/>
      </w:rPr>
    </w:pPr>
    <w:r>
      <w:rPr>
        <w:rFonts w:hint="eastAsia" w:ascii="宋体" w:hAnsi="宋体"/>
        <w:sz w:val="18"/>
        <w:szCs w:val="18"/>
        <w:u w:val="single"/>
        <w:lang w:val="zh-CN" w:eastAsia="zh-CN"/>
      </w:rPr>
      <w:t>G315国道茫崖市黄瓜梁至茫崖镇路口路域环境整治项目</w:t>
    </w:r>
    <w:r>
      <w:rPr>
        <w:rFonts w:hint="eastAsia" w:ascii="宋体" w:hAnsi="宋体"/>
        <w:sz w:val="18"/>
        <w:szCs w:val="18"/>
        <w:u w:val="single"/>
        <w:lang w:eastAsia="zh-CN"/>
      </w:rPr>
      <w:t xml:space="preserve"> </w:t>
    </w:r>
    <w:r>
      <w:rPr>
        <w:rFonts w:hint="eastAsia" w:ascii="宋体" w:hAnsi="宋体"/>
        <w:sz w:val="18"/>
        <w:szCs w:val="18"/>
        <w:u w:val="single"/>
        <w:lang w:val="en-US" w:eastAsia="zh-CN"/>
      </w:rPr>
      <w:t xml:space="preserve">               </w:t>
    </w:r>
    <w:r>
      <w:rPr>
        <w:sz w:val="21"/>
      </w:rPr>
      <w:drawing>
        <wp:anchor distT="0" distB="0" distL="114300" distR="114300" simplePos="0" relativeHeight="251664384" behindDoc="1" locked="0" layoutInCell="1" allowOverlap="1">
          <wp:simplePos x="0" y="0"/>
          <wp:positionH relativeFrom="margin">
            <wp:posOffset>1505585</wp:posOffset>
          </wp:positionH>
          <wp:positionV relativeFrom="margin">
            <wp:posOffset>2952750</wp:posOffset>
          </wp:positionV>
          <wp:extent cx="2805430" cy="2764155"/>
          <wp:effectExtent l="0" t="0" r="13970" b="17145"/>
          <wp:wrapNone/>
          <wp:docPr id="3" name="WordPictureWatermark33226"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33226" descr="图片1"/>
                  <pic:cNvPicPr>
                    <a:picLocks noChangeAspect="1"/>
                  </pic:cNvPicPr>
                </pic:nvPicPr>
                <pic:blipFill>
                  <a:blip r:embed="rId1">
                    <a:lum bright="69998" contrast="-70001"/>
                  </a:blip>
                  <a:stretch>
                    <a:fillRect/>
                  </a:stretch>
                </pic:blipFill>
                <pic:spPr>
                  <a:xfrm>
                    <a:off x="0" y="0"/>
                    <a:ext cx="2805430" cy="2764155"/>
                  </a:xfrm>
                  <a:prstGeom prst="rect">
                    <a:avLst/>
                  </a:prstGeom>
                  <a:noFill/>
                  <a:ln>
                    <a:noFill/>
                  </a:ln>
                </pic:spPr>
              </pic:pic>
            </a:graphicData>
          </a:graphic>
        </wp:anchor>
      </w:drawing>
    </w:r>
    <w:r>
      <w:rPr>
        <w:rFonts w:hint="eastAsia" w:ascii="宋体" w:hAnsi="宋体"/>
        <w:sz w:val="18"/>
        <w:szCs w:val="18"/>
        <w:u w:val="single"/>
        <w:lang w:val="en-US" w:eastAsia="zh-CN"/>
      </w:rPr>
      <w:t xml:space="preserve">                           </w:t>
    </w:r>
    <w:r>
      <w:rPr>
        <w:rFonts w:hint="eastAsia" w:ascii="宋体" w:hAnsi="宋体"/>
        <w:sz w:val="18"/>
        <w:szCs w:val="18"/>
        <w:u w:val="single"/>
      </w:rPr>
      <w:t>磋商文件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97B25B">
    <w:pPr>
      <w:autoSpaceDE w:val="0"/>
      <w:autoSpaceDN w:val="0"/>
    </w:pPr>
    <w:r>
      <w:rPr>
        <w:rFonts w:hint="eastAsia" w:ascii="宋体" w:hAnsi="宋体"/>
        <w:sz w:val="21"/>
        <w:szCs w:val="21"/>
        <w:u w:val="single"/>
        <w:lang w:val="zh-CN" w:eastAsia="zh-CN"/>
      </w:rPr>
      <w:t>G315国道茫崖市黄瓜梁至茫崖镇路口路域环境整治项目</w:t>
    </w:r>
    <w:r>
      <w:rPr>
        <w:rFonts w:hint="eastAsia" w:ascii="宋体" w:hAnsi="宋体"/>
        <w:sz w:val="21"/>
        <w:szCs w:val="21"/>
        <w:u w:val="single"/>
        <w:lang w:eastAsia="zh-CN"/>
      </w:rPr>
      <w:t xml:space="preserve">  </w:t>
    </w:r>
    <w:r>
      <w:rPr>
        <w:rFonts w:hint="eastAsia" w:ascii="宋体" w:hAnsi="宋体"/>
        <w:sz w:val="21"/>
        <w:szCs w:val="21"/>
        <w:u w:val="single"/>
        <w:lang w:val="en-US" w:eastAsia="zh-CN"/>
      </w:rPr>
      <w:t xml:space="preserve">                 </w:t>
    </w:r>
    <w:r>
      <w:rPr>
        <w:rFonts w:hint="eastAsia" w:ascii="宋体" w:hAnsi="宋体"/>
        <w:sz w:val="21"/>
        <w:szCs w:val="21"/>
        <w:u w:val="single"/>
        <w:lang w:eastAsia="zh-CN"/>
      </w:rPr>
      <w:drawing>
        <wp:anchor distT="0" distB="0" distL="114300" distR="114300" simplePos="0" relativeHeight="251665408" behindDoc="1" locked="0" layoutInCell="1" allowOverlap="1">
          <wp:simplePos x="0" y="0"/>
          <wp:positionH relativeFrom="margin">
            <wp:posOffset>1505585</wp:posOffset>
          </wp:positionH>
          <wp:positionV relativeFrom="margin">
            <wp:posOffset>2799715</wp:posOffset>
          </wp:positionV>
          <wp:extent cx="2805430" cy="2764155"/>
          <wp:effectExtent l="0" t="0" r="13970" b="17145"/>
          <wp:wrapNone/>
          <wp:docPr id="4" name="WordPictureWatermark33226"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ordPictureWatermark33226" descr="图片1"/>
                  <pic:cNvPicPr>
                    <a:picLocks noChangeAspect="1"/>
                  </pic:cNvPicPr>
                </pic:nvPicPr>
                <pic:blipFill>
                  <a:blip r:embed="rId1">
                    <a:lum bright="69998" contrast="-70001"/>
                  </a:blip>
                  <a:stretch>
                    <a:fillRect/>
                  </a:stretch>
                </pic:blipFill>
                <pic:spPr>
                  <a:xfrm>
                    <a:off x="0" y="0"/>
                    <a:ext cx="2805430" cy="2764155"/>
                  </a:xfrm>
                  <a:prstGeom prst="rect">
                    <a:avLst/>
                  </a:prstGeom>
                  <a:noFill/>
                  <a:ln>
                    <a:noFill/>
                  </a:ln>
                </pic:spPr>
              </pic:pic>
            </a:graphicData>
          </a:graphic>
        </wp:anchor>
      </w:drawing>
    </w:r>
    <w:r>
      <w:rPr>
        <w:rFonts w:hint="eastAsia" w:ascii="宋体" w:hAnsi="宋体"/>
        <w:sz w:val="21"/>
        <w:szCs w:val="21"/>
        <w:u w:val="single"/>
        <w:lang w:val="en-US" w:eastAsia="zh-CN"/>
      </w:rPr>
      <w:t xml:space="preserve">            </w:t>
    </w:r>
    <w:r>
      <w:rPr>
        <w:rFonts w:hint="eastAsia" w:ascii="宋体" w:hAnsi="宋体"/>
        <w:sz w:val="21"/>
        <w:szCs w:val="21"/>
        <w:u w:val="single"/>
        <w:lang w:eastAsia="zh-CN"/>
      </w:rPr>
      <w:t>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848561"/>
    <w:multiLevelType w:val="singleLevel"/>
    <w:tmpl w:val="A8848561"/>
    <w:lvl w:ilvl="0" w:tentative="0">
      <w:start w:val="3"/>
      <w:numFmt w:val="chineseCounting"/>
      <w:suff w:val="space"/>
      <w:lvlText w:val="第%1章"/>
      <w:lvlJc w:val="left"/>
      <w:rPr>
        <w:rFonts w:hint="eastAsia"/>
      </w:rPr>
    </w:lvl>
  </w:abstractNum>
  <w:abstractNum w:abstractNumId="1">
    <w:nsid w:val="B1A18179"/>
    <w:multiLevelType w:val="singleLevel"/>
    <w:tmpl w:val="B1A18179"/>
    <w:lvl w:ilvl="0" w:tentative="0">
      <w:start w:val="2"/>
      <w:numFmt w:val="decimal"/>
      <w:lvlText w:val="%1."/>
      <w:lvlJc w:val="left"/>
      <w:pPr>
        <w:tabs>
          <w:tab w:val="left" w:pos="312"/>
        </w:tabs>
      </w:pPr>
    </w:lvl>
  </w:abstractNum>
  <w:abstractNum w:abstractNumId="2">
    <w:nsid w:val="C0C6BA09"/>
    <w:multiLevelType w:val="singleLevel"/>
    <w:tmpl w:val="C0C6BA09"/>
    <w:lvl w:ilvl="0" w:tentative="0">
      <w:start w:val="1"/>
      <w:numFmt w:val="decimal"/>
      <w:suff w:val="nothing"/>
      <w:lvlText w:val="%1、"/>
      <w:lvlJc w:val="left"/>
    </w:lvl>
  </w:abstractNum>
  <w:abstractNum w:abstractNumId="3">
    <w:nsid w:val="FFA28BFD"/>
    <w:multiLevelType w:val="singleLevel"/>
    <w:tmpl w:val="FFA28BFD"/>
    <w:lvl w:ilvl="0" w:tentative="0">
      <w:start w:val="2"/>
      <w:numFmt w:val="chineseCounting"/>
      <w:suff w:val="nothing"/>
      <w:lvlText w:val="%1、"/>
      <w:lvlJc w:val="left"/>
      <w:rPr>
        <w:rFonts w:hint="eastAsia"/>
      </w:rPr>
    </w:lvl>
  </w:abstractNum>
  <w:abstractNum w:abstractNumId="4">
    <w:nsid w:val="00000006"/>
    <w:multiLevelType w:val="singleLevel"/>
    <w:tmpl w:val="00000006"/>
    <w:lvl w:ilvl="0" w:tentative="0">
      <w:start w:val="1"/>
      <w:numFmt w:val="decimal"/>
      <w:suff w:val="nothing"/>
      <w:lvlText w:val="（%1）"/>
      <w:lvlJc w:val="left"/>
    </w:lvl>
  </w:abstractNum>
  <w:abstractNum w:abstractNumId="5">
    <w:nsid w:val="0EA9BFB7"/>
    <w:multiLevelType w:val="singleLevel"/>
    <w:tmpl w:val="0EA9BFB7"/>
    <w:lvl w:ilvl="0" w:tentative="0">
      <w:start w:val="3"/>
      <w:numFmt w:val="chineseCounting"/>
      <w:suff w:val="nothing"/>
      <w:lvlText w:val="（%1）"/>
      <w:lvlJc w:val="left"/>
      <w:rPr>
        <w:rFonts w:hint="eastAsia"/>
      </w:rPr>
    </w:lvl>
  </w:abstractNum>
  <w:abstractNum w:abstractNumId="6">
    <w:nsid w:val="461BE76B"/>
    <w:multiLevelType w:val="singleLevel"/>
    <w:tmpl w:val="461BE76B"/>
    <w:lvl w:ilvl="0" w:tentative="0">
      <w:start w:val="5"/>
      <w:numFmt w:val="decimal"/>
      <w:suff w:val="nothing"/>
      <w:lvlText w:val="（%1）"/>
      <w:lvlJc w:val="left"/>
    </w:lvl>
  </w:abstractNum>
  <w:abstractNum w:abstractNumId="7">
    <w:nsid w:val="58946D50"/>
    <w:multiLevelType w:val="multilevel"/>
    <w:tmpl w:val="58946D50"/>
    <w:lvl w:ilvl="0" w:tentative="0">
      <w:start w:val="1"/>
      <w:numFmt w:val="chineseCountingThousand"/>
      <w:suff w:val="space"/>
      <w:lvlText w:val="%1. "/>
      <w:lvlJc w:val="left"/>
      <w:pPr>
        <w:ind w:left="907" w:hanging="907"/>
      </w:pPr>
      <w:rPr>
        <w:rFonts w:hint="eastAsia"/>
      </w:rPr>
    </w:lvl>
    <w:lvl w:ilvl="1" w:tentative="0">
      <w:start w:val="1"/>
      <w:numFmt w:val="decimal"/>
      <w:isLgl/>
      <w:suff w:val="space"/>
      <w:lvlText w:val="%1.%2 "/>
      <w:lvlJc w:val="left"/>
      <w:pPr>
        <w:ind w:left="794" w:hanging="794"/>
      </w:pPr>
    </w:lvl>
    <w:lvl w:ilvl="2" w:tentative="0">
      <w:start w:val="0"/>
      <w:numFmt w:val="none"/>
      <w:lvlText w:val=""/>
      <w:lvlJc w:val="left"/>
      <w:pPr>
        <w:tabs>
          <w:tab w:val="left" w:pos="360"/>
        </w:tabs>
      </w:pPr>
      <w:rPr>
        <w:rFonts w:cs="Times New Roman"/>
      </w:rPr>
    </w:lvl>
    <w:lvl w:ilvl="3" w:tentative="0">
      <w:start w:val="0"/>
      <w:numFmt w:val="none"/>
      <w:lvlText w:val=""/>
      <w:lvlJc w:val="left"/>
      <w:pPr>
        <w:tabs>
          <w:tab w:val="left" w:pos="360"/>
        </w:tabs>
      </w:pPr>
      <w:rPr>
        <w:rFonts w:cs="Times New Roman"/>
      </w:rPr>
    </w:lvl>
    <w:lvl w:ilvl="4" w:tentative="0">
      <w:start w:val="0"/>
      <w:numFmt w:val="decimal"/>
      <w:pStyle w:val="38"/>
      <w:lvlText w:val=""/>
      <w:lvlJc w:val="left"/>
      <w:rPr>
        <w:rFonts w:cs="Times New Roman"/>
      </w:rPr>
    </w:lvl>
    <w:lvl w:ilvl="5" w:tentative="0">
      <w:start w:val="0"/>
      <w:numFmt w:val="decimal"/>
      <w:lvlText w:val=""/>
      <w:lvlJc w:val="left"/>
      <w:rPr>
        <w:rFonts w:cs="Times New Roman"/>
      </w:rPr>
    </w:lvl>
    <w:lvl w:ilvl="6" w:tentative="0">
      <w:start w:val="0"/>
      <w:numFmt w:val="decimal"/>
      <w:lvlText w:val=""/>
      <w:lvlJc w:val="left"/>
      <w:rPr>
        <w:rFonts w:cs="Times New Roman"/>
      </w:rPr>
    </w:lvl>
    <w:lvl w:ilvl="7" w:tentative="0">
      <w:start w:val="0"/>
      <w:numFmt w:val="decimal"/>
      <w:lvlText w:val=""/>
      <w:lvlJc w:val="left"/>
      <w:rPr>
        <w:rFonts w:cs="Times New Roman"/>
      </w:rPr>
    </w:lvl>
    <w:lvl w:ilvl="8" w:tentative="0">
      <w:start w:val="0"/>
      <w:numFmt w:val="decimal"/>
      <w:lvlText w:val=""/>
      <w:lvlJc w:val="left"/>
      <w:rPr>
        <w:rFonts w:cs="Times New Roman"/>
      </w:rPr>
    </w:lvl>
  </w:abstractNum>
  <w:abstractNum w:abstractNumId="8">
    <w:nsid w:val="7FE566EA"/>
    <w:multiLevelType w:val="singleLevel"/>
    <w:tmpl w:val="7FE566EA"/>
    <w:lvl w:ilvl="0" w:tentative="0">
      <w:start w:val="3"/>
      <w:numFmt w:val="decimal"/>
      <w:lvlText w:val="%1."/>
      <w:lvlJc w:val="left"/>
      <w:pPr>
        <w:tabs>
          <w:tab w:val="left" w:pos="312"/>
        </w:tabs>
      </w:pPr>
    </w:lvl>
  </w:abstractNum>
  <w:num w:numId="1">
    <w:abstractNumId w:val="7"/>
  </w:num>
  <w:num w:numId="2">
    <w:abstractNumId w:val="3"/>
  </w:num>
  <w:num w:numId="3">
    <w:abstractNumId w:val="8"/>
  </w:num>
  <w:num w:numId="4">
    <w:abstractNumId w:val="2"/>
  </w:num>
  <w:num w:numId="5">
    <w:abstractNumId w:val="0"/>
  </w:num>
  <w:num w:numId="6">
    <w:abstractNumId w:val="6"/>
  </w:num>
  <w:num w:numId="7">
    <w:abstractNumId w:val="4"/>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NiYzBiNDc2MjU5OTg1MjBlMzVkMThhMjQ1MDNmOTUifQ=="/>
    <w:docVar w:name="KSO_WPS_MARK_KEY" w:val="0aa33554-d7ef-43bd-8f04-d929d878a9e7"/>
  </w:docVars>
  <w:rsids>
    <w:rsidRoot w:val="00881AAB"/>
    <w:rsid w:val="00001529"/>
    <w:rsid w:val="00015670"/>
    <w:rsid w:val="000327BD"/>
    <w:rsid w:val="00033A0C"/>
    <w:rsid w:val="0003617C"/>
    <w:rsid w:val="00062DE0"/>
    <w:rsid w:val="00066C39"/>
    <w:rsid w:val="00084AF0"/>
    <w:rsid w:val="00085001"/>
    <w:rsid w:val="0008739D"/>
    <w:rsid w:val="000A3802"/>
    <w:rsid w:val="000C5580"/>
    <w:rsid w:val="000E27F3"/>
    <w:rsid w:val="001005D4"/>
    <w:rsid w:val="00115DEE"/>
    <w:rsid w:val="00136ED7"/>
    <w:rsid w:val="00145E01"/>
    <w:rsid w:val="00170B9E"/>
    <w:rsid w:val="001B2015"/>
    <w:rsid w:val="001B471F"/>
    <w:rsid w:val="001C54B3"/>
    <w:rsid w:val="001D604D"/>
    <w:rsid w:val="001E0A35"/>
    <w:rsid w:val="001E6C4F"/>
    <w:rsid w:val="001F33F8"/>
    <w:rsid w:val="001F7C7F"/>
    <w:rsid w:val="002705C6"/>
    <w:rsid w:val="00277798"/>
    <w:rsid w:val="00290892"/>
    <w:rsid w:val="002917AB"/>
    <w:rsid w:val="00295E11"/>
    <w:rsid w:val="00296D15"/>
    <w:rsid w:val="002D096D"/>
    <w:rsid w:val="002D499C"/>
    <w:rsid w:val="002E168C"/>
    <w:rsid w:val="002F7CA4"/>
    <w:rsid w:val="00323E35"/>
    <w:rsid w:val="00337955"/>
    <w:rsid w:val="00344C54"/>
    <w:rsid w:val="00372A62"/>
    <w:rsid w:val="00372BDE"/>
    <w:rsid w:val="003D288F"/>
    <w:rsid w:val="003E6723"/>
    <w:rsid w:val="003F3255"/>
    <w:rsid w:val="0040015F"/>
    <w:rsid w:val="004245AF"/>
    <w:rsid w:val="00451EB5"/>
    <w:rsid w:val="00461B61"/>
    <w:rsid w:val="00476CF3"/>
    <w:rsid w:val="00481B08"/>
    <w:rsid w:val="004A0482"/>
    <w:rsid w:val="004A15B6"/>
    <w:rsid w:val="004B7627"/>
    <w:rsid w:val="004E36C7"/>
    <w:rsid w:val="0050788A"/>
    <w:rsid w:val="0051373E"/>
    <w:rsid w:val="00544F20"/>
    <w:rsid w:val="005729B6"/>
    <w:rsid w:val="005749D6"/>
    <w:rsid w:val="005F1770"/>
    <w:rsid w:val="006133C4"/>
    <w:rsid w:val="00615AFA"/>
    <w:rsid w:val="0062160A"/>
    <w:rsid w:val="0063373B"/>
    <w:rsid w:val="0063792E"/>
    <w:rsid w:val="00654876"/>
    <w:rsid w:val="00655345"/>
    <w:rsid w:val="00670E89"/>
    <w:rsid w:val="006728F7"/>
    <w:rsid w:val="00672A3B"/>
    <w:rsid w:val="006A15D6"/>
    <w:rsid w:val="006A1FE6"/>
    <w:rsid w:val="006C1297"/>
    <w:rsid w:val="006C54B6"/>
    <w:rsid w:val="006E19E4"/>
    <w:rsid w:val="006E227B"/>
    <w:rsid w:val="007238CA"/>
    <w:rsid w:val="00730A64"/>
    <w:rsid w:val="00731C96"/>
    <w:rsid w:val="007505BD"/>
    <w:rsid w:val="007518E4"/>
    <w:rsid w:val="0075223E"/>
    <w:rsid w:val="00755136"/>
    <w:rsid w:val="0078390A"/>
    <w:rsid w:val="00783D97"/>
    <w:rsid w:val="00795186"/>
    <w:rsid w:val="00795317"/>
    <w:rsid w:val="007C397D"/>
    <w:rsid w:val="007C559E"/>
    <w:rsid w:val="007E519C"/>
    <w:rsid w:val="007E782A"/>
    <w:rsid w:val="0082355E"/>
    <w:rsid w:val="0084757F"/>
    <w:rsid w:val="00864D5E"/>
    <w:rsid w:val="00880DC2"/>
    <w:rsid w:val="008814BE"/>
    <w:rsid w:val="00881AAB"/>
    <w:rsid w:val="0089421D"/>
    <w:rsid w:val="008A17F2"/>
    <w:rsid w:val="008C3322"/>
    <w:rsid w:val="008E5B35"/>
    <w:rsid w:val="0090620F"/>
    <w:rsid w:val="00907286"/>
    <w:rsid w:val="00910DE2"/>
    <w:rsid w:val="00954F0D"/>
    <w:rsid w:val="00964B13"/>
    <w:rsid w:val="00964E0F"/>
    <w:rsid w:val="00972510"/>
    <w:rsid w:val="009862FA"/>
    <w:rsid w:val="00995E35"/>
    <w:rsid w:val="009A2C7B"/>
    <w:rsid w:val="009B5BC4"/>
    <w:rsid w:val="009B77D7"/>
    <w:rsid w:val="009F118C"/>
    <w:rsid w:val="009F11F1"/>
    <w:rsid w:val="00A203BB"/>
    <w:rsid w:val="00A7336E"/>
    <w:rsid w:val="00A95A8D"/>
    <w:rsid w:val="00AA0F8B"/>
    <w:rsid w:val="00AB173C"/>
    <w:rsid w:val="00AB491E"/>
    <w:rsid w:val="00AB7FA7"/>
    <w:rsid w:val="00AD1090"/>
    <w:rsid w:val="00AE30AF"/>
    <w:rsid w:val="00B12E90"/>
    <w:rsid w:val="00B20114"/>
    <w:rsid w:val="00B32C37"/>
    <w:rsid w:val="00B5740B"/>
    <w:rsid w:val="00B761EE"/>
    <w:rsid w:val="00B76264"/>
    <w:rsid w:val="00B85D5D"/>
    <w:rsid w:val="00B87EE8"/>
    <w:rsid w:val="00B903DC"/>
    <w:rsid w:val="00B9736A"/>
    <w:rsid w:val="00BB6309"/>
    <w:rsid w:val="00BE1528"/>
    <w:rsid w:val="00BE22B1"/>
    <w:rsid w:val="00BF3231"/>
    <w:rsid w:val="00C033A7"/>
    <w:rsid w:val="00C034D2"/>
    <w:rsid w:val="00C31EAA"/>
    <w:rsid w:val="00C3243B"/>
    <w:rsid w:val="00C72657"/>
    <w:rsid w:val="00C847B2"/>
    <w:rsid w:val="00C852C3"/>
    <w:rsid w:val="00CA4ABC"/>
    <w:rsid w:val="00CB13EF"/>
    <w:rsid w:val="00CD29E5"/>
    <w:rsid w:val="00CD4DCA"/>
    <w:rsid w:val="00CE106D"/>
    <w:rsid w:val="00CE3ED0"/>
    <w:rsid w:val="00D320C0"/>
    <w:rsid w:val="00D54124"/>
    <w:rsid w:val="00D677BC"/>
    <w:rsid w:val="00D67BF3"/>
    <w:rsid w:val="00D71CCA"/>
    <w:rsid w:val="00DC42BD"/>
    <w:rsid w:val="00DD38FA"/>
    <w:rsid w:val="00DD5334"/>
    <w:rsid w:val="00DD5989"/>
    <w:rsid w:val="00DD7004"/>
    <w:rsid w:val="00DE4F18"/>
    <w:rsid w:val="00DF1163"/>
    <w:rsid w:val="00E0706C"/>
    <w:rsid w:val="00E238CB"/>
    <w:rsid w:val="00E43C5F"/>
    <w:rsid w:val="00E447B0"/>
    <w:rsid w:val="00E45DAB"/>
    <w:rsid w:val="00E45E3D"/>
    <w:rsid w:val="00EA242C"/>
    <w:rsid w:val="00EC770C"/>
    <w:rsid w:val="00ED7969"/>
    <w:rsid w:val="00EF21F0"/>
    <w:rsid w:val="00F2188B"/>
    <w:rsid w:val="00F23AE6"/>
    <w:rsid w:val="00F33749"/>
    <w:rsid w:val="00F47051"/>
    <w:rsid w:val="00F603FD"/>
    <w:rsid w:val="00F60860"/>
    <w:rsid w:val="00F65F68"/>
    <w:rsid w:val="00F664C3"/>
    <w:rsid w:val="00F700EF"/>
    <w:rsid w:val="00F82100"/>
    <w:rsid w:val="00F921C2"/>
    <w:rsid w:val="00FB1604"/>
    <w:rsid w:val="00FB62F5"/>
    <w:rsid w:val="00FB6C20"/>
    <w:rsid w:val="00FC299F"/>
    <w:rsid w:val="00FF5173"/>
    <w:rsid w:val="01054DBB"/>
    <w:rsid w:val="010B0552"/>
    <w:rsid w:val="0110741D"/>
    <w:rsid w:val="01166E07"/>
    <w:rsid w:val="01207B0A"/>
    <w:rsid w:val="012670EA"/>
    <w:rsid w:val="013D6A06"/>
    <w:rsid w:val="01797CE4"/>
    <w:rsid w:val="01951A4C"/>
    <w:rsid w:val="01985863"/>
    <w:rsid w:val="01995B0E"/>
    <w:rsid w:val="01D84999"/>
    <w:rsid w:val="01E16388"/>
    <w:rsid w:val="02082347"/>
    <w:rsid w:val="023078B5"/>
    <w:rsid w:val="02386CC1"/>
    <w:rsid w:val="02597B1F"/>
    <w:rsid w:val="026B6E5B"/>
    <w:rsid w:val="02875E03"/>
    <w:rsid w:val="02B75D8B"/>
    <w:rsid w:val="02BF3950"/>
    <w:rsid w:val="02D044B8"/>
    <w:rsid w:val="02DB28EE"/>
    <w:rsid w:val="02ED455A"/>
    <w:rsid w:val="02FD7BDC"/>
    <w:rsid w:val="035D733B"/>
    <w:rsid w:val="035E2B6B"/>
    <w:rsid w:val="039B2991"/>
    <w:rsid w:val="03A6156A"/>
    <w:rsid w:val="03BF1F9F"/>
    <w:rsid w:val="03C027C9"/>
    <w:rsid w:val="03D30816"/>
    <w:rsid w:val="03F360D1"/>
    <w:rsid w:val="03F42403"/>
    <w:rsid w:val="03F922D4"/>
    <w:rsid w:val="04016353"/>
    <w:rsid w:val="0407030C"/>
    <w:rsid w:val="043216F7"/>
    <w:rsid w:val="044B123D"/>
    <w:rsid w:val="04556136"/>
    <w:rsid w:val="04905552"/>
    <w:rsid w:val="04B06A3C"/>
    <w:rsid w:val="04BA3286"/>
    <w:rsid w:val="04BD118F"/>
    <w:rsid w:val="04CB5FDF"/>
    <w:rsid w:val="04DA71C1"/>
    <w:rsid w:val="04EA18AF"/>
    <w:rsid w:val="04EC4AEA"/>
    <w:rsid w:val="050D65F7"/>
    <w:rsid w:val="0545598D"/>
    <w:rsid w:val="05467D5B"/>
    <w:rsid w:val="054B7C94"/>
    <w:rsid w:val="057B39D1"/>
    <w:rsid w:val="05857810"/>
    <w:rsid w:val="05D63D4A"/>
    <w:rsid w:val="05D95BDE"/>
    <w:rsid w:val="06045C22"/>
    <w:rsid w:val="063601BE"/>
    <w:rsid w:val="064F56F0"/>
    <w:rsid w:val="0653072F"/>
    <w:rsid w:val="06867EC1"/>
    <w:rsid w:val="069170C6"/>
    <w:rsid w:val="06A0266D"/>
    <w:rsid w:val="06A251D1"/>
    <w:rsid w:val="06B632C7"/>
    <w:rsid w:val="06C14E13"/>
    <w:rsid w:val="06C228AB"/>
    <w:rsid w:val="06DA722B"/>
    <w:rsid w:val="06DF53EC"/>
    <w:rsid w:val="06FA0416"/>
    <w:rsid w:val="06FD20CD"/>
    <w:rsid w:val="07441972"/>
    <w:rsid w:val="0754394B"/>
    <w:rsid w:val="075719B7"/>
    <w:rsid w:val="076469FB"/>
    <w:rsid w:val="077A13A9"/>
    <w:rsid w:val="078925D9"/>
    <w:rsid w:val="078B5EF9"/>
    <w:rsid w:val="078E659C"/>
    <w:rsid w:val="07945A7A"/>
    <w:rsid w:val="07D145B9"/>
    <w:rsid w:val="07D60C38"/>
    <w:rsid w:val="07D7260D"/>
    <w:rsid w:val="07E8339D"/>
    <w:rsid w:val="07EA18E6"/>
    <w:rsid w:val="07EB4A3E"/>
    <w:rsid w:val="07F13C37"/>
    <w:rsid w:val="07F77A80"/>
    <w:rsid w:val="07FA5808"/>
    <w:rsid w:val="086504F8"/>
    <w:rsid w:val="08823921"/>
    <w:rsid w:val="08A84F42"/>
    <w:rsid w:val="08C15957"/>
    <w:rsid w:val="08CA4C3F"/>
    <w:rsid w:val="08D97588"/>
    <w:rsid w:val="091C32AD"/>
    <w:rsid w:val="0920372F"/>
    <w:rsid w:val="09273A00"/>
    <w:rsid w:val="09563D33"/>
    <w:rsid w:val="096F7FDB"/>
    <w:rsid w:val="09925592"/>
    <w:rsid w:val="09C45CB0"/>
    <w:rsid w:val="09DD475F"/>
    <w:rsid w:val="09E665FB"/>
    <w:rsid w:val="0A056A2A"/>
    <w:rsid w:val="0A1B5341"/>
    <w:rsid w:val="0A217010"/>
    <w:rsid w:val="0A220CE9"/>
    <w:rsid w:val="0A2F2B3E"/>
    <w:rsid w:val="0A336454"/>
    <w:rsid w:val="0A4538B9"/>
    <w:rsid w:val="0A6273E5"/>
    <w:rsid w:val="0A6E0DEA"/>
    <w:rsid w:val="0A910325"/>
    <w:rsid w:val="0AB37262"/>
    <w:rsid w:val="0AB80DB3"/>
    <w:rsid w:val="0ABE383D"/>
    <w:rsid w:val="0AC04C77"/>
    <w:rsid w:val="0AC1216C"/>
    <w:rsid w:val="0AC21C32"/>
    <w:rsid w:val="0AE3544E"/>
    <w:rsid w:val="0B0B31AC"/>
    <w:rsid w:val="0B19469D"/>
    <w:rsid w:val="0B3E280C"/>
    <w:rsid w:val="0B41524D"/>
    <w:rsid w:val="0B4D3906"/>
    <w:rsid w:val="0B785A8D"/>
    <w:rsid w:val="0B94572A"/>
    <w:rsid w:val="0BA860DE"/>
    <w:rsid w:val="0BB820D5"/>
    <w:rsid w:val="0BCA3676"/>
    <w:rsid w:val="0BD240F7"/>
    <w:rsid w:val="0BD918F2"/>
    <w:rsid w:val="0BDE2F1C"/>
    <w:rsid w:val="0BEE5074"/>
    <w:rsid w:val="0C05777C"/>
    <w:rsid w:val="0C1E3D30"/>
    <w:rsid w:val="0C202F05"/>
    <w:rsid w:val="0C230946"/>
    <w:rsid w:val="0C3A097D"/>
    <w:rsid w:val="0C411C1B"/>
    <w:rsid w:val="0C416B49"/>
    <w:rsid w:val="0C4E312B"/>
    <w:rsid w:val="0C8F5E3F"/>
    <w:rsid w:val="0CB2441B"/>
    <w:rsid w:val="0CB25F9E"/>
    <w:rsid w:val="0CBF2065"/>
    <w:rsid w:val="0CEA3D6C"/>
    <w:rsid w:val="0D18180D"/>
    <w:rsid w:val="0D3B5D11"/>
    <w:rsid w:val="0D616EC9"/>
    <w:rsid w:val="0D707C84"/>
    <w:rsid w:val="0D7918FF"/>
    <w:rsid w:val="0D8B0A01"/>
    <w:rsid w:val="0D9000AF"/>
    <w:rsid w:val="0D90323D"/>
    <w:rsid w:val="0DAA5B67"/>
    <w:rsid w:val="0DB05DDA"/>
    <w:rsid w:val="0DD34884"/>
    <w:rsid w:val="0DE0710C"/>
    <w:rsid w:val="0DE7117E"/>
    <w:rsid w:val="0DFA51BC"/>
    <w:rsid w:val="0E28304B"/>
    <w:rsid w:val="0E686B72"/>
    <w:rsid w:val="0E691785"/>
    <w:rsid w:val="0E6B7D69"/>
    <w:rsid w:val="0E9B5F5C"/>
    <w:rsid w:val="0ED65E07"/>
    <w:rsid w:val="0EDF7D56"/>
    <w:rsid w:val="0EE15928"/>
    <w:rsid w:val="0EEF630B"/>
    <w:rsid w:val="0EFE75F6"/>
    <w:rsid w:val="0F08036F"/>
    <w:rsid w:val="0F130755"/>
    <w:rsid w:val="0F1E1E1F"/>
    <w:rsid w:val="0F217DCB"/>
    <w:rsid w:val="0F6011AA"/>
    <w:rsid w:val="0F660C0D"/>
    <w:rsid w:val="0F922398"/>
    <w:rsid w:val="0FB4752C"/>
    <w:rsid w:val="0FB66093"/>
    <w:rsid w:val="0FBB5718"/>
    <w:rsid w:val="0FD64EA5"/>
    <w:rsid w:val="0FFB6AB8"/>
    <w:rsid w:val="101D6266"/>
    <w:rsid w:val="10432F6C"/>
    <w:rsid w:val="1046749C"/>
    <w:rsid w:val="10527DC0"/>
    <w:rsid w:val="105F601B"/>
    <w:rsid w:val="10684F8F"/>
    <w:rsid w:val="10D34B99"/>
    <w:rsid w:val="10DC0547"/>
    <w:rsid w:val="10F14716"/>
    <w:rsid w:val="10F43BFE"/>
    <w:rsid w:val="10F7155E"/>
    <w:rsid w:val="111A3F67"/>
    <w:rsid w:val="117033FC"/>
    <w:rsid w:val="117533E0"/>
    <w:rsid w:val="11AA7A8E"/>
    <w:rsid w:val="11B032AF"/>
    <w:rsid w:val="11DD4D6D"/>
    <w:rsid w:val="11E11FE3"/>
    <w:rsid w:val="11E4091B"/>
    <w:rsid w:val="11FC07BE"/>
    <w:rsid w:val="124C05C5"/>
    <w:rsid w:val="12940358"/>
    <w:rsid w:val="12CD124B"/>
    <w:rsid w:val="12E85E89"/>
    <w:rsid w:val="12E97302"/>
    <w:rsid w:val="12ED1D70"/>
    <w:rsid w:val="13552669"/>
    <w:rsid w:val="137E6912"/>
    <w:rsid w:val="13D12064"/>
    <w:rsid w:val="13DE6B02"/>
    <w:rsid w:val="13FF0744"/>
    <w:rsid w:val="143A2F3E"/>
    <w:rsid w:val="144A27A1"/>
    <w:rsid w:val="14920091"/>
    <w:rsid w:val="14967E0E"/>
    <w:rsid w:val="14984F20"/>
    <w:rsid w:val="149F6325"/>
    <w:rsid w:val="14D247E5"/>
    <w:rsid w:val="14E20E1F"/>
    <w:rsid w:val="14E8720E"/>
    <w:rsid w:val="14F86462"/>
    <w:rsid w:val="15057DB2"/>
    <w:rsid w:val="151E5086"/>
    <w:rsid w:val="152B3C36"/>
    <w:rsid w:val="152E6EDE"/>
    <w:rsid w:val="153B201E"/>
    <w:rsid w:val="154009F6"/>
    <w:rsid w:val="154629F6"/>
    <w:rsid w:val="155318AE"/>
    <w:rsid w:val="155E04A6"/>
    <w:rsid w:val="158F0F44"/>
    <w:rsid w:val="15BE62DE"/>
    <w:rsid w:val="15C5389E"/>
    <w:rsid w:val="15E866C0"/>
    <w:rsid w:val="16090E3A"/>
    <w:rsid w:val="161143A0"/>
    <w:rsid w:val="16176A91"/>
    <w:rsid w:val="162D644C"/>
    <w:rsid w:val="1634038C"/>
    <w:rsid w:val="165366E9"/>
    <w:rsid w:val="165446F8"/>
    <w:rsid w:val="16726660"/>
    <w:rsid w:val="167F3AFA"/>
    <w:rsid w:val="16A61726"/>
    <w:rsid w:val="16B24B2F"/>
    <w:rsid w:val="17207821"/>
    <w:rsid w:val="172254B0"/>
    <w:rsid w:val="173A56EE"/>
    <w:rsid w:val="173C783E"/>
    <w:rsid w:val="173F4F12"/>
    <w:rsid w:val="17436349"/>
    <w:rsid w:val="177F098A"/>
    <w:rsid w:val="1782375F"/>
    <w:rsid w:val="179E57D5"/>
    <w:rsid w:val="17BC0702"/>
    <w:rsid w:val="18100480"/>
    <w:rsid w:val="183103F7"/>
    <w:rsid w:val="18385961"/>
    <w:rsid w:val="185847E6"/>
    <w:rsid w:val="187C0147"/>
    <w:rsid w:val="18872542"/>
    <w:rsid w:val="188845A0"/>
    <w:rsid w:val="18A54873"/>
    <w:rsid w:val="18BA03EC"/>
    <w:rsid w:val="18C92923"/>
    <w:rsid w:val="18E30439"/>
    <w:rsid w:val="19037FE5"/>
    <w:rsid w:val="190F0738"/>
    <w:rsid w:val="195D6FA0"/>
    <w:rsid w:val="19634297"/>
    <w:rsid w:val="197C01FB"/>
    <w:rsid w:val="19847FEF"/>
    <w:rsid w:val="19B84DB4"/>
    <w:rsid w:val="19B96BBC"/>
    <w:rsid w:val="19C54FC8"/>
    <w:rsid w:val="19E003BA"/>
    <w:rsid w:val="19F82C4A"/>
    <w:rsid w:val="19FE664A"/>
    <w:rsid w:val="1A0576A1"/>
    <w:rsid w:val="1A2B55F8"/>
    <w:rsid w:val="1A396373"/>
    <w:rsid w:val="1A3A17E5"/>
    <w:rsid w:val="1A6D1714"/>
    <w:rsid w:val="1A904F1B"/>
    <w:rsid w:val="1ADB6D40"/>
    <w:rsid w:val="1B1411ED"/>
    <w:rsid w:val="1B1E6F59"/>
    <w:rsid w:val="1B205568"/>
    <w:rsid w:val="1B3B0FBB"/>
    <w:rsid w:val="1B42450B"/>
    <w:rsid w:val="1B4F258E"/>
    <w:rsid w:val="1B8C23A6"/>
    <w:rsid w:val="1B8D1DE8"/>
    <w:rsid w:val="1BA60343"/>
    <w:rsid w:val="1BC80427"/>
    <w:rsid w:val="1BE063BC"/>
    <w:rsid w:val="1BF151A4"/>
    <w:rsid w:val="1C176A10"/>
    <w:rsid w:val="1C385DC9"/>
    <w:rsid w:val="1C445599"/>
    <w:rsid w:val="1C472C9E"/>
    <w:rsid w:val="1C4C2175"/>
    <w:rsid w:val="1C4D10D4"/>
    <w:rsid w:val="1C5B115B"/>
    <w:rsid w:val="1C8859AE"/>
    <w:rsid w:val="1C981677"/>
    <w:rsid w:val="1CAD6741"/>
    <w:rsid w:val="1CBB33FC"/>
    <w:rsid w:val="1CC80D6B"/>
    <w:rsid w:val="1D115076"/>
    <w:rsid w:val="1D16630A"/>
    <w:rsid w:val="1D482034"/>
    <w:rsid w:val="1D510A49"/>
    <w:rsid w:val="1D64391E"/>
    <w:rsid w:val="1D6A5C94"/>
    <w:rsid w:val="1D6D483B"/>
    <w:rsid w:val="1D7E3D7B"/>
    <w:rsid w:val="1D8E44AB"/>
    <w:rsid w:val="1D930EEA"/>
    <w:rsid w:val="1D954F84"/>
    <w:rsid w:val="1DA8277C"/>
    <w:rsid w:val="1DAD3059"/>
    <w:rsid w:val="1DB651C2"/>
    <w:rsid w:val="1DD84F17"/>
    <w:rsid w:val="1DDA48E9"/>
    <w:rsid w:val="1DE51E10"/>
    <w:rsid w:val="1DF94CA5"/>
    <w:rsid w:val="1E0A4C9F"/>
    <w:rsid w:val="1E0C16EA"/>
    <w:rsid w:val="1E1D56A5"/>
    <w:rsid w:val="1E272EFE"/>
    <w:rsid w:val="1E396257"/>
    <w:rsid w:val="1E414295"/>
    <w:rsid w:val="1E7A53DF"/>
    <w:rsid w:val="1E7D4E65"/>
    <w:rsid w:val="1E8A2AED"/>
    <w:rsid w:val="1E8B00D0"/>
    <w:rsid w:val="1E9C688A"/>
    <w:rsid w:val="1EA95CAE"/>
    <w:rsid w:val="1EB47879"/>
    <w:rsid w:val="1EBA45FD"/>
    <w:rsid w:val="1EF677B1"/>
    <w:rsid w:val="1F2E35C6"/>
    <w:rsid w:val="1F660C99"/>
    <w:rsid w:val="1FC41B50"/>
    <w:rsid w:val="1FC56CD5"/>
    <w:rsid w:val="1FDA793C"/>
    <w:rsid w:val="1FDF03C1"/>
    <w:rsid w:val="1FFB673E"/>
    <w:rsid w:val="200722D5"/>
    <w:rsid w:val="200A6B93"/>
    <w:rsid w:val="2019037C"/>
    <w:rsid w:val="202C6073"/>
    <w:rsid w:val="2081483C"/>
    <w:rsid w:val="20AC3A78"/>
    <w:rsid w:val="20EB1D01"/>
    <w:rsid w:val="20EE26DB"/>
    <w:rsid w:val="210E35A8"/>
    <w:rsid w:val="21367A77"/>
    <w:rsid w:val="213E0AB3"/>
    <w:rsid w:val="214E6674"/>
    <w:rsid w:val="21690C01"/>
    <w:rsid w:val="218D20E9"/>
    <w:rsid w:val="21AD0AEE"/>
    <w:rsid w:val="21C92DE3"/>
    <w:rsid w:val="21D050D8"/>
    <w:rsid w:val="21E107BD"/>
    <w:rsid w:val="21FC64BB"/>
    <w:rsid w:val="22014452"/>
    <w:rsid w:val="223A63CD"/>
    <w:rsid w:val="2250591D"/>
    <w:rsid w:val="22597918"/>
    <w:rsid w:val="22632749"/>
    <w:rsid w:val="226B2757"/>
    <w:rsid w:val="227F01C3"/>
    <w:rsid w:val="22B0722D"/>
    <w:rsid w:val="22CE0135"/>
    <w:rsid w:val="22EF4FC3"/>
    <w:rsid w:val="23143645"/>
    <w:rsid w:val="231E56DA"/>
    <w:rsid w:val="2324485E"/>
    <w:rsid w:val="233E2057"/>
    <w:rsid w:val="23BA1AAB"/>
    <w:rsid w:val="23F017B0"/>
    <w:rsid w:val="24191B47"/>
    <w:rsid w:val="243440D1"/>
    <w:rsid w:val="243B211D"/>
    <w:rsid w:val="243F31C9"/>
    <w:rsid w:val="24507227"/>
    <w:rsid w:val="246746A3"/>
    <w:rsid w:val="248414FF"/>
    <w:rsid w:val="24861656"/>
    <w:rsid w:val="249C4D58"/>
    <w:rsid w:val="24A629B1"/>
    <w:rsid w:val="24A96FB6"/>
    <w:rsid w:val="24BA5871"/>
    <w:rsid w:val="24C703CF"/>
    <w:rsid w:val="24CC1296"/>
    <w:rsid w:val="24E95238"/>
    <w:rsid w:val="24F34532"/>
    <w:rsid w:val="24FC2DC3"/>
    <w:rsid w:val="251A576F"/>
    <w:rsid w:val="25397EC1"/>
    <w:rsid w:val="25577CC0"/>
    <w:rsid w:val="255E2EE1"/>
    <w:rsid w:val="25683918"/>
    <w:rsid w:val="256E0E3C"/>
    <w:rsid w:val="256F533E"/>
    <w:rsid w:val="25757AC5"/>
    <w:rsid w:val="257B555E"/>
    <w:rsid w:val="2583045A"/>
    <w:rsid w:val="25886D27"/>
    <w:rsid w:val="25B4407F"/>
    <w:rsid w:val="25B94D35"/>
    <w:rsid w:val="25D52D09"/>
    <w:rsid w:val="25E36FE3"/>
    <w:rsid w:val="25F42000"/>
    <w:rsid w:val="260450E0"/>
    <w:rsid w:val="2622233B"/>
    <w:rsid w:val="2626435F"/>
    <w:rsid w:val="26326E05"/>
    <w:rsid w:val="264A1001"/>
    <w:rsid w:val="264E3DCF"/>
    <w:rsid w:val="265A3472"/>
    <w:rsid w:val="2667670E"/>
    <w:rsid w:val="266A1FA3"/>
    <w:rsid w:val="266C5CBF"/>
    <w:rsid w:val="266D385E"/>
    <w:rsid w:val="26801C99"/>
    <w:rsid w:val="268362C1"/>
    <w:rsid w:val="269D460B"/>
    <w:rsid w:val="26A86CD8"/>
    <w:rsid w:val="26AE3184"/>
    <w:rsid w:val="26BE618B"/>
    <w:rsid w:val="270F2BFE"/>
    <w:rsid w:val="27130F58"/>
    <w:rsid w:val="27364F4F"/>
    <w:rsid w:val="277F5B8F"/>
    <w:rsid w:val="27807D31"/>
    <w:rsid w:val="278247CB"/>
    <w:rsid w:val="27832351"/>
    <w:rsid w:val="278C6246"/>
    <w:rsid w:val="27956F19"/>
    <w:rsid w:val="27DF78AF"/>
    <w:rsid w:val="28357152"/>
    <w:rsid w:val="28571885"/>
    <w:rsid w:val="28680A8D"/>
    <w:rsid w:val="287228DE"/>
    <w:rsid w:val="289F0E6D"/>
    <w:rsid w:val="28BD519E"/>
    <w:rsid w:val="28D32F43"/>
    <w:rsid w:val="28FB65E3"/>
    <w:rsid w:val="295F5566"/>
    <w:rsid w:val="297840D8"/>
    <w:rsid w:val="2987576C"/>
    <w:rsid w:val="298D4A37"/>
    <w:rsid w:val="29C25353"/>
    <w:rsid w:val="29D8693F"/>
    <w:rsid w:val="29EC7544"/>
    <w:rsid w:val="2A035F68"/>
    <w:rsid w:val="2A08519D"/>
    <w:rsid w:val="2A0A3163"/>
    <w:rsid w:val="2A142454"/>
    <w:rsid w:val="2A322C67"/>
    <w:rsid w:val="2A3F02B9"/>
    <w:rsid w:val="2A482698"/>
    <w:rsid w:val="2A574CD1"/>
    <w:rsid w:val="2A71623E"/>
    <w:rsid w:val="2A7367D3"/>
    <w:rsid w:val="2A7726E3"/>
    <w:rsid w:val="2A9B5712"/>
    <w:rsid w:val="2AA73E90"/>
    <w:rsid w:val="2AD564A3"/>
    <w:rsid w:val="2ADD0677"/>
    <w:rsid w:val="2B102E1A"/>
    <w:rsid w:val="2B136BA7"/>
    <w:rsid w:val="2B204A27"/>
    <w:rsid w:val="2B2854AA"/>
    <w:rsid w:val="2B32464A"/>
    <w:rsid w:val="2B3503BE"/>
    <w:rsid w:val="2B537D38"/>
    <w:rsid w:val="2B5B1D34"/>
    <w:rsid w:val="2B7F0BAA"/>
    <w:rsid w:val="2B9D5C80"/>
    <w:rsid w:val="2B9F0B2E"/>
    <w:rsid w:val="2BA22821"/>
    <w:rsid w:val="2BB737FE"/>
    <w:rsid w:val="2BC5192B"/>
    <w:rsid w:val="2BCE153C"/>
    <w:rsid w:val="2BDF5C3C"/>
    <w:rsid w:val="2BED1901"/>
    <w:rsid w:val="2C0113B7"/>
    <w:rsid w:val="2C1014B1"/>
    <w:rsid w:val="2C461BA2"/>
    <w:rsid w:val="2C464C14"/>
    <w:rsid w:val="2C596548"/>
    <w:rsid w:val="2C5C383D"/>
    <w:rsid w:val="2C9732F3"/>
    <w:rsid w:val="2CAD4098"/>
    <w:rsid w:val="2CDE0206"/>
    <w:rsid w:val="2CEC5BCC"/>
    <w:rsid w:val="2D166FBA"/>
    <w:rsid w:val="2D170509"/>
    <w:rsid w:val="2D1864E7"/>
    <w:rsid w:val="2D1A7882"/>
    <w:rsid w:val="2D5637AB"/>
    <w:rsid w:val="2D6E6BA2"/>
    <w:rsid w:val="2D860E97"/>
    <w:rsid w:val="2D9B4173"/>
    <w:rsid w:val="2DB13649"/>
    <w:rsid w:val="2DB1662E"/>
    <w:rsid w:val="2DC84E99"/>
    <w:rsid w:val="2DDA0A00"/>
    <w:rsid w:val="2DE76A16"/>
    <w:rsid w:val="2E05495B"/>
    <w:rsid w:val="2E310CF9"/>
    <w:rsid w:val="2E413104"/>
    <w:rsid w:val="2E422A7F"/>
    <w:rsid w:val="2E48417D"/>
    <w:rsid w:val="2E507A3E"/>
    <w:rsid w:val="2E5E02A7"/>
    <w:rsid w:val="2E6D52AB"/>
    <w:rsid w:val="2EA733CA"/>
    <w:rsid w:val="2EA85996"/>
    <w:rsid w:val="2EB60E37"/>
    <w:rsid w:val="2EB67109"/>
    <w:rsid w:val="2EC202D8"/>
    <w:rsid w:val="2EF40AA5"/>
    <w:rsid w:val="2EFC1EF7"/>
    <w:rsid w:val="2F25208E"/>
    <w:rsid w:val="2F444597"/>
    <w:rsid w:val="2F6457E3"/>
    <w:rsid w:val="2F6906F7"/>
    <w:rsid w:val="2F6C3A9D"/>
    <w:rsid w:val="2F7B12ED"/>
    <w:rsid w:val="2F8B2243"/>
    <w:rsid w:val="2F926DC1"/>
    <w:rsid w:val="2FA774C5"/>
    <w:rsid w:val="2FCA4F61"/>
    <w:rsid w:val="2FE3621A"/>
    <w:rsid w:val="2FE53AD0"/>
    <w:rsid w:val="2FE66F72"/>
    <w:rsid w:val="2FEF1408"/>
    <w:rsid w:val="2FFA758B"/>
    <w:rsid w:val="300E30A0"/>
    <w:rsid w:val="300E7D13"/>
    <w:rsid w:val="301C7DDA"/>
    <w:rsid w:val="301D11D9"/>
    <w:rsid w:val="304F4CA9"/>
    <w:rsid w:val="30730C74"/>
    <w:rsid w:val="30744EAD"/>
    <w:rsid w:val="308C0391"/>
    <w:rsid w:val="309C78D7"/>
    <w:rsid w:val="30A92DC8"/>
    <w:rsid w:val="30CA42FD"/>
    <w:rsid w:val="30FE4E32"/>
    <w:rsid w:val="31127211"/>
    <w:rsid w:val="3115220C"/>
    <w:rsid w:val="311A06CC"/>
    <w:rsid w:val="311D2AB6"/>
    <w:rsid w:val="311E3229"/>
    <w:rsid w:val="313052E4"/>
    <w:rsid w:val="31387ED0"/>
    <w:rsid w:val="31804413"/>
    <w:rsid w:val="31864EB8"/>
    <w:rsid w:val="318F19FE"/>
    <w:rsid w:val="319A7C9F"/>
    <w:rsid w:val="31A17BEA"/>
    <w:rsid w:val="31BE2CCC"/>
    <w:rsid w:val="31D2259E"/>
    <w:rsid w:val="31DE6AA2"/>
    <w:rsid w:val="32043587"/>
    <w:rsid w:val="3228746A"/>
    <w:rsid w:val="32374005"/>
    <w:rsid w:val="326F648C"/>
    <w:rsid w:val="327B737A"/>
    <w:rsid w:val="327E380B"/>
    <w:rsid w:val="32BB5110"/>
    <w:rsid w:val="32C94E5D"/>
    <w:rsid w:val="32E77BBB"/>
    <w:rsid w:val="333F68EA"/>
    <w:rsid w:val="334B0167"/>
    <w:rsid w:val="33502D42"/>
    <w:rsid w:val="33555F9B"/>
    <w:rsid w:val="336A2335"/>
    <w:rsid w:val="336E20A7"/>
    <w:rsid w:val="33784DC6"/>
    <w:rsid w:val="34137052"/>
    <w:rsid w:val="341B5236"/>
    <w:rsid w:val="3427319D"/>
    <w:rsid w:val="34A07CF1"/>
    <w:rsid w:val="34AB7015"/>
    <w:rsid w:val="34B04FD7"/>
    <w:rsid w:val="34BD728A"/>
    <w:rsid w:val="34CA2B81"/>
    <w:rsid w:val="34E15227"/>
    <w:rsid w:val="352E77E2"/>
    <w:rsid w:val="35E23A46"/>
    <w:rsid w:val="36660E36"/>
    <w:rsid w:val="36EF6736"/>
    <w:rsid w:val="370E2A9F"/>
    <w:rsid w:val="374F39C5"/>
    <w:rsid w:val="37691503"/>
    <w:rsid w:val="37786DEF"/>
    <w:rsid w:val="3790182A"/>
    <w:rsid w:val="37984D76"/>
    <w:rsid w:val="3808407C"/>
    <w:rsid w:val="380A01BB"/>
    <w:rsid w:val="380F3C1D"/>
    <w:rsid w:val="38173B19"/>
    <w:rsid w:val="381F7A7E"/>
    <w:rsid w:val="38507FCD"/>
    <w:rsid w:val="38746B20"/>
    <w:rsid w:val="38A07E5D"/>
    <w:rsid w:val="38A4115B"/>
    <w:rsid w:val="38C21679"/>
    <w:rsid w:val="38D37C34"/>
    <w:rsid w:val="38F604F3"/>
    <w:rsid w:val="38FB262F"/>
    <w:rsid w:val="3904479A"/>
    <w:rsid w:val="39056A32"/>
    <w:rsid w:val="39073E02"/>
    <w:rsid w:val="392E1274"/>
    <w:rsid w:val="392F4087"/>
    <w:rsid w:val="39706F18"/>
    <w:rsid w:val="397332D8"/>
    <w:rsid w:val="397542C1"/>
    <w:rsid w:val="398136FF"/>
    <w:rsid w:val="399375FB"/>
    <w:rsid w:val="39B03DC5"/>
    <w:rsid w:val="39B33DE8"/>
    <w:rsid w:val="39B36582"/>
    <w:rsid w:val="39B42B86"/>
    <w:rsid w:val="39BF5FED"/>
    <w:rsid w:val="39CE1AF2"/>
    <w:rsid w:val="39D4773E"/>
    <w:rsid w:val="39E56DEB"/>
    <w:rsid w:val="3A020330"/>
    <w:rsid w:val="3A023F3D"/>
    <w:rsid w:val="3A320010"/>
    <w:rsid w:val="3A3A1CF1"/>
    <w:rsid w:val="3A470F10"/>
    <w:rsid w:val="3A69039B"/>
    <w:rsid w:val="3A6912C2"/>
    <w:rsid w:val="3A6F68CE"/>
    <w:rsid w:val="3A821376"/>
    <w:rsid w:val="3A891042"/>
    <w:rsid w:val="3A927BAD"/>
    <w:rsid w:val="3A9645D2"/>
    <w:rsid w:val="3A964E37"/>
    <w:rsid w:val="3AF13A71"/>
    <w:rsid w:val="3B011A76"/>
    <w:rsid w:val="3B210353"/>
    <w:rsid w:val="3B2B2DB2"/>
    <w:rsid w:val="3B5B69B5"/>
    <w:rsid w:val="3B676769"/>
    <w:rsid w:val="3B8C2F5A"/>
    <w:rsid w:val="3B98287C"/>
    <w:rsid w:val="3BAA2B56"/>
    <w:rsid w:val="3BC30146"/>
    <w:rsid w:val="3BC831C7"/>
    <w:rsid w:val="3C211CB3"/>
    <w:rsid w:val="3C2E4876"/>
    <w:rsid w:val="3C4E7018"/>
    <w:rsid w:val="3C621F93"/>
    <w:rsid w:val="3C804E94"/>
    <w:rsid w:val="3C93724B"/>
    <w:rsid w:val="3CAD7000"/>
    <w:rsid w:val="3CCA1599"/>
    <w:rsid w:val="3CD12AD5"/>
    <w:rsid w:val="3CE807EE"/>
    <w:rsid w:val="3D1451DA"/>
    <w:rsid w:val="3D335F70"/>
    <w:rsid w:val="3D500358"/>
    <w:rsid w:val="3DAB419F"/>
    <w:rsid w:val="3DE141C9"/>
    <w:rsid w:val="3DFD2F62"/>
    <w:rsid w:val="3E0858B2"/>
    <w:rsid w:val="3E0C239E"/>
    <w:rsid w:val="3E153D35"/>
    <w:rsid w:val="3E1A4C71"/>
    <w:rsid w:val="3E766D98"/>
    <w:rsid w:val="3E7C7C54"/>
    <w:rsid w:val="3E901060"/>
    <w:rsid w:val="3EA04680"/>
    <w:rsid w:val="3EA75D7A"/>
    <w:rsid w:val="3EB26E8F"/>
    <w:rsid w:val="3EB70DA6"/>
    <w:rsid w:val="3EC7548D"/>
    <w:rsid w:val="3ED43706"/>
    <w:rsid w:val="3EF0343F"/>
    <w:rsid w:val="3EF60785"/>
    <w:rsid w:val="3F02228A"/>
    <w:rsid w:val="3F4F0BEC"/>
    <w:rsid w:val="3F5D4AF0"/>
    <w:rsid w:val="3FAB25D3"/>
    <w:rsid w:val="3FBC2C8F"/>
    <w:rsid w:val="3FC246C5"/>
    <w:rsid w:val="3FC42832"/>
    <w:rsid w:val="3FDE1000"/>
    <w:rsid w:val="3FEC5211"/>
    <w:rsid w:val="400B13AA"/>
    <w:rsid w:val="4014589F"/>
    <w:rsid w:val="40576071"/>
    <w:rsid w:val="405E14A8"/>
    <w:rsid w:val="40C96557"/>
    <w:rsid w:val="40DD55A6"/>
    <w:rsid w:val="40ED7F4A"/>
    <w:rsid w:val="40F40441"/>
    <w:rsid w:val="41074A1E"/>
    <w:rsid w:val="410A78B3"/>
    <w:rsid w:val="41305899"/>
    <w:rsid w:val="415D3C75"/>
    <w:rsid w:val="41610EEB"/>
    <w:rsid w:val="41673637"/>
    <w:rsid w:val="416A0352"/>
    <w:rsid w:val="41B13795"/>
    <w:rsid w:val="41B1475E"/>
    <w:rsid w:val="41B56382"/>
    <w:rsid w:val="41BE29E9"/>
    <w:rsid w:val="41CD7AD3"/>
    <w:rsid w:val="41DA480F"/>
    <w:rsid w:val="41E20F89"/>
    <w:rsid w:val="42007A8C"/>
    <w:rsid w:val="422B5843"/>
    <w:rsid w:val="422D596D"/>
    <w:rsid w:val="423D448E"/>
    <w:rsid w:val="423F2A90"/>
    <w:rsid w:val="42580A05"/>
    <w:rsid w:val="426D09B9"/>
    <w:rsid w:val="429A5933"/>
    <w:rsid w:val="42A76DE4"/>
    <w:rsid w:val="42AC48CB"/>
    <w:rsid w:val="42BF7A74"/>
    <w:rsid w:val="42D00689"/>
    <w:rsid w:val="42DF7F97"/>
    <w:rsid w:val="433A1881"/>
    <w:rsid w:val="433A1D19"/>
    <w:rsid w:val="433C1E63"/>
    <w:rsid w:val="434B7D0F"/>
    <w:rsid w:val="43597092"/>
    <w:rsid w:val="437A310F"/>
    <w:rsid w:val="43961156"/>
    <w:rsid w:val="43DA58C7"/>
    <w:rsid w:val="43E96BAF"/>
    <w:rsid w:val="43FD1784"/>
    <w:rsid w:val="440430C8"/>
    <w:rsid w:val="440A22DE"/>
    <w:rsid w:val="441030FE"/>
    <w:rsid w:val="441D053F"/>
    <w:rsid w:val="443F1DF1"/>
    <w:rsid w:val="445D3033"/>
    <w:rsid w:val="446D76A3"/>
    <w:rsid w:val="44841CB0"/>
    <w:rsid w:val="448E07FB"/>
    <w:rsid w:val="449903C1"/>
    <w:rsid w:val="44D55395"/>
    <w:rsid w:val="44E12E0E"/>
    <w:rsid w:val="44E51A50"/>
    <w:rsid w:val="44E71038"/>
    <w:rsid w:val="44EE75C2"/>
    <w:rsid w:val="452F78E8"/>
    <w:rsid w:val="453422C4"/>
    <w:rsid w:val="454C693D"/>
    <w:rsid w:val="454D6E68"/>
    <w:rsid w:val="4554365A"/>
    <w:rsid w:val="455D7C26"/>
    <w:rsid w:val="456C7979"/>
    <w:rsid w:val="45821E59"/>
    <w:rsid w:val="45961FF8"/>
    <w:rsid w:val="45B800FA"/>
    <w:rsid w:val="45F14F0F"/>
    <w:rsid w:val="46625A9C"/>
    <w:rsid w:val="46A63ED2"/>
    <w:rsid w:val="46C10A14"/>
    <w:rsid w:val="46C27000"/>
    <w:rsid w:val="46C47E93"/>
    <w:rsid w:val="46CF66A3"/>
    <w:rsid w:val="46D458BE"/>
    <w:rsid w:val="46D83FB0"/>
    <w:rsid w:val="46E9779B"/>
    <w:rsid w:val="46F0322F"/>
    <w:rsid w:val="4705429B"/>
    <w:rsid w:val="473776CC"/>
    <w:rsid w:val="473A6EDD"/>
    <w:rsid w:val="47574ED5"/>
    <w:rsid w:val="475A2C17"/>
    <w:rsid w:val="476456C8"/>
    <w:rsid w:val="477D3D16"/>
    <w:rsid w:val="47871E39"/>
    <w:rsid w:val="4790597C"/>
    <w:rsid w:val="47993DEC"/>
    <w:rsid w:val="47BB1E60"/>
    <w:rsid w:val="47BE42DF"/>
    <w:rsid w:val="47E408FC"/>
    <w:rsid w:val="47E81F98"/>
    <w:rsid w:val="47FE3499"/>
    <w:rsid w:val="48026543"/>
    <w:rsid w:val="48085EEE"/>
    <w:rsid w:val="48254810"/>
    <w:rsid w:val="48357FD2"/>
    <w:rsid w:val="483D187B"/>
    <w:rsid w:val="486E2528"/>
    <w:rsid w:val="4882431E"/>
    <w:rsid w:val="48AA59B8"/>
    <w:rsid w:val="48E43A38"/>
    <w:rsid w:val="48EE7ABB"/>
    <w:rsid w:val="48FD1DB4"/>
    <w:rsid w:val="49232646"/>
    <w:rsid w:val="493556E9"/>
    <w:rsid w:val="49543306"/>
    <w:rsid w:val="4954333B"/>
    <w:rsid w:val="495E2B94"/>
    <w:rsid w:val="49616FFE"/>
    <w:rsid w:val="497B31EF"/>
    <w:rsid w:val="498334DE"/>
    <w:rsid w:val="4983665D"/>
    <w:rsid w:val="498F5AE4"/>
    <w:rsid w:val="49983A28"/>
    <w:rsid w:val="49A45804"/>
    <w:rsid w:val="49C4723B"/>
    <w:rsid w:val="49E05C53"/>
    <w:rsid w:val="49E95BD5"/>
    <w:rsid w:val="4A095539"/>
    <w:rsid w:val="4A1731CC"/>
    <w:rsid w:val="4A355B0B"/>
    <w:rsid w:val="4A4970F0"/>
    <w:rsid w:val="4A527636"/>
    <w:rsid w:val="4A58168F"/>
    <w:rsid w:val="4A8E6E5F"/>
    <w:rsid w:val="4A995AE0"/>
    <w:rsid w:val="4A9D0B23"/>
    <w:rsid w:val="4AE36F2D"/>
    <w:rsid w:val="4B084FFD"/>
    <w:rsid w:val="4B320C52"/>
    <w:rsid w:val="4B5C21F9"/>
    <w:rsid w:val="4B642A0E"/>
    <w:rsid w:val="4B7F027B"/>
    <w:rsid w:val="4B80775D"/>
    <w:rsid w:val="4B8A0F3C"/>
    <w:rsid w:val="4BE71AE3"/>
    <w:rsid w:val="4BED231E"/>
    <w:rsid w:val="4C1F31AD"/>
    <w:rsid w:val="4C3958C5"/>
    <w:rsid w:val="4C4E0665"/>
    <w:rsid w:val="4C4F6559"/>
    <w:rsid w:val="4C670655"/>
    <w:rsid w:val="4C786197"/>
    <w:rsid w:val="4CC628F5"/>
    <w:rsid w:val="4CD15729"/>
    <w:rsid w:val="4CD32C00"/>
    <w:rsid w:val="4CEF7F61"/>
    <w:rsid w:val="4CFE400D"/>
    <w:rsid w:val="4D0A21B7"/>
    <w:rsid w:val="4D551758"/>
    <w:rsid w:val="4D5B6EEE"/>
    <w:rsid w:val="4DBB380B"/>
    <w:rsid w:val="4DD17C7B"/>
    <w:rsid w:val="4DEC72CB"/>
    <w:rsid w:val="4E0F2169"/>
    <w:rsid w:val="4E11689B"/>
    <w:rsid w:val="4E1668BE"/>
    <w:rsid w:val="4E34689B"/>
    <w:rsid w:val="4E37791B"/>
    <w:rsid w:val="4E7F4D88"/>
    <w:rsid w:val="4EA21EE0"/>
    <w:rsid w:val="4EA230E9"/>
    <w:rsid w:val="4EB6031E"/>
    <w:rsid w:val="4ECF65BC"/>
    <w:rsid w:val="4ED46F71"/>
    <w:rsid w:val="4EEB4909"/>
    <w:rsid w:val="4EFB7D6C"/>
    <w:rsid w:val="4F004F1E"/>
    <w:rsid w:val="4F153C67"/>
    <w:rsid w:val="4F1D65BD"/>
    <w:rsid w:val="4F2D3B10"/>
    <w:rsid w:val="4F4D68EC"/>
    <w:rsid w:val="4F607684"/>
    <w:rsid w:val="4FA00F1F"/>
    <w:rsid w:val="4FAB31E3"/>
    <w:rsid w:val="4FAD767A"/>
    <w:rsid w:val="4FAF2FC3"/>
    <w:rsid w:val="4FB60AD4"/>
    <w:rsid w:val="4FF57980"/>
    <w:rsid w:val="503109C5"/>
    <w:rsid w:val="505E1082"/>
    <w:rsid w:val="506C2C34"/>
    <w:rsid w:val="506F0398"/>
    <w:rsid w:val="50722141"/>
    <w:rsid w:val="5072410F"/>
    <w:rsid w:val="507415F1"/>
    <w:rsid w:val="50C6004F"/>
    <w:rsid w:val="50D53F14"/>
    <w:rsid w:val="51054728"/>
    <w:rsid w:val="511E6B53"/>
    <w:rsid w:val="513B140B"/>
    <w:rsid w:val="51746CE6"/>
    <w:rsid w:val="51883993"/>
    <w:rsid w:val="518B54E1"/>
    <w:rsid w:val="519D1BF6"/>
    <w:rsid w:val="51A84528"/>
    <w:rsid w:val="51B353FD"/>
    <w:rsid w:val="52146438"/>
    <w:rsid w:val="52157E66"/>
    <w:rsid w:val="5242511C"/>
    <w:rsid w:val="524C4F08"/>
    <w:rsid w:val="52992C7A"/>
    <w:rsid w:val="52C4181D"/>
    <w:rsid w:val="52C44A3B"/>
    <w:rsid w:val="52D10231"/>
    <w:rsid w:val="52E264E4"/>
    <w:rsid w:val="52E36FF2"/>
    <w:rsid w:val="53107AD3"/>
    <w:rsid w:val="5332344B"/>
    <w:rsid w:val="5354551B"/>
    <w:rsid w:val="5355145C"/>
    <w:rsid w:val="53603363"/>
    <w:rsid w:val="53706CB0"/>
    <w:rsid w:val="53C252DA"/>
    <w:rsid w:val="541A2E89"/>
    <w:rsid w:val="541A750D"/>
    <w:rsid w:val="546457F0"/>
    <w:rsid w:val="54870FEE"/>
    <w:rsid w:val="548912B6"/>
    <w:rsid w:val="54A2010E"/>
    <w:rsid w:val="54A713BE"/>
    <w:rsid w:val="54B77F97"/>
    <w:rsid w:val="54BF2A6B"/>
    <w:rsid w:val="54D95A6A"/>
    <w:rsid w:val="54E7075F"/>
    <w:rsid w:val="55196BBA"/>
    <w:rsid w:val="553A38F4"/>
    <w:rsid w:val="555D152F"/>
    <w:rsid w:val="557401DE"/>
    <w:rsid w:val="55A46E5F"/>
    <w:rsid w:val="55BA64C1"/>
    <w:rsid w:val="55F05A01"/>
    <w:rsid w:val="56026508"/>
    <w:rsid w:val="560A7104"/>
    <w:rsid w:val="56156041"/>
    <w:rsid w:val="56336B0D"/>
    <w:rsid w:val="563B6A8E"/>
    <w:rsid w:val="5652415B"/>
    <w:rsid w:val="56524575"/>
    <w:rsid w:val="566758A2"/>
    <w:rsid w:val="56740556"/>
    <w:rsid w:val="56822393"/>
    <w:rsid w:val="56825A11"/>
    <w:rsid w:val="568A3263"/>
    <w:rsid w:val="569232C7"/>
    <w:rsid w:val="5697494E"/>
    <w:rsid w:val="56A70D51"/>
    <w:rsid w:val="56A7329B"/>
    <w:rsid w:val="56B425AB"/>
    <w:rsid w:val="56D5424D"/>
    <w:rsid w:val="572A2846"/>
    <w:rsid w:val="575878A2"/>
    <w:rsid w:val="575B5EDF"/>
    <w:rsid w:val="575C645C"/>
    <w:rsid w:val="578752BF"/>
    <w:rsid w:val="57B53913"/>
    <w:rsid w:val="57E46E94"/>
    <w:rsid w:val="57E84D95"/>
    <w:rsid w:val="57F12439"/>
    <w:rsid w:val="57F56A74"/>
    <w:rsid w:val="58051CC1"/>
    <w:rsid w:val="580C4257"/>
    <w:rsid w:val="58296915"/>
    <w:rsid w:val="584063B5"/>
    <w:rsid w:val="58507E4A"/>
    <w:rsid w:val="58516CD1"/>
    <w:rsid w:val="585358C1"/>
    <w:rsid w:val="58660643"/>
    <w:rsid w:val="58691299"/>
    <w:rsid w:val="589225A0"/>
    <w:rsid w:val="58C22A7C"/>
    <w:rsid w:val="58CC51A1"/>
    <w:rsid w:val="58D17E26"/>
    <w:rsid w:val="58EA29B6"/>
    <w:rsid w:val="59104543"/>
    <w:rsid w:val="59160F02"/>
    <w:rsid w:val="593F557E"/>
    <w:rsid w:val="59565312"/>
    <w:rsid w:val="596B2EAE"/>
    <w:rsid w:val="59D735FA"/>
    <w:rsid w:val="59DA02DF"/>
    <w:rsid w:val="59DC6EC0"/>
    <w:rsid w:val="5A577C6A"/>
    <w:rsid w:val="5A5E1FFC"/>
    <w:rsid w:val="5A66261B"/>
    <w:rsid w:val="5A667B46"/>
    <w:rsid w:val="5A783DFA"/>
    <w:rsid w:val="5A981F82"/>
    <w:rsid w:val="5AA43A24"/>
    <w:rsid w:val="5AB3104F"/>
    <w:rsid w:val="5AE74082"/>
    <w:rsid w:val="5B17643A"/>
    <w:rsid w:val="5B297808"/>
    <w:rsid w:val="5B410863"/>
    <w:rsid w:val="5B5C1640"/>
    <w:rsid w:val="5B694F1C"/>
    <w:rsid w:val="5B843F54"/>
    <w:rsid w:val="5B953DC6"/>
    <w:rsid w:val="5BA053DC"/>
    <w:rsid w:val="5BDC6F12"/>
    <w:rsid w:val="5C1A6DE6"/>
    <w:rsid w:val="5C39363D"/>
    <w:rsid w:val="5C512DA3"/>
    <w:rsid w:val="5C634049"/>
    <w:rsid w:val="5C6D745E"/>
    <w:rsid w:val="5C953E9F"/>
    <w:rsid w:val="5C9B4786"/>
    <w:rsid w:val="5CAC7894"/>
    <w:rsid w:val="5CC07B3D"/>
    <w:rsid w:val="5CCF1088"/>
    <w:rsid w:val="5CD91A43"/>
    <w:rsid w:val="5CDB16C7"/>
    <w:rsid w:val="5CDD2DE5"/>
    <w:rsid w:val="5CDE5EB0"/>
    <w:rsid w:val="5D001543"/>
    <w:rsid w:val="5D445F72"/>
    <w:rsid w:val="5D580321"/>
    <w:rsid w:val="5D7C49E0"/>
    <w:rsid w:val="5D7D52B9"/>
    <w:rsid w:val="5D805229"/>
    <w:rsid w:val="5D8811FB"/>
    <w:rsid w:val="5DD60DF1"/>
    <w:rsid w:val="5DDA37CA"/>
    <w:rsid w:val="5DED1841"/>
    <w:rsid w:val="5E031A20"/>
    <w:rsid w:val="5E031DA7"/>
    <w:rsid w:val="5E076B4D"/>
    <w:rsid w:val="5E292156"/>
    <w:rsid w:val="5E2D16AC"/>
    <w:rsid w:val="5E36617A"/>
    <w:rsid w:val="5E3F3919"/>
    <w:rsid w:val="5E562D5F"/>
    <w:rsid w:val="5E99597B"/>
    <w:rsid w:val="5EB54C26"/>
    <w:rsid w:val="5EBF1885"/>
    <w:rsid w:val="5ED15A7C"/>
    <w:rsid w:val="5EE83994"/>
    <w:rsid w:val="5F042B1A"/>
    <w:rsid w:val="5F0B4721"/>
    <w:rsid w:val="5F3A0F0C"/>
    <w:rsid w:val="5F5B12B8"/>
    <w:rsid w:val="5F6C6381"/>
    <w:rsid w:val="5F814D8D"/>
    <w:rsid w:val="5F846AE6"/>
    <w:rsid w:val="5F853CDF"/>
    <w:rsid w:val="5F8B60CA"/>
    <w:rsid w:val="5FAA58A9"/>
    <w:rsid w:val="5FC173EF"/>
    <w:rsid w:val="5FCC6889"/>
    <w:rsid w:val="5FD62E0F"/>
    <w:rsid w:val="5FF738EC"/>
    <w:rsid w:val="602509D3"/>
    <w:rsid w:val="603777FD"/>
    <w:rsid w:val="603F498A"/>
    <w:rsid w:val="6048034E"/>
    <w:rsid w:val="60596CA9"/>
    <w:rsid w:val="606452A8"/>
    <w:rsid w:val="606B2CE4"/>
    <w:rsid w:val="60733297"/>
    <w:rsid w:val="608B7F31"/>
    <w:rsid w:val="6091638C"/>
    <w:rsid w:val="6096585A"/>
    <w:rsid w:val="60B972B5"/>
    <w:rsid w:val="60C70EC5"/>
    <w:rsid w:val="60EB3869"/>
    <w:rsid w:val="60F5158E"/>
    <w:rsid w:val="60F971BA"/>
    <w:rsid w:val="60FC46EE"/>
    <w:rsid w:val="611F7E2A"/>
    <w:rsid w:val="612C4F2C"/>
    <w:rsid w:val="61372641"/>
    <w:rsid w:val="61720E31"/>
    <w:rsid w:val="61897838"/>
    <w:rsid w:val="619D297F"/>
    <w:rsid w:val="61A24965"/>
    <w:rsid w:val="621A70D8"/>
    <w:rsid w:val="62226963"/>
    <w:rsid w:val="6229220F"/>
    <w:rsid w:val="625A3F91"/>
    <w:rsid w:val="625A66FE"/>
    <w:rsid w:val="625E13B5"/>
    <w:rsid w:val="62757D08"/>
    <w:rsid w:val="62762BB9"/>
    <w:rsid w:val="62886432"/>
    <w:rsid w:val="628A21AA"/>
    <w:rsid w:val="62B5149D"/>
    <w:rsid w:val="62B5339F"/>
    <w:rsid w:val="62BF481F"/>
    <w:rsid w:val="62D557A9"/>
    <w:rsid w:val="62E31A8E"/>
    <w:rsid w:val="62F12BBC"/>
    <w:rsid w:val="63013947"/>
    <w:rsid w:val="63045C20"/>
    <w:rsid w:val="63181D53"/>
    <w:rsid w:val="631A66CF"/>
    <w:rsid w:val="634901B8"/>
    <w:rsid w:val="6356174D"/>
    <w:rsid w:val="635F17F0"/>
    <w:rsid w:val="63620F7A"/>
    <w:rsid w:val="63E35647"/>
    <w:rsid w:val="63EA4969"/>
    <w:rsid w:val="63F12D3C"/>
    <w:rsid w:val="641C32D6"/>
    <w:rsid w:val="642301C1"/>
    <w:rsid w:val="64505908"/>
    <w:rsid w:val="64537A6F"/>
    <w:rsid w:val="64560851"/>
    <w:rsid w:val="648521B4"/>
    <w:rsid w:val="648C60FE"/>
    <w:rsid w:val="64987D81"/>
    <w:rsid w:val="64A17C97"/>
    <w:rsid w:val="64E671F7"/>
    <w:rsid w:val="64E775B3"/>
    <w:rsid w:val="64FC25C1"/>
    <w:rsid w:val="652D1F8D"/>
    <w:rsid w:val="653868CE"/>
    <w:rsid w:val="65437614"/>
    <w:rsid w:val="65834F1A"/>
    <w:rsid w:val="65D906BB"/>
    <w:rsid w:val="65DC2D1D"/>
    <w:rsid w:val="65F85329"/>
    <w:rsid w:val="66114B90"/>
    <w:rsid w:val="661E70BF"/>
    <w:rsid w:val="662E07A7"/>
    <w:rsid w:val="663A3B91"/>
    <w:rsid w:val="66503C95"/>
    <w:rsid w:val="665A3BD8"/>
    <w:rsid w:val="665D204B"/>
    <w:rsid w:val="6672542F"/>
    <w:rsid w:val="66814443"/>
    <w:rsid w:val="66886861"/>
    <w:rsid w:val="668C0BA5"/>
    <w:rsid w:val="66996A1E"/>
    <w:rsid w:val="66A72961"/>
    <w:rsid w:val="66A85E49"/>
    <w:rsid w:val="66AC4FA5"/>
    <w:rsid w:val="66CD1685"/>
    <w:rsid w:val="66F27A29"/>
    <w:rsid w:val="66FB79C6"/>
    <w:rsid w:val="67241212"/>
    <w:rsid w:val="672E492D"/>
    <w:rsid w:val="67875062"/>
    <w:rsid w:val="67947335"/>
    <w:rsid w:val="679B2435"/>
    <w:rsid w:val="67AD2B1F"/>
    <w:rsid w:val="67AE4323"/>
    <w:rsid w:val="67B722AC"/>
    <w:rsid w:val="67DC66DC"/>
    <w:rsid w:val="68062EE4"/>
    <w:rsid w:val="68260995"/>
    <w:rsid w:val="68517059"/>
    <w:rsid w:val="68563274"/>
    <w:rsid w:val="687F5B55"/>
    <w:rsid w:val="68E1695A"/>
    <w:rsid w:val="68F81CB1"/>
    <w:rsid w:val="69251C8D"/>
    <w:rsid w:val="694A61EF"/>
    <w:rsid w:val="69610968"/>
    <w:rsid w:val="69802EAF"/>
    <w:rsid w:val="69B96D83"/>
    <w:rsid w:val="69D310EF"/>
    <w:rsid w:val="69EC5C4C"/>
    <w:rsid w:val="6A0253AD"/>
    <w:rsid w:val="6A1458D8"/>
    <w:rsid w:val="6A3C180C"/>
    <w:rsid w:val="6A464D1F"/>
    <w:rsid w:val="6A5877AE"/>
    <w:rsid w:val="6A591018"/>
    <w:rsid w:val="6AC10733"/>
    <w:rsid w:val="6AEA20FD"/>
    <w:rsid w:val="6AEE443B"/>
    <w:rsid w:val="6AF420A0"/>
    <w:rsid w:val="6B094CF4"/>
    <w:rsid w:val="6B354C07"/>
    <w:rsid w:val="6B543FC3"/>
    <w:rsid w:val="6B5552A9"/>
    <w:rsid w:val="6B5947BA"/>
    <w:rsid w:val="6B8B1B7B"/>
    <w:rsid w:val="6B8E7FD9"/>
    <w:rsid w:val="6B8F540C"/>
    <w:rsid w:val="6B90273A"/>
    <w:rsid w:val="6B910BBB"/>
    <w:rsid w:val="6B9129DA"/>
    <w:rsid w:val="6B9D7B72"/>
    <w:rsid w:val="6BB3175C"/>
    <w:rsid w:val="6BC6315D"/>
    <w:rsid w:val="6BD64397"/>
    <w:rsid w:val="6BFF41B1"/>
    <w:rsid w:val="6C3D60D9"/>
    <w:rsid w:val="6C6E3B0F"/>
    <w:rsid w:val="6C8E7721"/>
    <w:rsid w:val="6C963453"/>
    <w:rsid w:val="6C9B74A8"/>
    <w:rsid w:val="6CB021F6"/>
    <w:rsid w:val="6CB963C1"/>
    <w:rsid w:val="6CC67E0C"/>
    <w:rsid w:val="6CEC7A68"/>
    <w:rsid w:val="6D072024"/>
    <w:rsid w:val="6D124E25"/>
    <w:rsid w:val="6D5816B3"/>
    <w:rsid w:val="6D7266D8"/>
    <w:rsid w:val="6D76617C"/>
    <w:rsid w:val="6D882FDE"/>
    <w:rsid w:val="6DB25589"/>
    <w:rsid w:val="6DBA5F46"/>
    <w:rsid w:val="6DF901E4"/>
    <w:rsid w:val="6E0878AE"/>
    <w:rsid w:val="6E116242"/>
    <w:rsid w:val="6E195EA7"/>
    <w:rsid w:val="6E444417"/>
    <w:rsid w:val="6E4B4EE4"/>
    <w:rsid w:val="6E693BE3"/>
    <w:rsid w:val="6E711980"/>
    <w:rsid w:val="6E894986"/>
    <w:rsid w:val="6E945B75"/>
    <w:rsid w:val="6EA377F4"/>
    <w:rsid w:val="6EC24A7A"/>
    <w:rsid w:val="6EE079F9"/>
    <w:rsid w:val="6EEC405E"/>
    <w:rsid w:val="6EED410D"/>
    <w:rsid w:val="6EFA28C8"/>
    <w:rsid w:val="6F080D03"/>
    <w:rsid w:val="6F4C6144"/>
    <w:rsid w:val="6F4E0DB9"/>
    <w:rsid w:val="6F6104F7"/>
    <w:rsid w:val="6F6641AD"/>
    <w:rsid w:val="6F7719D2"/>
    <w:rsid w:val="6FEA4D92"/>
    <w:rsid w:val="702457E1"/>
    <w:rsid w:val="702B2452"/>
    <w:rsid w:val="702E3B1E"/>
    <w:rsid w:val="703732E9"/>
    <w:rsid w:val="703860ED"/>
    <w:rsid w:val="70506D67"/>
    <w:rsid w:val="70555755"/>
    <w:rsid w:val="705D4E2B"/>
    <w:rsid w:val="705F35AF"/>
    <w:rsid w:val="707A2F56"/>
    <w:rsid w:val="709C2C57"/>
    <w:rsid w:val="70AB02FA"/>
    <w:rsid w:val="70BB3E3B"/>
    <w:rsid w:val="71152DC7"/>
    <w:rsid w:val="71255A87"/>
    <w:rsid w:val="71273A6F"/>
    <w:rsid w:val="715C6AB9"/>
    <w:rsid w:val="71793EC4"/>
    <w:rsid w:val="71864485"/>
    <w:rsid w:val="71A36DE5"/>
    <w:rsid w:val="71A92254"/>
    <w:rsid w:val="71BE0EB7"/>
    <w:rsid w:val="71DC5454"/>
    <w:rsid w:val="71E41EC4"/>
    <w:rsid w:val="71E64D54"/>
    <w:rsid w:val="71EA4D95"/>
    <w:rsid w:val="72112B5C"/>
    <w:rsid w:val="7214383E"/>
    <w:rsid w:val="722B67D6"/>
    <w:rsid w:val="723527D6"/>
    <w:rsid w:val="72793E17"/>
    <w:rsid w:val="72FA6ED8"/>
    <w:rsid w:val="73022791"/>
    <w:rsid w:val="731F7137"/>
    <w:rsid w:val="732B5414"/>
    <w:rsid w:val="73720969"/>
    <w:rsid w:val="73E14E1E"/>
    <w:rsid w:val="74001512"/>
    <w:rsid w:val="741550DB"/>
    <w:rsid w:val="74250F8C"/>
    <w:rsid w:val="7469505F"/>
    <w:rsid w:val="747020BD"/>
    <w:rsid w:val="74AB45D5"/>
    <w:rsid w:val="74B6010F"/>
    <w:rsid w:val="74C6545B"/>
    <w:rsid w:val="74E514C2"/>
    <w:rsid w:val="74EA0018"/>
    <w:rsid w:val="74EB3EF1"/>
    <w:rsid w:val="75093403"/>
    <w:rsid w:val="75157FD0"/>
    <w:rsid w:val="755F1F79"/>
    <w:rsid w:val="758C281B"/>
    <w:rsid w:val="75A1786E"/>
    <w:rsid w:val="75A50FE8"/>
    <w:rsid w:val="75D83D3E"/>
    <w:rsid w:val="75E00CDB"/>
    <w:rsid w:val="75F260DB"/>
    <w:rsid w:val="75F5295D"/>
    <w:rsid w:val="75F75A74"/>
    <w:rsid w:val="75FA6680"/>
    <w:rsid w:val="7618146B"/>
    <w:rsid w:val="76267123"/>
    <w:rsid w:val="76316C92"/>
    <w:rsid w:val="76647426"/>
    <w:rsid w:val="76713EED"/>
    <w:rsid w:val="76831DFA"/>
    <w:rsid w:val="769A7528"/>
    <w:rsid w:val="76B214EF"/>
    <w:rsid w:val="76C87E7D"/>
    <w:rsid w:val="76E55544"/>
    <w:rsid w:val="76F20029"/>
    <w:rsid w:val="770000AA"/>
    <w:rsid w:val="7709055F"/>
    <w:rsid w:val="7716509E"/>
    <w:rsid w:val="772837BC"/>
    <w:rsid w:val="772D6118"/>
    <w:rsid w:val="77392A32"/>
    <w:rsid w:val="775070C7"/>
    <w:rsid w:val="77591FB9"/>
    <w:rsid w:val="77695B34"/>
    <w:rsid w:val="777B1BF7"/>
    <w:rsid w:val="779D4106"/>
    <w:rsid w:val="77CE0484"/>
    <w:rsid w:val="77D221D2"/>
    <w:rsid w:val="77F42148"/>
    <w:rsid w:val="780D2AAF"/>
    <w:rsid w:val="782D6112"/>
    <w:rsid w:val="782F6C83"/>
    <w:rsid w:val="783B7833"/>
    <w:rsid w:val="786547FF"/>
    <w:rsid w:val="78787AF5"/>
    <w:rsid w:val="78856A99"/>
    <w:rsid w:val="78A551F0"/>
    <w:rsid w:val="78E115C8"/>
    <w:rsid w:val="78E122B1"/>
    <w:rsid w:val="78EF43EF"/>
    <w:rsid w:val="78FA1237"/>
    <w:rsid w:val="791466FC"/>
    <w:rsid w:val="79226D09"/>
    <w:rsid w:val="79236E5C"/>
    <w:rsid w:val="79386064"/>
    <w:rsid w:val="79425AB6"/>
    <w:rsid w:val="79BB6E86"/>
    <w:rsid w:val="79E51101"/>
    <w:rsid w:val="7A0C257A"/>
    <w:rsid w:val="7A0F2BC3"/>
    <w:rsid w:val="7A1002AD"/>
    <w:rsid w:val="7A2528F5"/>
    <w:rsid w:val="7A3F6DAA"/>
    <w:rsid w:val="7A4839A6"/>
    <w:rsid w:val="7A484DA1"/>
    <w:rsid w:val="7A736149"/>
    <w:rsid w:val="7ABC2B51"/>
    <w:rsid w:val="7AE97422"/>
    <w:rsid w:val="7AF814B8"/>
    <w:rsid w:val="7B2F03CB"/>
    <w:rsid w:val="7B38234C"/>
    <w:rsid w:val="7B55601C"/>
    <w:rsid w:val="7B8C2F33"/>
    <w:rsid w:val="7B914CA7"/>
    <w:rsid w:val="7B95488C"/>
    <w:rsid w:val="7BB357A0"/>
    <w:rsid w:val="7BC00F9A"/>
    <w:rsid w:val="7BD25A31"/>
    <w:rsid w:val="7BF7174D"/>
    <w:rsid w:val="7C1A7CA3"/>
    <w:rsid w:val="7C2029F3"/>
    <w:rsid w:val="7C460285"/>
    <w:rsid w:val="7C662914"/>
    <w:rsid w:val="7C865FFC"/>
    <w:rsid w:val="7C8F68E3"/>
    <w:rsid w:val="7C945712"/>
    <w:rsid w:val="7CA877FF"/>
    <w:rsid w:val="7CE34FE1"/>
    <w:rsid w:val="7CE508A9"/>
    <w:rsid w:val="7D0E51A6"/>
    <w:rsid w:val="7D1A5DC9"/>
    <w:rsid w:val="7D300F10"/>
    <w:rsid w:val="7D356678"/>
    <w:rsid w:val="7D4C0E9E"/>
    <w:rsid w:val="7D547B6B"/>
    <w:rsid w:val="7D691192"/>
    <w:rsid w:val="7D782ED3"/>
    <w:rsid w:val="7D857B70"/>
    <w:rsid w:val="7DC3697F"/>
    <w:rsid w:val="7DCB63BB"/>
    <w:rsid w:val="7DD9089F"/>
    <w:rsid w:val="7DE37549"/>
    <w:rsid w:val="7DE51DC8"/>
    <w:rsid w:val="7DED0488"/>
    <w:rsid w:val="7DF1798D"/>
    <w:rsid w:val="7E046E5D"/>
    <w:rsid w:val="7E29383E"/>
    <w:rsid w:val="7E397207"/>
    <w:rsid w:val="7E41361D"/>
    <w:rsid w:val="7E6271D5"/>
    <w:rsid w:val="7E7E5F38"/>
    <w:rsid w:val="7EB13BA3"/>
    <w:rsid w:val="7EC306E8"/>
    <w:rsid w:val="7EDD8A56"/>
    <w:rsid w:val="7EF949F0"/>
    <w:rsid w:val="7F0215EE"/>
    <w:rsid w:val="7F065E44"/>
    <w:rsid w:val="7F0E213C"/>
    <w:rsid w:val="7F7A2441"/>
    <w:rsid w:val="7F9B7AC8"/>
    <w:rsid w:val="7FAC03F1"/>
    <w:rsid w:val="7FAF3198"/>
    <w:rsid w:val="7FF12261"/>
    <w:rsid w:val="7FF86862"/>
    <w:rsid w:val="A5AE191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iPriority="99"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line="360" w:lineRule="auto"/>
    </w:pPr>
    <w:rPr>
      <w:rFonts w:ascii="Arial" w:hAnsi="Arial" w:eastAsia="宋体" w:cstheme="minorBidi"/>
      <w:sz w:val="24"/>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bCs/>
      <w:kern w:val="44"/>
      <w:sz w:val="30"/>
      <w:szCs w:val="44"/>
    </w:rPr>
  </w:style>
  <w:style w:type="paragraph" w:styleId="3">
    <w:name w:val="heading 2"/>
    <w:basedOn w:val="1"/>
    <w:next w:val="1"/>
    <w:unhideWhenUsed/>
    <w:qFormat/>
    <w:uiPriority w:val="0"/>
    <w:pPr>
      <w:spacing w:before="260" w:after="260" w:line="415" w:lineRule="auto"/>
      <w:outlineLvl w:val="1"/>
    </w:pPr>
    <w:rPr>
      <w:b/>
      <w:bCs/>
      <w:szCs w:val="32"/>
    </w:rPr>
  </w:style>
  <w:style w:type="paragraph" w:styleId="4">
    <w:name w:val="heading 3"/>
    <w:basedOn w:val="1"/>
    <w:next w:val="1"/>
    <w:link w:val="57"/>
    <w:qFormat/>
    <w:uiPriority w:val="0"/>
    <w:pPr>
      <w:keepNext/>
      <w:keepLines/>
      <w:spacing w:before="260" w:after="260" w:line="416" w:lineRule="auto"/>
      <w:outlineLvl w:val="2"/>
    </w:pPr>
    <w:rPr>
      <w:rFonts w:ascii="Tahoma" w:hAnsi="Tahoma" w:eastAsia="微软雅黑" w:cs="Times New Roman"/>
      <w:b/>
      <w:bCs/>
      <w:sz w:val="32"/>
      <w:szCs w:val="32"/>
    </w:rPr>
  </w:style>
  <w:style w:type="paragraph" w:styleId="5">
    <w:name w:val="heading 4"/>
    <w:basedOn w:val="1"/>
    <w:next w:val="1"/>
    <w:qFormat/>
    <w:uiPriority w:val="0"/>
    <w:pPr>
      <w:keepNext/>
      <w:keepLines/>
      <w:spacing w:before="280" w:beforeLines="0" w:after="290" w:afterLines="0" w:line="372" w:lineRule="auto"/>
      <w:outlineLvl w:val="3"/>
    </w:pPr>
    <w:rPr>
      <w:rFonts w:ascii="Cambria" w:hAnsi="Cambria"/>
      <w:b/>
      <w:bCs/>
      <w:sz w:val="28"/>
      <w:szCs w:val="28"/>
    </w:rPr>
  </w:style>
  <w:style w:type="paragraph" w:styleId="6">
    <w:name w:val="heading 5"/>
    <w:basedOn w:val="1"/>
    <w:next w:val="1"/>
    <w:qFormat/>
    <w:uiPriority w:val="0"/>
    <w:pPr>
      <w:keepNext/>
      <w:keepLines/>
      <w:spacing w:before="280" w:beforeLines="0" w:after="290" w:afterLines="0" w:line="372" w:lineRule="auto"/>
      <w:outlineLvl w:val="4"/>
    </w:pPr>
    <w:rPr>
      <w:b/>
      <w:bCs/>
      <w:sz w:val="28"/>
      <w:szCs w:val="28"/>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7">
    <w:name w:val="Document Map"/>
    <w:basedOn w:val="1"/>
    <w:link w:val="49"/>
    <w:qFormat/>
    <w:uiPriority w:val="0"/>
    <w:rPr>
      <w:rFonts w:ascii="宋体"/>
      <w:sz w:val="18"/>
      <w:szCs w:val="18"/>
    </w:rPr>
  </w:style>
  <w:style w:type="paragraph" w:styleId="8">
    <w:name w:val="annotation text"/>
    <w:basedOn w:val="1"/>
    <w:qFormat/>
    <w:uiPriority w:val="0"/>
    <w:pPr>
      <w:jc w:val="left"/>
    </w:pPr>
    <w:rPr>
      <w:kern w:val="0"/>
      <w:sz w:val="20"/>
    </w:rPr>
  </w:style>
  <w:style w:type="paragraph" w:styleId="9">
    <w:name w:val="Body Text"/>
    <w:basedOn w:val="1"/>
    <w:next w:val="10"/>
    <w:qFormat/>
    <w:uiPriority w:val="0"/>
    <w:pPr>
      <w:widowControl w:val="0"/>
      <w:adjustRightInd/>
      <w:snapToGrid/>
      <w:spacing w:after="120"/>
      <w:jc w:val="both"/>
    </w:pPr>
    <w:rPr>
      <w:rFonts w:ascii="Calibri" w:hAnsi="Calibri" w:eastAsia="微软雅黑"/>
      <w:kern w:val="2"/>
      <w:sz w:val="21"/>
      <w:szCs w:val="24"/>
    </w:rPr>
  </w:style>
  <w:style w:type="paragraph" w:styleId="10">
    <w:name w:val="Plain Text"/>
    <w:basedOn w:val="1"/>
    <w:next w:val="11"/>
    <w:link w:val="56"/>
    <w:qFormat/>
    <w:uiPriority w:val="0"/>
    <w:pPr>
      <w:widowControl w:val="0"/>
      <w:adjustRightInd/>
      <w:snapToGrid/>
      <w:jc w:val="both"/>
    </w:pPr>
    <w:rPr>
      <w:rFonts w:ascii="宋体" w:hAnsi="Courier New" w:eastAsia="微软雅黑"/>
      <w:szCs w:val="20"/>
    </w:rPr>
  </w:style>
  <w:style w:type="paragraph" w:styleId="11">
    <w:name w:val="annotation subject"/>
    <w:basedOn w:val="8"/>
    <w:next w:val="12"/>
    <w:qFormat/>
    <w:uiPriority w:val="0"/>
    <w:rPr>
      <w:b/>
      <w:bCs/>
    </w:rPr>
  </w:style>
  <w:style w:type="paragraph" w:styleId="12">
    <w:name w:val="toc 3"/>
    <w:basedOn w:val="1"/>
    <w:next w:val="1"/>
    <w:qFormat/>
    <w:uiPriority w:val="39"/>
    <w:pPr>
      <w:tabs>
        <w:tab w:val="right" w:leader="dot" w:pos="9402"/>
      </w:tabs>
    </w:pPr>
  </w:style>
  <w:style w:type="paragraph" w:styleId="13">
    <w:name w:val="Body Text Indent"/>
    <w:basedOn w:val="1"/>
    <w:next w:val="1"/>
    <w:link w:val="52"/>
    <w:qFormat/>
    <w:uiPriority w:val="0"/>
    <w:pPr>
      <w:spacing w:after="120"/>
      <w:ind w:left="420" w:leftChars="200"/>
    </w:pPr>
  </w:style>
  <w:style w:type="paragraph" w:styleId="14">
    <w:name w:val="Balloon Text"/>
    <w:basedOn w:val="1"/>
    <w:link w:val="45"/>
    <w:qFormat/>
    <w:uiPriority w:val="0"/>
    <w:pPr>
      <w:spacing w:line="240" w:lineRule="auto"/>
    </w:pPr>
    <w:rPr>
      <w:sz w:val="18"/>
      <w:szCs w:val="18"/>
    </w:rPr>
  </w:style>
  <w:style w:type="paragraph" w:styleId="15">
    <w:name w:val="footer"/>
    <w:basedOn w:val="1"/>
    <w:qFormat/>
    <w:uiPriority w:val="0"/>
    <w:pPr>
      <w:tabs>
        <w:tab w:val="center" w:pos="4153"/>
        <w:tab w:val="right" w:pos="8306"/>
      </w:tabs>
    </w:pPr>
    <w:rPr>
      <w:rFonts w:ascii="Tahoma" w:hAnsi="Tahoma" w:eastAsia="微软雅黑"/>
      <w:sz w:val="18"/>
      <w:szCs w:val="18"/>
    </w:rPr>
  </w:style>
  <w:style w:type="paragraph" w:styleId="16">
    <w:name w:val="header"/>
    <w:basedOn w:val="1"/>
    <w:link w:val="46"/>
    <w:qFormat/>
    <w:uiPriority w:val="99"/>
    <w:pPr>
      <w:pBdr>
        <w:bottom w:val="single" w:color="auto" w:sz="6" w:space="1"/>
      </w:pBdr>
      <w:tabs>
        <w:tab w:val="center" w:pos="4153"/>
        <w:tab w:val="right" w:pos="8306"/>
      </w:tabs>
      <w:spacing w:line="240" w:lineRule="auto"/>
      <w:jc w:val="center"/>
    </w:pPr>
    <w:rPr>
      <w:sz w:val="18"/>
      <w:szCs w:val="18"/>
    </w:rPr>
  </w:style>
  <w:style w:type="paragraph" w:styleId="17">
    <w:name w:val="toc 1"/>
    <w:basedOn w:val="1"/>
    <w:next w:val="1"/>
    <w:qFormat/>
    <w:uiPriority w:val="39"/>
  </w:style>
  <w:style w:type="paragraph" w:styleId="18">
    <w:name w:val="toc 2"/>
    <w:basedOn w:val="1"/>
    <w:next w:val="1"/>
    <w:qFormat/>
    <w:uiPriority w:val="39"/>
    <w:pPr>
      <w:tabs>
        <w:tab w:val="left" w:pos="365"/>
        <w:tab w:val="right" w:leader="dot" w:pos="9402"/>
      </w:tabs>
      <w:jc w:val="center"/>
    </w:pPr>
    <w:rPr>
      <w:rFonts w:ascii="宋体" w:hAnsi="宋体" w:cs="Arial"/>
      <w:sz w:val="28"/>
      <w:szCs w:val="28"/>
    </w:rPr>
  </w:style>
  <w:style w:type="paragraph" w:styleId="19">
    <w:name w:val="HTML Preformatted"/>
    <w:basedOn w:val="1"/>
    <w:next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20">
    <w:name w:val="Normal (Web)"/>
    <w:basedOn w:val="1"/>
    <w:qFormat/>
    <w:uiPriority w:val="0"/>
    <w:pPr>
      <w:spacing w:before="0" w:beforeAutospacing="1" w:after="0" w:afterAutospacing="1"/>
      <w:ind w:left="0" w:right="0"/>
      <w:jc w:val="left"/>
    </w:pPr>
    <w:rPr>
      <w:kern w:val="0"/>
      <w:sz w:val="24"/>
      <w:lang w:val="en-US" w:eastAsia="zh-CN" w:bidi="ar"/>
    </w:rPr>
  </w:style>
  <w:style w:type="paragraph" w:styleId="21">
    <w:name w:val="Title"/>
    <w:basedOn w:val="1"/>
    <w:next w:val="1"/>
    <w:link w:val="50"/>
    <w:qFormat/>
    <w:uiPriority w:val="0"/>
    <w:pPr>
      <w:widowControl w:val="0"/>
      <w:adjustRightInd/>
      <w:snapToGrid/>
      <w:spacing w:before="240" w:after="60" w:line="240" w:lineRule="auto"/>
      <w:jc w:val="center"/>
      <w:outlineLvl w:val="0"/>
    </w:pPr>
    <w:rPr>
      <w:rFonts w:ascii="Cambria" w:hAnsi="Cambria" w:eastAsiaTheme="minorEastAsia"/>
      <w:b/>
      <w:bCs/>
      <w:sz w:val="36"/>
      <w:szCs w:val="32"/>
    </w:rPr>
  </w:style>
  <w:style w:type="paragraph" w:styleId="22">
    <w:name w:val="Body Text First Indent"/>
    <w:basedOn w:val="9"/>
    <w:next w:val="19"/>
    <w:qFormat/>
    <w:uiPriority w:val="0"/>
    <w:pPr>
      <w:ind w:firstLine="420" w:firstLineChars="100"/>
    </w:p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basedOn w:val="25"/>
    <w:qFormat/>
    <w:uiPriority w:val="0"/>
    <w:rPr>
      <w:b/>
      <w:bCs/>
    </w:rPr>
  </w:style>
  <w:style w:type="character" w:styleId="27">
    <w:name w:val="FollowedHyperlink"/>
    <w:basedOn w:val="25"/>
    <w:qFormat/>
    <w:uiPriority w:val="0"/>
    <w:rPr>
      <w:color w:val="0090EB"/>
      <w:u w:val="none"/>
    </w:rPr>
  </w:style>
  <w:style w:type="character" w:styleId="28">
    <w:name w:val="Emphasis"/>
    <w:basedOn w:val="25"/>
    <w:qFormat/>
    <w:uiPriority w:val="0"/>
  </w:style>
  <w:style w:type="character" w:styleId="29">
    <w:name w:val="HTML Definition"/>
    <w:basedOn w:val="25"/>
    <w:qFormat/>
    <w:uiPriority w:val="0"/>
  </w:style>
  <w:style w:type="character" w:styleId="30">
    <w:name w:val="HTML Typewriter"/>
    <w:basedOn w:val="25"/>
    <w:qFormat/>
    <w:uiPriority w:val="0"/>
    <w:rPr>
      <w:rFonts w:hint="default" w:ascii="monospace" w:hAnsi="monospace" w:eastAsia="monospace" w:cs="monospace"/>
      <w:sz w:val="20"/>
    </w:rPr>
  </w:style>
  <w:style w:type="character" w:styleId="31">
    <w:name w:val="HTML Acronym"/>
    <w:basedOn w:val="25"/>
    <w:qFormat/>
    <w:uiPriority w:val="0"/>
  </w:style>
  <w:style w:type="character" w:styleId="32">
    <w:name w:val="HTML Variable"/>
    <w:basedOn w:val="25"/>
    <w:qFormat/>
    <w:uiPriority w:val="0"/>
  </w:style>
  <w:style w:type="character" w:styleId="33">
    <w:name w:val="Hyperlink"/>
    <w:qFormat/>
    <w:uiPriority w:val="99"/>
    <w:rPr>
      <w:color w:val="0000FF"/>
      <w:u w:val="single"/>
    </w:rPr>
  </w:style>
  <w:style w:type="character" w:styleId="34">
    <w:name w:val="HTML Code"/>
    <w:basedOn w:val="25"/>
    <w:qFormat/>
    <w:uiPriority w:val="0"/>
    <w:rPr>
      <w:rFonts w:hint="default" w:ascii="Consolas" w:hAnsi="Consolas" w:eastAsia="Consolas" w:cs="Consolas"/>
      <w:color w:val="C7254E"/>
      <w:sz w:val="21"/>
      <w:szCs w:val="21"/>
      <w:shd w:val="clear" w:fill="F9F2F4"/>
    </w:rPr>
  </w:style>
  <w:style w:type="character" w:styleId="35">
    <w:name w:val="HTML Cite"/>
    <w:basedOn w:val="25"/>
    <w:qFormat/>
    <w:uiPriority w:val="0"/>
  </w:style>
  <w:style w:type="character" w:styleId="36">
    <w:name w:val="HTML Keyboard"/>
    <w:basedOn w:val="25"/>
    <w:qFormat/>
    <w:uiPriority w:val="0"/>
    <w:rPr>
      <w:rFonts w:ascii="Consolas" w:hAnsi="Consolas" w:eastAsia="Consolas" w:cs="Consolas"/>
      <w:color w:val="FFFFFF"/>
      <w:sz w:val="21"/>
      <w:szCs w:val="21"/>
      <w:shd w:val="clear" w:fill="333333"/>
    </w:rPr>
  </w:style>
  <w:style w:type="character" w:styleId="37">
    <w:name w:val="HTML Sample"/>
    <w:basedOn w:val="25"/>
    <w:qFormat/>
    <w:uiPriority w:val="0"/>
    <w:rPr>
      <w:rFonts w:hint="default" w:ascii="Consolas" w:hAnsi="Consolas" w:eastAsia="Consolas" w:cs="Consolas"/>
      <w:sz w:val="21"/>
      <w:szCs w:val="21"/>
    </w:rPr>
  </w:style>
  <w:style w:type="paragraph" w:customStyle="1" w:styleId="38">
    <w:name w:val="标题 5（有编号）（绿盟科技）"/>
    <w:basedOn w:val="1"/>
    <w:next w:val="39"/>
    <w:qFormat/>
    <w:uiPriority w:val="0"/>
    <w:pPr>
      <w:keepNext/>
      <w:keepLines/>
      <w:numPr>
        <w:ilvl w:val="4"/>
        <w:numId w:val="1"/>
      </w:numPr>
      <w:spacing w:before="280" w:after="156" w:line="377" w:lineRule="auto"/>
      <w:outlineLvl w:val="4"/>
    </w:pPr>
    <w:rPr>
      <w:rFonts w:eastAsia="黑体"/>
      <w:b/>
      <w:szCs w:val="28"/>
    </w:rPr>
  </w:style>
  <w:style w:type="paragraph" w:customStyle="1" w:styleId="39">
    <w:name w:val="正文（绿盟科技）"/>
    <w:next w:val="38"/>
    <w:qFormat/>
    <w:uiPriority w:val="0"/>
    <w:pPr>
      <w:spacing w:line="300" w:lineRule="auto"/>
    </w:pPr>
    <w:rPr>
      <w:rFonts w:ascii="Times New Roman" w:hAnsi="Times New Roman" w:eastAsia="宋体" w:cs="黑体"/>
      <w:sz w:val="21"/>
      <w:szCs w:val="21"/>
      <w:lang w:val="en-US" w:eastAsia="zh-CN" w:bidi="ar-SA"/>
    </w:rPr>
  </w:style>
  <w:style w:type="paragraph" w:customStyle="1" w:styleId="40">
    <w:name w:val="一级条标题"/>
    <w:basedOn w:val="41"/>
    <w:next w:val="42"/>
    <w:qFormat/>
    <w:uiPriority w:val="0"/>
    <w:pPr>
      <w:tabs>
        <w:tab w:val="left" w:pos="1260"/>
        <w:tab w:val="left" w:pos="1440"/>
        <w:tab w:val="left" w:pos="1680"/>
        <w:tab w:val="left" w:pos="2160"/>
      </w:tabs>
      <w:ind w:left="2160" w:hanging="720"/>
      <w:outlineLvl w:val="2"/>
    </w:pPr>
    <w:rPr>
      <w:rFonts w:eastAsia="黑体"/>
      <w:sz w:val="21"/>
      <w:lang w:val="en-US" w:eastAsia="zh-CN" w:bidi="ar-SA"/>
    </w:rPr>
  </w:style>
  <w:style w:type="paragraph" w:customStyle="1" w:styleId="41">
    <w:name w:val="章标题"/>
    <w:next w:val="1"/>
    <w:qFormat/>
    <w:uiPriority w:val="0"/>
    <w:pPr>
      <w:tabs>
        <w:tab w:val="left" w:pos="1260"/>
        <w:tab w:val="left" w:pos="1440"/>
      </w:tabs>
      <w:spacing w:beforeLines="50" w:afterLines="50"/>
      <w:ind w:left="1440" w:hanging="720"/>
      <w:jc w:val="both"/>
      <w:outlineLvl w:val="1"/>
    </w:pPr>
    <w:rPr>
      <w:rFonts w:ascii="黑体" w:hAnsi="Calibri" w:eastAsia="黑体" w:cs="Times New Roman"/>
      <w:sz w:val="21"/>
      <w:lang w:val="en-US" w:eastAsia="zh-CN" w:bidi="ar-SA"/>
    </w:rPr>
  </w:style>
  <w:style w:type="paragraph" w:customStyle="1" w:styleId="42">
    <w:name w:val="段"/>
    <w:next w:val="1"/>
    <w:qFormat/>
    <w:uiPriority w:val="0"/>
    <w:pPr>
      <w:tabs>
        <w:tab w:val="center" w:pos="4201"/>
        <w:tab w:val="right" w:leader="dot" w:pos="9298"/>
      </w:tabs>
      <w:autoSpaceDE w:val="0"/>
      <w:autoSpaceDN w:val="0"/>
      <w:ind w:firstLine="420" w:firstLineChars="200"/>
      <w:jc w:val="both"/>
    </w:pPr>
    <w:rPr>
      <w:rFonts w:ascii="宋体" w:hAnsi="Calibri" w:eastAsia="宋体" w:cs="Times New Roman"/>
      <w:sz w:val="21"/>
      <w:lang w:val="en-US" w:eastAsia="zh-CN" w:bidi="ar-SA"/>
    </w:rPr>
  </w:style>
  <w:style w:type="paragraph" w:customStyle="1" w:styleId="43">
    <w:name w:val="_Style 9"/>
    <w:qFormat/>
    <w:uiPriority w:val="0"/>
    <w:pPr>
      <w:widowControl w:val="0"/>
      <w:spacing w:line="360" w:lineRule="auto"/>
    </w:pPr>
    <w:rPr>
      <w:rFonts w:ascii="Arial" w:hAnsi="Arial" w:eastAsia="宋体" w:cstheme="minorBidi"/>
      <w:kern w:val="2"/>
      <w:sz w:val="24"/>
      <w:szCs w:val="22"/>
      <w:lang w:val="en-US" w:eastAsia="zh-CN" w:bidi="ar-SA"/>
    </w:rPr>
  </w:style>
  <w:style w:type="paragraph" w:customStyle="1" w:styleId="44">
    <w:name w:val="_Style 10"/>
    <w:basedOn w:val="1"/>
    <w:qFormat/>
    <w:uiPriority w:val="0"/>
    <w:pPr>
      <w:ind w:firstLine="420" w:firstLineChars="200"/>
    </w:pPr>
    <w:rPr>
      <w:rFonts w:ascii="Tahoma" w:hAnsi="Tahoma" w:eastAsia="微软雅黑"/>
      <w:sz w:val="22"/>
    </w:rPr>
  </w:style>
  <w:style w:type="character" w:customStyle="1" w:styleId="45">
    <w:name w:val="批注框文本 Char"/>
    <w:basedOn w:val="25"/>
    <w:link w:val="14"/>
    <w:qFormat/>
    <w:uiPriority w:val="0"/>
    <w:rPr>
      <w:rFonts w:ascii="Arial" w:hAnsi="Arial" w:eastAsia="宋体"/>
      <w:sz w:val="18"/>
      <w:szCs w:val="18"/>
    </w:rPr>
  </w:style>
  <w:style w:type="character" w:customStyle="1" w:styleId="46">
    <w:name w:val="页眉 Char"/>
    <w:basedOn w:val="25"/>
    <w:link w:val="16"/>
    <w:qFormat/>
    <w:uiPriority w:val="0"/>
    <w:rPr>
      <w:rFonts w:ascii="Arial" w:hAnsi="Arial" w:eastAsia="宋体"/>
      <w:sz w:val="18"/>
      <w:szCs w:val="18"/>
    </w:rPr>
  </w:style>
  <w:style w:type="paragraph" w:customStyle="1" w:styleId="47">
    <w:name w:val="列出段落1"/>
    <w:basedOn w:val="1"/>
    <w:qFormat/>
    <w:uiPriority w:val="34"/>
    <w:pPr>
      <w:ind w:left="720"/>
      <w:contextualSpacing/>
    </w:pPr>
  </w:style>
  <w:style w:type="paragraph" w:customStyle="1" w:styleId="48">
    <w:name w:val="无间隔1"/>
    <w:qFormat/>
    <w:uiPriority w:val="0"/>
    <w:pPr>
      <w:widowControl w:val="0"/>
      <w:spacing w:line="360" w:lineRule="auto"/>
      <w:jc w:val="both"/>
    </w:pPr>
    <w:rPr>
      <w:rFonts w:ascii="Arial" w:hAnsi="Arial" w:eastAsia="宋体" w:cs="Times New Roman"/>
      <w:kern w:val="2"/>
      <w:sz w:val="24"/>
      <w:szCs w:val="22"/>
      <w:lang w:val="en-US" w:eastAsia="zh-CN" w:bidi="ar-SA"/>
    </w:rPr>
  </w:style>
  <w:style w:type="character" w:customStyle="1" w:styleId="49">
    <w:name w:val="文档结构图 Char"/>
    <w:basedOn w:val="25"/>
    <w:link w:val="7"/>
    <w:qFormat/>
    <w:uiPriority w:val="0"/>
    <w:rPr>
      <w:rFonts w:ascii="宋体" w:hAnsi="Arial" w:eastAsia="宋体"/>
      <w:sz w:val="18"/>
      <w:szCs w:val="18"/>
    </w:rPr>
  </w:style>
  <w:style w:type="character" w:customStyle="1" w:styleId="50">
    <w:name w:val="标题 Char"/>
    <w:link w:val="21"/>
    <w:qFormat/>
    <w:uiPriority w:val="0"/>
    <w:rPr>
      <w:rFonts w:ascii="Cambria" w:hAnsi="Cambria"/>
      <w:b/>
      <w:bCs/>
      <w:sz w:val="36"/>
      <w:szCs w:val="32"/>
    </w:rPr>
  </w:style>
  <w:style w:type="character" w:customStyle="1" w:styleId="51">
    <w:name w:val="标题 Char1"/>
    <w:basedOn w:val="25"/>
    <w:qFormat/>
    <w:uiPriority w:val="0"/>
    <w:rPr>
      <w:rFonts w:eastAsia="宋体" w:asciiTheme="majorHAnsi" w:hAnsiTheme="majorHAnsi" w:cstheme="majorBidi"/>
      <w:b/>
      <w:bCs/>
      <w:sz w:val="32"/>
      <w:szCs w:val="32"/>
    </w:rPr>
  </w:style>
  <w:style w:type="character" w:customStyle="1" w:styleId="52">
    <w:name w:val="正文文本缩进 Char"/>
    <w:basedOn w:val="25"/>
    <w:link w:val="13"/>
    <w:qFormat/>
    <w:uiPriority w:val="0"/>
    <w:rPr>
      <w:rFonts w:ascii="Arial" w:hAnsi="Arial" w:eastAsia="宋体"/>
      <w:sz w:val="24"/>
      <w:szCs w:val="22"/>
    </w:rPr>
  </w:style>
  <w:style w:type="character" w:customStyle="1" w:styleId="53">
    <w:name w:val="无间隔 Char"/>
    <w:link w:val="54"/>
    <w:qFormat/>
    <w:uiPriority w:val="1"/>
    <w:rPr>
      <w:kern w:val="2"/>
      <w:sz w:val="21"/>
      <w:szCs w:val="24"/>
    </w:rPr>
  </w:style>
  <w:style w:type="paragraph" w:customStyle="1" w:styleId="54">
    <w:name w:val="_Style 32"/>
    <w:link w:val="53"/>
    <w:qFormat/>
    <w:uiPriority w:val="1"/>
    <w:pPr>
      <w:widowControl w:val="0"/>
      <w:jc w:val="both"/>
    </w:pPr>
    <w:rPr>
      <w:rFonts w:asciiTheme="minorHAnsi" w:hAnsiTheme="minorHAnsi" w:eastAsiaTheme="minorEastAsia" w:cstheme="minorBidi"/>
      <w:kern w:val="2"/>
      <w:sz w:val="21"/>
      <w:szCs w:val="24"/>
      <w:lang w:val="en-US" w:eastAsia="zh-CN" w:bidi="ar-SA"/>
    </w:rPr>
  </w:style>
  <w:style w:type="character" w:customStyle="1" w:styleId="55">
    <w:name w:val="页眉 Char1"/>
    <w:qFormat/>
    <w:uiPriority w:val="99"/>
    <w:rPr>
      <w:rFonts w:ascii="Times New Roman" w:hAnsi="Times New Roman" w:eastAsia="宋体" w:cs="Times New Roman"/>
      <w:sz w:val="18"/>
      <w:szCs w:val="20"/>
    </w:rPr>
  </w:style>
  <w:style w:type="character" w:customStyle="1" w:styleId="56">
    <w:name w:val="纯文本 Char"/>
    <w:link w:val="10"/>
    <w:qFormat/>
    <w:uiPriority w:val="0"/>
    <w:rPr>
      <w:rFonts w:ascii="宋体" w:hAnsi="Courier New" w:eastAsia="微软雅黑"/>
      <w:sz w:val="24"/>
    </w:rPr>
  </w:style>
  <w:style w:type="character" w:customStyle="1" w:styleId="57">
    <w:name w:val="标题 3 Char"/>
    <w:basedOn w:val="25"/>
    <w:link w:val="4"/>
    <w:qFormat/>
    <w:uiPriority w:val="0"/>
    <w:rPr>
      <w:rFonts w:ascii="Tahoma" w:hAnsi="Tahoma" w:eastAsia="微软雅黑" w:cs="Times New Roman"/>
      <w:b/>
      <w:bCs/>
      <w:sz w:val="32"/>
      <w:szCs w:val="32"/>
    </w:rPr>
  </w:style>
  <w:style w:type="character" w:customStyle="1" w:styleId="58">
    <w:name w:val="hover24"/>
    <w:basedOn w:val="25"/>
    <w:qFormat/>
    <w:uiPriority w:val="0"/>
    <w:rPr>
      <w:color w:val="FF6600"/>
    </w:rPr>
  </w:style>
  <w:style w:type="character" w:customStyle="1" w:styleId="59">
    <w:name w:val="money"/>
    <w:basedOn w:val="25"/>
    <w:qFormat/>
    <w:uiPriority w:val="0"/>
  </w:style>
  <w:style w:type="character" w:customStyle="1" w:styleId="60">
    <w:name w:val="line2"/>
    <w:basedOn w:val="25"/>
    <w:qFormat/>
    <w:uiPriority w:val="0"/>
    <w:rPr>
      <w:shd w:val="clear" w:fill="EEEEEE"/>
    </w:rPr>
  </w:style>
  <w:style w:type="character" w:customStyle="1" w:styleId="61">
    <w:name w:val="tmpztreemove_arrow"/>
    <w:basedOn w:val="25"/>
    <w:qFormat/>
    <w:uiPriority w:val="0"/>
  </w:style>
  <w:style w:type="character" w:customStyle="1" w:styleId="62">
    <w:name w:val="abnormal"/>
    <w:basedOn w:val="25"/>
    <w:qFormat/>
    <w:uiPriority w:val="0"/>
    <w:rPr>
      <w:color w:val="FF4400"/>
    </w:rPr>
  </w:style>
  <w:style w:type="character" w:customStyle="1" w:styleId="63">
    <w:name w:val="text-gray"/>
    <w:basedOn w:val="25"/>
    <w:qFormat/>
    <w:uiPriority w:val="0"/>
    <w:rPr>
      <w:color w:val="999999"/>
    </w:rPr>
  </w:style>
  <w:style w:type="character" w:customStyle="1" w:styleId="64">
    <w:name w:val="button"/>
    <w:basedOn w:val="25"/>
    <w:qFormat/>
    <w:uiPriority w:val="0"/>
  </w:style>
  <w:style w:type="character" w:customStyle="1" w:styleId="65">
    <w:name w:val="c-icon"/>
    <w:basedOn w:val="25"/>
    <w:qFormat/>
    <w:uiPriority w:val="0"/>
  </w:style>
  <w:style w:type="paragraph" w:customStyle="1" w:styleId="66">
    <w:name w:val="正文_1"/>
    <w:qFormat/>
    <w:uiPriority w:val="0"/>
    <w:pPr>
      <w:widowControl w:val="0"/>
      <w:jc w:val="both"/>
    </w:pPr>
    <w:rPr>
      <w:rFonts w:ascii="Calibri" w:hAnsi="Calibri" w:eastAsia="宋体" w:cs="Times New Roman"/>
      <w:kern w:val="2"/>
      <w:sz w:val="28"/>
      <w:lang w:val="en-US" w:eastAsia="zh-CN" w:bidi="ar-SA"/>
    </w:rPr>
  </w:style>
  <w:style w:type="paragraph" w:customStyle="1" w:styleId="67">
    <w:name w:val="TOC 标题_0"/>
    <w:basedOn w:val="68"/>
    <w:next w:val="66"/>
    <w:qFormat/>
    <w:uiPriority w:val="39"/>
    <w:pPr>
      <w:spacing w:line="576" w:lineRule="auto"/>
      <w:outlineLvl w:val="9"/>
    </w:pPr>
    <w:rPr>
      <w:rFonts w:ascii="Calibri" w:hAnsi="Calibri"/>
    </w:rPr>
  </w:style>
  <w:style w:type="paragraph" w:customStyle="1" w:styleId="68">
    <w:name w:val="标题 1_0"/>
    <w:basedOn w:val="66"/>
    <w:next w:val="66"/>
    <w:qFormat/>
    <w:uiPriority w:val="0"/>
    <w:pPr>
      <w:keepNext/>
      <w:keepLines/>
      <w:spacing w:before="340" w:after="330" w:line="578" w:lineRule="auto"/>
      <w:outlineLvl w:val="0"/>
    </w:pPr>
    <w:rPr>
      <w:b/>
      <w:bCs/>
      <w:kern w:val="44"/>
      <w:sz w:val="44"/>
      <w:szCs w:val="44"/>
    </w:rPr>
  </w:style>
  <w:style w:type="paragraph" w:customStyle="1" w:styleId="69">
    <w:name w:val="标题 3_0"/>
    <w:basedOn w:val="66"/>
    <w:next w:val="66"/>
    <w:link w:val="71"/>
    <w:qFormat/>
    <w:uiPriority w:val="0"/>
    <w:pPr>
      <w:keepNext/>
      <w:keepLines/>
      <w:spacing w:before="260" w:after="260" w:line="416" w:lineRule="auto"/>
      <w:outlineLvl w:val="2"/>
    </w:pPr>
    <w:rPr>
      <w:b/>
      <w:bCs/>
      <w:kern w:val="0"/>
      <w:sz w:val="32"/>
      <w:szCs w:val="32"/>
    </w:rPr>
  </w:style>
  <w:style w:type="paragraph" w:customStyle="1" w:styleId="70">
    <w:name w:val="标题 4_0"/>
    <w:basedOn w:val="66"/>
    <w:next w:val="66"/>
    <w:qFormat/>
    <w:uiPriority w:val="0"/>
    <w:pPr>
      <w:keepNext/>
      <w:keepLines/>
      <w:adjustRightInd w:val="0"/>
      <w:spacing w:before="280" w:after="290" w:line="376" w:lineRule="atLeast"/>
      <w:textAlignment w:val="baseline"/>
      <w:outlineLvl w:val="3"/>
    </w:pPr>
    <w:rPr>
      <w:rFonts w:ascii="Arial" w:hAnsi="Arial" w:eastAsia="黑体"/>
      <w:b/>
      <w:kern w:val="0"/>
    </w:rPr>
  </w:style>
  <w:style w:type="character" w:customStyle="1" w:styleId="71">
    <w:name w:val="标题 3_0 Char"/>
    <w:link w:val="69"/>
    <w:qFormat/>
    <w:uiPriority w:val="0"/>
    <w:rPr>
      <w:b/>
      <w:bCs/>
      <w:kern w:val="0"/>
      <w:sz w:val="32"/>
      <w:szCs w:val="32"/>
    </w:rPr>
  </w:style>
  <w:style w:type="paragraph" w:customStyle="1" w:styleId="72">
    <w:name w:val="标题 2_0"/>
    <w:basedOn w:val="66"/>
    <w:next w:val="66"/>
    <w:qFormat/>
    <w:uiPriority w:val="0"/>
    <w:pPr>
      <w:keepNext/>
      <w:keepLines/>
      <w:spacing w:before="260" w:after="260" w:line="416" w:lineRule="auto"/>
      <w:outlineLvl w:val="1"/>
    </w:pPr>
    <w:rPr>
      <w:rFonts w:ascii="Arial" w:hAnsi="Arial" w:eastAsia="黑体"/>
      <w:b/>
      <w:bCs/>
      <w:sz w:val="32"/>
      <w:szCs w:val="32"/>
    </w:rPr>
  </w:style>
  <w:style w:type="paragraph" w:customStyle="1" w:styleId="73">
    <w:name w:val="正文文本_0"/>
    <w:basedOn w:val="66"/>
    <w:qFormat/>
    <w:uiPriority w:val="0"/>
    <w:rPr>
      <w:rFonts w:eastAsia="黑体"/>
      <w:sz w:val="36"/>
      <w:szCs w:val="24"/>
    </w:rPr>
  </w:style>
  <w:style w:type="paragraph" w:customStyle="1" w:styleId="74">
    <w:name w:val="正文文本缩进_0"/>
    <w:basedOn w:val="66"/>
    <w:qFormat/>
    <w:uiPriority w:val="0"/>
    <w:pPr>
      <w:spacing w:line="360" w:lineRule="auto"/>
      <w:ind w:firstLine="570"/>
    </w:pPr>
    <w:rPr>
      <w:rFonts w:ascii="宋体" w:hAnsi="宋体"/>
      <w:i/>
      <w:iCs/>
    </w:rPr>
  </w:style>
  <w:style w:type="paragraph" w:customStyle="1" w:styleId="75">
    <w:name w:val="secretfont"/>
    <w:basedOn w:val="1"/>
    <w:qFormat/>
    <w:uiPriority w:val="0"/>
    <w:pPr>
      <w:jc w:val="left"/>
    </w:pPr>
    <w:rPr>
      <w:rFonts w:hint="default" w:ascii="sfont" w:hAnsi="sfont" w:eastAsia="sfont" w:cs="sfont"/>
      <w:kern w:val="0"/>
      <w:sz w:val="30"/>
      <w:szCs w:val="30"/>
      <w:lang w:val="en-US" w:eastAsia="zh-CN" w:bidi="ar"/>
    </w:rPr>
  </w:style>
  <w:style w:type="character" w:customStyle="1" w:styleId="76">
    <w:name w:val="hover4"/>
    <w:basedOn w:val="25"/>
    <w:qFormat/>
    <w:uiPriority w:val="0"/>
    <w:rPr>
      <w:color w:val="999999"/>
    </w:rPr>
  </w:style>
  <w:style w:type="paragraph" w:customStyle="1" w:styleId="77">
    <w:name w:val="WPSOffice手动目录 1"/>
    <w:qFormat/>
    <w:uiPriority w:val="0"/>
    <w:pPr>
      <w:ind w:leftChars="0"/>
    </w:pPr>
    <w:rPr>
      <w:rFonts w:ascii="Times New Roman" w:hAnsi="Times New Roman" w:eastAsia="宋体" w:cs="Times New Roman"/>
      <w:sz w:val="20"/>
      <w:szCs w:val="20"/>
    </w:rPr>
  </w:style>
  <w:style w:type="paragraph" w:customStyle="1" w:styleId="78">
    <w:name w:val="WPSOffice手动目录 2"/>
    <w:qFormat/>
    <w:uiPriority w:val="0"/>
    <w:pPr>
      <w:ind w:leftChars="200"/>
    </w:pPr>
    <w:rPr>
      <w:rFonts w:ascii="Times New Roman" w:hAnsi="Times New Roman" w:eastAsia="宋体" w:cs="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image" Target="media/image8.wmf"/><Relationship Id="rId24" Type="http://schemas.openxmlformats.org/officeDocument/2006/relationships/oleObject" Target="embeddings/oleObject5.bin"/><Relationship Id="rId23" Type="http://schemas.openxmlformats.org/officeDocument/2006/relationships/image" Target="media/image7.wmf"/><Relationship Id="rId22" Type="http://schemas.openxmlformats.org/officeDocument/2006/relationships/oleObject" Target="embeddings/oleObject4.bin"/><Relationship Id="rId21" Type="http://schemas.openxmlformats.org/officeDocument/2006/relationships/image" Target="media/image6.wmf"/><Relationship Id="rId20" Type="http://schemas.openxmlformats.org/officeDocument/2006/relationships/oleObject" Target="embeddings/oleObject3.bin"/><Relationship Id="rId2" Type="http://schemas.openxmlformats.org/officeDocument/2006/relationships/settings" Target="settings.xml"/><Relationship Id="rId19" Type="http://schemas.openxmlformats.org/officeDocument/2006/relationships/image" Target="media/image5.wmf"/><Relationship Id="rId18" Type="http://schemas.openxmlformats.org/officeDocument/2006/relationships/oleObject" Target="embeddings/oleObject2.bin"/><Relationship Id="rId17" Type="http://schemas.openxmlformats.org/officeDocument/2006/relationships/image" Target="media/image4.wmf"/><Relationship Id="rId16" Type="http://schemas.openxmlformats.org/officeDocument/2006/relationships/oleObject" Target="embeddings/oleObject1.bin"/><Relationship Id="rId15" Type="http://schemas.openxmlformats.org/officeDocument/2006/relationships/theme" Target="theme/theme1.xml"/><Relationship Id="rId14" Type="http://schemas.openxmlformats.org/officeDocument/2006/relationships/footer" Target="footer5.xml"/><Relationship Id="rId13" Type="http://schemas.openxmlformats.org/officeDocument/2006/relationships/footer" Target="footer4.xml"/><Relationship Id="rId12" Type="http://schemas.openxmlformats.org/officeDocument/2006/relationships/header" Target="header5.xml"/><Relationship Id="rId11" Type="http://schemas.openxmlformats.org/officeDocument/2006/relationships/header" Target="header4.xml"/><Relationship Id="rId10" Type="http://schemas.openxmlformats.org/officeDocument/2006/relationships/footer" Target="footer3.xml"/><Relationship Id="rId1" Type="http://schemas.openxmlformats.org/officeDocument/2006/relationships/styles" Target="styles.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er3.xml.rels><?xml version="1.0" encoding="UTF-8" standalone="yes"?>
<Relationships xmlns="http://schemas.openxmlformats.org/package/2006/relationships"><Relationship Id="rId1" Type="http://schemas.openxmlformats.org/officeDocument/2006/relationships/image" Target="media/image3.png"/></Relationships>
</file>

<file path=word/_rels/footer4.xml.rels><?xml version="1.0" encoding="UTF-8" standalone="yes"?>
<Relationships xmlns="http://schemas.openxmlformats.org/package/2006/relationships"><Relationship Id="rId1" Type="http://schemas.openxmlformats.org/officeDocument/2006/relationships/image" Target="media/image3.png"/></Relationships>
</file>

<file path=word/_rels/footer5.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2055"/>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DELL</Company>
  <Pages>205</Pages>
  <Words>95706</Words>
  <Characters>100520</Characters>
  <Lines>192</Lines>
  <Paragraphs>215</Paragraphs>
  <TotalTime>75</TotalTime>
  <ScaleCrop>false</ScaleCrop>
  <LinksUpToDate>false</LinksUpToDate>
  <CharactersWithSpaces>123797</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2014-10-29T20:08:00Z</dcterms:created>
  <dc:creator>Administrator</dc:creator>
  <cp:lastModifiedBy>Administrator</cp:lastModifiedBy>
  <cp:lastPrinted>2021-11-16T13:59:00Z</cp:lastPrinted>
  <dcterms:modified xsi:type="dcterms:W3CDTF">2024-08-12T07:46:49Z</dcterms:modified>
  <cp:revision>94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8168482B222E461BAA777B7A22AA8FD4_13</vt:lpwstr>
  </property>
</Properties>
</file>