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1BFCB">
      <w:pPr>
        <w:bidi w:val="0"/>
        <w:jc w:val="center"/>
        <w:rPr>
          <w:rFonts w:hint="eastAsia"/>
          <w:b/>
          <w:bCs/>
          <w:color w:val="auto"/>
          <w:sz w:val="48"/>
          <w:szCs w:val="48"/>
          <w:lang w:val="en-US" w:eastAsia="zh-CN"/>
        </w:rPr>
      </w:pPr>
      <w:bookmarkStart w:id="0" w:name="_Toc530746098"/>
      <w:bookmarkStart w:id="1" w:name="_Toc22578"/>
      <w:bookmarkStart w:id="2" w:name="_Toc1714"/>
      <w:bookmarkStart w:id="3" w:name="_Toc530748923"/>
      <w:bookmarkStart w:id="4" w:name="_Toc12184"/>
      <w:bookmarkStart w:id="5" w:name="_Toc3078"/>
      <w:bookmarkStart w:id="6" w:name="_Toc449568588"/>
      <w:bookmarkStart w:id="7" w:name="_Toc29503"/>
      <w:bookmarkStart w:id="8" w:name="_Toc518981530"/>
      <w:bookmarkStart w:id="9" w:name="_Toc1875"/>
    </w:p>
    <w:bookmarkEnd w:id="0"/>
    <w:bookmarkEnd w:id="1"/>
    <w:bookmarkEnd w:id="2"/>
    <w:bookmarkEnd w:id="3"/>
    <w:bookmarkEnd w:id="4"/>
    <w:bookmarkEnd w:id="5"/>
    <w:bookmarkEnd w:id="6"/>
    <w:bookmarkEnd w:id="7"/>
    <w:bookmarkEnd w:id="8"/>
    <w:bookmarkEnd w:id="9"/>
    <w:p w14:paraId="4EBC93FC">
      <w:pPr>
        <w:autoSpaceDE w:val="0"/>
        <w:autoSpaceDN w:val="0"/>
        <w:adjustRightInd w:val="0"/>
        <w:spacing w:line="360" w:lineRule="auto"/>
        <w:jc w:val="center"/>
        <w:rPr>
          <w:rFonts w:hint="eastAsia" w:ascii="宋体" w:hAnsi="宋体" w:cs="宋体"/>
          <w:b/>
          <w:bCs/>
          <w:color w:val="auto"/>
          <w:kern w:val="0"/>
          <w:sz w:val="72"/>
          <w:szCs w:val="72"/>
          <w:lang w:val="zh-CN" w:eastAsia="zh-CN"/>
        </w:rPr>
      </w:pPr>
      <w:r>
        <w:rPr>
          <w:rFonts w:hint="eastAsia" w:ascii="宋体" w:hAnsi="宋体" w:cs="宋体"/>
          <w:b/>
          <w:bCs/>
          <w:color w:val="auto"/>
          <w:kern w:val="0"/>
          <w:sz w:val="72"/>
          <w:szCs w:val="72"/>
          <w:lang w:val="zh-CN" w:eastAsia="zh-CN"/>
        </w:rPr>
        <w:t>玉树州职业技术学校民族服装与服饰专业建设项目</w:t>
      </w:r>
    </w:p>
    <w:p w14:paraId="15AD2788">
      <w:pPr>
        <w:autoSpaceDE w:val="0"/>
        <w:autoSpaceDN w:val="0"/>
        <w:adjustRightInd w:val="0"/>
        <w:spacing w:line="360" w:lineRule="auto"/>
        <w:jc w:val="center"/>
        <w:rPr>
          <w:rFonts w:hint="eastAsia" w:ascii="宋体" w:hAnsi="宋体" w:cs="宋体"/>
          <w:b/>
          <w:bCs/>
          <w:color w:val="auto"/>
          <w:kern w:val="0"/>
          <w:sz w:val="72"/>
          <w:szCs w:val="72"/>
          <w:lang w:val="zh-CN" w:eastAsia="zh-CN"/>
        </w:rPr>
      </w:pPr>
    </w:p>
    <w:p w14:paraId="1E9B44C3">
      <w:pPr>
        <w:autoSpaceDE w:val="0"/>
        <w:autoSpaceDN w:val="0"/>
        <w:adjustRightInd w:val="0"/>
        <w:spacing w:line="360" w:lineRule="auto"/>
        <w:jc w:val="center"/>
        <w:rPr>
          <w:rFonts w:hint="eastAsia" w:ascii="宋体" w:hAnsi="宋体" w:cs="宋体"/>
          <w:b/>
          <w:bCs/>
          <w:color w:val="auto"/>
          <w:kern w:val="0"/>
          <w:sz w:val="52"/>
          <w:szCs w:val="52"/>
          <w:lang w:val="zh-CN"/>
        </w:rPr>
      </w:pPr>
      <w:r>
        <w:rPr>
          <w:rFonts w:hint="eastAsia" w:ascii="宋体" w:hAnsi="宋体" w:cs="宋体"/>
          <w:b/>
          <w:bCs/>
          <w:color w:val="auto"/>
          <w:kern w:val="0"/>
          <w:sz w:val="48"/>
          <w:szCs w:val="48"/>
          <w:lang w:val="zh-CN"/>
        </w:rPr>
        <w:t>竞争性磋商文件</w:t>
      </w:r>
    </w:p>
    <w:p w14:paraId="5C3C49C3">
      <w:pPr>
        <w:autoSpaceDE w:val="0"/>
        <w:autoSpaceDN w:val="0"/>
        <w:adjustRightInd w:val="0"/>
        <w:spacing w:line="360" w:lineRule="auto"/>
        <w:jc w:val="left"/>
        <w:rPr>
          <w:rFonts w:hint="eastAsia" w:ascii="宋体" w:hAnsi="宋体" w:cs="宋体"/>
          <w:color w:val="auto"/>
          <w:kern w:val="0"/>
          <w:sz w:val="36"/>
          <w:szCs w:val="36"/>
          <w:u w:val="dotDash"/>
        </w:rPr>
      </w:pPr>
    </w:p>
    <w:p w14:paraId="34FA6FCA">
      <w:pPr>
        <w:spacing w:line="360" w:lineRule="auto"/>
        <w:jc w:val="both"/>
        <w:rPr>
          <w:rFonts w:hint="default" w:ascii="宋体" w:hAnsi="宋体"/>
          <w:b/>
          <w:color w:val="auto"/>
          <w:sz w:val="32"/>
          <w:szCs w:val="32"/>
          <w:lang w:val="en-US" w:eastAsia="zh-CN"/>
        </w:rPr>
      </w:pPr>
      <w:r>
        <w:rPr>
          <w:rFonts w:hint="eastAsia" w:ascii="宋体" w:hAnsi="宋体"/>
          <w:b/>
          <w:color w:val="auto"/>
          <w:spacing w:val="0"/>
          <w:kern w:val="0"/>
          <w:sz w:val="32"/>
          <w:szCs w:val="32"/>
          <w:fitText w:val="2240" w:id="409143549"/>
          <w:lang w:val="en-US" w:eastAsia="zh-CN"/>
        </w:rPr>
        <w:t>采购</w:t>
      </w:r>
      <w:r>
        <w:rPr>
          <w:rFonts w:hint="eastAsia" w:ascii="宋体" w:hAnsi="宋体"/>
          <w:b/>
          <w:color w:val="auto"/>
          <w:spacing w:val="0"/>
          <w:kern w:val="0"/>
          <w:sz w:val="32"/>
          <w:szCs w:val="32"/>
          <w:fitText w:val="2240" w:id="409143549"/>
          <w:lang w:val="zh-CN"/>
        </w:rPr>
        <w:t>项目编号：</w:t>
      </w:r>
      <w:r>
        <w:rPr>
          <w:rFonts w:hint="eastAsia" w:ascii="宋体" w:hAnsi="宋体"/>
          <w:b/>
          <w:color w:val="auto"/>
          <w:sz w:val="32"/>
          <w:szCs w:val="32"/>
          <w:lang w:val="zh-CN" w:eastAsia="zh-CN"/>
        </w:rPr>
        <w:t>青海雅辉竞磋（货物）2024-006</w:t>
      </w:r>
    </w:p>
    <w:p w14:paraId="5CB4161F">
      <w:pPr>
        <w:spacing w:line="360" w:lineRule="auto"/>
        <w:ind w:left="2406" w:hanging="2406" w:hangingChars="500"/>
        <w:jc w:val="both"/>
        <w:rPr>
          <w:rFonts w:hint="eastAsia" w:ascii="宋体" w:hAnsi="宋体" w:eastAsia="宋体"/>
          <w:b/>
          <w:color w:val="auto"/>
          <w:sz w:val="32"/>
          <w:szCs w:val="32"/>
          <w:lang w:val="en-US" w:eastAsia="zh-CN"/>
        </w:rPr>
      </w:pPr>
      <w:r>
        <w:rPr>
          <w:rFonts w:hint="eastAsia" w:ascii="宋体" w:hAnsi="宋体"/>
          <w:b/>
          <w:color w:val="auto"/>
          <w:spacing w:val="80"/>
          <w:kern w:val="0"/>
          <w:sz w:val="32"/>
          <w:szCs w:val="32"/>
          <w:fitText w:val="2240" w:id="985027198"/>
          <w:lang w:val="en-US" w:eastAsia="zh-CN"/>
        </w:rPr>
        <w:t>采购</w:t>
      </w:r>
      <w:r>
        <w:rPr>
          <w:rFonts w:hint="eastAsia" w:ascii="宋体" w:hAnsi="宋体"/>
          <w:b/>
          <w:color w:val="auto"/>
          <w:spacing w:val="80"/>
          <w:kern w:val="0"/>
          <w:sz w:val="32"/>
          <w:szCs w:val="32"/>
          <w:fitText w:val="2240" w:id="985027198"/>
          <w:lang w:val="zh-CN"/>
        </w:rPr>
        <w:t>名称</w:t>
      </w:r>
      <w:r>
        <w:rPr>
          <w:rFonts w:hint="eastAsia" w:ascii="宋体" w:hAnsi="宋体"/>
          <w:b/>
          <w:color w:val="auto"/>
          <w:spacing w:val="0"/>
          <w:kern w:val="0"/>
          <w:sz w:val="32"/>
          <w:szCs w:val="32"/>
          <w:fitText w:val="2240" w:id="985027198"/>
          <w:lang w:val="zh-CN"/>
        </w:rPr>
        <w:t>：</w:t>
      </w:r>
      <w:r>
        <w:rPr>
          <w:rFonts w:hint="eastAsia" w:ascii="宋体" w:hAnsi="宋体"/>
          <w:b/>
          <w:color w:val="auto"/>
          <w:sz w:val="32"/>
          <w:szCs w:val="32"/>
          <w:lang w:val="zh-CN" w:eastAsia="zh-CN"/>
        </w:rPr>
        <w:t>玉树州职业技术学校民族服装与服饰专业建设项目</w:t>
      </w:r>
    </w:p>
    <w:p w14:paraId="690F7F74">
      <w:pPr>
        <w:spacing w:line="360" w:lineRule="auto"/>
        <w:jc w:val="both"/>
        <w:rPr>
          <w:rFonts w:hint="default" w:ascii="宋体" w:hAnsi="宋体"/>
          <w:b/>
          <w:color w:val="auto"/>
          <w:sz w:val="32"/>
          <w:szCs w:val="32"/>
          <w:lang w:val="en-US" w:eastAsia="zh-CN"/>
        </w:rPr>
      </w:pPr>
      <w:r>
        <w:rPr>
          <w:rFonts w:hint="eastAsia" w:ascii="宋体" w:hAnsi="宋体"/>
          <w:b/>
          <w:color w:val="auto"/>
          <w:spacing w:val="160"/>
          <w:kern w:val="0"/>
          <w:sz w:val="32"/>
          <w:szCs w:val="32"/>
          <w:fitText w:val="2240" w:id="814354468"/>
          <w:lang w:val="zh-CN"/>
        </w:rPr>
        <w:t>采购人</w:t>
      </w:r>
      <w:r>
        <w:rPr>
          <w:rFonts w:hint="eastAsia" w:ascii="宋体" w:hAnsi="宋体"/>
          <w:b/>
          <w:color w:val="auto"/>
          <w:spacing w:val="0"/>
          <w:kern w:val="0"/>
          <w:sz w:val="32"/>
          <w:szCs w:val="32"/>
          <w:fitText w:val="2240" w:id="814354468"/>
          <w:lang w:val="zh-CN"/>
        </w:rPr>
        <w:t>：</w:t>
      </w:r>
      <w:r>
        <w:rPr>
          <w:rFonts w:hint="eastAsia" w:ascii="宋体" w:hAnsi="宋体"/>
          <w:b/>
          <w:color w:val="auto"/>
          <w:sz w:val="32"/>
          <w:szCs w:val="32"/>
          <w:lang w:val="zh-CN" w:eastAsia="zh-CN"/>
        </w:rPr>
        <w:t xml:space="preserve">玉树州职业技术学校 </w:t>
      </w:r>
    </w:p>
    <w:p w14:paraId="07C40C35">
      <w:pPr>
        <w:spacing w:line="360" w:lineRule="auto"/>
        <w:jc w:val="both"/>
        <w:rPr>
          <w:rFonts w:hint="eastAsia" w:ascii="宋体" w:hAnsi="宋体"/>
          <w:b/>
          <w:color w:val="auto"/>
          <w:sz w:val="32"/>
          <w:szCs w:val="32"/>
          <w:lang w:val="zh-CN"/>
        </w:rPr>
      </w:pPr>
      <w:r>
        <w:rPr>
          <w:rFonts w:hint="eastAsia" w:ascii="宋体" w:hAnsi="宋体"/>
          <w:b/>
          <w:color w:val="auto"/>
          <w:spacing w:val="80"/>
          <w:kern w:val="0"/>
          <w:sz w:val="32"/>
          <w:szCs w:val="32"/>
          <w:fitText w:val="2240" w:id="597707902"/>
          <w:lang w:val="zh-CN"/>
        </w:rPr>
        <w:t>代理机构</w:t>
      </w:r>
      <w:r>
        <w:rPr>
          <w:rFonts w:hint="eastAsia" w:ascii="宋体" w:hAnsi="宋体"/>
          <w:b/>
          <w:color w:val="auto"/>
          <w:spacing w:val="0"/>
          <w:kern w:val="0"/>
          <w:sz w:val="32"/>
          <w:szCs w:val="32"/>
          <w:fitText w:val="2240" w:id="597707902"/>
          <w:lang w:val="zh-CN"/>
        </w:rPr>
        <w:t>：</w:t>
      </w:r>
      <w:r>
        <w:rPr>
          <w:rFonts w:hint="eastAsia" w:ascii="宋体" w:hAnsi="宋体"/>
          <w:b/>
          <w:color w:val="auto"/>
          <w:sz w:val="32"/>
          <w:szCs w:val="32"/>
          <w:lang w:val="zh-CN"/>
        </w:rPr>
        <w:t>青海雅辉工程项目管理有限公司</w:t>
      </w:r>
    </w:p>
    <w:p w14:paraId="6A4EB6F3">
      <w:pPr>
        <w:pStyle w:val="157"/>
        <w:rPr>
          <w:rFonts w:hint="eastAsia"/>
          <w:color w:val="auto"/>
          <w:lang w:val="zh-CN" w:eastAsia="zh-CN"/>
        </w:rPr>
      </w:pPr>
    </w:p>
    <w:p w14:paraId="0F89313F">
      <w:pPr>
        <w:pStyle w:val="157"/>
        <w:rPr>
          <w:rFonts w:hint="eastAsia"/>
          <w:color w:val="auto"/>
          <w:lang w:val="zh-CN" w:eastAsia="zh-CN"/>
        </w:rPr>
      </w:pPr>
    </w:p>
    <w:p w14:paraId="42693346">
      <w:pPr>
        <w:spacing w:line="360" w:lineRule="auto"/>
        <w:jc w:val="center"/>
        <w:rPr>
          <w:rFonts w:hint="default" w:ascii="宋体" w:hAnsi="宋体"/>
          <w:b/>
          <w:color w:val="auto"/>
          <w:sz w:val="32"/>
          <w:szCs w:val="32"/>
          <w:lang w:val="en-US" w:eastAsia="zh-CN"/>
        </w:rPr>
      </w:pPr>
      <w:r>
        <w:rPr>
          <w:rFonts w:hint="eastAsia" w:ascii="宋体" w:hAnsi="宋体"/>
          <w:b/>
          <w:color w:val="auto"/>
          <w:sz w:val="32"/>
          <w:szCs w:val="32"/>
          <w:lang w:val="en-US" w:eastAsia="zh-CN"/>
        </w:rPr>
        <w:t>2024年09月</w:t>
      </w:r>
    </w:p>
    <w:p w14:paraId="15D932B3">
      <w:pPr>
        <w:autoSpaceDE w:val="0"/>
        <w:autoSpaceDN w:val="0"/>
        <w:adjustRightInd w:val="0"/>
        <w:spacing w:line="360" w:lineRule="auto"/>
        <w:rPr>
          <w:rFonts w:hint="eastAsia" w:ascii="宋体" w:hAnsi="宋体" w:cs="宋体"/>
          <w:color w:val="auto"/>
          <w:kern w:val="0"/>
          <w:sz w:val="36"/>
          <w:szCs w:val="36"/>
        </w:rPr>
      </w:pPr>
    </w:p>
    <w:p w14:paraId="65B595A2">
      <w:pPr>
        <w:adjustRightInd w:val="0"/>
        <w:spacing w:line="360" w:lineRule="auto"/>
        <w:jc w:val="center"/>
        <w:textAlignment w:val="baseline"/>
        <w:rPr>
          <w:rFonts w:hint="eastAsia" w:ascii="宋体" w:hAnsi="宋体" w:cs="宋体"/>
          <w:b/>
          <w:color w:val="auto"/>
          <w:sz w:val="40"/>
          <w:szCs w:val="30"/>
        </w:rPr>
        <w:sectPr>
          <w:pgSz w:w="11910" w:h="16850"/>
          <w:pgMar w:top="1440" w:right="1800" w:bottom="1440" w:left="1800" w:header="911" w:footer="0" w:gutter="0"/>
          <w:pgBorders w:offsetFrom="page">
            <w:top w:val="single" w:color="A6A6A6" w:sz="12" w:space="24"/>
            <w:left w:val="single" w:color="A6A6A6" w:sz="12" w:space="24"/>
            <w:bottom w:val="single" w:color="A6A6A6" w:sz="12" w:space="24"/>
            <w:right w:val="single" w:color="A6A6A6" w:sz="12" w:space="24"/>
          </w:pgBorders>
          <w:cols w:space="720" w:num="1"/>
        </w:sectPr>
      </w:pPr>
    </w:p>
    <w:p w14:paraId="396D8C27">
      <w:pPr>
        <w:tabs>
          <w:tab w:val="right" w:leader="dot" w:pos="8296"/>
        </w:tabs>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目</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录</w:t>
      </w:r>
    </w:p>
    <w:p w14:paraId="43602B13">
      <w:pPr>
        <w:pStyle w:val="26"/>
        <w:tabs>
          <w:tab w:val="right" w:leader="dot" w:pos="9746"/>
          <w:tab w:val="clear" w:pos="8296"/>
        </w:tabs>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_Toc17915 </w:instrText>
      </w:r>
      <w:r>
        <w:rPr>
          <w:rFonts w:hint="eastAsia" w:ascii="宋体" w:hAnsi="宋体" w:cs="宋体"/>
          <w:bCs/>
          <w:szCs w:val="32"/>
          <w:highlight w:val="none"/>
        </w:rPr>
        <w:fldChar w:fldCharType="separate"/>
      </w:r>
      <w:r>
        <w:rPr>
          <w:rFonts w:hint="eastAsia" w:ascii="宋体" w:hAnsi="宋体" w:cs="宋体"/>
        </w:rPr>
        <w:t>第一部分  磋商邀请</w:t>
      </w:r>
      <w:r>
        <w:tab/>
      </w:r>
      <w:r>
        <w:fldChar w:fldCharType="begin"/>
      </w:r>
      <w:r>
        <w:instrText xml:space="preserve"> PAGEREF _Toc17915 \h </w:instrText>
      </w:r>
      <w:r>
        <w:fldChar w:fldCharType="separate"/>
      </w:r>
      <w:r>
        <w:t>1</w:t>
      </w:r>
      <w:r>
        <w:fldChar w:fldCharType="end"/>
      </w:r>
      <w:r>
        <w:rPr>
          <w:rFonts w:hint="eastAsia" w:ascii="宋体" w:hAnsi="宋体" w:cs="宋体"/>
          <w:bCs/>
          <w:color w:val="auto"/>
          <w:szCs w:val="32"/>
          <w:highlight w:val="none"/>
        </w:rPr>
        <w:fldChar w:fldCharType="end"/>
      </w:r>
    </w:p>
    <w:p w14:paraId="03B3AFDA">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_Toc1414 </w:instrText>
      </w:r>
      <w:r>
        <w:rPr>
          <w:rFonts w:hint="eastAsia" w:ascii="宋体" w:hAnsi="宋体" w:cs="宋体"/>
          <w:bCs/>
          <w:szCs w:val="32"/>
          <w:highlight w:val="none"/>
        </w:rPr>
        <w:fldChar w:fldCharType="separate"/>
      </w:r>
      <w:r>
        <w:rPr>
          <w:rFonts w:hint="eastAsia" w:ascii="宋体" w:hAnsi="宋体" w:cs="宋体"/>
        </w:rPr>
        <w:t>第二部分  供应商须知前附表</w:t>
      </w:r>
      <w:r>
        <w:tab/>
      </w:r>
      <w:r>
        <w:fldChar w:fldCharType="begin"/>
      </w:r>
      <w:r>
        <w:instrText xml:space="preserve"> PAGEREF _Toc1414 \h </w:instrText>
      </w:r>
      <w:r>
        <w:fldChar w:fldCharType="separate"/>
      </w:r>
      <w:r>
        <w:t>4</w:t>
      </w:r>
      <w:r>
        <w:fldChar w:fldCharType="end"/>
      </w:r>
      <w:r>
        <w:rPr>
          <w:rFonts w:hint="eastAsia" w:ascii="宋体" w:hAnsi="宋体" w:cs="宋体"/>
          <w:bCs/>
          <w:color w:val="auto"/>
          <w:szCs w:val="32"/>
          <w:highlight w:val="none"/>
        </w:rPr>
        <w:fldChar w:fldCharType="end"/>
      </w:r>
    </w:p>
    <w:p w14:paraId="3BEDCF57">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_Toc17193 </w:instrText>
      </w:r>
      <w:r>
        <w:rPr>
          <w:rFonts w:hint="eastAsia" w:ascii="宋体" w:hAnsi="宋体" w:cs="宋体"/>
          <w:bCs/>
          <w:szCs w:val="32"/>
          <w:highlight w:val="none"/>
        </w:rPr>
        <w:fldChar w:fldCharType="separate"/>
      </w:r>
      <w:r>
        <w:rPr>
          <w:rFonts w:hint="eastAsia" w:ascii="宋体" w:hAnsi="宋体" w:cs="宋体"/>
        </w:rPr>
        <w:t>第</w:t>
      </w:r>
      <w:r>
        <w:rPr>
          <w:rFonts w:hint="eastAsia" w:ascii="宋体" w:hAnsi="宋体" w:cs="宋体"/>
          <w:lang w:eastAsia="zh-CN"/>
        </w:rPr>
        <w:t>三</w:t>
      </w:r>
      <w:r>
        <w:rPr>
          <w:rFonts w:hint="eastAsia" w:ascii="宋体" w:hAnsi="宋体" w:cs="宋体"/>
        </w:rPr>
        <w:t>部分  供应商须知</w:t>
      </w:r>
      <w:r>
        <w:tab/>
      </w:r>
      <w:r>
        <w:fldChar w:fldCharType="begin"/>
      </w:r>
      <w:r>
        <w:instrText xml:space="preserve"> PAGEREF _Toc17193 \h </w:instrText>
      </w:r>
      <w:r>
        <w:fldChar w:fldCharType="separate"/>
      </w:r>
      <w:r>
        <w:t>7</w:t>
      </w:r>
      <w:r>
        <w:fldChar w:fldCharType="end"/>
      </w:r>
      <w:r>
        <w:rPr>
          <w:rFonts w:hint="eastAsia" w:ascii="宋体" w:hAnsi="宋体" w:cs="宋体"/>
          <w:bCs/>
          <w:color w:val="auto"/>
          <w:szCs w:val="32"/>
          <w:highlight w:val="none"/>
        </w:rPr>
        <w:fldChar w:fldCharType="end"/>
      </w:r>
    </w:p>
    <w:p w14:paraId="0ECFD086">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_Toc4902 </w:instrText>
      </w:r>
      <w:r>
        <w:rPr>
          <w:rFonts w:hint="eastAsia" w:ascii="宋体" w:hAnsi="宋体" w:cs="宋体"/>
          <w:bCs/>
          <w:szCs w:val="32"/>
          <w:highlight w:val="none"/>
        </w:rPr>
        <w:fldChar w:fldCharType="separate"/>
      </w:r>
      <w:r>
        <w:rPr>
          <w:rFonts w:hint="eastAsia" w:ascii="宋体" w:hAnsi="宋体" w:cs="宋体"/>
        </w:rPr>
        <w:t>第</w:t>
      </w:r>
      <w:r>
        <w:rPr>
          <w:rFonts w:hint="eastAsia" w:ascii="宋体" w:hAnsi="宋体" w:cs="宋体"/>
          <w:lang w:val="en-US" w:eastAsia="zh-CN"/>
        </w:rPr>
        <w:t>四</w:t>
      </w:r>
      <w:r>
        <w:rPr>
          <w:rFonts w:hint="eastAsia" w:ascii="宋体" w:hAnsi="宋体" w:cs="宋体"/>
        </w:rPr>
        <w:t>部分</w:t>
      </w:r>
      <w:r>
        <w:rPr>
          <w:rFonts w:hint="eastAsia" w:ascii="宋体" w:hAnsi="宋体" w:cs="宋体"/>
          <w:lang w:val="en-US" w:eastAsia="zh-CN"/>
        </w:rPr>
        <w:t xml:space="preserve">  </w:t>
      </w:r>
      <w:r>
        <w:rPr>
          <w:rFonts w:hint="eastAsia" w:ascii="宋体" w:hAnsi="宋体" w:cs="宋体"/>
          <w:bCs/>
          <w:szCs w:val="36"/>
          <w:lang w:val="zh-CN"/>
        </w:rPr>
        <w:t>青海省政府采购项目合同书</w:t>
      </w:r>
      <w:r>
        <w:tab/>
      </w:r>
      <w:r>
        <w:fldChar w:fldCharType="begin"/>
      </w:r>
      <w:r>
        <w:instrText xml:space="preserve"> PAGEREF _Toc4902 \h </w:instrText>
      </w:r>
      <w:r>
        <w:fldChar w:fldCharType="separate"/>
      </w:r>
      <w:r>
        <w:t>20</w:t>
      </w:r>
      <w:r>
        <w:fldChar w:fldCharType="end"/>
      </w:r>
      <w:r>
        <w:rPr>
          <w:rFonts w:hint="eastAsia" w:ascii="宋体" w:hAnsi="宋体" w:cs="宋体"/>
          <w:bCs/>
          <w:color w:val="auto"/>
          <w:szCs w:val="32"/>
          <w:highlight w:val="none"/>
        </w:rPr>
        <w:fldChar w:fldCharType="end"/>
      </w:r>
    </w:p>
    <w:p w14:paraId="13744D72">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_Toc20336 </w:instrText>
      </w:r>
      <w:r>
        <w:rPr>
          <w:rFonts w:hint="eastAsia" w:ascii="宋体" w:hAnsi="宋体" w:cs="宋体"/>
          <w:bCs/>
          <w:szCs w:val="32"/>
          <w:highlight w:val="none"/>
        </w:rPr>
        <w:fldChar w:fldCharType="separate"/>
      </w:r>
      <w:r>
        <w:rPr>
          <w:rFonts w:hint="eastAsia" w:ascii="宋体" w:hAnsi="宋体" w:eastAsia="宋体" w:cs="宋体"/>
          <w:kern w:val="0"/>
          <w:szCs w:val="20"/>
          <w:lang w:val="en-US" w:eastAsia="zh-CN" w:bidi="ar-SA"/>
        </w:rPr>
        <w:t xml:space="preserve">第五部分 </w:t>
      </w:r>
      <w:r>
        <w:rPr>
          <w:rFonts w:hint="eastAsia" w:ascii="宋体" w:hAnsi="宋体" w:cs="宋体"/>
          <w:kern w:val="0"/>
          <w:szCs w:val="20"/>
          <w:lang w:val="en-US" w:eastAsia="zh-CN" w:bidi="ar-SA"/>
        </w:rPr>
        <w:t xml:space="preserve"> </w:t>
      </w:r>
      <w:r>
        <w:rPr>
          <w:rFonts w:hint="eastAsia" w:ascii="宋体" w:hAnsi="宋体" w:eastAsia="宋体" w:cs="宋体"/>
          <w:kern w:val="0"/>
          <w:szCs w:val="20"/>
          <w:lang w:val="en-US" w:eastAsia="zh-CN" w:bidi="ar-SA"/>
        </w:rPr>
        <w:t>磋商响应文件格式</w:t>
      </w:r>
      <w:r>
        <w:tab/>
      </w:r>
      <w:r>
        <w:fldChar w:fldCharType="begin"/>
      </w:r>
      <w:r>
        <w:instrText xml:space="preserve"> PAGEREF _Toc20336 \h </w:instrText>
      </w:r>
      <w:r>
        <w:fldChar w:fldCharType="separate"/>
      </w:r>
      <w:r>
        <w:t>34</w:t>
      </w:r>
      <w:r>
        <w:fldChar w:fldCharType="end"/>
      </w:r>
      <w:r>
        <w:rPr>
          <w:rFonts w:hint="eastAsia" w:ascii="宋体" w:hAnsi="宋体" w:cs="宋体"/>
          <w:bCs/>
          <w:color w:val="auto"/>
          <w:szCs w:val="32"/>
          <w:highlight w:val="none"/>
        </w:rPr>
        <w:fldChar w:fldCharType="end"/>
      </w:r>
    </w:p>
    <w:p w14:paraId="33058D0C">
      <w:pPr>
        <w:pStyle w:val="26"/>
        <w:tabs>
          <w:tab w:val="right" w:leader="dot" w:pos="9746"/>
          <w:tab w:val="clear" w:pos="8296"/>
        </w:tabs>
      </w:pPr>
      <w:r>
        <w:rPr>
          <w:rFonts w:hint="eastAsia" w:ascii="宋体" w:hAnsi="宋体" w:cs="宋体"/>
          <w:bCs/>
          <w:color w:val="auto"/>
          <w:szCs w:val="32"/>
          <w:highlight w:val="none"/>
        </w:rPr>
        <w:fldChar w:fldCharType="begin"/>
      </w:r>
      <w:r>
        <w:rPr>
          <w:rFonts w:hint="eastAsia" w:ascii="宋体" w:hAnsi="宋体" w:cs="宋体"/>
          <w:bCs/>
          <w:szCs w:val="32"/>
          <w:highlight w:val="none"/>
        </w:rPr>
        <w:instrText xml:space="preserve"> HYPERLINK \l _Toc256 </w:instrText>
      </w:r>
      <w:r>
        <w:rPr>
          <w:rFonts w:hint="eastAsia" w:ascii="宋体" w:hAnsi="宋体" w:cs="宋体"/>
          <w:bCs/>
          <w:szCs w:val="32"/>
          <w:highlight w:val="none"/>
        </w:rPr>
        <w:fldChar w:fldCharType="separate"/>
      </w:r>
      <w:r>
        <w:rPr>
          <w:rFonts w:hint="eastAsia"/>
          <w:szCs w:val="44"/>
        </w:rPr>
        <w:t xml:space="preserve">第六部分 </w:t>
      </w:r>
      <w:r>
        <w:rPr>
          <w:rFonts w:hint="eastAsia"/>
          <w:szCs w:val="44"/>
          <w:lang w:val="en-US" w:eastAsia="zh-CN"/>
        </w:rPr>
        <w:t xml:space="preserve"> </w:t>
      </w:r>
      <w:r>
        <w:rPr>
          <w:rFonts w:hint="eastAsia" w:ascii="Times New Roman" w:hAnsi="宋体" w:cs="宋体"/>
          <w:bCs/>
          <w:kern w:val="28"/>
          <w:szCs w:val="44"/>
          <w:highlight w:val="none"/>
          <w:lang w:val="en-US" w:eastAsia="zh-CN"/>
        </w:rPr>
        <w:t>采</w:t>
      </w:r>
      <w:r>
        <w:rPr>
          <w:rFonts w:hint="eastAsia" w:hAnsi="宋体" w:cs="宋体"/>
          <w:bCs/>
          <w:kern w:val="28"/>
          <w:szCs w:val="44"/>
          <w:highlight w:val="none"/>
          <w:lang w:val="en-US" w:eastAsia="zh-CN"/>
        </w:rPr>
        <w:t>购项目要求及服务内容</w:t>
      </w:r>
      <w:r>
        <w:tab/>
      </w:r>
      <w:r>
        <w:fldChar w:fldCharType="begin"/>
      </w:r>
      <w:r>
        <w:instrText xml:space="preserve"> PAGEREF _Toc256 \h </w:instrText>
      </w:r>
      <w:r>
        <w:fldChar w:fldCharType="separate"/>
      </w:r>
      <w:r>
        <w:t>60</w:t>
      </w:r>
      <w:r>
        <w:fldChar w:fldCharType="end"/>
      </w:r>
      <w:r>
        <w:rPr>
          <w:rFonts w:hint="eastAsia" w:ascii="宋体" w:hAnsi="宋体" w:cs="宋体"/>
          <w:bCs/>
          <w:color w:val="auto"/>
          <w:szCs w:val="32"/>
          <w:highlight w:val="none"/>
        </w:rPr>
        <w:fldChar w:fldCharType="end"/>
      </w:r>
    </w:p>
    <w:p w14:paraId="07EFF374">
      <w:pPr>
        <w:tabs>
          <w:tab w:val="right" w:leader="dot" w:pos="8296"/>
        </w:tabs>
        <w:spacing w:line="360" w:lineRule="auto"/>
        <w:jc w:val="center"/>
        <w:rPr>
          <w:rFonts w:hint="eastAsia" w:ascii="宋体" w:hAnsi="宋体" w:cs="宋体"/>
          <w:b/>
          <w:bCs/>
          <w:color w:val="auto"/>
          <w:sz w:val="32"/>
          <w:szCs w:val="32"/>
          <w:highlight w:val="none"/>
        </w:rPr>
      </w:pPr>
      <w:r>
        <w:rPr>
          <w:rFonts w:hint="eastAsia" w:ascii="宋体" w:hAnsi="宋体" w:cs="宋体"/>
          <w:bCs/>
          <w:color w:val="auto"/>
          <w:szCs w:val="32"/>
          <w:highlight w:val="none"/>
        </w:rPr>
        <w:fldChar w:fldCharType="end"/>
      </w:r>
    </w:p>
    <w:p w14:paraId="5BE918F2">
      <w:pPr>
        <w:pStyle w:val="29"/>
        <w:spacing w:before="0" w:after="0" w:line="360" w:lineRule="auto"/>
        <w:ind w:firstLine="2617" w:firstLineChars="543"/>
        <w:jc w:val="both"/>
        <w:outlineLvl w:val="0"/>
        <w:rPr>
          <w:rFonts w:hint="eastAsia" w:ascii="宋体" w:hAnsi="宋体" w:cs="宋体"/>
          <w:color w:val="auto"/>
          <w:sz w:val="48"/>
        </w:rPr>
        <w:sectPr>
          <w:headerReference r:id="rId6" w:type="first"/>
          <w:footerReference r:id="rId8" w:type="first"/>
          <w:headerReference r:id="rId5" w:type="default"/>
          <w:footerReference r:id="rId7"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start="1"/>
          <w:cols w:space="720" w:num="1"/>
          <w:titlePg/>
          <w:docGrid w:linePitch="312" w:charSpace="0"/>
        </w:sectPr>
      </w:pPr>
      <w:bookmarkStart w:id="10" w:name="_Toc444715732"/>
      <w:bookmarkStart w:id="11" w:name="_Toc17799"/>
    </w:p>
    <w:p w14:paraId="2C6BA35D">
      <w:pPr>
        <w:pStyle w:val="29"/>
        <w:spacing w:before="0" w:after="0" w:line="360" w:lineRule="auto"/>
        <w:ind w:firstLine="2617" w:firstLineChars="543"/>
        <w:jc w:val="both"/>
        <w:outlineLvl w:val="0"/>
        <w:rPr>
          <w:rFonts w:hint="eastAsia" w:ascii="宋体" w:hAnsi="宋体" w:cs="宋体"/>
          <w:color w:val="auto"/>
          <w:sz w:val="48"/>
        </w:rPr>
      </w:pPr>
      <w:bookmarkStart w:id="12" w:name="_Toc17915"/>
      <w:r>
        <w:rPr>
          <w:rFonts w:hint="eastAsia" w:ascii="宋体" w:hAnsi="宋体" w:cs="宋体"/>
          <w:color w:val="auto"/>
          <w:sz w:val="48"/>
        </w:rPr>
        <w:t>第一部分  磋商邀请</w:t>
      </w:r>
      <w:bookmarkEnd w:id="10"/>
      <w:bookmarkEnd w:id="11"/>
      <w:bookmarkEnd w:id="12"/>
    </w:p>
    <w:p w14:paraId="2FB08181">
      <w:pPr>
        <w:spacing w:line="360" w:lineRule="auto"/>
        <w:ind w:firstLine="480" w:firstLineChars="200"/>
        <w:textAlignment w:val="baseline"/>
        <w:rPr>
          <w:rFonts w:hint="eastAsia" w:ascii="宋体" w:hAnsi="宋体" w:cs="宋体"/>
          <w:color w:val="auto"/>
          <w:sz w:val="24"/>
        </w:rPr>
      </w:pPr>
      <w:r>
        <w:rPr>
          <w:rFonts w:hint="eastAsia" w:ascii="宋体" w:hAnsi="宋体" w:cs="宋体"/>
          <w:color w:val="auto"/>
          <w:sz w:val="24"/>
          <w:lang w:eastAsia="zh-CN"/>
        </w:rPr>
        <w:t>青海雅辉工程项目管理有限公司</w:t>
      </w:r>
      <w:r>
        <w:rPr>
          <w:rFonts w:hint="eastAsia" w:ascii="宋体" w:hAnsi="宋体" w:cs="宋体"/>
          <w:color w:val="auto"/>
          <w:sz w:val="24"/>
        </w:rPr>
        <w:t>（以下均简称“采购代理机构”）受</w:t>
      </w:r>
      <w:r>
        <w:rPr>
          <w:rFonts w:hint="eastAsia" w:ascii="宋体" w:hAnsi="宋体" w:cs="宋体"/>
          <w:color w:val="auto"/>
          <w:sz w:val="24"/>
          <w:u w:val="none"/>
          <w:lang w:eastAsia="zh-CN"/>
        </w:rPr>
        <w:t>玉树州职业技术学校</w:t>
      </w:r>
      <w:r>
        <w:rPr>
          <w:rFonts w:hint="eastAsia" w:ascii="宋体" w:hAnsi="宋体" w:cs="宋体"/>
          <w:color w:val="auto"/>
          <w:sz w:val="24"/>
        </w:rPr>
        <w:t>（以下均简称“采购人”）委托，拟对</w:t>
      </w:r>
      <w:r>
        <w:rPr>
          <w:rFonts w:hint="eastAsia" w:ascii="宋体" w:hAnsi="宋体" w:cs="宋体"/>
          <w:color w:val="auto"/>
          <w:sz w:val="24"/>
          <w:u w:val="none"/>
        </w:rPr>
        <w:t>“</w:t>
      </w:r>
      <w:r>
        <w:rPr>
          <w:rFonts w:hint="eastAsia" w:ascii="宋体" w:hAnsi="宋体" w:cs="宋体"/>
          <w:color w:val="auto"/>
          <w:sz w:val="24"/>
          <w:u w:val="none"/>
          <w:lang w:eastAsia="zh-CN"/>
        </w:rPr>
        <w:t>玉树州职业技术学校民族服装与服饰专业建设项目</w:t>
      </w:r>
      <w:r>
        <w:rPr>
          <w:rFonts w:hint="eastAsia" w:ascii="宋体" w:hAnsi="宋体" w:cs="宋体"/>
          <w:color w:val="auto"/>
          <w:sz w:val="24"/>
          <w:u w:val="none"/>
        </w:rPr>
        <w:t>（采购项目编号：</w:t>
      </w:r>
      <w:r>
        <w:rPr>
          <w:rFonts w:hint="eastAsia" w:ascii="宋体" w:hAnsi="宋体" w:cs="宋体"/>
          <w:color w:val="auto"/>
          <w:sz w:val="24"/>
          <w:lang w:eastAsia="zh-CN"/>
        </w:rPr>
        <w:t>青海雅辉竞磋（货物）2024-006</w:t>
      </w:r>
      <w:r>
        <w:rPr>
          <w:rFonts w:hint="eastAsia" w:ascii="宋体" w:hAnsi="宋体" w:cs="宋体"/>
          <w:color w:val="auto"/>
          <w:sz w:val="24"/>
          <w:u w:val="none"/>
        </w:rPr>
        <w:t>）</w:t>
      </w:r>
      <w:r>
        <w:rPr>
          <w:rFonts w:hint="eastAsia" w:ascii="宋体" w:hAnsi="宋体" w:cs="宋体"/>
          <w:color w:val="auto"/>
          <w:sz w:val="24"/>
        </w:rPr>
        <w:t>”进行国内竞争性磋商采购，现予以公告，欢迎符合条件的竞争性磋商响应人前来参加投标。</w:t>
      </w:r>
    </w:p>
    <w:tbl>
      <w:tblPr>
        <w:tblStyle w:val="40"/>
        <w:tblW w:w="10603"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2361"/>
        <w:gridCol w:w="8242"/>
      </w:tblGrid>
      <w:tr w14:paraId="1DD03D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06AA816">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采购项目编号</w:t>
            </w:r>
            <w:r>
              <w:rPr>
                <w:rFonts w:hint="eastAsia" w:ascii="宋体" w:hAnsi="宋体" w:cs="宋体"/>
                <w:color w:val="auto"/>
                <w:sz w:val="24"/>
                <w:lang w:val="en-US" w:eastAsia="zh-CN"/>
              </w:rPr>
              <w:t>/包号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57BCC51">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lang w:eastAsia="zh-CN"/>
              </w:rPr>
              <w:t>青海雅辉竞磋（货物）2024-006</w:t>
            </w:r>
          </w:p>
        </w:tc>
      </w:tr>
      <w:tr w14:paraId="7C9DAA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7D6CB0D7">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备案编号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3144AB3">
            <w:pPr>
              <w:pageBreakBefore w:val="0"/>
              <w:widowControl w:val="0"/>
              <w:kinsoku/>
              <w:wordWrap/>
              <w:overflowPunct/>
              <w:topLinePunct w:val="0"/>
              <w:bidi w:val="0"/>
              <w:adjustRightInd/>
              <w:snapToGrid/>
              <w:spacing w:line="360" w:lineRule="auto"/>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BUYPLANSP[2024]00105</w:t>
            </w:r>
          </w:p>
        </w:tc>
      </w:tr>
      <w:tr w14:paraId="5C7B66B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A62D94F">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采购项目名称</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6A1D774">
            <w:pPr>
              <w:pageBreakBefore w:val="0"/>
              <w:widowControl w:val="0"/>
              <w:kinsoku/>
              <w:wordWrap/>
              <w:overflowPunct/>
              <w:topLinePunct w:val="0"/>
              <w:bidi w:val="0"/>
              <w:adjustRightInd/>
              <w:snapToGrid/>
              <w:spacing w:line="360" w:lineRule="auto"/>
              <w:jc w:val="both"/>
              <w:textAlignment w:val="auto"/>
              <w:rPr>
                <w:rFonts w:hint="eastAsia" w:ascii="宋体" w:hAnsi="宋体" w:eastAsia="宋体" w:cs="宋体"/>
                <w:color w:val="auto"/>
                <w:sz w:val="24"/>
                <w:szCs w:val="24"/>
                <w:highlight w:val="none"/>
              </w:rPr>
            </w:pPr>
            <w:r>
              <w:rPr>
                <w:rFonts w:hint="eastAsia" w:ascii="宋体" w:hAnsi="宋体" w:cs="宋体"/>
                <w:b w:val="0"/>
                <w:bCs/>
                <w:color w:val="auto"/>
                <w:sz w:val="24"/>
                <w:szCs w:val="24"/>
                <w:lang w:val="en-US" w:eastAsia="zh-CN"/>
              </w:rPr>
              <w:t>玉树州职业技术学校民族服装与服饰专业建设项目</w:t>
            </w:r>
          </w:p>
        </w:tc>
      </w:tr>
      <w:tr w14:paraId="2E75817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3EAEE21C">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2F9FF1F">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竞争性磋商</w:t>
            </w:r>
          </w:p>
        </w:tc>
      </w:tr>
      <w:tr w14:paraId="5230313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D70ECED">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采购预算控制额度</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11938EE3">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eastAsia="zh-CN" w:bidi="ar-SA"/>
              </w:rPr>
              <w:t>人民币1973000元</w:t>
            </w:r>
          </w:p>
        </w:tc>
      </w:tr>
      <w:tr w14:paraId="0BF8A7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9FEA73D">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最高限价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6D767DE">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zh-CN" w:eastAsia="zh-CN" w:bidi="ar-SA"/>
              </w:rPr>
              <w:t>人民币1973000元</w:t>
            </w:r>
          </w:p>
        </w:tc>
      </w:tr>
      <w:tr w14:paraId="4AB5830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B43CD1F">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项目分包个数</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69F8352">
            <w:pPr>
              <w:pageBreakBefore w:val="0"/>
              <w:widowControl w:val="0"/>
              <w:kinsoku/>
              <w:wordWrap/>
              <w:overflowPunct/>
              <w:topLinePunct w:val="0"/>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cs="宋体"/>
                <w:color w:val="auto"/>
                <w:sz w:val="24"/>
                <w:highlight w:val="none"/>
                <w:lang w:val="en-US" w:eastAsia="zh-CN"/>
              </w:rPr>
              <w:t>个</w:t>
            </w:r>
          </w:p>
        </w:tc>
      </w:tr>
      <w:tr w14:paraId="504AE4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361" w:type="dxa"/>
            <w:tcBorders>
              <w:top w:val="outset" w:color="000000" w:sz="6" w:space="0"/>
              <w:left w:val="outset" w:color="000000" w:sz="6" w:space="0"/>
              <w:right w:val="outset" w:color="000000" w:sz="6" w:space="0"/>
            </w:tcBorders>
            <w:noWrap w:val="0"/>
            <w:vAlign w:val="center"/>
          </w:tcPr>
          <w:p w14:paraId="75A0291A">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采购</w:t>
            </w:r>
            <w:r>
              <w:rPr>
                <w:rFonts w:hint="eastAsia" w:ascii="宋体" w:hAnsi="宋体" w:eastAsia="宋体" w:cs="宋体"/>
                <w:color w:val="auto"/>
                <w:kern w:val="0"/>
                <w:sz w:val="24"/>
                <w:szCs w:val="24"/>
                <w:highlight w:val="none"/>
              </w:rPr>
              <w:t>要求</w:t>
            </w:r>
          </w:p>
        </w:tc>
        <w:tc>
          <w:tcPr>
            <w:tcW w:w="8242" w:type="dxa"/>
            <w:tcBorders>
              <w:top w:val="outset" w:color="000000" w:sz="6" w:space="0"/>
              <w:left w:val="outset" w:color="000000" w:sz="6" w:space="0"/>
              <w:right w:val="outset" w:color="000000" w:sz="6" w:space="0"/>
            </w:tcBorders>
            <w:noWrap w:val="0"/>
            <w:vAlign w:val="center"/>
          </w:tcPr>
          <w:p w14:paraId="1DDC28DD">
            <w:pPr>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b w:val="0"/>
                <w:bCs/>
                <w:color w:val="auto"/>
                <w:sz w:val="24"/>
                <w:szCs w:val="24"/>
                <w:lang w:val="en-US" w:eastAsia="zh-CN"/>
              </w:rPr>
            </w:pPr>
            <w:r>
              <w:rPr>
                <w:rFonts w:hint="eastAsia" w:ascii="宋体" w:hAnsi="宋体" w:cs="宋体"/>
                <w:color w:val="auto"/>
                <w:kern w:val="0"/>
                <w:lang w:val="zh-CN"/>
              </w:rPr>
              <w:t>详见技术参数</w:t>
            </w:r>
          </w:p>
        </w:tc>
      </w:tr>
      <w:tr w14:paraId="4A7B1E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75F0F629">
            <w:pPr>
              <w:pageBreakBefore w:val="0"/>
              <w:widowControl w:val="0"/>
              <w:kinsoku/>
              <w:wordWrap/>
              <w:overflowPunct/>
              <w:topLinePunct w:val="0"/>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人资格条件</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A58F501">
            <w:pPr>
              <w:spacing w:line="360" w:lineRule="auto"/>
              <w:jc w:val="left"/>
              <w:rPr>
                <w:rFonts w:hint="eastAsia"/>
                <w:color w:val="auto"/>
                <w:lang w:val="zh-CN"/>
              </w:rPr>
            </w:pPr>
            <w:r>
              <w:rPr>
                <w:rFonts w:hint="eastAsia"/>
                <w:color w:val="auto"/>
                <w:lang w:val="en-US" w:eastAsia="zh-CN"/>
              </w:rPr>
              <w:t>(</w:t>
            </w:r>
            <w:r>
              <w:rPr>
                <w:rFonts w:hint="eastAsia"/>
                <w:color w:val="auto"/>
                <w:lang w:val="zh-CN"/>
              </w:rPr>
              <w:t>1) 符合《政府采购法》第22条条件，并提供下列材料：</w:t>
            </w:r>
          </w:p>
          <w:p w14:paraId="4FE464C4">
            <w:pPr>
              <w:spacing w:line="360" w:lineRule="auto"/>
              <w:jc w:val="left"/>
              <w:rPr>
                <w:rFonts w:hint="eastAsia"/>
                <w:color w:val="auto"/>
                <w:lang w:val="zh-CN"/>
              </w:rPr>
            </w:pPr>
            <w:r>
              <w:rPr>
                <w:rFonts w:hint="eastAsia"/>
                <w:color w:val="auto"/>
                <w:lang w:val="zh-CN"/>
              </w:rPr>
              <w:t>①投标人的营业执照等证明文件，自然人的身份证明。</w:t>
            </w:r>
          </w:p>
          <w:p w14:paraId="5A70C9EC">
            <w:pPr>
              <w:spacing w:line="360" w:lineRule="auto"/>
              <w:jc w:val="left"/>
              <w:rPr>
                <w:rFonts w:hint="eastAsia"/>
                <w:color w:val="auto"/>
                <w:lang w:val="zh-CN"/>
              </w:rPr>
            </w:pPr>
            <w:r>
              <w:rPr>
                <w:rFonts w:hint="eastAsia"/>
                <w:color w:val="auto"/>
                <w:lang w:val="zh-CN"/>
              </w:rPr>
              <w:t>②财务状况报告，依法缴纳税收和社会保障资金的相关材料。</w:t>
            </w:r>
          </w:p>
          <w:p w14:paraId="53E9139D">
            <w:pPr>
              <w:spacing w:line="360" w:lineRule="auto"/>
              <w:jc w:val="left"/>
              <w:rPr>
                <w:rFonts w:hint="eastAsia"/>
                <w:color w:val="auto"/>
                <w:lang w:val="zh-CN"/>
              </w:rPr>
            </w:pPr>
            <w:r>
              <w:rPr>
                <w:rFonts w:hint="eastAsia"/>
                <w:color w:val="auto"/>
                <w:lang w:val="zh-CN"/>
              </w:rPr>
              <w:t>③具备履行合同所必需的设备和专业技术能力的证明材料。</w:t>
            </w:r>
          </w:p>
          <w:p w14:paraId="44B12755">
            <w:pPr>
              <w:spacing w:line="360" w:lineRule="auto"/>
              <w:jc w:val="left"/>
              <w:rPr>
                <w:rFonts w:hint="eastAsia"/>
                <w:color w:val="auto"/>
                <w:lang w:val="zh-CN"/>
              </w:rPr>
            </w:pPr>
            <w:r>
              <w:rPr>
                <w:rFonts w:hint="eastAsia"/>
                <w:color w:val="auto"/>
                <w:lang w:val="zh-CN"/>
              </w:rPr>
              <w:t>④参加政府采购活动前3年内在经营活动中没有重大违法记录的书面声明。</w:t>
            </w:r>
          </w:p>
          <w:p w14:paraId="137408E2">
            <w:pPr>
              <w:spacing w:line="360" w:lineRule="auto"/>
              <w:jc w:val="left"/>
              <w:rPr>
                <w:rFonts w:hint="eastAsia"/>
                <w:color w:val="auto"/>
                <w:lang w:val="zh-CN"/>
              </w:rPr>
            </w:pPr>
            <w:r>
              <w:rPr>
                <w:rFonts w:hint="eastAsia"/>
                <w:color w:val="auto"/>
                <w:lang w:val="zh-CN"/>
              </w:rPr>
              <w:t>⑤具备法律、行政法规规定的其他条件的证明材料。</w:t>
            </w:r>
          </w:p>
          <w:p w14:paraId="75A68124">
            <w:pPr>
              <w:spacing w:line="360" w:lineRule="auto"/>
              <w:jc w:val="left"/>
              <w:rPr>
                <w:rFonts w:hint="eastAsia"/>
                <w:color w:val="auto"/>
                <w:lang w:val="zh-CN"/>
              </w:rPr>
            </w:pPr>
            <w:r>
              <w:rPr>
                <w:rFonts w:hint="eastAsia"/>
                <w:color w:val="auto"/>
                <w:lang w:val="zh-CN"/>
              </w:rPr>
              <w:t>(2) 单位负责人为同一人或者存在直接控股、管理关系的不同投标人，不得参加同一合同项下的政府采购活动。否则，皆取消投标资格；</w:t>
            </w:r>
          </w:p>
          <w:p w14:paraId="7E0BF474">
            <w:pPr>
              <w:spacing w:line="360" w:lineRule="auto"/>
              <w:jc w:val="left"/>
              <w:rPr>
                <w:rFonts w:hint="eastAsia"/>
                <w:color w:val="auto"/>
                <w:lang w:val="zh-CN"/>
              </w:rPr>
            </w:pPr>
            <w:r>
              <w:rPr>
                <w:rFonts w:hint="eastAsia"/>
                <w:color w:val="auto"/>
                <w:lang w:val="zh-CN"/>
              </w:rPr>
              <w:t>(3) 为本采购项目提供整体设计、规范编制或者项目管理、监理、检测等服务的投标人，不得再参加该采购项目的其他采购活动；</w:t>
            </w:r>
          </w:p>
          <w:p w14:paraId="36DEE5F3">
            <w:pPr>
              <w:spacing w:line="360" w:lineRule="auto"/>
              <w:jc w:val="left"/>
              <w:rPr>
                <w:rFonts w:hint="eastAsia"/>
                <w:color w:val="auto"/>
                <w:lang w:val="zh-CN"/>
              </w:rPr>
            </w:pPr>
            <w:r>
              <w:rPr>
                <w:rFonts w:hint="eastAsia"/>
                <w:color w:val="auto"/>
                <w:lang w:val="zh-CN"/>
              </w:rPr>
              <w:t>(4) 本项目接受</w:t>
            </w:r>
            <w:r>
              <w:rPr>
                <w:rFonts w:hint="eastAsia"/>
                <w:color w:val="auto"/>
                <w:lang w:val="en-US" w:eastAsia="zh-CN"/>
              </w:rPr>
              <w:t>供应商</w:t>
            </w:r>
            <w:r>
              <w:rPr>
                <w:rFonts w:hint="eastAsia"/>
                <w:color w:val="auto"/>
                <w:lang w:val="zh-CN"/>
              </w:rPr>
              <w:t>以联合体方式进行投标；</w:t>
            </w:r>
          </w:p>
          <w:p w14:paraId="4C5B6FA2">
            <w:pPr>
              <w:spacing w:line="360" w:lineRule="auto"/>
              <w:jc w:val="left"/>
              <w:rPr>
                <w:rFonts w:hint="default"/>
                <w:color w:val="auto"/>
                <w:lang w:val="en-US" w:eastAsia="zh-CN"/>
              </w:rPr>
            </w:pPr>
            <w:r>
              <w:rPr>
                <w:rFonts w:hint="eastAsia"/>
                <w:color w:val="auto"/>
                <w:lang w:val="zh-CN"/>
              </w:rPr>
              <w:t xml:space="preserve">(5) </w:t>
            </w:r>
            <w:r>
              <w:rPr>
                <w:rFonts w:hint="eastAsia"/>
                <w:color w:val="auto"/>
                <w:lang w:val="zh-CN" w:eastAsia="zh-CN"/>
              </w:rPr>
              <w:t>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color w:val="auto"/>
                <w:lang w:val="en-US" w:eastAsia="zh-CN"/>
              </w:rPr>
              <w:t>1</w:t>
            </w:r>
            <w:r>
              <w:rPr>
                <w:rFonts w:hint="eastAsia"/>
                <w:color w:val="auto"/>
                <w:lang w:val="zh-CN" w:eastAsia="zh-CN"/>
              </w:rPr>
              <w:t>0天内</w:t>
            </w:r>
            <w:r>
              <w:rPr>
                <w:rFonts w:hint="eastAsia"/>
                <w:color w:val="auto"/>
                <w:lang w:val="zh-CN"/>
              </w:rPr>
              <w:t>；</w:t>
            </w:r>
            <w:r>
              <w:rPr>
                <w:rFonts w:hint="eastAsia"/>
                <w:color w:val="auto"/>
                <w:lang w:val="zh-CN" w:eastAsia="zh-CN"/>
              </w:rPr>
              <w:t xml:space="preserve"> </w:t>
            </w:r>
          </w:p>
        </w:tc>
      </w:tr>
      <w:tr w14:paraId="75E8F2E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23CF8E4">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公告发布时间</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1E53044">
            <w:pPr>
              <w:spacing w:line="360" w:lineRule="auto"/>
              <w:rPr>
                <w:rFonts w:hint="eastAsia" w:ascii="宋体" w:hAnsi="宋体" w:eastAsia="宋体" w:cs="宋体"/>
                <w:color w:val="auto"/>
                <w:sz w:val="24"/>
                <w:szCs w:val="24"/>
                <w:lang w:eastAsia="zh-CN"/>
              </w:rPr>
            </w:pPr>
            <w:r>
              <w:rPr>
                <w:rFonts w:hint="eastAsia" w:ascii="Arial" w:hAnsi="Arial" w:cs="Arial"/>
                <w:color w:val="auto"/>
                <w:sz w:val="24"/>
                <w:highlight w:val="none"/>
                <w:lang w:eastAsia="zh-CN"/>
              </w:rPr>
              <w:t>2024年0</w:t>
            </w:r>
            <w:r>
              <w:rPr>
                <w:rFonts w:hint="eastAsia" w:ascii="Arial" w:hAnsi="Arial" w:cs="Arial"/>
                <w:color w:val="auto"/>
                <w:sz w:val="24"/>
                <w:highlight w:val="none"/>
                <w:lang w:val="en-US" w:eastAsia="zh-CN"/>
              </w:rPr>
              <w:t>9</w:t>
            </w:r>
            <w:r>
              <w:rPr>
                <w:rFonts w:hint="eastAsia" w:ascii="Arial" w:hAnsi="Arial" w:cs="Arial"/>
                <w:color w:val="auto"/>
                <w:sz w:val="24"/>
                <w:highlight w:val="none"/>
                <w:lang w:eastAsia="zh-CN"/>
              </w:rPr>
              <w:t>月</w:t>
            </w:r>
            <w:r>
              <w:rPr>
                <w:rFonts w:hint="eastAsia" w:ascii="Arial" w:hAnsi="Arial" w:cs="Arial"/>
                <w:color w:val="auto"/>
                <w:sz w:val="24"/>
                <w:highlight w:val="none"/>
                <w:lang w:val="en-US" w:eastAsia="zh-CN"/>
              </w:rPr>
              <w:t>19</w:t>
            </w:r>
            <w:r>
              <w:rPr>
                <w:rFonts w:hint="eastAsia" w:ascii="Arial" w:hAnsi="Arial" w:cs="Arial"/>
                <w:color w:val="auto"/>
                <w:sz w:val="24"/>
                <w:highlight w:val="none"/>
                <w:lang w:eastAsia="zh-CN"/>
              </w:rPr>
              <w:t>日</w:t>
            </w:r>
          </w:p>
        </w:tc>
      </w:tr>
      <w:tr w14:paraId="6AC35AE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cantSplit/>
          <w:trHeight w:val="963"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58B841D">
            <w:pPr>
              <w:spacing w:line="360" w:lineRule="auto"/>
              <w:jc w:val="left"/>
              <w:rPr>
                <w:rFonts w:hint="eastAsia" w:ascii="Arial" w:hAnsi="Arial" w:cs="Arial"/>
                <w:color w:val="auto"/>
                <w:sz w:val="24"/>
                <w:highlight w:val="none"/>
                <w:lang w:val="zh-CN" w:eastAsia="zh-CN"/>
              </w:rPr>
            </w:pPr>
            <w:r>
              <w:rPr>
                <w:rFonts w:hint="eastAsia" w:ascii="Arial" w:hAnsi="Arial" w:cs="Arial"/>
                <w:color w:val="auto"/>
                <w:sz w:val="24"/>
                <w:highlight w:val="none"/>
                <w:lang w:val="zh-CN"/>
              </w:rPr>
              <w:t>获取磋商文件的时间期限</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00ED7A7">
            <w:pPr>
              <w:spacing w:line="360" w:lineRule="auto"/>
              <w:jc w:val="left"/>
              <w:rPr>
                <w:rFonts w:hint="eastAsia" w:ascii="Arial" w:hAnsi="Arial" w:cs="Arial"/>
                <w:color w:val="auto"/>
                <w:sz w:val="24"/>
                <w:highlight w:val="none"/>
                <w:lang w:val="zh-CN" w:eastAsia="zh-CN"/>
              </w:rPr>
            </w:pPr>
            <w:r>
              <w:rPr>
                <w:rFonts w:hint="eastAsia" w:ascii="Arial" w:hAnsi="Arial" w:cs="Arial"/>
                <w:color w:val="auto"/>
                <w:sz w:val="24"/>
                <w:highlight w:val="none"/>
                <w:lang w:val="zh-CN"/>
              </w:rPr>
              <w:t>2024年0</w:t>
            </w:r>
            <w:r>
              <w:rPr>
                <w:rFonts w:hint="eastAsia" w:ascii="Arial" w:hAnsi="Arial" w:cs="Arial"/>
                <w:color w:val="auto"/>
                <w:sz w:val="24"/>
                <w:highlight w:val="none"/>
                <w:lang w:val="en-US" w:eastAsia="zh-CN"/>
              </w:rPr>
              <w:t>9</w:t>
            </w:r>
            <w:r>
              <w:rPr>
                <w:rFonts w:hint="eastAsia" w:ascii="Arial" w:hAnsi="Arial" w:cs="Arial"/>
                <w:color w:val="auto"/>
                <w:sz w:val="24"/>
                <w:highlight w:val="none"/>
                <w:lang w:val="zh-CN"/>
              </w:rPr>
              <w:t>月2</w:t>
            </w:r>
            <w:r>
              <w:rPr>
                <w:rFonts w:hint="eastAsia" w:ascii="Arial" w:hAnsi="Arial" w:cs="Arial"/>
                <w:color w:val="auto"/>
                <w:sz w:val="24"/>
                <w:highlight w:val="none"/>
                <w:lang w:val="en-US" w:eastAsia="zh-CN"/>
              </w:rPr>
              <w:t>0</w:t>
            </w:r>
            <w:r>
              <w:rPr>
                <w:rFonts w:hint="eastAsia" w:ascii="Arial" w:hAnsi="Arial" w:cs="Arial"/>
                <w:color w:val="auto"/>
                <w:sz w:val="24"/>
                <w:highlight w:val="none"/>
                <w:lang w:val="zh-CN"/>
              </w:rPr>
              <w:t>日至2024年0</w:t>
            </w:r>
            <w:r>
              <w:rPr>
                <w:rFonts w:hint="eastAsia" w:ascii="Arial" w:hAnsi="Arial" w:cs="Arial"/>
                <w:color w:val="auto"/>
                <w:sz w:val="24"/>
                <w:highlight w:val="none"/>
                <w:lang w:val="en-US" w:eastAsia="zh-CN"/>
              </w:rPr>
              <w:t>9</w:t>
            </w:r>
            <w:r>
              <w:rPr>
                <w:rFonts w:hint="eastAsia" w:ascii="Arial" w:hAnsi="Arial" w:cs="Arial"/>
                <w:color w:val="auto"/>
                <w:sz w:val="24"/>
                <w:highlight w:val="none"/>
                <w:lang w:val="zh-CN"/>
              </w:rPr>
              <w:t>月2</w:t>
            </w:r>
            <w:r>
              <w:rPr>
                <w:rFonts w:hint="eastAsia" w:ascii="Arial" w:hAnsi="Arial" w:cs="Arial"/>
                <w:color w:val="auto"/>
                <w:sz w:val="24"/>
                <w:highlight w:val="none"/>
                <w:lang w:val="en-US" w:eastAsia="zh-CN"/>
              </w:rPr>
              <w:t>6</w:t>
            </w:r>
            <w:r>
              <w:rPr>
                <w:rFonts w:hint="eastAsia" w:ascii="Arial" w:hAnsi="Arial" w:cs="Arial"/>
                <w:color w:val="auto"/>
                <w:sz w:val="24"/>
                <w:highlight w:val="none"/>
                <w:lang w:val="zh-CN"/>
              </w:rPr>
              <w:t>日（上午09:00-12:00，下午</w:t>
            </w:r>
            <w:r>
              <w:rPr>
                <w:rFonts w:hint="eastAsia" w:ascii="Arial" w:hAnsi="Arial" w:cs="Arial"/>
                <w:color w:val="auto"/>
                <w:sz w:val="24"/>
                <w:highlight w:val="none"/>
                <w:lang w:val="en-US" w:eastAsia="zh-CN"/>
              </w:rPr>
              <w:t>12</w:t>
            </w:r>
            <w:r>
              <w:rPr>
                <w:rFonts w:hint="eastAsia" w:ascii="Arial" w:hAnsi="Arial" w:cs="Arial"/>
                <w:color w:val="auto"/>
                <w:sz w:val="24"/>
                <w:highlight w:val="none"/>
                <w:lang w:val="zh-CN"/>
              </w:rPr>
              <w:t>:00-</w:t>
            </w:r>
            <w:r>
              <w:rPr>
                <w:rFonts w:hint="eastAsia" w:ascii="Arial" w:hAnsi="Arial" w:cs="Arial"/>
                <w:color w:val="auto"/>
                <w:sz w:val="24"/>
                <w:highlight w:val="none"/>
                <w:lang w:val="en-US" w:eastAsia="zh-CN"/>
              </w:rPr>
              <w:t>23:59</w:t>
            </w:r>
            <w:r>
              <w:rPr>
                <w:rFonts w:hint="eastAsia" w:ascii="Arial" w:hAnsi="Arial" w:cs="Arial"/>
                <w:color w:val="auto"/>
                <w:sz w:val="24"/>
                <w:highlight w:val="none"/>
                <w:lang w:val="zh-CN"/>
              </w:rPr>
              <w:t>，休息日和节假日除外）。</w:t>
            </w:r>
          </w:p>
        </w:tc>
      </w:tr>
      <w:tr w14:paraId="7493BD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21F1C4D">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获取磋商文件方式</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E232070">
            <w:pPr>
              <w:spacing w:line="360" w:lineRule="auto"/>
              <w:jc w:val="left"/>
              <w:rPr>
                <w:rFonts w:hint="default" w:ascii="宋体" w:hAnsi="宋体" w:eastAsia="宋体" w:cs="宋体"/>
                <w:color w:val="auto"/>
                <w:sz w:val="24"/>
                <w:szCs w:val="24"/>
                <w:lang w:val="en-US" w:eastAsia="zh-CN"/>
              </w:rPr>
            </w:pPr>
            <w:r>
              <w:rPr>
                <w:rFonts w:hint="eastAsia" w:ascii="宋体" w:hAnsi="宋体" w:cs="宋体"/>
                <w:color w:val="auto"/>
              </w:rPr>
              <w:t>政采云平台线上获取（供应商登录政采云平台https://www.zcygov.cn/在线申请获取采购文件（进入“项目采购”应用，在获取采购文件菜单中选择项目，申请获取采购文件）</w:t>
            </w:r>
          </w:p>
        </w:tc>
      </w:tr>
      <w:tr w14:paraId="13C13DE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54B7E966">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磋商文件售价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30B26D9">
            <w:pPr>
              <w:spacing w:line="360" w:lineRule="auto"/>
              <w:jc w:val="left"/>
              <w:rPr>
                <w:rFonts w:hint="eastAsia" w:ascii="宋体" w:hAnsi="宋体" w:eastAsia="宋体" w:cs="宋体"/>
                <w:color w:val="auto"/>
                <w:sz w:val="24"/>
                <w:szCs w:val="24"/>
                <w:lang w:val="zh-CN" w:eastAsia="zh-CN"/>
              </w:rPr>
            </w:pPr>
            <w:r>
              <w:rPr>
                <w:rFonts w:ascii="Arial" w:hAnsi="Arial" w:cs="Arial"/>
                <w:color w:val="auto"/>
                <w:sz w:val="24"/>
                <w:highlight w:val="none"/>
              </w:rPr>
              <w:t>人民币</w:t>
            </w:r>
            <w:r>
              <w:rPr>
                <w:rFonts w:hint="eastAsia" w:ascii="Arial" w:hAnsi="Arial" w:cs="Arial"/>
                <w:color w:val="auto"/>
                <w:sz w:val="24"/>
                <w:highlight w:val="none"/>
                <w:lang w:val="en-US" w:eastAsia="zh-CN"/>
              </w:rPr>
              <w:t>0</w:t>
            </w:r>
            <w:r>
              <w:rPr>
                <w:rFonts w:ascii="Arial" w:hAnsi="Arial" w:cs="Arial"/>
                <w:color w:val="auto"/>
                <w:sz w:val="24"/>
                <w:highlight w:val="none"/>
                <w:lang w:val="zh-CN"/>
              </w:rPr>
              <w:t>元（磋商文件售后不退，投标资格不能转让）</w:t>
            </w:r>
          </w:p>
        </w:tc>
      </w:tr>
      <w:tr w14:paraId="5B62F62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95769EA">
            <w:pPr>
              <w:autoSpaceDE w:val="0"/>
              <w:autoSpaceDN w:val="0"/>
              <w:spacing w:line="360" w:lineRule="auto"/>
              <w:jc w:val="both"/>
              <w:rPr>
                <w:rFonts w:hint="eastAsia" w:ascii="宋体" w:hAnsi="宋体" w:eastAsia="宋体" w:cs="宋体"/>
                <w:color w:val="auto"/>
                <w:sz w:val="24"/>
                <w:szCs w:val="24"/>
                <w:lang w:val="zh-CN" w:eastAsia="zh-CN"/>
              </w:rPr>
            </w:pPr>
            <w:r>
              <w:rPr>
                <w:rFonts w:hint="eastAsia" w:ascii="宋体" w:hAnsi="宋体" w:cs="宋体"/>
                <w:color w:val="auto"/>
                <w:lang w:val="zh-CN"/>
              </w:rPr>
              <w:t>获取磋商文件地点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E1B8C23">
            <w:pPr>
              <w:autoSpaceDE w:val="0"/>
              <w:autoSpaceDN w:val="0"/>
              <w:spacing w:line="360" w:lineRule="auto"/>
              <w:jc w:val="left"/>
              <w:rPr>
                <w:rFonts w:hint="eastAsia" w:ascii="宋体" w:hAnsi="宋体" w:eastAsia="宋体" w:cs="宋体"/>
                <w:color w:val="auto"/>
                <w:sz w:val="24"/>
                <w:szCs w:val="24"/>
                <w:lang w:val="zh-CN" w:eastAsia="zh-CN"/>
              </w:rPr>
            </w:pPr>
            <w:r>
              <w:rPr>
                <w:rFonts w:hint="eastAsia" w:ascii="宋体" w:hAnsi="宋体" w:cs="宋体"/>
                <w:b/>
                <w:color w:val="auto"/>
                <w:kern w:val="0"/>
              </w:rPr>
              <w:t>政采云平https://www.zcygov.cn/在线上获取</w:t>
            </w:r>
          </w:p>
        </w:tc>
      </w:tr>
      <w:tr w14:paraId="1BD413F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D3CFB41">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购买磋商文件时应提供材料</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1A75A6D3">
            <w:pPr>
              <w:pStyle w:val="12"/>
              <w:rPr>
                <w:rFonts w:hint="eastAsia"/>
                <w:color w:val="auto"/>
                <w:lang w:val="zh-CN" w:eastAsia="zh-CN"/>
              </w:rPr>
            </w:pPr>
            <w:r>
              <w:rPr>
                <w:rFonts w:hint="eastAsia" w:ascii="宋体" w:hAnsi="宋体" w:eastAsia="宋体" w:cs="宋体"/>
                <w:color w:val="auto"/>
                <w:kern w:val="2"/>
                <w:sz w:val="24"/>
                <w:szCs w:val="24"/>
                <w:lang w:val="zh-CN" w:eastAsia="zh-CN" w:bidi="ar-SA"/>
              </w:rPr>
              <w:t>营业执照副本复印件（加盖单位公章）、法定代表人证明书（含法定代表人身份证复印件）、法定代表人授权书（含委托代理人身份证复印件）（参考</w:t>
            </w:r>
            <w:r>
              <w:rPr>
                <w:rFonts w:hint="eastAsia" w:ascii="宋体" w:hAnsi="宋体" w:cs="宋体"/>
                <w:color w:val="auto"/>
                <w:kern w:val="2"/>
                <w:sz w:val="24"/>
                <w:szCs w:val="24"/>
                <w:lang w:val="zh-CN" w:eastAsia="zh-CN" w:bidi="ar-SA"/>
              </w:rPr>
              <w:t>磋商</w:t>
            </w:r>
            <w:r>
              <w:rPr>
                <w:rFonts w:hint="eastAsia" w:ascii="宋体" w:hAnsi="宋体" w:eastAsia="宋体" w:cs="宋体"/>
                <w:color w:val="auto"/>
                <w:kern w:val="2"/>
                <w:sz w:val="24"/>
                <w:szCs w:val="24"/>
                <w:lang w:val="zh-CN" w:eastAsia="zh-CN" w:bidi="ar-SA"/>
              </w:rPr>
              <w:t>文件格式（2、3））</w:t>
            </w:r>
            <w:r>
              <w:rPr>
                <w:rFonts w:hint="eastAsia" w:ascii="宋体" w:hAnsi="宋体" w:cs="宋体"/>
                <w:b/>
                <w:bCs/>
                <w:color w:val="auto"/>
                <w:kern w:val="0"/>
                <w:sz w:val="24"/>
                <w:lang w:val="zh-CN"/>
              </w:rPr>
              <w:t>请在政采云平台报名时，将以上内容作为附件上传。</w:t>
            </w:r>
          </w:p>
        </w:tc>
      </w:tr>
      <w:tr w14:paraId="1683F09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6020DDE9">
            <w:pPr>
              <w:autoSpaceDE w:val="0"/>
              <w:autoSpaceDN w:val="0"/>
              <w:spacing w:line="360" w:lineRule="auto"/>
              <w:jc w:val="center"/>
              <w:rPr>
                <w:rFonts w:hint="eastAsia" w:ascii="宋体" w:hAnsi="宋体" w:eastAsia="宋体" w:cs="宋体"/>
                <w:color w:val="auto"/>
                <w:sz w:val="24"/>
                <w:szCs w:val="24"/>
                <w:lang w:val="zh-CN" w:eastAsia="zh-CN"/>
              </w:rPr>
            </w:pPr>
            <w:r>
              <w:rPr>
                <w:rFonts w:hint="eastAsia" w:ascii="宋体" w:hAnsi="宋体" w:cs="宋体"/>
                <w:color w:val="auto"/>
                <w:lang w:val="zh-CN"/>
              </w:rPr>
              <w:t>投标截止</w:t>
            </w:r>
            <w:r>
              <w:rPr>
                <w:rFonts w:hint="eastAsia" w:ascii="宋体" w:hAnsi="宋体" w:cs="宋体"/>
                <w:color w:val="auto"/>
              </w:rPr>
              <w:t>及</w:t>
            </w:r>
            <w:r>
              <w:rPr>
                <w:rFonts w:hint="eastAsia" w:ascii="宋体" w:hAnsi="宋体" w:cs="宋体"/>
                <w:color w:val="auto"/>
                <w:lang w:val="zh-CN"/>
              </w:rPr>
              <w:t>开标时间</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6970EEE1">
            <w:pPr>
              <w:autoSpaceDE w:val="0"/>
              <w:autoSpaceDN w:val="0"/>
              <w:spacing w:line="360" w:lineRule="auto"/>
              <w:rPr>
                <w:rFonts w:hint="eastAsia" w:ascii="宋体" w:hAnsi="宋体" w:eastAsia="宋体" w:cs="宋体"/>
                <w:color w:val="auto"/>
                <w:sz w:val="24"/>
                <w:szCs w:val="24"/>
                <w:lang w:val="en-US" w:eastAsia="zh-CN"/>
              </w:rPr>
            </w:pPr>
            <w:r>
              <w:rPr>
                <w:rFonts w:hint="eastAsia" w:ascii="宋体" w:hAnsi="宋体" w:cs="宋体"/>
                <w:color w:val="auto"/>
                <w:lang w:val="zh-CN"/>
              </w:rPr>
              <w:t>2024年09月</w:t>
            </w:r>
            <w:r>
              <w:rPr>
                <w:rFonts w:hint="eastAsia" w:ascii="宋体" w:hAnsi="宋体" w:cs="宋体"/>
                <w:color w:val="auto"/>
                <w:lang w:val="en-US" w:eastAsia="zh-CN"/>
              </w:rPr>
              <w:t>30</w:t>
            </w:r>
            <w:r>
              <w:rPr>
                <w:rFonts w:hint="eastAsia" w:ascii="宋体" w:hAnsi="宋体" w:cs="宋体"/>
                <w:color w:val="auto"/>
                <w:lang w:val="zh-CN"/>
              </w:rPr>
              <w:t>日上午09时30分（北京时间）</w:t>
            </w:r>
          </w:p>
        </w:tc>
      </w:tr>
      <w:tr w14:paraId="438A261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55B79257">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磋商及开标地点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7646FCA">
            <w:pPr>
              <w:spacing w:line="360" w:lineRule="auto"/>
              <w:rPr>
                <w:rFonts w:hint="eastAsia" w:ascii="宋体" w:hAnsi="宋体" w:eastAsia="宋体" w:cs="宋体"/>
                <w:color w:val="auto"/>
                <w:sz w:val="24"/>
                <w:szCs w:val="24"/>
                <w:lang w:val="en-US" w:eastAsia="zh-CN"/>
              </w:rPr>
            </w:pPr>
            <w:r>
              <w:rPr>
                <w:rFonts w:hint="eastAsia" w:ascii="Arial" w:hAnsi="Arial" w:cs="Arial"/>
                <w:b/>
                <w:bCs/>
                <w:color w:val="auto"/>
                <w:sz w:val="24"/>
                <w:highlight w:val="none"/>
                <w:lang w:eastAsia="zh-CN"/>
              </w:rPr>
              <w:t>青海省西宁市城西区西川南路76号万达1号写字楼11614室</w:t>
            </w:r>
            <w:r>
              <w:rPr>
                <w:rFonts w:hint="eastAsia" w:ascii="Arial" w:hAnsi="Arial" w:eastAsia="宋体" w:cs="Arial"/>
                <w:b/>
                <w:bCs/>
                <w:color w:val="auto"/>
                <w:sz w:val="24"/>
                <w:highlight w:val="none"/>
                <w:lang w:eastAsia="zh-CN"/>
              </w:rPr>
              <w:t>（投标：政采云服务平台）</w:t>
            </w:r>
          </w:p>
        </w:tc>
      </w:tr>
      <w:tr w14:paraId="6C3D4CD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2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AF4128A">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采购人及联系人</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C81DD54">
            <w:pPr>
              <w:spacing w:line="360" w:lineRule="auto"/>
              <w:rPr>
                <w:rStyle w:val="102"/>
                <w:rFonts w:hint="eastAsia" w:ascii="宋体" w:hAnsi="宋体" w:eastAsia="宋体" w:cs="宋体"/>
                <w:color w:val="auto"/>
                <w:sz w:val="24"/>
                <w:highlight w:val="none"/>
                <w:shd w:val="clear" w:color="auto" w:fill="FFFFFF"/>
                <w:lang w:eastAsia="zh-CN"/>
              </w:rPr>
            </w:pPr>
            <w:r>
              <w:rPr>
                <w:rFonts w:hint="eastAsia" w:ascii="宋体" w:hAnsi="宋体" w:cs="宋体"/>
                <w:color w:val="auto"/>
                <w:sz w:val="24"/>
                <w:highlight w:val="none"/>
              </w:rPr>
              <w:t>采购人：</w:t>
            </w:r>
            <w:r>
              <w:rPr>
                <w:rFonts w:hint="eastAsia" w:ascii="宋体" w:hAnsi="宋体" w:cs="宋体"/>
                <w:color w:val="auto"/>
                <w:sz w:val="24"/>
                <w:highlight w:val="none"/>
                <w:lang w:eastAsia="zh-CN"/>
              </w:rPr>
              <w:t>玉树州职业技术学校</w:t>
            </w:r>
          </w:p>
          <w:p w14:paraId="5F76976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扎主任</w:t>
            </w:r>
          </w:p>
          <w:p w14:paraId="013BCEDA">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cs="宋体"/>
                <w:color w:val="auto"/>
                <w:sz w:val="24"/>
                <w:highlight w:val="none"/>
                <w:lang w:val="en-US" w:eastAsia="zh-CN"/>
              </w:rPr>
              <w:t>14797661118</w:t>
            </w:r>
          </w:p>
          <w:p w14:paraId="0432BED6">
            <w:pPr>
              <w:spacing w:line="360" w:lineRule="auto"/>
              <w:rPr>
                <w:rFonts w:hint="eastAsia" w:ascii="宋体" w:hAnsi="宋体" w:eastAsia="宋体" w:cs="宋体"/>
                <w:color w:val="auto"/>
                <w:sz w:val="24"/>
                <w:szCs w:val="24"/>
                <w:lang w:val="en-US" w:eastAsia="zh-CN"/>
              </w:rPr>
            </w:pPr>
            <w:r>
              <w:rPr>
                <w:rFonts w:hint="eastAsia" w:ascii="宋体" w:hAnsi="宋体" w:cs="宋体"/>
                <w:color w:val="auto"/>
                <w:sz w:val="24"/>
                <w:highlight w:val="none"/>
              </w:rPr>
              <w:t>联系地址：</w:t>
            </w:r>
            <w:r>
              <w:rPr>
                <w:rFonts w:hint="eastAsia" w:ascii="宋体" w:hAnsi="宋体" w:cs="宋体"/>
                <w:color w:val="auto"/>
                <w:sz w:val="24"/>
                <w:highlight w:val="none"/>
                <w:lang w:eastAsia="zh-CN"/>
              </w:rPr>
              <w:t>玉树州结古镇新建路</w:t>
            </w:r>
          </w:p>
        </w:tc>
      </w:tr>
      <w:tr w14:paraId="028BD0C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2171"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53FB7F3">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采购代理机构及</w:t>
            </w:r>
          </w:p>
          <w:p w14:paraId="7D31B1AF">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联系人电话</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01B08069">
            <w:pPr>
              <w:spacing w:line="360" w:lineRule="auto"/>
              <w:rPr>
                <w:rFonts w:hint="eastAsia" w:ascii="Arial" w:hAnsi="Arial" w:eastAsia="宋体" w:cs="Arial"/>
                <w:color w:val="auto"/>
                <w:sz w:val="24"/>
                <w:highlight w:val="none"/>
                <w:lang w:eastAsia="zh-CN"/>
              </w:rPr>
            </w:pPr>
            <w:r>
              <w:rPr>
                <w:rFonts w:ascii="Arial" w:hAnsi="Arial" w:cs="Arial"/>
                <w:color w:val="auto"/>
                <w:sz w:val="24"/>
                <w:highlight w:val="none"/>
              </w:rPr>
              <w:t>采购代理机构：</w:t>
            </w:r>
            <w:r>
              <w:rPr>
                <w:rFonts w:hint="eastAsia" w:ascii="Arial" w:hAnsi="Arial" w:cs="Arial"/>
                <w:color w:val="auto"/>
                <w:sz w:val="24"/>
                <w:highlight w:val="none"/>
                <w:lang w:eastAsia="zh-CN"/>
              </w:rPr>
              <w:t>青海雅辉工程项目管理有限公司</w:t>
            </w:r>
          </w:p>
          <w:p w14:paraId="259DDF22">
            <w:pPr>
              <w:spacing w:line="360" w:lineRule="auto"/>
              <w:rPr>
                <w:rFonts w:ascii="Arial" w:hAnsi="Arial" w:cs="Arial"/>
                <w:color w:val="auto"/>
                <w:sz w:val="24"/>
                <w:highlight w:val="none"/>
              </w:rPr>
            </w:pPr>
            <w:r>
              <w:rPr>
                <w:rFonts w:ascii="Arial" w:hAnsi="Arial" w:cs="Arial"/>
                <w:color w:val="auto"/>
                <w:sz w:val="24"/>
                <w:highlight w:val="none"/>
              </w:rPr>
              <w:t>联 系 人：</w:t>
            </w:r>
            <w:r>
              <w:rPr>
                <w:rFonts w:hint="eastAsia" w:ascii="Arial" w:hAnsi="Arial" w:cs="Arial"/>
                <w:color w:val="auto"/>
                <w:sz w:val="24"/>
                <w:highlight w:val="none"/>
                <w:lang w:val="en-US" w:eastAsia="zh-CN"/>
              </w:rPr>
              <w:t>董老师</w:t>
            </w:r>
          </w:p>
          <w:p w14:paraId="039ABA1D">
            <w:pPr>
              <w:spacing w:line="360" w:lineRule="auto"/>
              <w:rPr>
                <w:rFonts w:hint="default" w:ascii="Arial" w:hAnsi="Arial" w:eastAsia="宋体" w:cs="Arial"/>
                <w:color w:val="auto"/>
                <w:sz w:val="24"/>
                <w:highlight w:val="none"/>
                <w:lang w:val="en-US" w:eastAsia="zh-CN"/>
              </w:rPr>
            </w:pPr>
            <w:r>
              <w:rPr>
                <w:rFonts w:ascii="Arial" w:hAnsi="Arial" w:cs="Arial"/>
                <w:color w:val="auto"/>
                <w:sz w:val="24"/>
                <w:highlight w:val="none"/>
              </w:rPr>
              <w:t>联系电话：</w:t>
            </w:r>
            <w:r>
              <w:rPr>
                <w:rFonts w:hint="eastAsia" w:ascii="Arial" w:hAnsi="Arial" w:cs="Arial"/>
                <w:color w:val="auto"/>
                <w:sz w:val="24"/>
                <w:highlight w:val="none"/>
                <w:lang w:val="en-US" w:eastAsia="zh-CN"/>
              </w:rPr>
              <w:t>18095786255</w:t>
            </w:r>
          </w:p>
          <w:p w14:paraId="4C8B23CC">
            <w:pPr>
              <w:spacing w:line="360" w:lineRule="auto"/>
              <w:rPr>
                <w:rFonts w:hint="eastAsia" w:ascii="Arial" w:hAnsi="Arial" w:eastAsia="宋体" w:cs="Arial"/>
                <w:color w:val="auto"/>
                <w:sz w:val="24"/>
                <w:highlight w:val="none"/>
                <w:lang w:eastAsia="zh-CN"/>
              </w:rPr>
            </w:pPr>
            <w:r>
              <w:rPr>
                <w:rFonts w:ascii="Arial" w:hAnsi="Arial" w:cs="Arial"/>
                <w:color w:val="auto"/>
                <w:sz w:val="24"/>
                <w:highlight w:val="none"/>
              </w:rPr>
              <w:t>邮箱地址：</w:t>
            </w:r>
            <w:r>
              <w:rPr>
                <w:rFonts w:hint="eastAsia" w:ascii="Arial" w:hAnsi="Arial" w:cs="Arial"/>
                <w:color w:val="auto"/>
                <w:sz w:val="24"/>
                <w:highlight w:val="none"/>
                <w:lang w:eastAsia="zh-CN"/>
              </w:rPr>
              <w:t>qhyh888@126.com</w:t>
            </w:r>
          </w:p>
          <w:p w14:paraId="14B00E93">
            <w:pPr>
              <w:spacing w:line="360" w:lineRule="auto"/>
              <w:rPr>
                <w:rFonts w:hint="eastAsia" w:ascii="宋体" w:hAnsi="宋体" w:eastAsia="宋体" w:cs="宋体"/>
                <w:color w:val="auto"/>
                <w:sz w:val="24"/>
                <w:szCs w:val="24"/>
                <w:lang w:val="zh-CN" w:eastAsia="zh-CN"/>
              </w:rPr>
            </w:pPr>
            <w:r>
              <w:rPr>
                <w:rFonts w:ascii="Arial" w:hAnsi="Arial" w:cs="Arial"/>
                <w:color w:val="auto"/>
                <w:sz w:val="24"/>
                <w:highlight w:val="none"/>
              </w:rPr>
              <w:t>联系地址：</w:t>
            </w:r>
            <w:r>
              <w:rPr>
                <w:rFonts w:hint="eastAsia" w:ascii="Arial" w:hAnsi="Arial" w:cs="Arial"/>
                <w:color w:val="auto"/>
                <w:sz w:val="24"/>
                <w:highlight w:val="none"/>
                <w:lang w:val="zh-CN"/>
              </w:rPr>
              <w:t>青海省西宁市城西区西川南路76号万达1号写字楼11614室</w:t>
            </w:r>
          </w:p>
        </w:tc>
      </w:tr>
      <w:tr w14:paraId="2AF2E01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E69BD5C">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采购代理机构开户银行</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D8917C5">
            <w:pPr>
              <w:spacing w:line="360" w:lineRule="auto"/>
              <w:rPr>
                <w:rFonts w:hint="eastAsia" w:ascii="宋体" w:hAnsi="宋体" w:eastAsia="宋体" w:cs="宋体"/>
                <w:color w:val="auto"/>
                <w:sz w:val="24"/>
                <w:szCs w:val="24"/>
                <w:lang w:val="zh-CN" w:eastAsia="zh-CN"/>
              </w:rPr>
            </w:pPr>
            <w:r>
              <w:rPr>
                <w:rFonts w:hint="eastAsia" w:ascii="Arial" w:hAnsi="Arial" w:cs="Arial"/>
                <w:color w:val="auto"/>
                <w:sz w:val="24"/>
                <w:highlight w:val="none"/>
                <w:lang w:eastAsia="zh-CN"/>
              </w:rPr>
              <w:t>招商银行股份有限公司西宁分行</w:t>
            </w:r>
          </w:p>
        </w:tc>
      </w:tr>
      <w:tr w14:paraId="735C64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5448578">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收款人</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2ECA41D5">
            <w:pPr>
              <w:spacing w:line="360" w:lineRule="auto"/>
              <w:rPr>
                <w:rFonts w:hint="eastAsia" w:ascii="宋体" w:hAnsi="宋体" w:eastAsia="宋体" w:cs="宋体"/>
                <w:color w:val="auto"/>
                <w:sz w:val="24"/>
                <w:szCs w:val="24"/>
                <w:lang w:val="zh-CN" w:eastAsia="zh-CN"/>
              </w:rPr>
            </w:pPr>
            <w:r>
              <w:rPr>
                <w:rFonts w:hint="eastAsia" w:ascii="Arial" w:hAnsi="Arial" w:cs="Arial"/>
                <w:color w:val="auto"/>
                <w:sz w:val="24"/>
                <w:highlight w:val="none"/>
                <w:lang w:eastAsia="zh-CN"/>
              </w:rPr>
              <w:t>青海雅辉工程项目管理有限公司</w:t>
            </w:r>
          </w:p>
        </w:tc>
      </w:tr>
      <w:tr w14:paraId="28EF13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4FC95ECE">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银行账号</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5025CD6B">
            <w:pPr>
              <w:pStyle w:val="35"/>
              <w:spacing w:before="0" w:beforeAutospacing="0" w:after="0" w:afterAutospacing="0" w:line="360" w:lineRule="auto"/>
              <w:rPr>
                <w:rFonts w:hint="eastAsia" w:ascii="宋体" w:hAnsi="宋体" w:eastAsia="宋体" w:cs="宋体"/>
                <w:color w:val="auto"/>
                <w:sz w:val="24"/>
                <w:szCs w:val="24"/>
                <w:lang w:val="zh-CN" w:eastAsia="zh-CN"/>
              </w:rPr>
            </w:pPr>
            <w:r>
              <w:rPr>
                <w:rFonts w:hint="eastAsia"/>
                <w:color w:val="auto"/>
                <w:lang w:eastAsia="zh-CN"/>
              </w:rPr>
              <w:t>972901579810901</w:t>
            </w:r>
          </w:p>
        </w:tc>
      </w:tr>
      <w:tr w14:paraId="5425A5D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29FB31CC">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highlight w:val="none"/>
                <w:lang w:val="zh-CN" w:eastAsia="zh-CN"/>
              </w:rPr>
              <w:t>其他事项</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70BF8529">
            <w:pPr>
              <w:autoSpaceDE w:val="0"/>
              <w:autoSpaceDN w:val="0"/>
              <w:spacing w:line="360" w:lineRule="auto"/>
              <w:rPr>
                <w:rFonts w:hint="eastAsia" w:ascii="宋体" w:hAnsi="宋体" w:eastAsia="宋体" w:cs="宋体"/>
                <w:bCs/>
                <w:color w:val="auto"/>
                <w:sz w:val="24"/>
                <w:szCs w:val="24"/>
                <w:highlight w:val="none"/>
                <w:lang w:val="zh-CN"/>
              </w:rPr>
            </w:pPr>
            <w:r>
              <w:rPr>
                <w:rFonts w:hint="eastAsia"/>
                <w:color w:val="auto"/>
                <w:lang w:val="en-US" w:eastAsia="zh-CN"/>
              </w:rPr>
              <w:t>1.</w:t>
            </w:r>
            <w:r>
              <w:rPr>
                <w:rFonts w:hint="eastAsia"/>
                <w:color w:val="auto"/>
                <w:lang w:val="zh-CN"/>
              </w:rPr>
              <w:t>本项目磋商公告在青海政府采购网、青海省电子招标投标</w:t>
            </w:r>
            <w:r>
              <w:rPr>
                <w:rFonts w:hint="eastAsia" w:ascii="宋体" w:hAnsi="宋体" w:eastAsia="宋体" w:cs="宋体"/>
                <w:bCs/>
                <w:color w:val="auto"/>
                <w:sz w:val="24"/>
                <w:szCs w:val="24"/>
                <w:highlight w:val="none"/>
                <w:lang w:val="zh-CN"/>
              </w:rPr>
              <w:t>公共服务平台同时发布</w:t>
            </w:r>
            <w:r>
              <w:rPr>
                <w:rFonts w:hint="eastAsia" w:ascii="宋体" w:hAnsi="宋体" w:cs="宋体"/>
                <w:bCs/>
                <w:color w:val="auto"/>
                <w:sz w:val="24"/>
                <w:szCs w:val="24"/>
                <w:highlight w:val="none"/>
                <w:lang w:val="zh-CN"/>
              </w:rPr>
              <w:t>。</w:t>
            </w:r>
          </w:p>
          <w:p w14:paraId="3D79BF0E">
            <w:pPr>
              <w:autoSpaceDE w:val="0"/>
              <w:autoSpaceDN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rPr>
              <w:t>公告期限：自青海政府采购网发布之日起5个工作日，公告内容以青海政府采购网发布的为准。</w:t>
            </w:r>
          </w:p>
          <w:p w14:paraId="00655F4C">
            <w:pPr>
              <w:autoSpaceDE w:val="0"/>
              <w:autoSpaceDN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若对政采云（https://www.zcygov.cn/）系统操作有疑问，可登录政采云（https://www.zcygov.cn/），点击右侧咨询小采，获取采小蜜智能服务管家帮助，或拨打政采云服务热线</w:t>
            </w:r>
            <w:r>
              <w:rPr>
                <w:rFonts w:hint="eastAsia" w:ascii="宋体" w:hAnsi="宋体" w:cs="宋体"/>
                <w:bCs/>
                <w:color w:val="auto"/>
                <w:sz w:val="24"/>
                <w:szCs w:val="24"/>
                <w:highlight w:val="none"/>
                <w:lang w:val="zh-CN"/>
              </w:rPr>
              <w:t>95763</w:t>
            </w:r>
            <w:r>
              <w:rPr>
                <w:rFonts w:hint="eastAsia" w:ascii="宋体" w:hAnsi="宋体" w:eastAsia="宋体" w:cs="宋体"/>
                <w:bCs/>
                <w:color w:val="auto"/>
                <w:sz w:val="24"/>
                <w:szCs w:val="24"/>
                <w:highlight w:val="none"/>
                <w:lang w:val="zh-CN"/>
              </w:rPr>
              <w:t>获取热线服务帮助。 CA问题联系电话（人工）；</w:t>
            </w:r>
            <w:r>
              <w:rPr>
                <w:rFonts w:hint="eastAsia" w:ascii="宋体" w:hAnsi="宋体" w:cs="宋体"/>
                <w:bCs/>
                <w:color w:val="auto"/>
                <w:sz w:val="24"/>
                <w:szCs w:val="24"/>
                <w:highlight w:val="none"/>
                <w:lang w:val="zh-CN"/>
              </w:rPr>
              <w:t>天谷CA 400-0878-198</w:t>
            </w:r>
            <w:r>
              <w:rPr>
                <w:rFonts w:hint="eastAsia" w:ascii="宋体" w:hAnsi="宋体" w:eastAsia="宋体" w:cs="宋体"/>
                <w:bCs/>
                <w:color w:val="auto"/>
                <w:sz w:val="24"/>
                <w:szCs w:val="24"/>
                <w:highlight w:val="none"/>
                <w:lang w:val="zh-CN"/>
              </w:rPr>
              <w:t>。</w:t>
            </w:r>
          </w:p>
          <w:p w14:paraId="615034E3">
            <w:p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4.本次</w:t>
            </w:r>
            <w:r>
              <w:rPr>
                <w:rFonts w:hint="eastAsia" w:ascii="宋体" w:hAnsi="宋体" w:cs="宋体"/>
                <w:bCs/>
                <w:color w:val="auto"/>
                <w:sz w:val="24"/>
                <w:szCs w:val="24"/>
                <w:highlight w:val="none"/>
                <w:lang w:val="en-US" w:eastAsia="zh-CN"/>
              </w:rPr>
              <w:t>磋商</w:t>
            </w:r>
            <w:r>
              <w:rPr>
                <w:rFonts w:hint="eastAsia" w:ascii="宋体" w:hAnsi="宋体" w:eastAsia="宋体" w:cs="宋体"/>
                <w:bCs/>
                <w:color w:val="auto"/>
                <w:sz w:val="24"/>
                <w:szCs w:val="24"/>
                <w:highlight w:val="none"/>
                <w:lang w:val="en-US" w:eastAsia="zh-CN"/>
              </w:rPr>
              <w:t>采用线上提交投标文件的方式进行评审，线上投标文件必须在投标文件递交截止时间前上传政采云平台。</w:t>
            </w:r>
          </w:p>
          <w:p w14:paraId="3BD9979C">
            <w:pPr>
              <w:spacing w:line="36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5.成交供应商领取成交通知书时应提交纸质响应文件（1份 正本、2份副本和相应的电子文档（U盘）1份），纸质响应文件应与上传至政府采购云平台加密的电子响应文件一致，书脊处打上项目名称。每份响应文件都必须清楚地标明“正本 ”或“副本 ”字样。响应文件统一使用A4幅面的纸张印制，必须胶装成册并编码，鼓励采用双面打印。</w:t>
            </w:r>
          </w:p>
        </w:tc>
      </w:tr>
      <w:tr w14:paraId="79E820A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96" w:hRule="atLeast"/>
          <w:jc w:val="center"/>
        </w:trPr>
        <w:tc>
          <w:tcPr>
            <w:tcW w:w="2361" w:type="dxa"/>
            <w:tcBorders>
              <w:top w:val="outset" w:color="000000" w:sz="6" w:space="0"/>
              <w:left w:val="outset" w:color="000000" w:sz="6" w:space="0"/>
              <w:bottom w:val="outset" w:color="000000" w:sz="6" w:space="0"/>
              <w:right w:val="outset" w:color="000000" w:sz="6" w:space="0"/>
            </w:tcBorders>
            <w:noWrap w:val="0"/>
            <w:vAlign w:val="center"/>
          </w:tcPr>
          <w:p w14:paraId="3BE362FD">
            <w:pPr>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财政部门监督电话</w:t>
            </w:r>
          </w:p>
        </w:tc>
        <w:tc>
          <w:tcPr>
            <w:tcW w:w="8242" w:type="dxa"/>
            <w:tcBorders>
              <w:top w:val="outset" w:color="000000" w:sz="6" w:space="0"/>
              <w:left w:val="outset" w:color="000000" w:sz="6" w:space="0"/>
              <w:bottom w:val="outset" w:color="000000" w:sz="6" w:space="0"/>
              <w:right w:val="outset" w:color="000000" w:sz="6" w:space="0"/>
            </w:tcBorders>
            <w:noWrap w:val="0"/>
            <w:vAlign w:val="center"/>
          </w:tcPr>
          <w:p w14:paraId="3E0CB4DD">
            <w:pPr>
              <w:keepNext w:val="0"/>
              <w:keepLines w:val="0"/>
              <w:widowControl/>
              <w:suppressLineNumbers w:val="0"/>
              <w:jc w:val="left"/>
              <w:rPr>
                <w:rFonts w:hint="eastAsia" w:ascii="宋体" w:hAnsi="宋体" w:cs="Arial"/>
                <w:color w:val="auto"/>
                <w:sz w:val="24"/>
                <w:highlight w:val="none"/>
              </w:rPr>
            </w:pPr>
            <w:r>
              <w:rPr>
                <w:rFonts w:hint="eastAsia" w:ascii="宋体" w:hAnsi="宋体" w:cs="Arial"/>
                <w:color w:val="auto"/>
                <w:sz w:val="24"/>
                <w:highlight w:val="none"/>
              </w:rPr>
              <w:t>监督单位：</w:t>
            </w:r>
            <w:r>
              <w:rPr>
                <w:rFonts w:hint="eastAsia" w:ascii="宋体" w:hAnsi="宋体" w:eastAsia="宋体" w:cs="宋体"/>
                <w:b w:val="0"/>
                <w:bCs w:val="0"/>
                <w:color w:val="auto"/>
                <w:sz w:val="24"/>
                <w:szCs w:val="24"/>
                <w:highlight w:val="none"/>
                <w:lang w:val="en-US" w:eastAsia="zh-CN"/>
              </w:rPr>
              <w:t>玉树藏族自治州财政局</w:t>
            </w:r>
          </w:p>
          <w:p w14:paraId="1C343C49">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cs="Arial"/>
                <w:color w:val="auto"/>
                <w:sz w:val="24"/>
                <w:highlight w:val="none"/>
              </w:rPr>
              <w:t>联系电话</w:t>
            </w:r>
            <w:r>
              <w:rPr>
                <w:rFonts w:hint="eastAsia" w:ascii="宋体" w:hAnsi="宋体" w:cs="Arial"/>
                <w:color w:val="auto"/>
                <w:sz w:val="24"/>
                <w:highlight w:val="none"/>
                <w:lang w:val="en-US" w:eastAsia="zh-CN"/>
              </w:rPr>
              <w:t>：</w:t>
            </w:r>
            <w:r>
              <w:rPr>
                <w:rFonts w:hint="eastAsia" w:ascii="宋体" w:hAnsi="宋体" w:eastAsia="宋体" w:cs="宋体"/>
                <w:b w:val="0"/>
                <w:bCs w:val="0"/>
                <w:color w:val="auto"/>
                <w:sz w:val="24"/>
                <w:szCs w:val="24"/>
                <w:highlight w:val="none"/>
                <w:lang w:val="en-US" w:eastAsia="zh-CN"/>
              </w:rPr>
              <w:t>0976-8830733</w:t>
            </w:r>
          </w:p>
        </w:tc>
      </w:tr>
    </w:tbl>
    <w:p w14:paraId="3E55E0E9">
      <w:pPr>
        <w:adjustRightInd w:val="0"/>
        <w:spacing w:line="360" w:lineRule="auto"/>
        <w:jc w:val="right"/>
        <w:textAlignment w:val="baseline"/>
        <w:rPr>
          <w:rFonts w:hint="default" w:ascii="宋体" w:hAnsi="宋体" w:eastAsia="宋体" w:cs="宋体"/>
          <w:color w:val="auto"/>
          <w:sz w:val="24"/>
          <w:lang w:val="en-US" w:eastAsia="zh-CN"/>
        </w:rPr>
      </w:pPr>
      <w:r>
        <w:rPr>
          <w:rFonts w:hint="eastAsia" w:ascii="宋体" w:hAnsi="宋体" w:cs="宋体"/>
          <w:color w:val="auto"/>
          <w:sz w:val="24"/>
          <w:lang w:val="en-US" w:eastAsia="zh-CN"/>
        </w:rPr>
        <w:t>2024年09月19日</w:t>
      </w:r>
    </w:p>
    <w:p w14:paraId="522AD158">
      <w:pPr>
        <w:pStyle w:val="29"/>
        <w:spacing w:before="0" w:after="0" w:line="360" w:lineRule="auto"/>
        <w:outlineLvl w:val="0"/>
        <w:rPr>
          <w:rFonts w:hint="eastAsia" w:ascii="宋体" w:hAnsi="宋体" w:cs="宋体"/>
          <w:color w:val="auto"/>
          <w:sz w:val="24"/>
        </w:rPr>
        <w:sectPr>
          <w:footerReference r:id="rId10" w:type="first"/>
          <w:footerReference r:id="rId9"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start="1"/>
          <w:cols w:space="720" w:num="1"/>
          <w:titlePg/>
          <w:docGrid w:linePitch="312" w:charSpace="0"/>
        </w:sectPr>
      </w:pPr>
    </w:p>
    <w:p w14:paraId="6AE5F6F4">
      <w:pPr>
        <w:pStyle w:val="29"/>
        <w:spacing w:before="0" w:after="0" w:line="360" w:lineRule="auto"/>
        <w:ind w:firstLine="2617" w:firstLineChars="543"/>
        <w:jc w:val="both"/>
        <w:outlineLvl w:val="0"/>
        <w:rPr>
          <w:rFonts w:hint="eastAsia" w:ascii="宋体" w:hAnsi="宋体" w:cs="宋体"/>
          <w:color w:val="auto"/>
          <w:sz w:val="48"/>
          <w:lang w:val="zh-CN"/>
        </w:rPr>
      </w:pPr>
      <w:bookmarkStart w:id="13" w:name="_Toc444715733"/>
      <w:bookmarkStart w:id="14" w:name="_Toc1414"/>
      <w:bookmarkStart w:id="15" w:name="_Toc16727"/>
      <w:r>
        <w:rPr>
          <w:rFonts w:hint="eastAsia" w:ascii="宋体" w:hAnsi="宋体" w:cs="宋体"/>
          <w:color w:val="auto"/>
          <w:sz w:val="48"/>
        </w:rPr>
        <w:t>第二部分  供应商须知前附表</w:t>
      </w:r>
      <w:bookmarkEnd w:id="13"/>
      <w:bookmarkEnd w:id="14"/>
      <w:bookmarkEnd w:id="15"/>
    </w:p>
    <w:tbl>
      <w:tblPr>
        <w:tblStyle w:val="40"/>
        <w:tblW w:w="10433" w:type="dxa"/>
        <w:jc w:val="center"/>
        <w:tblLayout w:type="fixed"/>
        <w:tblCellMar>
          <w:top w:w="0" w:type="dxa"/>
          <w:left w:w="57" w:type="dxa"/>
          <w:bottom w:w="0" w:type="dxa"/>
          <w:right w:w="57" w:type="dxa"/>
        </w:tblCellMar>
      </w:tblPr>
      <w:tblGrid>
        <w:gridCol w:w="653"/>
        <w:gridCol w:w="2569"/>
        <w:gridCol w:w="7211"/>
      </w:tblGrid>
      <w:tr w14:paraId="69B60A3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B652324">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bCs/>
                <w:color w:val="auto"/>
                <w:kern w:val="0"/>
                <w:sz w:val="24"/>
                <w:lang w:val="zh-CN"/>
              </w:rPr>
              <w:t>序号</w:t>
            </w:r>
          </w:p>
        </w:tc>
        <w:tc>
          <w:tcPr>
            <w:tcW w:w="9780" w:type="dxa"/>
            <w:gridSpan w:val="2"/>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417AF3">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bCs/>
                <w:color w:val="auto"/>
                <w:kern w:val="0"/>
                <w:sz w:val="24"/>
                <w:lang w:val="zh-CN"/>
              </w:rPr>
              <w:t>内容</w:t>
            </w:r>
          </w:p>
        </w:tc>
      </w:tr>
      <w:tr w14:paraId="1BCDC444">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A37DE2">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5BC72A">
            <w:pPr>
              <w:autoSpaceDE w:val="0"/>
              <w:autoSpaceDN w:val="0"/>
              <w:spacing w:line="360" w:lineRule="auto"/>
              <w:jc w:val="center"/>
              <w:rPr>
                <w:rFonts w:hint="eastAsia" w:ascii="宋体" w:hAnsi="宋体" w:eastAsia="宋体" w:cs="宋体"/>
                <w:bCs/>
                <w:color w:val="auto"/>
                <w:kern w:val="0"/>
                <w:sz w:val="24"/>
                <w:lang w:val="en-US" w:eastAsia="zh-CN"/>
              </w:rPr>
            </w:pPr>
            <w:r>
              <w:rPr>
                <w:rFonts w:hint="eastAsia" w:ascii="宋体" w:hAnsi="宋体" w:cs="宋体"/>
                <w:color w:val="auto"/>
                <w:sz w:val="24"/>
              </w:rPr>
              <w:t>采购项目编号</w:t>
            </w:r>
            <w:r>
              <w:rPr>
                <w:rFonts w:hint="eastAsia" w:ascii="宋体" w:hAnsi="宋体" w:cs="宋体"/>
                <w:color w:val="auto"/>
                <w:sz w:val="24"/>
                <w:lang w:val="en-US" w:eastAsia="zh-CN"/>
              </w:rPr>
              <w:t>/包号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1BAE605">
            <w:pPr>
              <w:autoSpaceDE w:val="0"/>
              <w:autoSpaceDN w:val="0"/>
              <w:spacing w:line="360" w:lineRule="auto"/>
              <w:rPr>
                <w:rFonts w:hint="eastAsia" w:ascii="宋体" w:hAnsi="宋体" w:cs="宋体"/>
                <w:color w:val="auto"/>
                <w:kern w:val="0"/>
                <w:sz w:val="24"/>
              </w:rPr>
            </w:pPr>
            <w:r>
              <w:rPr>
                <w:rFonts w:hint="eastAsia" w:ascii="宋体" w:hAnsi="宋体" w:cs="宋体"/>
                <w:color w:val="auto"/>
                <w:sz w:val="24"/>
                <w:lang w:eastAsia="zh-CN"/>
              </w:rPr>
              <w:t>青海雅辉竞磋（货物）2024-006</w:t>
            </w:r>
          </w:p>
        </w:tc>
      </w:tr>
      <w:tr w14:paraId="1F1B498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56CD5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A4500E">
            <w:pPr>
              <w:autoSpaceDE w:val="0"/>
              <w:autoSpaceDN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备案编号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47CA84C">
            <w:pPr>
              <w:autoSpaceDE w:val="0"/>
              <w:autoSpaceDN w:val="0"/>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BUYPLANSP[2024]00105</w:t>
            </w:r>
          </w:p>
        </w:tc>
      </w:tr>
      <w:tr w14:paraId="798D378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7651768">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40F2E05">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采购项目名称</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EB3A429">
            <w:pPr>
              <w:autoSpaceDE w:val="0"/>
              <w:autoSpaceDN w:val="0"/>
              <w:spacing w:line="360" w:lineRule="auto"/>
              <w:rPr>
                <w:rFonts w:hint="eastAsia" w:ascii="宋体" w:hAnsi="宋体" w:eastAsia="宋体" w:cs="宋体"/>
                <w:color w:val="auto"/>
                <w:kern w:val="0"/>
                <w:sz w:val="24"/>
                <w:lang w:val="zh-CN" w:eastAsia="zh-CN"/>
              </w:rPr>
            </w:pPr>
            <w:r>
              <w:rPr>
                <w:rFonts w:hint="eastAsia" w:ascii="宋体" w:hAnsi="宋体" w:cs="宋体"/>
                <w:b w:val="0"/>
                <w:bCs/>
                <w:color w:val="auto"/>
                <w:sz w:val="24"/>
                <w:szCs w:val="24"/>
                <w:lang w:val="en-US" w:eastAsia="zh-CN"/>
              </w:rPr>
              <w:t>玉树州职业技术学校民族服装与服饰专业建设项目</w:t>
            </w:r>
          </w:p>
        </w:tc>
      </w:tr>
      <w:tr w14:paraId="0DB72B7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B57D1D8">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955068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采购人</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289C02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highlight w:val="none"/>
                <w:lang w:eastAsia="zh-CN"/>
              </w:rPr>
              <w:t>玉树州职业技术学校</w:t>
            </w:r>
          </w:p>
        </w:tc>
      </w:tr>
      <w:tr w14:paraId="30D49EE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374A73B">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00B18B4">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采购代理机构</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0CA6E53">
            <w:pPr>
              <w:autoSpaceDE w:val="0"/>
              <w:autoSpaceDN w:val="0"/>
              <w:spacing w:line="360" w:lineRule="auto"/>
              <w:rPr>
                <w:rFonts w:hint="eastAsia" w:ascii="宋体" w:hAnsi="宋体" w:eastAsia="宋体" w:cs="宋体"/>
                <w:color w:val="auto"/>
                <w:kern w:val="0"/>
                <w:sz w:val="24"/>
                <w:lang w:val="zh-CN" w:eastAsia="zh-CN"/>
              </w:rPr>
            </w:pPr>
            <w:r>
              <w:rPr>
                <w:rFonts w:hint="eastAsia" w:ascii="宋体" w:hAnsi="宋体" w:cs="宋体"/>
                <w:color w:val="auto"/>
                <w:sz w:val="24"/>
                <w:lang w:eastAsia="zh-CN"/>
              </w:rPr>
              <w:t>青海雅辉工程项目管理有限公司</w:t>
            </w:r>
          </w:p>
        </w:tc>
      </w:tr>
      <w:tr w14:paraId="68A4F9E0">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A29BB9">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0DE051B">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378F01F">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竞争性磋商</w:t>
            </w:r>
          </w:p>
        </w:tc>
      </w:tr>
      <w:tr w14:paraId="123787B1">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D16F4B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3244F5">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评分办法</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5473220F">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综合评分法</w:t>
            </w:r>
          </w:p>
        </w:tc>
      </w:tr>
      <w:tr w14:paraId="1E5560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653C4C">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A316220">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采购预算控制额度</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850CF7">
            <w:pPr>
              <w:spacing w:line="360" w:lineRule="auto"/>
              <w:outlineLvl w:val="1"/>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eastAsia="zh-CN" w:bidi="ar-SA"/>
              </w:rPr>
              <w:t>人民币1973000元</w:t>
            </w:r>
          </w:p>
        </w:tc>
      </w:tr>
      <w:tr w14:paraId="55380F0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972BD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4E8DA7">
            <w:pPr>
              <w:pStyle w:val="100"/>
              <w:pageBreakBefore w:val="0"/>
              <w:widowControl w:val="0"/>
              <w:kinsoku/>
              <w:wordWrap/>
              <w:overflowPunct/>
              <w:topLinePunct w:val="0"/>
              <w:bidi w:val="0"/>
              <w:adjustRightInd/>
              <w:snapToGrid/>
              <w:spacing w:line="360" w:lineRule="auto"/>
              <w:jc w:val="center"/>
              <w:textAlignment w:val="auto"/>
              <w:rPr>
                <w:rFonts w:hint="eastAsia" w:ascii="宋体" w:hAnsi="宋体" w:cs="宋体"/>
                <w:color w:val="auto"/>
                <w:sz w:val="24"/>
              </w:rPr>
            </w:pPr>
            <w:r>
              <w:rPr>
                <w:rFonts w:hint="eastAsia" w:ascii="宋体" w:hAnsi="宋体" w:cs="宋体"/>
                <w:color w:val="auto"/>
                <w:kern w:val="0"/>
                <w:sz w:val="24"/>
                <w:szCs w:val="24"/>
                <w:highlight w:val="none"/>
                <w:lang w:eastAsia="zh-CN"/>
              </w:rPr>
              <w:t>最高限价</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E40E15">
            <w:pPr>
              <w:pageBreakBefore w:val="0"/>
              <w:widowControl w:val="0"/>
              <w:tabs>
                <w:tab w:val="left" w:pos="5485"/>
              </w:tabs>
              <w:kinsoku/>
              <w:wordWrap/>
              <w:overflowPunct/>
              <w:topLinePunct w:val="0"/>
              <w:bidi w:val="0"/>
              <w:adjustRightInd/>
              <w:snapToGrid/>
              <w:spacing w:line="360" w:lineRule="auto"/>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cs="宋体"/>
                <w:color w:val="auto"/>
                <w:kern w:val="0"/>
                <w:sz w:val="24"/>
                <w:szCs w:val="24"/>
                <w:highlight w:val="none"/>
                <w:lang w:val="zh-CN" w:eastAsia="zh-CN" w:bidi="ar-SA"/>
              </w:rPr>
              <w:t>人民币1973000元</w:t>
            </w:r>
          </w:p>
        </w:tc>
      </w:tr>
      <w:tr w14:paraId="05AF0F5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8EF73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F59BB08">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项目分包个数</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10FA927">
            <w:pPr>
              <w:spacing w:line="360" w:lineRule="auto"/>
              <w:rPr>
                <w:rFonts w:hint="eastAsia" w:ascii="宋体" w:hAnsi="宋体" w:cs="宋体"/>
                <w:color w:val="auto"/>
                <w:kern w:val="0"/>
                <w:sz w:val="24"/>
                <w:lang w:val="zh-CN"/>
              </w:rPr>
            </w:pPr>
            <w:r>
              <w:rPr>
                <w:rFonts w:hint="eastAsia" w:ascii="宋体" w:hAnsi="宋体" w:cs="宋体"/>
                <w:color w:val="auto"/>
                <w:sz w:val="24"/>
                <w:szCs w:val="24"/>
                <w:highlight w:val="none"/>
                <w:lang w:val="en-US" w:eastAsia="zh-CN"/>
              </w:rPr>
              <w:t>1</w:t>
            </w:r>
            <w:r>
              <w:rPr>
                <w:rFonts w:hint="eastAsia" w:ascii="宋体" w:hAnsi="宋体" w:cs="宋体"/>
                <w:color w:val="auto"/>
                <w:sz w:val="24"/>
                <w:highlight w:val="none"/>
                <w:lang w:val="en-US" w:eastAsia="zh-CN"/>
              </w:rPr>
              <w:t>个</w:t>
            </w:r>
          </w:p>
        </w:tc>
      </w:tr>
      <w:tr w14:paraId="4DCF8478">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36CF15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ED6C4B">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采购要求</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DAEDB27">
            <w:pPr>
              <w:autoSpaceDE w:val="0"/>
              <w:autoSpaceDN w:val="0"/>
              <w:spacing w:line="360" w:lineRule="auto"/>
              <w:rPr>
                <w:rFonts w:hint="eastAsia" w:ascii="宋体" w:hAnsi="宋体" w:cs="宋体"/>
                <w:color w:val="auto"/>
                <w:kern w:val="0"/>
                <w:sz w:val="24"/>
                <w:lang w:val="zh-CN"/>
              </w:rPr>
            </w:pPr>
            <w:r>
              <w:rPr>
                <w:rFonts w:hint="eastAsia" w:ascii="宋体" w:hAnsi="宋体" w:cs="宋体"/>
                <w:b w:val="0"/>
                <w:bCs/>
                <w:color w:val="auto"/>
                <w:sz w:val="24"/>
                <w:szCs w:val="24"/>
                <w:lang w:val="en-US" w:eastAsia="zh-CN"/>
              </w:rPr>
              <w:t>详见技术参数</w:t>
            </w:r>
          </w:p>
        </w:tc>
      </w:tr>
      <w:tr w14:paraId="06F427E6">
        <w:tblPrEx>
          <w:tblCellMar>
            <w:top w:w="0" w:type="dxa"/>
            <w:left w:w="57" w:type="dxa"/>
            <w:bottom w:w="0" w:type="dxa"/>
            <w:right w:w="57" w:type="dxa"/>
          </w:tblCellMar>
        </w:tblPrEx>
        <w:trPr>
          <w:trHeight w:val="343"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DDC7A0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DBDD1E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供应商资格条件</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D728B66">
            <w:pPr>
              <w:spacing w:line="360" w:lineRule="auto"/>
              <w:jc w:val="left"/>
              <w:rPr>
                <w:rFonts w:hint="eastAsia"/>
                <w:color w:val="auto"/>
                <w:lang w:val="zh-CN"/>
              </w:rPr>
            </w:pPr>
            <w:r>
              <w:rPr>
                <w:rFonts w:hint="eastAsia"/>
                <w:color w:val="auto"/>
                <w:lang w:val="en-US" w:eastAsia="zh-CN"/>
              </w:rPr>
              <w:t>(</w:t>
            </w:r>
            <w:r>
              <w:rPr>
                <w:rFonts w:hint="eastAsia"/>
                <w:color w:val="auto"/>
                <w:lang w:val="zh-CN"/>
              </w:rPr>
              <w:t>1) 符合《政府采购法》第22条条件，并提供下列材料：</w:t>
            </w:r>
          </w:p>
          <w:p w14:paraId="04B90C3B">
            <w:pPr>
              <w:spacing w:line="360" w:lineRule="auto"/>
              <w:jc w:val="left"/>
              <w:rPr>
                <w:rFonts w:hint="eastAsia"/>
                <w:color w:val="auto"/>
                <w:lang w:val="zh-CN"/>
              </w:rPr>
            </w:pPr>
            <w:r>
              <w:rPr>
                <w:rFonts w:hint="eastAsia"/>
                <w:color w:val="auto"/>
                <w:lang w:val="zh-CN"/>
              </w:rPr>
              <w:t>①投标人的营业执照等证明文件，自然人的身份证明。</w:t>
            </w:r>
          </w:p>
          <w:p w14:paraId="6CCFA3F8">
            <w:pPr>
              <w:spacing w:line="360" w:lineRule="auto"/>
              <w:jc w:val="left"/>
              <w:rPr>
                <w:rFonts w:hint="eastAsia"/>
                <w:color w:val="auto"/>
                <w:lang w:val="zh-CN"/>
              </w:rPr>
            </w:pPr>
            <w:r>
              <w:rPr>
                <w:rFonts w:hint="eastAsia"/>
                <w:color w:val="auto"/>
                <w:lang w:val="zh-CN"/>
              </w:rPr>
              <w:t>②财务状况报告，依法缴纳税收和社会保障资金的相关材料。</w:t>
            </w:r>
          </w:p>
          <w:p w14:paraId="2B38C692">
            <w:pPr>
              <w:spacing w:line="360" w:lineRule="auto"/>
              <w:jc w:val="left"/>
              <w:rPr>
                <w:rFonts w:hint="eastAsia"/>
                <w:color w:val="auto"/>
                <w:lang w:val="zh-CN"/>
              </w:rPr>
            </w:pPr>
            <w:r>
              <w:rPr>
                <w:rFonts w:hint="eastAsia"/>
                <w:color w:val="auto"/>
                <w:lang w:val="zh-CN"/>
              </w:rPr>
              <w:t>③具备履行合同所必需的设备和专业技术能力的证明材料。</w:t>
            </w:r>
          </w:p>
          <w:p w14:paraId="7CE05858">
            <w:pPr>
              <w:spacing w:line="360" w:lineRule="auto"/>
              <w:jc w:val="left"/>
              <w:rPr>
                <w:rFonts w:hint="eastAsia"/>
                <w:color w:val="auto"/>
                <w:lang w:val="zh-CN"/>
              </w:rPr>
            </w:pPr>
            <w:r>
              <w:rPr>
                <w:rFonts w:hint="eastAsia"/>
                <w:color w:val="auto"/>
                <w:lang w:val="zh-CN"/>
              </w:rPr>
              <w:t>④参加政府采购活动前3年内在经营活动中没有重大违法记录的书面声明。</w:t>
            </w:r>
          </w:p>
          <w:p w14:paraId="68F2DBC1">
            <w:pPr>
              <w:spacing w:line="360" w:lineRule="auto"/>
              <w:jc w:val="left"/>
              <w:rPr>
                <w:rFonts w:hint="eastAsia"/>
                <w:color w:val="auto"/>
                <w:lang w:val="zh-CN"/>
              </w:rPr>
            </w:pPr>
            <w:r>
              <w:rPr>
                <w:rFonts w:hint="eastAsia"/>
                <w:color w:val="auto"/>
                <w:lang w:val="zh-CN"/>
              </w:rPr>
              <w:t>⑤具备法律、行政法规规定的其他条件的证明材料。</w:t>
            </w:r>
          </w:p>
          <w:p w14:paraId="0D709A16">
            <w:pPr>
              <w:spacing w:line="360" w:lineRule="auto"/>
              <w:jc w:val="left"/>
              <w:rPr>
                <w:rFonts w:hint="eastAsia"/>
                <w:color w:val="auto"/>
                <w:lang w:val="zh-CN"/>
              </w:rPr>
            </w:pPr>
            <w:r>
              <w:rPr>
                <w:rFonts w:hint="eastAsia"/>
                <w:color w:val="auto"/>
                <w:lang w:val="zh-CN"/>
              </w:rPr>
              <w:t>(2) 单位负责人为同一人或者存在直接控股、管理关系的不同投标人，不得参加同一合同项下的政府采购活动。否则，皆取消投标资格；</w:t>
            </w:r>
          </w:p>
          <w:p w14:paraId="30F6B85E">
            <w:pPr>
              <w:spacing w:line="360" w:lineRule="auto"/>
              <w:jc w:val="left"/>
              <w:rPr>
                <w:rFonts w:hint="eastAsia"/>
                <w:color w:val="auto"/>
                <w:lang w:val="zh-CN"/>
              </w:rPr>
            </w:pPr>
            <w:r>
              <w:rPr>
                <w:rFonts w:hint="eastAsia"/>
                <w:color w:val="auto"/>
                <w:lang w:val="zh-CN"/>
              </w:rPr>
              <w:t>(3) 为本采购项目提供整体设计、规范编制或者项目管理、监理、检测等服务的投标人，不得再参加该采购项目的其他采购活动；</w:t>
            </w:r>
          </w:p>
          <w:p w14:paraId="0C35DCF4">
            <w:pPr>
              <w:spacing w:line="360" w:lineRule="auto"/>
              <w:jc w:val="left"/>
              <w:rPr>
                <w:rFonts w:hint="eastAsia"/>
                <w:color w:val="auto"/>
                <w:lang w:val="zh-CN"/>
              </w:rPr>
            </w:pPr>
            <w:r>
              <w:rPr>
                <w:rFonts w:hint="eastAsia"/>
                <w:color w:val="auto"/>
                <w:lang w:val="zh-CN"/>
              </w:rPr>
              <w:t>(4) 本项目接受</w:t>
            </w:r>
            <w:r>
              <w:rPr>
                <w:rFonts w:hint="eastAsia"/>
                <w:color w:val="auto"/>
                <w:lang w:val="en-US" w:eastAsia="zh-CN"/>
              </w:rPr>
              <w:t>供应商</w:t>
            </w:r>
            <w:r>
              <w:rPr>
                <w:rFonts w:hint="eastAsia"/>
                <w:color w:val="auto"/>
                <w:lang w:val="zh-CN"/>
              </w:rPr>
              <w:t>以联合体方式进行投标；</w:t>
            </w:r>
          </w:p>
          <w:p w14:paraId="0E45C34B">
            <w:pPr>
              <w:spacing w:line="360" w:lineRule="auto"/>
              <w:jc w:val="left"/>
              <w:rPr>
                <w:rFonts w:hint="eastAsia"/>
                <w:highlight w:val="none"/>
                <w:lang w:val="zh-CN" w:eastAsia="zh-CN"/>
              </w:rPr>
            </w:pPr>
            <w:r>
              <w:rPr>
                <w:rFonts w:hint="eastAsia"/>
                <w:color w:val="auto"/>
                <w:lang w:val="zh-CN"/>
              </w:rPr>
              <w:t xml:space="preserve">(5) </w:t>
            </w:r>
            <w:r>
              <w:rPr>
                <w:rFonts w:hint="eastAsia"/>
                <w:highlight w:val="none"/>
                <w:lang w:val="zh-CN" w:eastAsia="zh-CN"/>
              </w:rPr>
              <w:t>提供“信用中国（www.creditchina.gov.cn）”网站“失信被执行人”名单、“政府采购严重违法失信行为记录名单”、“重大税收违法失信主体”、“统计严重失信企业名单”的查询截图；“中国政府采购网（www.ccgp.gov.cn）”网站无任何不良记录的查询截图；时间为投标截止时间前</w:t>
            </w:r>
            <w:r>
              <w:rPr>
                <w:rFonts w:hint="eastAsia"/>
                <w:highlight w:val="none"/>
                <w:lang w:val="en-US" w:eastAsia="zh-CN"/>
              </w:rPr>
              <w:t>10</w:t>
            </w:r>
            <w:r>
              <w:rPr>
                <w:rFonts w:hint="eastAsia"/>
                <w:highlight w:val="none"/>
                <w:lang w:val="zh-CN" w:eastAsia="zh-CN"/>
              </w:rPr>
              <w:t>天内；</w:t>
            </w:r>
          </w:p>
        </w:tc>
      </w:tr>
      <w:tr w14:paraId="153622D1">
        <w:tblPrEx>
          <w:tblCellMar>
            <w:top w:w="0" w:type="dxa"/>
            <w:left w:w="57" w:type="dxa"/>
            <w:bottom w:w="0" w:type="dxa"/>
            <w:right w:w="57" w:type="dxa"/>
          </w:tblCellMar>
        </w:tblPrEx>
        <w:trPr>
          <w:trHeight w:val="552" w:hRule="atLeast"/>
          <w:jc w:val="center"/>
        </w:trPr>
        <w:tc>
          <w:tcPr>
            <w:tcW w:w="653" w:type="dxa"/>
            <w:tcBorders>
              <w:top w:val="single" w:color="000000" w:sz="6" w:space="0"/>
              <w:left w:val="single" w:color="000000" w:sz="6" w:space="0"/>
              <w:right w:val="single" w:color="000000" w:sz="6" w:space="0"/>
            </w:tcBorders>
            <w:shd w:val="clear" w:color="000000" w:fill="FFFFFF"/>
            <w:noWrap w:val="0"/>
            <w:vAlign w:val="center"/>
          </w:tcPr>
          <w:p w14:paraId="7823BE2F">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right w:val="single" w:color="000000" w:sz="6" w:space="0"/>
            </w:tcBorders>
            <w:shd w:val="clear" w:color="000000" w:fill="FFFFFF"/>
            <w:noWrap w:val="0"/>
            <w:vAlign w:val="center"/>
          </w:tcPr>
          <w:p w14:paraId="5E5C6C82">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磋商保证金</w:t>
            </w:r>
          </w:p>
        </w:tc>
        <w:tc>
          <w:tcPr>
            <w:tcW w:w="7211" w:type="dxa"/>
            <w:tcBorders>
              <w:top w:val="single" w:color="000000" w:sz="6" w:space="0"/>
              <w:left w:val="single" w:color="000000" w:sz="6" w:space="0"/>
              <w:right w:val="single" w:color="000000" w:sz="6" w:space="0"/>
            </w:tcBorders>
            <w:shd w:val="clear" w:color="000000" w:fill="FFFFFF"/>
            <w:noWrap w:val="0"/>
            <w:vAlign w:val="center"/>
          </w:tcPr>
          <w:p w14:paraId="22413132">
            <w:pPr>
              <w:spacing w:line="360" w:lineRule="auto"/>
              <w:rPr>
                <w:rFonts w:hint="eastAsia" w:ascii="宋体" w:hAnsi="宋体" w:cs="宋体"/>
                <w:color w:val="auto"/>
                <w:sz w:val="24"/>
              </w:rPr>
            </w:pPr>
            <w:r>
              <w:rPr>
                <w:rFonts w:hint="eastAsia" w:ascii="宋体" w:hAnsi="宋体" w:cs="宋体"/>
                <w:color w:val="auto"/>
                <w:sz w:val="24"/>
              </w:rPr>
              <w:t>各磋商响应人须在磋商响应文件递交截止时间前，缴纳磋商保证金（磋商保证金应当从其基本账户汇出，磋商响应文件中须附企业基本账户开户许可证或</w:t>
            </w:r>
            <w:r>
              <w:rPr>
                <w:rFonts w:hint="eastAsia" w:ascii="Arial" w:hAnsi="Arial" w:cs="Arial"/>
                <w:color w:val="auto"/>
                <w:sz w:val="24"/>
              </w:rPr>
              <w:t>基本账户开户信息</w:t>
            </w:r>
            <w:r>
              <w:rPr>
                <w:rFonts w:hint="eastAsia" w:ascii="宋体" w:hAnsi="宋体" w:cs="宋体"/>
                <w:color w:val="auto"/>
                <w:sz w:val="24"/>
              </w:rPr>
              <w:t>）。</w:t>
            </w:r>
          </w:p>
          <w:p w14:paraId="305DD8E8">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磋商保证金金额：</w:t>
            </w:r>
            <w:r>
              <w:rPr>
                <w:rFonts w:hint="eastAsia" w:ascii="宋体" w:hAnsi="宋体" w:cs="宋体"/>
                <w:bCs/>
                <w:color w:val="auto"/>
                <w:sz w:val="24"/>
                <w:highlight w:val="none"/>
                <w:lang w:val="en-US" w:eastAsia="zh-CN"/>
              </w:rPr>
              <w:t>小写：35000元 大写：叁万伍仟元整</w:t>
            </w:r>
          </w:p>
          <w:p w14:paraId="454CB9D9">
            <w:pPr>
              <w:spacing w:line="360" w:lineRule="auto"/>
              <w:rPr>
                <w:rFonts w:hint="eastAsia" w:ascii="宋体" w:hAnsi="宋体" w:cs="宋体"/>
                <w:color w:val="auto"/>
                <w:sz w:val="24"/>
              </w:rPr>
            </w:pPr>
            <w:r>
              <w:rPr>
                <w:rFonts w:hint="eastAsia" w:ascii="宋体" w:hAnsi="宋体" w:cs="宋体"/>
                <w:color w:val="auto"/>
                <w:sz w:val="24"/>
              </w:rPr>
              <w:t>缴纳磋商保证金时须注明此次项目编号</w:t>
            </w:r>
            <w:r>
              <w:rPr>
                <w:rFonts w:hint="eastAsia" w:ascii="宋体" w:hAnsi="宋体" w:cs="宋体"/>
                <w:color w:val="auto"/>
                <w:sz w:val="24"/>
                <w:lang w:val="en-US" w:eastAsia="zh-CN"/>
              </w:rPr>
              <w:t>/包号</w:t>
            </w:r>
            <w:r>
              <w:rPr>
                <w:rFonts w:hint="eastAsia" w:ascii="宋体" w:hAnsi="宋体" w:cs="宋体"/>
                <w:color w:val="auto"/>
                <w:sz w:val="24"/>
              </w:rPr>
              <w:t>及项目名称（可简写）</w:t>
            </w:r>
          </w:p>
          <w:p w14:paraId="2867CAC5">
            <w:pPr>
              <w:spacing w:line="360" w:lineRule="auto"/>
              <w:rPr>
                <w:rFonts w:hint="eastAsia" w:ascii="Arial" w:hAnsi="Arial" w:cs="Arial"/>
                <w:b/>
                <w:bCs/>
                <w:color w:val="auto"/>
                <w:sz w:val="24"/>
              </w:rPr>
            </w:pPr>
            <w:r>
              <w:rPr>
                <w:rFonts w:ascii="Arial" w:hAnsi="Arial" w:cs="Arial"/>
                <w:b/>
                <w:bCs/>
                <w:color w:val="auto"/>
                <w:sz w:val="24"/>
              </w:rPr>
              <w:t>账户名：</w:t>
            </w:r>
            <w:r>
              <w:rPr>
                <w:rFonts w:hint="eastAsia" w:ascii="Arial" w:hAnsi="Arial" w:cs="Arial"/>
                <w:b/>
                <w:bCs/>
                <w:color w:val="auto"/>
                <w:sz w:val="24"/>
                <w:lang w:eastAsia="zh-CN"/>
              </w:rPr>
              <w:t>青海雅辉工程项目管理有限公司</w:t>
            </w:r>
          </w:p>
          <w:p w14:paraId="6F9A3D65">
            <w:pPr>
              <w:spacing w:line="360" w:lineRule="auto"/>
              <w:rPr>
                <w:rFonts w:hint="eastAsia" w:ascii="Arial" w:hAnsi="Arial" w:eastAsia="宋体" w:cs="Arial"/>
                <w:b/>
                <w:bCs/>
                <w:color w:val="auto"/>
                <w:sz w:val="24"/>
                <w:lang w:eastAsia="zh-CN"/>
              </w:rPr>
            </w:pPr>
            <w:r>
              <w:rPr>
                <w:rFonts w:ascii="Arial" w:hAnsi="Arial" w:cs="Arial"/>
                <w:b/>
                <w:bCs/>
                <w:color w:val="auto"/>
                <w:sz w:val="24"/>
              </w:rPr>
              <w:t>开户行：</w:t>
            </w:r>
            <w:r>
              <w:rPr>
                <w:rFonts w:hint="eastAsia" w:ascii="Arial" w:hAnsi="Arial" w:cs="Arial"/>
                <w:b/>
                <w:bCs/>
                <w:color w:val="auto"/>
                <w:sz w:val="24"/>
                <w:lang w:eastAsia="zh-CN"/>
              </w:rPr>
              <w:t>招商银行股份有限公司西宁分行</w:t>
            </w:r>
          </w:p>
          <w:p w14:paraId="7A53B314">
            <w:pPr>
              <w:spacing w:line="360" w:lineRule="auto"/>
              <w:rPr>
                <w:rFonts w:hint="eastAsia" w:ascii="Arial" w:hAnsi="Arial" w:eastAsia="宋体" w:cs="Arial"/>
                <w:b/>
                <w:bCs/>
                <w:color w:val="auto"/>
                <w:sz w:val="24"/>
                <w:lang w:eastAsia="zh-CN"/>
              </w:rPr>
            </w:pPr>
            <w:r>
              <w:rPr>
                <w:rFonts w:ascii="Arial" w:hAnsi="Arial" w:cs="Arial"/>
                <w:b/>
                <w:bCs/>
                <w:color w:val="auto"/>
                <w:sz w:val="24"/>
              </w:rPr>
              <w:t>账 号：</w:t>
            </w:r>
            <w:r>
              <w:rPr>
                <w:rFonts w:hint="eastAsia" w:ascii="Arial" w:hAnsi="Arial" w:cs="Arial"/>
                <w:b/>
                <w:bCs/>
                <w:color w:val="auto"/>
                <w:sz w:val="24"/>
                <w:lang w:eastAsia="zh-CN"/>
              </w:rPr>
              <w:t>972901579810901</w:t>
            </w:r>
          </w:p>
          <w:p w14:paraId="07BA3627">
            <w:pPr>
              <w:spacing w:line="360" w:lineRule="auto"/>
              <w:rPr>
                <w:rFonts w:hint="eastAsia" w:ascii="宋体" w:hAnsi="宋体" w:cs="宋体"/>
                <w:color w:val="auto"/>
                <w:sz w:val="24"/>
              </w:rPr>
            </w:pPr>
            <w:r>
              <w:rPr>
                <w:rFonts w:hint="eastAsia" w:ascii="宋体" w:hAnsi="宋体" w:cs="宋体"/>
                <w:color w:val="auto"/>
                <w:sz w:val="24"/>
              </w:rPr>
              <w:t>交纳时间：</w:t>
            </w:r>
            <w:r>
              <w:rPr>
                <w:rFonts w:hint="eastAsia" w:ascii="宋体" w:hAnsi="宋体" w:cs="宋体"/>
                <w:b/>
                <w:bCs/>
                <w:color w:val="auto"/>
                <w:sz w:val="24"/>
                <w:u w:val="single"/>
              </w:rPr>
              <w:t>至规定的投标截止时间之前</w:t>
            </w:r>
            <w:r>
              <w:rPr>
                <w:rFonts w:hint="eastAsia" w:ascii="宋体" w:hAnsi="宋体" w:cs="宋体"/>
                <w:color w:val="auto"/>
                <w:sz w:val="24"/>
              </w:rPr>
              <w:t>，以银行到账时间为准</w:t>
            </w:r>
          </w:p>
          <w:p w14:paraId="6B59CB7A">
            <w:pPr>
              <w:numPr>
                <w:ilvl w:val="0"/>
                <w:numId w:val="0"/>
              </w:numPr>
              <w:spacing w:line="360" w:lineRule="auto"/>
              <w:rPr>
                <w:rFonts w:hint="eastAsia" w:ascii="Arial" w:hAnsi="Arial" w:cs="Arial"/>
                <w:color w:val="auto"/>
                <w:sz w:val="24"/>
              </w:rPr>
            </w:pPr>
            <w:r>
              <w:rPr>
                <w:rFonts w:hint="eastAsia" w:ascii="Arial" w:hAnsi="Arial" w:cs="Arial"/>
                <w:color w:val="auto"/>
                <w:sz w:val="24"/>
                <w:lang w:eastAsia="zh-CN"/>
              </w:rPr>
              <w:t>（</w:t>
            </w:r>
            <w:r>
              <w:rPr>
                <w:rFonts w:hint="eastAsia" w:ascii="Arial" w:hAnsi="Arial" w:cs="Arial"/>
                <w:color w:val="auto"/>
                <w:sz w:val="24"/>
                <w:lang w:val="en-US" w:eastAsia="zh-CN"/>
              </w:rPr>
              <w:t>1</w:t>
            </w:r>
            <w:r>
              <w:rPr>
                <w:rFonts w:hint="eastAsia" w:ascii="Arial" w:hAnsi="Arial" w:cs="Arial"/>
                <w:color w:val="auto"/>
                <w:sz w:val="24"/>
                <w:lang w:eastAsia="zh-CN"/>
              </w:rPr>
              <w:t>）</w:t>
            </w:r>
            <w:r>
              <w:rPr>
                <w:rFonts w:ascii="Arial" w:hAnsi="Arial" w:cs="Arial"/>
                <w:color w:val="auto"/>
                <w:sz w:val="24"/>
              </w:rPr>
              <w:t>不接受个人名义或现金形式递交的保证金，磋商供应商应该单独提交磋商保证金；磋商保证金必须从企业基本账户中支付，磋商响应文件中须附企业开户许可证</w:t>
            </w:r>
            <w:r>
              <w:rPr>
                <w:rFonts w:hint="eastAsia" w:ascii="Arial" w:hAnsi="Arial" w:cs="Arial"/>
                <w:color w:val="auto"/>
                <w:sz w:val="24"/>
              </w:rPr>
              <w:t>或基本账户开户信息。</w:t>
            </w:r>
          </w:p>
          <w:p w14:paraId="0C008E5A">
            <w:pPr>
              <w:numPr>
                <w:ilvl w:val="0"/>
                <w:numId w:val="0"/>
              </w:numPr>
              <w:snapToGrid w:val="0"/>
              <w:spacing w:before="0" w:beforeAutospacing="0" w:after="0" w:afterAutospacing="0" w:line="360" w:lineRule="auto"/>
              <w:jc w:val="both"/>
              <w:textAlignment w:val="baseline"/>
              <w:rPr>
                <w:rFonts w:hint="eastAsia" w:ascii="Arial" w:hAnsi="Arial" w:cs="Arial"/>
                <w:color w:val="auto"/>
                <w:sz w:val="24"/>
              </w:rPr>
            </w:pPr>
            <w:r>
              <w:rPr>
                <w:rFonts w:hint="eastAsia" w:ascii="宋体" w:hAnsi="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2</w:t>
            </w:r>
            <w:r>
              <w:rPr>
                <w:rFonts w:hint="eastAsia" w:ascii="宋体" w:hAnsi="宋体" w:cs="宋体"/>
                <w:b w:val="0"/>
                <w:bCs/>
                <w:i w:val="0"/>
                <w:caps w:val="0"/>
                <w:color w:val="auto"/>
                <w:spacing w:val="0"/>
                <w:w w:val="100"/>
                <w:sz w:val="24"/>
                <w:szCs w:val="24"/>
                <w:highlight w:val="none"/>
                <w:lang w:eastAsia="zh-CN"/>
              </w:rPr>
              <w:t>）</w:t>
            </w:r>
            <w:r>
              <w:rPr>
                <w:rFonts w:hint="eastAsia" w:ascii="Arial" w:hAnsi="Arial" w:cs="Arial"/>
                <w:color w:val="auto"/>
                <w:sz w:val="24"/>
              </w:rPr>
              <w:t>投标保证金应当以支票、汇票、本票或者金融机构、担保机构出具的保函</w:t>
            </w:r>
            <w:r>
              <w:rPr>
                <w:rFonts w:hint="eastAsia" w:ascii="Arial" w:hAnsi="Arial" w:cs="Arial"/>
                <w:color w:val="auto"/>
                <w:sz w:val="24"/>
                <w:lang w:eastAsia="zh-CN"/>
              </w:rPr>
              <w:t>、保函</w:t>
            </w:r>
            <w:r>
              <w:rPr>
                <w:rFonts w:hint="eastAsia" w:ascii="Arial" w:hAnsi="Arial" w:cs="Arial"/>
                <w:color w:val="auto"/>
                <w:sz w:val="24"/>
              </w:rPr>
              <w:t>等非现金形式提交。通过银行转账的，必须由投标人从其基本账户（包括开户许可证复印件或基本账户开户信息）汇（转）</w:t>
            </w:r>
            <w:r>
              <w:rPr>
                <w:rFonts w:hint="eastAsia" w:ascii="Arial" w:hAnsi="Arial" w:cs="Arial"/>
                <w:color w:val="auto"/>
                <w:sz w:val="24"/>
                <w:lang w:eastAsia="zh-CN"/>
              </w:rPr>
              <w:t>至磋商文件规定账户；</w:t>
            </w:r>
          </w:p>
          <w:p w14:paraId="2816F3F9">
            <w:pPr>
              <w:numPr>
                <w:ilvl w:val="0"/>
                <w:numId w:val="0"/>
              </w:numPr>
              <w:snapToGrid w:val="0"/>
              <w:spacing w:before="0" w:beforeAutospacing="0" w:after="0" w:afterAutospacing="0" w:line="360" w:lineRule="auto"/>
              <w:jc w:val="both"/>
              <w:textAlignment w:val="baseline"/>
              <w:rPr>
                <w:rFonts w:ascii="Arial" w:hAnsi="Arial" w:cs="Arial"/>
                <w:color w:val="auto"/>
                <w:sz w:val="24"/>
              </w:rPr>
            </w:pPr>
            <w:r>
              <w:rPr>
                <w:rFonts w:hint="eastAsia" w:ascii="宋体" w:hAnsi="宋体" w:eastAsia="宋体" w:cs="宋体"/>
                <w:b w:val="0"/>
                <w:bCs/>
                <w:i w:val="0"/>
                <w:caps w:val="0"/>
                <w:color w:val="auto"/>
                <w:spacing w:val="0"/>
                <w:w w:val="100"/>
                <w:sz w:val="24"/>
                <w:szCs w:val="24"/>
                <w:highlight w:val="none"/>
              </w:rPr>
              <w:t>磋商保证金必须从企业基本账户中支付，磋商响应文件中须附企业</w:t>
            </w:r>
            <w:r>
              <w:rPr>
                <w:rFonts w:hint="eastAsia" w:ascii="宋体" w:hAnsi="宋体" w:eastAsia="宋体" w:cs="宋体"/>
                <w:b w:val="0"/>
                <w:bCs/>
                <w:i w:val="0"/>
                <w:caps w:val="0"/>
                <w:color w:val="auto"/>
                <w:spacing w:val="0"/>
                <w:w w:val="100"/>
                <w:sz w:val="24"/>
                <w:szCs w:val="24"/>
                <w:highlight w:val="none"/>
                <w:lang w:eastAsia="zh-CN"/>
              </w:rPr>
              <w:t>基本账户信息</w:t>
            </w:r>
            <w:r>
              <w:rPr>
                <w:rFonts w:hint="eastAsia" w:ascii="宋体" w:hAnsi="宋体" w:eastAsia="宋体" w:cs="宋体"/>
                <w:b w:val="0"/>
                <w:bCs/>
                <w:i w:val="0"/>
                <w:caps w:val="0"/>
                <w:color w:val="auto"/>
                <w:spacing w:val="0"/>
                <w:w w:val="100"/>
                <w:sz w:val="24"/>
                <w:szCs w:val="24"/>
                <w:highlight w:val="none"/>
              </w:rPr>
              <w:t>。</w:t>
            </w:r>
            <w:r>
              <w:rPr>
                <w:rFonts w:ascii="Arial" w:hAnsi="Arial" w:cs="Arial"/>
                <w:color w:val="auto"/>
                <w:sz w:val="24"/>
              </w:rPr>
              <w:t xml:space="preserve"> </w:t>
            </w:r>
          </w:p>
          <w:p w14:paraId="2BC547FF">
            <w:pPr>
              <w:spacing w:line="360" w:lineRule="auto"/>
              <w:rPr>
                <w:rFonts w:ascii="Arial" w:hAnsi="Arial" w:cs="Arial"/>
                <w:color w:val="auto"/>
                <w:sz w:val="24"/>
              </w:rPr>
            </w:pPr>
            <w:r>
              <w:rPr>
                <w:rFonts w:ascii="Arial" w:hAnsi="Arial" w:cs="Arial"/>
                <w:color w:val="auto"/>
                <w:sz w:val="24"/>
              </w:rPr>
              <w:t>（3）磋商供应商未按磋商文件要求交纳磋商保证金的，招标代理机构将拒绝接收磋商供应商的磋商响应文件。</w:t>
            </w:r>
          </w:p>
          <w:p w14:paraId="1270C64C">
            <w:pPr>
              <w:spacing w:line="360" w:lineRule="auto"/>
              <w:rPr>
                <w:rFonts w:hint="eastAsia" w:ascii="宋体" w:hAnsi="宋体" w:cs="宋体"/>
                <w:color w:val="auto"/>
                <w:kern w:val="0"/>
                <w:sz w:val="24"/>
                <w:lang w:val="zh-CN"/>
              </w:rPr>
            </w:pPr>
            <w:r>
              <w:rPr>
                <w:rFonts w:ascii="Arial" w:hAnsi="Arial" w:cs="Arial"/>
                <w:color w:val="auto"/>
                <w:sz w:val="24"/>
              </w:rPr>
              <w:t>（4）磋商保证金退还日期：未成交磋商供应商的磋商保证金自成交通知书发出之日起5个工作日内退还（不退现金）；成交单位的成交保证金，自合同签订之日起5个工作日内退还（不退现金）。</w:t>
            </w:r>
          </w:p>
        </w:tc>
      </w:tr>
      <w:tr w14:paraId="458BEAF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248676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FAC4DC">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磋商保证金退还</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8458E63">
            <w:pPr>
              <w:spacing w:line="360" w:lineRule="auto"/>
              <w:rPr>
                <w:rFonts w:hint="eastAsia" w:ascii="宋体" w:hAnsi="宋体" w:cs="宋体"/>
                <w:color w:val="auto"/>
                <w:kern w:val="0"/>
                <w:sz w:val="24"/>
                <w:lang w:val="zh-CN"/>
              </w:rPr>
            </w:pPr>
            <w:r>
              <w:rPr>
                <w:rFonts w:hint="eastAsia" w:ascii="宋体" w:hAnsi="宋体" w:cs="宋体"/>
                <w:color w:val="auto"/>
                <w:sz w:val="24"/>
              </w:rPr>
              <w:t>未成交响应人的磋商保证金自成交通知书发出之日起5个工作日内退还（不退现金）；成交人的磋商保证金，自政府采购合同签订之日起5个工作日内退还（不退现金）。</w:t>
            </w:r>
          </w:p>
        </w:tc>
      </w:tr>
      <w:tr w14:paraId="1D79699D">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97C3781">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B28AA43">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bCs/>
                <w:color w:val="auto"/>
                <w:kern w:val="0"/>
                <w:sz w:val="24"/>
                <w:lang w:val="zh-CN"/>
              </w:rPr>
              <w:t>磋商文件编制要求</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D8FAA3E">
            <w:pPr>
              <w:autoSpaceDE w:val="0"/>
              <w:autoSpaceDN w:val="0"/>
              <w:adjustRightInd w:val="0"/>
              <w:spacing w:line="400" w:lineRule="exact"/>
              <w:rPr>
                <w:rFonts w:hint="eastAsia" w:ascii="宋体" w:hAnsi="宋体" w:cs="宋体"/>
                <w:color w:val="auto"/>
                <w:kern w:val="0"/>
                <w:sz w:val="24"/>
                <w:lang w:val="zh-CN"/>
              </w:rPr>
            </w:pPr>
            <w:r>
              <w:rPr>
                <w:rFonts w:hint="eastAsia" w:ascii="宋体" w:hAnsi="宋体" w:cs="宋体"/>
                <w:color w:val="auto"/>
                <w:kern w:val="0"/>
                <w:sz w:val="24"/>
                <w:lang w:val="zh-CN"/>
              </w:rPr>
              <w:t>供应商应按照磋商文件所提供的响应文件格式，分别填写磋商文件第五部分的内容，并由法定代表人或委托代理人按要求签字、加盖公章。</w:t>
            </w:r>
          </w:p>
        </w:tc>
      </w:tr>
      <w:tr w14:paraId="33A2C6A0">
        <w:tblPrEx>
          <w:tblCellMar>
            <w:top w:w="0" w:type="dxa"/>
            <w:left w:w="57" w:type="dxa"/>
            <w:bottom w:w="0" w:type="dxa"/>
            <w:right w:w="57" w:type="dxa"/>
          </w:tblCellMar>
        </w:tblPrEx>
        <w:trPr>
          <w:trHeight w:val="542"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9AD1D7">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3F35AA">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递交响应文件方式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E3ED14B">
            <w:pPr>
              <w:autoSpaceDE w:val="0"/>
              <w:autoSpaceDN w:val="0"/>
              <w:spacing w:line="360" w:lineRule="auto"/>
              <w:rPr>
                <w:rFonts w:hint="eastAsia" w:ascii="宋体" w:hAnsi="宋体" w:cs="宋体"/>
                <w:color w:val="auto"/>
                <w:kern w:val="0"/>
                <w:sz w:val="24"/>
                <w:lang w:val="zh-CN"/>
              </w:rPr>
            </w:pPr>
            <w:r>
              <w:rPr>
                <w:rFonts w:hint="eastAsia" w:ascii="宋体" w:hAnsi="宋体" w:eastAsia="宋体" w:cs="宋体"/>
                <w:color w:val="auto"/>
                <w:kern w:val="0"/>
                <w:sz w:val="24"/>
                <w:szCs w:val="24"/>
                <w:lang w:val="en-US" w:eastAsia="zh-CN" w:bidi="ar"/>
              </w:rPr>
              <w:t>通过政采云投标客户端上传</w:t>
            </w:r>
          </w:p>
        </w:tc>
      </w:tr>
      <w:tr w14:paraId="63BD6BE5">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C084C4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815F7BE">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提交响应文件截止时间</w:t>
            </w:r>
          </w:p>
        </w:tc>
        <w:tc>
          <w:tcPr>
            <w:tcW w:w="7211" w:type="dxa"/>
            <w:tcBorders>
              <w:top w:val="outset" w:color="000000" w:sz="6" w:space="0"/>
              <w:left w:val="outset" w:color="000000" w:sz="6" w:space="0"/>
              <w:bottom w:val="outset" w:color="000000" w:sz="6" w:space="0"/>
              <w:right w:val="outset" w:color="000000" w:sz="6" w:space="0"/>
            </w:tcBorders>
            <w:shd w:val="clear" w:color="000000" w:fill="FFFFFF"/>
            <w:noWrap w:val="0"/>
            <w:vAlign w:val="top"/>
          </w:tcPr>
          <w:p w14:paraId="38CADDE5">
            <w:pPr>
              <w:spacing w:line="360" w:lineRule="auto"/>
              <w:rPr>
                <w:rFonts w:hint="eastAsia" w:ascii="宋体" w:hAnsi="宋体" w:cs="宋体"/>
                <w:color w:val="auto"/>
              </w:rPr>
            </w:pPr>
            <w:r>
              <w:rPr>
                <w:rFonts w:hint="eastAsia" w:ascii="宋体" w:hAnsi="宋体" w:cs="宋体"/>
                <w:color w:val="auto"/>
                <w:sz w:val="24"/>
                <w:lang w:val="zh-CN"/>
              </w:rPr>
              <w:t>2024年09月</w:t>
            </w:r>
            <w:r>
              <w:rPr>
                <w:rFonts w:hint="eastAsia" w:ascii="宋体" w:hAnsi="宋体" w:cs="宋体"/>
                <w:color w:val="auto"/>
                <w:sz w:val="24"/>
                <w:lang w:val="en-US" w:eastAsia="zh-CN"/>
              </w:rPr>
              <w:t>30</w:t>
            </w:r>
            <w:r>
              <w:rPr>
                <w:rFonts w:hint="eastAsia" w:ascii="宋体" w:hAnsi="宋体" w:cs="宋体"/>
                <w:color w:val="auto"/>
                <w:sz w:val="24"/>
                <w:lang w:val="zh-CN"/>
              </w:rPr>
              <w:t>日上午09时30分（北京时间）</w:t>
            </w:r>
          </w:p>
        </w:tc>
      </w:tr>
      <w:tr w14:paraId="7CCFF3C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4403167">
            <w:pPr>
              <w:numPr>
                <w:ilvl w:val="0"/>
                <w:numId w:val="5"/>
              </w:num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rPr>
              <w:pict>
                <v:shape id="_x0000_s2051" o:spid="_x0000_s2051" o:spt="136" type="#_x0000_t136" style="position:absolute;left:0pt;margin-left:-51.95pt;margin-top:225.5pt;height:132.7pt;width:530.85pt;mso-position-horizontal-relative:margin;mso-position-vertical-relative:margin;rotation:-2949120f;z-index:-251657216;mso-width-relative:page;mso-height-relative:page;" fillcolor="#F2F2F2" filled="t" stroked="f" coordsize="21600,21600" o:allowincell="f">
                  <v:path/>
                  <v:fill on="t" focussize="0,0"/>
                  <v:stroke on="f"/>
                  <v:imagedata o:title=""/>
                  <o:lock v:ext="edit"/>
                  <v:textpath on="t" fitshape="t" fitpath="t" trim="t" xscale="f" string="容基招标" style="font-family:宋体;font-size:8pt;v-rotate-letters:f;v-same-letter-heights:f;v-text-align:center;"/>
                </v:shape>
              </w:pict>
            </w: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BA021E6">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响应文件开启时间</w:t>
            </w:r>
          </w:p>
        </w:tc>
        <w:tc>
          <w:tcPr>
            <w:tcW w:w="7211" w:type="dxa"/>
            <w:tcBorders>
              <w:top w:val="outset" w:color="000000" w:sz="6" w:space="0"/>
              <w:left w:val="outset" w:color="000000" w:sz="6" w:space="0"/>
              <w:bottom w:val="outset" w:color="000000" w:sz="6" w:space="0"/>
              <w:right w:val="outset" w:color="000000" w:sz="6" w:space="0"/>
            </w:tcBorders>
            <w:shd w:val="clear" w:color="000000" w:fill="FFFFFF"/>
            <w:noWrap w:val="0"/>
            <w:vAlign w:val="top"/>
          </w:tcPr>
          <w:p w14:paraId="4499EF88">
            <w:pPr>
              <w:spacing w:line="360" w:lineRule="auto"/>
              <w:rPr>
                <w:rFonts w:hint="eastAsia" w:ascii="宋体" w:hAnsi="宋体" w:cs="宋体"/>
                <w:color w:val="auto"/>
              </w:rPr>
            </w:pPr>
            <w:r>
              <w:rPr>
                <w:rFonts w:hint="eastAsia" w:ascii="宋体" w:hAnsi="宋体" w:cs="宋体"/>
                <w:color w:val="auto"/>
                <w:sz w:val="24"/>
                <w:lang w:val="zh-CN"/>
              </w:rPr>
              <w:t>2024年09月</w:t>
            </w:r>
            <w:r>
              <w:rPr>
                <w:rFonts w:hint="eastAsia" w:ascii="宋体" w:hAnsi="宋体" w:cs="宋体"/>
                <w:color w:val="auto"/>
                <w:sz w:val="24"/>
                <w:lang w:val="en-US" w:eastAsia="zh-CN"/>
              </w:rPr>
              <w:t>30</w:t>
            </w:r>
            <w:r>
              <w:rPr>
                <w:rFonts w:hint="eastAsia" w:ascii="宋体" w:hAnsi="宋体" w:cs="宋体"/>
                <w:color w:val="auto"/>
                <w:sz w:val="24"/>
                <w:lang w:val="zh-CN"/>
              </w:rPr>
              <w:t>日上午09时30分（北京时间）</w:t>
            </w:r>
          </w:p>
        </w:tc>
      </w:tr>
      <w:tr w14:paraId="090FD43A">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4994ECD">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895869">
            <w:pPr>
              <w:spacing w:line="360" w:lineRule="auto"/>
              <w:jc w:val="center"/>
              <w:rPr>
                <w:rFonts w:hint="eastAsia" w:ascii="宋体" w:hAnsi="宋体" w:cs="宋体"/>
                <w:color w:val="auto"/>
                <w:sz w:val="24"/>
              </w:rPr>
            </w:pPr>
            <w:r>
              <w:rPr>
                <w:rFonts w:hint="eastAsia" w:ascii="宋体" w:hAnsi="宋体" w:cs="宋体"/>
                <w:color w:val="auto"/>
                <w:sz w:val="24"/>
              </w:rPr>
              <w:t>提交响应文件及</w:t>
            </w:r>
          </w:p>
          <w:p w14:paraId="13525955">
            <w:pPr>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开标地点</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166EC6">
            <w:pPr>
              <w:spacing w:line="360" w:lineRule="auto"/>
              <w:rPr>
                <w:rFonts w:hint="eastAsia" w:ascii="宋体" w:hAnsi="宋体" w:cs="宋体"/>
                <w:color w:val="auto"/>
                <w:kern w:val="0"/>
                <w:sz w:val="24"/>
                <w:lang w:val="zh-CN"/>
              </w:rPr>
            </w:pPr>
            <w:r>
              <w:rPr>
                <w:rFonts w:hint="eastAsia" w:hAnsi="宋体" w:cs="宋体"/>
                <w:color w:val="auto"/>
                <w:sz w:val="24"/>
                <w:lang w:eastAsia="zh-CN"/>
              </w:rPr>
              <w:t>青海省西宁市城西区西川南路76号万达1号写字楼11614室</w:t>
            </w:r>
            <w:r>
              <w:rPr>
                <w:rFonts w:hint="eastAsia" w:ascii="Arial" w:hAnsi="Arial" w:cs="Arial"/>
                <w:color w:val="auto"/>
                <w:kern w:val="0"/>
                <w:sz w:val="24"/>
                <w:szCs w:val="24"/>
                <w:lang w:val="zh-CN"/>
              </w:rPr>
              <w:t>（</w:t>
            </w:r>
            <w:r>
              <w:rPr>
                <w:rFonts w:hint="eastAsia" w:ascii="Arial" w:hAnsi="Arial" w:cs="Arial"/>
                <w:color w:val="auto"/>
                <w:kern w:val="0"/>
                <w:sz w:val="24"/>
                <w:szCs w:val="24"/>
                <w:lang w:val="en-US" w:eastAsia="zh-CN"/>
              </w:rPr>
              <w:t>投标人：</w:t>
            </w:r>
            <w:r>
              <w:rPr>
                <w:rFonts w:hint="eastAsia" w:ascii="Arial" w:hAnsi="Arial" w:cs="Arial"/>
                <w:color w:val="auto"/>
                <w:kern w:val="0"/>
                <w:sz w:val="24"/>
                <w:szCs w:val="24"/>
                <w:lang w:val="zh-CN"/>
              </w:rPr>
              <w:t>政采云服务平台）</w:t>
            </w:r>
          </w:p>
        </w:tc>
      </w:tr>
      <w:tr w14:paraId="63535063">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CBEE7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E9030AF">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答疑澄清方式</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ABA6AF5">
            <w:pPr>
              <w:keepNext w:val="0"/>
              <w:keepLines w:val="0"/>
              <w:widowControl/>
              <w:suppressLineNumbers w:val="0"/>
              <w:spacing w:line="360" w:lineRule="auto"/>
              <w:jc w:val="left"/>
              <w:rPr>
                <w:rFonts w:hint="eastAsia" w:ascii="宋体" w:hAnsi="宋体" w:eastAsia="宋体" w:cs="宋体"/>
                <w:color w:val="auto"/>
                <w:kern w:val="0"/>
                <w:sz w:val="24"/>
                <w:szCs w:val="24"/>
                <w:lang w:val="zh-CN" w:eastAsia="zh-CN" w:bidi="ar"/>
              </w:rPr>
            </w:pPr>
            <w:r>
              <w:rPr>
                <w:rFonts w:hint="eastAsia" w:ascii="宋体" w:hAnsi="宋体" w:eastAsia="宋体" w:cs="宋体"/>
                <w:color w:val="auto"/>
                <w:kern w:val="0"/>
                <w:sz w:val="24"/>
                <w:szCs w:val="24"/>
                <w:lang w:val="zh-CN" w:eastAsia="zh-CN" w:bidi="ar"/>
              </w:rPr>
              <w:t>线上答疑，应在规定的时间内通过政采云平台进行答疑澄清，如在</w:t>
            </w:r>
          </w:p>
          <w:p w14:paraId="05A4DED3">
            <w:pPr>
              <w:autoSpaceDE w:val="0"/>
              <w:autoSpaceDN w:val="0"/>
              <w:spacing w:line="360" w:lineRule="auto"/>
              <w:rPr>
                <w:rFonts w:hint="eastAsia" w:ascii="宋体" w:hAnsi="宋体" w:cs="宋体"/>
                <w:color w:val="auto"/>
                <w:kern w:val="0"/>
                <w:sz w:val="24"/>
                <w:lang w:val="zh-CN"/>
              </w:rPr>
            </w:pPr>
            <w:r>
              <w:rPr>
                <w:rFonts w:hint="eastAsia" w:ascii="宋体" w:hAnsi="宋体" w:eastAsia="宋体" w:cs="宋体"/>
                <w:color w:val="auto"/>
                <w:kern w:val="0"/>
                <w:sz w:val="24"/>
                <w:szCs w:val="24"/>
                <w:lang w:val="zh-CN" w:eastAsia="zh-CN" w:bidi="ar"/>
              </w:rPr>
              <w:t>规定的时间内未按要求进行澄清，视同放弃答疑。</w:t>
            </w:r>
          </w:p>
        </w:tc>
      </w:tr>
      <w:tr w14:paraId="48F81EA6">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9E5424">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F829A04">
            <w:pPr>
              <w:autoSpaceDE w:val="0"/>
              <w:autoSpaceDN w:val="0"/>
              <w:spacing w:line="360" w:lineRule="auto"/>
              <w:jc w:val="center"/>
              <w:rPr>
                <w:rFonts w:hint="eastAsia" w:ascii="宋体" w:hAnsi="宋体" w:cs="宋体"/>
                <w:color w:val="auto"/>
                <w:kern w:val="0"/>
                <w:sz w:val="24"/>
                <w:lang w:val="zh-CN"/>
              </w:rPr>
            </w:pPr>
            <w:r>
              <w:rPr>
                <w:rFonts w:hint="eastAsia" w:ascii="宋体" w:hAnsi="宋体" w:cs="宋体"/>
                <w:color w:val="auto"/>
                <w:sz w:val="24"/>
              </w:rPr>
              <w:t>代理服务费收取</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7A9AE62">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收取对象：</w:t>
            </w:r>
            <w:r>
              <w:rPr>
                <w:rFonts w:hint="eastAsia" w:ascii="宋体" w:hAnsi="宋体" w:cs="宋体"/>
                <w:color w:val="auto"/>
                <w:kern w:val="0"/>
                <w:sz w:val="24"/>
                <w:szCs w:val="24"/>
                <w:lang w:val="en-US" w:eastAsia="zh-CN" w:bidi="ar"/>
              </w:rPr>
              <w:t>成交</w:t>
            </w:r>
            <w:r>
              <w:rPr>
                <w:rFonts w:hint="eastAsia" w:ascii="宋体" w:hAnsi="宋体" w:cs="宋体"/>
                <w:color w:val="auto"/>
                <w:kern w:val="0"/>
                <w:sz w:val="24"/>
                <w:szCs w:val="24"/>
                <w:highlight w:val="none"/>
                <w:lang w:val="en-US" w:eastAsia="zh-CN" w:bidi="ar"/>
              </w:rPr>
              <w:t>人</w:t>
            </w:r>
          </w:p>
          <w:p w14:paraId="7B84C024">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收费标准：</w:t>
            </w:r>
            <w:r>
              <w:rPr>
                <w:rFonts w:hint="eastAsia" w:ascii="宋体" w:hAnsi="宋体" w:cs="宋体"/>
                <w:color w:val="000000"/>
                <w:kern w:val="0"/>
              </w:rPr>
              <w:t>根据</w:t>
            </w:r>
            <w:r>
              <w:rPr>
                <w:rFonts w:hint="eastAsia" w:ascii="宋体" w:hAnsi="宋体" w:cs="宋体"/>
                <w:color w:val="000000"/>
                <w:kern w:val="0"/>
                <w:lang w:val="zh-CN"/>
              </w:rPr>
              <w:t>《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r>
              <w:rPr>
                <w:rFonts w:hint="eastAsia" w:ascii="宋体" w:hAnsi="宋体" w:eastAsia="宋体" w:cs="宋体"/>
                <w:color w:val="auto"/>
                <w:kern w:val="0"/>
                <w:sz w:val="24"/>
                <w:szCs w:val="24"/>
                <w:lang w:val="en-US" w:eastAsia="zh-CN" w:bidi="ar"/>
              </w:rPr>
              <w:t xml:space="preserve">。 </w:t>
            </w:r>
          </w:p>
          <w:p w14:paraId="47EC41C8">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招标服务费的支付形式：电汇、支票。 </w:t>
            </w:r>
          </w:p>
          <w:p w14:paraId="5670A120">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账户名：</w:t>
            </w:r>
            <w:r>
              <w:rPr>
                <w:rFonts w:hint="eastAsia" w:ascii="宋体" w:hAnsi="宋体" w:cs="宋体"/>
                <w:color w:val="auto"/>
                <w:kern w:val="0"/>
                <w:sz w:val="24"/>
                <w:szCs w:val="24"/>
                <w:lang w:val="en-US" w:eastAsia="zh-CN" w:bidi="ar"/>
              </w:rPr>
              <w:t>青海雅辉工程项目管理有限公司</w:t>
            </w:r>
          </w:p>
          <w:p w14:paraId="4FFBC69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账号：</w:t>
            </w:r>
            <w:r>
              <w:rPr>
                <w:rFonts w:hint="eastAsia" w:ascii="宋体" w:hAnsi="宋体" w:cs="宋体"/>
                <w:color w:val="auto"/>
                <w:kern w:val="0"/>
                <w:sz w:val="24"/>
                <w:szCs w:val="24"/>
                <w:lang w:val="en-US" w:eastAsia="zh-CN" w:bidi="ar"/>
              </w:rPr>
              <w:t>972901579810901</w:t>
            </w:r>
            <w:r>
              <w:rPr>
                <w:rFonts w:hint="eastAsia" w:ascii="宋体" w:hAnsi="宋体" w:eastAsia="宋体" w:cs="宋体"/>
                <w:color w:val="auto"/>
                <w:kern w:val="0"/>
                <w:sz w:val="24"/>
                <w:szCs w:val="24"/>
                <w:lang w:val="en-US" w:eastAsia="zh-CN" w:bidi="ar"/>
              </w:rPr>
              <w:t xml:space="preserve"> </w:t>
            </w:r>
          </w:p>
          <w:p w14:paraId="78E078C3">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开户行：</w:t>
            </w:r>
            <w:r>
              <w:rPr>
                <w:rFonts w:hint="eastAsia" w:ascii="宋体" w:hAnsi="宋体" w:cs="宋体"/>
                <w:color w:val="auto"/>
                <w:kern w:val="0"/>
                <w:sz w:val="24"/>
                <w:szCs w:val="24"/>
                <w:lang w:val="en-US" w:eastAsia="zh-CN" w:bidi="ar"/>
              </w:rPr>
              <w:t>招商银行股份有限公司西宁分行</w:t>
            </w:r>
            <w:r>
              <w:rPr>
                <w:rFonts w:hint="eastAsia" w:ascii="宋体" w:hAnsi="宋体" w:eastAsia="宋体" w:cs="宋体"/>
                <w:color w:val="auto"/>
                <w:kern w:val="0"/>
                <w:sz w:val="24"/>
                <w:szCs w:val="24"/>
                <w:lang w:val="en-US" w:eastAsia="zh-CN" w:bidi="ar"/>
              </w:rPr>
              <w:t xml:space="preserve"> </w:t>
            </w:r>
          </w:p>
          <w:p w14:paraId="594C2E2D">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成交服务费以人民币支付。 </w:t>
            </w:r>
          </w:p>
          <w:p w14:paraId="0334D09F">
            <w:pPr>
              <w:keepNext w:val="0"/>
              <w:keepLines w:val="0"/>
              <w:widowControl/>
              <w:suppressLineNumbers w:val="0"/>
              <w:spacing w:line="360" w:lineRule="auto"/>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成交服务费支付方式：领取成交通知书时一次性支付全部金额。以电 </w:t>
            </w:r>
          </w:p>
          <w:p w14:paraId="7967B432">
            <w:pPr>
              <w:pStyle w:val="20"/>
              <w:spacing w:line="360" w:lineRule="auto"/>
              <w:rPr>
                <w:rFonts w:hint="eastAsia" w:hAnsi="宋体" w:cs="宋体"/>
                <w:color w:val="auto"/>
                <w:sz w:val="24"/>
                <w:szCs w:val="24"/>
                <w:lang w:val="zh-CN" w:eastAsia="zh-CN"/>
              </w:rPr>
            </w:pPr>
            <w:r>
              <w:rPr>
                <w:rFonts w:hint="eastAsia" w:ascii="宋体" w:hAnsi="宋体" w:eastAsia="宋体" w:cs="宋体"/>
                <w:color w:val="auto"/>
                <w:kern w:val="0"/>
                <w:sz w:val="24"/>
                <w:szCs w:val="24"/>
                <w:lang w:val="en-US" w:eastAsia="zh-CN" w:bidi="ar"/>
              </w:rPr>
              <w:t>汇、支票等形式支付</w:t>
            </w:r>
          </w:p>
        </w:tc>
      </w:tr>
      <w:tr w14:paraId="3D66752B">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88C3C20">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1B52977">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合同签订有效期</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478AF8CD">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自成交通知书发出之日起30日内与采购人签订合同</w:t>
            </w:r>
          </w:p>
        </w:tc>
      </w:tr>
      <w:tr w14:paraId="01C82829">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5EA1154">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37CCCC">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政府采购合同备案</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0851F886">
            <w:pPr>
              <w:autoSpaceDE w:val="0"/>
              <w:autoSpaceDN w:val="0"/>
              <w:spacing w:line="360" w:lineRule="auto"/>
              <w:rPr>
                <w:rFonts w:hint="eastAsia" w:ascii="宋体" w:hAnsi="宋体" w:cs="宋体"/>
                <w:color w:val="auto"/>
                <w:sz w:val="24"/>
              </w:rPr>
            </w:pPr>
            <w:r>
              <w:rPr>
                <w:rFonts w:hint="eastAsia" w:ascii="宋体" w:hAnsi="宋体" w:cs="宋体"/>
                <w:color w:val="auto"/>
                <w:sz w:val="24"/>
              </w:rPr>
              <w:t>采购合同全数返回采购代理机构鉴证，盖章。</w:t>
            </w:r>
          </w:p>
          <w:p w14:paraId="1B780443">
            <w:pPr>
              <w:autoSpaceDE w:val="0"/>
              <w:autoSpaceDN w:val="0"/>
              <w:spacing w:line="360" w:lineRule="auto"/>
              <w:rPr>
                <w:rFonts w:hint="eastAsia" w:ascii="宋体" w:hAnsi="宋体" w:cs="宋体"/>
                <w:color w:val="auto"/>
                <w:sz w:val="24"/>
              </w:rPr>
            </w:pPr>
            <w:r>
              <w:rPr>
                <w:rFonts w:hint="eastAsia" w:ascii="宋体" w:hAnsi="宋体" w:cs="宋体"/>
                <w:color w:val="auto"/>
                <w:sz w:val="24"/>
              </w:rPr>
              <w:t>采购代理机构留存两份原件备案。</w:t>
            </w:r>
          </w:p>
        </w:tc>
      </w:tr>
      <w:tr w14:paraId="5C59549C">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9D617CE">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A19C44C">
            <w:pPr>
              <w:autoSpaceDE w:val="0"/>
              <w:autoSpaceDN w:val="0"/>
              <w:spacing w:line="360" w:lineRule="auto"/>
              <w:jc w:val="center"/>
              <w:rPr>
                <w:rFonts w:hint="eastAsia" w:ascii="宋体" w:hAnsi="宋体" w:cs="宋体"/>
                <w:bCs/>
                <w:color w:val="auto"/>
                <w:kern w:val="0"/>
                <w:sz w:val="24"/>
                <w:lang w:val="zh-CN"/>
              </w:rPr>
            </w:pPr>
            <w:r>
              <w:rPr>
                <w:rFonts w:hint="eastAsia" w:ascii="宋体" w:hAnsi="宋体" w:cs="宋体"/>
                <w:color w:val="auto"/>
                <w:sz w:val="24"/>
              </w:rPr>
              <w:t>磋商有效期</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5F9F447">
            <w:pPr>
              <w:autoSpaceDE w:val="0"/>
              <w:autoSpaceDN w:val="0"/>
              <w:spacing w:line="360" w:lineRule="auto"/>
              <w:rPr>
                <w:rFonts w:hint="eastAsia" w:ascii="宋体" w:hAnsi="宋体" w:cs="宋体"/>
                <w:color w:val="auto"/>
                <w:kern w:val="0"/>
                <w:sz w:val="24"/>
                <w:lang w:val="zh-CN"/>
              </w:rPr>
            </w:pPr>
            <w:r>
              <w:rPr>
                <w:rFonts w:hint="eastAsia" w:ascii="宋体" w:hAnsi="宋体" w:cs="宋体"/>
                <w:color w:val="auto"/>
                <w:sz w:val="24"/>
              </w:rPr>
              <w:t>磋商有效期为自磋商开始之日起</w:t>
            </w:r>
            <w:r>
              <w:rPr>
                <w:rFonts w:hint="eastAsia" w:ascii="宋体" w:hAnsi="宋体" w:cs="宋体"/>
                <w:color w:val="auto"/>
                <w:sz w:val="24"/>
                <w:lang w:val="en-US" w:eastAsia="zh-CN"/>
              </w:rPr>
              <w:t>60</w:t>
            </w:r>
            <w:r>
              <w:rPr>
                <w:rFonts w:hint="eastAsia" w:ascii="宋体" w:hAnsi="宋体" w:cs="宋体"/>
                <w:color w:val="auto"/>
                <w:sz w:val="24"/>
              </w:rPr>
              <w:t>日历日</w:t>
            </w:r>
          </w:p>
        </w:tc>
      </w:tr>
      <w:tr w14:paraId="18254BA7">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CA17BC9">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85DF89C">
            <w:pPr>
              <w:autoSpaceDE w:val="0"/>
              <w:autoSpaceDN w:val="0"/>
              <w:spacing w:line="360" w:lineRule="auto"/>
              <w:jc w:val="center"/>
              <w:rPr>
                <w:rFonts w:hint="default" w:ascii="宋体" w:hAnsi="宋体" w:cs="宋体"/>
                <w:bCs/>
                <w:color w:val="auto"/>
                <w:kern w:val="0"/>
                <w:sz w:val="24"/>
                <w:lang w:val="en-US"/>
              </w:rPr>
            </w:pPr>
            <w:r>
              <w:rPr>
                <w:rFonts w:hint="eastAsia" w:ascii="宋体" w:hAnsi="宋体" w:cs="宋体"/>
                <w:color w:val="auto"/>
                <w:sz w:val="24"/>
                <w:lang w:val="en-US" w:eastAsia="zh-CN"/>
              </w:rPr>
              <w:t>交货期限</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109A2C9">
            <w:pPr>
              <w:autoSpaceDE w:val="0"/>
              <w:autoSpaceDN w:val="0"/>
              <w:spacing w:line="360" w:lineRule="auto"/>
              <w:rPr>
                <w:rFonts w:hint="default" w:ascii="宋体" w:hAnsi="宋体" w:eastAsia="宋体" w:cs="宋体"/>
                <w:color w:val="auto"/>
                <w:sz w:val="24"/>
                <w:lang w:val="en-US" w:eastAsia="zh-CN"/>
              </w:rPr>
            </w:pPr>
            <w:r>
              <w:rPr>
                <w:rFonts w:hint="eastAsia" w:ascii="宋体" w:hAnsi="宋体" w:cs="宋体"/>
                <w:color w:val="auto"/>
                <w:sz w:val="24"/>
                <w:lang w:val="en-US" w:eastAsia="zh-CN"/>
              </w:rPr>
              <w:t>签订合同后一个月内。</w:t>
            </w:r>
          </w:p>
        </w:tc>
      </w:tr>
      <w:tr w14:paraId="7D2C0CDF">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8C521D3">
            <w:pPr>
              <w:numPr>
                <w:ilvl w:val="0"/>
                <w:numId w:val="5"/>
              </w:numPr>
              <w:autoSpaceDE w:val="0"/>
              <w:autoSpaceDN w:val="0"/>
              <w:spacing w:line="360" w:lineRule="auto"/>
              <w:jc w:val="center"/>
              <w:rPr>
                <w:rFonts w:hint="eastAsia" w:ascii="宋体" w:hAnsi="宋体" w:cs="宋体"/>
                <w:bCs/>
                <w:color w:val="auto"/>
                <w:kern w:val="0"/>
                <w:sz w:val="24"/>
                <w:lang w:val="zh-CN"/>
              </w:rPr>
            </w:pPr>
          </w:p>
        </w:tc>
        <w:tc>
          <w:tcPr>
            <w:tcW w:w="256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9803CD">
            <w:pPr>
              <w:autoSpaceDE w:val="0"/>
              <w:autoSpaceDN w:val="0"/>
              <w:spacing w:line="360" w:lineRule="auto"/>
              <w:jc w:val="center"/>
              <w:rPr>
                <w:rFonts w:hint="eastAsia" w:ascii="宋体" w:hAnsi="宋体" w:cs="宋体"/>
                <w:color w:val="auto"/>
                <w:sz w:val="24"/>
                <w:lang w:val="en-US" w:eastAsia="zh-CN"/>
              </w:rPr>
            </w:pPr>
            <w:r>
              <w:rPr>
                <w:rFonts w:hint="eastAsia" w:ascii="宋体" w:hAnsi="宋体" w:eastAsia="宋体" w:cs="宋体"/>
                <w:kern w:val="0"/>
              </w:rPr>
              <w:t>联合体须知</w:t>
            </w:r>
          </w:p>
        </w:tc>
        <w:tc>
          <w:tcPr>
            <w:tcW w:w="7211"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DC7EFA9">
            <w:pPr>
              <w:spacing w:line="540" w:lineRule="exact"/>
              <w:rPr>
                <w:rFonts w:hint="eastAsia" w:ascii="宋体" w:hAnsi="宋体" w:eastAsia="宋体" w:cs="宋体"/>
                <w:spacing w:val="9"/>
                <w:sz w:val="28"/>
                <w:szCs w:val="28"/>
                <w14:textOutline w14:w="4358" w14:cap="sq" w14:cmpd="sng">
                  <w14:solidFill>
                    <w14:srgbClr w14:val="000000"/>
                  </w14:solidFill>
                  <w14:prstDash w14:val="solid"/>
                  <w14:bevel/>
                </w14:textOutline>
              </w:rPr>
            </w:pPr>
            <w:r>
              <w:rPr>
                <w:rFonts w:hint="eastAsia" w:ascii="宋体" w:hAnsi="宋体" w:eastAsia="宋体" w:cs="宋体"/>
                <w:spacing w:val="18"/>
                <w:sz w:val="28"/>
                <w:szCs w:val="28"/>
                <w14:textOutline w14:w="4358" w14:cap="sq" w14:cmpd="sng">
                  <w14:solidFill>
                    <w14:srgbClr w14:val="000000"/>
                  </w14:solidFill>
                  <w14:prstDash w14:val="solid"/>
                  <w14:bevel/>
                </w14:textOutline>
              </w:rPr>
              <w:t>本次</w:t>
            </w:r>
            <w:r>
              <w:rPr>
                <w:rFonts w:hint="eastAsia" w:ascii="宋体" w:hAnsi="宋体" w:eastAsia="宋体" w:cs="宋体"/>
                <w:spacing w:val="11"/>
                <w:sz w:val="28"/>
                <w:szCs w:val="28"/>
                <w14:textOutline w14:w="4358" w14:cap="sq" w14:cmpd="sng">
                  <w14:solidFill>
                    <w14:srgbClr w14:val="000000"/>
                  </w14:solidFill>
                  <w14:prstDash w14:val="solid"/>
                  <w14:bevel/>
                </w14:textOutline>
              </w:rPr>
              <w:t>招</w:t>
            </w:r>
            <w:r>
              <w:rPr>
                <w:rFonts w:hint="eastAsia" w:ascii="宋体" w:hAnsi="宋体" w:eastAsia="宋体" w:cs="宋体"/>
                <w:spacing w:val="9"/>
                <w:sz w:val="28"/>
                <w:szCs w:val="28"/>
                <w14:textOutline w14:w="4358" w14:cap="sq" w14:cmpd="sng">
                  <w14:solidFill>
                    <w14:srgbClr w14:val="000000"/>
                  </w14:solidFill>
                  <w14:prstDash w14:val="solid"/>
                  <w14:bevel/>
                </w14:textOutline>
              </w:rPr>
              <w:t>标</w:t>
            </w:r>
            <w:r>
              <w:rPr>
                <w:rFonts w:hint="eastAsia" w:ascii="宋体" w:hAnsi="宋体" w:cs="宋体"/>
                <w:spacing w:val="9"/>
                <w:sz w:val="28"/>
                <w:szCs w:val="28"/>
                <w:lang w:val="en-US" w:eastAsia="zh-CN"/>
                <w14:textOutline w14:w="4358" w14:cap="sq" w14:cmpd="sng">
                  <w14:solidFill>
                    <w14:srgbClr w14:val="000000"/>
                  </w14:solidFill>
                  <w14:prstDash w14:val="solid"/>
                  <w14:bevel/>
                </w14:textOutline>
              </w:rPr>
              <w:t>不</w:t>
            </w:r>
            <w:r>
              <w:rPr>
                <w:rFonts w:hint="eastAsia" w:ascii="宋体" w:hAnsi="宋体" w:eastAsia="宋体" w:cs="宋体"/>
                <w:spacing w:val="9"/>
                <w:sz w:val="28"/>
                <w:szCs w:val="28"/>
                <w14:textOutline w14:w="4358" w14:cap="sq" w14:cmpd="sng">
                  <w14:solidFill>
                    <w14:srgbClr w14:val="000000"/>
                  </w14:solidFill>
                  <w14:prstDash w14:val="solid"/>
                  <w14:bevel/>
                </w14:textOutline>
              </w:rPr>
              <w:t>接受联合体投标</w:t>
            </w:r>
          </w:p>
          <w:p w14:paraId="3933C308">
            <w:pPr>
              <w:spacing w:line="540" w:lineRule="exact"/>
              <w:rPr>
                <w:rFonts w:hint="eastAsia" w:ascii="宋体" w:hAnsi="宋体" w:cs="宋体"/>
                <w:kern w:val="0"/>
              </w:rPr>
            </w:pPr>
            <w:r>
              <w:rPr>
                <w:rFonts w:hint="eastAsia" w:ascii="宋体" w:hAnsi="宋体" w:cs="宋体"/>
                <w:kern w:val="0"/>
              </w:rPr>
              <w:t>联合体投标的，应满足下列要求：</w:t>
            </w:r>
          </w:p>
          <w:p w14:paraId="3A2E77AF">
            <w:pPr>
              <w:spacing w:line="540" w:lineRule="exact"/>
              <w:rPr>
                <w:rFonts w:hint="eastAsia" w:ascii="宋体" w:hAnsi="宋体" w:cs="宋体"/>
                <w:kern w:val="0"/>
              </w:rPr>
            </w:pPr>
            <w:r>
              <w:rPr>
                <w:rFonts w:hint="eastAsia" w:ascii="宋体" w:hAnsi="宋体" w:cs="宋体"/>
                <w:kern w:val="0"/>
              </w:rPr>
              <w:t>(1) 联合体各方应签订共同投标协议，明确联合体各方拟承担的工作 和责任，明确联合体牵头人和联合体其他成员的权利义务；</w:t>
            </w:r>
          </w:p>
          <w:p w14:paraId="744EE2B3">
            <w:pPr>
              <w:spacing w:line="540" w:lineRule="exact"/>
              <w:rPr>
                <w:rFonts w:hint="eastAsia" w:ascii="宋体" w:hAnsi="宋体" w:cs="宋体"/>
                <w:kern w:val="0"/>
              </w:rPr>
            </w:pPr>
            <w:r>
              <w:rPr>
                <w:rFonts w:hint="eastAsia" w:ascii="宋体" w:hAnsi="宋体" w:cs="宋体"/>
                <w:kern w:val="0"/>
              </w:rPr>
              <w:t>(2) 联合体各方不得再以自己名义单独投标，也不得参加其他联合体在本招标项目中投标；</w:t>
            </w:r>
          </w:p>
          <w:p w14:paraId="3B42CB54">
            <w:pPr>
              <w:spacing w:line="540" w:lineRule="exact"/>
              <w:rPr>
                <w:rFonts w:hint="eastAsia" w:ascii="宋体" w:hAnsi="宋体" w:cs="宋体"/>
                <w:kern w:val="0"/>
              </w:rPr>
            </w:pPr>
            <w:r>
              <w:rPr>
                <w:rFonts w:hint="eastAsia" w:ascii="宋体" w:hAnsi="宋体" w:cs="宋体"/>
                <w:kern w:val="0"/>
              </w:rPr>
              <w:t>(3) 联合体组成后不得再发生变化；</w:t>
            </w:r>
          </w:p>
          <w:p w14:paraId="5529F534">
            <w:pPr>
              <w:spacing w:line="540" w:lineRule="exact"/>
              <w:rPr>
                <w:rFonts w:hint="eastAsia" w:ascii="宋体" w:hAnsi="宋体" w:cs="宋体"/>
                <w:kern w:val="0"/>
              </w:rPr>
            </w:pPr>
            <w:r>
              <w:rPr>
                <w:rFonts w:hint="eastAsia" w:ascii="宋体" w:hAnsi="宋体" w:cs="宋体"/>
                <w:kern w:val="0"/>
              </w:rPr>
              <w:t>(4)联合体各方必须指定牵头人,授权其代表所有联合体成员负责投标 和合同实施阶段的主办、协调工作，并应当向招标人提交由所有联合体成员法定代表人签署的授权书；</w:t>
            </w:r>
          </w:p>
          <w:p w14:paraId="04E57341">
            <w:pPr>
              <w:spacing w:line="540" w:lineRule="exact"/>
              <w:rPr>
                <w:rFonts w:hint="eastAsia" w:ascii="宋体" w:hAnsi="宋体" w:cs="宋体"/>
                <w:kern w:val="0"/>
              </w:rPr>
            </w:pPr>
            <w:r>
              <w:rPr>
                <w:rFonts w:hint="eastAsia" w:ascii="宋体" w:hAnsi="宋体" w:cs="宋体"/>
                <w:kern w:val="0"/>
              </w:rPr>
              <w:t>(5) 除联合体牵头人外，联合体各成员在投标、中标与项目实施过程 中，仍负有连带的和各自的法律责任；</w:t>
            </w:r>
          </w:p>
          <w:p w14:paraId="5EEFC605">
            <w:pPr>
              <w:spacing w:line="540" w:lineRule="exact"/>
              <w:rPr>
                <w:rFonts w:hint="eastAsia" w:ascii="宋体" w:hAnsi="宋体" w:cs="宋体"/>
                <w:kern w:val="0"/>
              </w:rPr>
            </w:pPr>
            <w:r>
              <w:rPr>
                <w:rFonts w:hint="eastAsia" w:ascii="宋体" w:hAnsi="宋体" w:cs="宋体"/>
                <w:kern w:val="0"/>
              </w:rPr>
              <w:t>(6) 投标人中标后，未经招标人书面同意，联合体的成员结构、相互 关系及出资比例均不得变动。</w:t>
            </w:r>
          </w:p>
          <w:p w14:paraId="37CCE5EE">
            <w:pPr>
              <w:autoSpaceDE w:val="0"/>
              <w:autoSpaceDN w:val="0"/>
              <w:spacing w:line="360" w:lineRule="auto"/>
              <w:rPr>
                <w:rFonts w:hint="eastAsia" w:ascii="宋体" w:hAnsi="宋体" w:cs="宋体"/>
                <w:color w:val="auto"/>
                <w:sz w:val="24"/>
                <w:lang w:val="en-US" w:eastAsia="zh-CN"/>
              </w:rPr>
            </w:pPr>
            <w:r>
              <w:rPr>
                <w:rFonts w:hint="eastAsia" w:ascii="宋体" w:hAnsi="宋体" w:cs="宋体"/>
                <w:kern w:val="0"/>
              </w:rPr>
              <w:t>(7) 投标文件格式中规定的签字盖章内容，联合体投标时，可以由牵 头单位单独盖章签字，也可以由牵头单位、成员单位分别盖章签字。</w:t>
            </w:r>
          </w:p>
        </w:tc>
      </w:tr>
    </w:tbl>
    <w:p w14:paraId="69A58A5F">
      <w:pPr>
        <w:pStyle w:val="29"/>
        <w:spacing w:before="0" w:after="0" w:line="360" w:lineRule="auto"/>
        <w:outlineLvl w:val="0"/>
        <w:rPr>
          <w:rFonts w:hint="eastAsia" w:ascii="宋体" w:hAnsi="宋体" w:cs="宋体"/>
          <w:color w:val="auto"/>
          <w:sz w:val="24"/>
        </w:rPr>
        <w:sectPr>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cols w:space="720" w:num="1"/>
          <w:titlePg/>
          <w:docGrid w:linePitch="312" w:charSpace="0"/>
        </w:sectPr>
      </w:pPr>
    </w:p>
    <w:p w14:paraId="1AB2DAEE">
      <w:pPr>
        <w:pStyle w:val="29"/>
        <w:spacing w:before="0" w:after="0" w:line="360" w:lineRule="auto"/>
        <w:ind w:firstLine="2617" w:firstLineChars="543"/>
        <w:jc w:val="both"/>
        <w:outlineLvl w:val="0"/>
        <w:rPr>
          <w:rFonts w:hint="eastAsia" w:ascii="宋体" w:hAnsi="宋体" w:cs="宋体"/>
          <w:color w:val="auto"/>
          <w:sz w:val="48"/>
          <w:lang w:val="zh-CN"/>
        </w:rPr>
      </w:pPr>
      <w:bookmarkStart w:id="16" w:name="_Toc444715734"/>
      <w:bookmarkStart w:id="17" w:name="_Toc20737"/>
      <w:bookmarkStart w:id="18" w:name="_Toc17193"/>
      <w:r>
        <w:rPr>
          <w:rFonts w:hint="eastAsia" w:ascii="宋体" w:hAnsi="宋体" w:cs="宋体"/>
          <w:color w:val="auto"/>
          <w:sz w:val="48"/>
        </w:rPr>
        <w:t>第</w:t>
      </w:r>
      <w:r>
        <w:rPr>
          <w:rFonts w:hint="eastAsia" w:ascii="宋体" w:hAnsi="宋体" w:cs="宋体"/>
          <w:color w:val="auto"/>
          <w:sz w:val="48"/>
          <w:lang w:eastAsia="zh-CN"/>
        </w:rPr>
        <w:t>三</w:t>
      </w:r>
      <w:r>
        <w:rPr>
          <w:rFonts w:hint="eastAsia" w:ascii="宋体" w:hAnsi="宋体" w:cs="宋体"/>
          <w:color w:val="auto"/>
          <w:sz w:val="48"/>
        </w:rPr>
        <w:t>部分  供应商须知</w:t>
      </w:r>
      <w:bookmarkEnd w:id="16"/>
      <w:bookmarkEnd w:id="17"/>
      <w:bookmarkEnd w:id="18"/>
    </w:p>
    <w:p w14:paraId="0A93DD16">
      <w:pPr>
        <w:pStyle w:val="4"/>
        <w:ind w:left="158" w:leftChars="0" w:firstLineChars="0"/>
        <w:outlineLvl w:val="1"/>
        <w:rPr>
          <w:rFonts w:hint="eastAsia" w:ascii="宋体" w:hAnsi="宋体" w:eastAsia="宋体" w:cs="宋体"/>
          <w:b/>
          <w:bCs w:val="0"/>
          <w:color w:val="auto"/>
          <w:kern w:val="0"/>
          <w:sz w:val="28"/>
          <w:szCs w:val="28"/>
          <w:lang w:val="en-US" w:eastAsia="zh-CN" w:bidi="ar-SA"/>
        </w:rPr>
      </w:pPr>
      <w:bookmarkStart w:id="19" w:name="_Toc15397"/>
      <w:r>
        <w:rPr>
          <w:rFonts w:hint="eastAsia" w:ascii="宋体" w:hAnsi="宋体" w:eastAsia="宋体" w:cs="宋体"/>
          <w:b/>
          <w:bCs w:val="0"/>
          <w:color w:val="auto"/>
          <w:kern w:val="0"/>
          <w:sz w:val="28"/>
          <w:szCs w:val="28"/>
          <w:lang w:val="en-US" w:eastAsia="zh-CN" w:bidi="ar-SA"/>
        </w:rPr>
        <w:t>说明</w:t>
      </w:r>
      <w:bookmarkEnd w:id="19"/>
    </w:p>
    <w:p w14:paraId="36B8B64E">
      <w:pPr>
        <w:pStyle w:val="5"/>
        <w:numPr>
          <w:ilvl w:val="0"/>
          <w:numId w:val="6"/>
        </w:numPr>
        <w:spacing w:before="0" w:after="0" w:line="360" w:lineRule="auto"/>
        <w:rPr>
          <w:rFonts w:hint="eastAsia" w:ascii="宋体" w:hAnsi="宋体" w:eastAsia="宋体" w:cs="宋体"/>
          <w:bCs w:val="0"/>
          <w:color w:val="auto"/>
        </w:rPr>
      </w:pPr>
      <w:bookmarkStart w:id="20" w:name="_Toc495570969"/>
      <w:bookmarkStart w:id="21" w:name="_Toc446427794"/>
      <w:bookmarkStart w:id="22" w:name="_Toc488691479"/>
      <w:bookmarkStart w:id="23" w:name="_Toc459377860"/>
      <w:bookmarkStart w:id="24" w:name="_Toc512"/>
      <w:r>
        <w:rPr>
          <w:rFonts w:hint="eastAsia" w:ascii="宋体" w:hAnsi="宋体" w:eastAsia="宋体" w:cs="宋体"/>
          <w:bCs w:val="0"/>
          <w:color w:val="auto"/>
        </w:rPr>
        <w:t>磋商内容及要求</w:t>
      </w:r>
      <w:bookmarkEnd w:id="20"/>
      <w:bookmarkEnd w:id="21"/>
      <w:bookmarkEnd w:id="22"/>
      <w:bookmarkEnd w:id="23"/>
    </w:p>
    <w:p w14:paraId="3B57068E">
      <w:pPr>
        <w:pStyle w:val="2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本次采购依据采购</w:t>
      </w:r>
      <w:r>
        <w:rPr>
          <w:rFonts w:hint="eastAsia" w:hAnsi="宋体" w:cs="宋体"/>
          <w:color w:val="auto"/>
          <w:sz w:val="24"/>
          <w:szCs w:val="24"/>
          <w:highlight w:val="none"/>
          <w:lang w:eastAsia="zh-CN"/>
        </w:rPr>
        <w:t>人</w:t>
      </w:r>
      <w:r>
        <w:rPr>
          <w:rFonts w:hint="eastAsia" w:hAnsi="宋体" w:cs="宋体"/>
          <w:color w:val="auto"/>
          <w:sz w:val="24"/>
          <w:szCs w:val="24"/>
          <w:highlight w:val="none"/>
        </w:rPr>
        <w:t>的采购计划，仅适用于本竞争性磋商文件（以下简称“磋商文件”）中所叙述的项目。</w:t>
      </w:r>
    </w:p>
    <w:p w14:paraId="6EE87EA0">
      <w:pPr>
        <w:pStyle w:val="5"/>
        <w:numPr>
          <w:ilvl w:val="0"/>
          <w:numId w:val="6"/>
        </w:numPr>
        <w:spacing w:before="0" w:after="0" w:line="360" w:lineRule="auto"/>
        <w:rPr>
          <w:rFonts w:hint="eastAsia" w:ascii="宋体" w:hAnsi="宋体" w:eastAsia="宋体" w:cs="宋体"/>
          <w:bCs w:val="0"/>
          <w:color w:val="auto"/>
        </w:rPr>
      </w:pPr>
      <w:bookmarkStart w:id="25" w:name="_Toc488673614"/>
      <w:r>
        <w:rPr>
          <w:rFonts w:hint="eastAsia" w:ascii="宋体" w:hAnsi="宋体" w:eastAsia="宋体" w:cs="宋体"/>
          <w:bCs w:val="0"/>
          <w:color w:val="auto"/>
        </w:rPr>
        <w:t>采购方式、合格的磋商供应商</w:t>
      </w:r>
      <w:bookmarkEnd w:id="25"/>
    </w:p>
    <w:p w14:paraId="0E5C7839">
      <w:pPr>
        <w:pStyle w:val="20"/>
        <w:numPr>
          <w:ilvl w:val="1"/>
          <w:numId w:val="7"/>
        </w:numPr>
        <w:spacing w:line="360" w:lineRule="auto"/>
        <w:rPr>
          <w:rFonts w:hint="eastAsia" w:hAnsi="宋体" w:cs="宋体"/>
          <w:color w:val="auto"/>
          <w:sz w:val="24"/>
          <w:szCs w:val="24"/>
          <w:highlight w:val="none"/>
        </w:rPr>
      </w:pPr>
      <w:r>
        <w:rPr>
          <w:rFonts w:hint="eastAsia" w:hAnsi="宋体" w:cs="宋体"/>
          <w:color w:val="auto"/>
          <w:sz w:val="24"/>
          <w:szCs w:val="24"/>
          <w:highlight w:val="none"/>
        </w:rPr>
        <w:t>本次</w:t>
      </w:r>
      <w:r>
        <w:rPr>
          <w:rFonts w:hint="eastAsia" w:hAnsi="宋体" w:cs="宋体"/>
          <w:color w:val="auto"/>
          <w:sz w:val="24"/>
          <w:szCs w:val="24"/>
          <w:highlight w:val="none"/>
          <w:lang w:val="en-US" w:eastAsia="zh-CN"/>
        </w:rPr>
        <w:t>招标</w:t>
      </w:r>
      <w:r>
        <w:rPr>
          <w:rFonts w:hint="eastAsia" w:hAnsi="宋体" w:cs="宋体"/>
          <w:color w:val="auto"/>
          <w:sz w:val="24"/>
          <w:szCs w:val="24"/>
          <w:highlight w:val="none"/>
        </w:rPr>
        <w:t>采取竞争性磋商方式；</w:t>
      </w:r>
    </w:p>
    <w:p w14:paraId="3DAC49F5">
      <w:pPr>
        <w:pStyle w:val="20"/>
        <w:numPr>
          <w:ilvl w:val="1"/>
          <w:numId w:val="7"/>
        </w:numPr>
        <w:spacing w:line="360" w:lineRule="auto"/>
        <w:rPr>
          <w:rFonts w:hint="eastAsia" w:hAnsi="宋体" w:cs="宋体"/>
          <w:color w:val="auto"/>
          <w:sz w:val="24"/>
          <w:szCs w:val="24"/>
          <w:highlight w:val="none"/>
        </w:rPr>
      </w:pPr>
      <w:r>
        <w:rPr>
          <w:rFonts w:hint="eastAsia" w:hAnsi="宋体" w:cs="宋体"/>
          <w:color w:val="auto"/>
          <w:sz w:val="24"/>
          <w:szCs w:val="24"/>
          <w:highlight w:val="none"/>
        </w:rPr>
        <w:t>合格的磋商供应商</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详见第一部分“</w:t>
      </w:r>
      <w:r>
        <w:rPr>
          <w:rFonts w:hint="eastAsia" w:ascii="宋体" w:hAnsi="宋体" w:eastAsia="宋体" w:cs="宋体"/>
          <w:color w:val="auto"/>
          <w:sz w:val="24"/>
          <w:szCs w:val="24"/>
          <w:highlight w:val="none"/>
        </w:rPr>
        <w:t>竞争性磋商</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人资格条件</w:t>
      </w:r>
      <w:r>
        <w:rPr>
          <w:rFonts w:hint="eastAsia" w:hAnsi="宋体" w:cs="宋体"/>
          <w:color w:val="auto"/>
          <w:sz w:val="24"/>
          <w:szCs w:val="24"/>
          <w:highlight w:val="none"/>
          <w:lang w:val="en-US" w:eastAsia="zh-CN"/>
        </w:rPr>
        <w:t>”</w:t>
      </w:r>
    </w:p>
    <w:p w14:paraId="15B04B84">
      <w:pPr>
        <w:pStyle w:val="5"/>
        <w:numPr>
          <w:ilvl w:val="0"/>
          <w:numId w:val="6"/>
        </w:numPr>
        <w:spacing w:before="0" w:after="0" w:line="360" w:lineRule="auto"/>
        <w:rPr>
          <w:rFonts w:hint="default" w:ascii="宋体" w:hAnsi="宋体" w:eastAsia="宋体" w:cs="宋体"/>
          <w:bCs w:val="0"/>
          <w:color w:val="auto"/>
          <w:lang w:val="en-US" w:eastAsia="zh-CN"/>
        </w:rPr>
      </w:pPr>
      <w:r>
        <w:rPr>
          <w:rFonts w:hint="eastAsia" w:ascii="宋体" w:hAnsi="宋体" w:eastAsia="宋体" w:cs="宋体"/>
          <w:bCs w:val="0"/>
          <w:color w:val="auto"/>
          <w:lang w:val="en-US" w:eastAsia="zh-CN"/>
        </w:rPr>
        <w:t>磋商费用</w:t>
      </w:r>
    </w:p>
    <w:p w14:paraId="1D7A4C95">
      <w:pPr>
        <w:tabs>
          <w:tab w:val="left" w:pos="840"/>
        </w:tabs>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供应商应自愿承担与参加本次投标有关的费用。采购代理机构对供应商发生的费用不承担任何责任。</w:t>
      </w:r>
    </w:p>
    <w:p w14:paraId="13B6A685">
      <w:pPr>
        <w:pStyle w:val="4"/>
        <w:ind w:left="158" w:leftChars="0" w:firstLineChars="0"/>
        <w:outlineLvl w:val="1"/>
        <w:rPr>
          <w:rFonts w:hint="eastAsia" w:ascii="宋体" w:hAnsi="宋体" w:eastAsia="宋体" w:cs="宋体"/>
          <w:b/>
          <w:bCs w:val="0"/>
          <w:color w:val="auto"/>
          <w:kern w:val="0"/>
          <w:sz w:val="28"/>
          <w:szCs w:val="28"/>
          <w:lang w:val="en-US" w:eastAsia="zh-CN" w:bidi="ar-SA"/>
        </w:rPr>
      </w:pPr>
      <w:r>
        <w:rPr>
          <w:rFonts w:hint="eastAsia" w:ascii="宋体" w:hAnsi="宋体" w:eastAsia="宋体" w:cs="宋体"/>
          <w:b/>
          <w:bCs w:val="0"/>
          <w:color w:val="auto"/>
          <w:kern w:val="0"/>
          <w:sz w:val="28"/>
          <w:szCs w:val="28"/>
          <w:lang w:val="en-US" w:eastAsia="zh-CN" w:bidi="ar-SA"/>
        </w:rPr>
        <w:t>磋商文件说明</w:t>
      </w:r>
      <w:bookmarkEnd w:id="24"/>
    </w:p>
    <w:p w14:paraId="47130A76">
      <w:pPr>
        <w:pStyle w:val="5"/>
        <w:numPr>
          <w:ilvl w:val="0"/>
          <w:numId w:val="6"/>
        </w:numPr>
        <w:spacing w:before="0" w:after="0" w:line="360" w:lineRule="auto"/>
        <w:rPr>
          <w:rFonts w:hint="eastAsia" w:ascii="宋体" w:hAnsi="宋体" w:cs="宋体"/>
          <w:bCs w:val="0"/>
          <w:color w:val="auto"/>
        </w:rPr>
      </w:pPr>
      <w:bookmarkStart w:id="26" w:name="_Toc488673617"/>
      <w:r>
        <w:rPr>
          <w:rFonts w:hint="eastAsia" w:ascii="宋体" w:hAnsi="宋体" w:cs="宋体"/>
          <w:bCs w:val="0"/>
          <w:color w:val="auto"/>
        </w:rPr>
        <w:t>磋商文件的构成</w:t>
      </w:r>
      <w:bookmarkEnd w:id="26"/>
    </w:p>
    <w:p w14:paraId="3754123E">
      <w:pPr>
        <w:pStyle w:val="20"/>
        <w:spacing w:line="360" w:lineRule="auto"/>
        <w:ind w:left="141"/>
        <w:rPr>
          <w:rFonts w:hint="eastAsia" w:hAnsi="宋体" w:cs="宋体"/>
          <w:b/>
          <w:bCs/>
          <w:color w:val="auto"/>
          <w:sz w:val="24"/>
          <w:szCs w:val="28"/>
        </w:rPr>
      </w:pPr>
      <w:r>
        <w:rPr>
          <w:rFonts w:hint="eastAsia" w:hAnsi="宋体" w:cs="宋体"/>
          <w:b/>
          <w:bCs/>
          <w:color w:val="auto"/>
          <w:sz w:val="24"/>
          <w:szCs w:val="28"/>
          <w:lang w:val="en-US" w:eastAsia="zh-CN"/>
        </w:rPr>
        <w:t>4</w:t>
      </w:r>
      <w:r>
        <w:rPr>
          <w:rFonts w:hint="eastAsia" w:hAnsi="宋体" w:cs="宋体"/>
          <w:b/>
          <w:bCs/>
          <w:color w:val="auto"/>
          <w:sz w:val="24"/>
          <w:szCs w:val="28"/>
          <w:lang w:eastAsia="zh-CN"/>
        </w:rPr>
        <w:t>.1</w:t>
      </w:r>
      <w:r>
        <w:rPr>
          <w:rFonts w:hint="eastAsia" w:hAnsi="宋体" w:cs="宋体"/>
          <w:b/>
          <w:bCs/>
          <w:color w:val="auto"/>
          <w:sz w:val="24"/>
          <w:szCs w:val="28"/>
        </w:rPr>
        <w:t>磋商文件包括：</w:t>
      </w:r>
    </w:p>
    <w:p w14:paraId="1E04F91D">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磋商邀请；</w:t>
      </w:r>
    </w:p>
    <w:p w14:paraId="4B978D97">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磋商供应商须知前附表；</w:t>
      </w:r>
    </w:p>
    <w:p w14:paraId="50D1BA9C">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磋商供应商须知；</w:t>
      </w:r>
    </w:p>
    <w:p w14:paraId="585840C0">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青海省政府采购合同文本样式；</w:t>
      </w:r>
    </w:p>
    <w:p w14:paraId="31398743">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磋商响应文件格式；</w:t>
      </w:r>
    </w:p>
    <w:p w14:paraId="1F11F5B6">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采购项目要求及技术参数；</w:t>
      </w:r>
    </w:p>
    <w:p w14:paraId="61E35603">
      <w:pPr>
        <w:pStyle w:val="20"/>
        <w:numPr>
          <w:ilvl w:val="0"/>
          <w:numId w:val="8"/>
        </w:numPr>
        <w:spacing w:line="360" w:lineRule="auto"/>
        <w:rPr>
          <w:rFonts w:ascii="Arial" w:hAnsi="Arial" w:cs="Arial"/>
          <w:color w:val="auto"/>
          <w:sz w:val="24"/>
          <w:szCs w:val="24"/>
        </w:rPr>
      </w:pPr>
      <w:r>
        <w:rPr>
          <w:rFonts w:ascii="Arial" w:hAnsi="Arial" w:cs="Arial"/>
          <w:color w:val="auto"/>
          <w:sz w:val="24"/>
          <w:szCs w:val="24"/>
        </w:rPr>
        <w:t>采购过程中发生的澄清、变更和补充文件；</w:t>
      </w:r>
    </w:p>
    <w:p w14:paraId="68ED3F29">
      <w:pPr>
        <w:pStyle w:val="20"/>
        <w:spacing w:line="360" w:lineRule="auto"/>
        <w:ind w:left="141"/>
        <w:rPr>
          <w:rFonts w:hint="eastAsia" w:hAnsi="宋体" w:cs="宋体"/>
          <w:color w:val="auto"/>
          <w:sz w:val="24"/>
          <w:szCs w:val="28"/>
        </w:rPr>
      </w:pPr>
      <w:r>
        <w:rPr>
          <w:rFonts w:hint="eastAsia" w:hAnsi="宋体" w:cs="宋体"/>
          <w:color w:val="auto"/>
          <w:sz w:val="24"/>
          <w:szCs w:val="24"/>
          <w:lang w:val="en-US" w:eastAsia="zh-CN"/>
        </w:rPr>
        <w:t>4.2</w:t>
      </w:r>
      <w:r>
        <w:rPr>
          <w:rFonts w:hint="eastAsia" w:hAnsi="宋体" w:cs="宋体"/>
          <w:color w:val="auto"/>
          <w:sz w:val="24"/>
          <w:szCs w:val="24"/>
        </w:rPr>
        <w:t>磋商供应商应认真阅读磋商文件中列示的事项、格式、条款和要求等内容。如果磋商供应商未按磋商文件要求提交全部资料，或者对磋商文件未作出实质性响应的，根据相关法规要求，此类磋商将被拒绝（视为无效投标）。</w:t>
      </w:r>
    </w:p>
    <w:p w14:paraId="5BFEDB79">
      <w:pPr>
        <w:pStyle w:val="5"/>
        <w:numPr>
          <w:ilvl w:val="0"/>
          <w:numId w:val="6"/>
        </w:numPr>
        <w:spacing w:before="0" w:after="0" w:line="360" w:lineRule="auto"/>
        <w:rPr>
          <w:rFonts w:hint="eastAsia" w:ascii="宋体" w:hAnsi="宋体" w:cs="宋体"/>
          <w:bCs w:val="0"/>
          <w:color w:val="auto"/>
        </w:rPr>
      </w:pPr>
      <w:bookmarkStart w:id="27" w:name="_Toc488673618"/>
      <w:r>
        <w:rPr>
          <w:rFonts w:hint="eastAsia" w:ascii="宋体" w:hAnsi="宋体" w:cs="宋体"/>
          <w:bCs w:val="0"/>
          <w:color w:val="auto"/>
        </w:rPr>
        <w:t>磋商文件的质疑</w:t>
      </w:r>
      <w:bookmarkEnd w:id="27"/>
    </w:p>
    <w:p w14:paraId="5932226B">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.1</w:t>
      </w:r>
      <w:r>
        <w:rPr>
          <w:rFonts w:hint="eastAsia" w:hAnsi="宋体" w:cs="宋体"/>
          <w:color w:val="auto"/>
          <w:sz w:val="24"/>
          <w:szCs w:val="28"/>
        </w:rPr>
        <w:t>参加磋商的磋商供应商认为磋商文件、</w:t>
      </w:r>
      <w:r>
        <w:rPr>
          <w:rFonts w:hint="eastAsia" w:hAnsi="宋体" w:cs="宋体"/>
          <w:color w:val="auto"/>
          <w:sz w:val="24"/>
          <w:szCs w:val="24"/>
        </w:rPr>
        <w:t>磋商</w:t>
      </w:r>
      <w:r>
        <w:rPr>
          <w:rFonts w:hint="eastAsia" w:hAnsi="宋体" w:cs="宋体"/>
          <w:color w:val="auto"/>
          <w:sz w:val="24"/>
          <w:szCs w:val="28"/>
        </w:rPr>
        <w:t>活动和成交、成交结果使自己的权益受到损害的，可以在知道或者应知其权益受到损害之日起7个工作日内以书面形式（如信件、传真等）向采购单位或者采购代理机构提出质疑，不接受匿名质疑。采购单位或采购代理机构在收到磋商供应商的书面质疑后7个工作日内予以答复，并将答复事宜在青海政府采购网等媒体上发布公告，告知本项目的所有潜在磋商供应商。</w:t>
      </w:r>
    </w:p>
    <w:p w14:paraId="1BD97284">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.2</w:t>
      </w:r>
      <w:r>
        <w:rPr>
          <w:rFonts w:hint="eastAsia" w:hAnsi="宋体" w:cs="宋体"/>
          <w:color w:val="auto"/>
          <w:sz w:val="24"/>
          <w:szCs w:val="28"/>
        </w:rPr>
        <w:t>参与采购活动的磋商人对评审过程或者结果提出质疑的，采购人或采购代理机构可以组织原磋商小组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220C7BFF">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5</w:t>
      </w:r>
      <w:r>
        <w:rPr>
          <w:rFonts w:hint="eastAsia" w:hAnsi="宋体" w:cs="宋体"/>
          <w:color w:val="auto"/>
          <w:sz w:val="24"/>
          <w:szCs w:val="28"/>
          <w:lang w:eastAsia="zh-CN"/>
        </w:rPr>
        <w:t>.</w:t>
      </w:r>
      <w:r>
        <w:rPr>
          <w:rFonts w:hint="eastAsia" w:hAnsi="宋体" w:cs="宋体"/>
          <w:color w:val="auto"/>
          <w:sz w:val="24"/>
          <w:szCs w:val="28"/>
          <w:lang w:val="en-US" w:eastAsia="zh-CN"/>
        </w:rPr>
        <w:t>3</w:t>
      </w:r>
      <w:r>
        <w:rPr>
          <w:rFonts w:hint="eastAsia" w:hAnsi="宋体" w:cs="宋体"/>
          <w:color w:val="auto"/>
          <w:sz w:val="24"/>
          <w:szCs w:val="28"/>
        </w:rPr>
        <w:t>质疑时效期间的计算</w:t>
      </w:r>
    </w:p>
    <w:p w14:paraId="7DBE8EB7">
      <w:pPr>
        <w:pStyle w:val="20"/>
        <w:numPr>
          <w:ilvl w:val="0"/>
          <w:numId w:val="9"/>
        </w:numPr>
        <w:spacing w:line="360" w:lineRule="auto"/>
        <w:rPr>
          <w:rFonts w:hint="eastAsia" w:hAnsi="宋体" w:cs="宋体"/>
          <w:color w:val="auto"/>
          <w:sz w:val="24"/>
          <w:szCs w:val="24"/>
        </w:rPr>
      </w:pPr>
      <w:r>
        <w:rPr>
          <w:rFonts w:hint="eastAsia" w:hAnsi="宋体" w:cs="宋体"/>
          <w:color w:val="auto"/>
          <w:sz w:val="24"/>
          <w:szCs w:val="24"/>
        </w:rPr>
        <w:t>对可以质疑的磋商文件提出质疑的，为收到磋商文件之日或磋商文件公告期限届满之日；</w:t>
      </w:r>
    </w:p>
    <w:p w14:paraId="1845F218">
      <w:pPr>
        <w:pStyle w:val="20"/>
        <w:numPr>
          <w:ilvl w:val="0"/>
          <w:numId w:val="9"/>
        </w:numPr>
        <w:spacing w:line="360" w:lineRule="auto"/>
        <w:rPr>
          <w:rFonts w:hint="eastAsia" w:hAnsi="宋体" w:cs="宋体"/>
          <w:color w:val="auto"/>
          <w:sz w:val="24"/>
          <w:szCs w:val="24"/>
        </w:rPr>
      </w:pPr>
      <w:r>
        <w:rPr>
          <w:rFonts w:hint="eastAsia" w:hAnsi="宋体" w:cs="宋体"/>
          <w:color w:val="auto"/>
          <w:sz w:val="24"/>
          <w:szCs w:val="24"/>
        </w:rPr>
        <w:t>对磋商过程提出质疑的，为磋商程序各环节结束之日；</w:t>
      </w:r>
    </w:p>
    <w:p w14:paraId="29B2FF6E">
      <w:pPr>
        <w:pStyle w:val="20"/>
        <w:numPr>
          <w:ilvl w:val="0"/>
          <w:numId w:val="9"/>
        </w:numPr>
        <w:spacing w:line="360" w:lineRule="auto"/>
        <w:rPr>
          <w:rFonts w:hint="eastAsia" w:hAnsi="宋体" w:cs="宋体"/>
          <w:color w:val="auto"/>
          <w:sz w:val="24"/>
          <w:szCs w:val="24"/>
        </w:rPr>
      </w:pPr>
      <w:r>
        <w:rPr>
          <w:rFonts w:hint="eastAsia" w:hAnsi="宋体" w:cs="宋体"/>
          <w:color w:val="auto"/>
          <w:sz w:val="24"/>
          <w:szCs w:val="24"/>
        </w:rPr>
        <w:t>对成交结果提出质疑的，为成交公告期限届满之日。</w:t>
      </w:r>
    </w:p>
    <w:p w14:paraId="7D2E0900">
      <w:pPr>
        <w:pStyle w:val="5"/>
        <w:numPr>
          <w:ilvl w:val="0"/>
          <w:numId w:val="6"/>
        </w:numPr>
        <w:spacing w:before="0" w:after="0" w:line="360" w:lineRule="auto"/>
        <w:rPr>
          <w:rFonts w:hint="eastAsia" w:ascii="宋体" w:hAnsi="宋体" w:cs="宋体"/>
          <w:b w:val="0"/>
          <w:color w:val="auto"/>
        </w:rPr>
      </w:pPr>
      <w:r>
        <w:rPr>
          <w:rFonts w:hint="eastAsia" w:ascii="宋体" w:hAnsi="宋体" w:cs="宋体"/>
          <w:color w:val="auto"/>
          <w:szCs w:val="24"/>
        </w:rPr>
        <w:t>磋商文件的澄清、修改</w:t>
      </w:r>
    </w:p>
    <w:p w14:paraId="279C6AC8">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.1</w:t>
      </w:r>
      <w:r>
        <w:rPr>
          <w:rFonts w:hint="eastAsia" w:hAnsi="宋体" w:cs="宋体"/>
          <w:color w:val="auto"/>
          <w:sz w:val="24"/>
          <w:szCs w:val="28"/>
        </w:rPr>
        <w:t>采购代理机构可以对已发出的</w:t>
      </w:r>
      <w:r>
        <w:rPr>
          <w:rFonts w:hint="eastAsia" w:hAnsi="宋体" w:cs="宋体"/>
          <w:color w:val="auto"/>
          <w:sz w:val="24"/>
          <w:szCs w:val="28"/>
          <w:lang w:eastAsia="zh-CN"/>
        </w:rPr>
        <w:t>磋商</w:t>
      </w:r>
      <w:r>
        <w:rPr>
          <w:rFonts w:hint="eastAsia" w:hAnsi="宋体" w:cs="宋体"/>
          <w:color w:val="auto"/>
          <w:sz w:val="24"/>
          <w:szCs w:val="28"/>
        </w:rPr>
        <w:t>文件进行必要的澄清或者修改，但不得改变采购标的和资格条件。澄清或者修改应当在原公告发布媒体上发布澄清公告。澄清或者修改的内容为</w:t>
      </w:r>
      <w:r>
        <w:rPr>
          <w:rFonts w:hint="eastAsia" w:hAnsi="宋体" w:cs="宋体"/>
          <w:color w:val="auto"/>
          <w:sz w:val="24"/>
          <w:szCs w:val="28"/>
          <w:lang w:eastAsia="zh-CN"/>
        </w:rPr>
        <w:t>磋商</w:t>
      </w:r>
      <w:r>
        <w:rPr>
          <w:rFonts w:hint="eastAsia" w:hAnsi="宋体" w:cs="宋体"/>
          <w:color w:val="auto"/>
          <w:sz w:val="24"/>
          <w:szCs w:val="28"/>
        </w:rPr>
        <w:t>文件的组成部分。</w:t>
      </w:r>
    </w:p>
    <w:p w14:paraId="3BDEE9E5">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.2</w:t>
      </w:r>
      <w:r>
        <w:rPr>
          <w:rFonts w:hint="eastAsia" w:hAnsi="宋体" w:cs="宋体"/>
          <w:color w:val="auto"/>
          <w:sz w:val="24"/>
          <w:szCs w:val="28"/>
        </w:rPr>
        <w:t>采购代理机构对已发出的磋商文件进行必要的澄清或者修改的，澄清或者修改的内容可能影响磋商文件编制的，在磋商文件要求提交磋商响应文件截止时间5日前，在青海政府采购网、青海</w:t>
      </w:r>
      <w:r>
        <w:rPr>
          <w:rFonts w:hint="eastAsia" w:hAnsi="宋体" w:cs="宋体"/>
          <w:color w:val="auto"/>
          <w:sz w:val="24"/>
          <w:szCs w:val="28"/>
          <w:lang w:eastAsia="zh-CN"/>
        </w:rPr>
        <w:t>省电子招标投标公共服务平台</w:t>
      </w:r>
      <w:r>
        <w:rPr>
          <w:rFonts w:hint="eastAsia" w:hAnsi="宋体" w:cs="宋体"/>
          <w:color w:val="auto"/>
          <w:sz w:val="24"/>
          <w:szCs w:val="28"/>
        </w:rPr>
        <w:t>等媒体上发布公告。不足5日的，顺延提交磋商文件的截止时间。该澄清或者修改的内容为磋商文件的组成部分；</w:t>
      </w:r>
    </w:p>
    <w:p w14:paraId="1FADFB26">
      <w:pPr>
        <w:pStyle w:val="20"/>
        <w:spacing w:line="360" w:lineRule="auto"/>
        <w:ind w:left="141"/>
        <w:rPr>
          <w:rFonts w:hint="eastAsia" w:hAnsi="宋体" w:cs="宋体"/>
          <w:color w:val="auto"/>
          <w:sz w:val="24"/>
          <w:szCs w:val="28"/>
        </w:rPr>
      </w:pPr>
      <w:r>
        <w:rPr>
          <w:rFonts w:hint="eastAsia" w:hAnsi="宋体" w:cs="宋体"/>
          <w:color w:val="auto"/>
          <w:sz w:val="24"/>
          <w:szCs w:val="28"/>
          <w:lang w:val="en-US" w:eastAsia="zh-CN"/>
        </w:rPr>
        <w:t>6</w:t>
      </w:r>
      <w:r>
        <w:rPr>
          <w:rFonts w:hint="eastAsia" w:hAnsi="宋体" w:cs="宋体"/>
          <w:color w:val="auto"/>
          <w:sz w:val="24"/>
          <w:szCs w:val="28"/>
          <w:lang w:eastAsia="zh-CN"/>
        </w:rPr>
        <w:t>.3</w:t>
      </w:r>
      <w:r>
        <w:rPr>
          <w:rFonts w:hint="eastAsia" w:hAnsi="宋体" w:cs="宋体"/>
          <w:color w:val="auto"/>
          <w:sz w:val="24"/>
          <w:szCs w:val="28"/>
        </w:rPr>
        <w:t>在磋商截止时间前，采购单位或采购代理机构可以视采购具体情况，延长磋商截止时间和磋商时间，并在磋商文件要求提交磋商响应文件的截止时间3日前，将变更时间以书面形式通知所有购买了磋商文件的潜在磋商供应商，同时在发布本次磋商公告的网站发布变更公告。</w:t>
      </w:r>
    </w:p>
    <w:p w14:paraId="5618E7F0">
      <w:pPr>
        <w:pStyle w:val="4"/>
        <w:ind w:left="158" w:leftChars="0" w:firstLineChars="0"/>
        <w:outlineLvl w:val="1"/>
        <w:rPr>
          <w:rFonts w:hint="eastAsia" w:hAnsi="宋体" w:cs="宋体"/>
          <w:b/>
          <w:color w:val="auto"/>
          <w:sz w:val="28"/>
          <w:szCs w:val="28"/>
        </w:rPr>
      </w:pPr>
      <w:bookmarkStart w:id="28" w:name="_Toc29003"/>
      <w:r>
        <w:rPr>
          <w:rFonts w:hint="eastAsia" w:hAnsi="宋体" w:cs="宋体"/>
          <w:b/>
          <w:color w:val="auto"/>
          <w:sz w:val="28"/>
          <w:szCs w:val="28"/>
        </w:rPr>
        <w:t>磋商响应文件的编写</w:t>
      </w:r>
      <w:bookmarkEnd w:id="28"/>
    </w:p>
    <w:p w14:paraId="2B1FA18F">
      <w:pPr>
        <w:pStyle w:val="5"/>
        <w:numPr>
          <w:ilvl w:val="0"/>
          <w:numId w:val="6"/>
        </w:numPr>
        <w:spacing w:before="0" w:after="0" w:line="360" w:lineRule="auto"/>
        <w:rPr>
          <w:rFonts w:hint="eastAsia" w:ascii="宋体" w:hAnsi="宋体" w:cs="宋体"/>
          <w:bCs w:val="0"/>
          <w:color w:val="auto"/>
          <w:sz w:val="24"/>
          <w:szCs w:val="24"/>
        </w:rPr>
      </w:pPr>
      <w:bookmarkStart w:id="29" w:name="_Toc488673621"/>
      <w:r>
        <w:rPr>
          <w:rFonts w:hint="eastAsia" w:ascii="宋体" w:hAnsi="宋体" w:cs="宋体"/>
          <w:bCs w:val="0"/>
          <w:color w:val="auto"/>
          <w:sz w:val="24"/>
          <w:szCs w:val="24"/>
        </w:rPr>
        <w:t>磋商响应文件的语言及度量衡单位</w:t>
      </w:r>
      <w:bookmarkEnd w:id="29"/>
    </w:p>
    <w:p w14:paraId="724F28E3">
      <w:pPr>
        <w:pStyle w:val="20"/>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.1</w:t>
      </w:r>
      <w:r>
        <w:rPr>
          <w:rFonts w:hint="eastAsia" w:hAnsi="宋体" w:cs="宋体"/>
          <w:color w:val="auto"/>
          <w:sz w:val="24"/>
          <w:szCs w:val="28"/>
        </w:rPr>
        <w:t>磋商供应商提交的磋商响应文件以及磋商供应商与采购代理机构就此磋商发生的所有来往函电均应使用简体中文；</w:t>
      </w:r>
    </w:p>
    <w:p w14:paraId="5D90ACE9">
      <w:pPr>
        <w:pStyle w:val="20"/>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.2</w:t>
      </w:r>
      <w:r>
        <w:rPr>
          <w:rFonts w:hint="eastAsia" w:hAnsi="宋体" w:cs="宋体"/>
          <w:color w:val="auto"/>
          <w:sz w:val="24"/>
          <w:szCs w:val="28"/>
        </w:rPr>
        <w:t>除磋商文件中另有规定外，磋商文件所使用的度量衡单位，均须采用国家法定计量单位；</w:t>
      </w:r>
    </w:p>
    <w:p w14:paraId="78BFA3D6">
      <w:pPr>
        <w:pStyle w:val="20"/>
        <w:spacing w:line="360" w:lineRule="auto"/>
        <w:rPr>
          <w:rFonts w:hint="eastAsia" w:hAnsi="宋体" w:cs="宋体"/>
          <w:color w:val="auto"/>
          <w:sz w:val="24"/>
          <w:szCs w:val="28"/>
        </w:rPr>
      </w:pPr>
      <w:r>
        <w:rPr>
          <w:rFonts w:hint="eastAsia" w:hAnsi="宋体" w:cs="宋体"/>
          <w:color w:val="auto"/>
          <w:sz w:val="24"/>
          <w:szCs w:val="28"/>
          <w:lang w:val="en-US" w:eastAsia="zh-CN"/>
        </w:rPr>
        <w:t>7</w:t>
      </w:r>
      <w:r>
        <w:rPr>
          <w:rFonts w:hint="eastAsia" w:hAnsi="宋体" w:cs="宋体"/>
          <w:color w:val="auto"/>
          <w:sz w:val="24"/>
          <w:szCs w:val="28"/>
          <w:lang w:eastAsia="zh-CN"/>
        </w:rPr>
        <w:t>.3</w:t>
      </w:r>
      <w:r>
        <w:rPr>
          <w:rFonts w:hint="eastAsia" w:hAnsi="宋体" w:cs="宋体"/>
          <w:color w:val="auto"/>
          <w:sz w:val="24"/>
          <w:szCs w:val="28"/>
        </w:rPr>
        <w:t>附有外文资料的须翻译成中文，并加盖磋商供应商公章，如果翻译的中文资料与外文资料出现差异与矛盾时，以中文为准，其准确性由磋商供应商负责。</w:t>
      </w:r>
    </w:p>
    <w:p w14:paraId="0344B4C8">
      <w:pPr>
        <w:pStyle w:val="5"/>
        <w:numPr>
          <w:ilvl w:val="0"/>
          <w:numId w:val="6"/>
        </w:numPr>
        <w:spacing w:before="0" w:after="0" w:line="360" w:lineRule="auto"/>
        <w:rPr>
          <w:rFonts w:hint="eastAsia" w:ascii="宋体" w:hAnsi="宋体" w:cs="宋体"/>
          <w:bCs w:val="0"/>
          <w:color w:val="auto"/>
        </w:rPr>
      </w:pPr>
      <w:bookmarkStart w:id="30" w:name="_Toc488673622"/>
      <w:r>
        <w:rPr>
          <w:rFonts w:hint="eastAsia" w:ascii="宋体" w:hAnsi="宋体" w:cs="宋体"/>
          <w:bCs w:val="0"/>
          <w:color w:val="auto"/>
        </w:rPr>
        <w:t>磋商报价及币种</w:t>
      </w:r>
      <w:bookmarkEnd w:id="30"/>
    </w:p>
    <w:p w14:paraId="4A7E7525">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.1</w:t>
      </w:r>
      <w:r>
        <w:rPr>
          <w:rFonts w:hint="eastAsia" w:hAnsi="宋体" w:cs="宋体"/>
          <w:color w:val="auto"/>
          <w:sz w:val="24"/>
          <w:szCs w:val="28"/>
        </w:rPr>
        <w:t>磋商报价为磋商总价。</w:t>
      </w:r>
      <w:r>
        <w:rPr>
          <w:rFonts w:hint="eastAsia" w:hAnsi="宋体" w:cs="宋体"/>
          <w:color w:val="auto"/>
          <w:sz w:val="24"/>
          <w:szCs w:val="28"/>
          <w:lang w:eastAsia="zh-CN"/>
        </w:rPr>
        <w:t>磋商报价必须包括：产品费、验收费、手续费、包装费、运输费、保险费、安装费、调试费、培训费、售前、售中、售后服务费、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r>
        <w:rPr>
          <w:rFonts w:hint="eastAsia" w:hAnsi="宋体" w:cs="宋体"/>
          <w:color w:val="auto"/>
          <w:sz w:val="24"/>
          <w:szCs w:val="28"/>
        </w:rPr>
        <w:t>磋商报价应注明有效期，有效期应与磋商有效期一致；</w:t>
      </w:r>
    </w:p>
    <w:p w14:paraId="7CDB8101">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.2</w:t>
      </w:r>
      <w:r>
        <w:rPr>
          <w:rFonts w:hint="eastAsia" w:hAnsi="宋体" w:cs="宋体"/>
          <w:color w:val="auto"/>
          <w:sz w:val="24"/>
          <w:szCs w:val="28"/>
        </w:rPr>
        <w:t>磋商供应商应根据磋商文件规定的格式完整填写所有内容，并保证所提供的全部资料真实可靠，自愿承担相应责任；</w:t>
      </w:r>
    </w:p>
    <w:p w14:paraId="0F84B608">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.3</w:t>
      </w:r>
      <w:r>
        <w:rPr>
          <w:rFonts w:hint="eastAsia" w:hAnsi="宋体" w:cs="宋体"/>
          <w:color w:val="auto"/>
          <w:sz w:val="24"/>
          <w:szCs w:val="28"/>
        </w:rPr>
        <w:t>磋商报价有效期与磋商有效期一致。</w:t>
      </w:r>
    </w:p>
    <w:p w14:paraId="4AAB7298">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.4</w:t>
      </w:r>
      <w:r>
        <w:rPr>
          <w:rFonts w:hint="eastAsia" w:hAnsi="宋体" w:cs="宋体"/>
          <w:color w:val="auto"/>
          <w:sz w:val="24"/>
          <w:szCs w:val="28"/>
        </w:rPr>
        <w:t>磋商报价为闭口价，即成交后在合同有效期内价格不变；</w:t>
      </w:r>
    </w:p>
    <w:p w14:paraId="28BBA255">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8</w:t>
      </w:r>
      <w:r>
        <w:rPr>
          <w:rFonts w:hint="eastAsia" w:hAnsi="宋体" w:cs="宋体"/>
          <w:color w:val="auto"/>
          <w:sz w:val="24"/>
          <w:szCs w:val="28"/>
          <w:lang w:eastAsia="zh-CN"/>
        </w:rPr>
        <w:t>.5</w:t>
      </w:r>
      <w:r>
        <w:rPr>
          <w:rFonts w:hint="eastAsia" w:hAnsi="宋体" w:cs="宋体"/>
          <w:color w:val="auto"/>
          <w:sz w:val="24"/>
          <w:szCs w:val="28"/>
        </w:rPr>
        <w:t>磋商币种为人民币。</w:t>
      </w:r>
    </w:p>
    <w:p w14:paraId="7336433E">
      <w:pPr>
        <w:pStyle w:val="5"/>
        <w:spacing w:before="0" w:after="0" w:line="360" w:lineRule="auto"/>
        <w:rPr>
          <w:rFonts w:ascii="Arial" w:hAnsi="Arial" w:cs="Arial"/>
          <w:bCs w:val="0"/>
          <w:color w:val="auto"/>
        </w:rPr>
      </w:pPr>
      <w:r>
        <w:rPr>
          <w:rFonts w:hint="eastAsia" w:ascii="宋体" w:hAnsi="宋体" w:cs="宋体"/>
          <w:bCs w:val="0"/>
          <w:color w:val="auto"/>
        </w:rPr>
        <w:t>9</w:t>
      </w:r>
      <w:r>
        <w:rPr>
          <w:rFonts w:hint="eastAsia" w:ascii="宋体" w:hAnsi="宋体" w:cs="宋体"/>
          <w:bCs w:val="0"/>
          <w:color w:val="auto"/>
          <w:lang w:eastAsia="zh-CN"/>
        </w:rPr>
        <w:t>、</w:t>
      </w:r>
      <w:r>
        <w:rPr>
          <w:rFonts w:ascii="Arial" w:hAnsi="Arial" w:cs="Arial"/>
          <w:bCs w:val="0"/>
          <w:color w:val="auto"/>
        </w:rPr>
        <w:t>磋商响应文件的编制要求</w:t>
      </w:r>
    </w:p>
    <w:p w14:paraId="26141DE3">
      <w:pPr>
        <w:spacing w:line="360" w:lineRule="auto"/>
        <w:rPr>
          <w:rFonts w:hint="eastAsia"/>
          <w:color w:val="auto"/>
        </w:rPr>
      </w:pPr>
      <w:r>
        <w:rPr>
          <w:rFonts w:hint="eastAsia" w:ascii="Arial" w:hAnsi="Arial" w:eastAsia="宋体" w:cs="Arial"/>
          <w:color w:val="auto"/>
          <w:kern w:val="0"/>
          <w:sz w:val="24"/>
          <w:lang w:val="zh-CN"/>
        </w:rPr>
        <w:t>9.1.</w:t>
      </w:r>
      <w:r>
        <w:rPr>
          <w:rFonts w:hint="eastAsia" w:ascii="Arial" w:hAnsi="Arial" w:cs="Arial"/>
          <w:color w:val="auto"/>
          <w:kern w:val="0"/>
          <w:sz w:val="24"/>
          <w:lang w:val="zh-CN"/>
        </w:rPr>
        <w:t>供应商应按照磋商文件所提供的响应文件格式，分别填写磋商文件第五部分的内容，并由法定代表人或委托代理人按要求签字、加盖公章。</w:t>
      </w:r>
    </w:p>
    <w:p w14:paraId="77A03FBC">
      <w:pPr>
        <w:pStyle w:val="5"/>
        <w:numPr>
          <w:ilvl w:val="0"/>
          <w:numId w:val="0"/>
        </w:numPr>
        <w:spacing w:before="0" w:after="0" w:line="360" w:lineRule="auto"/>
        <w:ind w:leftChars="0"/>
        <w:rPr>
          <w:rFonts w:hint="eastAsia" w:ascii="宋体" w:hAnsi="宋体" w:cs="宋体"/>
          <w:bCs w:val="0"/>
          <w:color w:val="auto"/>
          <w:sz w:val="24"/>
          <w:szCs w:val="24"/>
        </w:rPr>
      </w:pPr>
      <w:bookmarkStart w:id="31" w:name="_Toc488673623"/>
      <w:r>
        <w:rPr>
          <w:rFonts w:hint="eastAsia" w:ascii="宋体" w:hAnsi="宋体" w:cs="宋体"/>
          <w:bCs w:val="0"/>
          <w:color w:val="auto"/>
          <w:sz w:val="24"/>
          <w:szCs w:val="24"/>
          <w:lang w:val="en-US" w:eastAsia="zh-CN"/>
        </w:rPr>
        <w:t>10、</w:t>
      </w:r>
      <w:r>
        <w:rPr>
          <w:rFonts w:hint="eastAsia" w:ascii="宋体" w:hAnsi="宋体" w:cs="宋体"/>
          <w:bCs w:val="0"/>
          <w:color w:val="auto"/>
          <w:sz w:val="24"/>
          <w:szCs w:val="24"/>
        </w:rPr>
        <w:t>磋商保证金</w:t>
      </w:r>
      <w:bookmarkEnd w:id="31"/>
    </w:p>
    <w:p w14:paraId="289E0E1C">
      <w:pPr>
        <w:pStyle w:val="20"/>
        <w:spacing w:line="360" w:lineRule="auto"/>
        <w:ind w:firstLine="240" w:firstLineChars="100"/>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.1</w:t>
      </w:r>
      <w:r>
        <w:rPr>
          <w:rFonts w:hint="eastAsia" w:hAnsi="宋体" w:cs="宋体"/>
          <w:color w:val="auto"/>
          <w:sz w:val="24"/>
          <w:szCs w:val="24"/>
        </w:rPr>
        <w:t>磋商供应商应将磋商保证金缴纳证明作为磋商文件的内容一并提供。缴纳的磋商保证金用于因磋商供应商的行为使本次磋商活动受到损失的抵项；</w:t>
      </w:r>
    </w:p>
    <w:p w14:paraId="1CB3AB1B">
      <w:pPr>
        <w:pStyle w:val="20"/>
        <w:spacing w:line="360" w:lineRule="auto"/>
        <w:ind w:firstLine="240" w:firstLineChars="100"/>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.2</w:t>
      </w:r>
      <w:r>
        <w:rPr>
          <w:rFonts w:hint="eastAsia" w:hAnsi="宋体" w:cs="宋体"/>
          <w:color w:val="auto"/>
          <w:sz w:val="24"/>
          <w:szCs w:val="24"/>
        </w:rPr>
        <w:t>磋商人须在磋商截止期前按以下要求交纳磋商保证金（磋商保证金应当从其基本账户汇出，磋商响应文件中须附企业基本账户</w:t>
      </w:r>
      <w:r>
        <w:rPr>
          <w:rFonts w:hint="eastAsia" w:ascii="Arial" w:hAnsi="Arial" w:cs="Arial"/>
          <w:color w:val="auto"/>
          <w:sz w:val="24"/>
          <w:highlight w:val="none"/>
          <w:lang w:eastAsia="zh-CN"/>
        </w:rPr>
        <w:t>信息</w:t>
      </w:r>
      <w:r>
        <w:rPr>
          <w:rFonts w:hint="eastAsia" w:hAnsi="宋体" w:cs="宋体"/>
          <w:color w:val="auto"/>
          <w:sz w:val="24"/>
          <w:szCs w:val="24"/>
        </w:rPr>
        <w:t>）：</w:t>
      </w:r>
    </w:p>
    <w:p w14:paraId="0452A41E">
      <w:pPr>
        <w:spacing w:line="360" w:lineRule="auto"/>
        <w:rPr>
          <w:rFonts w:hint="eastAsia" w:ascii="宋体" w:hAnsi="宋体" w:eastAsia="宋体" w:cs="宋体"/>
          <w:color w:val="auto"/>
          <w:sz w:val="24"/>
          <w:lang w:val="en-US" w:eastAsia="zh-CN"/>
        </w:rPr>
      </w:pPr>
      <w:r>
        <w:rPr>
          <w:rFonts w:hint="eastAsia" w:ascii="宋体" w:hAnsi="宋体" w:cs="宋体"/>
          <w:color w:val="auto"/>
          <w:sz w:val="24"/>
        </w:rPr>
        <w:t xml:space="preserve"> 磋商保证金金额：</w:t>
      </w:r>
    </w:p>
    <w:p w14:paraId="7A2AF93C">
      <w:pPr>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小写：35000元 大写：叁万伍仟元整</w:t>
      </w:r>
    </w:p>
    <w:p w14:paraId="68CD2677">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缴纳磋商保证金时须注明此次项目编号及项目名称（可简写）</w:t>
      </w:r>
    </w:p>
    <w:p w14:paraId="3B2ED5FD">
      <w:pPr>
        <w:spacing w:line="360" w:lineRule="auto"/>
        <w:rPr>
          <w:rFonts w:hint="eastAsia" w:ascii="Arial" w:hAnsi="Arial" w:cs="Arial"/>
          <w:b/>
          <w:bCs/>
          <w:color w:val="auto"/>
          <w:sz w:val="24"/>
          <w:highlight w:val="none"/>
        </w:rPr>
      </w:pPr>
      <w:r>
        <w:rPr>
          <w:rFonts w:ascii="Arial" w:hAnsi="Arial" w:cs="Arial"/>
          <w:b/>
          <w:bCs/>
          <w:color w:val="auto"/>
          <w:sz w:val="24"/>
          <w:highlight w:val="none"/>
        </w:rPr>
        <w:t>账户名：</w:t>
      </w:r>
      <w:r>
        <w:rPr>
          <w:rFonts w:hint="eastAsia" w:ascii="Arial" w:hAnsi="Arial" w:cs="Arial"/>
          <w:b/>
          <w:bCs/>
          <w:color w:val="auto"/>
          <w:sz w:val="24"/>
          <w:highlight w:val="none"/>
          <w:lang w:eastAsia="zh-CN"/>
        </w:rPr>
        <w:t>青海雅辉工程项目管理有限公司</w:t>
      </w:r>
    </w:p>
    <w:p w14:paraId="74AF13D3">
      <w:pPr>
        <w:spacing w:line="360" w:lineRule="auto"/>
        <w:rPr>
          <w:rFonts w:hint="eastAsia" w:ascii="Arial" w:hAnsi="Arial" w:eastAsia="宋体" w:cs="Arial"/>
          <w:b/>
          <w:bCs/>
          <w:color w:val="auto"/>
          <w:sz w:val="24"/>
          <w:highlight w:val="none"/>
          <w:lang w:eastAsia="zh-CN"/>
        </w:rPr>
      </w:pPr>
      <w:r>
        <w:rPr>
          <w:rFonts w:ascii="Arial" w:hAnsi="Arial" w:cs="Arial"/>
          <w:b/>
          <w:bCs/>
          <w:color w:val="auto"/>
          <w:sz w:val="24"/>
          <w:highlight w:val="none"/>
        </w:rPr>
        <w:t>开户行：</w:t>
      </w:r>
      <w:r>
        <w:rPr>
          <w:rFonts w:hint="eastAsia" w:ascii="Arial" w:hAnsi="Arial" w:cs="Arial"/>
          <w:b/>
          <w:bCs/>
          <w:color w:val="auto"/>
          <w:sz w:val="24"/>
          <w:highlight w:val="none"/>
          <w:lang w:eastAsia="zh-CN"/>
        </w:rPr>
        <w:t>招商银行股份有限公司西宁分行</w:t>
      </w:r>
    </w:p>
    <w:p w14:paraId="751CBC50">
      <w:pPr>
        <w:spacing w:line="360" w:lineRule="auto"/>
        <w:rPr>
          <w:rFonts w:hint="eastAsia" w:ascii="Arial" w:hAnsi="Arial" w:eastAsia="宋体" w:cs="Arial"/>
          <w:b/>
          <w:bCs/>
          <w:color w:val="auto"/>
          <w:sz w:val="24"/>
          <w:highlight w:val="none"/>
          <w:lang w:eastAsia="zh-CN"/>
        </w:rPr>
      </w:pPr>
      <w:r>
        <w:rPr>
          <w:rFonts w:ascii="Arial" w:hAnsi="Arial" w:cs="Arial"/>
          <w:b/>
          <w:bCs/>
          <w:color w:val="auto"/>
          <w:sz w:val="24"/>
          <w:highlight w:val="none"/>
        </w:rPr>
        <w:t>账 号：</w:t>
      </w:r>
      <w:r>
        <w:rPr>
          <w:rFonts w:hint="eastAsia" w:ascii="Arial" w:hAnsi="Arial" w:cs="Arial"/>
          <w:b/>
          <w:bCs/>
          <w:color w:val="auto"/>
          <w:sz w:val="24"/>
          <w:highlight w:val="none"/>
          <w:lang w:eastAsia="zh-CN"/>
        </w:rPr>
        <w:t>972901579810901</w:t>
      </w:r>
    </w:p>
    <w:p w14:paraId="3B63B2C9">
      <w:pPr>
        <w:spacing w:line="360" w:lineRule="auto"/>
        <w:rPr>
          <w:rFonts w:ascii="Arial" w:hAnsi="Arial" w:cs="Arial"/>
          <w:color w:val="auto"/>
          <w:sz w:val="24"/>
          <w:highlight w:val="none"/>
        </w:rPr>
      </w:pPr>
      <w:r>
        <w:rPr>
          <w:rFonts w:ascii="Arial" w:hAnsi="Arial" w:cs="Arial"/>
          <w:color w:val="auto"/>
          <w:sz w:val="24"/>
          <w:highlight w:val="none"/>
        </w:rPr>
        <w:t>交纳时间：</w:t>
      </w:r>
      <w:r>
        <w:rPr>
          <w:rFonts w:hint="eastAsia" w:ascii="宋体" w:hAnsi="宋体" w:cs="宋体"/>
          <w:b/>
          <w:bCs/>
          <w:color w:val="auto"/>
          <w:u w:val="single"/>
        </w:rPr>
        <w:t>至规定的投标截止时间之前</w:t>
      </w:r>
      <w:r>
        <w:rPr>
          <w:rFonts w:ascii="Arial" w:hAnsi="Arial" w:cs="Arial"/>
          <w:color w:val="auto"/>
          <w:sz w:val="24"/>
          <w:highlight w:val="none"/>
        </w:rPr>
        <w:t>，以银行到账时间为准</w:t>
      </w:r>
    </w:p>
    <w:p w14:paraId="292635C8">
      <w:pPr>
        <w:numPr>
          <w:ilvl w:val="0"/>
          <w:numId w:val="0"/>
        </w:numPr>
        <w:spacing w:line="360" w:lineRule="auto"/>
        <w:ind w:left="240" w:leftChars="0"/>
        <w:rPr>
          <w:rFonts w:hint="eastAsia" w:ascii="Arial" w:hAnsi="Arial" w:cs="Arial"/>
          <w:color w:val="auto"/>
          <w:sz w:val="24"/>
        </w:rPr>
      </w:pPr>
      <w:r>
        <w:rPr>
          <w:rFonts w:hint="eastAsia" w:ascii="Arial" w:hAnsi="Arial" w:cs="Arial"/>
          <w:color w:val="auto"/>
          <w:sz w:val="24"/>
          <w:lang w:eastAsia="zh-CN"/>
        </w:rPr>
        <w:t>（</w:t>
      </w:r>
      <w:r>
        <w:rPr>
          <w:rFonts w:hint="eastAsia" w:ascii="Arial" w:hAnsi="Arial" w:cs="Arial"/>
          <w:color w:val="auto"/>
          <w:sz w:val="24"/>
          <w:lang w:val="en-US" w:eastAsia="zh-CN"/>
        </w:rPr>
        <w:t>1</w:t>
      </w:r>
      <w:r>
        <w:rPr>
          <w:rFonts w:hint="eastAsia" w:ascii="Arial" w:hAnsi="Arial" w:cs="Arial"/>
          <w:color w:val="auto"/>
          <w:sz w:val="24"/>
          <w:lang w:eastAsia="zh-CN"/>
        </w:rPr>
        <w:t>）</w:t>
      </w:r>
      <w:r>
        <w:rPr>
          <w:rFonts w:ascii="Arial" w:hAnsi="Arial" w:cs="Arial"/>
          <w:color w:val="auto"/>
          <w:sz w:val="24"/>
        </w:rPr>
        <w:t>不接受个人名义或现金形式递交的保证金，磋商供应商应该单独提交磋商保证金；磋商保证金必须从企业基本账户中支付，磋商响应文件中须附企业开户许可证</w:t>
      </w:r>
      <w:r>
        <w:rPr>
          <w:rFonts w:hint="eastAsia" w:ascii="Arial" w:hAnsi="Arial" w:cs="Arial"/>
          <w:color w:val="auto"/>
          <w:sz w:val="24"/>
        </w:rPr>
        <w:t>或基本账户开户信息。</w:t>
      </w:r>
    </w:p>
    <w:p w14:paraId="60E90E69">
      <w:pPr>
        <w:numPr>
          <w:ilvl w:val="0"/>
          <w:numId w:val="0"/>
        </w:numPr>
        <w:snapToGrid w:val="0"/>
        <w:spacing w:before="0" w:beforeAutospacing="0" w:after="0" w:afterAutospacing="0" w:line="360" w:lineRule="auto"/>
        <w:jc w:val="both"/>
        <w:textAlignment w:val="baseline"/>
        <w:rPr>
          <w:rFonts w:hint="eastAsia" w:ascii="宋体" w:hAnsi="宋体" w:eastAsia="宋体" w:cs="宋体"/>
          <w:b w:val="0"/>
          <w:bCs/>
          <w:i w:val="0"/>
          <w:caps w:val="0"/>
          <w:color w:val="auto"/>
          <w:spacing w:val="0"/>
          <w:w w:val="100"/>
          <w:sz w:val="24"/>
          <w:szCs w:val="24"/>
          <w:highlight w:val="none"/>
        </w:rPr>
      </w:pPr>
      <w:r>
        <w:rPr>
          <w:rFonts w:hint="eastAsia" w:ascii="宋体" w:hAnsi="宋体" w:cs="宋体"/>
          <w:b w:val="0"/>
          <w:bCs/>
          <w:i w:val="0"/>
          <w:caps w:val="0"/>
          <w:color w:val="auto"/>
          <w:spacing w:val="0"/>
          <w:w w:val="100"/>
          <w:sz w:val="24"/>
          <w:szCs w:val="24"/>
          <w:highlight w:val="none"/>
          <w:lang w:eastAsia="zh-CN"/>
        </w:rPr>
        <w:t>（</w:t>
      </w:r>
      <w:r>
        <w:rPr>
          <w:rFonts w:hint="eastAsia" w:ascii="宋体" w:hAnsi="宋体" w:cs="宋体"/>
          <w:b w:val="0"/>
          <w:bCs/>
          <w:i w:val="0"/>
          <w:caps w:val="0"/>
          <w:color w:val="auto"/>
          <w:spacing w:val="0"/>
          <w:w w:val="100"/>
          <w:sz w:val="24"/>
          <w:szCs w:val="24"/>
          <w:highlight w:val="none"/>
          <w:lang w:val="en-US" w:eastAsia="zh-CN"/>
        </w:rPr>
        <w:t>2</w:t>
      </w:r>
      <w:r>
        <w:rPr>
          <w:rFonts w:hint="eastAsia" w:ascii="宋体" w:hAnsi="宋体" w:cs="宋体"/>
          <w:b w:val="0"/>
          <w:bCs/>
          <w:i w:val="0"/>
          <w:caps w:val="0"/>
          <w:color w:val="auto"/>
          <w:spacing w:val="0"/>
          <w:w w:val="100"/>
          <w:sz w:val="24"/>
          <w:szCs w:val="24"/>
          <w:highlight w:val="none"/>
          <w:lang w:eastAsia="zh-CN"/>
        </w:rPr>
        <w:t>）</w:t>
      </w:r>
      <w:r>
        <w:rPr>
          <w:rFonts w:hint="eastAsia" w:ascii="宋体" w:hAnsi="宋体" w:eastAsia="宋体" w:cs="宋体"/>
          <w:b w:val="0"/>
          <w:bCs/>
          <w:i w:val="0"/>
          <w:caps w:val="0"/>
          <w:color w:val="auto"/>
          <w:spacing w:val="0"/>
          <w:w w:val="100"/>
          <w:sz w:val="24"/>
          <w:szCs w:val="24"/>
          <w:highlight w:val="none"/>
        </w:rPr>
        <w:t>投标保证金应当以支票、汇票、本票或者金融机构、担保机构出具的保函</w:t>
      </w:r>
      <w:r>
        <w:rPr>
          <w:rFonts w:hint="eastAsia" w:ascii="宋体" w:hAnsi="宋体" w:cs="宋体"/>
          <w:b w:val="0"/>
          <w:bCs/>
          <w:i w:val="0"/>
          <w:caps w:val="0"/>
          <w:color w:val="auto"/>
          <w:spacing w:val="0"/>
          <w:w w:val="100"/>
          <w:sz w:val="24"/>
          <w:szCs w:val="24"/>
          <w:highlight w:val="none"/>
          <w:lang w:eastAsia="zh-CN"/>
        </w:rPr>
        <w:t>、保单</w:t>
      </w:r>
      <w:r>
        <w:rPr>
          <w:rFonts w:hint="eastAsia" w:ascii="宋体" w:hAnsi="宋体" w:eastAsia="宋体" w:cs="宋体"/>
          <w:b w:val="0"/>
          <w:bCs/>
          <w:i w:val="0"/>
          <w:caps w:val="0"/>
          <w:color w:val="auto"/>
          <w:spacing w:val="0"/>
          <w:w w:val="100"/>
          <w:sz w:val="24"/>
          <w:szCs w:val="24"/>
          <w:highlight w:val="none"/>
        </w:rPr>
        <w:t>等非现金形式提交。通过银行转账的，必须由投标人从其基本账户（包括开户许可证复印件或基本账户开户信息）汇（转）</w:t>
      </w:r>
      <w:r>
        <w:rPr>
          <w:rFonts w:hint="eastAsia" w:ascii="宋体" w:hAnsi="宋体" w:eastAsia="宋体" w:cs="宋体"/>
          <w:b w:val="0"/>
          <w:bCs/>
          <w:i w:val="0"/>
          <w:caps w:val="0"/>
          <w:color w:val="auto"/>
          <w:spacing w:val="0"/>
          <w:w w:val="100"/>
          <w:sz w:val="24"/>
          <w:szCs w:val="24"/>
          <w:highlight w:val="none"/>
          <w:lang w:eastAsia="zh-CN"/>
        </w:rPr>
        <w:t>至磋商文件规定账户；</w:t>
      </w:r>
    </w:p>
    <w:p w14:paraId="49B2D0D4">
      <w:pPr>
        <w:numPr>
          <w:ilvl w:val="0"/>
          <w:numId w:val="0"/>
        </w:numPr>
        <w:snapToGrid w:val="0"/>
        <w:spacing w:before="0" w:beforeAutospacing="0" w:after="0" w:afterAutospacing="0" w:line="360" w:lineRule="auto"/>
        <w:jc w:val="both"/>
        <w:textAlignment w:val="baseline"/>
        <w:rPr>
          <w:rFonts w:ascii="Arial" w:hAnsi="Arial" w:cs="Arial"/>
          <w:color w:val="auto"/>
          <w:sz w:val="24"/>
        </w:rPr>
      </w:pPr>
      <w:r>
        <w:rPr>
          <w:rFonts w:hint="eastAsia" w:ascii="宋体" w:hAnsi="宋体" w:eastAsia="宋体" w:cs="宋体"/>
          <w:b w:val="0"/>
          <w:bCs/>
          <w:i w:val="0"/>
          <w:caps w:val="0"/>
          <w:color w:val="auto"/>
          <w:spacing w:val="0"/>
          <w:w w:val="100"/>
          <w:sz w:val="24"/>
          <w:szCs w:val="24"/>
          <w:highlight w:val="none"/>
        </w:rPr>
        <w:t>磋商保证金必须从企业基本账户中支付，磋商响应文件中须附企业</w:t>
      </w:r>
      <w:r>
        <w:rPr>
          <w:rFonts w:hint="eastAsia" w:ascii="宋体" w:hAnsi="宋体" w:eastAsia="宋体" w:cs="宋体"/>
          <w:b w:val="0"/>
          <w:bCs/>
          <w:i w:val="0"/>
          <w:caps w:val="0"/>
          <w:color w:val="auto"/>
          <w:spacing w:val="0"/>
          <w:w w:val="100"/>
          <w:sz w:val="24"/>
          <w:szCs w:val="24"/>
          <w:highlight w:val="none"/>
          <w:lang w:eastAsia="zh-CN"/>
        </w:rPr>
        <w:t>基本账户信息</w:t>
      </w:r>
      <w:r>
        <w:rPr>
          <w:rFonts w:hint="eastAsia" w:ascii="宋体" w:hAnsi="宋体" w:eastAsia="宋体" w:cs="宋体"/>
          <w:b w:val="0"/>
          <w:bCs/>
          <w:i w:val="0"/>
          <w:caps w:val="0"/>
          <w:color w:val="auto"/>
          <w:spacing w:val="0"/>
          <w:w w:val="100"/>
          <w:sz w:val="24"/>
          <w:szCs w:val="24"/>
          <w:highlight w:val="none"/>
        </w:rPr>
        <w:t>。</w:t>
      </w:r>
      <w:r>
        <w:rPr>
          <w:rFonts w:ascii="Arial" w:hAnsi="Arial" w:cs="Arial"/>
          <w:color w:val="auto"/>
          <w:sz w:val="24"/>
        </w:rPr>
        <w:t xml:space="preserve"> </w:t>
      </w:r>
    </w:p>
    <w:p w14:paraId="0661882B">
      <w:pPr>
        <w:spacing w:line="360" w:lineRule="auto"/>
        <w:rPr>
          <w:rFonts w:ascii="Arial" w:hAnsi="Arial" w:cs="Arial"/>
          <w:color w:val="auto"/>
          <w:sz w:val="24"/>
        </w:rPr>
      </w:pPr>
      <w:r>
        <w:rPr>
          <w:rFonts w:ascii="Arial" w:hAnsi="Arial" w:cs="Arial"/>
          <w:color w:val="auto"/>
          <w:sz w:val="24"/>
        </w:rPr>
        <w:t>（3）磋商供应商未按磋商文件要求交纳磋商保证金的，招标代理机构将拒绝接收磋商供应商的磋商响应文件。</w:t>
      </w:r>
    </w:p>
    <w:p w14:paraId="1BD92500">
      <w:pPr>
        <w:spacing w:line="360" w:lineRule="auto"/>
        <w:rPr>
          <w:rFonts w:ascii="Arial" w:hAnsi="Arial" w:cs="Arial"/>
          <w:color w:val="auto"/>
          <w:sz w:val="24"/>
        </w:rPr>
      </w:pPr>
      <w:r>
        <w:rPr>
          <w:rFonts w:ascii="Arial" w:hAnsi="Arial" w:cs="Arial"/>
          <w:color w:val="auto"/>
          <w:sz w:val="24"/>
        </w:rPr>
        <w:t>（4）磋商保证金退还日期：未成交磋商供应商的磋商保证金自成交通知书发出之日起5个工作日内退还（不退现金）；成交单位的成交保证金，自合同签订之日起5个工作日内退还（不退现金）。</w:t>
      </w:r>
    </w:p>
    <w:p w14:paraId="61435297">
      <w:pPr>
        <w:spacing w:line="360" w:lineRule="auto"/>
        <w:rPr>
          <w:rFonts w:ascii="Arial" w:hAnsi="Arial" w:cs="Arial"/>
          <w:color w:val="auto"/>
          <w:sz w:val="24"/>
        </w:rPr>
      </w:pPr>
      <w:r>
        <w:rPr>
          <w:rFonts w:ascii="Arial" w:hAnsi="Arial" w:cs="Arial"/>
          <w:color w:val="auto"/>
          <w:sz w:val="24"/>
        </w:rPr>
        <w:t>磋商供应商未按照磋商文件要求提交磋商保证金的，投标无效。</w:t>
      </w:r>
    </w:p>
    <w:p w14:paraId="5AC283B6">
      <w:pPr>
        <w:pStyle w:val="20"/>
        <w:spacing w:line="360" w:lineRule="auto"/>
        <w:rPr>
          <w:rFonts w:hint="eastAsia" w:ascii="Arial" w:hAnsi="Arial" w:cs="Arial"/>
          <w:color w:val="auto"/>
          <w:sz w:val="24"/>
          <w:lang w:eastAsia="zh-CN"/>
        </w:rPr>
      </w:pPr>
      <w:r>
        <w:rPr>
          <w:rFonts w:ascii="Arial" w:hAnsi="Arial" w:cs="Arial"/>
          <w:color w:val="auto"/>
          <w:sz w:val="24"/>
        </w:rPr>
        <w:t>磋商供应商须自行查询保证金到账情况</w:t>
      </w:r>
      <w:r>
        <w:rPr>
          <w:rFonts w:hint="eastAsia" w:ascii="Arial" w:hAnsi="Arial" w:cs="Arial"/>
          <w:color w:val="auto"/>
          <w:sz w:val="24"/>
          <w:lang w:eastAsia="zh-CN"/>
        </w:rPr>
        <w:t>。</w:t>
      </w:r>
    </w:p>
    <w:p w14:paraId="0B2509DC">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hAnsi="宋体" w:cs="宋体"/>
          <w:color w:val="auto"/>
          <w:sz w:val="24"/>
          <w:szCs w:val="24"/>
        </w:rPr>
      </w:pPr>
      <w:r>
        <w:rPr>
          <w:rFonts w:hint="eastAsia" w:hAnsi="宋体" w:cs="宋体"/>
          <w:color w:val="auto"/>
          <w:sz w:val="24"/>
          <w:szCs w:val="24"/>
        </w:rPr>
        <w:t>逾期退还磋商保证金的，除应当退还磋商保证金本金外，还应当按中国人民银行同期贷款基准利率上浮20％后的利率支付超期资金占用费，但因投标人自身原因导致无法及时退还的除外。</w:t>
      </w:r>
    </w:p>
    <w:p w14:paraId="52CC7B3B">
      <w:pPr>
        <w:pStyle w:val="20"/>
        <w:spacing w:line="360" w:lineRule="auto"/>
        <w:ind w:left="141"/>
        <w:rPr>
          <w:rFonts w:hint="eastAsia" w:hAnsi="宋体" w:cs="宋体"/>
          <w:color w:val="auto"/>
          <w:sz w:val="24"/>
          <w:szCs w:val="24"/>
        </w:rPr>
      </w:pPr>
      <w:r>
        <w:rPr>
          <w:rFonts w:hint="eastAsia" w:hAnsi="宋体" w:cs="宋体"/>
          <w:color w:val="auto"/>
          <w:sz w:val="24"/>
          <w:szCs w:val="24"/>
          <w:lang w:val="en-US" w:eastAsia="zh-CN"/>
        </w:rPr>
        <w:t>10</w:t>
      </w:r>
      <w:r>
        <w:rPr>
          <w:rFonts w:hint="eastAsia" w:hAnsi="宋体" w:cs="宋体"/>
          <w:color w:val="auto"/>
          <w:sz w:val="24"/>
          <w:szCs w:val="24"/>
          <w:lang w:eastAsia="zh-CN"/>
        </w:rPr>
        <w:t>.</w:t>
      </w:r>
      <w:r>
        <w:rPr>
          <w:rFonts w:hint="eastAsia" w:hAnsi="宋体" w:cs="宋体"/>
          <w:color w:val="auto"/>
          <w:sz w:val="24"/>
          <w:szCs w:val="24"/>
          <w:lang w:val="en-US" w:eastAsia="zh-CN"/>
        </w:rPr>
        <w:t>3</w:t>
      </w:r>
      <w:r>
        <w:rPr>
          <w:rFonts w:hint="eastAsia" w:hAnsi="宋体" w:cs="宋体"/>
          <w:color w:val="auto"/>
          <w:sz w:val="24"/>
          <w:szCs w:val="24"/>
        </w:rPr>
        <w:t>下列任何情况发生时，磋商保证金将不予退还：</w:t>
      </w:r>
    </w:p>
    <w:p w14:paraId="6CD82B6D">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磋商供应商在递交磋商响应文件的截止时间前未到达现场并且没有以书面形式如信函、传真等告知采购代理机构要撤其磋商的；</w:t>
      </w:r>
    </w:p>
    <w:p w14:paraId="35ACF200">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成交磋商供应商在规定期限内未能按规定签订合同或未按规定缴纳成交服务费；</w:t>
      </w:r>
    </w:p>
    <w:p w14:paraId="0AE89E5E">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提供虚假材料谋取成交的；</w:t>
      </w:r>
    </w:p>
    <w:p w14:paraId="1B56400A">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将成交项目转让给他人，或者在磋商响应文件中未说明，将成交项目分包给他人的；</w:t>
      </w:r>
    </w:p>
    <w:p w14:paraId="32C0D0EE">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拒绝履行合同义务的；</w:t>
      </w:r>
    </w:p>
    <w:p w14:paraId="41F1B87E">
      <w:pPr>
        <w:pStyle w:val="20"/>
        <w:numPr>
          <w:ilvl w:val="0"/>
          <w:numId w:val="10"/>
        </w:numPr>
        <w:spacing w:line="360" w:lineRule="auto"/>
        <w:rPr>
          <w:rFonts w:hint="eastAsia" w:hAnsi="宋体" w:cs="宋体"/>
          <w:color w:val="auto"/>
          <w:sz w:val="24"/>
          <w:szCs w:val="24"/>
        </w:rPr>
      </w:pPr>
      <w:r>
        <w:rPr>
          <w:rFonts w:hint="eastAsia" w:hAnsi="宋体" w:cs="宋体"/>
          <w:color w:val="auto"/>
          <w:sz w:val="24"/>
          <w:szCs w:val="24"/>
        </w:rPr>
        <w:t>法律、法规规定的其他情形。</w:t>
      </w:r>
    </w:p>
    <w:p w14:paraId="1BE2B981">
      <w:pPr>
        <w:pStyle w:val="5"/>
        <w:numPr>
          <w:ilvl w:val="0"/>
          <w:numId w:val="0"/>
        </w:numPr>
        <w:spacing w:before="0" w:after="0" w:line="360" w:lineRule="auto"/>
        <w:ind w:leftChars="0"/>
        <w:rPr>
          <w:rFonts w:hint="eastAsia" w:ascii="宋体" w:hAnsi="宋体" w:cs="宋体"/>
          <w:bCs w:val="0"/>
          <w:color w:val="auto"/>
        </w:rPr>
      </w:pPr>
      <w:bookmarkStart w:id="32" w:name="_Toc488673624"/>
      <w:r>
        <w:rPr>
          <w:rFonts w:hint="eastAsia" w:ascii="宋体" w:hAnsi="宋体" w:cs="宋体"/>
          <w:bCs w:val="0"/>
          <w:color w:val="auto"/>
          <w:lang w:val="en-US" w:eastAsia="zh-CN"/>
        </w:rPr>
        <w:t>11、</w:t>
      </w:r>
      <w:r>
        <w:rPr>
          <w:rFonts w:hint="eastAsia" w:ascii="宋体" w:hAnsi="宋体" w:cs="宋体"/>
          <w:bCs w:val="0"/>
          <w:color w:val="auto"/>
        </w:rPr>
        <w:t>磋商有效期</w:t>
      </w:r>
      <w:bookmarkEnd w:id="32"/>
    </w:p>
    <w:p w14:paraId="27CB05D4">
      <w:pPr>
        <w:pStyle w:val="20"/>
        <w:spacing w:line="360" w:lineRule="auto"/>
        <w:ind w:firstLine="480" w:firstLineChars="200"/>
        <w:rPr>
          <w:rFonts w:ascii="Arial" w:hAnsi="Arial" w:cs="Arial"/>
          <w:b/>
          <w:color w:val="auto"/>
          <w:sz w:val="24"/>
          <w:szCs w:val="28"/>
        </w:rPr>
      </w:pPr>
      <w:bookmarkStart w:id="33" w:name="_Toc488673625"/>
      <w:r>
        <w:rPr>
          <w:rFonts w:ascii="Arial" w:hAnsi="Arial" w:cs="Arial"/>
          <w:color w:val="auto"/>
          <w:sz w:val="24"/>
          <w:szCs w:val="24"/>
        </w:rPr>
        <w:t>本次磋商有效期为自磋商之日起</w:t>
      </w:r>
      <w:r>
        <w:rPr>
          <w:rFonts w:hint="eastAsia" w:ascii="Arial" w:hAnsi="Arial" w:cs="Arial"/>
          <w:color w:val="auto"/>
          <w:sz w:val="24"/>
          <w:szCs w:val="24"/>
          <w:lang w:val="en-US" w:eastAsia="zh-CN"/>
        </w:rPr>
        <w:t>60</w:t>
      </w:r>
      <w:r>
        <w:rPr>
          <w:rFonts w:ascii="Arial" w:hAnsi="Arial" w:cs="Arial"/>
          <w:color w:val="auto"/>
          <w:sz w:val="24"/>
          <w:szCs w:val="24"/>
        </w:rPr>
        <w:t>个</w:t>
      </w:r>
      <w:r>
        <w:rPr>
          <w:rFonts w:hint="eastAsia" w:ascii="Arial" w:hAnsi="Arial" w:cs="Arial"/>
          <w:color w:val="auto"/>
          <w:sz w:val="24"/>
          <w:szCs w:val="24"/>
          <w:lang w:eastAsia="zh-CN"/>
        </w:rPr>
        <w:t>日历日</w:t>
      </w:r>
      <w:r>
        <w:rPr>
          <w:rFonts w:ascii="Arial" w:hAnsi="Arial" w:cs="Arial"/>
          <w:color w:val="auto"/>
          <w:sz w:val="24"/>
          <w:szCs w:val="24"/>
        </w:rPr>
        <w:t>。</w:t>
      </w:r>
    </w:p>
    <w:p w14:paraId="5F764BF5">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12、</w:t>
      </w:r>
      <w:r>
        <w:rPr>
          <w:rFonts w:hint="eastAsia" w:ascii="宋体" w:hAnsi="宋体" w:cs="宋体"/>
          <w:bCs w:val="0"/>
          <w:color w:val="auto"/>
        </w:rPr>
        <w:t>磋商响应文件的构成</w:t>
      </w:r>
      <w:bookmarkEnd w:id="33"/>
    </w:p>
    <w:p w14:paraId="0C8ED54E">
      <w:pPr>
        <w:pStyle w:val="20"/>
        <w:spacing w:line="360" w:lineRule="auto"/>
        <w:ind w:firstLine="240" w:firstLineChars="100"/>
        <w:rPr>
          <w:rFonts w:hint="eastAsia" w:hAnsi="宋体" w:cs="宋体"/>
          <w:color w:val="auto"/>
          <w:sz w:val="24"/>
          <w:szCs w:val="28"/>
        </w:rPr>
      </w:pPr>
      <w:r>
        <w:rPr>
          <w:rFonts w:hint="eastAsia" w:hAnsi="宋体" w:cs="宋体"/>
          <w:color w:val="auto"/>
          <w:sz w:val="24"/>
          <w:szCs w:val="28"/>
          <w:lang w:val="en-US" w:eastAsia="zh-CN"/>
        </w:rPr>
        <w:t>12</w:t>
      </w:r>
      <w:r>
        <w:rPr>
          <w:rFonts w:hint="eastAsia" w:hAnsi="宋体" w:cs="宋体"/>
          <w:color w:val="auto"/>
          <w:sz w:val="24"/>
          <w:szCs w:val="28"/>
          <w:lang w:eastAsia="zh-CN"/>
        </w:rPr>
        <w:t>.1</w:t>
      </w:r>
      <w:r>
        <w:rPr>
          <w:rFonts w:hint="eastAsia" w:hAnsi="宋体" w:cs="宋体"/>
          <w:color w:val="auto"/>
          <w:sz w:val="24"/>
          <w:szCs w:val="28"/>
        </w:rPr>
        <w:t>磋商供应商应提交相关证明材料，作为其参加磋商和成交后有能力履行合同的证明。编写的磋商响应文件须包括以下内容（格式见磋商文件“第五部分  磋商响应文件格式”）：</w:t>
      </w:r>
    </w:p>
    <w:p w14:paraId="48334093">
      <w:pPr>
        <w:autoSpaceDE w:val="0"/>
        <w:autoSpaceDN w:val="0"/>
        <w:spacing w:line="360" w:lineRule="auto"/>
        <w:ind w:firstLine="482" w:firstLineChars="200"/>
        <w:rPr>
          <w:rFonts w:ascii="宋体" w:cs="宋体"/>
          <w:color w:val="auto"/>
        </w:rPr>
      </w:pPr>
      <w:r>
        <w:rPr>
          <w:rFonts w:ascii="宋体" w:hAnsi="宋体" w:cs="宋体"/>
          <w:b/>
          <w:bCs/>
          <w:color w:val="auto"/>
          <w:kern w:val="0"/>
        </w:rPr>
        <w:t>1</w:t>
      </w:r>
      <w:r>
        <w:rPr>
          <w:rFonts w:hint="eastAsia" w:ascii="宋体" w:hAnsi="宋体" w:cs="宋体"/>
          <w:b/>
          <w:bCs/>
          <w:color w:val="auto"/>
          <w:kern w:val="0"/>
          <w:lang w:val="en-US" w:eastAsia="zh-CN"/>
        </w:rPr>
        <w:t>2</w:t>
      </w:r>
      <w:r>
        <w:rPr>
          <w:rFonts w:ascii="宋体" w:hAnsi="宋体" w:cs="宋体"/>
          <w:b/>
          <w:bCs/>
          <w:color w:val="auto"/>
          <w:kern w:val="0"/>
        </w:rPr>
        <w:t>.1</w:t>
      </w:r>
      <w:r>
        <w:rPr>
          <w:rFonts w:hint="eastAsia" w:ascii="宋体" w:hAnsi="宋体" w:cs="宋体"/>
          <w:b/>
          <w:bCs/>
          <w:color w:val="auto"/>
          <w:kern w:val="0"/>
          <w:lang w:val="zh-CN"/>
        </w:rPr>
        <w:t>磋商响应文件（上册）（资格审查）</w:t>
      </w:r>
    </w:p>
    <w:p w14:paraId="5375B9B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磋商函</w:t>
      </w:r>
    </w:p>
    <w:p w14:paraId="766E51F5">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法定代表人（非法人组织负责人）证明书</w:t>
      </w:r>
    </w:p>
    <w:p w14:paraId="56D4F80A">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rPr>
        <w:t>法定代表人（非法人组织负责人）授权书</w:t>
      </w:r>
    </w:p>
    <w:p w14:paraId="1713F43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投标人承诺函</w:t>
      </w:r>
    </w:p>
    <w:p w14:paraId="32C14957">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投标人诚信承诺书</w:t>
      </w:r>
    </w:p>
    <w:p w14:paraId="59318E4E">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资格证明材料</w:t>
      </w:r>
    </w:p>
    <w:p w14:paraId="1A78ACD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财务状况报告，依法缴纳税收和社会保障资金的相关材料</w:t>
      </w:r>
    </w:p>
    <w:p w14:paraId="49B029B5">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具备履行合同所必需的设备和专业技术能力的证明材料</w:t>
      </w:r>
    </w:p>
    <w:p w14:paraId="1419407E">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无重大违法记录声明</w:t>
      </w:r>
    </w:p>
    <w:p w14:paraId="25041F23">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磋商保证金证明</w:t>
      </w:r>
    </w:p>
    <w:p w14:paraId="602A4E4F">
      <w:pPr>
        <w:autoSpaceDE w:val="0"/>
        <w:autoSpaceDN w:val="0"/>
        <w:spacing w:line="360" w:lineRule="auto"/>
        <w:ind w:firstLine="482" w:firstLineChars="200"/>
        <w:rPr>
          <w:rFonts w:ascii="宋体" w:cs="宋体"/>
          <w:color w:val="auto"/>
          <w:kern w:val="0"/>
          <w:lang w:val="zh-CN"/>
        </w:rPr>
      </w:pPr>
      <w:r>
        <w:rPr>
          <w:rFonts w:ascii="宋体" w:hAnsi="宋体" w:cs="宋体"/>
          <w:b/>
          <w:bCs/>
          <w:color w:val="auto"/>
          <w:kern w:val="0"/>
        </w:rPr>
        <w:t>1</w:t>
      </w:r>
      <w:r>
        <w:rPr>
          <w:rFonts w:hint="eastAsia" w:ascii="宋体" w:hAnsi="宋体" w:cs="宋体"/>
          <w:b/>
          <w:bCs/>
          <w:color w:val="auto"/>
          <w:kern w:val="0"/>
          <w:lang w:val="en-US" w:eastAsia="zh-CN"/>
        </w:rPr>
        <w:t>2</w:t>
      </w:r>
      <w:r>
        <w:rPr>
          <w:rFonts w:ascii="宋体" w:hAnsi="宋体" w:cs="宋体"/>
          <w:b/>
          <w:bCs/>
          <w:color w:val="auto"/>
          <w:kern w:val="0"/>
        </w:rPr>
        <w:t xml:space="preserve">.2 </w:t>
      </w:r>
      <w:r>
        <w:rPr>
          <w:rFonts w:hint="eastAsia" w:ascii="宋体" w:hAnsi="宋体" w:cs="宋体"/>
          <w:b/>
          <w:bCs/>
          <w:color w:val="auto"/>
          <w:kern w:val="0"/>
          <w:lang w:val="zh-CN"/>
        </w:rPr>
        <w:t>磋商响应文件（下册）（符合性审查）</w:t>
      </w:r>
    </w:p>
    <w:p w14:paraId="2BFD085F">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竞争性磋商首次报价表</w:t>
      </w:r>
    </w:p>
    <w:p w14:paraId="1FA1D4EA">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分项报价表</w:t>
      </w:r>
    </w:p>
    <w:p w14:paraId="0F8C77F0">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技术规格响应表</w:t>
      </w:r>
    </w:p>
    <w:p w14:paraId="7475049C">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 xml:space="preserve">投标产品相关资料 </w:t>
      </w:r>
    </w:p>
    <w:p w14:paraId="2842752B">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供应商类似业绩证明材料</w:t>
      </w:r>
    </w:p>
    <w:p w14:paraId="51B3B652">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交货方案</w:t>
      </w:r>
    </w:p>
    <w:p w14:paraId="4ACA6539">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享受政府采购政策优惠的证明资料</w:t>
      </w:r>
    </w:p>
    <w:p w14:paraId="3A5347D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供应商认为在其他方面有必要说明的事项</w:t>
      </w:r>
    </w:p>
    <w:p w14:paraId="105B01B4">
      <w:pPr>
        <w:numPr>
          <w:ilvl w:val="0"/>
          <w:numId w:val="11"/>
        </w:numPr>
        <w:autoSpaceDE w:val="0"/>
        <w:autoSpaceDN w:val="0"/>
        <w:spacing w:line="560" w:lineRule="exact"/>
        <w:ind w:firstLine="480" w:firstLineChars="200"/>
        <w:rPr>
          <w:rFonts w:ascii="宋体" w:hAnsi="宋体" w:cs="宋体"/>
          <w:color w:val="auto"/>
          <w:kern w:val="0"/>
          <w:lang w:val="zh-CN"/>
        </w:rPr>
      </w:pPr>
      <w:r>
        <w:rPr>
          <w:rFonts w:hint="eastAsia" w:ascii="宋体" w:hAnsi="宋体" w:cs="宋体"/>
          <w:color w:val="auto"/>
          <w:kern w:val="0"/>
          <w:lang w:val="zh-CN"/>
        </w:rPr>
        <w:t>供应商最终报价表</w:t>
      </w:r>
    </w:p>
    <w:p w14:paraId="603B4D8E">
      <w:pPr>
        <w:pStyle w:val="20"/>
        <w:spacing w:line="360" w:lineRule="auto"/>
        <w:ind w:left="845"/>
        <w:rPr>
          <w:color w:val="auto"/>
          <w:lang w:val="zh-CN"/>
        </w:rPr>
      </w:pPr>
      <w:r>
        <w:rPr>
          <w:rFonts w:hint="eastAsia" w:hAnsi="宋体" w:cs="宋体"/>
          <w:color w:val="auto"/>
          <w:sz w:val="24"/>
          <w:szCs w:val="24"/>
        </w:rPr>
        <w:t>注：磋商人须按上述内容、顺序和格式编制磋商响应文件，并按要求编制目录、页码，并保证所提供的全部资料真实可信，自愿承担相应责任。</w:t>
      </w:r>
      <w:bookmarkStart w:id="34" w:name="_Toc7360"/>
    </w:p>
    <w:p w14:paraId="08487F0C">
      <w:pPr>
        <w:pStyle w:val="4"/>
        <w:ind w:left="158" w:leftChars="0" w:firstLineChars="0"/>
        <w:outlineLvl w:val="1"/>
        <w:rPr>
          <w:rFonts w:hint="eastAsia" w:hAnsi="宋体" w:cs="宋体"/>
          <w:b/>
          <w:color w:val="auto"/>
          <w:sz w:val="28"/>
          <w:szCs w:val="28"/>
        </w:rPr>
      </w:pPr>
      <w:r>
        <w:rPr>
          <w:rFonts w:hint="eastAsia" w:hAnsi="宋体" w:cs="宋体"/>
          <w:b/>
          <w:color w:val="auto"/>
          <w:sz w:val="28"/>
          <w:szCs w:val="28"/>
        </w:rPr>
        <w:t>磋商响应文件的递交</w:t>
      </w:r>
      <w:bookmarkEnd w:id="34"/>
    </w:p>
    <w:p w14:paraId="1AF57480">
      <w:pPr>
        <w:pStyle w:val="5"/>
        <w:numPr>
          <w:ilvl w:val="0"/>
          <w:numId w:val="0"/>
        </w:numPr>
        <w:spacing w:before="0" w:after="0" w:line="360" w:lineRule="auto"/>
        <w:ind w:leftChars="0"/>
        <w:rPr>
          <w:rFonts w:hint="eastAsia" w:ascii="宋体" w:hAnsi="宋体" w:cs="宋体"/>
          <w:bCs w:val="0"/>
          <w:color w:val="auto"/>
        </w:rPr>
      </w:pPr>
      <w:bookmarkStart w:id="35" w:name="_Toc488673628"/>
      <w:r>
        <w:rPr>
          <w:rFonts w:hint="eastAsia" w:ascii="宋体" w:hAnsi="宋体" w:cs="宋体"/>
          <w:bCs w:val="0"/>
          <w:color w:val="auto"/>
          <w:lang w:val="en-US" w:eastAsia="zh-CN"/>
        </w:rPr>
        <w:t>13、</w:t>
      </w:r>
      <w:r>
        <w:rPr>
          <w:rFonts w:hint="eastAsia" w:ascii="宋体" w:hAnsi="宋体" w:cs="宋体"/>
          <w:bCs w:val="0"/>
          <w:color w:val="auto"/>
        </w:rPr>
        <w:t>磋商响应文件的</w:t>
      </w:r>
      <w:bookmarkEnd w:id="35"/>
      <w:r>
        <w:rPr>
          <w:rFonts w:hint="eastAsia" w:ascii="宋体" w:hAnsi="宋体" w:cs="宋体"/>
          <w:bCs w:val="0"/>
          <w:color w:val="auto"/>
          <w:lang w:eastAsia="zh-CN"/>
        </w:rPr>
        <w:t>递交</w:t>
      </w:r>
    </w:p>
    <w:p w14:paraId="4CA22CE2">
      <w:pPr>
        <w:widowControl/>
        <w:spacing w:line="400" w:lineRule="exact"/>
        <w:ind w:firstLine="480" w:firstLineChars="200"/>
        <w:jc w:val="left"/>
        <w:rPr>
          <w:rFonts w:hint="eastAsia" w:ascii="宋体" w:hAnsi="宋体" w:eastAsia="宋体" w:cs="宋体"/>
          <w:color w:val="auto"/>
          <w:kern w:val="0"/>
          <w:sz w:val="24"/>
          <w:highlight w:val="none"/>
          <w:lang w:val="zh-CN"/>
        </w:rPr>
      </w:pPr>
      <w:bookmarkStart w:id="36" w:name="_Toc488673629"/>
      <w:r>
        <w:rPr>
          <w:rFonts w:hint="eastAsia" w:ascii="宋体" w:hAnsi="宋体" w:eastAsia="宋体" w:cs="宋体"/>
          <w:color w:val="auto"/>
          <w:kern w:val="0"/>
          <w:sz w:val="24"/>
          <w:highlight w:val="none"/>
          <w:lang w:val="zh-CN"/>
        </w:rPr>
        <w:t>13.1本次</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采用线上递交响应文件的方式进行采购，线上响应文件必须在响应文件递交截止时间前上传</w:t>
      </w:r>
      <w:r>
        <w:rPr>
          <w:rFonts w:hint="eastAsia" w:ascii="宋体" w:hAnsi="宋体" w:eastAsia="宋体" w:cs="宋体"/>
          <w:color w:val="auto"/>
          <w:kern w:val="0"/>
          <w:sz w:val="24"/>
          <w:highlight w:val="none"/>
          <w:lang w:val="en-US" w:eastAsia="zh-CN"/>
        </w:rPr>
        <w:t>至政采云</w:t>
      </w:r>
      <w:r>
        <w:rPr>
          <w:rFonts w:hint="eastAsia" w:ascii="宋体" w:hAnsi="宋体" w:eastAsia="宋体" w:cs="宋体"/>
          <w:color w:val="auto"/>
          <w:kern w:val="0"/>
          <w:sz w:val="24"/>
          <w:highlight w:val="none"/>
          <w:lang w:val="zh-CN"/>
        </w:rPr>
        <w:t>平台。</w:t>
      </w:r>
    </w:p>
    <w:p w14:paraId="07FF3235">
      <w:pPr>
        <w:pStyle w:val="12"/>
        <w:rPr>
          <w:rFonts w:hint="eastAsia"/>
          <w:color w:val="auto"/>
          <w:lang w:val="zh-CN"/>
        </w:rPr>
      </w:pPr>
    </w:p>
    <w:p w14:paraId="68083442">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14、</w:t>
      </w:r>
      <w:r>
        <w:rPr>
          <w:rFonts w:hint="eastAsia" w:ascii="宋体" w:hAnsi="宋体" w:cs="宋体"/>
          <w:bCs w:val="0"/>
          <w:color w:val="auto"/>
        </w:rPr>
        <w:t>递交磋商响应文件的地点、截止时间</w:t>
      </w:r>
      <w:bookmarkEnd w:id="36"/>
    </w:p>
    <w:p w14:paraId="12F03676">
      <w:pPr>
        <w:widowControl/>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14.1  投标</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应当在</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文件要求提交磋商响应文件的截止时间前，</w:t>
      </w:r>
      <w:r>
        <w:rPr>
          <w:rFonts w:hint="eastAsia" w:ascii="宋体" w:hAnsi="宋体" w:eastAsia="宋体" w:cs="宋体"/>
          <w:color w:val="auto"/>
          <w:kern w:val="0"/>
          <w:sz w:val="24"/>
          <w:highlight w:val="none"/>
          <w:lang w:val="en-US" w:eastAsia="zh-CN"/>
        </w:rPr>
        <w:t>将磋商响应文件上传至</w:t>
      </w:r>
      <w:r>
        <w:rPr>
          <w:rFonts w:hint="eastAsia" w:ascii="宋体" w:hAnsi="宋体" w:eastAsia="宋体" w:cs="宋体"/>
          <w:color w:val="auto"/>
          <w:kern w:val="0"/>
          <w:sz w:val="24"/>
          <w:highlight w:val="none"/>
          <w:lang w:val="zh-CN"/>
        </w:rPr>
        <w:t>政采云投标客户端。</w:t>
      </w:r>
    </w:p>
    <w:p w14:paraId="08E27710">
      <w:pPr>
        <w:widowControl/>
        <w:spacing w:line="4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14.2 投标</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lang w:val="zh-CN"/>
        </w:rPr>
        <w:t>在</w:t>
      </w:r>
      <w:r>
        <w:rPr>
          <w:rFonts w:hint="eastAsia" w:ascii="宋体" w:hAnsi="宋体" w:eastAsia="宋体" w:cs="宋体"/>
          <w:color w:val="auto"/>
          <w:kern w:val="0"/>
          <w:sz w:val="24"/>
          <w:highlight w:val="none"/>
          <w:lang w:val="en-US" w:eastAsia="zh-CN"/>
        </w:rPr>
        <w:t>采购</w:t>
      </w:r>
      <w:r>
        <w:rPr>
          <w:rFonts w:hint="eastAsia" w:ascii="宋体" w:hAnsi="宋体" w:eastAsia="宋体" w:cs="宋体"/>
          <w:color w:val="auto"/>
          <w:kern w:val="0"/>
          <w:sz w:val="24"/>
          <w:highlight w:val="none"/>
          <w:lang w:val="zh-CN"/>
        </w:rPr>
        <w:t>文件要求提交磋商响应文件的截止时间</w:t>
      </w:r>
      <w:r>
        <w:rPr>
          <w:rFonts w:hint="eastAsia" w:ascii="宋体" w:hAnsi="宋体" w:eastAsia="宋体" w:cs="宋体"/>
          <w:color w:val="auto"/>
          <w:kern w:val="0"/>
          <w:sz w:val="24"/>
          <w:highlight w:val="none"/>
          <w:lang w:val="en-US" w:eastAsia="zh-CN"/>
        </w:rPr>
        <w:t>及开标时间</w:t>
      </w:r>
      <w:r>
        <w:rPr>
          <w:rFonts w:hint="eastAsia" w:ascii="宋体" w:hAnsi="宋体" w:eastAsia="宋体" w:cs="宋体"/>
          <w:color w:val="auto"/>
          <w:kern w:val="0"/>
          <w:sz w:val="24"/>
          <w:highlight w:val="none"/>
          <w:lang w:val="zh-CN"/>
        </w:rPr>
        <w:t>前，</w:t>
      </w:r>
      <w:r>
        <w:rPr>
          <w:rFonts w:hint="eastAsia" w:ascii="宋体" w:hAnsi="宋体" w:eastAsia="宋体" w:cs="宋体"/>
          <w:color w:val="auto"/>
          <w:kern w:val="0"/>
          <w:sz w:val="24"/>
          <w:highlight w:val="none"/>
          <w:lang w:val="en-US" w:eastAsia="zh-CN"/>
        </w:rPr>
        <w:t>未将磋商响应文件上传至</w:t>
      </w:r>
      <w:r>
        <w:rPr>
          <w:rFonts w:hint="eastAsia" w:ascii="宋体" w:hAnsi="宋体" w:eastAsia="宋体" w:cs="宋体"/>
          <w:color w:val="auto"/>
          <w:kern w:val="0"/>
          <w:sz w:val="24"/>
          <w:highlight w:val="none"/>
          <w:lang w:val="zh-CN"/>
        </w:rPr>
        <w:t>政采云投标客户端、</w:t>
      </w:r>
      <w:r>
        <w:rPr>
          <w:rFonts w:hint="eastAsia" w:ascii="宋体" w:hAnsi="宋体" w:eastAsia="宋体" w:cs="宋体"/>
          <w:color w:val="auto"/>
          <w:kern w:val="0"/>
          <w:sz w:val="24"/>
          <w:highlight w:val="none"/>
          <w:lang w:val="en-US" w:eastAsia="zh-CN"/>
        </w:rPr>
        <w:t>或文件解密失败的，视为无效投标</w:t>
      </w:r>
      <w:r>
        <w:rPr>
          <w:rFonts w:hint="eastAsia" w:ascii="宋体" w:hAnsi="宋体" w:eastAsia="宋体" w:cs="宋体"/>
          <w:color w:val="auto"/>
          <w:kern w:val="0"/>
          <w:sz w:val="24"/>
          <w:highlight w:val="none"/>
          <w:lang w:val="zh-CN"/>
        </w:rPr>
        <w:t>。</w:t>
      </w:r>
    </w:p>
    <w:p w14:paraId="23F0C8C6">
      <w:pPr>
        <w:pStyle w:val="20"/>
        <w:spacing w:line="360" w:lineRule="auto"/>
        <w:rPr>
          <w:rFonts w:hint="eastAsia" w:hAnsi="宋体" w:cs="宋体"/>
          <w:color w:val="auto"/>
          <w:sz w:val="24"/>
          <w:szCs w:val="28"/>
        </w:rPr>
      </w:pPr>
    </w:p>
    <w:p w14:paraId="77040481">
      <w:pPr>
        <w:pStyle w:val="5"/>
        <w:numPr>
          <w:ilvl w:val="0"/>
          <w:numId w:val="0"/>
        </w:numPr>
        <w:spacing w:before="0" w:after="0" w:line="360" w:lineRule="auto"/>
        <w:ind w:leftChars="0"/>
        <w:rPr>
          <w:rFonts w:hint="eastAsia" w:ascii="宋体" w:hAnsi="宋体" w:cs="宋体"/>
          <w:bCs w:val="0"/>
          <w:color w:val="auto"/>
        </w:rPr>
      </w:pPr>
      <w:bookmarkStart w:id="37" w:name="_Toc488673630"/>
      <w:r>
        <w:rPr>
          <w:rFonts w:hint="eastAsia" w:ascii="宋体" w:hAnsi="宋体" w:cs="宋体"/>
          <w:bCs w:val="0"/>
          <w:color w:val="auto"/>
          <w:lang w:val="en-US" w:eastAsia="zh-CN"/>
        </w:rPr>
        <w:t>15、</w:t>
      </w:r>
      <w:r>
        <w:rPr>
          <w:rFonts w:hint="eastAsia" w:ascii="宋体" w:hAnsi="宋体" w:cs="宋体"/>
          <w:bCs w:val="0"/>
          <w:color w:val="auto"/>
        </w:rPr>
        <w:t>磋商响应文件的撤回和修改</w:t>
      </w:r>
      <w:bookmarkEnd w:id="37"/>
    </w:p>
    <w:p w14:paraId="477DA448">
      <w:pPr>
        <w:widowControl/>
        <w:spacing w:line="400" w:lineRule="exact"/>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w:t>
      </w:r>
      <w:r>
        <w:rPr>
          <w:rFonts w:hint="eastAsia" w:ascii="宋体" w:hAnsi="宋体" w:cs="宋体"/>
          <w:color w:val="auto"/>
          <w:kern w:val="0"/>
          <w:sz w:val="24"/>
          <w:highlight w:val="none"/>
          <w:lang w:val="en-US" w:eastAsia="zh-CN"/>
        </w:rPr>
        <w:t>供应商</w:t>
      </w:r>
      <w:r>
        <w:rPr>
          <w:rFonts w:hint="eastAsia" w:ascii="宋体" w:hAnsi="宋体" w:cs="宋体"/>
          <w:color w:val="auto"/>
          <w:kern w:val="0"/>
          <w:sz w:val="24"/>
          <w:highlight w:val="none"/>
          <w:lang w:val="zh-CN"/>
        </w:rPr>
        <w:t>在</w:t>
      </w:r>
      <w:r>
        <w:rPr>
          <w:rFonts w:hint="eastAsia" w:ascii="宋体" w:hAnsi="宋体" w:eastAsia="宋体" w:cs="宋体"/>
          <w:color w:val="auto"/>
          <w:kern w:val="0"/>
          <w:sz w:val="24"/>
          <w:highlight w:val="none"/>
          <w:lang w:val="zh-CN"/>
        </w:rPr>
        <w:t>磋商响应文件</w:t>
      </w:r>
      <w:r>
        <w:rPr>
          <w:rFonts w:hint="eastAsia" w:ascii="宋体" w:hAnsi="宋体" w:cs="宋体"/>
          <w:color w:val="auto"/>
          <w:kern w:val="0"/>
          <w:sz w:val="24"/>
          <w:highlight w:val="none"/>
          <w:lang w:val="zh-CN"/>
        </w:rPr>
        <w:t>截止时间前，可以对所</w:t>
      </w:r>
      <w:r>
        <w:rPr>
          <w:rFonts w:hint="eastAsia" w:ascii="宋体" w:hAnsi="宋体" w:cs="宋体"/>
          <w:color w:val="auto"/>
          <w:kern w:val="0"/>
          <w:sz w:val="24"/>
          <w:highlight w:val="none"/>
          <w:lang w:val="zh-CN" w:eastAsia="zh-CN"/>
        </w:rPr>
        <w:t>上传</w:t>
      </w:r>
      <w:r>
        <w:rPr>
          <w:rFonts w:hint="eastAsia" w:ascii="宋体" w:hAnsi="宋体" w:cs="宋体"/>
          <w:color w:val="auto"/>
          <w:kern w:val="0"/>
          <w:sz w:val="24"/>
          <w:highlight w:val="none"/>
          <w:lang w:val="zh-CN"/>
        </w:rPr>
        <w:t>的</w:t>
      </w:r>
      <w:r>
        <w:rPr>
          <w:rFonts w:hint="eastAsia" w:ascii="宋体" w:hAnsi="宋体" w:cs="宋体"/>
          <w:color w:val="auto"/>
          <w:kern w:val="0"/>
          <w:sz w:val="24"/>
          <w:highlight w:val="none"/>
          <w:lang w:val="en-US" w:eastAsia="zh-CN"/>
        </w:rPr>
        <w:t>磋商</w:t>
      </w:r>
      <w:r>
        <w:rPr>
          <w:rFonts w:hint="eastAsia" w:ascii="宋体" w:hAnsi="宋体" w:cs="宋体"/>
          <w:color w:val="auto"/>
          <w:kern w:val="0"/>
          <w:sz w:val="24"/>
          <w:highlight w:val="none"/>
          <w:lang w:val="zh-CN"/>
        </w:rPr>
        <w:t>文件进行补充、修改或者撤回</w:t>
      </w:r>
      <w:r>
        <w:rPr>
          <w:rFonts w:hint="eastAsia" w:ascii="宋体" w:hAnsi="宋体" w:cs="宋体"/>
          <w:color w:val="auto"/>
          <w:kern w:val="0"/>
          <w:sz w:val="24"/>
          <w:highlight w:val="none"/>
          <w:lang w:val="zh-CN" w:eastAsia="zh-CN"/>
        </w:rPr>
        <w:t>，</w:t>
      </w:r>
      <w:r>
        <w:rPr>
          <w:rFonts w:hint="eastAsia" w:ascii="宋体" w:hAnsi="宋体" w:cs="宋体"/>
          <w:color w:val="auto"/>
          <w:kern w:val="0"/>
          <w:sz w:val="24"/>
          <w:highlight w:val="none"/>
          <w:lang w:val="zh-CN"/>
        </w:rPr>
        <w:t>补充、修改或者撤回</w:t>
      </w:r>
      <w:r>
        <w:rPr>
          <w:rFonts w:hint="eastAsia" w:ascii="宋体" w:hAnsi="宋体" w:cs="宋体"/>
          <w:color w:val="auto"/>
          <w:kern w:val="0"/>
          <w:sz w:val="24"/>
          <w:highlight w:val="none"/>
          <w:lang w:val="zh-CN" w:eastAsia="zh-CN"/>
        </w:rPr>
        <w:t>的内容</w:t>
      </w:r>
      <w:r>
        <w:rPr>
          <w:rFonts w:hint="eastAsia" w:ascii="宋体" w:hAnsi="宋体" w:cs="宋体"/>
          <w:color w:val="auto"/>
          <w:kern w:val="0"/>
          <w:sz w:val="24"/>
          <w:highlight w:val="none"/>
          <w:lang w:val="zh-CN"/>
        </w:rPr>
        <w:t>作为</w:t>
      </w:r>
      <w:r>
        <w:rPr>
          <w:rFonts w:hint="eastAsia" w:ascii="宋体" w:hAnsi="宋体" w:cs="宋体"/>
          <w:color w:val="auto"/>
          <w:kern w:val="0"/>
          <w:sz w:val="24"/>
          <w:highlight w:val="none"/>
          <w:lang w:val="en-US" w:eastAsia="zh-CN"/>
        </w:rPr>
        <w:t>磋商响应</w:t>
      </w:r>
      <w:r>
        <w:rPr>
          <w:rFonts w:hint="eastAsia" w:ascii="宋体" w:hAnsi="宋体" w:cs="宋体"/>
          <w:color w:val="auto"/>
          <w:kern w:val="0"/>
          <w:sz w:val="24"/>
          <w:highlight w:val="none"/>
          <w:lang w:val="zh-CN"/>
        </w:rPr>
        <w:t>文件的组成部分。</w:t>
      </w:r>
    </w:p>
    <w:p w14:paraId="5DC8D4CD">
      <w:pPr>
        <w:pStyle w:val="12"/>
        <w:rPr>
          <w:color w:val="auto"/>
          <w:lang w:val="zh-CN"/>
        </w:rPr>
      </w:pPr>
    </w:p>
    <w:p w14:paraId="138673C2">
      <w:pPr>
        <w:pStyle w:val="5"/>
        <w:numPr>
          <w:ilvl w:val="0"/>
          <w:numId w:val="0"/>
        </w:numPr>
        <w:spacing w:before="0" w:after="0" w:line="360" w:lineRule="auto"/>
        <w:ind w:leftChars="0"/>
        <w:rPr>
          <w:rFonts w:hint="eastAsia" w:ascii="宋体" w:hAnsi="宋体" w:eastAsia="宋体" w:cs="宋体"/>
          <w:bCs w:val="0"/>
          <w:color w:val="auto"/>
        </w:rPr>
      </w:pPr>
      <w:r>
        <w:rPr>
          <w:rFonts w:hint="eastAsia" w:ascii="宋体" w:hAnsi="宋体" w:cs="宋体"/>
          <w:bCs w:val="0"/>
          <w:color w:val="auto"/>
          <w:lang w:val="en-US" w:eastAsia="zh-CN"/>
        </w:rPr>
        <w:t>五、</w:t>
      </w:r>
      <w:r>
        <w:rPr>
          <w:rFonts w:hint="eastAsia" w:ascii="宋体" w:hAnsi="宋体" w:eastAsia="宋体" w:cs="宋体"/>
          <w:bCs w:val="0"/>
          <w:color w:val="auto"/>
        </w:rPr>
        <w:t>磋商过程</w:t>
      </w:r>
    </w:p>
    <w:p w14:paraId="7BAB8B79">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采购代理机构按本磋商文件中确定的时间和地点组织本项目的磋商活动。供应商应由其委托代理人参加。</w:t>
      </w:r>
    </w:p>
    <w:p w14:paraId="228AD9D2">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磋商时，对不同文字文本响应文件的解释发生异议的，以中文文本为准。</w:t>
      </w:r>
    </w:p>
    <w:p w14:paraId="0C049FDC">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磋商工作由采购代理机构组织，采购单位、采购监管、纪检监察等有关方面代表可根据采购项目的具体情况列席。</w:t>
      </w:r>
    </w:p>
    <w:p w14:paraId="3E8F18E1">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磋商过程有专人记录，并存档备查</w:t>
      </w:r>
    </w:p>
    <w:p w14:paraId="1DA34B68">
      <w:pPr>
        <w:pStyle w:val="140"/>
        <w:numPr>
          <w:ilvl w:val="0"/>
          <w:numId w:val="12"/>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采购人或者采购代理机构应当依法对磋商人的资格进行审查。</w:t>
      </w:r>
    </w:p>
    <w:p w14:paraId="0A38955F">
      <w:pPr>
        <w:pStyle w:val="5"/>
        <w:numPr>
          <w:ilvl w:val="0"/>
          <w:numId w:val="0"/>
        </w:numPr>
        <w:spacing w:before="0" w:after="0" w:line="360" w:lineRule="auto"/>
        <w:ind w:leftChars="0"/>
        <w:rPr>
          <w:rFonts w:hint="eastAsia" w:ascii="宋体" w:hAnsi="宋体" w:eastAsia="宋体" w:cs="宋体"/>
          <w:bCs w:val="0"/>
          <w:color w:val="auto"/>
        </w:rPr>
      </w:pPr>
      <w:bookmarkStart w:id="38" w:name="_Toc14994"/>
      <w:r>
        <w:rPr>
          <w:rFonts w:hint="eastAsia" w:ascii="宋体" w:hAnsi="宋体" w:cs="宋体"/>
          <w:bCs w:val="0"/>
          <w:color w:val="auto"/>
          <w:lang w:eastAsia="zh-CN"/>
        </w:rPr>
        <w:t>六、</w:t>
      </w:r>
      <w:r>
        <w:rPr>
          <w:rFonts w:hint="eastAsia" w:ascii="宋体" w:hAnsi="宋体" w:eastAsia="宋体" w:cs="宋体"/>
          <w:bCs w:val="0"/>
          <w:color w:val="auto"/>
        </w:rPr>
        <w:t>资格审查程序</w:t>
      </w:r>
      <w:bookmarkEnd w:id="38"/>
    </w:p>
    <w:p w14:paraId="3A34AD1C">
      <w:pPr>
        <w:rPr>
          <w:rFonts w:hint="eastAsia" w:ascii="宋体" w:hAnsi="宋体" w:cs="宋体"/>
          <w:color w:val="auto"/>
          <w:sz w:val="28"/>
          <w:szCs w:val="28"/>
        </w:rPr>
      </w:pPr>
      <w:r>
        <w:rPr>
          <w:rFonts w:hint="eastAsia" w:ascii="宋体" w:hAnsi="宋体" w:cs="宋体"/>
          <w:color w:val="auto"/>
        </w:rPr>
        <w:t xml:space="preserve">     </w:t>
      </w:r>
      <w:r>
        <w:rPr>
          <w:rFonts w:hint="eastAsia" w:ascii="宋体" w:hAnsi="宋体" w:cs="宋体"/>
          <w:color w:val="auto"/>
          <w:sz w:val="28"/>
          <w:szCs w:val="28"/>
        </w:rPr>
        <w:t>资格审查</w:t>
      </w:r>
    </w:p>
    <w:p w14:paraId="66029ACA">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递交首次磋商响应文件截止时间后，由采购人、采购机构依法对供应商的资格进行审查。</w:t>
      </w:r>
    </w:p>
    <w:p w14:paraId="456D463B">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供应商数量不满足相关规定的，不得评审。</w:t>
      </w:r>
    </w:p>
    <w:p w14:paraId="4A68CDAE">
      <w:pPr>
        <w:pStyle w:val="140"/>
        <w:numPr>
          <w:ilvl w:val="0"/>
          <w:numId w:val="13"/>
        </w:numPr>
        <w:spacing w:line="360" w:lineRule="auto"/>
        <w:ind w:left="420" w:leftChars="0" w:hanging="420" w:firstLineChars="0"/>
        <w:jc w:val="left"/>
        <w:rPr>
          <w:rFonts w:hint="eastAsia" w:ascii="宋体" w:hAnsi="宋体" w:cs="宋体"/>
          <w:color w:val="auto"/>
          <w:sz w:val="24"/>
        </w:rPr>
      </w:pPr>
      <w:r>
        <w:rPr>
          <w:rFonts w:hint="eastAsia" w:ascii="宋体" w:hAnsi="宋体" w:cs="宋体"/>
          <w:color w:val="auto"/>
          <w:sz w:val="24"/>
        </w:rPr>
        <w:t>资格审查时，投标人存在下列情况之一的，按无效投标处理：</w:t>
      </w:r>
    </w:p>
    <w:p w14:paraId="37CAF369">
      <w:pPr>
        <w:pStyle w:val="140"/>
        <w:numPr>
          <w:ilvl w:val="0"/>
          <w:numId w:val="0"/>
        </w:numPr>
        <w:spacing w:line="360" w:lineRule="auto"/>
        <w:ind w:leftChars="0"/>
        <w:jc w:val="left"/>
        <w:rPr>
          <w:rFonts w:hint="eastAsia" w:ascii="宋体" w:hAnsi="宋体" w:cs="宋体"/>
          <w:color w:val="auto"/>
          <w:sz w:val="24"/>
        </w:rPr>
      </w:pPr>
      <w:bookmarkStart w:id="39" w:name="_Toc7164"/>
      <w:r>
        <w:rPr>
          <w:rFonts w:hint="eastAsia" w:ascii="宋体" w:hAnsi="宋体" w:cs="宋体"/>
          <w:color w:val="auto"/>
          <w:sz w:val="24"/>
        </w:rPr>
        <w:t>（1）不具备第一部分“投标邀请”中投标人资格要求的；</w:t>
      </w:r>
    </w:p>
    <w:p w14:paraId="46F5C4C1">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（2）未按磋商文件要求缴纳或未足额缴纳投标保证金的；</w:t>
      </w:r>
    </w:p>
    <w:p w14:paraId="647019C4">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（3）未按第12.1</w:t>
      </w:r>
      <w:r>
        <w:rPr>
          <w:rFonts w:hint="eastAsia" w:ascii="宋体" w:hAnsi="宋体" w:cs="宋体"/>
          <w:color w:val="auto"/>
          <w:sz w:val="24"/>
          <w:lang w:eastAsia="zh-CN"/>
        </w:rPr>
        <w:t>（</w:t>
      </w:r>
      <w:r>
        <w:rPr>
          <w:rFonts w:hint="eastAsia" w:ascii="宋体" w:hAnsi="宋体" w:cs="宋体"/>
          <w:color w:val="auto"/>
          <w:sz w:val="24"/>
          <w:lang w:val="en-US" w:eastAsia="zh-CN"/>
        </w:rPr>
        <w:t>1-10</w:t>
      </w:r>
      <w:r>
        <w:rPr>
          <w:rFonts w:hint="eastAsia" w:ascii="宋体" w:hAnsi="宋体" w:cs="宋体"/>
          <w:color w:val="auto"/>
          <w:sz w:val="24"/>
          <w:lang w:eastAsia="zh-CN"/>
        </w:rPr>
        <w:t>）</w:t>
      </w:r>
      <w:r>
        <w:rPr>
          <w:rFonts w:hint="eastAsia" w:ascii="宋体" w:hAnsi="宋体" w:cs="宋体"/>
          <w:color w:val="auto"/>
          <w:sz w:val="24"/>
        </w:rPr>
        <w:t>要求提供相关资料的；</w:t>
      </w:r>
    </w:p>
    <w:p w14:paraId="694B7F55">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（4）未按第9款要求编制响应文件的；</w:t>
      </w:r>
    </w:p>
    <w:p w14:paraId="767FA10C">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（5）资格性审查文件未按磋商文件规定和要求签字、盖章的；</w:t>
      </w:r>
    </w:p>
    <w:p w14:paraId="285DDCE6">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（6）磋商有效期不能满足磋商文件要求的；</w:t>
      </w:r>
    </w:p>
    <w:p w14:paraId="4B8912B4">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（7）未按磋商文件要求提供电子文档；</w:t>
      </w:r>
    </w:p>
    <w:p w14:paraId="1949A948">
      <w:pPr>
        <w:pStyle w:val="140"/>
        <w:numPr>
          <w:ilvl w:val="0"/>
          <w:numId w:val="0"/>
        </w:numPr>
        <w:spacing w:line="360" w:lineRule="auto"/>
        <w:ind w:leftChars="0"/>
        <w:jc w:val="left"/>
        <w:rPr>
          <w:rFonts w:hint="eastAsia" w:ascii="宋体" w:hAnsi="宋体" w:cs="宋体"/>
          <w:color w:val="auto"/>
          <w:sz w:val="24"/>
        </w:rPr>
      </w:pPr>
      <w:r>
        <w:rPr>
          <w:rFonts w:hint="eastAsia" w:ascii="宋体" w:hAnsi="宋体" w:cs="宋体"/>
          <w:color w:val="auto"/>
          <w:sz w:val="24"/>
        </w:rPr>
        <w:t>（8）报价超过磋商文件中规定的预算金额或者最高限价的。</w:t>
      </w:r>
    </w:p>
    <w:p w14:paraId="04F31BF2">
      <w:pPr>
        <w:pStyle w:val="4"/>
        <w:numPr>
          <w:ilvl w:val="2"/>
          <w:numId w:val="0"/>
        </w:numPr>
        <w:tabs>
          <w:tab w:val="clear" w:pos="709"/>
        </w:tabs>
        <w:ind w:left="240" w:leftChars="0"/>
        <w:outlineLvl w:val="1"/>
        <w:rPr>
          <w:rFonts w:hint="eastAsia" w:hAnsi="宋体" w:cs="宋体"/>
          <w:b/>
          <w:color w:val="auto"/>
          <w:sz w:val="28"/>
          <w:szCs w:val="28"/>
        </w:rPr>
      </w:pPr>
      <w:r>
        <w:rPr>
          <w:rFonts w:hint="eastAsia" w:hAnsi="宋体" w:cs="宋体"/>
          <w:b/>
          <w:bCs/>
          <w:color w:val="auto"/>
          <w:sz w:val="28"/>
          <w:szCs w:val="28"/>
          <w:lang w:eastAsia="zh-CN"/>
        </w:rPr>
        <w:t>七、</w:t>
      </w:r>
      <w:r>
        <w:rPr>
          <w:rFonts w:hint="eastAsia" w:hAnsi="宋体" w:cs="宋体"/>
          <w:b/>
          <w:bCs/>
          <w:color w:val="auto"/>
          <w:sz w:val="28"/>
          <w:szCs w:val="28"/>
        </w:rPr>
        <w:t>确定成交供应商</w:t>
      </w:r>
      <w:bookmarkEnd w:id="39"/>
    </w:p>
    <w:p w14:paraId="7781E912">
      <w:pPr>
        <w:pStyle w:val="5"/>
        <w:numPr>
          <w:ilvl w:val="0"/>
          <w:numId w:val="0"/>
        </w:numPr>
        <w:spacing w:before="0" w:after="0" w:line="360" w:lineRule="auto"/>
        <w:ind w:leftChars="0"/>
        <w:rPr>
          <w:rFonts w:hint="eastAsia" w:ascii="宋体" w:hAnsi="宋体" w:cs="宋体"/>
          <w:bCs w:val="0"/>
          <w:color w:val="auto"/>
        </w:rPr>
      </w:pPr>
      <w:bookmarkStart w:id="40" w:name="_Toc488673637"/>
      <w:r>
        <w:rPr>
          <w:rFonts w:hint="eastAsia" w:ascii="宋体" w:hAnsi="宋体" w:cs="宋体"/>
          <w:bCs w:val="0"/>
          <w:color w:val="auto"/>
          <w:lang w:val="en-US" w:eastAsia="zh-CN"/>
        </w:rPr>
        <w:t>15、</w:t>
      </w:r>
      <w:r>
        <w:rPr>
          <w:rFonts w:hint="eastAsia" w:ascii="宋体" w:hAnsi="宋体" w:cs="宋体"/>
          <w:bCs w:val="0"/>
          <w:color w:val="auto"/>
        </w:rPr>
        <w:t>推荐并确定成交供应商</w:t>
      </w:r>
      <w:bookmarkEnd w:id="40"/>
    </w:p>
    <w:p w14:paraId="2C7B9558">
      <w:pPr>
        <w:pStyle w:val="20"/>
        <w:numPr>
          <w:ilvl w:val="0"/>
          <w:numId w:val="0"/>
        </w:numPr>
        <w:spacing w:line="360" w:lineRule="auto"/>
        <w:ind w:left="141" w:leftChars="0"/>
        <w:jc w:val="left"/>
        <w:rPr>
          <w:rFonts w:hint="eastAsia" w:hAnsi="宋体" w:cs="宋体"/>
          <w:color w:val="auto"/>
          <w:sz w:val="24"/>
          <w:szCs w:val="24"/>
        </w:rPr>
      </w:pPr>
      <w:r>
        <w:rPr>
          <w:rFonts w:hint="eastAsia" w:hAnsi="宋体" w:cs="宋体"/>
          <w:b w:val="0"/>
          <w:bCs w:val="0"/>
          <w:color w:val="auto"/>
          <w:sz w:val="24"/>
          <w:szCs w:val="24"/>
          <w:lang w:val="en-US" w:eastAsia="zh-CN"/>
        </w:rPr>
        <w:t>15.1</w:t>
      </w:r>
      <w:r>
        <w:rPr>
          <w:rFonts w:hint="eastAsia" w:hAnsi="宋体" w:cs="宋体"/>
          <w:b w:val="0"/>
          <w:bCs w:val="0"/>
          <w:color w:val="auto"/>
          <w:sz w:val="24"/>
          <w:szCs w:val="24"/>
        </w:rPr>
        <w:t>采用综合评分法的，</w:t>
      </w:r>
      <w:r>
        <w:rPr>
          <w:rFonts w:hint="eastAsia" w:hAnsi="宋体" w:cs="宋体"/>
          <w:color w:val="auto"/>
          <w:sz w:val="24"/>
          <w:szCs w:val="24"/>
          <w:shd w:val="clear" w:color="auto" w:fill="FFFFFF"/>
        </w:rPr>
        <w:t>评标结果按评审后得分由高到低顺序排列。得分相同的，按投标报价由低到高顺序排列。得分且投标报价相同的并列。磋商响应文件满足磋商文件全部实质性要求，且按照评审因素的量化指标评审得分最高的磋商人为排名第一的成交候选人。</w:t>
      </w:r>
    </w:p>
    <w:p w14:paraId="0D09CB0A">
      <w:pPr>
        <w:pStyle w:val="20"/>
        <w:numPr>
          <w:ilvl w:val="0"/>
          <w:numId w:val="0"/>
        </w:numPr>
        <w:spacing w:line="360" w:lineRule="auto"/>
        <w:ind w:left="141" w:leftChars="0"/>
        <w:jc w:val="left"/>
        <w:rPr>
          <w:rFonts w:hint="eastAsia" w:hAnsi="宋体" w:cs="宋体"/>
          <w:color w:val="auto"/>
          <w:sz w:val="24"/>
          <w:szCs w:val="28"/>
        </w:rPr>
      </w:pPr>
      <w:r>
        <w:rPr>
          <w:rFonts w:hint="eastAsia" w:hAnsi="宋体" w:cs="宋体"/>
          <w:color w:val="auto"/>
          <w:sz w:val="24"/>
          <w:szCs w:val="28"/>
          <w:lang w:val="en-US" w:eastAsia="zh-CN"/>
        </w:rPr>
        <w:t>15.2</w:t>
      </w:r>
      <w:r>
        <w:rPr>
          <w:rFonts w:hint="eastAsia" w:hAnsi="宋体" w:cs="宋体"/>
          <w:color w:val="auto"/>
          <w:sz w:val="24"/>
          <w:szCs w:val="28"/>
        </w:rPr>
        <w:t>成交供应商因不可抗力或自身原因不能履行合同时，采购单位可以按照评审报告推荐的预成交候选磋商供应商名单排序，确定下一候选磋商供应商为成交供应商，也可重新开展政府采购活动。</w:t>
      </w:r>
    </w:p>
    <w:p w14:paraId="3F8B56B8">
      <w:pPr>
        <w:pStyle w:val="20"/>
        <w:numPr>
          <w:ilvl w:val="0"/>
          <w:numId w:val="0"/>
        </w:numPr>
        <w:spacing w:line="360" w:lineRule="auto"/>
        <w:ind w:left="141" w:leftChars="0"/>
        <w:jc w:val="left"/>
        <w:rPr>
          <w:rFonts w:hint="eastAsia" w:hAnsi="宋体" w:cs="宋体"/>
          <w:color w:val="auto"/>
          <w:sz w:val="24"/>
          <w:szCs w:val="24"/>
        </w:rPr>
      </w:pPr>
      <w:r>
        <w:rPr>
          <w:rFonts w:hint="eastAsia" w:hAnsi="宋体" w:cs="宋体"/>
          <w:color w:val="auto"/>
          <w:sz w:val="24"/>
          <w:szCs w:val="24"/>
          <w:shd w:val="clear" w:color="auto" w:fill="FFFFFF"/>
          <w:lang w:val="en-US" w:eastAsia="zh-CN"/>
        </w:rPr>
        <w:t>15.3</w:t>
      </w:r>
      <w:r>
        <w:rPr>
          <w:rFonts w:hint="eastAsia" w:hAnsi="宋体" w:cs="宋体"/>
          <w:color w:val="auto"/>
          <w:sz w:val="24"/>
          <w:szCs w:val="24"/>
          <w:shd w:val="clear" w:color="auto" w:fill="FFFFFF"/>
        </w:rPr>
        <w:t>评标结果汇总完成后，除下列情形外，任何人不得修改评标结果：</w:t>
      </w:r>
    </w:p>
    <w:p w14:paraId="55835297">
      <w:pPr>
        <w:pStyle w:val="20"/>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分值汇总计算错误的；</w:t>
      </w:r>
    </w:p>
    <w:p w14:paraId="2B0DB10B">
      <w:pPr>
        <w:pStyle w:val="20"/>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分项评分超出评分标准范围的；</w:t>
      </w:r>
    </w:p>
    <w:p w14:paraId="703A969A">
      <w:pPr>
        <w:pStyle w:val="20"/>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磋商小组成员对客观评审因素评分不一致的；</w:t>
      </w:r>
    </w:p>
    <w:p w14:paraId="4168B691">
      <w:pPr>
        <w:pStyle w:val="20"/>
        <w:numPr>
          <w:ilvl w:val="0"/>
          <w:numId w:val="14"/>
        </w:numPr>
        <w:spacing w:line="360" w:lineRule="auto"/>
        <w:jc w:val="left"/>
        <w:rPr>
          <w:rFonts w:hint="eastAsia" w:hAnsi="宋体" w:cs="宋体"/>
          <w:color w:val="auto"/>
          <w:sz w:val="24"/>
          <w:szCs w:val="24"/>
        </w:rPr>
      </w:pPr>
      <w:r>
        <w:rPr>
          <w:rFonts w:hint="eastAsia" w:hAnsi="宋体" w:cs="宋体"/>
          <w:color w:val="auto"/>
          <w:sz w:val="24"/>
          <w:szCs w:val="24"/>
          <w:shd w:val="clear" w:color="auto" w:fill="FFFFFF"/>
        </w:rPr>
        <w:t>经磋商小组认定评分畸高、畸低的。</w:t>
      </w:r>
    </w:p>
    <w:p w14:paraId="29C6634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cs="宋体"/>
          <w:color w:val="auto"/>
          <w:sz w:val="24"/>
          <w:shd w:val="clear" w:color="auto" w:fill="FFFFFF"/>
        </w:rPr>
      </w:pPr>
      <w:r>
        <w:rPr>
          <w:rFonts w:hint="eastAsia" w:ascii="宋体" w:hAnsi="宋体" w:cs="宋体"/>
          <w:color w:val="auto"/>
          <w:sz w:val="24"/>
          <w:shd w:val="clear" w:color="auto" w:fill="FFFFFF"/>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1A7478C8">
      <w:pPr>
        <w:pStyle w:val="20"/>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hAnsi="宋体" w:cs="宋体"/>
          <w:color w:val="auto"/>
          <w:sz w:val="24"/>
          <w:szCs w:val="24"/>
        </w:rPr>
      </w:pPr>
      <w:r>
        <w:rPr>
          <w:rFonts w:hint="eastAsia" w:hAnsi="宋体" w:cs="宋体"/>
          <w:color w:val="auto"/>
          <w:sz w:val="24"/>
          <w:szCs w:val="24"/>
          <w:shd w:val="clear" w:color="auto" w:fill="FFFFFF"/>
        </w:rPr>
        <w:t>磋商响应人对以上情形提出质疑的，采购人或者采购代理机构可以组织原磋商小组进行重新评审，重新评审改变评标结果的，应当书面报告本级财政部门。</w:t>
      </w:r>
    </w:p>
    <w:p w14:paraId="7288FDAF">
      <w:pPr>
        <w:pStyle w:val="5"/>
        <w:numPr>
          <w:ilvl w:val="0"/>
          <w:numId w:val="0"/>
        </w:numPr>
        <w:spacing w:before="0" w:after="0" w:line="360" w:lineRule="auto"/>
        <w:ind w:leftChars="0"/>
        <w:rPr>
          <w:rFonts w:hint="eastAsia" w:ascii="宋体" w:hAnsi="宋体" w:cs="宋体"/>
          <w:bCs w:val="0"/>
          <w:color w:val="auto"/>
        </w:rPr>
      </w:pPr>
      <w:bookmarkStart w:id="41" w:name="_Toc488673634"/>
      <w:bookmarkStart w:id="42" w:name="_Toc30421"/>
      <w:r>
        <w:rPr>
          <w:rFonts w:hint="eastAsia" w:ascii="宋体" w:hAnsi="宋体" w:cs="宋体"/>
          <w:bCs w:val="0"/>
          <w:color w:val="auto"/>
          <w:lang w:val="en-US" w:eastAsia="zh-CN"/>
        </w:rPr>
        <w:t>16、</w:t>
      </w:r>
      <w:r>
        <w:rPr>
          <w:rFonts w:hint="eastAsia" w:ascii="宋体" w:hAnsi="宋体" w:cs="宋体"/>
          <w:bCs w:val="0"/>
          <w:color w:val="auto"/>
        </w:rPr>
        <w:t>磋商程序</w:t>
      </w:r>
      <w:bookmarkEnd w:id="41"/>
    </w:p>
    <w:p w14:paraId="1ECCB5AB">
      <w:pPr>
        <w:pStyle w:val="20"/>
        <w:spacing w:line="360" w:lineRule="auto"/>
        <w:ind w:left="141"/>
        <w:rPr>
          <w:rFonts w:hint="eastAsia" w:hAnsi="宋体" w:cs="宋体"/>
          <w:color w:val="auto"/>
          <w:sz w:val="24"/>
          <w:szCs w:val="24"/>
        </w:rPr>
      </w:pPr>
      <w:bookmarkStart w:id="43" w:name="_Toc488673635"/>
      <w:r>
        <w:rPr>
          <w:rFonts w:hint="eastAsia" w:hAnsi="宋体" w:cs="宋体"/>
          <w:color w:val="auto"/>
          <w:sz w:val="24"/>
          <w:szCs w:val="24"/>
          <w:lang w:val="zh-CN"/>
        </w:rPr>
        <w:t>16.1磋商小组应当对符合资格的磋商人的磋商响应文件进行符合性审查，以确定其是否满足磋商文件的实质性要求。</w:t>
      </w:r>
    </w:p>
    <w:p w14:paraId="3B3AE48F">
      <w:pPr>
        <w:pStyle w:val="20"/>
        <w:numPr>
          <w:ilvl w:val="0"/>
          <w:numId w:val="0"/>
        </w:numPr>
        <w:spacing w:line="360" w:lineRule="auto"/>
        <w:ind w:left="425" w:leftChars="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1</w:t>
      </w:r>
      <w:r>
        <w:rPr>
          <w:rFonts w:hint="eastAsia" w:hAnsi="宋体" w:cs="宋体"/>
          <w:color w:val="auto"/>
          <w:sz w:val="24"/>
          <w:szCs w:val="24"/>
          <w:lang w:eastAsia="zh-CN"/>
        </w:rPr>
        <w:t>）</w:t>
      </w:r>
      <w:r>
        <w:rPr>
          <w:rFonts w:hint="eastAsia" w:hAnsi="宋体" w:cs="宋体"/>
          <w:color w:val="auto"/>
          <w:sz w:val="24"/>
          <w:szCs w:val="24"/>
        </w:rPr>
        <w:t>本次综合评分的主要因素是：磋商报价、技术响应、业绩证明</w:t>
      </w:r>
      <w:r>
        <w:rPr>
          <w:rFonts w:hint="eastAsia" w:hAnsi="宋体" w:cs="宋体"/>
          <w:color w:val="auto"/>
          <w:sz w:val="24"/>
          <w:szCs w:val="24"/>
          <w:lang w:val="en-US" w:eastAsia="zh-CN"/>
        </w:rPr>
        <w:t>等</w:t>
      </w:r>
      <w:r>
        <w:rPr>
          <w:rFonts w:hint="eastAsia" w:hAnsi="宋体" w:cs="宋体"/>
          <w:color w:val="auto"/>
          <w:sz w:val="24"/>
          <w:szCs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321BB4CF">
      <w:pPr>
        <w:pStyle w:val="20"/>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根据《政府采购促进中小企业发展管理办法》，属小型、微型企业制造/服务的货物/服务（产品），投标人须提供该制造/服务（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6A61335F">
      <w:pPr>
        <w:pStyle w:val="20"/>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hAnsi="宋体" w:cs="宋体"/>
          <w:color w:val="auto"/>
          <w:sz w:val="24"/>
          <w:szCs w:val="24"/>
          <w:lang w:val="en-US" w:eastAsia="zh-CN"/>
        </w:rPr>
        <w:t>20</w:t>
      </w:r>
      <w:r>
        <w:rPr>
          <w:rFonts w:hint="eastAsia" w:hAnsi="宋体" w:cs="宋体"/>
          <w:color w:val="auto"/>
          <w:sz w:val="24"/>
          <w:szCs w:val="24"/>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31BD5A88">
      <w:pPr>
        <w:pStyle w:val="20"/>
        <w:spacing w:line="360" w:lineRule="auto"/>
        <w:ind w:firstLine="480" w:firstLineChars="200"/>
        <w:rPr>
          <w:rFonts w:hint="eastAsia" w:hAnsi="宋体" w:cs="宋体"/>
          <w:color w:val="auto"/>
          <w:sz w:val="24"/>
          <w:szCs w:val="24"/>
          <w:lang w:val="zh-CN"/>
        </w:rPr>
      </w:pPr>
      <w:r>
        <w:rPr>
          <w:rFonts w:hint="eastAsia" w:hAnsi="宋体" w:cs="宋体"/>
          <w:color w:val="auto"/>
          <w:sz w:val="24"/>
          <w:szCs w:val="24"/>
          <w:lang w:val="zh-CN" w:eastAsia="zh-CN"/>
        </w:rPr>
        <w:t>本项目所属行业为：</w:t>
      </w:r>
      <w:r>
        <w:rPr>
          <w:rFonts w:hint="eastAsia" w:hAnsi="宋体"/>
          <w:color w:val="auto"/>
          <w:sz w:val="24"/>
          <w:highlight w:val="none"/>
          <w:lang w:val="en-US" w:eastAsia="zh-CN"/>
        </w:rPr>
        <w:t>工业</w:t>
      </w:r>
      <w:r>
        <w:rPr>
          <w:rFonts w:hint="eastAsia" w:hAnsi="宋体" w:cs="宋体"/>
          <w:color w:val="auto"/>
          <w:sz w:val="24"/>
          <w:szCs w:val="24"/>
          <w:highlight w:val="none"/>
          <w:lang w:val="zh-CN" w:eastAsia="zh-CN"/>
        </w:rPr>
        <w:t>。</w:t>
      </w:r>
    </w:p>
    <w:p w14:paraId="03ADC2EE">
      <w:pPr>
        <w:pStyle w:val="20"/>
        <w:numPr>
          <w:ilvl w:val="0"/>
          <w:numId w:val="0"/>
        </w:numPr>
        <w:spacing w:line="360" w:lineRule="auto"/>
        <w:ind w:left="425" w:leftChars="0"/>
        <w:rPr>
          <w:rFonts w:hint="eastAsia" w:hAnsi="宋体" w:cs="宋体"/>
          <w:color w:val="auto"/>
          <w:sz w:val="24"/>
          <w:szCs w:val="24"/>
        </w:rPr>
      </w:pPr>
      <w:r>
        <w:rPr>
          <w:rFonts w:hint="eastAsia" w:hAnsi="宋体" w:cs="宋体"/>
          <w:color w:val="auto"/>
          <w:sz w:val="24"/>
          <w:szCs w:val="24"/>
          <w:lang w:eastAsia="zh-CN"/>
        </w:rPr>
        <w:t>（</w:t>
      </w:r>
      <w:r>
        <w:rPr>
          <w:rFonts w:hint="eastAsia" w:hAnsi="宋体" w:cs="宋体"/>
          <w:color w:val="auto"/>
          <w:sz w:val="24"/>
          <w:szCs w:val="24"/>
          <w:lang w:val="en-US" w:eastAsia="zh-CN"/>
        </w:rPr>
        <w:t>2</w:t>
      </w:r>
      <w:r>
        <w:rPr>
          <w:rFonts w:hint="eastAsia" w:hAnsi="宋体" w:cs="宋体"/>
          <w:color w:val="auto"/>
          <w:sz w:val="24"/>
          <w:szCs w:val="24"/>
          <w:lang w:eastAsia="zh-CN"/>
        </w:rPr>
        <w:t>）</w:t>
      </w:r>
      <w:r>
        <w:rPr>
          <w:rFonts w:hint="eastAsia" w:hAnsi="宋体" w:cs="宋体"/>
          <w:color w:val="auto"/>
          <w:sz w:val="24"/>
          <w:szCs w:val="24"/>
        </w:rPr>
        <w:t>除磋商价格因素外，磋商小组应依据磋商文件规定的评审方法和评审标准对其他因素进行客观评审；</w:t>
      </w:r>
    </w:p>
    <w:p w14:paraId="716CDA1C">
      <w:pPr>
        <w:pStyle w:val="20"/>
        <w:spacing w:line="360" w:lineRule="auto"/>
        <w:rPr>
          <w:rFonts w:hint="eastAsia" w:hAnsi="宋体" w:cs="宋体"/>
          <w:color w:val="auto"/>
          <w:sz w:val="24"/>
          <w:szCs w:val="24"/>
        </w:rPr>
      </w:pPr>
      <w:r>
        <w:rPr>
          <w:rFonts w:hint="eastAsia" w:hAnsi="宋体" w:cs="宋体"/>
          <w:color w:val="auto"/>
          <w:sz w:val="24"/>
          <w:szCs w:val="24"/>
          <w:lang w:val="zh-CN"/>
        </w:rPr>
        <w:t>16.2磋商响应文件中含义不明确、同类问题表述不一致或者有明显文字和计算错误的内容，磋商小组应当以书面形式要求磋商人作出必要的澄清、说明或者补正。</w:t>
      </w:r>
    </w:p>
    <w:p w14:paraId="55D93A73">
      <w:pPr>
        <w:pStyle w:val="20"/>
        <w:spacing w:line="360" w:lineRule="auto"/>
        <w:ind w:firstLine="480" w:firstLineChars="200"/>
        <w:rPr>
          <w:rFonts w:hint="eastAsia" w:hAnsi="宋体" w:cs="宋体"/>
          <w:color w:val="auto"/>
          <w:sz w:val="24"/>
          <w:szCs w:val="24"/>
        </w:rPr>
      </w:pPr>
      <w:r>
        <w:rPr>
          <w:rFonts w:hint="eastAsia" w:hAnsi="宋体" w:cs="宋体"/>
          <w:color w:val="auto"/>
          <w:sz w:val="24"/>
          <w:szCs w:val="24"/>
          <w:lang w:val="zh-CN"/>
        </w:rPr>
        <w:t>磋商人的澄清、说明或者补正应当采用书面形式，并加盖公章，或者由法定代表人或其授权的代表签字。磋商人的澄清、说明或者补正不得超出磋商响应文件的范围或者改变磋商响应文件的实质性内容。</w:t>
      </w:r>
    </w:p>
    <w:p w14:paraId="4C4A97EF">
      <w:pPr>
        <w:pStyle w:val="20"/>
        <w:spacing w:line="360" w:lineRule="auto"/>
        <w:rPr>
          <w:rFonts w:hint="eastAsia" w:hAnsi="宋体" w:cs="宋体"/>
          <w:color w:val="auto"/>
          <w:sz w:val="24"/>
          <w:szCs w:val="24"/>
        </w:rPr>
      </w:pPr>
      <w:r>
        <w:rPr>
          <w:rFonts w:hint="eastAsia" w:hAnsi="宋体" w:cs="宋体"/>
          <w:color w:val="auto"/>
          <w:sz w:val="24"/>
          <w:szCs w:val="24"/>
        </w:rPr>
        <w:t>（1）磋商人存在下列情况之一的，按无效投标处理</w:t>
      </w:r>
      <w:r>
        <w:rPr>
          <w:rFonts w:hint="eastAsia" w:hAnsi="宋体" w:cs="宋体"/>
          <w:color w:val="auto"/>
          <w:sz w:val="24"/>
          <w:szCs w:val="24"/>
          <w:lang w:val="zh-CN"/>
        </w:rPr>
        <w:t>:</w:t>
      </w:r>
    </w:p>
    <w:p w14:paraId="5154587E">
      <w:pPr>
        <w:pStyle w:val="20"/>
        <w:spacing w:line="360" w:lineRule="auto"/>
        <w:ind w:left="425"/>
        <w:rPr>
          <w:rFonts w:hint="eastAsia" w:hAnsi="宋体" w:cs="宋体"/>
          <w:color w:val="auto"/>
          <w:sz w:val="24"/>
          <w:szCs w:val="24"/>
        </w:rPr>
      </w:pPr>
      <w:r>
        <w:rPr>
          <w:rFonts w:hint="eastAsia" w:hAnsi="宋体" w:cs="宋体"/>
          <w:color w:val="auto"/>
          <w:sz w:val="24"/>
          <w:szCs w:val="24"/>
        </w:rPr>
        <w:t>1）符合性审查文件未按磋商文件要求签署、盖章的；</w:t>
      </w:r>
    </w:p>
    <w:p w14:paraId="260D06ED">
      <w:pPr>
        <w:pStyle w:val="20"/>
        <w:spacing w:line="360" w:lineRule="auto"/>
        <w:ind w:left="425"/>
        <w:rPr>
          <w:rFonts w:hint="eastAsia" w:hAnsi="宋体" w:cs="宋体"/>
          <w:color w:val="auto"/>
          <w:sz w:val="24"/>
          <w:szCs w:val="24"/>
        </w:rPr>
      </w:pPr>
      <w:r>
        <w:rPr>
          <w:rFonts w:hint="eastAsia" w:hAnsi="宋体" w:cs="宋体"/>
          <w:color w:val="auto"/>
          <w:sz w:val="24"/>
          <w:szCs w:val="24"/>
        </w:rPr>
        <w:t>2）未按第1</w:t>
      </w:r>
      <w:r>
        <w:rPr>
          <w:rFonts w:hint="eastAsia" w:hAnsi="宋体" w:cs="宋体"/>
          <w:color w:val="auto"/>
          <w:sz w:val="24"/>
          <w:szCs w:val="24"/>
          <w:lang w:val="en-US" w:eastAsia="zh-CN"/>
        </w:rPr>
        <w:t>2</w:t>
      </w:r>
      <w:r>
        <w:rPr>
          <w:rFonts w:hint="eastAsia" w:hAnsi="宋体" w:cs="宋体"/>
          <w:color w:val="auto"/>
          <w:sz w:val="24"/>
          <w:szCs w:val="24"/>
        </w:rPr>
        <w:t>.2款（格式1</w:t>
      </w:r>
      <w:r>
        <w:rPr>
          <w:rFonts w:hint="eastAsia" w:hAnsi="宋体" w:cs="宋体"/>
          <w:color w:val="auto"/>
          <w:sz w:val="24"/>
          <w:szCs w:val="24"/>
          <w:lang w:val="en-US" w:eastAsia="zh-CN"/>
        </w:rPr>
        <w:t>1</w:t>
      </w:r>
      <w:r>
        <w:rPr>
          <w:rFonts w:hint="eastAsia" w:hAnsi="宋体" w:cs="宋体"/>
          <w:color w:val="auto"/>
          <w:sz w:val="24"/>
          <w:szCs w:val="24"/>
        </w:rPr>
        <w:t>-</w:t>
      </w:r>
      <w:r>
        <w:rPr>
          <w:rFonts w:hint="eastAsia" w:hAnsi="宋体" w:cs="宋体"/>
          <w:color w:val="auto"/>
          <w:sz w:val="24"/>
          <w:szCs w:val="24"/>
          <w:lang w:val="en-US" w:eastAsia="zh-CN"/>
        </w:rPr>
        <w:t>12</w:t>
      </w:r>
      <w:r>
        <w:rPr>
          <w:rFonts w:hint="eastAsia" w:hAnsi="宋体" w:cs="宋体"/>
          <w:color w:val="auto"/>
          <w:sz w:val="24"/>
          <w:szCs w:val="24"/>
        </w:rPr>
        <w:t>）要求提供相关资料的（格式另有规定的除外）；</w:t>
      </w:r>
    </w:p>
    <w:p w14:paraId="52E7BE2F">
      <w:pPr>
        <w:pStyle w:val="20"/>
        <w:spacing w:line="360" w:lineRule="auto"/>
        <w:ind w:left="425"/>
        <w:rPr>
          <w:rFonts w:hint="eastAsia" w:hAnsi="宋体" w:cs="宋体"/>
          <w:color w:val="auto"/>
          <w:sz w:val="24"/>
          <w:szCs w:val="24"/>
        </w:rPr>
      </w:pPr>
      <w:r>
        <w:rPr>
          <w:rFonts w:hint="eastAsia" w:hAnsi="宋体" w:cs="宋体"/>
          <w:color w:val="auto"/>
          <w:sz w:val="24"/>
          <w:szCs w:val="24"/>
        </w:rPr>
        <w:t>3）未按第</w:t>
      </w:r>
      <w:r>
        <w:rPr>
          <w:rFonts w:hint="eastAsia" w:hAnsi="宋体" w:cs="宋体"/>
          <w:color w:val="auto"/>
          <w:sz w:val="24"/>
          <w:szCs w:val="24"/>
          <w:lang w:val="en-US" w:eastAsia="zh-CN"/>
        </w:rPr>
        <w:t>9</w:t>
      </w:r>
      <w:r>
        <w:rPr>
          <w:rFonts w:hint="eastAsia" w:hAnsi="宋体" w:cs="宋体"/>
          <w:color w:val="auto"/>
          <w:sz w:val="24"/>
          <w:szCs w:val="24"/>
        </w:rPr>
        <w:t>款编制要求提供响应文件的；</w:t>
      </w:r>
    </w:p>
    <w:p w14:paraId="2C026505">
      <w:pPr>
        <w:pStyle w:val="20"/>
        <w:spacing w:line="360" w:lineRule="auto"/>
        <w:ind w:left="425"/>
        <w:rPr>
          <w:rFonts w:hint="eastAsia"/>
          <w:color w:val="auto"/>
        </w:rPr>
      </w:pPr>
      <w:r>
        <w:rPr>
          <w:rFonts w:hint="eastAsia" w:hAnsi="宋体" w:cs="宋体"/>
          <w:color w:val="auto"/>
          <w:sz w:val="24"/>
          <w:szCs w:val="24"/>
        </w:rPr>
        <w:t>4）磋商响应文件中含有采购单位不能接受的条件的；</w:t>
      </w:r>
    </w:p>
    <w:p w14:paraId="5A78CA01">
      <w:pPr>
        <w:pStyle w:val="20"/>
        <w:spacing w:line="360" w:lineRule="auto"/>
        <w:ind w:left="425"/>
        <w:rPr>
          <w:rFonts w:hint="eastAsia" w:hAnsi="宋体" w:cs="宋体"/>
          <w:color w:val="auto"/>
          <w:sz w:val="24"/>
          <w:szCs w:val="24"/>
        </w:rPr>
      </w:pPr>
      <w:r>
        <w:rPr>
          <w:rFonts w:hint="eastAsia" w:hAnsi="宋体" w:cs="宋体"/>
          <w:color w:val="auto"/>
          <w:sz w:val="24"/>
          <w:szCs w:val="24"/>
        </w:rPr>
        <w:t>5</w:t>
      </w:r>
      <w:r>
        <w:rPr>
          <w:rFonts w:hint="eastAsia" w:hAnsi="宋体" w:cs="宋体"/>
          <w:color w:val="auto"/>
          <w:sz w:val="24"/>
          <w:szCs w:val="24"/>
          <w:lang w:val="zh-CN"/>
        </w:rPr>
        <w:t>）</w:t>
      </w:r>
      <w:r>
        <w:rPr>
          <w:rFonts w:hint="eastAsia" w:hAnsi="宋体" w:cs="宋体"/>
          <w:color w:val="auto"/>
          <w:sz w:val="24"/>
          <w:szCs w:val="24"/>
          <w:lang w:val="en-US" w:eastAsia="zh-CN"/>
        </w:rPr>
        <w:t>交货</w:t>
      </w:r>
      <w:r>
        <w:rPr>
          <w:rFonts w:hint="eastAsia" w:hAnsi="宋体" w:cs="宋体"/>
          <w:color w:val="auto"/>
          <w:sz w:val="24"/>
          <w:szCs w:val="24"/>
          <w:lang w:val="zh-CN"/>
        </w:rPr>
        <w:t>期不能满足磋商文件要求的。</w:t>
      </w:r>
    </w:p>
    <w:p w14:paraId="240786DD">
      <w:pPr>
        <w:pStyle w:val="20"/>
        <w:spacing w:line="360" w:lineRule="auto"/>
        <w:ind w:left="425"/>
        <w:rPr>
          <w:rFonts w:hint="eastAsia" w:hAnsi="宋体" w:cs="宋体"/>
          <w:color w:val="auto"/>
          <w:sz w:val="24"/>
          <w:szCs w:val="24"/>
        </w:rPr>
      </w:pPr>
      <w:r>
        <w:rPr>
          <w:rFonts w:hint="eastAsia" w:hAnsi="宋体" w:cs="宋体"/>
          <w:color w:val="auto"/>
          <w:sz w:val="24"/>
          <w:szCs w:val="24"/>
        </w:rPr>
        <w:t>6）报价超过磋商文件中规定的预算金额或者最高限价的；</w:t>
      </w:r>
    </w:p>
    <w:p w14:paraId="2B4D0530">
      <w:pPr>
        <w:pStyle w:val="20"/>
        <w:spacing w:line="360" w:lineRule="auto"/>
        <w:ind w:left="425"/>
        <w:rPr>
          <w:rFonts w:hint="eastAsia" w:hAnsi="宋体" w:cs="宋体"/>
          <w:color w:val="auto"/>
          <w:sz w:val="24"/>
          <w:szCs w:val="24"/>
        </w:rPr>
      </w:pPr>
      <w:r>
        <w:rPr>
          <w:rFonts w:hint="eastAsia" w:hAnsi="宋体" w:cs="宋体"/>
          <w:color w:val="auto"/>
          <w:sz w:val="24"/>
          <w:szCs w:val="24"/>
        </w:rPr>
        <w:t>7）存在串通投标行为；</w:t>
      </w:r>
    </w:p>
    <w:p w14:paraId="02A17BF9">
      <w:pPr>
        <w:pStyle w:val="20"/>
        <w:spacing w:line="360" w:lineRule="auto"/>
        <w:ind w:left="425"/>
        <w:rPr>
          <w:rFonts w:ascii="Arial" w:hAnsi="Arial"/>
          <w:color w:val="auto"/>
          <w:sz w:val="24"/>
          <w:szCs w:val="22"/>
        </w:rPr>
      </w:pPr>
      <w:r>
        <w:rPr>
          <w:rFonts w:hint="eastAsia" w:hAnsi="宋体" w:cs="宋体"/>
          <w:color w:val="auto"/>
          <w:sz w:val="24"/>
          <w:szCs w:val="24"/>
        </w:rPr>
        <w:t>8）法律、</w:t>
      </w:r>
      <w:r>
        <w:rPr>
          <w:rFonts w:ascii="Arial" w:hAnsi="Arial"/>
          <w:color w:val="auto"/>
          <w:sz w:val="24"/>
          <w:szCs w:val="22"/>
        </w:rPr>
        <w:t>法规和磋商文件规定的其他无效情形。</w:t>
      </w:r>
    </w:p>
    <w:p w14:paraId="080DEE7B">
      <w:pPr>
        <w:pStyle w:val="20"/>
        <w:spacing w:line="360" w:lineRule="auto"/>
        <w:rPr>
          <w:rFonts w:hint="eastAsia" w:hAnsi="宋体" w:cs="宋体"/>
          <w:color w:val="auto"/>
          <w:sz w:val="24"/>
          <w:szCs w:val="24"/>
        </w:rPr>
      </w:pPr>
      <w:r>
        <w:rPr>
          <w:rFonts w:hint="eastAsia" w:hAnsi="宋体" w:cs="宋体"/>
          <w:color w:val="auto"/>
          <w:sz w:val="24"/>
          <w:szCs w:val="24"/>
        </w:rPr>
        <w:t>（2）磋商响应文件报价出现前后不一致的，按照下列规定修正：</w:t>
      </w:r>
    </w:p>
    <w:p w14:paraId="41B07C93">
      <w:pPr>
        <w:pStyle w:val="20"/>
        <w:numPr>
          <w:ilvl w:val="0"/>
          <w:numId w:val="15"/>
        </w:numPr>
        <w:spacing w:line="360" w:lineRule="auto"/>
        <w:rPr>
          <w:rFonts w:hint="eastAsia" w:hAnsi="宋体" w:cs="宋体"/>
          <w:color w:val="auto"/>
          <w:sz w:val="24"/>
          <w:szCs w:val="24"/>
        </w:rPr>
      </w:pPr>
      <w:r>
        <w:rPr>
          <w:rFonts w:hint="eastAsia" w:hAnsi="宋体" w:cs="宋体"/>
          <w:color w:val="auto"/>
          <w:sz w:val="24"/>
          <w:szCs w:val="24"/>
        </w:rPr>
        <w:t>磋商响应文件中响应报价表内容与磋商响应文件中相应内容不一致的，以响应报价表为准；</w:t>
      </w:r>
    </w:p>
    <w:p w14:paraId="3478F2EC">
      <w:pPr>
        <w:pStyle w:val="20"/>
        <w:numPr>
          <w:ilvl w:val="0"/>
          <w:numId w:val="15"/>
        </w:numPr>
        <w:spacing w:line="360" w:lineRule="auto"/>
        <w:rPr>
          <w:rFonts w:hint="eastAsia" w:hAnsi="宋体" w:cs="宋体"/>
          <w:color w:val="auto"/>
          <w:sz w:val="24"/>
          <w:szCs w:val="24"/>
        </w:rPr>
      </w:pPr>
      <w:r>
        <w:rPr>
          <w:rFonts w:hint="eastAsia" w:hAnsi="宋体" w:cs="宋体"/>
          <w:color w:val="auto"/>
          <w:sz w:val="24"/>
          <w:szCs w:val="24"/>
        </w:rPr>
        <w:t>大写金额和小写金额不一致的，以大写金额为准；</w:t>
      </w:r>
    </w:p>
    <w:p w14:paraId="0D81F986">
      <w:pPr>
        <w:pStyle w:val="20"/>
        <w:numPr>
          <w:ilvl w:val="0"/>
          <w:numId w:val="15"/>
        </w:numPr>
        <w:spacing w:line="360" w:lineRule="auto"/>
        <w:rPr>
          <w:rFonts w:hint="eastAsia" w:hAnsi="宋体" w:cs="宋体"/>
          <w:color w:val="auto"/>
          <w:sz w:val="24"/>
          <w:szCs w:val="24"/>
        </w:rPr>
      </w:pPr>
      <w:r>
        <w:rPr>
          <w:rFonts w:hint="eastAsia" w:hAnsi="宋体" w:cs="宋体"/>
          <w:color w:val="auto"/>
          <w:sz w:val="24"/>
          <w:szCs w:val="24"/>
        </w:rPr>
        <w:t>单价金额小数点或者百分比有明显错位的，以响应报价表的总价为准，并修改单价；</w:t>
      </w:r>
    </w:p>
    <w:p w14:paraId="04555373">
      <w:pPr>
        <w:pStyle w:val="20"/>
        <w:numPr>
          <w:ilvl w:val="0"/>
          <w:numId w:val="15"/>
        </w:numPr>
        <w:spacing w:line="360" w:lineRule="auto"/>
        <w:rPr>
          <w:rFonts w:hint="eastAsia" w:hAnsi="宋体" w:cs="宋体"/>
          <w:color w:val="auto"/>
          <w:sz w:val="24"/>
          <w:szCs w:val="24"/>
        </w:rPr>
      </w:pPr>
      <w:r>
        <w:rPr>
          <w:rFonts w:hint="eastAsia" w:hAnsi="宋体" w:cs="宋体"/>
          <w:color w:val="auto"/>
          <w:sz w:val="24"/>
          <w:szCs w:val="24"/>
        </w:rPr>
        <w:t>总价金额与按单价汇总金额不一致的，以单价金额计算结果为准。</w:t>
      </w:r>
    </w:p>
    <w:p w14:paraId="580F81BD">
      <w:pPr>
        <w:pStyle w:val="20"/>
        <w:spacing w:line="360" w:lineRule="auto"/>
        <w:ind w:left="1129"/>
        <w:rPr>
          <w:rFonts w:hint="eastAsia" w:hAnsi="宋体" w:cs="宋体"/>
          <w:color w:val="auto"/>
          <w:sz w:val="24"/>
          <w:szCs w:val="24"/>
        </w:rPr>
      </w:pPr>
      <w:r>
        <w:rPr>
          <w:rFonts w:hint="eastAsia" w:hAnsi="宋体" w:cs="宋体"/>
          <w:color w:val="auto"/>
          <w:sz w:val="24"/>
          <w:szCs w:val="24"/>
        </w:rPr>
        <w:t>同时出现两种以上不一致的，按照前款规定的顺序修正。修正后的报价按17.2第二款的规定经磋商人确认后产生约束力，磋商人不确认的，其投标无效。</w:t>
      </w:r>
    </w:p>
    <w:p w14:paraId="41515E0E">
      <w:pPr>
        <w:pStyle w:val="20"/>
        <w:spacing w:line="360" w:lineRule="auto"/>
        <w:rPr>
          <w:rFonts w:hint="eastAsia" w:hAnsi="宋体" w:cs="宋体"/>
          <w:color w:val="auto"/>
          <w:sz w:val="24"/>
          <w:szCs w:val="24"/>
        </w:rPr>
      </w:pPr>
      <w:r>
        <w:rPr>
          <w:rFonts w:hint="eastAsia" w:hAnsi="宋体" w:cs="宋体"/>
          <w:color w:val="auto"/>
          <w:sz w:val="24"/>
          <w:szCs w:val="24"/>
          <w:lang w:val="zh-CN"/>
        </w:rPr>
        <w:t>16.3在评审过程中，</w:t>
      </w:r>
      <w:r>
        <w:rPr>
          <w:rFonts w:hint="eastAsia" w:hAnsi="宋体" w:cs="宋体"/>
          <w:color w:val="auto"/>
          <w:sz w:val="24"/>
          <w:szCs w:val="24"/>
          <w:shd w:val="clear" w:color="auto" w:fill="FFFFFF"/>
        </w:rPr>
        <w:t>磋商小组成员对需要共同认定的事项存在争议的，应当按照少数服从多数的原则作出结论。持不同意见的磋商小组成员应当在评标报告上签署不同意见及理由，否则视为同意评标报告。</w:t>
      </w:r>
    </w:p>
    <w:p w14:paraId="1BFC47CD">
      <w:pPr>
        <w:pStyle w:val="20"/>
        <w:spacing w:line="360" w:lineRule="auto"/>
        <w:rPr>
          <w:rFonts w:hint="eastAsia" w:hAnsi="宋体" w:cs="宋体"/>
          <w:color w:val="auto"/>
          <w:sz w:val="24"/>
          <w:szCs w:val="24"/>
        </w:rPr>
      </w:pPr>
      <w:r>
        <w:rPr>
          <w:rFonts w:hint="eastAsia" w:hAnsi="宋体" w:cs="宋体"/>
          <w:color w:val="auto"/>
          <w:sz w:val="24"/>
          <w:szCs w:val="24"/>
          <w:shd w:val="clear" w:color="auto" w:fill="FFFFFF"/>
        </w:rPr>
        <w:t>16.4磋商小组应当按照磋商文件中规定的评标方法和标准，对符合性审查合格的磋商响应文件进行商务和技术评估，综合比较与评价。</w:t>
      </w:r>
    </w:p>
    <w:p w14:paraId="5F1605A2">
      <w:pPr>
        <w:pStyle w:val="20"/>
        <w:spacing w:line="360" w:lineRule="auto"/>
        <w:rPr>
          <w:rFonts w:hint="eastAsia" w:hAnsi="宋体" w:cs="宋体"/>
          <w:color w:val="auto"/>
          <w:sz w:val="24"/>
          <w:szCs w:val="24"/>
        </w:rPr>
      </w:pPr>
      <w:r>
        <w:rPr>
          <w:rFonts w:hint="eastAsia" w:hAnsi="宋体" w:cs="宋体"/>
          <w:color w:val="auto"/>
          <w:sz w:val="24"/>
          <w:szCs w:val="24"/>
          <w:shd w:val="clear" w:color="auto" w:fill="FFFFFF"/>
        </w:rPr>
        <w:t>16.5磋商小组认为磋商人的报价明显低于其他通过符合性审查磋商人的报价，有可能影响产品质量或者不能诚信履约的，应当要求其在评标现场合理的时间内提供书面说明，必要时提交相关证明材料；磋商人不能证明其报价合理性的，磋商小组应当将其作为无效投标处理。</w:t>
      </w:r>
    </w:p>
    <w:p w14:paraId="573140C7">
      <w:pPr>
        <w:pStyle w:val="20"/>
        <w:spacing w:line="360" w:lineRule="auto"/>
        <w:ind w:left="141"/>
        <w:rPr>
          <w:rFonts w:hint="eastAsia" w:hAnsi="宋体" w:cs="宋体"/>
          <w:color w:val="auto"/>
          <w:sz w:val="24"/>
          <w:szCs w:val="24"/>
        </w:rPr>
      </w:pPr>
      <w:r>
        <w:rPr>
          <w:rFonts w:hint="eastAsia" w:hAnsi="宋体" w:cs="宋体"/>
          <w:color w:val="auto"/>
          <w:sz w:val="24"/>
          <w:szCs w:val="24"/>
          <w:shd w:val="clear" w:color="auto" w:fill="FFFFFF"/>
        </w:rPr>
        <w:t>16.6综合评分法的采购项目，提供相同品牌产品且通过资格审查、符合性审查的不同磋商人参加同一合同项下投标的，按一家磋商人计算，评审后得分最高的同品牌磋商人获得成交人推荐资格；评审得分相同的，由采购人或者采购人委托磋商小组按照磋商文件规定的方式确定一个磋商人获得成交人推荐资格，磋商文件未规定的采取随机抽取方式确定，其他同品牌磋商人不作为成交候选人。非单一产品采购项目，采购人应当根据采购项目技术构成、产品价格比重等合理确定核心产品，并在磋商文件中载明。多家磋商人提供的核心产品品牌相同的，按前两款规定处理。</w:t>
      </w:r>
    </w:p>
    <w:p w14:paraId="7194C2D0">
      <w:pPr>
        <w:pStyle w:val="5"/>
        <w:numPr>
          <w:ilvl w:val="0"/>
          <w:numId w:val="0"/>
        </w:numPr>
        <w:spacing w:before="0" w:after="0" w:line="360" w:lineRule="auto"/>
        <w:ind w:leftChars="0"/>
        <w:rPr>
          <w:rFonts w:hint="eastAsia" w:ascii="宋体" w:hAnsi="宋体" w:cs="宋体"/>
          <w:bCs w:val="0"/>
          <w:color w:val="auto"/>
        </w:rPr>
      </w:pPr>
      <w:r>
        <w:rPr>
          <w:rFonts w:hint="eastAsia" w:ascii="宋体" w:hAnsi="宋体" w:cs="宋体"/>
          <w:bCs w:val="0"/>
          <w:color w:val="auto"/>
          <w:lang w:val="en-US" w:eastAsia="zh-CN"/>
        </w:rPr>
        <w:t>17、</w:t>
      </w:r>
      <w:r>
        <w:rPr>
          <w:rFonts w:hint="eastAsia" w:ascii="宋体" w:hAnsi="宋体" w:cs="宋体"/>
          <w:bCs w:val="0"/>
          <w:color w:val="auto"/>
        </w:rPr>
        <w:t>评审办法</w:t>
      </w:r>
      <w:bookmarkEnd w:id="43"/>
    </w:p>
    <w:p w14:paraId="631EFCFD">
      <w:pPr>
        <w:pStyle w:val="20"/>
        <w:numPr>
          <w:ilvl w:val="0"/>
          <w:numId w:val="0"/>
        </w:numPr>
        <w:spacing w:line="360" w:lineRule="auto"/>
        <w:ind w:left="141" w:leftChars="0"/>
        <w:jc w:val="left"/>
        <w:rPr>
          <w:rFonts w:hint="eastAsia" w:hAnsi="宋体" w:cs="宋体"/>
          <w:color w:val="auto"/>
          <w:sz w:val="24"/>
          <w:szCs w:val="28"/>
        </w:rPr>
      </w:pPr>
      <w:r>
        <w:rPr>
          <w:rFonts w:hint="eastAsia" w:hAnsi="宋体" w:cs="宋体"/>
          <w:color w:val="auto"/>
          <w:sz w:val="24"/>
          <w:szCs w:val="28"/>
          <w:lang w:val="en-US" w:eastAsia="zh-CN"/>
        </w:rPr>
        <w:t>17.1</w:t>
      </w:r>
      <w:r>
        <w:rPr>
          <w:rFonts w:hint="eastAsia" w:hAnsi="宋体" w:cs="宋体"/>
          <w:color w:val="auto"/>
          <w:sz w:val="24"/>
          <w:szCs w:val="28"/>
        </w:rPr>
        <w:t>依照《中华人民共和国政府采购法》、《中华人民共和国政府采购法实施条例》、财政部《政府采购货物和服务招投标管理办法》、《政府采购竞争性磋商采购方式管理暂行办法》、财政部《关于加强政府采购货物和服务项目价格评审管理的通知》的规定，结合该项目的特点制定本评审办法。本次评审采用综合评分法，满分为100分。</w:t>
      </w:r>
    </w:p>
    <w:p w14:paraId="12A181ED">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hAnsi="宋体" w:cs="宋体"/>
          <w:color w:val="auto"/>
          <w:sz w:val="24"/>
          <w:szCs w:val="24"/>
        </w:rPr>
      </w:pPr>
      <w:r>
        <w:rPr>
          <w:rFonts w:hint="eastAsia" w:hAnsi="宋体" w:cs="宋体"/>
          <w:color w:val="auto"/>
          <w:sz w:val="24"/>
          <w:szCs w:val="24"/>
          <w:lang w:val="en-US" w:eastAsia="zh-CN"/>
        </w:rPr>
        <w:t>17.2</w:t>
      </w:r>
      <w:r>
        <w:rPr>
          <w:rFonts w:hint="eastAsia" w:hAnsi="宋体" w:cs="宋体"/>
          <w:color w:val="auto"/>
          <w:sz w:val="24"/>
          <w:szCs w:val="24"/>
          <w:lang w:val="zh-CN"/>
        </w:rPr>
        <w:t>本次评审方法采用综合评分法</w:t>
      </w:r>
      <w:r>
        <w:rPr>
          <w:rFonts w:hint="eastAsia" w:hAnsi="宋体" w:cs="宋体"/>
          <w:color w:val="auto"/>
          <w:sz w:val="24"/>
          <w:szCs w:val="24"/>
        </w:rPr>
        <w:t>。</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62"/>
        <w:gridCol w:w="6311"/>
      </w:tblGrid>
      <w:tr w14:paraId="15CA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tcPr>
          <w:p w14:paraId="3E40C2B6">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序</w:t>
            </w:r>
          </w:p>
          <w:p w14:paraId="54E276D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号</w:t>
            </w:r>
          </w:p>
        </w:tc>
        <w:tc>
          <w:tcPr>
            <w:tcW w:w="1462" w:type="dxa"/>
          </w:tcPr>
          <w:p w14:paraId="4795FF89">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评审因素</w:t>
            </w:r>
          </w:p>
          <w:p w14:paraId="3F4FD827">
            <w:pPr>
              <w:pStyle w:val="37"/>
              <w:rPr>
                <w:rFonts w:hint="default" w:hAnsi="宋体" w:eastAsia="宋体" w:cs="宋体"/>
                <w:b w:val="0"/>
                <w:bCs w:val="0"/>
                <w:color w:val="auto"/>
                <w:sz w:val="24"/>
                <w:szCs w:val="24"/>
                <w:lang w:val="en-US" w:eastAsia="zh-CN"/>
              </w:rPr>
            </w:pPr>
          </w:p>
        </w:tc>
        <w:tc>
          <w:tcPr>
            <w:tcW w:w="6311" w:type="dxa"/>
          </w:tcPr>
          <w:p w14:paraId="5150913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评审标准</w:t>
            </w:r>
          </w:p>
          <w:p w14:paraId="75E1FCC7">
            <w:pPr>
              <w:pStyle w:val="37"/>
              <w:rPr>
                <w:rFonts w:hint="default" w:hAnsi="宋体" w:eastAsia="宋体" w:cs="宋体"/>
                <w:b w:val="0"/>
                <w:bCs w:val="0"/>
                <w:color w:val="auto"/>
                <w:sz w:val="24"/>
                <w:szCs w:val="24"/>
                <w:lang w:val="en-US" w:eastAsia="zh-CN"/>
              </w:rPr>
            </w:pPr>
          </w:p>
        </w:tc>
      </w:tr>
      <w:tr w14:paraId="5C21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05C15D3">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1</w:t>
            </w:r>
          </w:p>
        </w:tc>
        <w:tc>
          <w:tcPr>
            <w:tcW w:w="1462" w:type="dxa"/>
          </w:tcPr>
          <w:p w14:paraId="6348F901">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投标报价 </w:t>
            </w:r>
          </w:p>
          <w:p w14:paraId="2589A7AE">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(30%)</w:t>
            </w:r>
          </w:p>
          <w:p w14:paraId="29553417">
            <w:pPr>
              <w:pStyle w:val="37"/>
              <w:rPr>
                <w:rFonts w:hint="default" w:hAnsi="宋体" w:eastAsia="宋体" w:cs="宋体"/>
                <w:b w:val="0"/>
                <w:bCs w:val="0"/>
                <w:color w:val="auto"/>
                <w:sz w:val="24"/>
                <w:szCs w:val="24"/>
                <w:lang w:val="en-US" w:eastAsia="zh-CN"/>
              </w:rPr>
            </w:pPr>
          </w:p>
        </w:tc>
        <w:tc>
          <w:tcPr>
            <w:tcW w:w="6311" w:type="dxa"/>
          </w:tcPr>
          <w:p w14:paraId="3F2842F1">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在所有的有效投标报价中，以最低投标报价为基准价，其价格分为满分。其他投标人的报价分统一按下列公式计算：投标报价得分=(评标基准价／投标报价)×价格权值（30%）×100（四舍五入后保留小数点后两位）。</w:t>
            </w:r>
          </w:p>
          <w:p w14:paraId="70D35FFB">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满足招标文件要求且最后报价最低的供应商的价格为招标基准价，其价格分为满分。其他供应商的价格分统一按照下列公式计算：</w:t>
            </w:r>
          </w:p>
          <w:p w14:paraId="16309CA7">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招标报价得分=（招标基准价/最后招标报价）×30%</w:t>
            </w:r>
          </w:p>
          <w:p w14:paraId="385B8D3E">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注：《关于进一步加大政府采购支持中小企业力度的通知》（财库〔2022〕19号）的规定，对于经主管预算单位统筹后未预留份额专门面向中小企业采购的采购项目，以及预留份额项目中的非预留部分采购包，对符合规定的企业报价给予10%（工程项目3%）的扣除，用扣除后的价格参加评审。用扣除后的价格参与评审（附中小企业声明函及相关证明材料）。</w:t>
            </w:r>
          </w:p>
        </w:tc>
      </w:tr>
      <w:tr w14:paraId="2EFC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Merge w:val="restart"/>
          </w:tcPr>
          <w:p w14:paraId="2065B3A0">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2</w:t>
            </w:r>
          </w:p>
        </w:tc>
        <w:tc>
          <w:tcPr>
            <w:tcW w:w="1462" w:type="dxa"/>
            <w:vMerge w:val="restart"/>
          </w:tcPr>
          <w:p w14:paraId="73955D98">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技术水平 </w:t>
            </w:r>
          </w:p>
          <w:p w14:paraId="794898A3">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（32%）</w:t>
            </w:r>
          </w:p>
          <w:p w14:paraId="00A2C6B6">
            <w:pPr>
              <w:pStyle w:val="37"/>
              <w:rPr>
                <w:rFonts w:hint="default" w:hAnsi="宋体" w:eastAsia="宋体" w:cs="宋体"/>
                <w:b w:val="0"/>
                <w:bCs w:val="0"/>
                <w:color w:val="auto"/>
                <w:sz w:val="24"/>
                <w:szCs w:val="24"/>
                <w:lang w:val="en-US" w:eastAsia="zh-CN"/>
              </w:rPr>
            </w:pPr>
          </w:p>
        </w:tc>
        <w:tc>
          <w:tcPr>
            <w:tcW w:w="6311" w:type="dxa"/>
          </w:tcPr>
          <w:p w14:paraId="1BA01BD4">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技术参数(30分)：投标产品技术参数和配置完全满足或高于招标文件要求的得30分。每有一项负偏离扣2分，扣完为止。（此项评分以彩页或检验报告等为依据）</w:t>
            </w:r>
          </w:p>
        </w:tc>
      </w:tr>
      <w:tr w14:paraId="1004A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19" w:type="dxa"/>
            <w:vMerge w:val="continue"/>
          </w:tcPr>
          <w:p w14:paraId="0DEE5F19">
            <w:pPr>
              <w:pStyle w:val="37"/>
              <w:rPr>
                <w:rFonts w:hint="default" w:hAnsi="宋体" w:eastAsia="宋体" w:cs="宋体"/>
                <w:b w:val="0"/>
                <w:bCs w:val="0"/>
                <w:color w:val="auto"/>
                <w:sz w:val="24"/>
                <w:szCs w:val="24"/>
                <w:lang w:val="en-US" w:eastAsia="zh-CN"/>
              </w:rPr>
            </w:pPr>
          </w:p>
        </w:tc>
        <w:tc>
          <w:tcPr>
            <w:tcW w:w="1462" w:type="dxa"/>
            <w:vMerge w:val="continue"/>
          </w:tcPr>
          <w:p w14:paraId="3F1AF1CE">
            <w:pPr>
              <w:pStyle w:val="37"/>
              <w:rPr>
                <w:rFonts w:hint="default" w:hAnsi="宋体" w:eastAsia="宋体" w:cs="宋体"/>
                <w:b w:val="0"/>
                <w:bCs w:val="0"/>
                <w:color w:val="auto"/>
                <w:sz w:val="24"/>
                <w:szCs w:val="24"/>
                <w:lang w:val="en-US" w:eastAsia="zh-CN"/>
              </w:rPr>
            </w:pPr>
          </w:p>
        </w:tc>
        <w:tc>
          <w:tcPr>
            <w:tcW w:w="6311" w:type="dxa"/>
          </w:tcPr>
          <w:p w14:paraId="06F8783B">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节能和环保（2分）：所投产品为节能产品，每提供1份得0.5分，满分1分；所投产品为环保产品，每提供1份得0.5分，满分1分；未提供不得分。该项得分的认定以《国家节能产品认证证书》、《中国环境标志产品认证证书》和政府部门公布的《节能产品政府采购清单》、《环境标志产品政府采购清单》网页截屏为准。</w:t>
            </w:r>
          </w:p>
        </w:tc>
      </w:tr>
      <w:tr w14:paraId="722C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A804760">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3</w:t>
            </w:r>
          </w:p>
        </w:tc>
        <w:tc>
          <w:tcPr>
            <w:tcW w:w="1462" w:type="dxa"/>
          </w:tcPr>
          <w:p w14:paraId="14D9F03F">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 xml:space="preserve">履约能力 </w:t>
            </w:r>
          </w:p>
          <w:p w14:paraId="1D1123E0">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（5%)</w:t>
            </w:r>
          </w:p>
          <w:p w14:paraId="0B172B65">
            <w:pPr>
              <w:pStyle w:val="37"/>
              <w:rPr>
                <w:rFonts w:hint="default" w:hAnsi="宋体" w:eastAsia="宋体" w:cs="宋体"/>
                <w:b w:val="0"/>
                <w:bCs w:val="0"/>
                <w:color w:val="auto"/>
                <w:sz w:val="24"/>
                <w:szCs w:val="24"/>
                <w:lang w:val="en-US" w:eastAsia="zh-CN"/>
              </w:rPr>
            </w:pPr>
          </w:p>
        </w:tc>
        <w:tc>
          <w:tcPr>
            <w:tcW w:w="6311" w:type="dxa"/>
          </w:tcPr>
          <w:p w14:paraId="22F9084A">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类似业绩情况（5分）：提供2021年至投标截止日前的投标人类似业绩证明材料（需提供包含合同首页、标的及金额所在页、签字盖章页）扫描件。每提供1项得2.5分,满分5分；不提供不得分。</w:t>
            </w:r>
          </w:p>
        </w:tc>
      </w:tr>
      <w:tr w14:paraId="71DF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1419" w:type="dxa"/>
          </w:tcPr>
          <w:p w14:paraId="0C3D071F">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4</w:t>
            </w:r>
          </w:p>
        </w:tc>
        <w:tc>
          <w:tcPr>
            <w:tcW w:w="1462" w:type="dxa"/>
          </w:tcPr>
          <w:p w14:paraId="12A1A5E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项目设计与方案(21%)</w:t>
            </w:r>
          </w:p>
          <w:p w14:paraId="25DEDA7C">
            <w:pPr>
              <w:pStyle w:val="37"/>
              <w:rPr>
                <w:rFonts w:hint="default" w:hAnsi="宋体" w:eastAsia="宋体" w:cs="宋体"/>
                <w:b w:val="0"/>
                <w:bCs w:val="0"/>
                <w:color w:val="auto"/>
                <w:sz w:val="24"/>
                <w:szCs w:val="24"/>
                <w:lang w:val="en-US" w:eastAsia="zh-CN"/>
              </w:rPr>
            </w:pPr>
          </w:p>
        </w:tc>
        <w:tc>
          <w:tcPr>
            <w:tcW w:w="6311" w:type="dxa"/>
          </w:tcPr>
          <w:p w14:paraId="4D1CD728">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项目总体设计与工作实施方案（21分）：本项目的总体设计与工作实施方案，包含但不限于：（1）能够结合项目特点制定实施方案（2）保证交货期（3）产品质量保障措施（4）需求理解（5）人员配置及职责分工（6）质保期限（7）验收方案</w:t>
            </w:r>
          </w:p>
          <w:p w14:paraId="4E58223E">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方案完整包含以上内容且完全满足项目需求的得21分；每缺少一项扣3分，每有一项内容缺陷的扣1分，扣完为止。</w:t>
            </w:r>
          </w:p>
          <w:p w14:paraId="0223B270">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r w14:paraId="0B9D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14:paraId="575E20D9">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5</w:t>
            </w:r>
          </w:p>
        </w:tc>
        <w:tc>
          <w:tcPr>
            <w:tcW w:w="1462" w:type="dxa"/>
          </w:tcPr>
          <w:p w14:paraId="08F81529">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售后服务(12%)</w:t>
            </w:r>
          </w:p>
          <w:p w14:paraId="6C16EDBB">
            <w:pPr>
              <w:pStyle w:val="37"/>
              <w:rPr>
                <w:rFonts w:hint="default" w:hAnsi="宋体" w:eastAsia="宋体" w:cs="宋体"/>
                <w:b w:val="0"/>
                <w:bCs w:val="0"/>
                <w:color w:val="auto"/>
                <w:sz w:val="24"/>
                <w:szCs w:val="24"/>
                <w:lang w:val="en-US" w:eastAsia="zh-CN"/>
              </w:rPr>
            </w:pPr>
          </w:p>
        </w:tc>
        <w:tc>
          <w:tcPr>
            <w:tcW w:w="6311" w:type="dxa"/>
          </w:tcPr>
          <w:p w14:paraId="491B0BE2">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售后服务计划、措施及服务承诺（12分）：针对本项目的售后服务方案，包含但不限于：（1）有配送、安装、调试、验收等方面售后服务（2）能力计划（3）服务流程（4）售后服务范围（5）售后服务措施（6）售后响应</w:t>
            </w:r>
          </w:p>
          <w:p w14:paraId="4A0D805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方案完整包含以上内容且完全满足项目需求的得12分。</w:t>
            </w:r>
          </w:p>
          <w:p w14:paraId="69A8CD1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每有一项内容缺失扣2分，每有一项内容缺陷的扣1分，扣完为止。</w:t>
            </w:r>
          </w:p>
          <w:p w14:paraId="33104305">
            <w:pPr>
              <w:pStyle w:val="37"/>
              <w:rPr>
                <w:rFonts w:hint="default" w:hAnsi="宋体" w:eastAsia="宋体" w:cs="宋体"/>
                <w:b w:val="0"/>
                <w:bCs w:val="0"/>
                <w:color w:val="auto"/>
                <w:sz w:val="24"/>
                <w:szCs w:val="24"/>
                <w:lang w:val="en-US" w:eastAsia="zh-CN"/>
              </w:rPr>
            </w:pPr>
            <w:r>
              <w:rPr>
                <w:rFonts w:hint="default" w:hAnsi="宋体" w:eastAsia="宋体" w:cs="宋体"/>
                <w:b w:val="0"/>
                <w:bCs w:val="0"/>
                <w:color w:val="auto"/>
                <w:sz w:val="24"/>
                <w:szCs w:val="24"/>
                <w:lang w:val="en-US" w:eastAsia="zh-CN"/>
              </w:rPr>
              <w:t>（内容缺陷是指：完全复制或机械套用采购文件对应描述的情形，不适用项目特性的情形、内容不完整或缺少关键节点、套用其他项目内容、内容前后矛盾、涉及的规范及标准错误、不利于项目实施、不可能实现的情形等任意一种情形）</w:t>
            </w:r>
          </w:p>
        </w:tc>
      </w:tr>
    </w:tbl>
    <w:p w14:paraId="195B0F21">
      <w:pPr>
        <w:pStyle w:val="37"/>
        <w:rPr>
          <w:rFonts w:hint="default" w:hAnsi="宋体" w:eastAsia="宋体" w:cs="宋体"/>
          <w:color w:val="auto"/>
          <w:sz w:val="24"/>
          <w:szCs w:val="24"/>
          <w:lang w:val="en-US" w:eastAsia="zh-CN"/>
        </w:rPr>
      </w:pPr>
    </w:p>
    <w:p w14:paraId="1BAA85B0">
      <w:pPr>
        <w:pStyle w:val="4"/>
        <w:numPr>
          <w:ilvl w:val="2"/>
          <w:numId w:val="0"/>
        </w:numPr>
        <w:tabs>
          <w:tab w:val="clear" w:pos="709"/>
        </w:tabs>
        <w:outlineLvl w:val="1"/>
        <w:rPr>
          <w:rFonts w:hint="eastAsia" w:hAnsi="宋体" w:cs="宋体"/>
          <w:b/>
          <w:color w:val="auto"/>
          <w:sz w:val="28"/>
          <w:szCs w:val="28"/>
        </w:rPr>
      </w:pPr>
      <w:bookmarkStart w:id="44" w:name="_Toc530748935"/>
      <w:bookmarkStart w:id="45" w:name="_Toc13520"/>
      <w:r>
        <w:rPr>
          <w:rFonts w:hint="eastAsia" w:hAnsi="宋体" w:cs="宋体"/>
          <w:b/>
          <w:bCs/>
          <w:color w:val="auto"/>
          <w:sz w:val="28"/>
          <w:szCs w:val="28"/>
          <w:lang w:eastAsia="zh-CN"/>
        </w:rPr>
        <w:t>八、</w:t>
      </w:r>
      <w:r>
        <w:rPr>
          <w:rFonts w:hint="eastAsia" w:hAnsi="宋体" w:cs="宋体"/>
          <w:b/>
          <w:bCs/>
          <w:color w:val="auto"/>
          <w:sz w:val="28"/>
          <w:szCs w:val="28"/>
        </w:rPr>
        <w:t>确定成交供应商</w:t>
      </w:r>
      <w:bookmarkEnd w:id="44"/>
      <w:bookmarkEnd w:id="45"/>
    </w:p>
    <w:p w14:paraId="025BF317">
      <w:pPr>
        <w:pStyle w:val="5"/>
        <w:numPr>
          <w:ilvl w:val="0"/>
          <w:numId w:val="0"/>
        </w:numPr>
        <w:spacing w:before="0" w:after="0" w:line="360" w:lineRule="auto"/>
        <w:ind w:leftChars="0"/>
        <w:rPr>
          <w:rFonts w:hint="eastAsia" w:ascii="宋体" w:hAnsi="宋体" w:cs="宋体"/>
          <w:b w:val="0"/>
          <w:color w:val="auto"/>
        </w:rPr>
      </w:pPr>
      <w:r>
        <w:rPr>
          <w:rFonts w:hint="eastAsia" w:ascii="宋体" w:hAnsi="宋体" w:cs="宋体"/>
          <w:color w:val="auto"/>
          <w:szCs w:val="24"/>
          <w:lang w:val="en-US" w:eastAsia="zh-CN"/>
        </w:rPr>
        <w:t>18、</w:t>
      </w:r>
      <w:r>
        <w:rPr>
          <w:rFonts w:hint="eastAsia" w:ascii="宋体" w:hAnsi="宋体" w:cs="宋体"/>
          <w:color w:val="auto"/>
          <w:szCs w:val="24"/>
        </w:rPr>
        <w:t>成交通知</w:t>
      </w:r>
    </w:p>
    <w:p w14:paraId="78DFCABB">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18.1</w:t>
      </w:r>
      <w:r>
        <w:rPr>
          <w:rFonts w:hint="eastAsia" w:hAnsi="宋体" w:cs="宋体"/>
          <w:color w:val="auto"/>
          <w:sz w:val="24"/>
          <w:szCs w:val="24"/>
        </w:rPr>
        <w:t>采购代理机构应当在评标结束后2个工作日内将评标报告送采购人。采购人应当自收到评标报告之日起5个工作日内，在评标报告确定的成交候选人名单中按顺序确定成交人。成交候选人并列的，由采购人或者采购人委托磋商小组按照磋商文件规定的方式确定成交人；磋商文件未规定的，采取随机抽取的方式确定。</w:t>
      </w:r>
    </w:p>
    <w:p w14:paraId="72CEC965">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18.2</w:t>
      </w:r>
      <w:r>
        <w:rPr>
          <w:rFonts w:hint="eastAsia" w:hAnsi="宋体" w:cs="宋体"/>
          <w:color w:val="auto"/>
          <w:sz w:val="24"/>
          <w:szCs w:val="24"/>
        </w:rPr>
        <w:t>采购人在收到评标报告5个工作日内未按评标报告推荐的成交候选人顺序确定成交人，又不能说明合法理由的，视同按评标报告推荐的顺序确定排名第一的成交候选人为成交人。</w:t>
      </w:r>
    </w:p>
    <w:p w14:paraId="4B667570">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32"/>
        </w:rPr>
      </w:pPr>
      <w:r>
        <w:rPr>
          <w:rFonts w:hint="eastAsia" w:hAnsi="宋体" w:cs="宋体"/>
          <w:color w:val="auto"/>
          <w:sz w:val="24"/>
          <w:szCs w:val="28"/>
          <w:lang w:val="en-US" w:eastAsia="zh-CN"/>
        </w:rPr>
        <w:t>18.3</w:t>
      </w:r>
      <w:r>
        <w:rPr>
          <w:rFonts w:hint="eastAsia" w:hAnsi="宋体" w:cs="宋体"/>
          <w:color w:val="auto"/>
          <w:sz w:val="24"/>
          <w:szCs w:val="28"/>
        </w:rPr>
        <w:t>采购代理机构自</w:t>
      </w:r>
      <w:r>
        <w:rPr>
          <w:rFonts w:hint="eastAsia" w:hAnsi="宋体" w:cs="宋体"/>
          <w:color w:val="auto"/>
          <w:sz w:val="24"/>
          <w:szCs w:val="24"/>
        </w:rPr>
        <w:t>成交</w:t>
      </w:r>
      <w:r>
        <w:rPr>
          <w:rFonts w:hint="eastAsia" w:hAnsi="宋体" w:cs="宋体"/>
          <w:color w:val="auto"/>
          <w:sz w:val="24"/>
          <w:szCs w:val="28"/>
        </w:rPr>
        <w:t>磋商供应商确定之日起2个工作日内发出《</w:t>
      </w:r>
      <w:r>
        <w:rPr>
          <w:rFonts w:hint="eastAsia" w:hAnsi="宋体" w:cs="宋体"/>
          <w:color w:val="auto"/>
          <w:sz w:val="24"/>
          <w:szCs w:val="24"/>
        </w:rPr>
        <w:t>成交</w:t>
      </w:r>
      <w:r>
        <w:rPr>
          <w:rFonts w:hint="eastAsia" w:hAnsi="宋体" w:cs="宋体"/>
          <w:color w:val="auto"/>
          <w:sz w:val="24"/>
          <w:szCs w:val="28"/>
        </w:rPr>
        <w:t>通知书》，并在青海政府采购网、</w:t>
      </w:r>
      <w:r>
        <w:rPr>
          <w:rFonts w:hint="eastAsia" w:ascii="宋体" w:hAnsi="宋体" w:cs="宋体"/>
          <w:color w:val="auto"/>
          <w:sz w:val="24"/>
          <w:lang w:eastAsia="zh-CN"/>
        </w:rPr>
        <w:t>青海省电子招标投标公共服务平台</w:t>
      </w:r>
      <w:r>
        <w:rPr>
          <w:rFonts w:hint="eastAsia" w:hAnsi="宋体" w:cs="宋体"/>
          <w:color w:val="auto"/>
          <w:sz w:val="24"/>
          <w:szCs w:val="28"/>
        </w:rPr>
        <w:t>等媒体上公告成交结果。</w:t>
      </w:r>
    </w:p>
    <w:p w14:paraId="1912BDA8">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18.4</w:t>
      </w:r>
      <w:r>
        <w:rPr>
          <w:rFonts w:hint="eastAsia" w:hAnsi="宋体" w:cs="宋体"/>
          <w:color w:val="auto"/>
          <w:sz w:val="24"/>
          <w:szCs w:val="24"/>
        </w:rPr>
        <w:t>成交结果公告内容应当包括采购人及其委托的采购代理机构的名称、地址、联系方式，项目名称和项目编号，成交人名称、地址和成交金额，主要成交标的的名称、规格型号、数量、单价、服务要求，成交公告期限以及评审专家名单。</w:t>
      </w:r>
    </w:p>
    <w:p w14:paraId="5D339139">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18.5</w:t>
      </w:r>
      <w:r>
        <w:rPr>
          <w:rFonts w:hint="eastAsia" w:hAnsi="宋体" w:cs="宋体"/>
          <w:color w:val="auto"/>
          <w:sz w:val="24"/>
          <w:szCs w:val="24"/>
        </w:rPr>
        <w:t>成交公告期限为1个工作日。</w:t>
      </w:r>
    </w:p>
    <w:p w14:paraId="02E1DDB1">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18.6</w:t>
      </w:r>
      <w:r>
        <w:rPr>
          <w:rFonts w:hint="eastAsia" w:hAnsi="宋体" w:cs="宋体"/>
          <w:color w:val="auto"/>
          <w:sz w:val="24"/>
          <w:szCs w:val="24"/>
        </w:rPr>
        <w:t>在公告成交结果的同时，</w:t>
      </w:r>
      <w:r>
        <w:rPr>
          <w:rFonts w:hint="eastAsia" w:hAnsi="宋体" w:cs="宋体"/>
          <w:color w:val="auto"/>
          <w:sz w:val="24"/>
          <w:szCs w:val="24"/>
          <w:shd w:val="clear" w:color="auto" w:fill="FFFFFF"/>
        </w:rPr>
        <w:t>采购人或者采购代理机构</w:t>
      </w:r>
      <w:r>
        <w:rPr>
          <w:rFonts w:hint="eastAsia" w:hAnsi="宋体" w:cs="宋体"/>
          <w:color w:val="auto"/>
          <w:sz w:val="24"/>
          <w:szCs w:val="24"/>
        </w:rPr>
        <w:t>应当向成交人发出成交通知书；采用综合评分法评审的，还应当告知未成交人本人的评审得分与排序。</w:t>
      </w:r>
    </w:p>
    <w:p w14:paraId="13F15213">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24"/>
          <w:szCs w:val="24"/>
        </w:rPr>
      </w:pPr>
      <w:r>
        <w:rPr>
          <w:rFonts w:hint="eastAsia" w:hAnsi="宋体" w:cs="宋体"/>
          <w:color w:val="auto"/>
          <w:sz w:val="24"/>
          <w:szCs w:val="24"/>
          <w:lang w:val="en-US" w:eastAsia="zh-CN"/>
        </w:rPr>
        <w:t>18.7</w:t>
      </w:r>
      <w:r>
        <w:rPr>
          <w:rFonts w:hint="eastAsia" w:hAnsi="宋体" w:cs="宋体"/>
          <w:color w:val="auto"/>
          <w:sz w:val="24"/>
          <w:szCs w:val="24"/>
        </w:rPr>
        <w:t>成交通知书发出后，采购人不得违法改变成交结果，成交人无正当理由不得放弃成交。</w:t>
      </w:r>
    </w:p>
    <w:p w14:paraId="77195824">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b/>
          <w:bCs/>
          <w:color w:val="auto"/>
          <w:sz w:val="32"/>
        </w:rPr>
      </w:pPr>
      <w:r>
        <w:rPr>
          <w:rFonts w:hint="eastAsia" w:hAnsi="宋体" w:cs="宋体"/>
          <w:color w:val="auto"/>
          <w:sz w:val="24"/>
          <w:szCs w:val="28"/>
          <w:lang w:val="en-US" w:eastAsia="zh-CN"/>
        </w:rPr>
        <w:t>18.8</w:t>
      </w:r>
      <w:r>
        <w:rPr>
          <w:rFonts w:hint="eastAsia" w:hAnsi="宋体" w:cs="宋体"/>
          <w:color w:val="auto"/>
          <w:sz w:val="24"/>
          <w:szCs w:val="28"/>
        </w:rPr>
        <w:t>《成交通知书》对采购单位和成交磋商供应商具有同等效力，《成交通知书》发出后，采购单位改变成交结果的，或者成交磋商供应商无正当理由放弃成交项目的，依法承担法律责任。</w:t>
      </w:r>
    </w:p>
    <w:p w14:paraId="2A56F4AF">
      <w:pPr>
        <w:pStyle w:val="4"/>
        <w:numPr>
          <w:ilvl w:val="2"/>
          <w:numId w:val="0"/>
        </w:numPr>
        <w:tabs>
          <w:tab w:val="clear" w:pos="709"/>
        </w:tabs>
        <w:ind w:left="240" w:leftChars="0"/>
        <w:outlineLvl w:val="1"/>
        <w:rPr>
          <w:rFonts w:hint="eastAsia" w:hAnsi="宋体" w:cs="宋体"/>
          <w:b/>
          <w:color w:val="auto"/>
          <w:sz w:val="28"/>
          <w:szCs w:val="28"/>
        </w:rPr>
      </w:pPr>
      <w:bookmarkStart w:id="46" w:name="_Toc10769"/>
      <w:bookmarkStart w:id="47" w:name="_Toc530748936"/>
      <w:r>
        <w:rPr>
          <w:rFonts w:hint="eastAsia" w:hAnsi="宋体" w:cs="宋体"/>
          <w:b/>
          <w:color w:val="auto"/>
          <w:sz w:val="28"/>
          <w:szCs w:val="28"/>
          <w:lang w:eastAsia="zh-CN"/>
        </w:rPr>
        <w:t>九、</w:t>
      </w:r>
      <w:r>
        <w:rPr>
          <w:rFonts w:hint="eastAsia" w:hAnsi="宋体" w:cs="宋体"/>
          <w:b/>
          <w:color w:val="auto"/>
          <w:sz w:val="28"/>
          <w:szCs w:val="28"/>
        </w:rPr>
        <w:t>授予合同</w:t>
      </w:r>
      <w:bookmarkEnd w:id="46"/>
      <w:bookmarkEnd w:id="47"/>
    </w:p>
    <w:p w14:paraId="24EC6CEC">
      <w:pPr>
        <w:pStyle w:val="5"/>
        <w:numPr>
          <w:ilvl w:val="0"/>
          <w:numId w:val="0"/>
        </w:numPr>
        <w:spacing w:before="0" w:after="0" w:line="360" w:lineRule="auto"/>
        <w:ind w:leftChars="0"/>
        <w:rPr>
          <w:rFonts w:hint="eastAsia" w:ascii="宋体" w:hAnsi="宋体" w:cs="宋体"/>
          <w:bCs w:val="0"/>
          <w:color w:val="auto"/>
        </w:rPr>
      </w:pPr>
      <w:bookmarkStart w:id="48" w:name="_Toc488673640"/>
      <w:r>
        <w:rPr>
          <w:rFonts w:hint="eastAsia" w:ascii="宋体" w:hAnsi="宋体" w:cs="宋体"/>
          <w:bCs w:val="0"/>
          <w:color w:val="auto"/>
          <w:lang w:val="en-US" w:eastAsia="zh-CN"/>
        </w:rPr>
        <w:t>19、</w:t>
      </w:r>
      <w:r>
        <w:rPr>
          <w:rFonts w:hint="eastAsia" w:ascii="宋体" w:hAnsi="宋体" w:cs="宋体"/>
          <w:bCs w:val="0"/>
          <w:color w:val="auto"/>
        </w:rPr>
        <w:t>签订合同</w:t>
      </w:r>
      <w:bookmarkEnd w:id="48"/>
    </w:p>
    <w:p w14:paraId="6D2D4312">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19.1</w:t>
      </w:r>
      <w:r>
        <w:rPr>
          <w:rFonts w:hint="eastAsia" w:hAnsi="宋体" w:cs="宋体"/>
          <w:color w:val="auto"/>
          <w:sz w:val="24"/>
          <w:szCs w:val="28"/>
        </w:rPr>
        <w:t>采购单位与成交磋商供应商双方应当自《成交通知书》发出之日起30日内，签订采购合同，送采购代理机构审核并备案；</w:t>
      </w:r>
    </w:p>
    <w:p w14:paraId="5F508D50">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19.2</w:t>
      </w:r>
      <w:r>
        <w:rPr>
          <w:rFonts w:hint="eastAsia" w:hAnsi="宋体" w:cs="宋体"/>
          <w:color w:val="auto"/>
          <w:sz w:val="24"/>
          <w:szCs w:val="28"/>
        </w:rPr>
        <w:t>成交磋商供应商在法定期限内无正当理由拒签合同的，按违约处理。同时，采购代理机构和采购单位可依评标排序重新确定成交磋商供应商，并协调双方签订采购合同，或重新组织采购活动；</w:t>
      </w:r>
    </w:p>
    <w:p w14:paraId="787E7098">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19.3</w:t>
      </w:r>
      <w:r>
        <w:rPr>
          <w:rFonts w:hint="eastAsia" w:hAnsi="宋体" w:cs="宋体"/>
          <w:color w:val="auto"/>
          <w:sz w:val="24"/>
          <w:szCs w:val="28"/>
        </w:rPr>
        <w:t>采购单位不得向成交供应商提出任何不合理的要求作为订立合同的条件，采购单位和成交供应商不得私下订立背离合同实质性内容的协议；</w:t>
      </w:r>
    </w:p>
    <w:p w14:paraId="22C23F60">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19.4</w:t>
      </w:r>
      <w:r>
        <w:rPr>
          <w:rFonts w:hint="eastAsia" w:hAnsi="宋体" w:cs="宋体"/>
          <w:color w:val="auto"/>
          <w:sz w:val="24"/>
          <w:szCs w:val="28"/>
        </w:rPr>
        <w:t>磋商文件、成交磋商供应商的磋商响应文件、《成交通知书》及其澄清、说明文件、承诺等，均为签订采购合同的依据，作为采购合同的组成部分；</w:t>
      </w:r>
    </w:p>
    <w:p w14:paraId="2C67BB56">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19.5</w:t>
      </w:r>
      <w:r>
        <w:rPr>
          <w:rFonts w:hint="eastAsia" w:hAnsi="宋体" w:cs="宋体"/>
          <w:color w:val="auto"/>
          <w:sz w:val="24"/>
          <w:szCs w:val="28"/>
        </w:rPr>
        <w:t>采购人与成交人应当根据合同的约定依法履行合同义务。政府采购合同的履行、违约责任和解决争议的方法等适用</w:t>
      </w:r>
      <w:r>
        <w:rPr>
          <w:rFonts w:hint="eastAsia" w:hAnsi="宋体" w:cs="宋体"/>
          <w:color w:val="auto"/>
          <w:sz w:val="24"/>
          <w:szCs w:val="28"/>
          <w:lang w:eastAsia="zh-CN"/>
        </w:rPr>
        <w:t>《民法典·合同编》</w:t>
      </w:r>
      <w:r>
        <w:rPr>
          <w:rFonts w:hint="eastAsia" w:hAnsi="宋体" w:cs="宋体"/>
          <w:color w:val="auto"/>
          <w:sz w:val="24"/>
          <w:szCs w:val="28"/>
        </w:rPr>
        <w:t>。</w:t>
      </w:r>
    </w:p>
    <w:p w14:paraId="0D9B2910">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19.6</w:t>
      </w:r>
      <w:r>
        <w:rPr>
          <w:rFonts w:hint="eastAsia" w:hAnsi="宋体" w:cs="宋体"/>
          <w:color w:val="auto"/>
          <w:sz w:val="24"/>
          <w:szCs w:val="28"/>
        </w:rPr>
        <w:t>采购人应当及时对采购项目进行验收。采购人可以邀请参加本项目的其他磋商人或者第三方机构参与验收。参与验收的磋商人或者第三方机构的意见作为验收书的参考资料一并存档。</w:t>
      </w:r>
    </w:p>
    <w:p w14:paraId="4AE2BCD6">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19.7</w:t>
      </w:r>
      <w:r>
        <w:rPr>
          <w:rFonts w:hint="eastAsia" w:hAnsi="宋体" w:cs="宋体"/>
          <w:color w:val="auto"/>
          <w:sz w:val="24"/>
          <w:szCs w:val="28"/>
        </w:rPr>
        <w:t>采购人应当加强对成交人的履约管理，并按照采购合同约定，及时向成交人支付采购资金。对于成交人违反采购合同约定的行为，采购人应当及时处理，依法追究其违约责任。</w:t>
      </w:r>
    </w:p>
    <w:p w14:paraId="2E5A85BE">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19.8</w:t>
      </w:r>
      <w:r>
        <w:rPr>
          <w:rFonts w:hint="eastAsia" w:hAnsi="宋体" w:cs="宋体"/>
          <w:color w:val="auto"/>
          <w:sz w:val="24"/>
          <w:szCs w:val="28"/>
        </w:rPr>
        <w:t>采购合同签订之日起2个工作日内，由采购单位将采购合同在青海政府采购网、青海省电子招标投标公共服务平台等媒体上公告，但采购合同中涉及国家秘密、商业秘密的内容除外。</w:t>
      </w:r>
    </w:p>
    <w:p w14:paraId="1B1D6CD4">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8"/>
          <w:lang w:val="en-US" w:eastAsia="zh-CN"/>
        </w:rPr>
        <w:t>19.9</w:t>
      </w:r>
      <w:r>
        <w:rPr>
          <w:rFonts w:hint="eastAsia" w:hAnsi="宋体" w:cs="宋体"/>
          <w:color w:val="auto"/>
          <w:sz w:val="24"/>
          <w:szCs w:val="28"/>
        </w:rPr>
        <w:t>采购人、采购代理机构应当建立真实</w:t>
      </w:r>
      <w:r>
        <w:rPr>
          <w:rFonts w:hint="eastAsia" w:ascii="宋体" w:hAnsi="宋体" w:eastAsia="宋体" w:cs="宋体"/>
          <w:color w:val="auto"/>
          <w:sz w:val="24"/>
          <w:szCs w:val="28"/>
        </w:rPr>
        <w:t>完整的</w:t>
      </w:r>
      <w:r>
        <w:rPr>
          <w:rFonts w:hint="eastAsia" w:ascii="宋体" w:hAnsi="宋体" w:eastAsia="宋体" w:cs="宋体"/>
          <w:color w:val="auto"/>
          <w:sz w:val="24"/>
          <w:szCs w:val="28"/>
          <w:lang w:eastAsia="zh-CN"/>
        </w:rPr>
        <w:t>磋商</w:t>
      </w:r>
      <w:r>
        <w:rPr>
          <w:rFonts w:hint="eastAsia" w:ascii="宋体" w:hAnsi="宋体" w:eastAsia="宋体" w:cs="宋体"/>
          <w:color w:val="auto"/>
          <w:sz w:val="24"/>
          <w:szCs w:val="28"/>
        </w:rPr>
        <w:t>采购</w:t>
      </w:r>
      <w:r>
        <w:rPr>
          <w:rFonts w:hint="eastAsia" w:hAnsi="宋体" w:cs="宋体"/>
          <w:color w:val="auto"/>
          <w:sz w:val="24"/>
          <w:szCs w:val="28"/>
        </w:rPr>
        <w:t>档案，妥善保存每项采购活动的采购文件。</w:t>
      </w:r>
    </w:p>
    <w:p w14:paraId="36AE642E">
      <w:pPr>
        <w:pStyle w:val="4"/>
        <w:numPr>
          <w:ilvl w:val="2"/>
          <w:numId w:val="0"/>
        </w:numPr>
        <w:tabs>
          <w:tab w:val="clear" w:pos="709"/>
        </w:tabs>
        <w:ind w:left="240" w:leftChars="0"/>
        <w:outlineLvl w:val="1"/>
        <w:rPr>
          <w:rFonts w:hint="eastAsia" w:hAnsi="宋体" w:cs="宋体"/>
          <w:b/>
          <w:color w:val="auto"/>
          <w:sz w:val="28"/>
          <w:szCs w:val="28"/>
        </w:rPr>
      </w:pPr>
      <w:bookmarkStart w:id="49" w:name="_Toc530748937"/>
      <w:bookmarkStart w:id="50" w:name="_Toc26181"/>
      <w:r>
        <w:rPr>
          <w:rFonts w:hint="eastAsia" w:hAnsi="宋体" w:cs="宋体"/>
          <w:b/>
          <w:bCs/>
          <w:color w:val="auto"/>
          <w:sz w:val="28"/>
          <w:szCs w:val="28"/>
          <w:lang w:eastAsia="zh-CN"/>
        </w:rPr>
        <w:t>十、</w:t>
      </w:r>
      <w:r>
        <w:rPr>
          <w:rFonts w:hint="eastAsia" w:hAnsi="宋体" w:cs="宋体"/>
          <w:b/>
          <w:bCs/>
          <w:color w:val="auto"/>
          <w:sz w:val="28"/>
          <w:szCs w:val="28"/>
        </w:rPr>
        <w:t>磋商活动终止</w:t>
      </w:r>
      <w:bookmarkEnd w:id="49"/>
      <w:bookmarkEnd w:id="50"/>
    </w:p>
    <w:p w14:paraId="63D44278">
      <w:pPr>
        <w:pStyle w:val="5"/>
        <w:numPr>
          <w:ilvl w:val="0"/>
          <w:numId w:val="0"/>
        </w:numPr>
        <w:spacing w:before="0" w:after="0" w:line="360" w:lineRule="auto"/>
        <w:ind w:leftChars="0"/>
        <w:rPr>
          <w:rFonts w:hint="eastAsia" w:ascii="宋体" w:hAnsi="宋体" w:cs="宋体"/>
          <w:b w:val="0"/>
          <w:color w:val="auto"/>
        </w:rPr>
      </w:pPr>
      <w:bookmarkStart w:id="51" w:name="_Toc488673642"/>
      <w:r>
        <w:rPr>
          <w:rFonts w:hint="eastAsia" w:ascii="宋体" w:hAnsi="宋体" w:cs="宋体"/>
          <w:color w:val="auto"/>
          <w:szCs w:val="24"/>
          <w:lang w:val="en-US" w:eastAsia="zh-CN"/>
        </w:rPr>
        <w:t>20、</w:t>
      </w:r>
      <w:r>
        <w:rPr>
          <w:rFonts w:hint="eastAsia" w:ascii="宋体" w:hAnsi="宋体" w:cs="宋体"/>
          <w:color w:val="auto"/>
          <w:szCs w:val="24"/>
        </w:rPr>
        <w:t>终止</w:t>
      </w:r>
      <w:r>
        <w:rPr>
          <w:rFonts w:hint="eastAsia" w:ascii="宋体" w:hAnsi="宋体" w:cs="宋体"/>
          <w:bCs w:val="0"/>
          <w:color w:val="auto"/>
        </w:rPr>
        <w:t>情形</w:t>
      </w:r>
      <w:bookmarkEnd w:id="51"/>
    </w:p>
    <w:p w14:paraId="1F573153">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8"/>
        </w:rPr>
      </w:pPr>
      <w:r>
        <w:rPr>
          <w:rFonts w:hint="eastAsia" w:hAnsi="宋体" w:cs="宋体"/>
          <w:color w:val="auto"/>
          <w:sz w:val="24"/>
          <w:szCs w:val="24"/>
          <w:lang w:val="en-US" w:eastAsia="zh-CN"/>
        </w:rPr>
        <w:t>20.1</w:t>
      </w:r>
      <w:r>
        <w:rPr>
          <w:rFonts w:hint="eastAsia" w:hAnsi="宋体" w:cs="宋体"/>
          <w:color w:val="auto"/>
          <w:sz w:val="24"/>
          <w:szCs w:val="24"/>
        </w:rPr>
        <w:t>在磋商采购中，出现下列情形之一的，应予终止：</w:t>
      </w:r>
    </w:p>
    <w:p w14:paraId="1772EF7B">
      <w:pPr>
        <w:pStyle w:val="2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符合磋商条件的磋商供应商或者对磋商文件作出实质性响应的磋商供应商不足三家的；</w:t>
      </w:r>
    </w:p>
    <w:p w14:paraId="30801822">
      <w:pPr>
        <w:pStyle w:val="2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出现影响采购活动正常推进的违法、违规行为的；</w:t>
      </w:r>
    </w:p>
    <w:p w14:paraId="060E6245">
      <w:pPr>
        <w:pStyle w:val="2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磋商供应商的报价均超出采购预算额度，采购单位不能支付的；</w:t>
      </w:r>
    </w:p>
    <w:p w14:paraId="7923A2D8">
      <w:pPr>
        <w:pStyle w:val="20"/>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firstLine="480" w:firstLineChars="200"/>
        <w:jc w:val="both"/>
        <w:textAlignment w:val="auto"/>
        <w:rPr>
          <w:rFonts w:hint="eastAsia" w:hAnsi="宋体" w:cs="宋体"/>
          <w:color w:val="auto"/>
          <w:sz w:val="24"/>
          <w:szCs w:val="24"/>
        </w:rPr>
      </w:pPr>
      <w:r>
        <w:rPr>
          <w:rFonts w:hint="eastAsia" w:hAnsi="宋体" w:cs="宋体"/>
          <w:color w:val="auto"/>
          <w:sz w:val="24"/>
          <w:szCs w:val="24"/>
        </w:rPr>
        <w:t>因重大变故，采购任务取消的。</w:t>
      </w:r>
    </w:p>
    <w:p w14:paraId="5BB791BA">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lang w:val="en-US" w:eastAsia="zh-CN"/>
        </w:rPr>
        <w:t>20.2</w:t>
      </w:r>
      <w:r>
        <w:rPr>
          <w:rFonts w:hint="eastAsia" w:hAnsi="宋体" w:cs="宋体"/>
          <w:color w:val="auto"/>
          <w:sz w:val="24"/>
          <w:szCs w:val="24"/>
        </w:rPr>
        <w:t>终止磋商活动后，由采购代理机构发布终止公告并说明原因。</w:t>
      </w:r>
    </w:p>
    <w:p w14:paraId="21AEF5BF">
      <w:pPr>
        <w:pStyle w:val="4"/>
        <w:keepNext w:val="0"/>
        <w:keepLines w:val="0"/>
        <w:pageBreakBefore w:val="0"/>
        <w:widowControl w:val="0"/>
        <w:numPr>
          <w:ilvl w:val="2"/>
          <w:numId w:val="0"/>
        </w:numPr>
        <w:tabs>
          <w:tab w:val="clear" w:pos="709"/>
        </w:tabs>
        <w:kinsoku/>
        <w:wordWrap/>
        <w:overflowPunct/>
        <w:topLinePunct w:val="0"/>
        <w:autoSpaceDE/>
        <w:autoSpaceDN/>
        <w:bidi w:val="0"/>
        <w:adjustRightInd/>
        <w:snapToGrid/>
        <w:spacing w:line="360" w:lineRule="auto"/>
        <w:ind w:left="720" w:leftChars="0"/>
        <w:jc w:val="both"/>
        <w:textAlignment w:val="auto"/>
        <w:outlineLvl w:val="1"/>
        <w:rPr>
          <w:rFonts w:hint="eastAsia" w:hAnsi="宋体" w:cs="宋体"/>
          <w:b/>
          <w:color w:val="auto"/>
          <w:sz w:val="28"/>
          <w:szCs w:val="28"/>
        </w:rPr>
      </w:pPr>
      <w:bookmarkStart w:id="52" w:name="_Toc3118"/>
      <w:bookmarkStart w:id="53" w:name="_Toc530748938"/>
      <w:r>
        <w:rPr>
          <w:rFonts w:hint="eastAsia" w:hAnsi="宋体" w:cs="宋体"/>
          <w:b/>
          <w:color w:val="auto"/>
          <w:sz w:val="28"/>
          <w:szCs w:val="28"/>
          <w:lang w:eastAsia="zh-CN"/>
        </w:rPr>
        <w:t>十一、</w:t>
      </w:r>
      <w:r>
        <w:rPr>
          <w:rFonts w:hint="eastAsia" w:hAnsi="宋体" w:cs="宋体"/>
          <w:b/>
          <w:color w:val="auto"/>
          <w:sz w:val="28"/>
          <w:szCs w:val="28"/>
        </w:rPr>
        <w:t>其他</w:t>
      </w:r>
      <w:bookmarkEnd w:id="52"/>
      <w:bookmarkEnd w:id="53"/>
    </w:p>
    <w:p w14:paraId="588D4811">
      <w:pPr>
        <w:pStyle w:val="5"/>
        <w:numPr>
          <w:ilvl w:val="0"/>
          <w:numId w:val="0"/>
        </w:numPr>
        <w:spacing w:before="0" w:after="0" w:line="360" w:lineRule="auto"/>
        <w:ind w:leftChars="0"/>
        <w:rPr>
          <w:rFonts w:hint="eastAsia" w:ascii="宋体" w:hAnsi="宋体" w:cs="宋体"/>
          <w:b w:val="0"/>
          <w:color w:val="auto"/>
        </w:rPr>
      </w:pPr>
      <w:bookmarkStart w:id="54" w:name="_Toc488673644"/>
      <w:r>
        <w:rPr>
          <w:rFonts w:hint="eastAsia" w:ascii="宋体" w:hAnsi="宋体" w:cs="宋体"/>
          <w:bCs w:val="0"/>
          <w:color w:val="auto"/>
          <w:lang w:val="en-US" w:eastAsia="zh-CN"/>
        </w:rPr>
        <w:t>21、</w:t>
      </w:r>
      <w:r>
        <w:rPr>
          <w:rFonts w:hint="eastAsia" w:ascii="宋体" w:hAnsi="宋体" w:cs="宋体"/>
          <w:bCs w:val="0"/>
          <w:color w:val="auto"/>
        </w:rPr>
        <w:t>串标情形</w:t>
      </w:r>
      <w:bookmarkEnd w:id="54"/>
    </w:p>
    <w:p w14:paraId="057CD2DF">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hAnsi="宋体" w:cs="宋体"/>
          <w:color w:val="auto"/>
          <w:sz w:val="24"/>
          <w:szCs w:val="24"/>
        </w:rPr>
      </w:pPr>
      <w:r>
        <w:rPr>
          <w:rFonts w:hint="eastAsia" w:hAnsi="宋体" w:cs="宋体"/>
          <w:color w:val="auto"/>
          <w:sz w:val="24"/>
          <w:szCs w:val="24"/>
          <w:lang w:val="en-US" w:eastAsia="zh-CN"/>
        </w:rPr>
        <w:t>21.1</w:t>
      </w:r>
      <w:r>
        <w:rPr>
          <w:rFonts w:hint="eastAsia" w:hAnsi="宋体" w:cs="宋体"/>
          <w:color w:val="auto"/>
          <w:sz w:val="24"/>
          <w:szCs w:val="24"/>
        </w:rPr>
        <w:t>磋商人应当遵循公平竞争的原则，不得恶意串通，不得妨碍其他磋商人的竞争行为，不得损害采购人或者其他磋商人的合法权益。</w:t>
      </w:r>
    </w:p>
    <w:p w14:paraId="27A6AD68">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在评标过程中发现磋商人有上述情形的，磋商小组应当认定其投标无效，并书面报告本级财政部门。</w:t>
      </w:r>
    </w:p>
    <w:p w14:paraId="484F66DA">
      <w:pPr>
        <w:pStyle w:val="20"/>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有下列情形之一的，视为磋商人串通投标，其投标无效：</w:t>
      </w:r>
    </w:p>
    <w:p w14:paraId="45703E48">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不同磋商人的磋商响应文件由同一单位或者个人编制；</w:t>
      </w:r>
    </w:p>
    <w:p w14:paraId="72C60A13">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不同磋商人委托同一单位或者个人办理投标事宜；</w:t>
      </w:r>
    </w:p>
    <w:p w14:paraId="7530A72E">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不同磋商人的磋商响应文件载明的项目管理成员或者联系人员为同一人；</w:t>
      </w:r>
    </w:p>
    <w:p w14:paraId="4561D680">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不同磋商人的磋商响应文件异常一致或者投标报价呈规律性差异；</w:t>
      </w:r>
    </w:p>
    <w:p w14:paraId="09603560">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不同磋商人的磋商响应文件相互混装；</w:t>
      </w:r>
    </w:p>
    <w:p w14:paraId="3BC165DC">
      <w:pPr>
        <w:pStyle w:val="20"/>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hAnsi="宋体" w:cs="宋体"/>
          <w:color w:val="auto"/>
          <w:sz w:val="24"/>
          <w:szCs w:val="24"/>
        </w:rPr>
      </w:pPr>
      <w:r>
        <w:rPr>
          <w:rFonts w:hint="eastAsia" w:hAnsi="宋体" w:cs="宋体"/>
          <w:color w:val="auto"/>
          <w:sz w:val="24"/>
          <w:szCs w:val="24"/>
        </w:rPr>
        <w:t>不同磋商人的投标保证金从同一单位或者个人的账户转出。</w:t>
      </w:r>
    </w:p>
    <w:p w14:paraId="099F279D">
      <w:pPr>
        <w:pStyle w:val="20"/>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hAnsi="宋体" w:cs="宋体"/>
          <w:b/>
          <w:color w:val="auto"/>
          <w:sz w:val="36"/>
        </w:rPr>
      </w:pPr>
      <w:r>
        <w:rPr>
          <w:rFonts w:hint="eastAsia" w:hAnsi="宋体" w:cs="宋体"/>
          <w:color w:val="auto"/>
          <w:sz w:val="24"/>
          <w:szCs w:val="24"/>
          <w:lang w:val="en-US" w:eastAsia="zh-CN"/>
        </w:rPr>
        <w:t>21.2</w:t>
      </w:r>
      <w:r>
        <w:rPr>
          <w:rFonts w:hint="eastAsia" w:hAnsi="宋体" w:cs="宋体"/>
          <w:color w:val="auto"/>
          <w:sz w:val="24"/>
          <w:szCs w:val="24"/>
        </w:rPr>
        <w:t>其他未尽事宜，按照《中华人民共和国政府采购法》、</w:t>
      </w:r>
      <w:r>
        <w:rPr>
          <w:rFonts w:hint="eastAsia" w:hAnsi="宋体" w:cs="宋体"/>
          <w:color w:val="auto"/>
          <w:sz w:val="24"/>
          <w:szCs w:val="24"/>
          <w:lang w:eastAsia="zh-CN"/>
        </w:rPr>
        <w:t>《民法典·合同编》</w:t>
      </w:r>
      <w:r>
        <w:rPr>
          <w:rFonts w:hint="eastAsia" w:hAnsi="宋体" w:cs="宋体"/>
          <w:color w:val="auto"/>
          <w:sz w:val="24"/>
          <w:szCs w:val="24"/>
        </w:rPr>
        <w:t>、《中华人民共和国政府采购法实施条例》、《政府采购竞争性磋商采购方式管理暂行办法》等法律法规的有关条款执行。</w:t>
      </w:r>
      <w:r>
        <w:rPr>
          <w:rFonts w:hint="eastAsia" w:hAnsi="宋体" w:cs="宋体"/>
          <w:color w:val="auto"/>
          <w:sz w:val="24"/>
          <w:szCs w:val="24"/>
        </w:rPr>
        <w:br w:type="page"/>
      </w:r>
      <w:r>
        <w:rPr>
          <w:rFonts w:hint="eastAsia" w:hAnsi="宋体" w:cs="宋体"/>
          <w:color w:val="auto"/>
          <w:sz w:val="48"/>
        </w:rPr>
        <w:t>第四部分  采购项目合同书</w:t>
      </w:r>
      <w:bookmarkEnd w:id="42"/>
    </w:p>
    <w:p w14:paraId="03AF5770">
      <w:pPr>
        <w:spacing w:line="360" w:lineRule="auto"/>
        <w:jc w:val="center"/>
        <w:rPr>
          <w:rFonts w:hint="eastAsia" w:ascii="宋体" w:hAnsi="宋体" w:cs="宋体"/>
          <w:color w:val="auto"/>
          <w:kern w:val="0"/>
          <w:sz w:val="24"/>
        </w:rPr>
      </w:pPr>
      <w:bookmarkStart w:id="55" w:name="_Toc375576842"/>
      <w:bookmarkStart w:id="56" w:name="_Toc373936315"/>
      <w:bookmarkStart w:id="57" w:name="_Toc373954603"/>
    </w:p>
    <w:bookmarkEnd w:id="55"/>
    <w:bookmarkEnd w:id="56"/>
    <w:bookmarkEnd w:id="57"/>
    <w:p w14:paraId="68E3EACC">
      <w:pPr>
        <w:autoSpaceDE w:val="0"/>
        <w:autoSpaceDN w:val="0"/>
        <w:jc w:val="center"/>
        <w:outlineLvl w:val="0"/>
        <w:rPr>
          <w:rFonts w:hint="eastAsia" w:ascii="宋体" w:hAnsi="宋体" w:cs="宋体"/>
          <w:bCs/>
          <w:color w:val="auto"/>
          <w:sz w:val="36"/>
          <w:szCs w:val="36"/>
          <w:lang w:val="zh-CN"/>
        </w:rPr>
      </w:pPr>
      <w:bookmarkStart w:id="58" w:name="_Toc4902"/>
      <w:r>
        <w:rPr>
          <w:rFonts w:hint="eastAsia" w:ascii="宋体" w:hAnsi="宋体" w:cs="宋体"/>
          <w:color w:val="auto"/>
          <w:sz w:val="48"/>
        </w:rPr>
        <w:t>第</w:t>
      </w:r>
      <w:r>
        <w:rPr>
          <w:rFonts w:hint="eastAsia" w:ascii="宋体" w:hAnsi="宋体" w:cs="宋体"/>
          <w:color w:val="auto"/>
          <w:sz w:val="48"/>
          <w:lang w:val="en-US" w:eastAsia="zh-CN"/>
        </w:rPr>
        <w:t>四</w:t>
      </w:r>
      <w:r>
        <w:rPr>
          <w:rFonts w:hint="eastAsia" w:ascii="宋体" w:hAnsi="宋体" w:cs="宋体"/>
          <w:color w:val="auto"/>
          <w:sz w:val="48"/>
        </w:rPr>
        <w:t>部分</w:t>
      </w:r>
      <w:r>
        <w:rPr>
          <w:rFonts w:hint="eastAsia" w:ascii="宋体" w:hAnsi="宋体" w:cs="宋体"/>
          <w:color w:val="auto"/>
          <w:sz w:val="48"/>
          <w:lang w:val="en-US" w:eastAsia="zh-CN"/>
        </w:rPr>
        <w:t xml:space="preserve"> </w:t>
      </w:r>
      <w:r>
        <w:rPr>
          <w:rFonts w:hint="eastAsia" w:ascii="宋体" w:hAnsi="宋体" w:cs="宋体"/>
          <w:bCs/>
          <w:color w:val="auto"/>
          <w:sz w:val="36"/>
          <w:szCs w:val="36"/>
          <w:lang w:val="zh-CN"/>
        </w:rPr>
        <w:t>青海省政府采购项目合同书</w:t>
      </w:r>
      <w:bookmarkEnd w:id="58"/>
    </w:p>
    <w:p w14:paraId="6679D6D2">
      <w:pPr>
        <w:pStyle w:val="12"/>
        <w:jc w:val="center"/>
        <w:rPr>
          <w:rFonts w:hint="eastAsia"/>
          <w:color w:val="auto"/>
        </w:rPr>
      </w:pPr>
      <w:r>
        <w:rPr>
          <w:rFonts w:hint="eastAsia" w:ascii="宋体" w:hAnsi="宋体" w:cs="宋体"/>
          <w:bCs/>
          <w:color w:val="auto"/>
          <w:sz w:val="36"/>
          <w:szCs w:val="36"/>
          <w:lang w:val="zh-CN"/>
        </w:rPr>
        <w:t>（货物类）</w:t>
      </w:r>
    </w:p>
    <w:p w14:paraId="6946008F">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3767E2E9">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2A4CB0ED">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4A8E7A86">
      <w:pPr>
        <w:autoSpaceDE w:val="0"/>
        <w:autoSpaceDN w:val="0"/>
        <w:ind w:firstLine="720"/>
        <w:jc w:val="center"/>
        <w:rPr>
          <w:rFonts w:hint="eastAsia" w:ascii="宋体" w:hAnsi="宋体" w:cs="宋体"/>
          <w:bCs/>
          <w:color w:val="auto"/>
          <w:sz w:val="36"/>
          <w:szCs w:val="36"/>
        </w:rPr>
      </w:pPr>
      <w:r>
        <w:rPr>
          <w:rFonts w:hint="eastAsia" w:ascii="宋体" w:hAnsi="宋体" w:cs="宋体"/>
          <w:b/>
          <w:bCs/>
          <w:color w:val="auto"/>
          <w:kern w:val="0"/>
          <w:sz w:val="48"/>
          <w:szCs w:val="48"/>
          <w:lang w:val="zh-CN"/>
        </w:rPr>
        <w:t>青海省政府采购项目合同书</w:t>
      </w:r>
    </w:p>
    <w:p w14:paraId="641B1C23">
      <w:pPr>
        <w:autoSpaceDE w:val="0"/>
        <w:autoSpaceDN w:val="0"/>
        <w:ind w:firstLine="640"/>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lang w:eastAsia="zh-CN"/>
        </w:rPr>
        <w:t>（具体以最终签订的合同为准）</w:t>
      </w:r>
    </w:p>
    <w:p w14:paraId="262D7DA6">
      <w:pPr>
        <w:autoSpaceDE w:val="0"/>
        <w:autoSpaceDN w:val="0"/>
        <w:ind w:firstLine="640"/>
        <w:rPr>
          <w:rFonts w:hint="eastAsia" w:ascii="宋体" w:hAnsi="宋体" w:cs="宋体"/>
          <w:color w:val="auto"/>
          <w:sz w:val="32"/>
          <w:szCs w:val="32"/>
        </w:rPr>
      </w:pPr>
    </w:p>
    <w:p w14:paraId="35147A10">
      <w:pPr>
        <w:autoSpaceDE w:val="0"/>
        <w:autoSpaceDN w:val="0"/>
        <w:rPr>
          <w:rFonts w:hint="eastAsia" w:ascii="宋体" w:hAnsi="宋体" w:cs="宋体"/>
          <w:color w:val="auto"/>
          <w:sz w:val="32"/>
          <w:szCs w:val="32"/>
        </w:rPr>
      </w:pPr>
    </w:p>
    <w:p w14:paraId="16545887">
      <w:pPr>
        <w:autoSpaceDE w:val="0"/>
        <w:autoSpaceDN w:val="0"/>
        <w:ind w:firstLine="640"/>
        <w:rPr>
          <w:rFonts w:hint="eastAsia" w:ascii="宋体" w:hAnsi="宋体" w:cs="宋体"/>
          <w:color w:val="auto"/>
          <w:sz w:val="32"/>
          <w:szCs w:val="32"/>
        </w:rPr>
      </w:pPr>
      <w:r>
        <w:rPr>
          <w:rFonts w:hint="eastAsia" w:ascii="宋体" w:hAnsi="宋体" w:cs="宋体"/>
          <w:color w:val="auto"/>
          <w:sz w:val="32"/>
          <w:szCs w:val="32"/>
        </w:rPr>
        <w:t xml:space="preserve"> </w:t>
      </w:r>
    </w:p>
    <w:p w14:paraId="6ACD0140">
      <w:pPr>
        <w:autoSpaceDE w:val="0"/>
        <w:autoSpaceDN w:val="0"/>
        <w:spacing w:line="360" w:lineRule="auto"/>
        <w:ind w:left="2100" w:hanging="2100" w:hangingChars="700"/>
        <w:rPr>
          <w:rFonts w:hint="eastAsia" w:ascii="宋体" w:hAnsi="宋体" w:eastAsia="宋体" w:cs="宋体"/>
          <w:bCs/>
          <w:color w:val="auto"/>
          <w:sz w:val="30"/>
          <w:szCs w:val="30"/>
          <w:u w:val="single"/>
          <w:lang w:eastAsia="zh-CN"/>
        </w:rPr>
      </w:pPr>
      <w:r>
        <w:rPr>
          <w:rFonts w:hint="eastAsia" w:ascii="宋体" w:hAnsi="宋体" w:cs="宋体"/>
          <w:bCs/>
          <w:color w:val="auto"/>
          <w:sz w:val="30"/>
          <w:szCs w:val="30"/>
          <w:u w:val="none"/>
          <w:lang w:val="zh-CN" w:eastAsia="zh-CN"/>
        </w:rPr>
        <w:t>采购项目编号/包号：</w:t>
      </w:r>
      <w:r>
        <w:rPr>
          <w:rFonts w:hint="eastAsia" w:ascii="宋体" w:hAnsi="宋体" w:cs="宋体"/>
          <w:bCs/>
          <w:color w:val="auto"/>
          <w:sz w:val="30"/>
          <w:szCs w:val="30"/>
          <w:u w:val="single"/>
          <w:lang w:eastAsia="zh-CN"/>
        </w:rPr>
        <w:t>青海雅辉竞磋（货物）2024-006</w:t>
      </w:r>
    </w:p>
    <w:p w14:paraId="6F717CB8">
      <w:pPr>
        <w:autoSpaceDE w:val="0"/>
        <w:autoSpaceDN w:val="0"/>
        <w:spacing w:line="360" w:lineRule="auto"/>
        <w:ind w:left="2100" w:hanging="2100" w:hangingChars="700"/>
        <w:rPr>
          <w:rFonts w:hint="default" w:ascii="宋体" w:hAnsi="宋体" w:eastAsia="宋体" w:cs="宋体"/>
          <w:bCs/>
          <w:color w:val="auto"/>
          <w:sz w:val="30"/>
          <w:szCs w:val="30"/>
          <w:lang w:val="en-US" w:eastAsia="zh-CN"/>
        </w:rPr>
      </w:pPr>
      <w:r>
        <w:rPr>
          <w:rFonts w:hint="eastAsia" w:ascii="宋体" w:hAnsi="宋体" w:cs="宋体"/>
          <w:bCs/>
          <w:color w:val="auto"/>
          <w:sz w:val="30"/>
          <w:szCs w:val="30"/>
          <w:lang w:val="zh-CN"/>
        </w:rPr>
        <w:t>采购项目名称/包号：</w:t>
      </w:r>
      <w:r>
        <w:rPr>
          <w:rFonts w:hint="eastAsia" w:ascii="宋体" w:hAnsi="宋体" w:cs="宋体"/>
          <w:bCs/>
          <w:color w:val="auto"/>
          <w:sz w:val="30"/>
          <w:szCs w:val="30"/>
          <w:u w:val="single"/>
          <w:lang w:eastAsia="zh-CN"/>
        </w:rPr>
        <w:t>玉树州职业技术学校民族服装与服饰专业建设项目</w:t>
      </w:r>
    </w:p>
    <w:p w14:paraId="05F3F6F2">
      <w:pPr>
        <w:autoSpaceDE w:val="0"/>
        <w:autoSpaceDN w:val="0"/>
        <w:spacing w:line="360" w:lineRule="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u w:val="none"/>
          <w:lang w:val="zh-CN" w:eastAsia="zh-CN"/>
        </w:rPr>
        <w:t>采购合同编号/包号：</w:t>
      </w:r>
      <w:r>
        <w:rPr>
          <w:rFonts w:hint="eastAsia" w:ascii="宋体" w:hAnsi="宋体" w:cs="宋体"/>
          <w:bCs/>
          <w:color w:val="auto"/>
          <w:sz w:val="30"/>
          <w:szCs w:val="30"/>
          <w:u w:val="single"/>
          <w:lang w:val="en-US" w:eastAsia="zh-CN"/>
        </w:rPr>
        <w:t>QHYHJC(HW）</w:t>
      </w:r>
      <w:r>
        <w:rPr>
          <w:rFonts w:hint="eastAsia" w:ascii="宋体" w:hAnsi="宋体" w:eastAsia="宋体" w:cs="宋体"/>
          <w:bCs/>
          <w:color w:val="auto"/>
          <w:sz w:val="30"/>
          <w:szCs w:val="30"/>
          <w:u w:val="single"/>
          <w:lang w:eastAsia="zh-CN"/>
        </w:rPr>
        <w:t>-202</w:t>
      </w:r>
      <w:r>
        <w:rPr>
          <w:rFonts w:hint="eastAsia" w:ascii="宋体" w:hAnsi="宋体" w:cs="宋体"/>
          <w:bCs/>
          <w:color w:val="auto"/>
          <w:sz w:val="30"/>
          <w:szCs w:val="30"/>
          <w:u w:val="single"/>
          <w:lang w:val="en-US" w:eastAsia="zh-CN"/>
        </w:rPr>
        <w:t>4</w:t>
      </w:r>
      <w:r>
        <w:rPr>
          <w:rFonts w:hint="eastAsia" w:ascii="宋体" w:hAnsi="宋体" w:eastAsia="宋体" w:cs="宋体"/>
          <w:bCs/>
          <w:color w:val="auto"/>
          <w:sz w:val="30"/>
          <w:szCs w:val="30"/>
          <w:u w:val="single"/>
          <w:lang w:eastAsia="zh-CN"/>
        </w:rPr>
        <w:t>-0</w:t>
      </w:r>
      <w:r>
        <w:rPr>
          <w:rFonts w:hint="eastAsia" w:ascii="宋体" w:hAnsi="宋体" w:cs="宋体"/>
          <w:bCs/>
          <w:color w:val="auto"/>
          <w:sz w:val="30"/>
          <w:szCs w:val="30"/>
          <w:u w:val="single"/>
          <w:lang w:val="en-US" w:eastAsia="zh-CN"/>
        </w:rPr>
        <w:t>06</w:t>
      </w:r>
    </w:p>
    <w:p w14:paraId="4984471D">
      <w:pPr>
        <w:autoSpaceDE w:val="0"/>
        <w:autoSpaceDN w:val="0"/>
        <w:spacing w:line="360" w:lineRule="auto"/>
        <w:rPr>
          <w:rFonts w:hint="eastAsia" w:ascii="宋体" w:hAnsi="宋体" w:cs="宋体"/>
          <w:bCs/>
          <w:color w:val="auto"/>
          <w:sz w:val="30"/>
          <w:szCs w:val="30"/>
          <w:u w:val="single"/>
        </w:rPr>
      </w:pPr>
      <w:r>
        <w:rPr>
          <w:rFonts w:hint="eastAsia" w:ascii="宋体" w:hAnsi="宋体" w:cs="宋体"/>
          <w:bCs/>
          <w:color w:val="auto"/>
          <w:sz w:val="30"/>
          <w:szCs w:val="30"/>
          <w:lang w:val="zh-CN"/>
        </w:rPr>
        <w:t>合同金额（人民币）：</w:t>
      </w:r>
      <w:r>
        <w:rPr>
          <w:rFonts w:hint="eastAsia" w:ascii="宋体" w:hAnsi="宋体" w:cs="宋体"/>
          <w:bCs/>
          <w:color w:val="auto"/>
          <w:sz w:val="30"/>
          <w:szCs w:val="30"/>
          <w:u w:val="single"/>
          <w:lang w:val="zh-CN"/>
        </w:rPr>
        <w:t xml:space="preserve">              </w:t>
      </w:r>
      <w:r>
        <w:rPr>
          <w:rFonts w:hint="eastAsia" w:ascii="宋体" w:hAnsi="宋体" w:cs="宋体"/>
          <w:bCs/>
          <w:color w:val="auto"/>
          <w:sz w:val="30"/>
          <w:szCs w:val="30"/>
          <w:u w:val="single"/>
        </w:rPr>
        <w:t xml:space="preserve">           </w:t>
      </w:r>
    </w:p>
    <w:p w14:paraId="1DB19BC1">
      <w:pPr>
        <w:pStyle w:val="12"/>
        <w:rPr>
          <w:rFonts w:hint="default" w:ascii="宋体" w:hAnsi="宋体" w:eastAsia="宋体" w:cs="宋体"/>
          <w:bCs/>
          <w:color w:val="auto"/>
          <w:kern w:val="2"/>
          <w:sz w:val="30"/>
          <w:szCs w:val="30"/>
          <w:u w:val="single"/>
          <w:lang w:val="en-US" w:eastAsia="zh-CN" w:bidi="ar-SA"/>
        </w:rPr>
      </w:pPr>
      <w:r>
        <w:rPr>
          <w:rFonts w:hint="eastAsia" w:ascii="宋体" w:hAnsi="宋体" w:eastAsia="宋体" w:cs="宋体"/>
          <w:bCs/>
          <w:color w:val="auto"/>
          <w:kern w:val="2"/>
          <w:sz w:val="30"/>
          <w:szCs w:val="30"/>
          <w:lang w:val="zh-CN" w:eastAsia="zh-CN" w:bidi="ar-SA"/>
        </w:rPr>
        <w:t>采购人（甲方）：</w:t>
      </w:r>
      <w:r>
        <w:rPr>
          <w:rFonts w:hint="eastAsia" w:ascii="宋体" w:hAnsi="宋体" w:eastAsia="宋体" w:cs="宋体"/>
          <w:bCs/>
          <w:color w:val="auto"/>
          <w:kern w:val="2"/>
          <w:sz w:val="30"/>
          <w:szCs w:val="30"/>
          <w:u w:val="single"/>
          <w:lang w:val="en-US" w:eastAsia="zh-CN" w:bidi="ar-SA"/>
        </w:rPr>
        <w:t xml:space="preserve">                           </w:t>
      </w:r>
    </w:p>
    <w:p w14:paraId="2E799DDE">
      <w:pPr>
        <w:autoSpaceDE w:val="0"/>
        <w:autoSpaceDN w:val="0"/>
        <w:spacing w:line="360" w:lineRule="auto"/>
        <w:rPr>
          <w:rFonts w:hint="eastAsia" w:ascii="宋体" w:hAnsi="宋体" w:eastAsia="宋体" w:cs="宋体"/>
          <w:bCs/>
          <w:color w:val="auto"/>
          <w:sz w:val="30"/>
          <w:szCs w:val="30"/>
          <w:u w:val="single"/>
          <w:lang w:val="zh-CN" w:eastAsia="zh-CN"/>
        </w:rPr>
      </w:pPr>
      <w:r>
        <w:rPr>
          <w:rFonts w:hint="eastAsia" w:ascii="宋体" w:hAnsi="宋体" w:cs="宋体"/>
          <w:bCs/>
          <w:color w:val="auto"/>
          <w:sz w:val="30"/>
          <w:szCs w:val="30"/>
          <w:lang w:val="zh-CN"/>
        </w:rPr>
        <w:t>成交人（乙方）：</w:t>
      </w:r>
      <w:r>
        <w:rPr>
          <w:rFonts w:hint="eastAsia" w:ascii="宋体" w:hAnsi="宋体" w:cs="宋体"/>
          <w:bCs/>
          <w:color w:val="auto"/>
          <w:sz w:val="30"/>
          <w:szCs w:val="30"/>
          <w:u w:val="single"/>
        </w:rPr>
        <w:t xml:space="preserve">           </w:t>
      </w:r>
      <w:r>
        <w:rPr>
          <w:rFonts w:hint="eastAsia" w:ascii="宋体" w:hAnsi="宋体" w:cs="宋体"/>
          <w:bCs/>
          <w:color w:val="auto"/>
          <w:sz w:val="30"/>
          <w:szCs w:val="30"/>
          <w:u w:val="single"/>
          <w:lang w:val="en-US" w:eastAsia="zh-CN"/>
        </w:rPr>
        <w:t xml:space="preserve">           </w:t>
      </w:r>
      <w:r>
        <w:rPr>
          <w:rFonts w:hint="eastAsia" w:ascii="宋体" w:hAnsi="宋体" w:cs="宋体"/>
          <w:bCs/>
          <w:color w:val="auto"/>
          <w:sz w:val="30"/>
          <w:szCs w:val="30"/>
          <w:u w:val="single"/>
        </w:rPr>
        <w:t xml:space="preserve">    </w:t>
      </w:r>
      <w:r>
        <w:rPr>
          <w:rFonts w:hint="eastAsia" w:ascii="宋体" w:hAnsi="宋体" w:cs="宋体"/>
          <w:bCs/>
          <w:color w:val="auto"/>
          <w:sz w:val="30"/>
          <w:szCs w:val="30"/>
          <w:u w:val="single"/>
          <w:lang w:val="en-US" w:eastAsia="zh-CN"/>
        </w:rPr>
        <w:t xml:space="preserve"> </w:t>
      </w:r>
    </w:p>
    <w:p w14:paraId="521E8112">
      <w:pPr>
        <w:autoSpaceDE w:val="0"/>
        <w:autoSpaceDN w:val="0"/>
        <w:spacing w:line="360" w:lineRule="auto"/>
        <w:rPr>
          <w:rFonts w:hint="eastAsia" w:ascii="宋体" w:hAnsi="宋体" w:cs="宋体"/>
          <w:bCs/>
          <w:color w:val="auto"/>
          <w:sz w:val="24"/>
        </w:rPr>
      </w:pPr>
      <w:r>
        <w:rPr>
          <w:rFonts w:hint="eastAsia" w:ascii="宋体" w:hAnsi="宋体" w:cs="宋体"/>
          <w:bCs/>
          <w:color w:val="auto"/>
          <w:sz w:val="30"/>
          <w:szCs w:val="30"/>
          <w:lang w:val="zh-CN"/>
        </w:rPr>
        <w:t>采购日期：</w:t>
      </w:r>
      <w:r>
        <w:rPr>
          <w:rFonts w:hint="eastAsia" w:ascii="宋体" w:hAnsi="宋体" w:cs="宋体"/>
          <w:bCs/>
          <w:color w:val="auto"/>
          <w:sz w:val="30"/>
          <w:szCs w:val="30"/>
          <w:u w:val="single"/>
        </w:rPr>
        <w:t xml:space="preserve">        年      月      日   </w:t>
      </w:r>
      <w:r>
        <w:rPr>
          <w:rFonts w:hint="eastAsia" w:ascii="宋体" w:hAnsi="宋体" w:cs="宋体"/>
          <w:bCs/>
          <w:color w:val="auto"/>
          <w:sz w:val="30"/>
          <w:szCs w:val="30"/>
          <w:u w:val="single"/>
          <w:lang w:val="en-US" w:eastAsia="zh-CN"/>
        </w:rPr>
        <w:t xml:space="preserve"> </w:t>
      </w:r>
      <w:r>
        <w:rPr>
          <w:rFonts w:hint="eastAsia" w:ascii="宋体" w:hAnsi="宋体" w:cs="宋体"/>
          <w:bCs/>
          <w:color w:val="auto"/>
          <w:sz w:val="30"/>
          <w:szCs w:val="30"/>
          <w:u w:val="single"/>
        </w:rPr>
        <w:t xml:space="preserve">   </w:t>
      </w:r>
    </w:p>
    <w:p w14:paraId="362375E8">
      <w:pPr>
        <w:autoSpaceDE w:val="0"/>
        <w:autoSpaceDN w:val="0"/>
        <w:spacing w:line="360" w:lineRule="auto"/>
        <w:ind w:firstLine="480" w:firstLineChars="200"/>
        <w:rPr>
          <w:rFonts w:hint="eastAsia" w:ascii="宋体" w:hAnsi="宋体" w:cs="宋体"/>
          <w:bCs/>
          <w:color w:val="auto"/>
          <w:sz w:val="24"/>
        </w:rPr>
      </w:pPr>
    </w:p>
    <w:p w14:paraId="28696FE7">
      <w:pPr>
        <w:pStyle w:val="12"/>
        <w:rPr>
          <w:rFonts w:hint="eastAsia" w:ascii="宋体" w:hAnsi="宋体" w:cs="宋体"/>
          <w:bCs/>
          <w:color w:val="auto"/>
          <w:sz w:val="24"/>
        </w:rPr>
      </w:pPr>
    </w:p>
    <w:p w14:paraId="243B1EE3">
      <w:pPr>
        <w:keepNext w:val="0"/>
        <w:keepLines w:val="0"/>
        <w:widowControl/>
        <w:suppressLineNumbers w:val="0"/>
        <w:jc w:val="left"/>
        <w:rPr>
          <w:rFonts w:hint="eastAsia" w:ascii="宋体" w:hAnsi="宋体" w:eastAsia="宋体" w:cs="宋体"/>
          <w:b/>
          <w:bCs/>
          <w:color w:val="auto"/>
          <w:kern w:val="0"/>
          <w:sz w:val="28"/>
          <w:szCs w:val="28"/>
          <w:lang w:val="en-US" w:eastAsia="zh-CN" w:bidi="ar"/>
        </w:rPr>
      </w:pPr>
    </w:p>
    <w:p w14:paraId="36B4E39D">
      <w:pPr>
        <w:keepNext w:val="0"/>
        <w:keepLines w:val="0"/>
        <w:widowControl/>
        <w:suppressLineNumbers w:val="0"/>
        <w:jc w:val="left"/>
        <w:rPr>
          <w:color w:val="auto"/>
        </w:rPr>
      </w:pPr>
      <w:r>
        <w:rPr>
          <w:rFonts w:hint="eastAsia" w:ascii="宋体" w:hAnsi="宋体" w:eastAsia="宋体" w:cs="宋体"/>
          <w:b/>
          <w:bCs/>
          <w:color w:val="auto"/>
          <w:kern w:val="0"/>
          <w:sz w:val="28"/>
          <w:szCs w:val="28"/>
          <w:lang w:val="en-US" w:eastAsia="zh-CN" w:bidi="ar"/>
        </w:rPr>
        <w:t xml:space="preserve">采 购 人（以下简称甲方）： </w:t>
      </w:r>
    </w:p>
    <w:p w14:paraId="7107BC1B">
      <w:pPr>
        <w:keepNext w:val="0"/>
        <w:keepLines w:val="0"/>
        <w:widowControl/>
        <w:suppressLineNumbers w:val="0"/>
        <w:jc w:val="left"/>
        <w:rPr>
          <w:color w:val="auto"/>
        </w:rPr>
      </w:pPr>
      <w:r>
        <w:rPr>
          <w:rFonts w:hint="eastAsia" w:ascii="宋体" w:hAnsi="宋体" w:eastAsia="宋体" w:cs="宋体"/>
          <w:b/>
          <w:bCs/>
          <w:color w:val="auto"/>
          <w:kern w:val="0"/>
          <w:sz w:val="28"/>
          <w:szCs w:val="28"/>
          <w:lang w:val="en-US" w:eastAsia="zh-CN" w:bidi="ar"/>
        </w:rPr>
        <w:t xml:space="preserve">供应商（以下简称乙方）： </w:t>
      </w:r>
    </w:p>
    <w:p w14:paraId="6642575F">
      <w:pPr>
        <w:keepNext w:val="0"/>
        <w:keepLines w:val="0"/>
        <w:widowControl/>
        <w:suppressLineNumbers w:val="0"/>
        <w:ind w:firstLine="480" w:firstLineChars="200"/>
        <w:jc w:val="left"/>
        <w:rPr>
          <w:color w:val="auto"/>
        </w:rPr>
      </w:pPr>
      <w:r>
        <w:rPr>
          <w:rFonts w:hint="eastAsia" w:ascii="宋体" w:hAnsi="宋体" w:eastAsia="宋体" w:cs="宋体"/>
          <w:color w:val="auto"/>
          <w:kern w:val="0"/>
          <w:sz w:val="24"/>
          <w:szCs w:val="24"/>
          <w:u w:val="single"/>
          <w:lang w:val="en-US" w:eastAsia="zh-CN" w:bidi="ar"/>
        </w:rPr>
        <w:t>甲、乙双方根据XXXX年XX月XX日（</w:t>
      </w:r>
      <w:r>
        <w:rPr>
          <w:rFonts w:hint="eastAsia" w:ascii="宋体" w:hAnsi="宋体" w:cs="宋体"/>
          <w:color w:val="auto"/>
          <w:kern w:val="0"/>
          <w:sz w:val="24"/>
          <w:szCs w:val="24"/>
          <w:u w:val="single"/>
          <w:lang w:val="en-US" w:eastAsia="zh-CN" w:bidi="ar"/>
        </w:rPr>
        <w:t>玉树州职业技术学校民族服装与服饰专业建设项目</w:t>
      </w:r>
      <w:r>
        <w:rPr>
          <w:rFonts w:hint="eastAsia" w:ascii="宋体" w:hAnsi="宋体" w:eastAsia="宋体" w:cs="宋体"/>
          <w:color w:val="auto"/>
          <w:kern w:val="0"/>
          <w:sz w:val="24"/>
          <w:szCs w:val="24"/>
          <w:u w:val="single"/>
          <w:lang w:val="en-US" w:eastAsia="zh-CN" w:bidi="ar"/>
        </w:rPr>
        <w:t>）采购项目（</w:t>
      </w:r>
      <w:r>
        <w:rPr>
          <w:rFonts w:hint="eastAsia" w:ascii="宋体" w:hAnsi="宋体" w:cs="宋体"/>
          <w:color w:val="auto"/>
          <w:kern w:val="0"/>
          <w:sz w:val="24"/>
          <w:szCs w:val="24"/>
          <w:u w:val="single"/>
          <w:lang w:val="en-US" w:eastAsia="zh-CN" w:bidi="ar"/>
        </w:rPr>
        <w:t>青海雅辉竞磋（货物）2024-006</w:t>
      </w:r>
      <w:r>
        <w:rPr>
          <w:rFonts w:hint="eastAsia" w:ascii="宋体" w:hAnsi="宋体" w:eastAsia="宋体" w:cs="宋体"/>
          <w:color w:val="auto"/>
          <w:kern w:val="0"/>
          <w:sz w:val="24"/>
          <w:szCs w:val="24"/>
          <w:u w:val="single"/>
          <w:lang w:val="en-US" w:eastAsia="zh-CN" w:bidi="ar"/>
        </w:rPr>
        <w:t>）</w:t>
      </w:r>
      <w:r>
        <w:rPr>
          <w:rFonts w:hint="eastAsia" w:ascii="宋体" w:hAnsi="宋体" w:eastAsia="宋体" w:cs="宋体"/>
          <w:color w:val="auto"/>
          <w:kern w:val="0"/>
          <w:sz w:val="24"/>
          <w:szCs w:val="24"/>
          <w:lang w:val="en-US" w:eastAsia="zh-CN" w:bidi="ar"/>
        </w:rPr>
        <w:t>的磋商文件要求和采购代理机构出具的《成交通知书》，并经双方协商一致，签订本合同协议书。</w:t>
      </w:r>
    </w:p>
    <w:p w14:paraId="3B1BC57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一、签订本政府采购合同的依据 </w:t>
      </w:r>
    </w:p>
    <w:p w14:paraId="0D7E6418">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本政府采购合同所附下列文件是构成本政府采购合同不可分割的部分： </w:t>
      </w:r>
    </w:p>
    <w:p w14:paraId="769A0920">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1.磋商文件； </w:t>
      </w:r>
    </w:p>
    <w:p w14:paraId="02D1C285">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2.磋商文件的更正、变更公告； </w:t>
      </w:r>
    </w:p>
    <w:p w14:paraId="1DCE241E">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3.成交人提交的磋商响应文件； </w:t>
      </w:r>
    </w:p>
    <w:p w14:paraId="2351D5C0">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4.磋商文件中规定的政府采购合同通用条款； </w:t>
      </w:r>
    </w:p>
    <w:p w14:paraId="699D41C6">
      <w:pPr>
        <w:keepNext w:val="0"/>
        <w:keepLines w:val="0"/>
        <w:widowControl/>
        <w:suppressLineNumbers w:val="0"/>
        <w:ind w:left="0" w:leftChars="0" w:firstLine="480" w:firstLineChars="200"/>
        <w:jc w:val="left"/>
        <w:rPr>
          <w:color w:val="auto"/>
        </w:rPr>
      </w:pPr>
      <w:r>
        <w:rPr>
          <w:rFonts w:hint="eastAsia" w:ascii="宋体" w:hAnsi="宋体" w:eastAsia="宋体" w:cs="宋体"/>
          <w:color w:val="auto"/>
          <w:kern w:val="0"/>
          <w:sz w:val="24"/>
          <w:szCs w:val="24"/>
          <w:lang w:val="en-US" w:eastAsia="zh-CN" w:bidi="ar"/>
        </w:rPr>
        <w:t xml:space="preserve">5.成交通知书。 </w:t>
      </w:r>
    </w:p>
    <w:p w14:paraId="250B1CCB">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 xml:space="preserve">二 、合同标的及金额 </w:t>
      </w:r>
      <w:r>
        <w:rPr>
          <w:rFonts w:hint="eastAsia" w:ascii="宋体" w:hAnsi="宋体" w:cs="宋体"/>
          <w:color w:val="auto"/>
          <w:kern w:val="0"/>
          <w:sz w:val="24"/>
          <w:szCs w:val="24"/>
          <w:lang w:val="en-US" w:eastAsia="zh-CN" w:bidi="ar"/>
        </w:rPr>
        <w:t xml:space="preserve">                                                </w:t>
      </w:r>
      <w:r>
        <w:rPr>
          <w:rFonts w:hint="eastAsia" w:ascii="宋体" w:hAnsi="宋体" w:cs="宋体"/>
          <w:color w:val="auto"/>
          <w:kern w:val="0"/>
          <w:lang w:val="zh-CN"/>
        </w:rPr>
        <w:t>单位：元</w:t>
      </w:r>
    </w:p>
    <w:tbl>
      <w:tblPr>
        <w:tblStyle w:val="40"/>
        <w:tblW w:w="9408" w:type="dxa"/>
        <w:jc w:val="center"/>
        <w:tblLayout w:type="fixed"/>
        <w:tblCellMar>
          <w:top w:w="0" w:type="dxa"/>
          <w:left w:w="108" w:type="dxa"/>
          <w:bottom w:w="0" w:type="dxa"/>
          <w:right w:w="108" w:type="dxa"/>
        </w:tblCellMar>
      </w:tblPr>
      <w:tblGrid>
        <w:gridCol w:w="731"/>
        <w:gridCol w:w="2271"/>
        <w:gridCol w:w="1549"/>
        <w:gridCol w:w="817"/>
        <w:gridCol w:w="1425"/>
        <w:gridCol w:w="1705"/>
        <w:gridCol w:w="910"/>
      </w:tblGrid>
      <w:tr w14:paraId="6BB9D655">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56F8873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包号</w:t>
            </w:r>
          </w:p>
        </w:tc>
        <w:tc>
          <w:tcPr>
            <w:tcW w:w="2271" w:type="dxa"/>
            <w:tcBorders>
              <w:top w:val="single" w:color="auto" w:sz="4" w:space="0"/>
              <w:left w:val="single" w:color="auto" w:sz="4" w:space="0"/>
              <w:bottom w:val="single" w:color="auto" w:sz="4" w:space="0"/>
              <w:right w:val="single" w:color="auto" w:sz="4" w:space="0"/>
            </w:tcBorders>
            <w:vAlign w:val="center"/>
          </w:tcPr>
          <w:p w14:paraId="7F42443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标的名称</w:t>
            </w:r>
          </w:p>
        </w:tc>
        <w:tc>
          <w:tcPr>
            <w:tcW w:w="1549" w:type="dxa"/>
            <w:tcBorders>
              <w:top w:val="single" w:color="auto" w:sz="4" w:space="0"/>
              <w:left w:val="single" w:color="auto" w:sz="4" w:space="0"/>
              <w:bottom w:val="single" w:color="auto" w:sz="4" w:space="0"/>
              <w:right w:val="single" w:color="auto" w:sz="4" w:space="0"/>
            </w:tcBorders>
            <w:vAlign w:val="center"/>
          </w:tcPr>
          <w:p w14:paraId="518F4DC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817" w:type="dxa"/>
            <w:tcBorders>
              <w:top w:val="single" w:color="auto" w:sz="4" w:space="0"/>
              <w:left w:val="single" w:color="auto" w:sz="4" w:space="0"/>
              <w:bottom w:val="single" w:color="auto" w:sz="4" w:space="0"/>
              <w:right w:val="single" w:color="auto" w:sz="4" w:space="0"/>
            </w:tcBorders>
            <w:vAlign w:val="center"/>
          </w:tcPr>
          <w:p w14:paraId="6CAB5DD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w:t>
            </w:r>
          </w:p>
        </w:tc>
        <w:tc>
          <w:tcPr>
            <w:tcW w:w="1425" w:type="dxa"/>
            <w:tcBorders>
              <w:top w:val="single" w:color="auto" w:sz="4" w:space="0"/>
              <w:left w:val="single" w:color="auto" w:sz="4" w:space="0"/>
              <w:bottom w:val="single" w:color="auto" w:sz="4" w:space="0"/>
              <w:right w:val="single" w:color="auto" w:sz="4" w:space="0"/>
            </w:tcBorders>
            <w:vAlign w:val="center"/>
          </w:tcPr>
          <w:p w14:paraId="2DAFAA8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1705" w:type="dxa"/>
            <w:tcBorders>
              <w:top w:val="single" w:color="auto" w:sz="4" w:space="0"/>
              <w:left w:val="single" w:color="auto" w:sz="4" w:space="0"/>
              <w:bottom w:val="single" w:color="auto" w:sz="4" w:space="0"/>
              <w:right w:val="single" w:color="auto" w:sz="4" w:space="0"/>
            </w:tcBorders>
            <w:vAlign w:val="center"/>
          </w:tcPr>
          <w:p w14:paraId="732617DF">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总价</w:t>
            </w:r>
          </w:p>
        </w:tc>
        <w:tc>
          <w:tcPr>
            <w:tcW w:w="910" w:type="dxa"/>
            <w:tcBorders>
              <w:top w:val="single" w:color="auto" w:sz="4" w:space="0"/>
              <w:left w:val="single" w:color="auto" w:sz="4" w:space="0"/>
              <w:bottom w:val="single" w:color="auto" w:sz="4" w:space="0"/>
              <w:right w:val="single" w:color="auto" w:sz="4" w:space="0"/>
            </w:tcBorders>
            <w:vAlign w:val="center"/>
          </w:tcPr>
          <w:p w14:paraId="65A7FD7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备注</w:t>
            </w:r>
          </w:p>
        </w:tc>
      </w:tr>
      <w:tr w14:paraId="3024EE18">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14:paraId="12C14FC3">
            <w:pPr>
              <w:autoSpaceDE w:val="0"/>
              <w:autoSpaceDN w:val="0"/>
              <w:spacing w:line="520" w:lineRule="exact"/>
              <w:jc w:val="center"/>
              <w:rPr>
                <w:rFonts w:ascii="宋体" w:hAnsi="宋体" w:cs="宋体"/>
                <w:color w:val="auto"/>
                <w:kern w:val="0"/>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14:paraId="3833AD25">
            <w:pPr>
              <w:autoSpaceDE w:val="0"/>
              <w:autoSpaceDN w:val="0"/>
              <w:spacing w:line="520" w:lineRule="exact"/>
              <w:jc w:val="center"/>
              <w:rPr>
                <w:rFonts w:ascii="宋体" w:hAnsi="宋体" w:cs="宋体"/>
                <w:color w:val="auto"/>
                <w:kern w:val="0"/>
                <w:lang w:val="zh-CN"/>
              </w:rPr>
            </w:pPr>
          </w:p>
        </w:tc>
        <w:tc>
          <w:tcPr>
            <w:tcW w:w="1549" w:type="dxa"/>
            <w:tcBorders>
              <w:top w:val="single" w:color="auto" w:sz="4" w:space="0"/>
              <w:left w:val="single" w:color="auto" w:sz="4" w:space="0"/>
              <w:bottom w:val="single" w:color="auto" w:sz="4" w:space="0"/>
              <w:right w:val="single" w:color="auto" w:sz="4" w:space="0"/>
            </w:tcBorders>
            <w:vAlign w:val="center"/>
          </w:tcPr>
          <w:p w14:paraId="5C641E47">
            <w:pPr>
              <w:autoSpaceDE w:val="0"/>
              <w:autoSpaceDN w:val="0"/>
              <w:spacing w:line="520" w:lineRule="exact"/>
              <w:jc w:val="center"/>
              <w:rPr>
                <w:rFonts w:ascii="宋体" w:hAnsi="宋体" w:cs="宋体"/>
                <w:color w:val="auto"/>
                <w:kern w:val="0"/>
                <w:lang w:val="zh-CN"/>
              </w:rPr>
            </w:pPr>
          </w:p>
        </w:tc>
        <w:tc>
          <w:tcPr>
            <w:tcW w:w="817" w:type="dxa"/>
            <w:tcBorders>
              <w:top w:val="single" w:color="auto" w:sz="4" w:space="0"/>
              <w:left w:val="single" w:color="auto" w:sz="4" w:space="0"/>
              <w:bottom w:val="single" w:color="auto" w:sz="4" w:space="0"/>
              <w:right w:val="single" w:color="auto" w:sz="4" w:space="0"/>
            </w:tcBorders>
            <w:vAlign w:val="center"/>
          </w:tcPr>
          <w:p w14:paraId="2554DC53">
            <w:pPr>
              <w:autoSpaceDE w:val="0"/>
              <w:autoSpaceDN w:val="0"/>
              <w:spacing w:line="520" w:lineRule="exact"/>
              <w:jc w:val="center"/>
              <w:rPr>
                <w:rFonts w:ascii="宋体" w:hAnsi="宋体" w:cs="宋体"/>
                <w:color w:val="auto"/>
                <w:kern w:val="0"/>
                <w:lang w:val="zh-CN"/>
              </w:rPr>
            </w:pPr>
          </w:p>
        </w:tc>
        <w:tc>
          <w:tcPr>
            <w:tcW w:w="1425" w:type="dxa"/>
            <w:tcBorders>
              <w:top w:val="single" w:color="auto" w:sz="4" w:space="0"/>
              <w:left w:val="single" w:color="auto" w:sz="4" w:space="0"/>
              <w:bottom w:val="single" w:color="auto" w:sz="4" w:space="0"/>
              <w:right w:val="single" w:color="auto" w:sz="4" w:space="0"/>
            </w:tcBorders>
            <w:vAlign w:val="center"/>
          </w:tcPr>
          <w:p w14:paraId="35CED8BD">
            <w:pPr>
              <w:autoSpaceDE w:val="0"/>
              <w:autoSpaceDN w:val="0"/>
              <w:spacing w:line="520" w:lineRule="exact"/>
              <w:jc w:val="center"/>
              <w:rPr>
                <w:rFonts w:ascii="宋体" w:hAnsi="宋体" w:cs="宋体"/>
                <w:color w:val="auto"/>
                <w:kern w:val="0"/>
                <w:lang w:val="zh-CN"/>
              </w:rPr>
            </w:pPr>
          </w:p>
        </w:tc>
        <w:tc>
          <w:tcPr>
            <w:tcW w:w="1705" w:type="dxa"/>
            <w:tcBorders>
              <w:top w:val="single" w:color="auto" w:sz="4" w:space="0"/>
              <w:left w:val="single" w:color="auto" w:sz="4" w:space="0"/>
              <w:bottom w:val="single" w:color="auto" w:sz="4" w:space="0"/>
              <w:right w:val="single" w:color="auto" w:sz="4" w:space="0"/>
            </w:tcBorders>
            <w:vAlign w:val="center"/>
          </w:tcPr>
          <w:p w14:paraId="6AF12262">
            <w:pPr>
              <w:autoSpaceDE w:val="0"/>
              <w:autoSpaceDN w:val="0"/>
              <w:spacing w:line="520" w:lineRule="exact"/>
              <w:jc w:val="center"/>
              <w:rPr>
                <w:rFonts w:ascii="宋体" w:hAnsi="宋体" w:cs="宋体"/>
                <w:color w:val="auto"/>
                <w:kern w:val="0"/>
                <w:lang w:val="zh-CN"/>
              </w:rPr>
            </w:pPr>
          </w:p>
        </w:tc>
        <w:tc>
          <w:tcPr>
            <w:tcW w:w="910" w:type="dxa"/>
            <w:tcBorders>
              <w:top w:val="single" w:color="auto" w:sz="4" w:space="0"/>
              <w:left w:val="single" w:color="auto" w:sz="4" w:space="0"/>
              <w:bottom w:val="single" w:color="auto" w:sz="4" w:space="0"/>
              <w:right w:val="single" w:color="auto" w:sz="4" w:space="0"/>
            </w:tcBorders>
            <w:vAlign w:val="center"/>
          </w:tcPr>
          <w:p w14:paraId="5405418F">
            <w:pPr>
              <w:autoSpaceDE w:val="0"/>
              <w:autoSpaceDN w:val="0"/>
              <w:spacing w:line="520" w:lineRule="exact"/>
              <w:jc w:val="center"/>
              <w:rPr>
                <w:rFonts w:ascii="宋体" w:hAnsi="宋体" w:cs="宋体"/>
                <w:color w:val="auto"/>
                <w:kern w:val="0"/>
                <w:lang w:val="zh-CN"/>
              </w:rPr>
            </w:pPr>
          </w:p>
        </w:tc>
      </w:tr>
      <w:tr w14:paraId="77A08693">
        <w:tblPrEx>
          <w:tblCellMar>
            <w:top w:w="0" w:type="dxa"/>
            <w:left w:w="108" w:type="dxa"/>
            <w:bottom w:w="0" w:type="dxa"/>
            <w:right w:w="108" w:type="dxa"/>
          </w:tblCellMar>
        </w:tblPrEx>
        <w:trPr>
          <w:cantSplit/>
          <w:trHeight w:val="23" w:hRule="atLeast"/>
          <w:jc w:val="center"/>
        </w:trPr>
        <w:tc>
          <w:tcPr>
            <w:tcW w:w="3002" w:type="dxa"/>
            <w:gridSpan w:val="2"/>
            <w:tcBorders>
              <w:top w:val="single" w:color="auto" w:sz="4" w:space="0"/>
              <w:left w:val="single" w:color="auto" w:sz="4" w:space="0"/>
              <w:bottom w:val="single" w:color="auto" w:sz="4" w:space="0"/>
              <w:right w:val="single" w:color="auto" w:sz="4" w:space="0"/>
            </w:tcBorders>
            <w:vAlign w:val="center"/>
          </w:tcPr>
          <w:p w14:paraId="2C1F691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6406" w:type="dxa"/>
            <w:gridSpan w:val="5"/>
            <w:tcBorders>
              <w:top w:val="single" w:color="auto" w:sz="4" w:space="0"/>
              <w:left w:val="single" w:color="auto" w:sz="4" w:space="0"/>
              <w:bottom w:val="single" w:color="auto" w:sz="4" w:space="0"/>
              <w:right w:val="single" w:color="auto" w:sz="4" w:space="0"/>
            </w:tcBorders>
            <w:vAlign w:val="center"/>
          </w:tcPr>
          <w:p w14:paraId="136F856F">
            <w:pPr>
              <w:widowControl/>
              <w:spacing w:line="360" w:lineRule="auto"/>
              <w:rPr>
                <w:rFonts w:ascii="宋体" w:hAnsi="宋体" w:cs="宋体"/>
                <w:color w:val="auto"/>
                <w:kern w:val="0"/>
              </w:rPr>
            </w:pPr>
            <w:r>
              <w:rPr>
                <w:rFonts w:hint="eastAsia" w:ascii="宋体" w:hAnsi="宋体" w:cs="宋体"/>
                <w:color w:val="auto"/>
                <w:kern w:val="0"/>
              </w:rPr>
              <w:t>大写：</w:t>
            </w:r>
          </w:p>
          <w:p w14:paraId="2950BB61">
            <w:pPr>
              <w:widowControl/>
              <w:spacing w:line="360" w:lineRule="auto"/>
              <w:rPr>
                <w:rFonts w:ascii="宋体" w:hAnsi="宋体" w:cs="宋体"/>
                <w:color w:val="auto"/>
                <w:kern w:val="0"/>
              </w:rPr>
            </w:pPr>
            <w:r>
              <w:rPr>
                <w:rFonts w:hint="eastAsia" w:ascii="宋体" w:hAnsi="宋体" w:cs="宋体"/>
                <w:color w:val="auto"/>
                <w:kern w:val="0"/>
              </w:rPr>
              <w:t>小写：</w:t>
            </w:r>
          </w:p>
        </w:tc>
      </w:tr>
    </w:tbl>
    <w:p w14:paraId="2D71C02C">
      <w:pPr>
        <w:pStyle w:val="12"/>
        <w:rPr>
          <w:color w:val="auto"/>
        </w:rPr>
      </w:pPr>
    </w:p>
    <w:p w14:paraId="7052254B">
      <w:pPr>
        <w:keepNext w:val="0"/>
        <w:keepLines w:val="0"/>
        <w:pageBreakBefore w:val="0"/>
        <w:widowControl/>
        <w:numPr>
          <w:ilvl w:val="0"/>
          <w:numId w:val="19"/>
        </w:numPr>
        <w:suppressLineNumbers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根据上述政府采购合同文件要求，本政府采购合同的总金额为人民币（大写）</w:t>
      </w:r>
      <w:r>
        <w:rPr>
          <w:rFonts w:hint="eastAsia" w:ascii="宋体" w:hAnsi="宋体" w:cs="宋体"/>
          <w:color w:val="auto"/>
          <w:kern w:val="0"/>
          <w:sz w:val="24"/>
          <w:szCs w:val="24"/>
          <w:u w:val="single"/>
          <w:lang w:val="en-US" w:eastAsia="zh-CN" w:bidi="ar"/>
        </w:rPr>
        <w:t xml:space="preserve">     </w:t>
      </w:r>
      <w:r>
        <w:rPr>
          <w:rFonts w:hint="eastAsia" w:ascii="宋体" w:hAnsi="宋体" w:eastAsia="宋体" w:cs="宋体"/>
          <w:color w:val="auto"/>
          <w:kern w:val="0"/>
          <w:sz w:val="24"/>
          <w:szCs w:val="24"/>
          <w:lang w:val="en-US" w:eastAsia="zh-CN" w:bidi="ar"/>
        </w:rPr>
        <w:t>元</w:t>
      </w:r>
      <w:r>
        <w:rPr>
          <w:rFonts w:hint="eastAsia" w:ascii="宋体" w:hAnsi="宋体" w:cs="宋体"/>
          <w:color w:val="auto"/>
          <w:kern w:val="0"/>
          <w:sz w:val="24"/>
          <w:szCs w:val="24"/>
          <w:lang w:val="en-US" w:eastAsia="zh-CN" w:bidi="ar"/>
        </w:rPr>
        <w:t>，（小写）</w:t>
      </w:r>
      <w:r>
        <w:rPr>
          <w:rFonts w:hint="eastAsia" w:ascii="宋体" w:hAnsi="宋体" w:cs="宋体"/>
          <w:color w:val="auto"/>
          <w:kern w:val="0"/>
          <w:sz w:val="24"/>
          <w:szCs w:val="24"/>
          <w:u w:val="single"/>
          <w:lang w:val="en-US" w:eastAsia="zh-CN" w:bidi="ar"/>
        </w:rPr>
        <w:t xml:space="preserve">      </w:t>
      </w:r>
      <w:r>
        <w:rPr>
          <w:rFonts w:hint="eastAsia" w:ascii="宋体" w:hAnsi="宋体" w:cs="宋体"/>
          <w:color w:val="auto"/>
          <w:kern w:val="0"/>
          <w:sz w:val="24"/>
          <w:szCs w:val="24"/>
          <w:u w:val="none"/>
          <w:lang w:val="en-US" w:eastAsia="zh-CN" w:bidi="ar"/>
        </w:rPr>
        <w:t>元。</w:t>
      </w:r>
    </w:p>
    <w:p w14:paraId="72E2132B">
      <w:pPr>
        <w:keepNext w:val="0"/>
        <w:keepLines w:val="0"/>
        <w:pageBreakBefore w:val="0"/>
        <w:widowControl/>
        <w:kinsoku/>
        <w:wordWrap/>
        <w:overflowPunct/>
        <w:topLinePunct w:val="0"/>
        <w:autoSpaceDE w:val="0"/>
        <w:autoSpaceDN w:val="0"/>
        <w:bidi w:val="0"/>
        <w:adjustRightInd w:val="0"/>
        <w:snapToGrid w:val="0"/>
        <w:spacing w:before="100" w:after="100" w:line="360" w:lineRule="auto"/>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本合同以人民币进行结算，合同总价包括：</w:t>
      </w:r>
      <w:r>
        <w:rPr>
          <w:rFonts w:hint="eastAsia" w:ascii="宋体" w:hAnsi="宋体" w:cs="宋体"/>
          <w:color w:val="auto"/>
          <w:kern w:val="0"/>
          <w:sz w:val="24"/>
          <w:szCs w:val="24"/>
          <w:lang w:val="en-US" w:eastAsia="zh-CN" w:bidi="ar"/>
        </w:rPr>
        <w:t>产品费、验收费、手续费、包装费、运输费、保险费、安装费、调试费、培训费、售前、售中、售后服务费</w:t>
      </w:r>
      <w:r>
        <w:rPr>
          <w:rFonts w:hint="eastAsia" w:hAnsi="宋体" w:cs="宋体"/>
          <w:color w:val="auto"/>
          <w:sz w:val="24"/>
          <w:szCs w:val="28"/>
          <w:lang w:eastAsia="zh-CN"/>
        </w:rPr>
        <w:t>、</w:t>
      </w:r>
      <w:r>
        <w:rPr>
          <w:rFonts w:hint="eastAsia" w:hAnsi="宋体" w:cs="宋体"/>
          <w:color w:val="auto"/>
          <w:sz w:val="24"/>
          <w:szCs w:val="28"/>
          <w:lang w:val="en-US" w:eastAsia="zh-CN"/>
        </w:rPr>
        <w:t>招标代理费、</w:t>
      </w:r>
      <w:r>
        <w:rPr>
          <w:rFonts w:hint="eastAsia" w:ascii="宋体" w:hAnsi="宋体" w:cs="宋体"/>
          <w:color w:val="auto"/>
          <w:kern w:val="0"/>
          <w:sz w:val="24"/>
          <w:szCs w:val="24"/>
          <w:lang w:val="en-US" w:eastAsia="zh-CN" w:bidi="ar"/>
        </w:rPr>
        <w:t>税金及不可预见费等全部费用</w:t>
      </w:r>
      <w:r>
        <w:rPr>
          <w:rFonts w:hint="eastAsia" w:ascii="宋体" w:hAnsi="宋体" w:eastAsia="宋体" w:cs="宋体"/>
          <w:color w:val="auto"/>
          <w:kern w:val="0"/>
          <w:sz w:val="24"/>
          <w:szCs w:val="24"/>
          <w:lang w:val="en-US" w:eastAsia="zh-CN" w:bidi="ar"/>
        </w:rPr>
        <w:t>。</w:t>
      </w:r>
    </w:p>
    <w:p w14:paraId="6D255CD7">
      <w:pPr>
        <w:keepNext w:val="0"/>
        <w:keepLines w:val="0"/>
        <w:pageBreakBefore w:val="0"/>
        <w:widowControl/>
        <w:kinsoku/>
        <w:wordWrap/>
        <w:overflowPunct/>
        <w:topLinePunct w:val="0"/>
        <w:autoSpaceDE w:val="0"/>
        <w:autoSpaceDN w:val="0"/>
        <w:bidi w:val="0"/>
        <w:adjustRightInd w:val="0"/>
        <w:snapToGrid w:val="0"/>
        <w:spacing w:before="100" w:after="100" w:line="360" w:lineRule="auto"/>
        <w:ind w:firstLine="480" w:firstLineChars="200"/>
        <w:jc w:val="both"/>
        <w:textAlignment w:val="auto"/>
        <w:rPr>
          <w:rFonts w:hint="eastAsia" w:cs="宋体" w:asciiTheme="minorEastAsia" w:hAnsiTheme="minorEastAsia" w:eastAsiaTheme="minorEastAsia"/>
          <w:b w:val="0"/>
          <w:bCs w:val="0"/>
          <w:color w:val="auto"/>
          <w:sz w:val="24"/>
          <w:szCs w:val="24"/>
          <w:lang w:val="zh-CN"/>
        </w:rPr>
      </w:pPr>
      <w:r>
        <w:rPr>
          <w:rFonts w:hint="eastAsia" w:ascii="宋体" w:hAnsi="宋体"/>
          <w:color w:val="auto"/>
          <w:sz w:val="24"/>
        </w:rPr>
        <w:t>三、</w:t>
      </w:r>
      <w:r>
        <w:rPr>
          <w:rFonts w:hint="eastAsia" w:cs="宋体" w:asciiTheme="minorEastAsia" w:hAnsiTheme="minorEastAsia" w:eastAsiaTheme="minorEastAsia"/>
          <w:b w:val="0"/>
          <w:bCs w:val="0"/>
          <w:color w:val="auto"/>
          <w:sz w:val="24"/>
          <w:szCs w:val="24"/>
        </w:rPr>
        <w:t>服务期限</w:t>
      </w:r>
      <w:r>
        <w:rPr>
          <w:rFonts w:hint="eastAsia" w:cs="宋体" w:asciiTheme="minorEastAsia" w:hAnsiTheme="minorEastAsia" w:eastAsiaTheme="minorEastAsia"/>
          <w:b w:val="0"/>
          <w:bCs w:val="0"/>
          <w:color w:val="auto"/>
          <w:sz w:val="24"/>
          <w:szCs w:val="24"/>
          <w:lang w:val="zh-CN"/>
        </w:rPr>
        <w:t>和地点</w:t>
      </w:r>
    </w:p>
    <w:p w14:paraId="2F65C42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1.交货时间：</w:t>
      </w:r>
      <w:r>
        <w:rPr>
          <w:rFonts w:hint="eastAsia" w:ascii="宋体" w:hAnsi="宋体" w:cs="宋体"/>
          <w:color w:val="auto"/>
          <w:sz w:val="24"/>
          <w:lang w:val="en-US" w:eastAsia="zh-CN"/>
        </w:rPr>
        <w:t>签订合同后一个月内。</w:t>
      </w:r>
      <w:r>
        <w:rPr>
          <w:rFonts w:hint="eastAsia"/>
          <w:color w:val="auto"/>
          <w:lang w:val="en-US" w:eastAsia="zh-CN"/>
        </w:rPr>
        <w:t xml:space="preserve"> </w:t>
      </w:r>
    </w:p>
    <w:p w14:paraId="79EB584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交货地点：</w:t>
      </w:r>
      <w:r>
        <w:rPr>
          <w:rFonts w:hint="eastAsia"/>
          <w:color w:val="auto"/>
          <w:highlight w:val="none"/>
          <w:lang w:val="en-US" w:eastAsia="zh-CN"/>
        </w:rPr>
        <w:t>甲方指定地点。</w:t>
      </w:r>
      <w:r>
        <w:rPr>
          <w:rFonts w:hint="eastAsia"/>
          <w:color w:val="auto"/>
          <w:lang w:val="en-US" w:eastAsia="zh-CN"/>
        </w:rPr>
        <w:t xml:space="preserve"> </w:t>
      </w:r>
    </w:p>
    <w:p w14:paraId="6F8CDE5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质保期：质保一年。</w:t>
      </w:r>
    </w:p>
    <w:p w14:paraId="5D8B636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2.乙方提供不符合招响应文件和本合同规定的产品，甲方有权拒绝接受。</w:t>
      </w:r>
    </w:p>
    <w:p w14:paraId="56D0859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3.乙方应将提供产品的装箱清单、用户手册、原厂保修卡、随机资料、工具和备品、备件等交付给甲方，如有缺失应及时补齐，否则视为逾期交货。</w:t>
      </w:r>
    </w:p>
    <w:p w14:paraId="51DB6217">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4.甲方应当在到货（安装、调试完）后    个工作日内进行验收，逾期不验收的，乙方可视为验收合格。验收合格后，由甲乙双方签署产品验收单并加盖采购人公章，甲乙双方各执一份。</w:t>
      </w:r>
    </w:p>
    <w:p w14:paraId="4B0B2C8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5.甲方在验收过程中发现乙方有违约问题，可按招、投标文件的规定要求乙方及时予以解决。</w:t>
      </w:r>
    </w:p>
    <w:p w14:paraId="1D37FF7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lang w:val="en-US" w:eastAsia="zh-CN"/>
        </w:rPr>
      </w:pPr>
      <w:r>
        <w:rPr>
          <w:rFonts w:hint="eastAsia"/>
          <w:color w:val="auto"/>
          <w:lang w:val="en-US" w:eastAsia="zh-CN"/>
        </w:rPr>
        <w:t>6.乙方向甲方提供产品相关完税销售发票。</w:t>
      </w:r>
    </w:p>
    <w:p w14:paraId="7DAD8A1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color w:val="auto"/>
          <w:lang w:val="en-US" w:eastAsia="zh-CN"/>
        </w:rPr>
      </w:pPr>
      <w:r>
        <w:rPr>
          <w:rFonts w:hint="eastAsia"/>
          <w:color w:val="auto"/>
          <w:lang w:val="en-US" w:eastAsia="zh-CN"/>
        </w:rPr>
        <w:t>7.在本合同履行期间及履行完毕后的任何时候，供应商应对因履行本合同获取或知悉的保密信息承担保密责任，未经对方书面同意不得向第三方透露，否则应赔偿由此给对方造成的全部损失。</w:t>
      </w:r>
    </w:p>
    <w:p w14:paraId="77B7A2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olor w:val="auto"/>
          <w:lang w:val="en-US" w:eastAsia="zh-CN"/>
        </w:rPr>
      </w:pPr>
      <w:r>
        <w:rPr>
          <w:rFonts w:hint="eastAsia"/>
          <w:color w:val="auto"/>
        </w:rPr>
        <w:t>四、付款方式</w:t>
      </w:r>
      <w:r>
        <w:rPr>
          <w:rFonts w:hint="eastAsia"/>
          <w:color w:val="auto"/>
          <w:lang w:eastAsia="zh-CN"/>
        </w:rPr>
        <w:t>（</w:t>
      </w:r>
      <w:r>
        <w:rPr>
          <w:rFonts w:hint="eastAsia"/>
          <w:color w:val="auto"/>
          <w:lang w:val="en-US" w:eastAsia="zh-CN"/>
        </w:rPr>
        <w:t>参考）</w:t>
      </w:r>
    </w:p>
    <w:p w14:paraId="6AF4B9CE">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color w:val="auto"/>
          <w:lang w:val="en-US" w:eastAsia="zh-CN"/>
        </w:rPr>
      </w:pPr>
      <w:r>
        <w:rPr>
          <w:rFonts w:hint="eastAsia"/>
          <w:color w:val="auto"/>
          <w:lang w:val="zh-CN"/>
        </w:rPr>
        <w:t xml:space="preserve"> </w:t>
      </w:r>
      <w:r>
        <w:rPr>
          <w:rFonts w:hint="eastAsia"/>
          <w:color w:val="auto"/>
          <w:lang w:val="en-US" w:eastAsia="zh-CN"/>
        </w:rPr>
        <w:t>双方签订合同后，甲方向乙方预付合同金额的37%，即人民币（大写）：       元¥：（小写），乙方交付所有产品，经甲方核对无误后且整个项目实施完成后由甲方验收，验收合格后并开具发票,按合同金额向乙方支付合同总价款的60%，即人民币（大写）：元¥：（小写） 元，预留合同价款的3%为履约保证金，大写：   小写：     。待质保期满后，甲方无息退还合同款的3%，即人民币（大写）：       元¥：（小写）；（质保期的有效期为一年，自本合同标的产品经甲方验收合格之日起算）。</w:t>
      </w:r>
    </w:p>
    <w:p w14:paraId="5235641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五、合同的变更、终止与转让</w:t>
      </w:r>
    </w:p>
    <w:p w14:paraId="4702A4C7">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除《中华人民共和国政府采购法》第</w:t>
      </w:r>
      <w:r>
        <w:rPr>
          <w:rFonts w:hint="eastAsia"/>
          <w:color w:val="auto"/>
        </w:rPr>
        <w:t>50</w:t>
      </w:r>
      <w:r>
        <w:rPr>
          <w:rFonts w:hint="eastAsia"/>
          <w:color w:val="auto"/>
          <w:lang w:val="zh-CN"/>
        </w:rPr>
        <w:t>条规定的情形外，本合同一经签订，甲乙双方不得擅自变更、中止或终止。</w:t>
      </w:r>
    </w:p>
    <w:p w14:paraId="1E2D7BB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乙方不得擅自转让其应履行的合同义务。</w:t>
      </w:r>
    </w:p>
    <w:p w14:paraId="54C1035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六、违约责任</w:t>
      </w:r>
    </w:p>
    <w:p w14:paraId="38D0B1C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乙方所提供的服务产品，技术质量等不合格的，应及时更换；更换不及时的，按逾期交货处罚；因质量问题甲方不同意接收的，由乙方赔偿由此引起的甲方的一切经济损失。</w:t>
      </w:r>
    </w:p>
    <w:p w14:paraId="62208A5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乙方提供的服务成果如侵犯了第三方权益而引发纠纷或诉讼的，均由乙方负责交涉并承担全部责任。</w:t>
      </w:r>
    </w:p>
    <w:p w14:paraId="3F58BC60">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3.</w:t>
      </w:r>
      <w:r>
        <w:rPr>
          <w:rFonts w:hint="eastAsia"/>
          <w:color w:val="auto"/>
          <w:lang w:val="zh-CN"/>
        </w:rPr>
        <w:t>甲方无故延期接受和乙方逾期交付的，每天应向对方偿付未交服务成果产品价款的</w:t>
      </w:r>
      <w:r>
        <w:rPr>
          <w:rFonts w:hint="eastAsia"/>
          <w:color w:val="auto"/>
        </w:rPr>
        <w:t>3</w:t>
      </w:r>
      <w:r>
        <w:rPr>
          <w:rFonts w:hint="eastAsia"/>
          <w:color w:val="auto"/>
          <w:lang w:val="zh-CN"/>
        </w:rPr>
        <w:t>‰的违约金，但违约金累计不得超过违约货款的</w:t>
      </w:r>
      <w:r>
        <w:rPr>
          <w:rFonts w:hint="eastAsia"/>
          <w:color w:val="auto"/>
        </w:rPr>
        <w:t>5%</w:t>
      </w:r>
      <w:r>
        <w:rPr>
          <w:rFonts w:hint="eastAsia"/>
          <w:color w:val="auto"/>
          <w:lang w:val="zh-CN"/>
        </w:rPr>
        <w:t>，超过</w:t>
      </w:r>
      <w:r>
        <w:rPr>
          <w:rFonts w:hint="eastAsia"/>
          <w:color w:val="auto"/>
        </w:rPr>
        <w:t xml:space="preserve"> 30 </w:t>
      </w:r>
      <w:r>
        <w:rPr>
          <w:rFonts w:hint="eastAsia"/>
          <w:color w:val="auto"/>
          <w:lang w:val="zh-CN"/>
        </w:rPr>
        <w:t>天对方有权解除合同，违约方承担因此给对方造成的经济损失。</w:t>
      </w:r>
    </w:p>
    <w:p w14:paraId="34509476">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4.</w:t>
      </w:r>
      <w:r>
        <w:rPr>
          <w:rFonts w:hint="eastAsia"/>
          <w:color w:val="auto"/>
          <w:lang w:val="zh-CN"/>
        </w:rPr>
        <w:t>乙方未按本合同和投标文件中规定的服务承诺提供售后服务的，乙方应按本合同合计金额的</w:t>
      </w:r>
      <w:r>
        <w:rPr>
          <w:rFonts w:hint="eastAsia"/>
          <w:color w:val="auto"/>
        </w:rPr>
        <w:t>5%</w:t>
      </w:r>
      <w:r>
        <w:rPr>
          <w:rFonts w:hint="eastAsia"/>
          <w:color w:val="auto"/>
          <w:lang w:val="zh-CN"/>
        </w:rPr>
        <w:t>向甲方支付违约金。</w:t>
      </w:r>
    </w:p>
    <w:p w14:paraId="5F1A98F7">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5.</w:t>
      </w:r>
      <w:r>
        <w:rPr>
          <w:rFonts w:hint="eastAsia"/>
          <w:color w:val="auto"/>
          <w:lang w:val="zh-CN"/>
        </w:rPr>
        <w:t>乙方提供的货物在质量保证期内，因设计、工艺或材料的缺陷和其它质量原因造成的问题，由乙方负责，费用从履约保证金中扣除，不足另补。</w:t>
      </w:r>
    </w:p>
    <w:p w14:paraId="1CA5BC8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6.</w:t>
      </w:r>
      <w:r>
        <w:rPr>
          <w:rFonts w:hint="eastAsia"/>
          <w:color w:val="auto"/>
          <w:lang w:val="zh-CN"/>
        </w:rPr>
        <w:t>其它违约行为按违约货款额</w:t>
      </w:r>
      <w:r>
        <w:rPr>
          <w:rFonts w:hint="eastAsia"/>
          <w:color w:val="auto"/>
        </w:rPr>
        <w:t>5%</w:t>
      </w:r>
      <w:r>
        <w:rPr>
          <w:rFonts w:hint="eastAsia"/>
          <w:color w:val="auto"/>
          <w:lang w:val="zh-CN"/>
        </w:rPr>
        <w:t>收取违约金并赔偿经济损失。</w:t>
      </w:r>
    </w:p>
    <w:p w14:paraId="200CF76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七、不可抗力</w:t>
      </w:r>
    </w:p>
    <w:p w14:paraId="703662EB">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不可抗力使合同的某些内容有变更必要的，双方应通过协商在</w:t>
      </w:r>
      <w:r>
        <w:rPr>
          <w:rFonts w:hint="eastAsia"/>
          <w:color w:val="auto"/>
        </w:rPr>
        <w:t xml:space="preserve"> 30 </w:t>
      </w:r>
      <w:r>
        <w:rPr>
          <w:rFonts w:hint="eastAsia"/>
          <w:color w:val="auto"/>
          <w:lang w:val="zh-CN"/>
        </w:rPr>
        <w:t>天内达成进一步履行合同的协议，因不可抗力致使合同不能履行的，合同终止。</w:t>
      </w:r>
    </w:p>
    <w:p w14:paraId="400D297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八、知识产权：乙方承诺所供产品在中国境内不受任何第三方对甲方的知识产权追索。</w:t>
      </w:r>
    </w:p>
    <w:p w14:paraId="5D5D23AF">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九、项目参与人名单</w:t>
      </w:r>
    </w:p>
    <w:tbl>
      <w:tblPr>
        <w:tblStyle w:val="40"/>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656"/>
        <w:gridCol w:w="1023"/>
        <w:gridCol w:w="1559"/>
        <w:gridCol w:w="1701"/>
        <w:gridCol w:w="1504"/>
      </w:tblGrid>
      <w:tr w14:paraId="25E7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867" w:type="dxa"/>
            <w:vAlign w:val="center"/>
          </w:tcPr>
          <w:p w14:paraId="007B13B0">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olor w:val="auto"/>
              </w:rPr>
              <w:t>序号</w:t>
            </w:r>
          </w:p>
        </w:tc>
        <w:tc>
          <w:tcPr>
            <w:tcW w:w="1656" w:type="dxa"/>
            <w:vAlign w:val="center"/>
          </w:tcPr>
          <w:p w14:paraId="78EAA68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姓名</w:t>
            </w:r>
          </w:p>
        </w:tc>
        <w:tc>
          <w:tcPr>
            <w:tcW w:w="1023" w:type="dxa"/>
            <w:vAlign w:val="center"/>
          </w:tcPr>
          <w:p w14:paraId="002EEBE5">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color w:val="auto"/>
              </w:rPr>
              <w:t>性别</w:t>
            </w:r>
          </w:p>
        </w:tc>
        <w:tc>
          <w:tcPr>
            <w:tcW w:w="1559" w:type="dxa"/>
            <w:vAlign w:val="center"/>
          </w:tcPr>
          <w:p w14:paraId="650F8D70">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职称</w:t>
            </w:r>
          </w:p>
        </w:tc>
        <w:tc>
          <w:tcPr>
            <w:tcW w:w="1701" w:type="dxa"/>
            <w:vAlign w:val="center"/>
          </w:tcPr>
          <w:p w14:paraId="103A425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专业</w:t>
            </w:r>
          </w:p>
        </w:tc>
        <w:tc>
          <w:tcPr>
            <w:tcW w:w="1504" w:type="dxa"/>
            <w:vAlign w:val="center"/>
          </w:tcPr>
          <w:p w14:paraId="7C155C9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备注</w:t>
            </w:r>
          </w:p>
        </w:tc>
      </w:tr>
      <w:tr w14:paraId="1586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7" w:type="dxa"/>
            <w:vAlign w:val="center"/>
          </w:tcPr>
          <w:p w14:paraId="3F00800F">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p>
        </w:tc>
        <w:tc>
          <w:tcPr>
            <w:tcW w:w="1656" w:type="dxa"/>
            <w:vAlign w:val="center"/>
          </w:tcPr>
          <w:p w14:paraId="2905CC1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023" w:type="dxa"/>
            <w:vAlign w:val="center"/>
          </w:tcPr>
          <w:p w14:paraId="51DBCC2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559" w:type="dxa"/>
            <w:vAlign w:val="center"/>
          </w:tcPr>
          <w:p w14:paraId="3F9B073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701" w:type="dxa"/>
            <w:vAlign w:val="center"/>
          </w:tcPr>
          <w:p w14:paraId="3713986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c>
          <w:tcPr>
            <w:tcW w:w="1504" w:type="dxa"/>
            <w:vAlign w:val="center"/>
          </w:tcPr>
          <w:p w14:paraId="0506A591">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tc>
      </w:tr>
    </w:tbl>
    <w:p w14:paraId="4515C1D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十、合同争议解决</w:t>
      </w:r>
    </w:p>
    <w:p w14:paraId="6470C1B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1.</w:t>
      </w:r>
      <w:r>
        <w:rPr>
          <w:rFonts w:hint="eastAsia"/>
          <w:color w:val="auto"/>
          <w:lang w:val="zh-CN"/>
        </w:rPr>
        <w:t>因服务质量问题发生争议的，应邀请国家认可的第三方检测机构进行鉴定。符合标准的，鉴定费由甲方承担；不符合标准的，鉴定费由乙方承担。</w:t>
      </w:r>
    </w:p>
    <w:p w14:paraId="71F7C04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2.</w:t>
      </w:r>
      <w:r>
        <w:rPr>
          <w:rFonts w:hint="eastAsia"/>
          <w:color w:val="auto"/>
          <w:lang w:val="zh-CN"/>
        </w:rPr>
        <w:t>因履行本合同引起的或与本合同有关的争议，甲乙双方应首先通过友好协商解决，如果协商不能解决，可向甲方所在地仲裁委员会申请仲裁或向甲方所在地人民法院提起诉讼。</w:t>
      </w:r>
    </w:p>
    <w:p w14:paraId="27387FD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3.</w:t>
      </w:r>
      <w:r>
        <w:rPr>
          <w:rFonts w:hint="eastAsia"/>
          <w:color w:val="auto"/>
          <w:lang w:val="zh-CN"/>
        </w:rPr>
        <w:t>诉讼期间，本合同继续履行。</w:t>
      </w:r>
    </w:p>
    <w:p w14:paraId="1543450A">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十一、合同生效及其它</w:t>
      </w:r>
      <w:r>
        <w:rPr>
          <w:rFonts w:hint="eastAsia"/>
          <w:color w:val="auto"/>
        </w:rPr>
        <w:t>：</w:t>
      </w:r>
    </w:p>
    <w:p w14:paraId="1B3ACF8F">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color w:val="auto"/>
          <w:sz w:val="24"/>
          <w:highlight w:val="none"/>
          <w:lang w:val="zh-CN"/>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本合同经甲、乙方双方单位盖章后生效。</w:t>
      </w:r>
      <w:r>
        <w:rPr>
          <w:rFonts w:hint="eastAsia" w:cs="宋体" w:asciiTheme="minorEastAsia" w:hAnsiTheme="minorEastAsia" w:eastAsiaTheme="minorEastAsia"/>
          <w:color w:val="auto"/>
          <w:sz w:val="24"/>
          <w:szCs w:val="24"/>
          <w:lang w:val="zh-CN"/>
        </w:rPr>
        <w:t>经双方法定代表人或委托代理人签字并加盖公章即为生效，委托代理人签署的，应提供授权委托书。</w:t>
      </w:r>
    </w:p>
    <w:p w14:paraId="16C85D3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en-US" w:eastAsia="zh-CN"/>
        </w:rPr>
        <w:t>2、</w:t>
      </w:r>
      <w:r>
        <w:rPr>
          <w:rFonts w:hint="eastAsia" w:cs="宋体" w:asciiTheme="minorEastAsia" w:hAnsiTheme="minorEastAsia" w:eastAsiaTheme="minorEastAsia"/>
          <w:color w:val="auto"/>
          <w:sz w:val="24"/>
          <w:szCs w:val="24"/>
          <w:lang w:val="zh-CN"/>
        </w:rPr>
        <w:t>本合同一式六份，甲、乙双方各执两份，</w:t>
      </w:r>
      <w:r>
        <w:rPr>
          <w:rFonts w:hint="eastAsia" w:ascii="宋体" w:hAnsi="宋体" w:cs="宋体"/>
          <w:color w:val="auto"/>
          <w:sz w:val="24"/>
          <w:highlight w:val="none"/>
          <w:lang w:val="zh-CN" w:eastAsia="zh-CN"/>
        </w:rPr>
        <w:t>采购代理机构两份。</w:t>
      </w:r>
    </w:p>
    <w:p w14:paraId="43F66FD5">
      <w:pPr>
        <w:keepNext w:val="0"/>
        <w:keepLines w:val="0"/>
        <w:pageBreakBefore w:val="0"/>
        <w:widowControl/>
        <w:numPr>
          <w:ilvl w:val="0"/>
          <w:numId w:val="0"/>
        </w:numPr>
        <w:kinsoku/>
        <w:wordWrap/>
        <w:overflowPunct/>
        <w:topLinePunct w:val="0"/>
        <w:autoSpaceDE w:val="0"/>
        <w:autoSpaceDN w:val="0"/>
        <w:bidi w:val="0"/>
        <w:adjustRightInd w:val="0"/>
        <w:snapToGrid w:val="0"/>
        <w:spacing w:after="0" w:line="360" w:lineRule="auto"/>
        <w:ind w:firstLine="480" w:firstLineChars="200"/>
        <w:jc w:val="both"/>
        <w:textAlignment w:val="auto"/>
        <w:rPr>
          <w:rFonts w:hint="eastAsia" w:cs="宋体" w:asciiTheme="minorEastAsia" w:hAnsiTheme="minorEastAsia" w:eastAsiaTheme="minorEastAsia"/>
          <w:color w:val="auto"/>
          <w:sz w:val="24"/>
          <w:szCs w:val="24"/>
          <w:lang w:val="zh-CN"/>
        </w:rPr>
      </w:pP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lang w:val="zh-CN"/>
        </w:rPr>
        <w:t>、本合同未尽事宜，按《中华人民共和国民法典》有关规定处理。</w:t>
      </w:r>
    </w:p>
    <w:p w14:paraId="59AB61D3">
      <w:pPr>
        <w:pStyle w:val="22"/>
        <w:keepNext w:val="0"/>
        <w:keepLines w:val="0"/>
        <w:pageBreakBefore w:val="0"/>
        <w:numPr>
          <w:ilvl w:val="0"/>
          <w:numId w:val="0"/>
        </w:numPr>
        <w:kinsoku/>
        <w:wordWrap/>
        <w:overflowPunct/>
        <w:topLinePunct w:val="0"/>
        <w:bidi w:val="0"/>
        <w:adjustRightInd w:val="0"/>
        <w:snapToGrid w:val="0"/>
        <w:ind w:firstLine="480" w:firstLineChars="200"/>
        <w:textAlignment w:val="auto"/>
        <w:rPr>
          <w:rFonts w:hint="eastAsia"/>
          <w:color w:val="auto"/>
          <w:lang w:val="zh-CN"/>
        </w:rPr>
      </w:pPr>
      <w:r>
        <w:rPr>
          <w:rFonts w:hint="eastAsia" w:cs="宋体" w:asciiTheme="minorEastAsia" w:hAnsiTheme="minorEastAsia" w:eastAsiaTheme="minorEastAsia"/>
          <w:b w:val="0"/>
          <w:bCs/>
          <w:color w:val="auto"/>
          <w:sz w:val="24"/>
          <w:szCs w:val="24"/>
          <w:lang w:val="en-US" w:eastAsia="zh-CN"/>
        </w:rPr>
        <w:t>4、本合同未尽事宜，由双方协商解决</w:t>
      </w:r>
    </w:p>
    <w:p w14:paraId="0D4A37DA">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甲方（盖章）：</w:t>
      </w:r>
      <w:r>
        <w:rPr>
          <w:rFonts w:hint="eastAsia"/>
          <w:color w:val="auto"/>
        </w:rPr>
        <w:t xml:space="preserve">                         </w:t>
      </w:r>
      <w:r>
        <w:rPr>
          <w:rFonts w:hint="eastAsia"/>
          <w:color w:val="auto"/>
          <w:lang w:val="zh-CN"/>
        </w:rPr>
        <w:t>乙方（盖章）：</w:t>
      </w:r>
    </w:p>
    <w:p w14:paraId="5CF4995D">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法定代表人或委托代理人</w:t>
      </w:r>
      <w:r>
        <w:rPr>
          <w:rFonts w:hint="eastAsia"/>
          <w:color w:val="auto"/>
        </w:rPr>
        <w:t xml:space="preserve">：               </w:t>
      </w:r>
      <w:r>
        <w:rPr>
          <w:rFonts w:hint="eastAsia"/>
          <w:color w:val="auto"/>
          <w:lang w:val="zh-CN"/>
        </w:rPr>
        <w:t>法定代表人或委托代理人</w:t>
      </w:r>
    </w:p>
    <w:p w14:paraId="0B116BB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rPr>
        <w:tab/>
      </w:r>
      <w:r>
        <w:rPr>
          <w:rFonts w:hint="eastAsia"/>
          <w:color w:val="auto"/>
          <w:lang w:val="zh-CN"/>
        </w:rPr>
        <w:t>开户银行：</w:t>
      </w:r>
    </w:p>
    <w:p w14:paraId="53144649">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rPr>
        <w:t xml:space="preserve">                                       </w:t>
      </w:r>
      <w:r>
        <w:rPr>
          <w:rFonts w:hint="eastAsia"/>
          <w:color w:val="auto"/>
          <w:lang w:val="zh-CN"/>
        </w:rPr>
        <w:t>账号：</w:t>
      </w:r>
    </w:p>
    <w:p w14:paraId="1EF1A5A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r>
        <w:rPr>
          <w:rFonts w:hint="eastAsia"/>
          <w:color w:val="auto"/>
          <w:lang w:val="zh-CN"/>
        </w:rPr>
        <w:t>地址：</w:t>
      </w:r>
      <w:r>
        <w:rPr>
          <w:rFonts w:hint="eastAsia"/>
          <w:color w:val="auto"/>
        </w:rPr>
        <w:t xml:space="preserve">                                 </w:t>
      </w:r>
      <w:r>
        <w:rPr>
          <w:rFonts w:hint="eastAsia"/>
          <w:color w:val="auto"/>
          <w:lang w:val="zh-CN"/>
        </w:rPr>
        <w:t>地址：</w:t>
      </w:r>
    </w:p>
    <w:p w14:paraId="3F44F135">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联系电话：</w:t>
      </w:r>
      <w:r>
        <w:rPr>
          <w:rFonts w:hint="eastAsia"/>
          <w:color w:val="auto"/>
        </w:rPr>
        <w:t xml:space="preserve">                             </w:t>
      </w:r>
      <w:r>
        <w:rPr>
          <w:rFonts w:hint="eastAsia"/>
          <w:color w:val="auto"/>
          <w:lang w:val="zh-CN"/>
        </w:rPr>
        <w:t>联系电话：</w:t>
      </w:r>
    </w:p>
    <w:p w14:paraId="6C17DC6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 xml:space="preserve">                           签约时间：</w:t>
      </w:r>
      <w:r>
        <w:rPr>
          <w:rFonts w:hint="eastAsia"/>
          <w:color w:val="auto"/>
        </w:rPr>
        <w:t xml:space="preserve">    </w:t>
      </w:r>
      <w:r>
        <w:rPr>
          <w:rFonts w:hint="eastAsia"/>
          <w:color w:val="auto"/>
          <w:lang w:val="zh-CN"/>
        </w:rPr>
        <w:t>年</w:t>
      </w:r>
      <w:r>
        <w:rPr>
          <w:rFonts w:hint="eastAsia"/>
          <w:color w:val="auto"/>
        </w:rPr>
        <w:t xml:space="preserve">    </w:t>
      </w:r>
      <w:r>
        <w:rPr>
          <w:rFonts w:hint="eastAsia"/>
          <w:color w:val="auto"/>
          <w:lang w:val="zh-CN"/>
        </w:rPr>
        <w:t>月</w:t>
      </w:r>
      <w:r>
        <w:rPr>
          <w:rFonts w:hint="eastAsia"/>
          <w:color w:val="auto"/>
        </w:rPr>
        <w:t xml:space="preserve">    </w:t>
      </w:r>
      <w:r>
        <w:rPr>
          <w:rFonts w:hint="eastAsia"/>
          <w:color w:val="auto"/>
          <w:lang w:val="zh-CN"/>
        </w:rPr>
        <w:t>日</w:t>
      </w:r>
    </w:p>
    <w:p w14:paraId="6380FD62">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lang w:val="zh-CN"/>
        </w:rPr>
      </w:pPr>
    </w:p>
    <w:p w14:paraId="16939D08">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采购代理机构：</w:t>
      </w:r>
    </w:p>
    <w:p w14:paraId="6B33047C">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负责人或经办人：</w:t>
      </w:r>
    </w:p>
    <w:p w14:paraId="6CA92023">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r>
        <w:rPr>
          <w:rFonts w:hint="eastAsia"/>
          <w:color w:val="auto"/>
          <w:lang w:val="zh-CN"/>
        </w:rPr>
        <w:t xml:space="preserve">                           时间：</w:t>
      </w:r>
      <w:r>
        <w:rPr>
          <w:rFonts w:hint="eastAsia"/>
          <w:color w:val="auto"/>
        </w:rPr>
        <w:t xml:space="preserve">    </w:t>
      </w:r>
      <w:r>
        <w:rPr>
          <w:rFonts w:hint="eastAsia"/>
          <w:color w:val="auto"/>
          <w:lang w:val="zh-CN"/>
        </w:rPr>
        <w:t>年</w:t>
      </w:r>
      <w:r>
        <w:rPr>
          <w:rFonts w:hint="eastAsia"/>
          <w:color w:val="auto"/>
        </w:rPr>
        <w:t xml:space="preserve">    </w:t>
      </w:r>
      <w:r>
        <w:rPr>
          <w:rFonts w:hint="eastAsia"/>
          <w:color w:val="auto"/>
          <w:lang w:val="zh-CN"/>
        </w:rPr>
        <w:t>月</w:t>
      </w:r>
      <w:r>
        <w:rPr>
          <w:rFonts w:hint="eastAsia"/>
          <w:color w:val="auto"/>
        </w:rPr>
        <w:t xml:space="preserve">    </w:t>
      </w:r>
      <w:r>
        <w:rPr>
          <w:rFonts w:hint="eastAsia"/>
          <w:color w:val="auto"/>
          <w:lang w:val="zh-CN"/>
        </w:rPr>
        <w:t>日</w:t>
      </w:r>
    </w:p>
    <w:p w14:paraId="1DE2EB44">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auto"/>
        </w:rPr>
      </w:pPr>
    </w:p>
    <w:p w14:paraId="7347E254">
      <w:pPr>
        <w:widowControl/>
        <w:spacing w:line="520" w:lineRule="exact"/>
        <w:jc w:val="center"/>
        <w:rPr>
          <w:rFonts w:hint="eastAsia" w:ascii="宋体" w:hAnsi="宋体" w:cs="宋体"/>
          <w:b/>
          <w:bCs/>
          <w:color w:val="auto"/>
          <w:kern w:val="0"/>
          <w:sz w:val="28"/>
          <w:szCs w:val="28"/>
          <w:lang w:val="zh-CN"/>
        </w:rPr>
      </w:pPr>
      <w:bookmarkStart w:id="59" w:name="_Toc16275"/>
    </w:p>
    <w:p w14:paraId="52B780E7">
      <w:pPr>
        <w:widowControl/>
        <w:spacing w:line="520" w:lineRule="exact"/>
        <w:jc w:val="center"/>
        <w:rPr>
          <w:rFonts w:hint="eastAsia" w:ascii="宋体" w:hAnsi="宋体" w:cs="宋体"/>
          <w:b/>
          <w:bCs/>
          <w:color w:val="auto"/>
          <w:kern w:val="0"/>
          <w:sz w:val="28"/>
          <w:szCs w:val="28"/>
          <w:lang w:val="zh-CN"/>
        </w:rPr>
      </w:pPr>
    </w:p>
    <w:p w14:paraId="7A9AEBA5">
      <w:pPr>
        <w:widowControl/>
        <w:spacing w:line="520" w:lineRule="exact"/>
        <w:jc w:val="center"/>
        <w:rPr>
          <w:rFonts w:hint="eastAsia" w:ascii="宋体" w:hAnsi="宋体" w:cs="宋体"/>
          <w:b/>
          <w:bCs/>
          <w:color w:val="auto"/>
          <w:kern w:val="0"/>
          <w:sz w:val="28"/>
          <w:szCs w:val="28"/>
          <w:lang w:val="zh-CN"/>
        </w:rPr>
      </w:pPr>
    </w:p>
    <w:p w14:paraId="117CF5CC">
      <w:pPr>
        <w:widowControl/>
        <w:spacing w:line="520" w:lineRule="exact"/>
        <w:jc w:val="center"/>
        <w:rPr>
          <w:rFonts w:hint="eastAsia" w:ascii="宋体" w:hAnsi="宋体" w:cs="宋体"/>
          <w:b/>
          <w:bCs/>
          <w:color w:val="auto"/>
          <w:kern w:val="0"/>
          <w:sz w:val="28"/>
          <w:szCs w:val="28"/>
          <w:lang w:val="zh-CN"/>
        </w:rPr>
      </w:pPr>
    </w:p>
    <w:p w14:paraId="15DDAAAA">
      <w:pPr>
        <w:widowControl/>
        <w:spacing w:line="520" w:lineRule="exact"/>
        <w:jc w:val="center"/>
        <w:rPr>
          <w:rFonts w:hint="eastAsia" w:ascii="宋体" w:hAnsi="宋体" w:cs="宋体"/>
          <w:b/>
          <w:bCs/>
          <w:color w:val="auto"/>
          <w:kern w:val="0"/>
          <w:sz w:val="28"/>
          <w:szCs w:val="28"/>
          <w:lang w:val="zh-CN"/>
        </w:rPr>
      </w:pPr>
    </w:p>
    <w:p w14:paraId="02D7CFF7">
      <w:pPr>
        <w:widowControl/>
        <w:spacing w:line="520" w:lineRule="exact"/>
        <w:jc w:val="center"/>
        <w:rPr>
          <w:rFonts w:hint="eastAsia" w:ascii="宋体" w:hAnsi="宋体" w:cs="宋体"/>
          <w:b/>
          <w:bCs/>
          <w:color w:val="auto"/>
          <w:kern w:val="0"/>
          <w:sz w:val="28"/>
          <w:szCs w:val="28"/>
          <w:lang w:val="zh-CN"/>
        </w:rPr>
      </w:pPr>
    </w:p>
    <w:p w14:paraId="2B969F96">
      <w:pPr>
        <w:widowControl/>
        <w:spacing w:line="520" w:lineRule="exact"/>
        <w:jc w:val="center"/>
        <w:rPr>
          <w:rFonts w:hint="eastAsia" w:ascii="宋体" w:hAnsi="宋体" w:cs="宋体"/>
          <w:b/>
          <w:bCs/>
          <w:color w:val="auto"/>
          <w:kern w:val="0"/>
          <w:sz w:val="28"/>
          <w:szCs w:val="28"/>
          <w:lang w:val="zh-CN"/>
        </w:rPr>
      </w:pPr>
    </w:p>
    <w:p w14:paraId="1A047C5C">
      <w:pPr>
        <w:widowControl/>
        <w:spacing w:line="520" w:lineRule="exact"/>
        <w:jc w:val="center"/>
        <w:rPr>
          <w:rFonts w:hint="eastAsia" w:ascii="宋体" w:hAnsi="宋体" w:cs="宋体"/>
          <w:b/>
          <w:bCs/>
          <w:color w:val="auto"/>
          <w:kern w:val="0"/>
          <w:sz w:val="28"/>
          <w:szCs w:val="28"/>
          <w:lang w:val="zh-CN"/>
        </w:rPr>
      </w:pPr>
    </w:p>
    <w:p w14:paraId="30C11B14">
      <w:pPr>
        <w:widowControl/>
        <w:spacing w:line="520" w:lineRule="exact"/>
        <w:jc w:val="center"/>
        <w:rPr>
          <w:rFonts w:hint="eastAsia" w:ascii="宋体" w:hAnsi="宋体" w:cs="宋体"/>
          <w:b/>
          <w:bCs/>
          <w:color w:val="auto"/>
          <w:kern w:val="0"/>
          <w:sz w:val="28"/>
          <w:szCs w:val="28"/>
          <w:lang w:val="zh-CN"/>
        </w:rPr>
      </w:pPr>
    </w:p>
    <w:p w14:paraId="28299111">
      <w:pPr>
        <w:widowControl/>
        <w:spacing w:line="520" w:lineRule="exact"/>
        <w:jc w:val="center"/>
        <w:rPr>
          <w:rFonts w:hint="eastAsia" w:ascii="宋体" w:hAnsi="宋体" w:cs="宋体"/>
          <w:b/>
          <w:bCs/>
          <w:color w:val="auto"/>
          <w:kern w:val="0"/>
          <w:sz w:val="28"/>
          <w:szCs w:val="28"/>
          <w:lang w:val="zh-CN"/>
        </w:rPr>
      </w:pPr>
    </w:p>
    <w:p w14:paraId="4FB5FE4A">
      <w:pPr>
        <w:widowControl/>
        <w:spacing w:line="520" w:lineRule="exact"/>
        <w:jc w:val="center"/>
        <w:rPr>
          <w:rFonts w:hint="eastAsia" w:ascii="宋体" w:hAnsi="宋体" w:cs="宋体"/>
          <w:b/>
          <w:bCs/>
          <w:color w:val="auto"/>
          <w:kern w:val="0"/>
          <w:sz w:val="28"/>
          <w:szCs w:val="28"/>
          <w:lang w:val="zh-CN"/>
        </w:rPr>
      </w:pPr>
    </w:p>
    <w:p w14:paraId="6E13302D">
      <w:pPr>
        <w:widowControl/>
        <w:spacing w:line="520" w:lineRule="exact"/>
        <w:jc w:val="center"/>
        <w:rPr>
          <w:rFonts w:hint="eastAsia" w:ascii="宋体" w:hAnsi="宋体" w:cs="宋体"/>
          <w:b/>
          <w:bCs/>
          <w:color w:val="auto"/>
          <w:kern w:val="0"/>
          <w:sz w:val="28"/>
          <w:szCs w:val="28"/>
          <w:lang w:val="zh-CN"/>
        </w:rPr>
      </w:pPr>
    </w:p>
    <w:p w14:paraId="2540402D">
      <w:pPr>
        <w:widowControl/>
        <w:spacing w:line="520" w:lineRule="exact"/>
        <w:jc w:val="center"/>
        <w:rPr>
          <w:rFonts w:hint="eastAsia" w:ascii="宋体" w:hAnsi="宋体" w:cs="宋体"/>
          <w:b/>
          <w:bCs/>
          <w:color w:val="auto"/>
          <w:kern w:val="0"/>
          <w:sz w:val="28"/>
          <w:szCs w:val="28"/>
          <w:lang w:val="zh-CN"/>
        </w:rPr>
      </w:pPr>
    </w:p>
    <w:p w14:paraId="46997BE7">
      <w:pPr>
        <w:widowControl/>
        <w:spacing w:line="520" w:lineRule="exact"/>
        <w:jc w:val="center"/>
        <w:rPr>
          <w:rFonts w:hint="eastAsia" w:ascii="宋体" w:hAnsi="宋体" w:cs="宋体"/>
          <w:b/>
          <w:bCs/>
          <w:color w:val="auto"/>
          <w:kern w:val="0"/>
          <w:sz w:val="28"/>
          <w:szCs w:val="28"/>
          <w:lang w:val="zh-CN"/>
        </w:rPr>
      </w:pPr>
    </w:p>
    <w:p w14:paraId="1E11FD30">
      <w:pPr>
        <w:widowControl/>
        <w:spacing w:line="520" w:lineRule="exact"/>
        <w:jc w:val="center"/>
        <w:rPr>
          <w:rFonts w:hint="eastAsia" w:ascii="宋体" w:hAnsi="宋体" w:cs="宋体"/>
          <w:b/>
          <w:bCs/>
          <w:color w:val="auto"/>
          <w:kern w:val="0"/>
          <w:sz w:val="28"/>
          <w:szCs w:val="28"/>
          <w:lang w:val="zh-CN"/>
        </w:rPr>
      </w:pPr>
    </w:p>
    <w:p w14:paraId="17C5E2ED">
      <w:pPr>
        <w:widowControl/>
        <w:spacing w:line="520" w:lineRule="exact"/>
        <w:jc w:val="center"/>
        <w:rPr>
          <w:rFonts w:hint="eastAsia" w:ascii="宋体" w:hAnsi="宋体" w:cs="宋体"/>
          <w:b/>
          <w:bCs/>
          <w:color w:val="auto"/>
          <w:kern w:val="0"/>
          <w:sz w:val="28"/>
          <w:szCs w:val="28"/>
          <w:lang w:val="zh-CN"/>
        </w:rPr>
      </w:pPr>
    </w:p>
    <w:p w14:paraId="30725A46">
      <w:pPr>
        <w:widowControl/>
        <w:spacing w:line="520" w:lineRule="exact"/>
        <w:jc w:val="center"/>
        <w:rPr>
          <w:rFonts w:hint="eastAsia" w:ascii="宋体" w:hAnsi="宋体" w:cs="宋体"/>
          <w:b/>
          <w:bCs/>
          <w:color w:val="auto"/>
          <w:kern w:val="0"/>
          <w:sz w:val="28"/>
          <w:szCs w:val="28"/>
          <w:lang w:val="zh-CN"/>
        </w:rPr>
      </w:pPr>
    </w:p>
    <w:p w14:paraId="0AC99B3E">
      <w:pPr>
        <w:widowControl/>
        <w:spacing w:line="520" w:lineRule="exact"/>
        <w:jc w:val="center"/>
        <w:rPr>
          <w:rFonts w:hint="eastAsia" w:ascii="宋体" w:hAnsi="宋体" w:cs="宋体"/>
          <w:b/>
          <w:bCs/>
          <w:color w:val="auto"/>
          <w:kern w:val="0"/>
          <w:sz w:val="28"/>
          <w:szCs w:val="28"/>
          <w:lang w:val="zh-CN"/>
        </w:rPr>
      </w:pPr>
    </w:p>
    <w:p w14:paraId="69165236">
      <w:pPr>
        <w:widowControl/>
        <w:spacing w:line="520" w:lineRule="exact"/>
        <w:jc w:val="center"/>
        <w:rPr>
          <w:rFonts w:hint="eastAsia" w:ascii="宋体" w:hAnsi="宋体" w:cs="宋体"/>
          <w:b/>
          <w:bCs/>
          <w:color w:val="auto"/>
          <w:kern w:val="0"/>
          <w:sz w:val="28"/>
          <w:szCs w:val="28"/>
          <w:lang w:val="zh-CN"/>
        </w:rPr>
      </w:pPr>
    </w:p>
    <w:p w14:paraId="284FED73">
      <w:pPr>
        <w:widowControl/>
        <w:spacing w:line="520" w:lineRule="exact"/>
        <w:jc w:val="center"/>
        <w:rPr>
          <w:rFonts w:ascii="宋体" w:hAnsi="宋体" w:cs="宋体"/>
          <w:b/>
          <w:bCs/>
          <w:color w:val="auto"/>
          <w:kern w:val="0"/>
          <w:sz w:val="28"/>
          <w:szCs w:val="28"/>
        </w:rPr>
      </w:pPr>
      <w:r>
        <w:rPr>
          <w:rFonts w:hint="eastAsia" w:ascii="宋体" w:hAnsi="宋体" w:cs="宋体"/>
          <w:b/>
          <w:bCs/>
          <w:color w:val="auto"/>
          <w:kern w:val="0"/>
          <w:sz w:val="28"/>
          <w:szCs w:val="28"/>
          <w:lang w:val="zh-CN"/>
        </w:rPr>
        <w:t>合同通用条款</w:t>
      </w:r>
    </w:p>
    <w:p w14:paraId="354433E3">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根据《中华人民共和国</w:t>
      </w:r>
      <w:r>
        <w:rPr>
          <w:rFonts w:hint="eastAsia" w:ascii="宋体" w:hAnsi="宋体" w:cs="宋体"/>
          <w:color w:val="auto"/>
          <w:kern w:val="0"/>
        </w:rPr>
        <w:t>民法典</w:t>
      </w:r>
      <w:r>
        <w:rPr>
          <w:rFonts w:hint="eastAsia" w:ascii="宋体" w:hAnsi="宋体" w:cs="宋体"/>
          <w:color w:val="auto"/>
          <w:kern w:val="0"/>
          <w:lang w:val="zh-CN"/>
        </w:rPr>
        <w:t>》、《中华人民共和国政府采购法》的规定，合同双方经协商达成一致，自愿订立本合同，遵循公平原则明确双方的权利、义务，确保双方诚实守信地履行合同。</w:t>
      </w:r>
    </w:p>
    <w:p w14:paraId="14558F92">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w:t>
      </w:r>
      <w:r>
        <w:rPr>
          <w:rFonts w:hint="eastAsia" w:ascii="宋体" w:hAnsi="宋体" w:cs="宋体"/>
          <w:b/>
          <w:bCs/>
          <w:color w:val="auto"/>
          <w:kern w:val="0"/>
          <w:lang w:val="zh-CN"/>
        </w:rPr>
        <w:t>定义</w:t>
      </w:r>
    </w:p>
    <w:p w14:paraId="0C261163">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本合同中的下列术语应解释为：</w:t>
      </w:r>
    </w:p>
    <w:p w14:paraId="6B63394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 </w:t>
      </w:r>
      <w:r>
        <w:rPr>
          <w:rFonts w:hint="eastAsia" w:ascii="宋体" w:hAnsi="宋体" w:cs="宋体"/>
          <w:color w:val="auto"/>
          <w:kern w:val="0"/>
          <w:lang w:val="zh-CN"/>
        </w:rPr>
        <w:t>“合同”指甲乙双方签署的、载明的甲乙双方权利义务的协议，包括所有的附件、附录和上述文件所提到的构成合同的所有文件。</w:t>
      </w:r>
    </w:p>
    <w:p w14:paraId="7E67D03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1.2 </w:t>
      </w:r>
      <w:r>
        <w:rPr>
          <w:rFonts w:hint="eastAsia" w:ascii="宋体" w:hAnsi="宋体" w:cs="宋体"/>
          <w:color w:val="auto"/>
          <w:kern w:val="0"/>
          <w:lang w:val="zh-CN"/>
        </w:rPr>
        <w:t>“合同金额”指根据合同规定，乙方在正确地完全履行合同义务后甲方应付给乙方的价款。</w:t>
      </w:r>
    </w:p>
    <w:p w14:paraId="5F18D4E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 </w:t>
      </w:r>
      <w:r>
        <w:rPr>
          <w:rFonts w:hint="eastAsia" w:ascii="宋体" w:hAnsi="宋体" w:cs="宋体"/>
          <w:color w:val="auto"/>
          <w:kern w:val="0"/>
          <w:lang w:val="zh-CN"/>
        </w:rPr>
        <w:t>“合同条款”指本合同条款。</w:t>
      </w:r>
    </w:p>
    <w:p w14:paraId="6A1C874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 </w:t>
      </w:r>
      <w:r>
        <w:rPr>
          <w:rFonts w:hint="eastAsia" w:ascii="宋体" w:hAnsi="宋体" w:cs="宋体"/>
          <w:color w:val="auto"/>
          <w:kern w:val="0"/>
          <w:lang w:val="zh-CN"/>
        </w:rPr>
        <w:t>“货物”指乙方根据合同约定须向甲方提供的一切产品、设备、机械、仪表、备件等，包括辅助工具、使用手册等相关资料。</w:t>
      </w:r>
    </w:p>
    <w:p w14:paraId="16F1ACA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 </w:t>
      </w:r>
      <w:r>
        <w:rPr>
          <w:rFonts w:hint="eastAsia" w:ascii="宋体" w:hAnsi="宋体" w:cs="宋体"/>
          <w:color w:val="auto"/>
          <w:kern w:val="0"/>
          <w:lang w:val="zh-CN"/>
        </w:rPr>
        <w:t>“服务”指根据本合同规定乙方承担与供货有关的辅助服务，如运输、保险及安装、调试、提供技术援助、培训和合同中规定乙方应承担的其它义务。</w:t>
      </w:r>
    </w:p>
    <w:p w14:paraId="2135385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1.6 </w:t>
      </w:r>
      <w:r>
        <w:rPr>
          <w:rFonts w:hint="eastAsia" w:ascii="宋体" w:hAnsi="宋体" w:cs="宋体"/>
          <w:color w:val="auto"/>
          <w:kern w:val="0"/>
          <w:lang w:val="zh-CN"/>
        </w:rPr>
        <w:t>“甲方”指购买货物和服务的单位。</w:t>
      </w:r>
    </w:p>
    <w:p w14:paraId="5023FC9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 </w:t>
      </w:r>
      <w:r>
        <w:rPr>
          <w:rFonts w:hint="eastAsia" w:ascii="宋体" w:hAnsi="宋体" w:cs="宋体"/>
          <w:color w:val="auto"/>
          <w:kern w:val="0"/>
          <w:lang w:val="zh-CN"/>
        </w:rPr>
        <w:t>“乙方”指提供本合同条款下货物和服务的公司或其他实体。</w:t>
      </w:r>
    </w:p>
    <w:p w14:paraId="6FC984E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1.8 </w:t>
      </w:r>
      <w:r>
        <w:rPr>
          <w:rFonts w:hint="eastAsia" w:ascii="宋体" w:hAnsi="宋体" w:cs="宋体"/>
          <w:color w:val="auto"/>
          <w:kern w:val="0"/>
          <w:lang w:val="zh-CN"/>
        </w:rPr>
        <w:t>“现场”指合同规定货物将要运至和安装的地点。</w:t>
      </w:r>
    </w:p>
    <w:p w14:paraId="42E0E56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 </w:t>
      </w:r>
      <w:r>
        <w:rPr>
          <w:rFonts w:hint="eastAsia" w:ascii="宋体" w:hAnsi="宋体" w:cs="宋体"/>
          <w:color w:val="auto"/>
          <w:kern w:val="0"/>
          <w:lang w:val="zh-CN"/>
        </w:rPr>
        <w:t>“验收”指合同双方依据强制性的国家技术质量规范和合同约定，确认合同条款下的货物符合合同规定的活动。</w:t>
      </w:r>
    </w:p>
    <w:p w14:paraId="03242E7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1.10 </w:t>
      </w:r>
      <w:r>
        <w:rPr>
          <w:rFonts w:hint="eastAsia" w:ascii="宋体" w:hAnsi="宋体" w:cs="宋体"/>
          <w:color w:val="auto"/>
          <w:kern w:val="0"/>
          <w:lang w:val="zh-CN"/>
        </w:rPr>
        <w:t>原厂商：产品制造商或其在中国境内设立的办事或技术服务机构。除另有说明外，本合同文件所述的制造商、产品制造商、制造厂家、产品制造厂家均为原厂商。</w:t>
      </w:r>
    </w:p>
    <w:p w14:paraId="01B117C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原产地：指产品的生产地，或提供服务的来源地。</w:t>
      </w:r>
    </w:p>
    <w:p w14:paraId="022FDD4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“工作日”指国家法定工作日，“天”指日历天数。</w:t>
      </w:r>
    </w:p>
    <w:p w14:paraId="45411278">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w:t>
      </w:r>
      <w:r>
        <w:rPr>
          <w:rFonts w:hint="eastAsia" w:ascii="宋体" w:hAnsi="宋体" w:cs="宋体"/>
          <w:b/>
          <w:bCs/>
          <w:color w:val="auto"/>
          <w:kern w:val="0"/>
          <w:lang w:val="zh-CN"/>
        </w:rPr>
        <w:t>技术规格要求</w:t>
      </w:r>
    </w:p>
    <w:p w14:paraId="671923E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2.1 </w:t>
      </w:r>
      <w:r>
        <w:rPr>
          <w:rFonts w:hint="eastAsia" w:ascii="宋体" w:hAnsi="宋体" w:cs="宋体"/>
          <w:color w:val="auto"/>
          <w:kern w:val="0"/>
          <w:lang w:val="zh-CN"/>
        </w:rPr>
        <w:t>本合同条款下提交货物的技术规格要求应等于或优于招投标文件技术规格要求。若技术规格要求中无相应规定，则应符合相应的国家有关部门最新颁布的相应正式标准。</w:t>
      </w:r>
    </w:p>
    <w:p w14:paraId="0A96F30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2.2 </w:t>
      </w:r>
      <w:r>
        <w:rPr>
          <w:rFonts w:hint="eastAsia" w:ascii="宋体" w:hAnsi="宋体" w:cs="宋体"/>
          <w:color w:val="auto"/>
          <w:kern w:val="0"/>
          <w:lang w:val="zh-CN"/>
        </w:rPr>
        <w:t>乙方应向甲方提供货物及服务有关的标准的中文文本。</w:t>
      </w:r>
    </w:p>
    <w:p w14:paraId="4BE9086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2.3 </w:t>
      </w:r>
      <w:r>
        <w:rPr>
          <w:rFonts w:hint="eastAsia" w:ascii="宋体" w:hAnsi="宋体" w:cs="宋体"/>
          <w:color w:val="auto"/>
          <w:kern w:val="0"/>
          <w:lang w:val="zh-CN"/>
        </w:rPr>
        <w:t>除非技术规范中另有规定，计量单位均采用中华人民共和国法定计量单位。</w:t>
      </w:r>
    </w:p>
    <w:p w14:paraId="22B393FA">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3.</w:t>
      </w:r>
      <w:r>
        <w:rPr>
          <w:rFonts w:hint="eastAsia" w:ascii="宋体" w:hAnsi="宋体" w:cs="宋体"/>
          <w:b/>
          <w:bCs/>
          <w:color w:val="auto"/>
          <w:kern w:val="0"/>
          <w:lang w:val="zh-CN"/>
        </w:rPr>
        <w:t>合同范围</w:t>
      </w:r>
    </w:p>
    <w:p w14:paraId="1B528EF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3.1 </w:t>
      </w:r>
      <w:r>
        <w:rPr>
          <w:rFonts w:hint="eastAsia" w:ascii="宋体" w:hAnsi="宋体" w:cs="宋体"/>
          <w:color w:val="auto"/>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78F93C1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3.2 </w:t>
      </w:r>
      <w:r>
        <w:rPr>
          <w:rFonts w:hint="eastAsia" w:ascii="宋体" w:hAnsi="宋体" w:cs="宋体"/>
          <w:color w:val="auto"/>
          <w:kern w:val="0"/>
          <w:lang w:val="zh-CN"/>
        </w:rPr>
        <w:t>乙方应负责培训甲方的技术人员。</w:t>
      </w:r>
    </w:p>
    <w:p w14:paraId="362550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3.3 </w:t>
      </w:r>
      <w:r>
        <w:rPr>
          <w:rFonts w:hint="eastAsia" w:ascii="宋体" w:hAnsi="宋体" w:cs="宋体"/>
          <w:color w:val="auto"/>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46CB73C5">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4.</w:t>
      </w:r>
      <w:r>
        <w:rPr>
          <w:rFonts w:hint="eastAsia" w:ascii="宋体" w:hAnsi="宋体" w:cs="宋体"/>
          <w:b/>
          <w:bCs/>
          <w:color w:val="auto"/>
          <w:kern w:val="0"/>
          <w:lang w:val="zh-CN"/>
        </w:rPr>
        <w:t>合同文件和资料</w:t>
      </w:r>
    </w:p>
    <w:p w14:paraId="085516A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4.1 </w:t>
      </w:r>
      <w:r>
        <w:rPr>
          <w:rFonts w:hint="eastAsia" w:ascii="宋体" w:hAnsi="宋体" w:cs="宋体"/>
          <w:color w:val="auto"/>
          <w:kern w:val="0"/>
          <w:lang w:val="zh-CN"/>
        </w:rPr>
        <w:t>乙方在提供仪器设备时应同时提供中文版相关的技术资料，如目录索引、图纸、操作手册、使用指南、维修指南、服务手册等。</w:t>
      </w:r>
    </w:p>
    <w:p w14:paraId="5CBAA46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4.2 </w:t>
      </w:r>
      <w:r>
        <w:rPr>
          <w:rFonts w:hint="eastAsia" w:ascii="宋体" w:hAnsi="宋体" w:cs="宋体"/>
          <w:color w:val="auto"/>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8048BC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5.</w:t>
      </w:r>
      <w:r>
        <w:rPr>
          <w:rFonts w:hint="eastAsia" w:ascii="宋体" w:hAnsi="宋体" w:cs="宋体"/>
          <w:b/>
          <w:bCs/>
          <w:color w:val="auto"/>
          <w:kern w:val="0"/>
          <w:lang w:val="zh-CN"/>
        </w:rPr>
        <w:t>知识产权</w:t>
      </w:r>
    </w:p>
    <w:p w14:paraId="5CFCE77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5.1 </w:t>
      </w:r>
      <w:r>
        <w:rPr>
          <w:rFonts w:hint="eastAsia" w:ascii="宋体" w:hAnsi="宋体" w:cs="宋体"/>
          <w:color w:val="auto"/>
          <w:kern w:val="0"/>
          <w:lang w:val="zh-CN"/>
        </w:rPr>
        <w:t>乙方应保证甲方在使用该货物或其任何一部分时不受第三方提出的侵犯专利权、著作权、商标权和工业设计权等的起诉。</w:t>
      </w:r>
    </w:p>
    <w:p w14:paraId="13EE9C3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5.2 </w:t>
      </w:r>
      <w:r>
        <w:rPr>
          <w:rFonts w:hint="eastAsia" w:ascii="宋体" w:hAnsi="宋体" w:cs="宋体"/>
          <w:color w:val="auto"/>
          <w:kern w:val="0"/>
          <w:lang w:val="zh-CN"/>
        </w:rPr>
        <w:t>任何第三方提出侵权指控，乙方须与第三方交涉并承担由此产生的一切责任、费用和经济赔偿。</w:t>
      </w:r>
    </w:p>
    <w:p w14:paraId="3C5BEC8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5.3 </w:t>
      </w:r>
      <w:r>
        <w:rPr>
          <w:rFonts w:hint="eastAsia" w:ascii="宋体" w:hAnsi="宋体" w:cs="宋体"/>
          <w:color w:val="auto"/>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5C44567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5.4 </w:t>
      </w:r>
      <w:r>
        <w:rPr>
          <w:rFonts w:hint="eastAsia" w:ascii="宋体" w:hAnsi="宋体" w:cs="宋体"/>
          <w:color w:val="auto"/>
          <w:kern w:val="0"/>
          <w:lang w:val="zh-CN"/>
        </w:rPr>
        <w:t>在本合同生效时已经存在并为各方合法拥有或使用的所有技术、资料和信息的知识产权，仍应属于其各自的原权利人所有或享有，另有约定的除外。</w:t>
      </w:r>
    </w:p>
    <w:p w14:paraId="5D30B80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5.5 </w:t>
      </w:r>
      <w:r>
        <w:rPr>
          <w:rFonts w:hint="eastAsia" w:ascii="宋体" w:hAnsi="宋体" w:cs="宋体"/>
          <w:color w:val="auto"/>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6C6C1B0D">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6.</w:t>
      </w:r>
      <w:r>
        <w:rPr>
          <w:rFonts w:hint="eastAsia" w:ascii="宋体" w:hAnsi="宋体" w:cs="宋体"/>
          <w:b/>
          <w:bCs/>
          <w:color w:val="auto"/>
          <w:kern w:val="0"/>
          <w:lang w:val="zh-CN"/>
        </w:rPr>
        <w:t>保密</w:t>
      </w:r>
    </w:p>
    <w:p w14:paraId="3BECEAB5">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6.1 </w:t>
      </w:r>
      <w:r>
        <w:rPr>
          <w:rFonts w:hint="eastAsia" w:ascii="宋体" w:hAnsi="宋体" w:cs="宋体"/>
          <w:color w:val="auto"/>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788120F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 </w:t>
      </w:r>
      <w:r>
        <w:rPr>
          <w:rFonts w:hint="eastAsia" w:ascii="宋体" w:hAnsi="宋体" w:cs="宋体"/>
          <w:color w:val="auto"/>
          <w:kern w:val="0"/>
          <w:lang w:val="zh-CN"/>
        </w:rPr>
        <w:t>保密信息指任何一方因履行本合同所知悉的任何以口头、书面、图表或电子形式存在的对方信息，具体包括：</w:t>
      </w:r>
    </w:p>
    <w:p w14:paraId="2C32B18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6.2.1 </w:t>
      </w:r>
      <w:r>
        <w:rPr>
          <w:rFonts w:hint="eastAsia" w:ascii="宋体" w:hAnsi="宋体" w:cs="宋体"/>
          <w:color w:val="auto"/>
          <w:kern w:val="0"/>
          <w:lang w:val="zh-CN"/>
        </w:rPr>
        <w:t>任何涉及对方过去、现在或将来的商业计划、规章制度、操作规程、处理手段、财务信息；</w:t>
      </w:r>
    </w:p>
    <w:p w14:paraId="6F98548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6.2.2 </w:t>
      </w:r>
      <w:r>
        <w:rPr>
          <w:rFonts w:hint="eastAsia" w:ascii="宋体" w:hAnsi="宋体" w:cs="宋体"/>
          <w:color w:val="auto"/>
          <w:kern w:val="0"/>
          <w:lang w:val="zh-CN"/>
        </w:rPr>
        <w:t>任何对方的技术措施、技术方案、软件应用及开发，硬件设备的品种、质量、数量、品牌等；</w:t>
      </w:r>
    </w:p>
    <w:p w14:paraId="577F41F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6.2.3 </w:t>
      </w:r>
      <w:r>
        <w:rPr>
          <w:rFonts w:hint="eastAsia" w:ascii="宋体" w:hAnsi="宋体" w:cs="宋体"/>
          <w:color w:val="auto"/>
          <w:kern w:val="0"/>
          <w:lang w:val="zh-CN"/>
        </w:rPr>
        <w:t>任何对方的技术秘密或专有知识、文件、报告、数据、客户软件、流程图、数据库、发明、知识、贸易秘密。</w:t>
      </w:r>
    </w:p>
    <w:p w14:paraId="187E09D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6.3 </w:t>
      </w:r>
      <w:r>
        <w:rPr>
          <w:rFonts w:hint="eastAsia" w:ascii="宋体" w:hAnsi="宋体" w:cs="宋体"/>
          <w:color w:val="auto"/>
          <w:kern w:val="0"/>
          <w:lang w:val="zh-CN"/>
        </w:rPr>
        <w:t>乙方应根据甲方的要求签署相应的保密协议，保密协议与本条款存在不一致的，以保密协议为准。</w:t>
      </w:r>
    </w:p>
    <w:p w14:paraId="7D817899">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 xml:space="preserve">7. </w:t>
      </w:r>
      <w:r>
        <w:rPr>
          <w:rFonts w:hint="eastAsia" w:ascii="宋体" w:hAnsi="宋体" w:cs="宋体"/>
          <w:b/>
          <w:bCs/>
          <w:color w:val="auto"/>
          <w:kern w:val="0"/>
          <w:lang w:val="zh-CN"/>
        </w:rPr>
        <w:t>质量保证</w:t>
      </w:r>
    </w:p>
    <w:p w14:paraId="5DEFC7D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 </w:t>
      </w:r>
      <w:r>
        <w:rPr>
          <w:rFonts w:hint="eastAsia" w:ascii="宋体" w:hAnsi="宋体" w:cs="宋体"/>
          <w:color w:val="auto"/>
          <w:kern w:val="0"/>
          <w:lang w:val="zh-CN"/>
        </w:rPr>
        <w:t>货物质量保证</w:t>
      </w:r>
    </w:p>
    <w:p w14:paraId="08CD47C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7.1.1 </w:t>
      </w:r>
      <w:r>
        <w:rPr>
          <w:rFonts w:hint="eastAsia" w:ascii="宋体" w:hAnsi="宋体" w:cs="宋体"/>
          <w:color w:val="auto"/>
          <w:kern w:val="0"/>
          <w:lang w:val="zh-CN"/>
        </w:rPr>
        <w:t>乙方必须保证货物是全新、未使用过的，并完全符合强制性的国家技术质量规范和合同规定的质量、规格、性能和技术规范等的要求。</w:t>
      </w:r>
    </w:p>
    <w:p w14:paraId="0AB524C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7.1.2 </w:t>
      </w:r>
      <w:r>
        <w:rPr>
          <w:rFonts w:hint="eastAsia" w:ascii="宋体" w:hAnsi="宋体" w:cs="宋体"/>
          <w:color w:val="auto"/>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1546880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7.1.3 </w:t>
      </w:r>
      <w:r>
        <w:rPr>
          <w:rFonts w:hint="eastAsia" w:ascii="宋体" w:hAnsi="宋体" w:cs="宋体"/>
          <w:color w:val="auto"/>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0B6FF31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7.1.4 </w:t>
      </w:r>
      <w:r>
        <w:rPr>
          <w:rFonts w:hint="eastAsia" w:ascii="宋体" w:hAnsi="宋体" w:cs="宋体"/>
          <w:color w:val="auto"/>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A863F8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7.1.5 </w:t>
      </w:r>
      <w:r>
        <w:rPr>
          <w:rFonts w:hint="eastAsia" w:ascii="宋体" w:hAnsi="宋体" w:cs="宋体"/>
          <w:color w:val="auto"/>
          <w:kern w:val="0"/>
          <w:lang w:val="zh-CN"/>
        </w:rPr>
        <w:t>合同条款下货物的质量保证期自货物通过最终验收起算，合同另行规定除外。</w:t>
      </w:r>
    </w:p>
    <w:p w14:paraId="7B960AF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 </w:t>
      </w:r>
      <w:r>
        <w:rPr>
          <w:rFonts w:hint="eastAsia" w:ascii="宋体" w:hAnsi="宋体" w:cs="宋体"/>
          <w:color w:val="auto"/>
          <w:kern w:val="0"/>
          <w:lang w:val="zh-CN"/>
        </w:rPr>
        <w:t>辅助服务质量保证</w:t>
      </w:r>
    </w:p>
    <w:p w14:paraId="2B8C87E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7.2.1 </w:t>
      </w:r>
      <w:r>
        <w:rPr>
          <w:rFonts w:hint="eastAsia" w:ascii="宋体" w:hAnsi="宋体" w:cs="宋体"/>
          <w:color w:val="auto"/>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1B46D4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7.2.2 </w:t>
      </w:r>
      <w:r>
        <w:rPr>
          <w:rFonts w:hint="eastAsia" w:ascii="宋体" w:hAnsi="宋体" w:cs="宋体"/>
          <w:color w:val="auto"/>
          <w:kern w:val="0"/>
          <w:lang w:val="zh-CN"/>
        </w:rPr>
        <w:t>乙方应保证合同条款下所提供的服务包括培训、安装指导、单机调试、系统联调和试验等，按合同规定方式进行，并保证不存在因乙方工作人员的过失、错误或疏忽而产生的缺陷。</w:t>
      </w:r>
    </w:p>
    <w:p w14:paraId="2A14675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8.</w:t>
      </w:r>
      <w:r>
        <w:rPr>
          <w:rFonts w:hint="eastAsia" w:ascii="宋体" w:hAnsi="宋体" w:cs="宋体"/>
          <w:b/>
          <w:bCs/>
          <w:color w:val="auto"/>
          <w:kern w:val="0"/>
          <w:lang w:val="zh-CN"/>
        </w:rPr>
        <w:t>包装要求</w:t>
      </w:r>
    </w:p>
    <w:p w14:paraId="5BA905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8.1 </w:t>
      </w:r>
      <w:r>
        <w:rPr>
          <w:rFonts w:hint="eastAsia" w:ascii="宋体" w:hAnsi="宋体" w:cs="宋体"/>
          <w:color w:val="auto"/>
          <w:kern w:val="0"/>
          <w:lang w:val="zh-CN"/>
        </w:rPr>
        <w:t>除合同另有约定外</w:t>
      </w:r>
      <w:r>
        <w:rPr>
          <w:rFonts w:hint="eastAsia" w:ascii="宋体" w:hAnsi="宋体" w:cs="宋体"/>
          <w:color w:val="auto"/>
          <w:kern w:val="0"/>
        </w:rPr>
        <w:t>,</w:t>
      </w:r>
      <w:r>
        <w:rPr>
          <w:rFonts w:hint="eastAsia" w:ascii="宋体" w:hAnsi="宋体" w:cs="宋体"/>
          <w:color w:val="auto"/>
          <w:kern w:val="0"/>
          <w:lang w:val="zh-CN"/>
        </w:rPr>
        <w:t>乙方提供的全部货物</w:t>
      </w:r>
      <w:r>
        <w:rPr>
          <w:rFonts w:hint="eastAsia" w:ascii="宋体" w:hAnsi="宋体" w:cs="宋体"/>
          <w:color w:val="auto"/>
          <w:kern w:val="0"/>
        </w:rPr>
        <w:t>,</w:t>
      </w:r>
      <w:r>
        <w:rPr>
          <w:rFonts w:hint="eastAsia" w:ascii="宋体" w:hAnsi="宋体" w:cs="宋体"/>
          <w:color w:val="auto"/>
          <w:kern w:val="0"/>
          <w:lang w:val="zh-CN"/>
        </w:rPr>
        <w:t>均应采用本行业通用的方式进行包装，且该包装应符合国家有关包装的法律、法规的规定。</w:t>
      </w:r>
    </w:p>
    <w:p w14:paraId="514515C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8.2 </w:t>
      </w:r>
      <w:r>
        <w:rPr>
          <w:rFonts w:hint="eastAsia" w:ascii="宋体" w:hAnsi="宋体" w:cs="宋体"/>
          <w:color w:val="auto"/>
          <w:kern w:val="0"/>
          <w:lang w:val="zh-CN"/>
        </w:rPr>
        <w:t>包装应适应于远距离运输，并有良好的防潮、防震、防锈和防粗暴装卸等保护措施，以确保货物安全运抵现场。由于包装不善所引起的货物锈蚀、损坏和损失均由乙方承担。乙方应提供货物运至合同规定的最终目的地所需要的包装，以防止货物在转运中损坏或变质。</w:t>
      </w:r>
    </w:p>
    <w:p w14:paraId="148BE64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8.3 </w:t>
      </w:r>
      <w:r>
        <w:rPr>
          <w:rFonts w:hint="eastAsia" w:ascii="宋体" w:hAnsi="宋体" w:cs="宋体"/>
          <w:color w:val="auto"/>
          <w:kern w:val="0"/>
          <w:lang w:val="zh-CN"/>
        </w:rPr>
        <w:t>乙方所提供的货物包装均为出厂时原包装。</w:t>
      </w:r>
    </w:p>
    <w:p w14:paraId="0F14B96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8.4 </w:t>
      </w:r>
      <w:r>
        <w:rPr>
          <w:rFonts w:hint="eastAsia" w:ascii="宋体" w:hAnsi="宋体" w:cs="宋体"/>
          <w:color w:val="auto"/>
          <w:kern w:val="0"/>
          <w:lang w:val="zh-CN"/>
        </w:rPr>
        <w:t>乙方所提供货物必须附有质量合格证，装箱清单，主机、附件、各种零部件和消耗品，有清楚的与装箱单相对应的名称和编号。</w:t>
      </w:r>
    </w:p>
    <w:p w14:paraId="4E34DD2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8.5 </w:t>
      </w:r>
      <w:r>
        <w:rPr>
          <w:rFonts w:hint="eastAsia" w:ascii="宋体" w:hAnsi="宋体" w:cs="宋体"/>
          <w:color w:val="auto"/>
          <w:kern w:val="0"/>
          <w:lang w:val="zh-CN"/>
        </w:rPr>
        <w:t>货物运输中的运输费用和保险费用均由乙方承担。运输过程中的一切损失、损坏均由乙方负责。</w:t>
      </w:r>
    </w:p>
    <w:p w14:paraId="3944647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9.</w:t>
      </w:r>
      <w:r>
        <w:rPr>
          <w:rFonts w:hint="eastAsia" w:ascii="宋体" w:hAnsi="宋体" w:cs="宋体"/>
          <w:b/>
          <w:bCs/>
          <w:color w:val="auto"/>
          <w:kern w:val="0"/>
          <w:lang w:val="zh-CN"/>
        </w:rPr>
        <w:t>价格</w:t>
      </w:r>
    </w:p>
    <w:p w14:paraId="4A4DA9B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9.1 </w:t>
      </w:r>
      <w:r>
        <w:rPr>
          <w:rFonts w:hint="eastAsia" w:ascii="宋体" w:hAnsi="宋体" w:cs="宋体"/>
          <w:color w:val="auto"/>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4750398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9.2 </w:t>
      </w:r>
      <w:r>
        <w:rPr>
          <w:rFonts w:hint="eastAsia" w:ascii="宋体" w:hAnsi="宋体" w:cs="宋体"/>
          <w:color w:val="auto"/>
          <w:kern w:val="0"/>
          <w:lang w:val="zh-CN"/>
        </w:rPr>
        <w:t>本合同价格为固定价格，包括了乙方履行合同全过程产生的所有成本和费用以及乙方应承担的一切税费。</w:t>
      </w:r>
    </w:p>
    <w:p w14:paraId="4CB4557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 </w:t>
      </w:r>
      <w:r>
        <w:rPr>
          <w:rFonts w:hint="eastAsia" w:ascii="宋体" w:hAnsi="宋体" w:cs="宋体"/>
          <w:color w:val="auto"/>
          <w:kern w:val="0"/>
          <w:lang w:val="zh-CN"/>
        </w:rPr>
        <w:t>检验费用</w:t>
      </w:r>
    </w:p>
    <w:p w14:paraId="2E6150F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9.3.1 </w:t>
      </w:r>
      <w:r>
        <w:rPr>
          <w:rFonts w:hint="eastAsia" w:ascii="宋体" w:hAnsi="宋体" w:cs="宋体"/>
          <w:color w:val="auto"/>
          <w:kern w:val="0"/>
          <w:lang w:val="zh-CN"/>
        </w:rPr>
        <w:t>乙方必须负担本条款下属于乙方负责的检验、测试、调试、试运行和验收的所有费用，并负责乙方派往买方组织的检验、测试和验收人员的所有费用。</w:t>
      </w:r>
    </w:p>
    <w:p w14:paraId="5EF2A0F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9.3.2 </w:t>
      </w:r>
      <w:r>
        <w:rPr>
          <w:rFonts w:hint="eastAsia" w:ascii="宋体" w:hAnsi="宋体" w:cs="宋体"/>
          <w:color w:val="auto"/>
          <w:kern w:val="0"/>
          <w:lang w:val="zh-CN"/>
        </w:rPr>
        <w:t>甲方按合同计划参加在乙方工厂所在地检验、测试和验收的费用全部由乙方负责并已包含在合同总价中。</w:t>
      </w:r>
    </w:p>
    <w:p w14:paraId="7DC56DC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9.3.3 </w:t>
      </w:r>
      <w:r>
        <w:rPr>
          <w:rFonts w:hint="eastAsia" w:ascii="宋体" w:hAnsi="宋体" w:cs="宋体"/>
          <w:color w:val="auto"/>
          <w:kern w:val="0"/>
          <w:lang w:val="zh-CN"/>
        </w:rPr>
        <w:t>甲方检验人员已到卖方所在地，测试无法依照合同进行，而引起甲方人员延长逗留时间，所有由此产生的包括甲方人员在内的直接费用及成本由乙方承担。</w:t>
      </w:r>
    </w:p>
    <w:p w14:paraId="0B78F22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10.</w:t>
      </w:r>
      <w:r>
        <w:rPr>
          <w:rFonts w:hint="eastAsia" w:ascii="宋体" w:hAnsi="宋体" w:cs="宋体"/>
          <w:b/>
          <w:bCs/>
          <w:color w:val="auto"/>
          <w:kern w:val="0"/>
          <w:lang w:val="zh-CN"/>
        </w:rPr>
        <w:t>交货方式及交货日期</w:t>
      </w:r>
    </w:p>
    <w:p w14:paraId="122E7E7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交货方式：现场交货，乙方负责办理运输和保险，将货物运抵现场。</w:t>
      </w:r>
    </w:p>
    <w:p w14:paraId="579767EF">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交货期应根据产品的特点实事求是填写，进口产品90个工作日内，国产产品60个工作日内。特殊产品交货期需说明。</w:t>
      </w:r>
    </w:p>
    <w:p w14:paraId="3DA97AB2">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交货日期：所有货物运抵现场并经双方开箱验收合格之日。</w:t>
      </w:r>
    </w:p>
    <w:p w14:paraId="1E3A4A37">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11.检验和验收</w:t>
      </w:r>
    </w:p>
    <w:p w14:paraId="21A4DE4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 </w:t>
      </w:r>
      <w:r>
        <w:rPr>
          <w:rFonts w:hint="eastAsia" w:ascii="宋体" w:hAnsi="宋体" w:cs="宋体"/>
          <w:color w:val="auto"/>
          <w:kern w:val="0"/>
          <w:lang w:val="zh-CN"/>
        </w:rPr>
        <w:t>开箱验收</w:t>
      </w:r>
    </w:p>
    <w:p w14:paraId="3930B09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11.1.1 </w:t>
      </w:r>
      <w:r>
        <w:rPr>
          <w:rFonts w:hint="eastAsia" w:ascii="宋体" w:hAnsi="宋体" w:cs="宋体"/>
          <w:color w:val="auto"/>
          <w:kern w:val="0"/>
          <w:lang w:val="zh-CN"/>
        </w:rPr>
        <w:t>货物运抵现场后，双方应及时开箱验收，并制作验收记录，以确认与本合同约定的数量、型号等是否一致。</w:t>
      </w:r>
    </w:p>
    <w:p w14:paraId="637F7EE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11.1.2 </w:t>
      </w:r>
      <w:r>
        <w:rPr>
          <w:rFonts w:hint="eastAsia" w:ascii="宋体" w:hAnsi="宋体" w:cs="宋体"/>
          <w:color w:val="auto"/>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392E32B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11.1.3 </w:t>
      </w:r>
      <w:r>
        <w:rPr>
          <w:rFonts w:hint="eastAsia" w:ascii="宋体" w:hAnsi="宋体" w:cs="宋体"/>
          <w:color w:val="auto"/>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68CEAF7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 </w:t>
      </w:r>
      <w:r>
        <w:rPr>
          <w:rFonts w:hint="eastAsia" w:ascii="宋体" w:hAnsi="宋体" w:cs="宋体"/>
          <w:color w:val="auto"/>
          <w:kern w:val="0"/>
          <w:lang w:val="zh-CN"/>
        </w:rPr>
        <w:t>检验验收</w:t>
      </w:r>
    </w:p>
    <w:p w14:paraId="560D1939">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11.2.1 </w:t>
      </w:r>
      <w:r>
        <w:rPr>
          <w:rFonts w:hint="eastAsia" w:ascii="宋体" w:hAnsi="宋体" w:cs="宋体"/>
          <w:color w:val="auto"/>
          <w:kern w:val="0"/>
          <w:lang w:val="zh-CN"/>
        </w:rPr>
        <w:t>交货完成后，乙方应及时组装、调试、试运行，按照合同专用条款规定的试运行完成后，双方及时组织对货物检验验收。合同双方均须派人参加合同要求双方参加的试验、检验。</w:t>
      </w:r>
    </w:p>
    <w:p w14:paraId="10ED7BE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11.2.2 </w:t>
      </w:r>
      <w:r>
        <w:rPr>
          <w:rFonts w:hint="eastAsia" w:ascii="宋体" w:hAnsi="宋体" w:cs="宋体"/>
          <w:color w:val="auto"/>
          <w:kern w:val="0"/>
          <w:lang w:val="zh-CN"/>
        </w:rPr>
        <w:t>在具体实施合同规定的检验验收之前，乙方需提前提交相应的测试计划（包括测试程序、测试内容和检验标准、试验时间安排等）供甲方确认。</w:t>
      </w:r>
    </w:p>
    <w:p w14:paraId="79D0629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11.2.3 </w:t>
      </w:r>
      <w:r>
        <w:rPr>
          <w:rFonts w:hint="eastAsia" w:ascii="宋体" w:hAnsi="宋体" w:cs="宋体"/>
          <w:color w:val="auto"/>
          <w:kern w:val="0"/>
          <w:lang w:val="zh-CN"/>
        </w:rPr>
        <w:t>除需甲方确认的试验验收外，乙方还应对所有检验验收测试的结果、步骤、原始数据等作妥善记录。如甲方要求，乙方应提供这些记录给买方。</w:t>
      </w:r>
    </w:p>
    <w:p w14:paraId="660204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11.2.4 </w:t>
      </w:r>
      <w:r>
        <w:rPr>
          <w:rFonts w:hint="eastAsia" w:ascii="宋体" w:hAnsi="宋体" w:cs="宋体"/>
          <w:color w:val="auto"/>
          <w:kern w:val="0"/>
          <w:lang w:val="zh-CN"/>
        </w:rPr>
        <w:t>检验测试出现全部或部分未达到本合同所约定的技术指标，甲方有权选择下列任一处理方式：</w:t>
      </w:r>
    </w:p>
    <w:p w14:paraId="7BDE18D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a.</w:t>
      </w:r>
      <w:r>
        <w:rPr>
          <w:rFonts w:hint="eastAsia" w:ascii="宋体" w:hAnsi="宋体" w:cs="宋体"/>
          <w:color w:val="auto"/>
          <w:kern w:val="0"/>
          <w:lang w:val="zh-CN"/>
        </w:rPr>
        <w:t>重新测试直至合格为止；</w:t>
      </w:r>
    </w:p>
    <w:p w14:paraId="1A948B4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b.</w:t>
      </w:r>
      <w:r>
        <w:rPr>
          <w:rFonts w:hint="eastAsia" w:ascii="宋体" w:hAnsi="宋体" w:cs="宋体"/>
          <w:color w:val="auto"/>
          <w:kern w:val="0"/>
          <w:lang w:val="zh-CN"/>
        </w:rPr>
        <w:t>要求乙方对货物进行免费更换，然后重新测试直至合格为止；</w:t>
      </w:r>
    </w:p>
    <w:p w14:paraId="24630A48">
      <w:pPr>
        <w:autoSpaceDE w:val="0"/>
        <w:autoSpaceDN w:val="0"/>
        <w:spacing w:line="520" w:lineRule="exact"/>
        <w:rPr>
          <w:rFonts w:ascii="宋体" w:hAnsi="宋体" w:cs="宋体"/>
          <w:color w:val="auto"/>
          <w:kern w:val="0"/>
        </w:rPr>
      </w:pPr>
      <w:r>
        <w:rPr>
          <w:rFonts w:hint="eastAsia" w:ascii="宋体" w:hAnsi="宋体" w:cs="宋体"/>
          <w:color w:val="auto"/>
          <w:kern w:val="0"/>
          <w:lang w:val="zh-CN"/>
        </w:rPr>
        <w:t>无论选择何种方式，甲方因此而发生的因卖方原因引起的所有费用均由乙方负担。</w:t>
      </w:r>
    </w:p>
    <w:p w14:paraId="20D2F99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 </w:t>
      </w:r>
      <w:r>
        <w:rPr>
          <w:rFonts w:hint="eastAsia" w:ascii="宋体" w:hAnsi="宋体" w:cs="宋体"/>
          <w:color w:val="auto"/>
          <w:kern w:val="0"/>
          <w:lang w:val="zh-CN"/>
        </w:rPr>
        <w:t>使用过程检验</w:t>
      </w:r>
    </w:p>
    <w:p w14:paraId="05711B3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11.3.1 </w:t>
      </w:r>
      <w:r>
        <w:rPr>
          <w:rFonts w:hint="eastAsia" w:ascii="宋体" w:hAnsi="宋体" w:cs="宋体"/>
          <w:color w:val="auto"/>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37F3508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11.3.2 </w:t>
      </w:r>
      <w:r>
        <w:rPr>
          <w:rFonts w:hint="eastAsia" w:ascii="宋体" w:hAnsi="宋体" w:cs="宋体"/>
          <w:color w:val="auto"/>
          <w:kern w:val="0"/>
          <w:lang w:val="zh-CN"/>
        </w:rPr>
        <w:t>如果合同双方对乙方提供的上述试验结果报告的解释有分歧，双方须于出现分歧后</w:t>
      </w:r>
      <w:r>
        <w:rPr>
          <w:rFonts w:hint="eastAsia" w:ascii="宋体" w:hAnsi="宋体" w:cs="宋体"/>
          <w:color w:val="auto"/>
          <w:kern w:val="0"/>
        </w:rPr>
        <w:t>10</w:t>
      </w:r>
      <w:r>
        <w:rPr>
          <w:rFonts w:hint="eastAsia" w:ascii="宋体" w:hAnsi="宋体" w:cs="宋体"/>
          <w:color w:val="auto"/>
          <w:kern w:val="0"/>
          <w:lang w:val="zh-CN"/>
        </w:rPr>
        <w:t>天内给对方声明，以陈述己方的观点。声明须附有关证据。分歧应通过协商解决。</w:t>
      </w:r>
    </w:p>
    <w:p w14:paraId="5E391CF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12.</w:t>
      </w:r>
      <w:r>
        <w:rPr>
          <w:rFonts w:hint="eastAsia" w:ascii="宋体" w:hAnsi="宋体" w:cs="宋体"/>
          <w:b/>
          <w:bCs/>
          <w:color w:val="auto"/>
          <w:kern w:val="0"/>
          <w:lang w:val="zh-CN"/>
        </w:rPr>
        <w:t>付款方法和条件</w:t>
      </w:r>
    </w:p>
    <w:p w14:paraId="54FE1F3D">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本合同条款下的付款方法和条件在“青海省政府采购项目合同书”中具体规定。</w:t>
      </w:r>
    </w:p>
    <w:p w14:paraId="45602F2A">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13.</w:t>
      </w:r>
      <w:r>
        <w:rPr>
          <w:rFonts w:hint="eastAsia" w:ascii="宋体" w:hAnsi="宋体" w:cs="宋体"/>
          <w:b/>
          <w:bCs/>
          <w:color w:val="auto"/>
          <w:kern w:val="0"/>
          <w:lang w:val="zh-CN"/>
        </w:rPr>
        <w:t>履约保证金</w:t>
      </w:r>
    </w:p>
    <w:p w14:paraId="7ACE057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13.1 </w:t>
      </w:r>
      <w:r>
        <w:rPr>
          <w:rFonts w:hint="eastAsia" w:ascii="宋体" w:hAnsi="宋体" w:cs="宋体"/>
          <w:color w:val="auto"/>
          <w:kern w:val="0"/>
          <w:lang w:val="zh-CN"/>
        </w:rPr>
        <w:t>乙方应在合同签订前，按招标文件第</w:t>
      </w:r>
      <w:r>
        <w:rPr>
          <w:rFonts w:hint="eastAsia" w:ascii="宋体" w:hAnsi="宋体" w:cs="宋体"/>
          <w:color w:val="auto"/>
          <w:kern w:val="0"/>
        </w:rPr>
        <w:t>二</w:t>
      </w:r>
      <w:r>
        <w:rPr>
          <w:rFonts w:hint="eastAsia" w:ascii="宋体" w:hAnsi="宋体" w:cs="宋体"/>
          <w:color w:val="auto"/>
          <w:kern w:val="0"/>
          <w:lang w:val="zh-CN"/>
        </w:rPr>
        <w:t>部分“八 授予合同”中第22.2项的约定提交履约保证金。</w:t>
      </w:r>
    </w:p>
    <w:p w14:paraId="2200E2E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13.2 </w:t>
      </w:r>
      <w:r>
        <w:rPr>
          <w:rFonts w:hint="eastAsia" w:ascii="宋体" w:hAnsi="宋体" w:cs="宋体"/>
          <w:color w:val="auto"/>
          <w:kern w:val="0"/>
          <w:lang w:val="zh-CN"/>
        </w:rPr>
        <w:t>履约保证金用于补偿甲方因乙方不能履行其合同义务而蒙受的损失。</w:t>
      </w:r>
    </w:p>
    <w:p w14:paraId="06CC6F6F">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 </w:t>
      </w:r>
      <w:r>
        <w:rPr>
          <w:rFonts w:hint="eastAsia" w:ascii="宋体" w:hAnsi="宋体" w:cs="宋体"/>
          <w:color w:val="auto"/>
          <w:kern w:val="0"/>
          <w:lang w:val="zh-CN"/>
        </w:rPr>
        <w:t>履约保证金应使用本合同货币，按下述方式之一提交（招标文件中另有约定的除外）：</w:t>
      </w:r>
    </w:p>
    <w:p w14:paraId="5416DC9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13.3.1 </w:t>
      </w:r>
      <w:r>
        <w:rPr>
          <w:rFonts w:hint="eastAsia" w:ascii="宋体" w:hAnsi="宋体" w:cs="宋体"/>
          <w:color w:val="auto"/>
          <w:kern w:val="0"/>
          <w:lang w:val="zh-CN"/>
        </w:rPr>
        <w:t>甲方可接受的在中华人民共和国注册和营业的银行出具的履约保函；</w:t>
      </w:r>
    </w:p>
    <w:p w14:paraId="428ADE1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13.3.2 </w:t>
      </w:r>
      <w:r>
        <w:rPr>
          <w:rFonts w:hint="eastAsia" w:ascii="宋体" w:hAnsi="宋体" w:cs="宋体"/>
          <w:color w:val="auto"/>
          <w:kern w:val="0"/>
          <w:lang w:val="zh-CN"/>
        </w:rPr>
        <w:t>支票或汇票。</w:t>
      </w:r>
    </w:p>
    <w:p w14:paraId="6C672F3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13.4 </w:t>
      </w:r>
      <w:r>
        <w:rPr>
          <w:rFonts w:hint="eastAsia" w:ascii="宋体" w:hAnsi="宋体" w:cs="宋体"/>
          <w:color w:val="auto"/>
          <w:kern w:val="0"/>
          <w:lang w:val="zh-CN"/>
        </w:rPr>
        <w:t>乙方未能按合同规定履行其义务，甲方有权从履约保证金中取得补偿。货物验收合格后，甲方将履约保证金退还乙方或转为质量保证金。</w:t>
      </w:r>
    </w:p>
    <w:p w14:paraId="736CD060">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14.</w:t>
      </w:r>
      <w:r>
        <w:rPr>
          <w:rFonts w:hint="eastAsia" w:ascii="宋体" w:hAnsi="宋体" w:cs="宋体"/>
          <w:b/>
          <w:bCs/>
          <w:color w:val="auto"/>
          <w:kern w:val="0"/>
          <w:lang w:val="zh-CN"/>
        </w:rPr>
        <w:t>索赔</w:t>
      </w:r>
    </w:p>
    <w:p w14:paraId="51C9B2E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14.1 </w:t>
      </w:r>
      <w:r>
        <w:rPr>
          <w:rFonts w:hint="eastAsia" w:ascii="宋体" w:hAnsi="宋体" w:cs="宋体"/>
          <w:color w:val="auto"/>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2D7ECB8">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 </w:t>
      </w:r>
      <w:r>
        <w:rPr>
          <w:rFonts w:hint="eastAsia" w:ascii="宋体" w:hAnsi="宋体" w:cs="宋体"/>
          <w:color w:val="auto"/>
          <w:kern w:val="0"/>
          <w:lang w:val="zh-CN"/>
        </w:rPr>
        <w:t>在履约保证期和检验期内，乙方对甲方提出的索赔负有责任，乙方应按照甲方同意的下列一种或多种方式解决索赔事宜：</w:t>
      </w:r>
    </w:p>
    <w:p w14:paraId="5D942E95">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14.2.1 </w:t>
      </w:r>
      <w:r>
        <w:rPr>
          <w:rFonts w:hint="eastAsia" w:ascii="宋体" w:hAnsi="宋体" w:cs="宋体"/>
          <w:color w:val="auto"/>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148BC3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14.2.2 </w:t>
      </w:r>
      <w:r>
        <w:rPr>
          <w:rFonts w:hint="eastAsia" w:ascii="宋体" w:hAnsi="宋体" w:cs="宋体"/>
          <w:color w:val="auto"/>
          <w:kern w:val="0"/>
          <w:lang w:val="zh-CN"/>
        </w:rPr>
        <w:t>根据货物低劣程度、损坏程度以及甲方所遭受损失的数额，经甲乙双方商定降低货物的价格，或由有资质的中介机构评估，以降低后的价格或评估价格为准。</w:t>
      </w:r>
    </w:p>
    <w:p w14:paraId="74604621">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14.2.3 </w:t>
      </w:r>
      <w:r>
        <w:rPr>
          <w:rFonts w:hint="eastAsia" w:ascii="宋体" w:hAnsi="宋体" w:cs="宋体"/>
          <w:color w:val="auto"/>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5B8D1A4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14.3 </w:t>
      </w:r>
      <w:r>
        <w:rPr>
          <w:rFonts w:hint="eastAsia" w:ascii="宋体" w:hAnsi="宋体" w:cs="宋体"/>
          <w:color w:val="auto"/>
          <w:kern w:val="0"/>
          <w:lang w:val="zh-CN"/>
        </w:rPr>
        <w:t>乙方收到甲方发出的索赔通知之日起</w:t>
      </w:r>
      <w:r>
        <w:rPr>
          <w:rFonts w:hint="eastAsia" w:ascii="宋体" w:hAnsi="宋体" w:cs="宋体"/>
          <w:color w:val="auto"/>
          <w:kern w:val="0"/>
        </w:rPr>
        <w:t>5</w:t>
      </w:r>
      <w:r>
        <w:rPr>
          <w:rFonts w:hint="eastAsia" w:ascii="宋体" w:hAnsi="宋体" w:cs="宋体"/>
          <w:color w:val="auto"/>
          <w:kern w:val="0"/>
          <w:lang w:val="zh-CN"/>
        </w:rPr>
        <w:t>个工作日内未作答复的，甲方可从合同款或履约保证金中扣回索赔金额，如金额不足以补偿索赔金额，乙方应补足差额部分。</w:t>
      </w:r>
    </w:p>
    <w:p w14:paraId="4F3CBE33">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15.</w:t>
      </w:r>
      <w:r>
        <w:rPr>
          <w:rFonts w:hint="eastAsia" w:ascii="宋体" w:hAnsi="宋体" w:cs="宋体"/>
          <w:b/>
          <w:bCs/>
          <w:color w:val="auto"/>
          <w:kern w:val="0"/>
          <w:lang w:val="zh-CN"/>
        </w:rPr>
        <w:t>迟延交货</w:t>
      </w:r>
    </w:p>
    <w:p w14:paraId="6CEC585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15.1 </w:t>
      </w:r>
      <w:r>
        <w:rPr>
          <w:rFonts w:hint="eastAsia" w:ascii="宋体" w:hAnsi="宋体" w:cs="宋体"/>
          <w:color w:val="auto"/>
          <w:kern w:val="0"/>
          <w:lang w:val="zh-CN"/>
        </w:rPr>
        <w:t>乙方应按照合同约定的时间交货和提供服务。</w:t>
      </w:r>
    </w:p>
    <w:p w14:paraId="26353370">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15.2 </w:t>
      </w:r>
      <w:r>
        <w:rPr>
          <w:rFonts w:hint="eastAsia" w:ascii="宋体" w:hAnsi="宋体" w:cs="宋体"/>
          <w:color w:val="auto"/>
          <w:kern w:val="0"/>
          <w:lang w:val="zh-CN"/>
        </w:rPr>
        <w:t>除不可抗力因素外，乙方迟延交货，甲方有权提出违约损失赔偿或解除合同。</w:t>
      </w:r>
    </w:p>
    <w:p w14:paraId="25CF380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15.3 </w:t>
      </w:r>
      <w:r>
        <w:rPr>
          <w:rFonts w:hint="eastAsia" w:ascii="宋体" w:hAnsi="宋体" w:cs="宋体"/>
          <w:color w:val="auto"/>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3EE2538">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16.</w:t>
      </w:r>
      <w:r>
        <w:rPr>
          <w:rFonts w:hint="eastAsia" w:ascii="宋体" w:hAnsi="宋体" w:cs="宋体"/>
          <w:b/>
          <w:bCs/>
          <w:color w:val="auto"/>
          <w:kern w:val="0"/>
          <w:lang w:val="zh-CN"/>
        </w:rPr>
        <w:t>违约赔偿</w:t>
      </w:r>
    </w:p>
    <w:p w14:paraId="369BBE7E">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除不可抗力因素外，乙方没有按照合同规定的时间交货和提供服务，甲方可要求乙方支付违约金。违约金每日按合同总价款的千分之五计收。</w:t>
      </w:r>
    </w:p>
    <w:p w14:paraId="01187EF2">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17.</w:t>
      </w:r>
      <w:r>
        <w:rPr>
          <w:rFonts w:hint="eastAsia" w:ascii="宋体" w:hAnsi="宋体" w:cs="宋体"/>
          <w:b/>
          <w:bCs/>
          <w:color w:val="auto"/>
          <w:kern w:val="0"/>
          <w:lang w:val="zh-CN"/>
        </w:rPr>
        <w:t>不可抗力</w:t>
      </w:r>
    </w:p>
    <w:p w14:paraId="03610222">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17.1 </w:t>
      </w:r>
      <w:r>
        <w:rPr>
          <w:rFonts w:hint="eastAsia" w:ascii="宋体" w:hAnsi="宋体" w:cs="宋体"/>
          <w:color w:val="auto"/>
          <w:kern w:val="0"/>
          <w:lang w:val="zh-CN"/>
        </w:rPr>
        <w:t>双方中任何一方遭遇法律规定的不可抗力，致使合同履行受阻时，履行合同的期限应予延长，延长的期限应相当于不可抗力所影响的时间。</w:t>
      </w:r>
    </w:p>
    <w:p w14:paraId="1321F54D">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17.2 </w:t>
      </w:r>
      <w:r>
        <w:rPr>
          <w:rFonts w:hint="eastAsia" w:ascii="宋体" w:hAnsi="宋体" w:cs="宋体"/>
          <w:color w:val="auto"/>
          <w:kern w:val="0"/>
          <w:lang w:val="zh-CN"/>
        </w:rPr>
        <w:t>受事故影响的一方应在不可抗力的事故发生后以书面形式通知另一方。</w:t>
      </w:r>
    </w:p>
    <w:p w14:paraId="397A6CF7">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17.3 </w:t>
      </w:r>
      <w:r>
        <w:rPr>
          <w:rFonts w:hint="eastAsia" w:ascii="宋体" w:hAnsi="宋体" w:cs="宋体"/>
          <w:color w:val="auto"/>
          <w:kern w:val="0"/>
          <w:lang w:val="zh-CN"/>
        </w:rPr>
        <w:t>不可抗力使合同的某些内容有变更必要的，双方应通过协商达成进一步履行合同的协议，因不可抗力致使合同不能履行的，合同终止。</w:t>
      </w:r>
    </w:p>
    <w:p w14:paraId="2B40965C">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18.</w:t>
      </w:r>
      <w:r>
        <w:rPr>
          <w:rFonts w:hint="eastAsia" w:ascii="宋体" w:hAnsi="宋体" w:cs="宋体"/>
          <w:b/>
          <w:bCs/>
          <w:color w:val="auto"/>
          <w:kern w:val="0"/>
          <w:lang w:val="zh-CN"/>
        </w:rPr>
        <w:t>税费</w:t>
      </w:r>
    </w:p>
    <w:p w14:paraId="78E94AEB">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与本合同有关的一切税费均由乙方承担。</w:t>
      </w:r>
    </w:p>
    <w:p w14:paraId="43590E75">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19.</w:t>
      </w:r>
      <w:r>
        <w:rPr>
          <w:rFonts w:hint="eastAsia" w:ascii="宋体" w:hAnsi="宋体" w:cs="宋体"/>
          <w:b/>
          <w:bCs/>
          <w:color w:val="auto"/>
          <w:kern w:val="0"/>
          <w:lang w:val="zh-CN"/>
        </w:rPr>
        <w:t>合同争议的解决</w:t>
      </w:r>
    </w:p>
    <w:p w14:paraId="560875AB">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19.1 </w:t>
      </w:r>
      <w:r>
        <w:rPr>
          <w:rFonts w:hint="eastAsia" w:ascii="宋体" w:hAnsi="宋体" w:cs="宋体"/>
          <w:color w:val="auto"/>
          <w:kern w:val="0"/>
          <w:lang w:val="zh-CN"/>
        </w:rPr>
        <w:t>甲方和乙方由于本合同的履行而发生任何争议时，双方可先通过协商解决。</w:t>
      </w:r>
    </w:p>
    <w:p w14:paraId="3805EE56">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19.2 </w:t>
      </w:r>
      <w:r>
        <w:rPr>
          <w:rFonts w:hint="eastAsia" w:ascii="宋体" w:hAnsi="宋体" w:cs="宋体"/>
          <w:color w:val="auto"/>
          <w:kern w:val="0"/>
          <w:lang w:val="zh-CN"/>
        </w:rPr>
        <w:t>任何一方不愿通过协商或通过协商仍不能解决争议，则双方中任何一方均应向甲方所在地人民法院起诉。</w:t>
      </w:r>
    </w:p>
    <w:p w14:paraId="37A1098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20.</w:t>
      </w:r>
      <w:r>
        <w:rPr>
          <w:rFonts w:hint="eastAsia" w:ascii="宋体" w:hAnsi="宋体" w:cs="宋体"/>
          <w:b/>
          <w:bCs/>
          <w:color w:val="auto"/>
          <w:kern w:val="0"/>
          <w:lang w:val="zh-CN"/>
        </w:rPr>
        <w:t>违约解除合同</w:t>
      </w:r>
    </w:p>
    <w:p w14:paraId="20C37FC3">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 </w:t>
      </w:r>
      <w:r>
        <w:rPr>
          <w:rFonts w:hint="eastAsia" w:ascii="宋体" w:hAnsi="宋体" w:cs="宋体"/>
          <w:color w:val="auto"/>
          <w:kern w:val="0"/>
          <w:lang w:val="zh-CN"/>
        </w:rPr>
        <w:t>出现下列情形之一的，视为乙方违约。甲方可向乙方发出书面通知，部分或全部终止合同，同时保留向乙方索赔的权利。</w:t>
      </w:r>
    </w:p>
    <w:p w14:paraId="02E1BC5A">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20.1.1 </w:t>
      </w:r>
      <w:r>
        <w:rPr>
          <w:rFonts w:hint="eastAsia" w:ascii="宋体" w:hAnsi="宋体" w:cs="宋体"/>
          <w:color w:val="auto"/>
          <w:kern w:val="0"/>
          <w:lang w:val="zh-CN"/>
        </w:rPr>
        <w:t>乙方未能在合同规定的限期或甲方同意延长的限期内，提供全部或部分货物的；</w:t>
      </w:r>
    </w:p>
    <w:p w14:paraId="265FA03C">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20.1.2 </w:t>
      </w:r>
      <w:r>
        <w:rPr>
          <w:rFonts w:hint="eastAsia" w:ascii="宋体" w:hAnsi="宋体" w:cs="宋体"/>
          <w:color w:val="auto"/>
          <w:kern w:val="0"/>
          <w:lang w:val="zh-CN"/>
        </w:rPr>
        <w:t>乙方未能履（）行合同规定的其它主要义务的；</w:t>
      </w:r>
    </w:p>
    <w:p w14:paraId="5D38D78E">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20.1.3 </w:t>
      </w:r>
      <w:r>
        <w:rPr>
          <w:rFonts w:hint="eastAsia" w:ascii="宋体" w:hAnsi="宋体" w:cs="宋体"/>
          <w:color w:val="auto"/>
          <w:kern w:val="0"/>
          <w:lang w:val="zh-CN"/>
        </w:rPr>
        <w:t>乙方在本合同履行过程中有欺诈行为的。</w:t>
      </w:r>
    </w:p>
    <w:p w14:paraId="3FC0BA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rPr>
        <w:t xml:space="preserve">20.2 </w:t>
      </w:r>
      <w:r>
        <w:rPr>
          <w:rFonts w:hint="eastAsia" w:ascii="宋体" w:hAnsi="宋体" w:cs="宋体"/>
          <w:color w:val="auto"/>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7900CA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21.</w:t>
      </w:r>
      <w:r>
        <w:rPr>
          <w:rFonts w:hint="eastAsia" w:ascii="宋体" w:hAnsi="宋体" w:cs="宋体"/>
          <w:b/>
          <w:bCs/>
          <w:color w:val="auto"/>
          <w:kern w:val="0"/>
          <w:lang w:val="zh-CN"/>
        </w:rPr>
        <w:t>破产终止合同</w:t>
      </w:r>
    </w:p>
    <w:p w14:paraId="6B3D3579">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552B7AF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22.</w:t>
      </w:r>
      <w:r>
        <w:rPr>
          <w:rFonts w:hint="eastAsia" w:ascii="宋体" w:hAnsi="宋体" w:cs="宋体"/>
          <w:b/>
          <w:bCs/>
          <w:color w:val="auto"/>
          <w:kern w:val="0"/>
          <w:lang w:val="zh-CN"/>
        </w:rPr>
        <w:t>转让和分包</w:t>
      </w:r>
    </w:p>
    <w:p w14:paraId="2EC0CDE7">
      <w:pPr>
        <w:autoSpaceDE w:val="0"/>
        <w:autoSpaceDN w:val="0"/>
        <w:spacing w:line="520" w:lineRule="exact"/>
        <w:ind w:firstLine="360"/>
        <w:rPr>
          <w:rFonts w:ascii="宋体" w:hAnsi="宋体" w:cs="宋体"/>
          <w:color w:val="auto"/>
          <w:kern w:val="0"/>
        </w:rPr>
      </w:pPr>
      <w:r>
        <w:rPr>
          <w:rFonts w:hint="eastAsia" w:ascii="宋体" w:hAnsi="宋体" w:cs="宋体"/>
          <w:color w:val="auto"/>
          <w:kern w:val="0"/>
        </w:rPr>
        <w:t xml:space="preserve">22.1 </w:t>
      </w:r>
      <w:r>
        <w:rPr>
          <w:rFonts w:hint="eastAsia" w:ascii="宋体" w:hAnsi="宋体" w:cs="宋体"/>
          <w:color w:val="auto"/>
          <w:kern w:val="0"/>
          <w:lang w:val="zh-CN"/>
        </w:rPr>
        <w:t>政府采购合同不能转让。</w:t>
      </w:r>
    </w:p>
    <w:p w14:paraId="59DA2625">
      <w:pPr>
        <w:autoSpaceDE w:val="0"/>
        <w:autoSpaceDN w:val="0"/>
        <w:spacing w:line="520" w:lineRule="exact"/>
        <w:ind w:firstLine="360"/>
        <w:rPr>
          <w:rFonts w:ascii="宋体" w:hAnsi="宋体" w:cs="宋体"/>
          <w:color w:val="auto"/>
          <w:kern w:val="0"/>
        </w:rPr>
      </w:pPr>
      <w:r>
        <w:rPr>
          <w:rFonts w:hint="eastAsia" w:ascii="宋体" w:hAnsi="宋体" w:cs="宋体"/>
          <w:color w:val="auto"/>
          <w:kern w:val="0"/>
        </w:rPr>
        <w:t xml:space="preserve">22.2 </w:t>
      </w:r>
      <w:r>
        <w:rPr>
          <w:rFonts w:hint="eastAsia" w:ascii="宋体" w:hAnsi="宋体" w:cs="宋体"/>
          <w:color w:val="auto"/>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2E8ADB1B">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23.</w:t>
      </w:r>
      <w:r>
        <w:rPr>
          <w:rFonts w:hint="eastAsia" w:ascii="宋体" w:hAnsi="宋体" w:cs="宋体"/>
          <w:b/>
          <w:bCs/>
          <w:color w:val="auto"/>
          <w:kern w:val="0"/>
          <w:lang w:val="zh-CN"/>
        </w:rPr>
        <w:t>合同修改</w:t>
      </w:r>
    </w:p>
    <w:p w14:paraId="7B299F89">
      <w:pPr>
        <w:autoSpaceDE w:val="0"/>
        <w:autoSpaceDN w:val="0"/>
        <w:spacing w:line="520" w:lineRule="exact"/>
        <w:ind w:firstLine="480" w:firstLineChars="200"/>
        <w:rPr>
          <w:rFonts w:ascii="宋体" w:hAnsi="宋体" w:cs="宋体"/>
          <w:color w:val="auto"/>
          <w:kern w:val="0"/>
        </w:rPr>
      </w:pPr>
      <w:r>
        <w:rPr>
          <w:rFonts w:hint="eastAsia" w:ascii="宋体" w:hAnsi="宋体" w:cs="宋体"/>
          <w:color w:val="auto"/>
          <w:kern w:val="0"/>
        </w:rPr>
        <w:t>政府采购合同的双方当事人不得擅自变更、中止或者终止合同</w:t>
      </w:r>
    </w:p>
    <w:p w14:paraId="76AD410E">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24.</w:t>
      </w:r>
      <w:r>
        <w:rPr>
          <w:rFonts w:hint="eastAsia" w:ascii="宋体" w:hAnsi="宋体" w:cs="宋体"/>
          <w:b/>
          <w:bCs/>
          <w:color w:val="auto"/>
          <w:kern w:val="0"/>
          <w:lang w:val="zh-CN"/>
        </w:rPr>
        <w:t>通知</w:t>
      </w:r>
    </w:p>
    <w:p w14:paraId="4D1F4678">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本合同任何一方给另一方的通知，都应以书面形式发送，而另一方也应以书面形式确认并发送到对方明确的地址。</w:t>
      </w:r>
    </w:p>
    <w:p w14:paraId="069FB3B6">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25.</w:t>
      </w:r>
      <w:r>
        <w:rPr>
          <w:rFonts w:hint="eastAsia" w:ascii="宋体" w:hAnsi="宋体" w:cs="宋体"/>
          <w:b/>
          <w:bCs/>
          <w:color w:val="auto"/>
          <w:kern w:val="0"/>
          <w:lang w:val="zh-CN"/>
        </w:rPr>
        <w:t>计量单位</w:t>
      </w:r>
    </w:p>
    <w:p w14:paraId="282249D4">
      <w:pPr>
        <w:autoSpaceDE w:val="0"/>
        <w:autoSpaceDN w:val="0"/>
        <w:spacing w:line="520" w:lineRule="exact"/>
        <w:ind w:firstLine="480"/>
        <w:rPr>
          <w:rFonts w:ascii="宋体" w:hAnsi="宋体" w:cs="宋体"/>
          <w:color w:val="auto"/>
          <w:kern w:val="0"/>
        </w:rPr>
      </w:pPr>
      <w:r>
        <w:rPr>
          <w:rFonts w:hint="eastAsia" w:ascii="宋体" w:hAnsi="宋体" w:cs="宋体"/>
          <w:color w:val="auto"/>
          <w:kern w:val="0"/>
          <w:lang w:val="zh-CN"/>
        </w:rPr>
        <w:t>除技术规范中另有规定外</w:t>
      </w:r>
      <w:r>
        <w:rPr>
          <w:rFonts w:hint="eastAsia" w:ascii="宋体" w:hAnsi="宋体" w:cs="宋体"/>
          <w:color w:val="auto"/>
          <w:kern w:val="0"/>
        </w:rPr>
        <w:t>,</w:t>
      </w:r>
      <w:r>
        <w:rPr>
          <w:rFonts w:hint="eastAsia" w:ascii="宋体" w:hAnsi="宋体" w:cs="宋体"/>
          <w:color w:val="auto"/>
          <w:kern w:val="0"/>
          <w:lang w:val="zh-CN"/>
        </w:rPr>
        <w:t>计量单位均使用国家法定计量单位。</w:t>
      </w:r>
    </w:p>
    <w:p w14:paraId="4D49EEED">
      <w:pPr>
        <w:autoSpaceDE w:val="0"/>
        <w:autoSpaceDN w:val="0"/>
        <w:spacing w:line="520" w:lineRule="exact"/>
        <w:rPr>
          <w:rFonts w:ascii="宋体" w:hAnsi="宋体" w:cs="宋体"/>
          <w:b/>
          <w:bCs/>
          <w:color w:val="auto"/>
          <w:kern w:val="0"/>
        </w:rPr>
      </w:pPr>
      <w:r>
        <w:rPr>
          <w:rFonts w:hint="eastAsia" w:ascii="宋体" w:hAnsi="宋体" w:cs="宋体"/>
          <w:b/>
          <w:bCs/>
          <w:color w:val="auto"/>
          <w:kern w:val="0"/>
        </w:rPr>
        <w:t>26.</w:t>
      </w:r>
      <w:r>
        <w:rPr>
          <w:rFonts w:hint="eastAsia" w:ascii="宋体" w:hAnsi="宋体" w:cs="宋体"/>
          <w:b/>
          <w:bCs/>
          <w:color w:val="auto"/>
          <w:kern w:val="0"/>
          <w:lang w:val="zh-CN"/>
        </w:rPr>
        <w:t>适用法律</w:t>
      </w:r>
    </w:p>
    <w:p w14:paraId="555CE512">
      <w:pPr>
        <w:autoSpaceDE w:val="0"/>
        <w:autoSpaceDN w:val="0"/>
        <w:spacing w:line="520" w:lineRule="exact"/>
        <w:ind w:firstLine="480"/>
        <w:rPr>
          <w:rFonts w:hint="eastAsia" w:ascii="宋体" w:hAnsi="宋体" w:cs="宋体"/>
          <w:color w:val="auto"/>
          <w:sz w:val="48"/>
        </w:rPr>
      </w:pPr>
      <w:r>
        <w:rPr>
          <w:rFonts w:hint="eastAsia" w:ascii="宋体" w:hAnsi="宋体" w:cs="宋体"/>
          <w:color w:val="auto"/>
          <w:kern w:val="0"/>
          <w:lang w:val="zh-CN"/>
        </w:rPr>
        <w:t>本合同按照中华人民共和国的相关法律进行解释。</w:t>
      </w:r>
    </w:p>
    <w:p w14:paraId="3071482D">
      <w:pPr>
        <w:pStyle w:val="90"/>
        <w:jc w:val="center"/>
        <w:outlineLvl w:val="0"/>
        <w:rPr>
          <w:rFonts w:hint="eastAsia" w:ascii="宋体" w:hAnsi="宋体" w:cs="宋体"/>
          <w:color w:val="auto"/>
          <w:sz w:val="48"/>
        </w:rPr>
      </w:pPr>
    </w:p>
    <w:p w14:paraId="67BF27BD">
      <w:pPr>
        <w:pStyle w:val="90"/>
        <w:jc w:val="center"/>
        <w:outlineLvl w:val="0"/>
        <w:rPr>
          <w:rFonts w:hint="eastAsia" w:ascii="宋体" w:hAnsi="宋体" w:cs="宋体"/>
          <w:color w:val="auto"/>
          <w:sz w:val="48"/>
        </w:rPr>
      </w:pPr>
    </w:p>
    <w:p w14:paraId="203CFC43">
      <w:pPr>
        <w:rPr>
          <w:rFonts w:hint="eastAsia" w:ascii="宋体" w:hAnsi="宋体" w:eastAsia="宋体" w:cs="宋体"/>
          <w:color w:val="auto"/>
          <w:kern w:val="0"/>
          <w:sz w:val="48"/>
          <w:szCs w:val="20"/>
          <w:lang w:val="en-US" w:eastAsia="zh-CN" w:bidi="ar-SA"/>
        </w:rPr>
      </w:pPr>
      <w:bookmarkStart w:id="60" w:name="_Toc20336"/>
    </w:p>
    <w:p w14:paraId="673781EF">
      <w:pPr>
        <w:pStyle w:val="90"/>
        <w:jc w:val="center"/>
        <w:outlineLvl w:val="0"/>
        <w:rPr>
          <w:rFonts w:hint="eastAsia" w:ascii="宋体" w:hAnsi="宋体" w:eastAsia="宋体" w:cs="宋体"/>
          <w:color w:val="auto"/>
          <w:kern w:val="0"/>
          <w:sz w:val="48"/>
          <w:szCs w:val="20"/>
          <w:lang w:val="en-US" w:eastAsia="zh-CN" w:bidi="ar-SA"/>
        </w:rPr>
      </w:pPr>
      <w:r>
        <w:rPr>
          <w:rFonts w:hint="eastAsia" w:ascii="宋体" w:hAnsi="宋体" w:eastAsia="宋体" w:cs="宋体"/>
          <w:color w:val="auto"/>
          <w:kern w:val="0"/>
          <w:sz w:val="48"/>
          <w:szCs w:val="20"/>
          <w:lang w:val="en-US" w:eastAsia="zh-CN" w:bidi="ar-SA"/>
        </w:rPr>
        <w:t>第五部分   磋商响应文件格式</w:t>
      </w:r>
      <w:bookmarkEnd w:id="59"/>
      <w:bookmarkEnd w:id="60"/>
    </w:p>
    <w:p w14:paraId="55FD95DD">
      <w:pPr>
        <w:spacing w:line="360" w:lineRule="auto"/>
        <w:rPr>
          <w:rFonts w:hint="eastAsia" w:ascii="宋体" w:hAnsi="宋体" w:cs="宋体"/>
          <w:color w:val="auto"/>
          <w:sz w:val="32"/>
        </w:rPr>
      </w:pPr>
    </w:p>
    <w:p w14:paraId="727880C7">
      <w:pPr>
        <w:widowControl/>
        <w:spacing w:line="360" w:lineRule="auto"/>
        <w:ind w:firstLine="537" w:firstLineChars="224"/>
        <w:rPr>
          <w:rFonts w:hint="eastAsia" w:ascii="宋体" w:hAnsi="宋体" w:cs="宋体"/>
          <w:color w:val="auto"/>
          <w:kern w:val="0"/>
          <w:sz w:val="24"/>
          <w:lang w:val="zh-CN"/>
        </w:rPr>
      </w:pPr>
      <w:r>
        <w:rPr>
          <w:rFonts w:hint="eastAsia" w:ascii="宋体" w:hAnsi="宋体" w:cs="宋体"/>
          <w:color w:val="auto"/>
          <w:kern w:val="0"/>
          <w:sz w:val="24"/>
          <w:lang w:val="zh-CN"/>
        </w:rPr>
        <w:t>磋商供应商应严格按照本格式要求编制磋商响应文件，否则其磋商响应文件将不予接受。</w:t>
      </w:r>
    </w:p>
    <w:p w14:paraId="320CCD24">
      <w:pPr>
        <w:keepNext/>
        <w:keepLines/>
        <w:widowControl/>
        <w:snapToGrid w:val="0"/>
        <w:spacing w:line="400" w:lineRule="atLeast"/>
        <w:jc w:val="center"/>
        <w:outlineLvl w:val="1"/>
        <w:rPr>
          <w:rFonts w:ascii="宋体"/>
          <w:b/>
          <w:color w:val="auto"/>
          <w:kern w:val="28"/>
          <w:sz w:val="36"/>
          <w:szCs w:val="20"/>
        </w:rPr>
      </w:pPr>
      <w:r>
        <w:rPr>
          <w:rFonts w:hint="eastAsia" w:hAnsi="宋体" w:cs="宋体"/>
          <w:color w:val="auto"/>
          <w:kern w:val="0"/>
          <w:szCs w:val="28"/>
          <w:lang w:val="zh-CN"/>
        </w:rPr>
        <w:br w:type="page"/>
      </w:r>
      <w:bookmarkStart w:id="61" w:name="_Toc496004029"/>
      <w:bookmarkStart w:id="62" w:name="_Toc26070"/>
      <w:bookmarkStart w:id="63" w:name="_Toc496626234"/>
      <w:bookmarkStart w:id="64" w:name="_Toc6951"/>
      <w:bookmarkStart w:id="65" w:name="_Toc26113"/>
      <w:bookmarkStart w:id="66" w:name="_Toc27157"/>
      <w:bookmarkStart w:id="67" w:name="_Toc2710"/>
      <w:bookmarkStart w:id="68" w:name="_Toc18872"/>
      <w:r>
        <w:rPr>
          <w:rFonts w:hint="eastAsia" w:ascii="宋体"/>
          <w:b/>
          <w:color w:val="auto"/>
          <w:kern w:val="28"/>
          <w:sz w:val="36"/>
          <w:szCs w:val="20"/>
        </w:rPr>
        <w:t>磋商响应文件的组成</w:t>
      </w:r>
      <w:bookmarkEnd w:id="61"/>
      <w:bookmarkEnd w:id="62"/>
      <w:bookmarkEnd w:id="63"/>
      <w:bookmarkEnd w:id="64"/>
      <w:bookmarkEnd w:id="65"/>
      <w:bookmarkEnd w:id="66"/>
      <w:bookmarkEnd w:id="67"/>
    </w:p>
    <w:p w14:paraId="2194ABBC">
      <w:pPr>
        <w:spacing w:line="500" w:lineRule="exact"/>
        <w:ind w:firstLine="480"/>
        <w:rPr>
          <w:rFonts w:ascii="宋体"/>
          <w:color w:val="auto"/>
        </w:rPr>
      </w:pPr>
      <w:r>
        <w:rPr>
          <w:rFonts w:hint="eastAsia" w:ascii="宋体" w:hAnsi="宋体"/>
          <w:color w:val="auto"/>
        </w:rPr>
        <w:t>（一）资格审查文件</w:t>
      </w:r>
    </w:p>
    <w:p w14:paraId="0E3D5B1D">
      <w:pPr>
        <w:pStyle w:val="140"/>
        <w:numPr>
          <w:ilvl w:val="0"/>
          <w:numId w:val="20"/>
        </w:numPr>
        <w:spacing w:line="500" w:lineRule="exact"/>
        <w:ind w:firstLineChars="0"/>
        <w:rPr>
          <w:rFonts w:ascii="宋体"/>
          <w:color w:val="auto"/>
        </w:rPr>
      </w:pPr>
      <w:r>
        <w:rPr>
          <w:rFonts w:hint="eastAsia" w:ascii="宋体" w:hAnsi="宋体"/>
          <w:color w:val="auto"/>
        </w:rPr>
        <w:t>磋商函………………………………………………………………</w:t>
      </w:r>
      <w:r>
        <w:rPr>
          <w:rFonts w:hint="eastAsia" w:asciiTheme="majorEastAsia" w:hAnsiTheme="majorEastAsia" w:eastAsiaTheme="majorEastAsia"/>
          <w:color w:val="auto"/>
          <w:sz w:val="24"/>
        </w:rPr>
        <w:t>所在页码</w:t>
      </w:r>
    </w:p>
    <w:p w14:paraId="3BC5CE95">
      <w:pPr>
        <w:pStyle w:val="140"/>
        <w:numPr>
          <w:ilvl w:val="0"/>
          <w:numId w:val="20"/>
        </w:numPr>
        <w:spacing w:line="500" w:lineRule="exact"/>
        <w:ind w:firstLineChars="0"/>
        <w:rPr>
          <w:rFonts w:ascii="宋体" w:hAnsi="宋体"/>
          <w:color w:val="auto"/>
        </w:rPr>
      </w:pPr>
      <w:r>
        <w:rPr>
          <w:rFonts w:hint="eastAsia" w:ascii="宋体" w:hAnsi="宋体"/>
          <w:color w:val="auto"/>
        </w:rPr>
        <w:t>法定代表人（非法人组织负责人）证明书………………………</w:t>
      </w:r>
      <w:r>
        <w:rPr>
          <w:rFonts w:hint="eastAsia" w:asciiTheme="majorEastAsia" w:hAnsiTheme="majorEastAsia" w:eastAsiaTheme="majorEastAsia"/>
          <w:color w:val="auto"/>
          <w:sz w:val="24"/>
        </w:rPr>
        <w:t>所在页码</w:t>
      </w:r>
    </w:p>
    <w:p w14:paraId="27DE473F">
      <w:pPr>
        <w:pStyle w:val="140"/>
        <w:numPr>
          <w:ilvl w:val="0"/>
          <w:numId w:val="20"/>
        </w:numPr>
        <w:spacing w:line="500" w:lineRule="exact"/>
        <w:ind w:firstLineChars="0"/>
        <w:rPr>
          <w:rFonts w:ascii="宋体" w:hAnsi="宋体"/>
          <w:color w:val="auto"/>
        </w:rPr>
      </w:pPr>
      <w:r>
        <w:rPr>
          <w:rFonts w:hint="eastAsia" w:ascii="宋体" w:hAnsi="宋体"/>
          <w:color w:val="auto"/>
        </w:rPr>
        <w:t>法定代表人（非法人组织负责人）授权书………………………</w:t>
      </w:r>
      <w:r>
        <w:rPr>
          <w:rFonts w:hint="eastAsia" w:asciiTheme="majorEastAsia" w:hAnsiTheme="majorEastAsia" w:eastAsiaTheme="majorEastAsia"/>
          <w:color w:val="auto"/>
          <w:sz w:val="24"/>
        </w:rPr>
        <w:t>所在页码</w:t>
      </w:r>
    </w:p>
    <w:p w14:paraId="3923436D">
      <w:pPr>
        <w:pStyle w:val="140"/>
        <w:numPr>
          <w:ilvl w:val="0"/>
          <w:numId w:val="20"/>
        </w:numPr>
        <w:spacing w:line="500" w:lineRule="exact"/>
        <w:ind w:firstLineChars="0"/>
        <w:rPr>
          <w:rFonts w:ascii="宋体" w:hAnsi="宋体"/>
          <w:color w:val="auto"/>
        </w:rPr>
      </w:pPr>
      <w:r>
        <w:rPr>
          <w:rFonts w:hint="eastAsia" w:ascii="宋体" w:hAnsi="宋体"/>
          <w:color w:val="auto"/>
        </w:rPr>
        <w:t>投标人承诺函………………………………………………………</w:t>
      </w:r>
      <w:r>
        <w:rPr>
          <w:rFonts w:hint="eastAsia" w:asciiTheme="majorEastAsia" w:hAnsiTheme="majorEastAsia" w:eastAsiaTheme="majorEastAsia"/>
          <w:color w:val="auto"/>
          <w:sz w:val="24"/>
        </w:rPr>
        <w:t>所在页码</w:t>
      </w:r>
    </w:p>
    <w:p w14:paraId="2E03D448">
      <w:pPr>
        <w:pStyle w:val="140"/>
        <w:numPr>
          <w:ilvl w:val="0"/>
          <w:numId w:val="20"/>
        </w:numPr>
        <w:spacing w:line="500" w:lineRule="exact"/>
        <w:ind w:firstLineChars="0"/>
        <w:rPr>
          <w:rFonts w:ascii="宋体" w:hAnsi="宋体"/>
          <w:color w:val="auto"/>
        </w:rPr>
      </w:pPr>
      <w:r>
        <w:rPr>
          <w:rFonts w:hint="eastAsia" w:ascii="宋体" w:hAnsi="宋体"/>
          <w:color w:val="auto"/>
        </w:rPr>
        <w:t>投标人诚信承诺书…………………………………………………</w:t>
      </w:r>
      <w:r>
        <w:rPr>
          <w:rFonts w:hint="eastAsia" w:asciiTheme="majorEastAsia" w:hAnsiTheme="majorEastAsia" w:eastAsiaTheme="majorEastAsia"/>
          <w:color w:val="auto"/>
          <w:sz w:val="24"/>
        </w:rPr>
        <w:t>所在页码</w:t>
      </w:r>
    </w:p>
    <w:p w14:paraId="7032F21E">
      <w:pPr>
        <w:pStyle w:val="140"/>
        <w:numPr>
          <w:ilvl w:val="0"/>
          <w:numId w:val="20"/>
        </w:numPr>
        <w:spacing w:line="500" w:lineRule="exact"/>
        <w:ind w:firstLineChars="0"/>
        <w:rPr>
          <w:rFonts w:ascii="宋体" w:hAnsi="宋体"/>
          <w:color w:val="auto"/>
        </w:rPr>
      </w:pPr>
      <w:r>
        <w:rPr>
          <w:rFonts w:hint="eastAsia" w:ascii="宋体" w:hAnsi="宋体"/>
          <w:color w:val="auto"/>
        </w:rPr>
        <w:t>供应商资格证明文件………………………………………………</w:t>
      </w:r>
      <w:r>
        <w:rPr>
          <w:rFonts w:hint="eastAsia" w:asciiTheme="majorEastAsia" w:hAnsiTheme="majorEastAsia" w:eastAsiaTheme="majorEastAsia"/>
          <w:color w:val="auto"/>
          <w:sz w:val="24"/>
        </w:rPr>
        <w:t>所在页码</w:t>
      </w:r>
    </w:p>
    <w:p w14:paraId="2F2D5D16">
      <w:pPr>
        <w:pStyle w:val="140"/>
        <w:numPr>
          <w:ilvl w:val="0"/>
          <w:numId w:val="20"/>
        </w:numPr>
        <w:spacing w:line="500" w:lineRule="exact"/>
        <w:ind w:firstLineChars="0"/>
        <w:rPr>
          <w:rFonts w:hint="eastAsia" w:ascii="宋体" w:hAnsi="宋体"/>
          <w:color w:val="auto"/>
        </w:rPr>
      </w:pPr>
      <w:r>
        <w:rPr>
          <w:rFonts w:hint="eastAsia" w:ascii="宋体" w:hAnsi="宋体"/>
          <w:color w:val="auto"/>
        </w:rPr>
        <w:t>财务状况、缴纳税收和社会保障资金证明………………………</w:t>
      </w:r>
      <w:r>
        <w:rPr>
          <w:rFonts w:hint="eastAsia" w:asciiTheme="majorEastAsia" w:hAnsiTheme="majorEastAsia" w:eastAsiaTheme="majorEastAsia"/>
          <w:color w:val="auto"/>
          <w:sz w:val="24"/>
        </w:rPr>
        <w:t>所在页码</w:t>
      </w:r>
    </w:p>
    <w:p w14:paraId="7B94F0A9">
      <w:pPr>
        <w:pStyle w:val="140"/>
        <w:numPr>
          <w:ilvl w:val="0"/>
          <w:numId w:val="20"/>
        </w:numPr>
        <w:spacing w:line="500" w:lineRule="exact"/>
        <w:ind w:firstLineChars="0"/>
        <w:rPr>
          <w:rFonts w:ascii="宋体" w:hAnsi="宋体"/>
          <w:color w:val="auto"/>
        </w:rPr>
      </w:pPr>
      <w:r>
        <w:rPr>
          <w:rFonts w:hint="eastAsia" w:ascii="宋体" w:hAnsi="宋体"/>
          <w:color w:val="auto"/>
        </w:rPr>
        <w:t>具备履行合同所必需的设备和专业技术能力的证明材料………</w:t>
      </w:r>
      <w:r>
        <w:rPr>
          <w:rFonts w:hint="eastAsia" w:asciiTheme="majorEastAsia" w:hAnsiTheme="majorEastAsia" w:eastAsiaTheme="majorEastAsia"/>
          <w:color w:val="auto"/>
          <w:sz w:val="24"/>
        </w:rPr>
        <w:t>所在页码</w:t>
      </w:r>
    </w:p>
    <w:p w14:paraId="6B0DB391">
      <w:pPr>
        <w:pStyle w:val="140"/>
        <w:numPr>
          <w:ilvl w:val="0"/>
          <w:numId w:val="20"/>
        </w:numPr>
        <w:spacing w:line="500" w:lineRule="exact"/>
        <w:ind w:firstLineChars="0"/>
        <w:rPr>
          <w:rFonts w:hint="eastAsia" w:ascii="宋体" w:hAnsi="宋体"/>
          <w:color w:val="auto"/>
        </w:rPr>
      </w:pPr>
      <w:r>
        <w:rPr>
          <w:rFonts w:hint="eastAsia" w:ascii="宋体" w:hAnsi="宋体"/>
          <w:color w:val="auto"/>
        </w:rPr>
        <w:t>无重大违法记录声明………………………………………………</w:t>
      </w:r>
      <w:r>
        <w:rPr>
          <w:rFonts w:hint="eastAsia" w:asciiTheme="majorEastAsia" w:hAnsiTheme="majorEastAsia" w:eastAsiaTheme="majorEastAsia"/>
          <w:color w:val="auto"/>
          <w:sz w:val="24"/>
        </w:rPr>
        <w:t>所在页码</w:t>
      </w:r>
    </w:p>
    <w:p w14:paraId="0BCD27D9">
      <w:pPr>
        <w:pStyle w:val="140"/>
        <w:numPr>
          <w:ilvl w:val="0"/>
          <w:numId w:val="20"/>
        </w:numPr>
        <w:spacing w:line="500" w:lineRule="exact"/>
        <w:ind w:firstLineChars="0"/>
        <w:rPr>
          <w:rFonts w:ascii="宋体" w:hAnsi="宋体"/>
          <w:color w:val="auto"/>
        </w:rPr>
      </w:pPr>
      <w:r>
        <w:rPr>
          <w:rFonts w:hint="eastAsia" w:ascii="宋体" w:hAnsi="宋体"/>
          <w:color w:val="auto"/>
        </w:rPr>
        <w:t>磋商保证金证明……………………………………………………</w:t>
      </w:r>
      <w:r>
        <w:rPr>
          <w:rFonts w:hint="eastAsia" w:asciiTheme="majorEastAsia" w:hAnsiTheme="majorEastAsia" w:eastAsiaTheme="majorEastAsia"/>
          <w:color w:val="auto"/>
          <w:sz w:val="24"/>
        </w:rPr>
        <w:t>所在页码</w:t>
      </w:r>
    </w:p>
    <w:p w14:paraId="5A8B6153">
      <w:pPr>
        <w:pStyle w:val="140"/>
        <w:spacing w:line="500" w:lineRule="exact"/>
        <w:ind w:left="840" w:firstLine="0" w:firstLineChars="0"/>
        <w:rPr>
          <w:rFonts w:ascii="宋体" w:hAnsi="宋体"/>
          <w:color w:val="auto"/>
        </w:rPr>
      </w:pPr>
      <w:r>
        <w:rPr>
          <w:rFonts w:hint="eastAsia" w:ascii="宋体" w:hAnsi="宋体"/>
          <w:color w:val="auto"/>
        </w:rPr>
        <w:t>（二）符合性审查文件</w:t>
      </w:r>
    </w:p>
    <w:p w14:paraId="007BE4F6">
      <w:pPr>
        <w:pStyle w:val="140"/>
        <w:numPr>
          <w:ilvl w:val="0"/>
          <w:numId w:val="20"/>
        </w:numPr>
        <w:spacing w:line="500" w:lineRule="exact"/>
        <w:ind w:firstLineChars="0"/>
        <w:rPr>
          <w:rFonts w:ascii="宋体" w:hAnsi="宋体"/>
          <w:color w:val="auto"/>
        </w:rPr>
      </w:pPr>
      <w:r>
        <w:rPr>
          <w:rFonts w:hint="eastAsia" w:ascii="宋体" w:hAnsi="宋体"/>
          <w:color w:val="auto"/>
        </w:rPr>
        <w:t>竞争性磋商首次报价表…………………………………………</w:t>
      </w:r>
      <w:r>
        <w:rPr>
          <w:rFonts w:hint="eastAsia" w:asciiTheme="majorEastAsia" w:hAnsiTheme="majorEastAsia" w:eastAsiaTheme="majorEastAsia"/>
          <w:color w:val="auto"/>
          <w:sz w:val="24"/>
        </w:rPr>
        <w:t>所在页码</w:t>
      </w:r>
    </w:p>
    <w:p w14:paraId="78AE60FD">
      <w:pPr>
        <w:pStyle w:val="140"/>
        <w:numPr>
          <w:ilvl w:val="0"/>
          <w:numId w:val="20"/>
        </w:numPr>
        <w:spacing w:line="500" w:lineRule="exact"/>
        <w:ind w:firstLineChars="0"/>
        <w:rPr>
          <w:rFonts w:ascii="宋体" w:hAnsi="宋体"/>
          <w:color w:val="auto"/>
        </w:rPr>
      </w:pPr>
      <w:r>
        <w:rPr>
          <w:rFonts w:hint="eastAsia" w:ascii="宋体" w:hAnsi="宋体"/>
          <w:color w:val="auto"/>
        </w:rPr>
        <w:t>分项报价表………………………………………………………</w:t>
      </w:r>
      <w:r>
        <w:rPr>
          <w:rFonts w:hint="eastAsia" w:asciiTheme="majorEastAsia" w:hAnsiTheme="majorEastAsia" w:eastAsiaTheme="majorEastAsia"/>
          <w:color w:val="auto"/>
          <w:sz w:val="24"/>
        </w:rPr>
        <w:t>所在页码</w:t>
      </w:r>
    </w:p>
    <w:p w14:paraId="5E17C639">
      <w:pPr>
        <w:pStyle w:val="140"/>
        <w:numPr>
          <w:ilvl w:val="0"/>
          <w:numId w:val="20"/>
        </w:numPr>
        <w:spacing w:line="500" w:lineRule="exact"/>
        <w:ind w:firstLineChars="0"/>
        <w:rPr>
          <w:rFonts w:ascii="宋体" w:hAnsi="宋体"/>
          <w:color w:val="auto"/>
        </w:rPr>
      </w:pPr>
      <w:r>
        <w:rPr>
          <w:rFonts w:hint="eastAsia" w:ascii="宋体" w:hAnsi="宋体"/>
          <w:color w:val="auto"/>
        </w:rPr>
        <w:t>技术规格响应表…………………………………………………</w:t>
      </w:r>
      <w:r>
        <w:rPr>
          <w:rFonts w:hint="eastAsia" w:asciiTheme="majorEastAsia" w:hAnsiTheme="majorEastAsia" w:eastAsiaTheme="majorEastAsia"/>
          <w:color w:val="auto"/>
          <w:sz w:val="24"/>
        </w:rPr>
        <w:t>所在页码</w:t>
      </w:r>
    </w:p>
    <w:p w14:paraId="3FF81B50">
      <w:pPr>
        <w:pStyle w:val="140"/>
        <w:numPr>
          <w:ilvl w:val="0"/>
          <w:numId w:val="20"/>
        </w:numPr>
        <w:spacing w:line="500" w:lineRule="exact"/>
        <w:ind w:firstLineChars="0"/>
        <w:rPr>
          <w:rFonts w:ascii="宋体" w:hAnsi="宋体"/>
          <w:color w:val="auto"/>
        </w:rPr>
      </w:pPr>
      <w:r>
        <w:rPr>
          <w:rFonts w:hint="eastAsia" w:ascii="宋体" w:hAnsi="宋体"/>
          <w:color w:val="auto"/>
        </w:rPr>
        <w:t>投标产品相关资料………………………………………………</w:t>
      </w:r>
      <w:r>
        <w:rPr>
          <w:rFonts w:hint="eastAsia" w:asciiTheme="majorEastAsia" w:hAnsiTheme="majorEastAsia" w:eastAsiaTheme="majorEastAsia"/>
          <w:color w:val="auto"/>
          <w:sz w:val="24"/>
        </w:rPr>
        <w:t>所在页码</w:t>
      </w:r>
    </w:p>
    <w:p w14:paraId="296EAF11">
      <w:pPr>
        <w:pStyle w:val="140"/>
        <w:numPr>
          <w:ilvl w:val="0"/>
          <w:numId w:val="20"/>
        </w:numPr>
        <w:spacing w:line="500" w:lineRule="exact"/>
        <w:ind w:firstLineChars="0"/>
        <w:rPr>
          <w:rFonts w:ascii="宋体" w:hAnsi="宋体"/>
          <w:color w:val="auto"/>
        </w:rPr>
      </w:pPr>
      <w:r>
        <w:rPr>
          <w:rFonts w:hint="eastAsia" w:ascii="宋体" w:hAnsi="宋体"/>
          <w:color w:val="auto"/>
        </w:rPr>
        <w:t>供应商类似业绩证明材料………………………………………</w:t>
      </w:r>
      <w:r>
        <w:rPr>
          <w:rFonts w:hint="eastAsia" w:asciiTheme="majorEastAsia" w:hAnsiTheme="majorEastAsia" w:eastAsiaTheme="majorEastAsia"/>
          <w:color w:val="auto"/>
          <w:sz w:val="24"/>
        </w:rPr>
        <w:t>所在页码</w:t>
      </w:r>
    </w:p>
    <w:p w14:paraId="780F1706">
      <w:pPr>
        <w:pStyle w:val="140"/>
        <w:numPr>
          <w:ilvl w:val="0"/>
          <w:numId w:val="20"/>
        </w:numPr>
        <w:spacing w:line="500" w:lineRule="exact"/>
        <w:ind w:firstLineChars="0"/>
        <w:rPr>
          <w:rFonts w:ascii="宋体" w:hAnsi="宋体"/>
          <w:color w:val="auto"/>
        </w:rPr>
      </w:pPr>
      <w:r>
        <w:rPr>
          <w:rFonts w:hint="eastAsia" w:ascii="宋体" w:hAnsi="宋体"/>
          <w:color w:val="auto"/>
        </w:rPr>
        <w:t>交货方案…………………………………………………………</w:t>
      </w:r>
      <w:r>
        <w:rPr>
          <w:rFonts w:hint="eastAsia" w:asciiTheme="majorEastAsia" w:hAnsiTheme="majorEastAsia" w:eastAsiaTheme="majorEastAsia"/>
          <w:color w:val="auto"/>
          <w:sz w:val="24"/>
        </w:rPr>
        <w:t>所在页码</w:t>
      </w:r>
    </w:p>
    <w:p w14:paraId="5FF06175">
      <w:pPr>
        <w:pStyle w:val="140"/>
        <w:numPr>
          <w:ilvl w:val="0"/>
          <w:numId w:val="20"/>
        </w:numPr>
        <w:spacing w:line="500" w:lineRule="exact"/>
        <w:ind w:firstLineChars="0"/>
        <w:rPr>
          <w:rFonts w:ascii="宋体" w:hAnsi="宋体"/>
          <w:color w:val="auto"/>
        </w:rPr>
      </w:pPr>
      <w:r>
        <w:rPr>
          <w:rFonts w:hint="eastAsia" w:ascii="宋体" w:hAnsi="宋体"/>
          <w:color w:val="auto"/>
        </w:rPr>
        <w:t>享受政府采购政策优惠的证明资料……………………………</w:t>
      </w:r>
      <w:r>
        <w:rPr>
          <w:rFonts w:hint="eastAsia" w:asciiTheme="majorEastAsia" w:hAnsiTheme="majorEastAsia" w:eastAsiaTheme="majorEastAsia"/>
          <w:color w:val="auto"/>
          <w:sz w:val="24"/>
        </w:rPr>
        <w:t>所在页码</w:t>
      </w:r>
    </w:p>
    <w:p w14:paraId="5C427B73">
      <w:pPr>
        <w:pStyle w:val="140"/>
        <w:numPr>
          <w:ilvl w:val="0"/>
          <w:numId w:val="20"/>
        </w:numPr>
        <w:spacing w:line="500" w:lineRule="exact"/>
        <w:ind w:firstLineChars="0"/>
        <w:rPr>
          <w:rFonts w:ascii="宋体" w:hAnsi="宋体"/>
          <w:color w:val="auto"/>
        </w:rPr>
      </w:pPr>
      <w:r>
        <w:rPr>
          <w:rFonts w:hint="eastAsia" w:ascii="宋体" w:hAnsi="宋体"/>
          <w:color w:val="auto"/>
        </w:rPr>
        <w:t>供应商认为在其他方面有必要说明的事项……………………</w:t>
      </w:r>
      <w:r>
        <w:rPr>
          <w:rFonts w:hint="eastAsia" w:asciiTheme="majorEastAsia" w:hAnsiTheme="majorEastAsia" w:eastAsiaTheme="majorEastAsia"/>
          <w:color w:val="auto"/>
          <w:sz w:val="24"/>
        </w:rPr>
        <w:t>所在页码</w:t>
      </w:r>
    </w:p>
    <w:p w14:paraId="6C692D17">
      <w:pPr>
        <w:ind w:firstLine="199" w:firstLineChars="83"/>
        <w:rPr>
          <w:b/>
          <w:color w:val="auto"/>
        </w:rPr>
      </w:pPr>
      <w:r>
        <w:rPr>
          <w:rFonts w:hAnsi="宋体"/>
          <w:color w:val="auto"/>
        </w:rPr>
        <w:br w:type="page"/>
      </w:r>
      <w:r>
        <w:rPr>
          <w:rFonts w:hint="eastAsia"/>
          <w:b/>
          <w:color w:val="auto"/>
        </w:rPr>
        <w:t>（磋商响应文件封面）</w:t>
      </w:r>
    </w:p>
    <w:p w14:paraId="0F2D1EF4">
      <w:pPr>
        <w:spacing w:line="360" w:lineRule="auto"/>
        <w:ind w:firstLine="2088" w:firstLineChars="400"/>
        <w:rPr>
          <w:rFonts w:ascii="仿宋_GB2312" w:hAnsi="宋体" w:eastAsia="仿宋_GB2312"/>
          <w:b/>
          <w:color w:val="auto"/>
          <w:sz w:val="52"/>
          <w:szCs w:val="52"/>
        </w:rPr>
      </w:pPr>
    </w:p>
    <w:p w14:paraId="7280E205">
      <w:pPr>
        <w:spacing w:line="360" w:lineRule="auto"/>
        <w:ind w:firstLine="2088" w:firstLineChars="400"/>
        <w:rPr>
          <w:rFonts w:ascii="仿宋_GB2312" w:hAnsi="宋体" w:eastAsia="仿宋_GB2312"/>
          <w:b/>
          <w:color w:val="auto"/>
          <w:sz w:val="52"/>
          <w:szCs w:val="52"/>
        </w:rPr>
      </w:pPr>
      <w:r>
        <w:rPr>
          <w:rFonts w:hint="eastAsia" w:ascii="仿宋_GB2312" w:hAnsi="宋体" w:eastAsia="仿宋_GB2312"/>
          <w:b/>
          <w:color w:val="auto"/>
          <w:sz w:val="52"/>
          <w:szCs w:val="52"/>
        </w:rPr>
        <w:t>青海省政府采购项目</w:t>
      </w:r>
    </w:p>
    <w:p w14:paraId="1693357D">
      <w:pPr>
        <w:spacing w:line="360" w:lineRule="auto"/>
        <w:ind w:firstLine="944" w:firstLineChars="392"/>
        <w:rPr>
          <w:rFonts w:ascii="宋体"/>
          <w:b/>
          <w:color w:val="auto"/>
          <w:szCs w:val="21"/>
        </w:rPr>
      </w:pPr>
    </w:p>
    <w:p w14:paraId="0B1F0DB4">
      <w:pPr>
        <w:spacing w:line="360" w:lineRule="auto"/>
        <w:ind w:firstLine="2364" w:firstLineChars="327"/>
        <w:rPr>
          <w:rFonts w:ascii="宋体"/>
          <w:b/>
          <w:color w:val="auto"/>
          <w:sz w:val="72"/>
          <w:szCs w:val="72"/>
        </w:rPr>
      </w:pPr>
    </w:p>
    <w:p w14:paraId="531F8D8E">
      <w:pPr>
        <w:spacing w:line="360" w:lineRule="auto"/>
        <w:ind w:firstLine="2364" w:firstLineChars="327"/>
        <w:rPr>
          <w:rFonts w:ascii="宋体"/>
          <w:b/>
          <w:color w:val="auto"/>
          <w:sz w:val="72"/>
          <w:szCs w:val="72"/>
        </w:rPr>
      </w:pPr>
      <w:r>
        <w:rPr>
          <w:rFonts w:hint="eastAsia" w:ascii="宋体" w:hAnsi="宋体"/>
          <w:b/>
          <w:color w:val="auto"/>
          <w:sz w:val="72"/>
          <w:szCs w:val="72"/>
        </w:rPr>
        <w:t>磋商响应文件</w:t>
      </w:r>
    </w:p>
    <w:p w14:paraId="338F5304">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（资格审查文件）</w:t>
      </w:r>
    </w:p>
    <w:p w14:paraId="70F4C72C">
      <w:pPr>
        <w:spacing w:line="360" w:lineRule="auto"/>
        <w:ind w:firstLine="788" w:firstLineChars="327"/>
        <w:rPr>
          <w:rFonts w:ascii="宋体"/>
          <w:b/>
          <w:color w:val="auto"/>
        </w:rPr>
      </w:pPr>
    </w:p>
    <w:p w14:paraId="793B5401">
      <w:pPr>
        <w:adjustRightInd w:val="0"/>
        <w:spacing w:line="360" w:lineRule="auto"/>
        <w:textAlignment w:val="baseline"/>
        <w:rPr>
          <w:rFonts w:ascii="宋体"/>
          <w:b/>
          <w:bCs/>
          <w:color w:val="auto"/>
          <w:sz w:val="32"/>
        </w:rPr>
      </w:pPr>
    </w:p>
    <w:p w14:paraId="1AEF8865">
      <w:pPr>
        <w:adjustRightInd w:val="0"/>
        <w:spacing w:line="360" w:lineRule="auto"/>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6"/>
          <w:szCs w:val="36"/>
          <w:lang w:eastAsia="zh-CN"/>
        </w:rPr>
        <w:t>青海雅辉竞磋（货物）2024-006</w:t>
      </w:r>
    </w:p>
    <w:p w14:paraId="2C29D801">
      <w:pPr>
        <w:adjustRightInd w:val="0"/>
        <w:spacing w:line="360" w:lineRule="auto"/>
        <w:ind w:left="2512" w:right="-283" w:rightChars="-118" w:hanging="2512" w:hangingChars="695"/>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采购项目名称</w:t>
      </w:r>
      <w:r>
        <w:rPr>
          <w:rFonts w:ascii="宋体" w:hAnsi="宋体"/>
          <w:b/>
          <w:bCs/>
          <w:color w:val="auto"/>
          <w:sz w:val="36"/>
          <w:szCs w:val="36"/>
        </w:rPr>
        <w:t xml:space="preserve">: </w:t>
      </w:r>
      <w:r>
        <w:rPr>
          <w:rFonts w:hint="eastAsia" w:ascii="宋体" w:hAnsi="宋体"/>
          <w:b/>
          <w:color w:val="auto"/>
          <w:sz w:val="36"/>
          <w:szCs w:val="36"/>
          <w:lang w:eastAsia="zh-CN"/>
        </w:rPr>
        <w:t>玉树州职业技术学校民族服装与服饰专业建设项目</w:t>
      </w:r>
    </w:p>
    <w:p w14:paraId="3191DA6F">
      <w:pPr>
        <w:adjustRightInd w:val="0"/>
        <w:spacing w:line="360" w:lineRule="auto"/>
        <w:ind w:right="-283" w:rightChars="-118"/>
        <w:textAlignment w:val="baseline"/>
        <w:rPr>
          <w:rFonts w:ascii="宋体"/>
          <w:b/>
          <w:bCs/>
          <w:color w:val="auto"/>
          <w:sz w:val="36"/>
          <w:szCs w:val="36"/>
        </w:rPr>
      </w:pPr>
    </w:p>
    <w:p w14:paraId="424D636D">
      <w:pPr>
        <w:adjustRightInd w:val="0"/>
        <w:spacing w:line="360" w:lineRule="auto"/>
        <w:ind w:firstLine="643" w:firstLineChars="200"/>
        <w:textAlignment w:val="baseline"/>
        <w:outlineLvl w:val="1"/>
        <w:rPr>
          <w:rFonts w:hint="eastAsia" w:ascii="宋体" w:hAnsi="宋体" w:cs="宋体"/>
          <w:b/>
          <w:bCs/>
          <w:color w:val="auto"/>
          <w:sz w:val="32"/>
          <w:szCs w:val="32"/>
          <w:u w:val="single"/>
        </w:rPr>
      </w:pPr>
      <w:r>
        <w:rPr>
          <w:rFonts w:hint="eastAsia" w:ascii="宋体" w:hAnsi="宋体" w:cs="宋体"/>
          <w:b/>
          <w:bCs/>
          <w:color w:val="auto"/>
          <w:sz w:val="32"/>
          <w:szCs w:val="32"/>
          <w:lang w:val="en-US" w:eastAsia="zh-CN"/>
        </w:rPr>
        <w:t>磋商</w:t>
      </w:r>
      <w:r>
        <w:rPr>
          <w:rFonts w:hint="eastAsia" w:ascii="宋体" w:hAnsi="宋体" w:cs="宋体"/>
          <w:b/>
          <w:bCs/>
          <w:color w:val="auto"/>
          <w:sz w:val="32"/>
          <w:szCs w:val="32"/>
        </w:rPr>
        <w:t>供应商</w:t>
      </w:r>
      <w:r>
        <w:rPr>
          <w:rFonts w:hint="eastAsia" w:ascii="宋体" w:hAnsi="宋体" w:cs="宋体"/>
          <w:b/>
          <w:color w:val="auto"/>
          <w:sz w:val="32"/>
          <w:szCs w:val="32"/>
        </w:rPr>
        <w:t>：</w:t>
      </w:r>
      <w:r>
        <w:rPr>
          <w:rFonts w:hint="eastAsia" w:ascii="宋体" w:hAnsi="宋体" w:cs="宋体"/>
          <w:b/>
          <w:color w:val="auto"/>
          <w:sz w:val="32"/>
          <w:szCs w:val="32"/>
          <w:u w:val="single"/>
        </w:rPr>
        <w:t xml:space="preserve">                         （公章）</w:t>
      </w:r>
    </w:p>
    <w:p w14:paraId="448B2CCE">
      <w:pPr>
        <w:adjustRightInd w:val="0"/>
        <w:spacing w:line="360" w:lineRule="auto"/>
        <w:textAlignment w:val="baseline"/>
        <w:outlineLvl w:val="1"/>
        <w:rPr>
          <w:rFonts w:hint="eastAsia" w:ascii="宋体" w:hAnsi="宋体" w:eastAsia="宋体" w:cs="宋体"/>
          <w:b/>
          <w:bCs/>
          <w:color w:val="auto"/>
          <w:sz w:val="28"/>
          <w:szCs w:val="28"/>
        </w:rPr>
      </w:pPr>
      <w:r>
        <w:rPr>
          <w:rFonts w:hint="eastAsia" w:ascii="宋体" w:hAnsi="宋体" w:eastAsia="宋体" w:cs="宋体"/>
          <w:b/>
          <w:bCs/>
          <w:color w:val="auto"/>
          <w:sz w:val="28"/>
          <w:szCs w:val="28"/>
        </w:rPr>
        <w:t>法定代表人（非法人组织的负责人）或委托代理人：</w:t>
      </w:r>
      <w:r>
        <w:rPr>
          <w:rFonts w:hint="eastAsia" w:ascii="宋体" w:hAnsi="宋体" w:eastAsia="宋体" w:cs="宋体"/>
          <w:b/>
          <w:bCs/>
          <w:color w:val="auto"/>
          <w:sz w:val="28"/>
          <w:szCs w:val="28"/>
          <w:u w:val="single"/>
          <w:lang w:val="en-US" w:eastAsia="zh-CN"/>
        </w:rPr>
        <w:t xml:space="preserve">       </w:t>
      </w:r>
      <w:r>
        <w:rPr>
          <w:rFonts w:hint="eastAsia" w:ascii="宋体" w:hAnsi="宋体" w:eastAsia="宋体" w:cs="宋体"/>
          <w:b/>
          <w:bCs/>
          <w:color w:val="auto"/>
          <w:sz w:val="28"/>
          <w:szCs w:val="28"/>
          <w:u w:val="single"/>
        </w:rPr>
        <w:t xml:space="preserve"> </w:t>
      </w:r>
      <w:r>
        <w:rPr>
          <w:rFonts w:hint="eastAsia" w:ascii="宋体" w:hAnsi="宋体" w:eastAsia="宋体" w:cs="宋体"/>
          <w:b/>
          <w:bCs/>
          <w:color w:val="auto"/>
          <w:sz w:val="28"/>
          <w:szCs w:val="28"/>
        </w:rPr>
        <w:t>（签字</w:t>
      </w:r>
      <w:r>
        <w:rPr>
          <w:rFonts w:hint="eastAsia" w:ascii="宋体" w:hAnsi="宋体" w:eastAsia="宋体" w:cs="宋体"/>
          <w:b/>
          <w:bCs/>
          <w:color w:val="auto"/>
          <w:sz w:val="28"/>
          <w:szCs w:val="28"/>
          <w:lang w:eastAsia="zh-CN"/>
        </w:rPr>
        <w:t>或盖章</w:t>
      </w:r>
      <w:r>
        <w:rPr>
          <w:rFonts w:hint="eastAsia" w:ascii="宋体" w:hAnsi="宋体" w:eastAsia="宋体" w:cs="宋体"/>
          <w:b/>
          <w:bCs/>
          <w:color w:val="auto"/>
          <w:sz w:val="28"/>
          <w:szCs w:val="28"/>
        </w:rPr>
        <w:t>）</w:t>
      </w:r>
    </w:p>
    <w:p w14:paraId="73639F39">
      <w:pPr>
        <w:spacing w:line="360" w:lineRule="auto"/>
        <w:ind w:firstLine="3534" w:firstLineChars="1100"/>
        <w:rPr>
          <w:rFonts w:ascii="宋体"/>
          <w:b/>
          <w:color w:val="auto"/>
          <w:sz w:val="32"/>
        </w:rPr>
      </w:pPr>
      <w:r>
        <w:rPr>
          <w:rFonts w:hint="eastAsia" w:ascii="宋体" w:hAnsi="宋体"/>
          <w:b/>
          <w:color w:val="auto"/>
          <w:sz w:val="32"/>
        </w:rPr>
        <w:t>年</w:t>
      </w:r>
      <w:r>
        <w:rPr>
          <w:rFonts w:ascii="宋体" w:hAnsi="宋体"/>
          <w:b/>
          <w:color w:val="auto"/>
          <w:sz w:val="32"/>
        </w:rPr>
        <w:t xml:space="preserve">  </w:t>
      </w:r>
      <w:r>
        <w:rPr>
          <w:rFonts w:hint="eastAsia" w:ascii="宋体" w:hAnsi="宋体"/>
          <w:b/>
          <w:color w:val="auto"/>
          <w:sz w:val="32"/>
        </w:rPr>
        <w:t>月</w:t>
      </w:r>
      <w:r>
        <w:rPr>
          <w:rFonts w:ascii="宋体" w:hAnsi="宋体"/>
          <w:b/>
          <w:color w:val="auto"/>
          <w:sz w:val="32"/>
        </w:rPr>
        <w:t xml:space="preserve">  </w:t>
      </w:r>
      <w:r>
        <w:rPr>
          <w:rFonts w:hint="eastAsia" w:ascii="宋体" w:hAnsi="宋体"/>
          <w:b/>
          <w:color w:val="auto"/>
          <w:sz w:val="32"/>
        </w:rPr>
        <w:t>日</w:t>
      </w:r>
    </w:p>
    <w:p w14:paraId="2B12E6BB">
      <w:pPr>
        <w:autoSpaceDE w:val="0"/>
        <w:autoSpaceDN w:val="0"/>
        <w:spacing w:line="360" w:lineRule="auto"/>
        <w:outlineLvl w:val="1"/>
        <w:rPr>
          <w:rFonts w:ascii="宋体"/>
          <w:b/>
          <w:color w:val="auto"/>
          <w:sz w:val="28"/>
          <w:szCs w:val="28"/>
        </w:rPr>
      </w:pPr>
      <w:r>
        <w:rPr>
          <w:rFonts w:ascii="宋体"/>
          <w:b/>
          <w:color w:val="auto"/>
          <w:sz w:val="28"/>
          <w:szCs w:val="28"/>
        </w:rPr>
        <w:br w:type="page"/>
      </w:r>
      <w:bookmarkStart w:id="69" w:name="_Toc496626235"/>
      <w:bookmarkStart w:id="70" w:name="_Toc325726037"/>
      <w:bookmarkStart w:id="71" w:name="_Toc13769"/>
      <w:bookmarkStart w:id="72" w:name="_Toc376936768"/>
      <w:r>
        <w:rPr>
          <w:rFonts w:hint="eastAsia" w:ascii="宋体" w:hAnsi="宋体" w:eastAsia="宋体" w:cs="宋体"/>
          <w:b/>
          <w:bCs/>
          <w:color w:val="auto"/>
          <w:kern w:val="2"/>
          <w:sz w:val="21"/>
          <w:szCs w:val="21"/>
          <w:lang w:val="en-US" w:eastAsia="zh-CN" w:bidi="ar-SA"/>
        </w:rPr>
        <w:t>（1）磋商函</w:t>
      </w:r>
      <w:bookmarkEnd w:id="69"/>
      <w:bookmarkEnd w:id="70"/>
      <w:bookmarkEnd w:id="71"/>
      <w:bookmarkEnd w:id="72"/>
    </w:p>
    <w:p w14:paraId="192E1DB4">
      <w:pPr>
        <w:ind w:firstLine="3813" w:firstLineChars="1055"/>
        <w:rPr>
          <w:rFonts w:ascii="宋体"/>
          <w:b/>
          <w:color w:val="auto"/>
          <w:sz w:val="36"/>
          <w:szCs w:val="36"/>
        </w:rPr>
      </w:pPr>
    </w:p>
    <w:p w14:paraId="7F766FD9">
      <w:pPr>
        <w:ind w:firstLine="3813" w:firstLineChars="1055"/>
        <w:rPr>
          <w:rFonts w:ascii="宋体"/>
          <w:b/>
          <w:color w:val="auto"/>
          <w:sz w:val="36"/>
          <w:szCs w:val="36"/>
        </w:rPr>
      </w:pPr>
      <w:r>
        <w:rPr>
          <w:rFonts w:hint="eastAsia" w:ascii="宋体" w:hAnsi="宋体"/>
          <w:b/>
          <w:color w:val="auto"/>
          <w:sz w:val="36"/>
          <w:szCs w:val="36"/>
        </w:rPr>
        <w:t>磋商函</w:t>
      </w:r>
    </w:p>
    <w:p w14:paraId="17C5935A">
      <w:pPr>
        <w:adjustRightInd w:val="0"/>
        <w:textAlignment w:val="baseline"/>
        <w:rPr>
          <w:rFonts w:ascii="宋体"/>
          <w:b/>
          <w:color w:val="auto"/>
        </w:rPr>
      </w:pPr>
    </w:p>
    <w:p w14:paraId="06925E65">
      <w:pPr>
        <w:adjustRightInd w:val="0"/>
        <w:textAlignment w:val="baseline"/>
        <w:rPr>
          <w:rFonts w:hint="eastAsia" w:ascii="宋体" w:eastAsia="宋体"/>
          <w:b/>
          <w:color w:val="auto"/>
          <w:lang w:eastAsia="zh-CN"/>
        </w:rPr>
      </w:pPr>
      <w:r>
        <w:rPr>
          <w:rFonts w:hint="eastAsia" w:ascii="宋体" w:hAnsi="宋体"/>
          <w:b/>
          <w:color w:val="auto"/>
        </w:rPr>
        <w:t>致：</w:t>
      </w:r>
      <w:r>
        <w:rPr>
          <w:rFonts w:hint="eastAsia" w:ascii="宋体" w:hAnsi="宋体"/>
          <w:b/>
          <w:color w:val="auto"/>
          <w:lang w:eastAsia="zh-CN"/>
        </w:rPr>
        <w:t>青海雅辉工程项目管理有限公司</w:t>
      </w:r>
    </w:p>
    <w:p w14:paraId="2C481D1C">
      <w:pPr>
        <w:adjustRightInd w:val="0"/>
        <w:ind w:firstLine="480"/>
        <w:textAlignment w:val="baseline"/>
        <w:rPr>
          <w:rFonts w:ascii="宋体"/>
          <w:color w:val="auto"/>
        </w:rPr>
      </w:pPr>
    </w:p>
    <w:p w14:paraId="34FF6278">
      <w:pPr>
        <w:adjustRightInd w:val="0"/>
        <w:ind w:firstLine="480"/>
        <w:textAlignment w:val="baseline"/>
        <w:rPr>
          <w:rFonts w:ascii="宋体"/>
          <w:color w:val="auto"/>
        </w:rPr>
      </w:pPr>
      <w:r>
        <w:rPr>
          <w:rFonts w:hint="eastAsia" w:ascii="宋体" w:hAnsi="宋体"/>
          <w:color w:val="auto"/>
        </w:rPr>
        <w:t>我们收到</w:t>
      </w:r>
      <w:r>
        <w:rPr>
          <w:rFonts w:hint="eastAsia" w:ascii="宋体" w:hAnsi="宋体"/>
          <w:color w:val="auto"/>
          <w:lang w:eastAsia="zh-CN"/>
        </w:rPr>
        <w:t>青海雅辉竞磋（货物）2024-006</w:t>
      </w:r>
      <w:r>
        <w:rPr>
          <w:rFonts w:hint="eastAsia" w:ascii="宋体" w:hAnsi="宋体"/>
          <w:color w:val="auto"/>
        </w:rPr>
        <w:t>磋商文件，经研究，法定代表人（姓名、职务）正式授权（委托代理人姓名、职务）代表供应商（供应商名称、地址）提交磋商响应文件。</w:t>
      </w:r>
      <w:r>
        <w:rPr>
          <w:rFonts w:ascii="宋体" w:hAnsi="宋体"/>
          <w:color w:val="auto"/>
        </w:rPr>
        <w:t xml:space="preserve">    </w:t>
      </w:r>
    </w:p>
    <w:p w14:paraId="3C749390">
      <w:pPr>
        <w:adjustRightInd w:val="0"/>
        <w:ind w:firstLine="424" w:firstLineChars="177"/>
        <w:textAlignment w:val="baseline"/>
        <w:rPr>
          <w:rFonts w:ascii="宋体"/>
          <w:color w:val="auto"/>
        </w:rPr>
      </w:pPr>
      <w:r>
        <w:rPr>
          <w:rFonts w:hint="eastAsia" w:ascii="宋体" w:hAnsi="宋体"/>
          <w:color w:val="auto"/>
        </w:rPr>
        <w:t>据此函，签字代表宣布同意如下：</w:t>
      </w:r>
    </w:p>
    <w:p w14:paraId="01CBC9DA">
      <w:pPr>
        <w:adjustRightInd w:val="0"/>
        <w:ind w:firstLine="424" w:firstLineChars="177"/>
        <w:textAlignment w:val="baseline"/>
        <w:rPr>
          <w:rFonts w:ascii="宋体"/>
          <w:color w:val="auto"/>
        </w:rPr>
      </w:pPr>
      <w:r>
        <w:rPr>
          <w:rFonts w:ascii="宋体" w:hAnsi="宋体"/>
          <w:color w:val="auto"/>
        </w:rPr>
        <w:t>1</w:t>
      </w:r>
      <w:r>
        <w:rPr>
          <w:rFonts w:hint="eastAsia" w:ascii="宋体" w:hAnsi="宋体"/>
          <w:color w:val="auto"/>
        </w:rPr>
        <w:t>、我方已详阅磋商文件的全部内容，包括澄清、修改条款等有关附件，承诺对其完全理解并接受。</w:t>
      </w:r>
    </w:p>
    <w:p w14:paraId="6C397D50">
      <w:pPr>
        <w:adjustRightInd w:val="0"/>
        <w:ind w:firstLine="424" w:firstLineChars="177"/>
        <w:textAlignment w:val="baseline"/>
        <w:rPr>
          <w:rFonts w:ascii="宋体"/>
          <w:color w:val="auto"/>
        </w:rPr>
      </w:pPr>
      <w:r>
        <w:rPr>
          <w:rFonts w:ascii="宋体" w:hAnsi="宋体"/>
          <w:color w:val="auto"/>
        </w:rPr>
        <w:t>2</w:t>
      </w:r>
      <w:r>
        <w:rPr>
          <w:rFonts w:hint="eastAsia" w:ascii="宋体" w:hAnsi="宋体"/>
          <w:color w:val="auto"/>
        </w:rPr>
        <w:t>、磋商有效期自开标之日起</w:t>
      </w:r>
      <w:r>
        <w:rPr>
          <w:rFonts w:ascii="宋体" w:hAnsi="宋体"/>
          <w:color w:val="auto"/>
        </w:rPr>
        <w:t>60</w:t>
      </w:r>
      <w:r>
        <w:rPr>
          <w:rFonts w:hint="eastAsia" w:ascii="宋体" w:hAnsi="宋体"/>
          <w:color w:val="auto"/>
        </w:rPr>
        <w:t>天内有效。如果在规定的磋商时间后，我方在磋商有效期内撤回投标或成交后不签约的，磋商保证金将被贵方没收。</w:t>
      </w:r>
    </w:p>
    <w:p w14:paraId="7C8E8B4D">
      <w:pPr>
        <w:adjustRightInd w:val="0"/>
        <w:ind w:firstLine="424" w:firstLineChars="177"/>
        <w:textAlignment w:val="baseline"/>
        <w:rPr>
          <w:rFonts w:ascii="宋体"/>
          <w:color w:val="auto"/>
        </w:rPr>
      </w:pPr>
      <w:r>
        <w:rPr>
          <w:rFonts w:ascii="宋体" w:hAnsi="宋体"/>
          <w:color w:val="auto"/>
        </w:rPr>
        <w:t>3</w:t>
      </w:r>
      <w:r>
        <w:rPr>
          <w:rFonts w:hint="eastAsia" w:ascii="宋体" w:hAnsi="宋体"/>
          <w:color w:val="auto"/>
        </w:rPr>
        <w:t>、我方同意按照贵方要求提供与磋商有关的一切数据或资料，理解并接受贵方制定的评标办法。</w:t>
      </w:r>
    </w:p>
    <w:p w14:paraId="7AE174D6">
      <w:pPr>
        <w:adjustRightInd w:val="0"/>
        <w:ind w:firstLine="424" w:firstLineChars="177"/>
        <w:textAlignment w:val="baseline"/>
        <w:rPr>
          <w:rFonts w:ascii="宋体"/>
          <w:color w:val="auto"/>
        </w:rPr>
      </w:pPr>
      <w:r>
        <w:rPr>
          <w:rFonts w:ascii="宋体" w:hAnsi="宋体"/>
          <w:color w:val="auto"/>
        </w:rPr>
        <w:t>4</w:t>
      </w:r>
      <w:r>
        <w:rPr>
          <w:rFonts w:hint="eastAsia" w:ascii="宋体" w:hAnsi="宋体"/>
          <w:color w:val="auto"/>
        </w:rPr>
        <w:t>、与本磋商有关的一切正式往来通讯请寄：</w:t>
      </w:r>
    </w:p>
    <w:p w14:paraId="486D9711">
      <w:pPr>
        <w:adjustRightInd w:val="0"/>
        <w:ind w:firstLine="424" w:firstLineChars="177"/>
        <w:textAlignment w:val="baseline"/>
        <w:rPr>
          <w:rFonts w:ascii="宋体"/>
          <w:color w:val="auto"/>
        </w:rPr>
      </w:pPr>
      <w:r>
        <w:rPr>
          <w:rFonts w:hint="eastAsia" w:ascii="宋体" w:hAnsi="宋体"/>
          <w:color w:val="auto"/>
        </w:rPr>
        <w:t>地址：</w:t>
      </w:r>
      <w:r>
        <w:rPr>
          <w:rFonts w:ascii="宋体" w:hAnsi="宋体"/>
          <w:color w:val="auto"/>
        </w:rPr>
        <w:t xml:space="preserve">_______________   </w:t>
      </w:r>
      <w:r>
        <w:rPr>
          <w:rFonts w:hint="eastAsia" w:ascii="宋体" w:hAnsi="宋体"/>
          <w:color w:val="auto"/>
        </w:rPr>
        <w:t>邮编：</w:t>
      </w:r>
      <w:r>
        <w:rPr>
          <w:rFonts w:ascii="宋体" w:hAnsi="宋体"/>
          <w:color w:val="auto"/>
        </w:rPr>
        <w:t>______________</w:t>
      </w:r>
    </w:p>
    <w:p w14:paraId="355041B5">
      <w:pPr>
        <w:adjustRightInd w:val="0"/>
        <w:ind w:firstLine="424" w:firstLineChars="177"/>
        <w:textAlignment w:val="baseline"/>
        <w:rPr>
          <w:rFonts w:ascii="宋体"/>
          <w:color w:val="auto"/>
        </w:rPr>
      </w:pPr>
      <w:r>
        <w:rPr>
          <w:rFonts w:hint="eastAsia" w:ascii="宋体" w:hAnsi="宋体"/>
          <w:color w:val="auto"/>
        </w:rPr>
        <w:t>电话：</w:t>
      </w:r>
      <w:r>
        <w:rPr>
          <w:rFonts w:ascii="宋体" w:hAnsi="宋体"/>
          <w:color w:val="auto"/>
        </w:rPr>
        <w:t xml:space="preserve">_______________   </w:t>
      </w:r>
      <w:r>
        <w:rPr>
          <w:rFonts w:hint="eastAsia" w:ascii="宋体" w:hAnsi="宋体"/>
          <w:color w:val="auto"/>
        </w:rPr>
        <w:t>传真：</w:t>
      </w:r>
      <w:r>
        <w:rPr>
          <w:rFonts w:ascii="宋体" w:hAnsi="宋体"/>
          <w:color w:val="auto"/>
        </w:rPr>
        <w:t>______________</w:t>
      </w:r>
    </w:p>
    <w:p w14:paraId="6AE4C662">
      <w:pPr>
        <w:adjustRightInd w:val="0"/>
        <w:ind w:firstLine="424" w:firstLineChars="177"/>
        <w:textAlignment w:val="baseline"/>
        <w:rPr>
          <w:rFonts w:ascii="宋体"/>
          <w:color w:val="auto"/>
        </w:rPr>
      </w:pPr>
      <w:r>
        <w:rPr>
          <w:rFonts w:hint="eastAsia" w:ascii="宋体" w:hAnsi="宋体"/>
          <w:color w:val="auto"/>
        </w:rPr>
        <w:t>法定代表人姓名：</w:t>
      </w:r>
      <w:r>
        <w:rPr>
          <w:rFonts w:ascii="宋体" w:hAnsi="宋体"/>
          <w:color w:val="auto"/>
        </w:rPr>
        <w:t xml:space="preserve"> ___________ </w:t>
      </w:r>
      <w:r>
        <w:rPr>
          <w:rFonts w:hint="eastAsia" w:ascii="宋体" w:hAnsi="宋体"/>
          <w:color w:val="auto"/>
        </w:rPr>
        <w:t>职务：</w:t>
      </w:r>
      <w:r>
        <w:rPr>
          <w:rFonts w:ascii="宋体" w:hAnsi="宋体"/>
          <w:color w:val="auto"/>
        </w:rPr>
        <w:t>____________</w:t>
      </w:r>
    </w:p>
    <w:p w14:paraId="2F37EDBA">
      <w:pPr>
        <w:adjustRightInd w:val="0"/>
        <w:ind w:firstLine="480"/>
        <w:textAlignment w:val="baseline"/>
        <w:rPr>
          <w:rFonts w:ascii="宋体"/>
          <w:color w:val="auto"/>
        </w:rPr>
      </w:pPr>
    </w:p>
    <w:p w14:paraId="56E31586">
      <w:pPr>
        <w:ind w:firstLine="480"/>
        <w:jc w:val="center"/>
        <w:rPr>
          <w:rFonts w:ascii="宋体"/>
          <w:color w:val="auto"/>
        </w:rPr>
      </w:pPr>
    </w:p>
    <w:p w14:paraId="1E55EA4F">
      <w:pPr>
        <w:ind w:firstLine="480"/>
        <w:jc w:val="center"/>
        <w:rPr>
          <w:rFonts w:ascii="宋体"/>
          <w:color w:val="auto"/>
        </w:rPr>
      </w:pPr>
    </w:p>
    <w:p w14:paraId="4E5710E2">
      <w:pPr>
        <w:adjustRightInd w:val="0"/>
        <w:ind w:firstLine="560"/>
        <w:textAlignment w:val="baseline"/>
        <w:rPr>
          <w:rFonts w:ascii="仿宋_GB2312" w:hAnsi="宋体" w:eastAsia="仿宋_GB2312"/>
          <w:color w:val="auto"/>
          <w:sz w:val="28"/>
          <w:szCs w:val="28"/>
        </w:rPr>
      </w:pPr>
    </w:p>
    <w:p w14:paraId="2A8FDC06">
      <w:pPr>
        <w:adjustRightInd w:val="0"/>
        <w:textAlignment w:val="baseline"/>
        <w:rPr>
          <w:rFonts w:ascii="仿宋_GB2312" w:hAnsi="宋体" w:eastAsia="仿宋_GB2312"/>
          <w:color w:val="auto"/>
          <w:sz w:val="28"/>
          <w:szCs w:val="28"/>
        </w:rPr>
      </w:pPr>
    </w:p>
    <w:p w14:paraId="1DF46D85">
      <w:pPr>
        <w:ind w:firstLine="560"/>
        <w:jc w:val="center"/>
        <w:rPr>
          <w:rFonts w:ascii="宋体"/>
          <w:b/>
          <w:color w:val="auto"/>
        </w:rPr>
      </w:pPr>
      <w:r>
        <w:rPr>
          <w:rFonts w:ascii="仿宋_GB2312" w:hAnsi="宋体" w:eastAsia="仿宋_GB2312"/>
          <w:color w:val="auto"/>
          <w:sz w:val="28"/>
          <w:szCs w:val="28"/>
        </w:rPr>
        <w:t xml:space="preserve">           </w:t>
      </w:r>
      <w:r>
        <w:rPr>
          <w:rFonts w:hint="eastAsia" w:ascii="宋体" w:hAnsi="宋体" w:cs="宋体"/>
          <w:b/>
          <w:bCs/>
          <w:color w:val="auto"/>
          <w:kern w:val="0"/>
          <w:lang w:val="zh-CN"/>
        </w:rPr>
        <w:t>供应商</w:t>
      </w:r>
      <w:r>
        <w:rPr>
          <w:rFonts w:hint="eastAsia" w:ascii="宋体" w:hAnsi="宋体"/>
          <w:b/>
          <w:color w:val="auto"/>
        </w:rPr>
        <w:t>：</w:t>
      </w:r>
      <w:r>
        <w:rPr>
          <w:rFonts w:ascii="仿宋_GB2312" w:eastAsia="仿宋_GB2312" w:cs="宋体"/>
          <w:color w:val="auto"/>
          <w:kern w:val="0"/>
          <w:u w:val="single"/>
        </w:rPr>
        <w:t xml:space="preserve">       </w:t>
      </w:r>
      <w:r>
        <w:rPr>
          <w:rFonts w:hint="eastAsia" w:ascii="宋体" w:hAnsi="宋体"/>
          <w:b/>
          <w:color w:val="auto"/>
        </w:rPr>
        <w:t>（公章）</w:t>
      </w:r>
    </w:p>
    <w:p w14:paraId="24461C5D">
      <w:pPr>
        <w:ind w:firstLine="482"/>
        <w:jc w:val="center"/>
        <w:rPr>
          <w:rFonts w:ascii="宋体"/>
          <w:b/>
          <w:color w:val="auto"/>
        </w:rPr>
      </w:pPr>
      <w:r>
        <w:rPr>
          <w:rFonts w:ascii="宋体" w:hAnsi="宋体"/>
          <w:b/>
          <w:color w:val="auto"/>
        </w:rPr>
        <w:t xml:space="preserve">        </w:t>
      </w:r>
      <w:r>
        <w:rPr>
          <w:rFonts w:hint="eastAsia" w:ascii="宋体" w:hAnsi="宋体"/>
          <w:b/>
          <w:color w:val="auto"/>
        </w:rPr>
        <w:t>法定代表人</w:t>
      </w:r>
      <w:r>
        <w:rPr>
          <w:rFonts w:hint="eastAsia" w:ascii="宋体" w:hAnsi="宋体" w:cs="宋体"/>
          <w:b/>
          <w:color w:val="auto"/>
        </w:rPr>
        <w:t>（非法人组织的负责人）</w:t>
      </w:r>
      <w:r>
        <w:rPr>
          <w:rFonts w:hint="eastAsia" w:ascii="宋体" w:hAnsi="宋体"/>
          <w:b/>
          <w:color w:val="auto"/>
        </w:rPr>
        <w:t>或委托代理人：</w:t>
      </w:r>
      <w:r>
        <w:rPr>
          <w:rFonts w:ascii="仿宋_GB2312" w:eastAsia="仿宋_GB2312" w:cs="宋体"/>
          <w:color w:val="auto"/>
          <w:kern w:val="0"/>
          <w:u w:val="single"/>
        </w:rPr>
        <w:t xml:space="preserve">       </w:t>
      </w:r>
      <w:r>
        <w:rPr>
          <w:rFonts w:hint="eastAsia" w:ascii="宋体" w:hAnsi="宋体"/>
          <w:b/>
          <w:color w:val="auto"/>
        </w:rPr>
        <w:t>（签字或盖章）</w:t>
      </w:r>
    </w:p>
    <w:p w14:paraId="48F2806C">
      <w:pPr>
        <w:ind w:firstLine="480"/>
        <w:jc w:val="center"/>
        <w:rPr>
          <w:b/>
          <w:color w:val="auto"/>
        </w:rPr>
      </w:pPr>
      <w:r>
        <w:rPr>
          <w:color w:val="auto"/>
        </w:rPr>
        <w:t xml:space="preserve">              </w:t>
      </w:r>
      <w:r>
        <w:rPr>
          <w:b/>
          <w:color w:val="auto"/>
        </w:rPr>
        <w:t xml:space="preserve"> </w:t>
      </w:r>
      <w:r>
        <w:rPr>
          <w:rFonts w:hint="eastAsia"/>
          <w:b/>
          <w:color w:val="auto"/>
        </w:rPr>
        <w:t>年</w:t>
      </w:r>
      <w:r>
        <w:rPr>
          <w:b/>
          <w:color w:val="auto"/>
        </w:rPr>
        <w:t xml:space="preserve">   </w:t>
      </w:r>
      <w:r>
        <w:rPr>
          <w:rFonts w:hint="eastAsia"/>
          <w:b/>
          <w:color w:val="auto"/>
        </w:rPr>
        <w:t>月</w:t>
      </w:r>
      <w:r>
        <w:rPr>
          <w:b/>
          <w:color w:val="auto"/>
        </w:rPr>
        <w:t xml:space="preserve">  </w:t>
      </w:r>
      <w:r>
        <w:rPr>
          <w:rFonts w:hint="eastAsia"/>
          <w:b/>
          <w:color w:val="auto"/>
        </w:rPr>
        <w:t>日</w:t>
      </w:r>
    </w:p>
    <w:p w14:paraId="005D26C0">
      <w:pPr>
        <w:ind w:firstLine="482"/>
        <w:jc w:val="center"/>
        <w:rPr>
          <w:rFonts w:ascii="宋体"/>
          <w:b/>
          <w:color w:val="auto"/>
        </w:rPr>
      </w:pPr>
    </w:p>
    <w:p w14:paraId="4644B7BC">
      <w:pPr>
        <w:ind w:firstLine="482"/>
        <w:jc w:val="center"/>
        <w:rPr>
          <w:rFonts w:ascii="宋体"/>
          <w:b/>
          <w:color w:val="auto"/>
        </w:rPr>
      </w:pPr>
    </w:p>
    <w:p w14:paraId="5A4F1E8A">
      <w:pPr>
        <w:bidi w:val="0"/>
        <w:outlineLvl w:val="1"/>
        <w:rPr>
          <w:rFonts w:hint="eastAsia"/>
          <w:b/>
          <w:bCs/>
          <w:color w:val="auto"/>
          <w:lang w:val="en-US" w:eastAsia="zh-CN"/>
        </w:rPr>
      </w:pPr>
      <w:bookmarkStart w:id="73" w:name="_Toc32754"/>
      <w:bookmarkStart w:id="74" w:name="_Toc29944"/>
      <w:bookmarkStart w:id="75" w:name="_Toc28726"/>
      <w:r>
        <w:rPr>
          <w:rFonts w:hint="eastAsia"/>
          <w:b/>
          <w:bCs/>
          <w:color w:val="auto"/>
          <w:lang w:val="zh-CN" w:eastAsia="zh-CN"/>
        </w:rPr>
        <w:t>（</w:t>
      </w:r>
      <w:r>
        <w:rPr>
          <w:rFonts w:hint="eastAsia"/>
          <w:b/>
          <w:bCs/>
          <w:color w:val="auto"/>
          <w:lang w:val="en-US" w:eastAsia="zh-CN"/>
        </w:rPr>
        <w:t>2</w:t>
      </w:r>
      <w:r>
        <w:rPr>
          <w:rFonts w:hint="eastAsia"/>
          <w:b/>
          <w:bCs/>
          <w:color w:val="auto"/>
          <w:lang w:val="zh-CN" w:eastAsia="zh-CN"/>
        </w:rPr>
        <w:t>）</w:t>
      </w:r>
      <w:r>
        <w:rPr>
          <w:rFonts w:hint="eastAsia"/>
          <w:b/>
          <w:bCs/>
          <w:color w:val="auto"/>
          <w:lang w:val="en-US" w:eastAsia="zh-CN"/>
        </w:rPr>
        <w:t>法定代表人（非法人组织负责人）证明书</w:t>
      </w:r>
      <w:bookmarkEnd w:id="73"/>
    </w:p>
    <w:p w14:paraId="4EFE9FCA">
      <w:pPr>
        <w:spacing w:line="360" w:lineRule="auto"/>
        <w:jc w:val="center"/>
        <w:rPr>
          <w:rFonts w:ascii="宋体" w:hAnsi="宋体" w:cs="宋体"/>
          <w:b/>
          <w:bCs/>
          <w:color w:val="auto"/>
        </w:rPr>
      </w:pPr>
    </w:p>
    <w:p w14:paraId="2B331D0B">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法定代表人（非法人组织负责人）证明书</w:t>
      </w:r>
    </w:p>
    <w:p w14:paraId="1CE8BABA">
      <w:pPr>
        <w:spacing w:line="520" w:lineRule="exact"/>
        <w:rPr>
          <w:rFonts w:ascii="宋体" w:hAnsi="宋体" w:cs="宋体"/>
          <w:b/>
          <w:bCs/>
          <w:color w:val="auto"/>
        </w:rPr>
      </w:pPr>
    </w:p>
    <w:p w14:paraId="6E598D20">
      <w:pPr>
        <w:autoSpaceDE w:val="0"/>
        <w:autoSpaceDN w:val="0"/>
        <w:spacing w:line="520" w:lineRule="exact"/>
        <w:ind w:firstLine="482"/>
        <w:rPr>
          <w:rFonts w:hint="eastAsia" w:ascii="宋体" w:hAnsi="宋体" w:eastAsia="宋体" w:cs="宋体"/>
          <w:b/>
          <w:bCs/>
          <w:color w:val="auto"/>
          <w:lang w:eastAsia="zh-CN"/>
        </w:rPr>
      </w:pPr>
      <w:r>
        <w:rPr>
          <w:rFonts w:hint="eastAsia" w:ascii="宋体" w:hAnsi="宋体" w:cs="宋体"/>
          <w:b/>
          <w:bCs/>
          <w:color w:val="auto"/>
          <w:lang w:val="zh-CN"/>
        </w:rPr>
        <w:t>致：</w:t>
      </w:r>
      <w:r>
        <w:rPr>
          <w:rFonts w:hint="eastAsia" w:ascii="宋体" w:hAnsi="宋体" w:cs="宋体"/>
          <w:b/>
          <w:bCs/>
          <w:color w:val="auto"/>
          <w:lang w:eastAsia="zh-CN"/>
        </w:rPr>
        <w:t>青海雅辉工程项目管理有限公司</w:t>
      </w:r>
    </w:p>
    <w:p w14:paraId="6D822F18">
      <w:pPr>
        <w:autoSpaceDE w:val="0"/>
        <w:autoSpaceDN w:val="0"/>
        <w:spacing w:line="520" w:lineRule="exact"/>
        <w:ind w:firstLine="480"/>
        <w:rPr>
          <w:rFonts w:ascii="宋体" w:hAnsi="宋体" w:cs="宋体"/>
          <w:color w:val="auto"/>
          <w:lang w:val="zh-CN"/>
        </w:rPr>
      </w:pPr>
    </w:p>
    <w:p w14:paraId="769773FD">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 xml:space="preserve"> </w:t>
      </w:r>
      <w:r>
        <w:rPr>
          <w:rFonts w:hint="eastAsia" w:ascii="宋体" w:hAnsi="宋体" w:cs="宋体"/>
          <w:color w:val="auto"/>
          <w:u w:val="single"/>
          <w:lang w:val="zh-CN"/>
        </w:rPr>
        <w:t xml:space="preserve">   法定代表人（非法人组织负责人）姓名</w:t>
      </w:r>
      <w:r>
        <w:rPr>
          <w:rFonts w:hint="eastAsia" w:ascii="宋体" w:hAnsi="宋体" w:cs="宋体"/>
          <w:color w:val="auto"/>
          <w:lang w:val="zh-CN"/>
        </w:rPr>
        <w:t>现任我单位</w:t>
      </w:r>
      <w:r>
        <w:rPr>
          <w:rFonts w:hint="eastAsia" w:ascii="宋体" w:hAnsi="宋体" w:cs="宋体"/>
          <w:color w:val="auto"/>
          <w:u w:val="single"/>
          <w:lang w:val="zh-CN"/>
        </w:rPr>
        <w:t xml:space="preserve">      </w:t>
      </w:r>
      <w:r>
        <w:rPr>
          <w:rFonts w:hint="eastAsia" w:ascii="宋体" w:hAnsi="宋体" w:cs="宋体"/>
          <w:color w:val="auto"/>
          <w:lang w:val="zh-CN"/>
        </w:rPr>
        <w:t>职务，为法定代表人（非法人组织的负责人），特此证明。</w:t>
      </w:r>
    </w:p>
    <w:p w14:paraId="6E908A4B">
      <w:pPr>
        <w:autoSpaceDE w:val="0"/>
        <w:autoSpaceDN w:val="0"/>
        <w:spacing w:line="520" w:lineRule="exact"/>
        <w:ind w:firstLine="480"/>
        <w:rPr>
          <w:rFonts w:ascii="宋体" w:hAnsi="宋体" w:cs="宋体"/>
          <w:color w:val="auto"/>
          <w:lang w:val="zh-CN"/>
        </w:rPr>
      </w:pPr>
    </w:p>
    <w:p w14:paraId="09D44FA9">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法定代表人（非法人组织的负责人）基本情况：</w:t>
      </w:r>
    </w:p>
    <w:p w14:paraId="244DC077">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性别：</w:t>
      </w:r>
      <w:r>
        <w:rPr>
          <w:rFonts w:hint="eastAsia" w:ascii="宋体" w:hAnsi="宋体" w:cs="宋体"/>
          <w:color w:val="auto"/>
          <w:u w:val="single"/>
          <w:lang w:val="zh-CN"/>
        </w:rPr>
        <w:t xml:space="preserve">           </w:t>
      </w:r>
      <w:r>
        <w:rPr>
          <w:rFonts w:hint="eastAsia" w:ascii="宋体" w:hAnsi="宋体" w:cs="宋体"/>
          <w:color w:val="auto"/>
          <w:lang w:val="zh-CN"/>
        </w:rPr>
        <w:t>年龄：</w:t>
      </w:r>
      <w:r>
        <w:rPr>
          <w:rFonts w:hint="eastAsia" w:ascii="宋体" w:hAnsi="宋体" w:cs="宋体"/>
          <w:color w:val="auto"/>
          <w:u w:val="single"/>
          <w:lang w:val="zh-CN"/>
        </w:rPr>
        <w:t xml:space="preserve">           </w:t>
      </w:r>
      <w:r>
        <w:rPr>
          <w:rFonts w:hint="eastAsia" w:ascii="宋体" w:hAnsi="宋体" w:cs="宋体"/>
          <w:color w:val="auto"/>
          <w:lang w:val="zh-CN"/>
        </w:rPr>
        <w:t xml:space="preserve"> 民族：</w:t>
      </w:r>
      <w:r>
        <w:rPr>
          <w:rFonts w:hint="eastAsia" w:ascii="宋体" w:hAnsi="宋体" w:cs="宋体"/>
          <w:color w:val="auto"/>
          <w:u w:val="single"/>
          <w:lang w:val="zh-CN"/>
        </w:rPr>
        <w:t xml:space="preserve">         </w:t>
      </w:r>
    </w:p>
    <w:p w14:paraId="4C573421">
      <w:pPr>
        <w:autoSpaceDE w:val="0"/>
        <w:autoSpaceDN w:val="0"/>
        <w:spacing w:line="520" w:lineRule="exact"/>
        <w:ind w:firstLine="480"/>
        <w:rPr>
          <w:rFonts w:ascii="宋体" w:hAnsi="宋体" w:cs="宋体"/>
          <w:color w:val="auto"/>
          <w:u w:val="single"/>
          <w:lang w:val="zh-CN"/>
        </w:rPr>
      </w:pPr>
      <w:r>
        <w:rPr>
          <w:rFonts w:hint="eastAsia" w:ascii="宋体" w:hAnsi="宋体" w:cs="宋体"/>
          <w:color w:val="auto"/>
          <w:lang w:val="zh-CN"/>
        </w:rPr>
        <w:t>地址：</w:t>
      </w:r>
      <w:r>
        <w:rPr>
          <w:rFonts w:hint="eastAsia" w:ascii="宋体" w:hAnsi="宋体" w:cs="宋体"/>
          <w:color w:val="auto"/>
          <w:u w:val="single"/>
          <w:lang w:val="zh-CN"/>
        </w:rPr>
        <w:t xml:space="preserve">                                            </w:t>
      </w:r>
    </w:p>
    <w:p w14:paraId="79915CA9">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身份证号码：</w:t>
      </w:r>
      <w:r>
        <w:rPr>
          <w:rFonts w:hint="eastAsia" w:ascii="宋体" w:hAnsi="宋体" w:cs="宋体"/>
          <w:color w:val="auto"/>
          <w:u w:val="single"/>
          <w:lang w:val="zh-CN"/>
        </w:rPr>
        <w:t xml:space="preserve">                                      </w:t>
      </w:r>
    </w:p>
    <w:p w14:paraId="0D707E10">
      <w:pPr>
        <w:autoSpaceDE w:val="0"/>
        <w:autoSpaceDN w:val="0"/>
        <w:spacing w:line="520" w:lineRule="exact"/>
        <w:ind w:firstLine="480"/>
        <w:rPr>
          <w:rFonts w:ascii="宋体" w:hAnsi="宋体" w:cs="宋体"/>
          <w:color w:val="auto"/>
          <w:lang w:val="zh-CN"/>
        </w:rPr>
      </w:pPr>
    </w:p>
    <w:p w14:paraId="15CC32C5">
      <w:pPr>
        <w:autoSpaceDE w:val="0"/>
        <w:autoSpaceDN w:val="0"/>
        <w:spacing w:line="520" w:lineRule="exact"/>
        <w:ind w:firstLine="480"/>
        <w:rPr>
          <w:rFonts w:ascii="宋体" w:hAnsi="宋体" w:cs="宋体"/>
          <w:color w:val="auto"/>
          <w:lang w:val="zh-CN"/>
        </w:rPr>
      </w:pPr>
      <w:r>
        <w:rPr>
          <w:rFonts w:hint="eastAsia" w:ascii="宋体" w:hAnsi="宋体" w:cs="宋体"/>
          <w:color w:val="auto"/>
          <w:lang w:val="zh-CN"/>
        </w:rPr>
        <w:t>附法定代表人第二代身份证双面扫描（或复印）件</w:t>
      </w:r>
    </w:p>
    <w:p w14:paraId="5EC65D5F">
      <w:pPr>
        <w:autoSpaceDE w:val="0"/>
        <w:autoSpaceDN w:val="0"/>
        <w:spacing w:line="360" w:lineRule="auto"/>
        <w:jc w:val="left"/>
        <w:rPr>
          <w:rFonts w:ascii="宋体" w:hAnsi="宋体" w:cs="宋体"/>
          <w:color w:val="auto"/>
        </w:rPr>
      </w:pPr>
    </w:p>
    <w:p w14:paraId="4EBCE72C">
      <w:pPr>
        <w:autoSpaceDE w:val="0"/>
        <w:autoSpaceDN w:val="0"/>
        <w:spacing w:line="360" w:lineRule="auto"/>
        <w:jc w:val="left"/>
        <w:rPr>
          <w:rFonts w:ascii="宋体" w:hAnsi="宋体" w:cs="宋体"/>
          <w:color w:val="auto"/>
        </w:rPr>
      </w:pPr>
    </w:p>
    <w:p w14:paraId="01CBE1E6">
      <w:pPr>
        <w:spacing w:line="360" w:lineRule="auto"/>
        <w:jc w:val="center"/>
        <w:rPr>
          <w:rFonts w:hint="eastAsia" w:ascii="宋体" w:hAnsi="宋体" w:cs="宋体"/>
          <w:b/>
          <w:color w:val="auto"/>
        </w:rPr>
      </w:pPr>
    </w:p>
    <w:p w14:paraId="6B4F849B">
      <w:pPr>
        <w:spacing w:line="360" w:lineRule="auto"/>
        <w:jc w:val="center"/>
        <w:rPr>
          <w:rFonts w:hint="eastAsia" w:ascii="宋体" w:hAnsi="宋体" w:cs="宋体"/>
          <w:b/>
          <w:color w:val="auto"/>
        </w:rPr>
      </w:pPr>
      <w:r>
        <w:rPr>
          <w:rFonts w:hint="eastAsia" w:ascii="宋体" w:hAnsi="宋体" w:cs="宋体"/>
          <w:b/>
          <w:color w:val="auto"/>
        </w:rPr>
        <w:t xml:space="preserve">                               供应商：          （公章）</w:t>
      </w:r>
    </w:p>
    <w:p w14:paraId="1DC46B60">
      <w:pPr>
        <w:spacing w:line="360" w:lineRule="auto"/>
        <w:jc w:val="center"/>
        <w:rPr>
          <w:rFonts w:hint="eastAsia" w:ascii="宋体" w:hAnsi="宋体" w:cs="宋体"/>
          <w:b/>
          <w:color w:val="auto"/>
        </w:rPr>
      </w:pPr>
      <w:r>
        <w:rPr>
          <w:rFonts w:hint="eastAsia" w:ascii="宋体" w:hAnsi="宋体" w:cs="宋体"/>
          <w:b/>
          <w:color w:val="auto"/>
        </w:rPr>
        <w:t>法定代表人（非法人组织的负责人）或委托代理人：         （签字或盖章）</w:t>
      </w:r>
    </w:p>
    <w:p w14:paraId="36003EAC">
      <w:pPr>
        <w:spacing w:line="360" w:lineRule="auto"/>
        <w:jc w:val="center"/>
        <w:rPr>
          <w:rFonts w:hint="eastAsia" w:ascii="宋体" w:hAnsi="宋体" w:cs="宋体"/>
          <w:b/>
          <w:color w:val="auto"/>
          <w:lang w:val="zh-CN"/>
        </w:rPr>
      </w:pPr>
      <w:r>
        <w:rPr>
          <w:rFonts w:hint="eastAsia" w:ascii="宋体" w:hAnsi="宋体" w:cs="宋体"/>
          <w:b/>
          <w:color w:val="auto"/>
        </w:rPr>
        <w:t xml:space="preserve">                                    </w:t>
      </w:r>
      <w:bookmarkStart w:id="76" w:name="_Toc26760"/>
      <w:bookmarkStart w:id="77" w:name="_Toc25025"/>
      <w:bookmarkStart w:id="78" w:name="_Toc25155"/>
      <w:bookmarkStart w:id="79" w:name="_Toc76659133"/>
      <w:bookmarkStart w:id="80" w:name="_Toc26461"/>
      <w:r>
        <w:rPr>
          <w:rFonts w:hint="eastAsia" w:ascii="宋体" w:hAnsi="宋体" w:cs="宋体"/>
          <w:b/>
          <w:color w:val="auto"/>
        </w:rPr>
        <w:t>年   月   日</w:t>
      </w:r>
      <w:bookmarkEnd w:id="76"/>
      <w:bookmarkEnd w:id="77"/>
      <w:bookmarkEnd w:id="78"/>
      <w:bookmarkEnd w:id="79"/>
      <w:bookmarkEnd w:id="80"/>
    </w:p>
    <w:p w14:paraId="12B938FC">
      <w:pPr>
        <w:wordWrap w:val="0"/>
        <w:spacing w:line="360" w:lineRule="auto"/>
        <w:outlineLvl w:val="1"/>
        <w:rPr>
          <w:b/>
          <w:bCs/>
          <w:color w:val="auto"/>
        </w:rPr>
      </w:pPr>
      <w:r>
        <w:rPr>
          <w:rFonts w:hint="eastAsia" w:ascii="宋体" w:hAnsi="宋体" w:cs="宋体"/>
          <w:color w:val="auto"/>
          <w:lang w:val="zh-CN"/>
        </w:rPr>
        <w:br w:type="page"/>
      </w:r>
      <w:bookmarkEnd w:id="74"/>
      <w:bookmarkStart w:id="81" w:name="_Toc2650"/>
      <w:bookmarkStart w:id="82" w:name="_Toc17284"/>
      <w:r>
        <w:rPr>
          <w:rFonts w:hint="eastAsia"/>
          <w:b/>
          <w:bCs/>
          <w:color w:val="auto"/>
          <w:lang w:val="en-US" w:eastAsia="zh-CN"/>
        </w:rPr>
        <w:t>（3）法定代表人（非法人组织负责人）授权书</w:t>
      </w:r>
      <w:bookmarkEnd w:id="81"/>
    </w:p>
    <w:p w14:paraId="73386CD7">
      <w:pPr>
        <w:spacing w:line="360" w:lineRule="auto"/>
        <w:rPr>
          <w:rFonts w:ascii="宋体" w:hAnsi="宋体" w:cs="宋体"/>
          <w:b/>
          <w:color w:val="auto"/>
        </w:rPr>
      </w:pPr>
    </w:p>
    <w:p w14:paraId="5E15DA84">
      <w:pPr>
        <w:spacing w:line="360" w:lineRule="auto"/>
        <w:jc w:val="center"/>
        <w:rPr>
          <w:rFonts w:ascii="宋体" w:hAnsi="宋体" w:cs="宋体"/>
          <w:b/>
          <w:bCs/>
          <w:color w:val="auto"/>
          <w:sz w:val="28"/>
          <w:szCs w:val="28"/>
        </w:rPr>
      </w:pPr>
      <w:r>
        <w:rPr>
          <w:rFonts w:hint="eastAsia" w:ascii="宋体" w:hAnsi="宋体" w:cs="宋体"/>
          <w:b/>
          <w:bCs/>
          <w:color w:val="auto"/>
          <w:sz w:val="28"/>
          <w:szCs w:val="28"/>
        </w:rPr>
        <w:t>法定代表人（非法人组织负责人）授权书</w:t>
      </w:r>
    </w:p>
    <w:p w14:paraId="0874766E">
      <w:pPr>
        <w:spacing w:line="360" w:lineRule="auto"/>
        <w:rPr>
          <w:rFonts w:hint="eastAsia" w:ascii="宋体" w:hAnsi="宋体" w:eastAsia="宋体" w:cs="宋体"/>
          <w:b/>
          <w:bCs/>
          <w:color w:val="auto"/>
          <w:lang w:eastAsia="zh-CN"/>
        </w:rPr>
      </w:pPr>
      <w:r>
        <w:rPr>
          <w:rFonts w:hint="eastAsia" w:ascii="宋体" w:hAnsi="宋体" w:cs="宋体"/>
          <w:b/>
          <w:bCs/>
          <w:color w:val="auto"/>
        </w:rPr>
        <w:t>致：</w:t>
      </w:r>
      <w:r>
        <w:rPr>
          <w:rFonts w:hint="eastAsia" w:ascii="宋体" w:hAnsi="宋体" w:cs="宋体"/>
          <w:b/>
          <w:bCs/>
          <w:color w:val="auto"/>
          <w:lang w:eastAsia="zh-CN"/>
        </w:rPr>
        <w:t>青海雅辉工程项目管理有限公司</w:t>
      </w:r>
    </w:p>
    <w:p w14:paraId="16BD89AF">
      <w:pPr>
        <w:spacing w:line="360" w:lineRule="auto"/>
        <w:rPr>
          <w:rFonts w:ascii="宋体" w:hAnsi="宋体" w:cs="宋体"/>
          <w:color w:val="auto"/>
          <w:u w:val="single"/>
        </w:rPr>
      </w:pPr>
    </w:p>
    <w:p w14:paraId="1090770E">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lang w:val="zh-CN"/>
        </w:rPr>
        <w:t>（供应商名称）</w:t>
      </w:r>
      <w:r>
        <w:rPr>
          <w:rFonts w:hint="eastAsia" w:ascii="宋体" w:hAnsi="宋体" w:cs="宋体"/>
          <w:color w:val="auto"/>
          <w:lang w:val="zh-CN"/>
        </w:rPr>
        <w:t>系中华人民共和国合法企业，法定地址</w:t>
      </w:r>
      <w:r>
        <w:rPr>
          <w:rFonts w:hint="eastAsia" w:ascii="宋体" w:hAnsi="宋体" w:cs="宋体"/>
          <w:color w:val="auto"/>
          <w:u w:val="single"/>
          <w:lang w:val="zh-CN"/>
        </w:rPr>
        <w:t xml:space="preserve">              </w:t>
      </w:r>
      <w:r>
        <w:rPr>
          <w:rFonts w:hint="eastAsia" w:ascii="宋体" w:hAnsi="宋体" w:cs="宋体"/>
          <w:color w:val="auto"/>
          <w:lang w:val="zh-CN"/>
        </w:rPr>
        <w:t>。</w:t>
      </w:r>
    </w:p>
    <w:p w14:paraId="72FF7311">
      <w:pPr>
        <w:autoSpaceDE w:val="0"/>
        <w:autoSpaceDN w:val="0"/>
        <w:spacing w:line="560" w:lineRule="exact"/>
        <w:ind w:firstLine="480"/>
        <w:rPr>
          <w:rFonts w:ascii="宋体" w:hAnsi="宋体" w:cs="宋体"/>
          <w:color w:val="auto"/>
          <w:lang w:val="zh-CN"/>
        </w:rPr>
      </w:pPr>
      <w:r>
        <w:rPr>
          <w:rFonts w:hint="eastAsia" w:ascii="宋体" w:hAnsi="宋体" w:cs="宋体"/>
          <w:color w:val="auto"/>
          <w:u w:val="single"/>
        </w:rPr>
        <w:t xml:space="preserve">    </w:t>
      </w:r>
      <w:r>
        <w:rPr>
          <w:rFonts w:hint="eastAsia" w:ascii="宋体" w:hAnsi="宋体" w:cs="宋体"/>
          <w:color w:val="auto"/>
          <w:u w:val="single"/>
          <w:lang w:val="zh-CN"/>
        </w:rPr>
        <w:t>法定代表人</w:t>
      </w:r>
      <w:r>
        <w:rPr>
          <w:rFonts w:hint="eastAsia" w:ascii="宋体" w:hAnsi="宋体" w:cs="宋体"/>
          <w:bCs/>
          <w:color w:val="auto"/>
          <w:u w:val="single"/>
        </w:rPr>
        <w:t>（非法人组织负责人）</w:t>
      </w:r>
      <w:r>
        <w:rPr>
          <w:rFonts w:hint="eastAsia" w:ascii="宋体" w:hAnsi="宋体" w:cs="宋体"/>
          <w:color w:val="auto"/>
          <w:u w:val="single"/>
          <w:lang w:val="zh-CN"/>
        </w:rPr>
        <w:t xml:space="preserve">姓名   </w:t>
      </w:r>
      <w:r>
        <w:rPr>
          <w:rFonts w:hint="eastAsia" w:ascii="宋体" w:hAnsi="宋体" w:cs="宋体"/>
          <w:color w:val="auto"/>
          <w:lang w:val="zh-CN"/>
        </w:rPr>
        <w:t>特授权</w:t>
      </w:r>
      <w:r>
        <w:rPr>
          <w:rFonts w:hint="eastAsia" w:ascii="宋体" w:hAnsi="宋体" w:cs="宋体"/>
          <w:color w:val="auto"/>
          <w:u w:val="single"/>
          <w:lang w:val="zh-CN"/>
        </w:rPr>
        <w:t>（委托代理人姓名）</w:t>
      </w:r>
      <w:r>
        <w:rPr>
          <w:rFonts w:hint="eastAsia" w:ascii="宋体" w:hAnsi="宋体" w:cs="宋体"/>
          <w:color w:val="auto"/>
          <w:lang w:val="zh-CN"/>
        </w:rPr>
        <w:t>代表我单位全权办理</w:t>
      </w:r>
      <w:r>
        <w:rPr>
          <w:rFonts w:hint="eastAsia" w:ascii="宋体" w:hAnsi="宋体" w:cs="宋体"/>
          <w:color w:val="auto"/>
          <w:u w:val="single"/>
          <w:lang w:val="zh-CN"/>
        </w:rPr>
        <w:t xml:space="preserve">                         </w:t>
      </w:r>
      <w:r>
        <w:rPr>
          <w:rFonts w:hint="eastAsia" w:ascii="宋体" w:hAnsi="宋体" w:cs="宋体"/>
          <w:color w:val="auto"/>
          <w:lang w:val="zh-CN"/>
        </w:rPr>
        <w:t>项目的磋商、答疑等具体工作，并签署全部有关的文件、资料。</w:t>
      </w:r>
    </w:p>
    <w:p w14:paraId="344A69A4">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我单位对被授权人的签名负全部责任。</w:t>
      </w:r>
    </w:p>
    <w:p w14:paraId="2937885E">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 xml:space="preserve">被授权人联系电话： </w:t>
      </w:r>
      <w:r>
        <w:rPr>
          <w:rFonts w:hint="eastAsia" w:ascii="宋体" w:hAnsi="宋体" w:cs="宋体"/>
          <w:color w:val="auto"/>
          <w:u w:val="single"/>
          <w:lang w:val="zh-CN"/>
        </w:rPr>
        <w:t xml:space="preserve">                  </w:t>
      </w:r>
    </w:p>
    <w:p w14:paraId="710C21E6">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被授权人（委托代理人）签字：</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4B27B126">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7BDECAC4">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授权人</w:t>
      </w:r>
      <w:r>
        <w:rPr>
          <w:rFonts w:hint="eastAsia" w:ascii="宋体" w:hAnsi="宋体" w:cs="宋体"/>
          <w:color w:val="auto"/>
          <w:lang w:val="en-US" w:eastAsia="zh-CN"/>
        </w:rPr>
        <w:t>盖章</w:t>
      </w:r>
      <w:r>
        <w:rPr>
          <w:rFonts w:hint="eastAsia" w:ascii="宋体" w:hAnsi="宋体" w:cs="宋体"/>
          <w:color w:val="auto"/>
          <w:lang w:val="zh-CN"/>
        </w:rPr>
        <w:t>：</w:t>
      </w:r>
      <w:r>
        <w:rPr>
          <w:rFonts w:hint="eastAsia" w:ascii="宋体" w:hAnsi="宋体" w:cs="宋体"/>
          <w:color w:val="auto"/>
          <w:u w:val="single"/>
          <w:lang w:val="zh-CN"/>
        </w:rPr>
        <w:t xml:space="preserve">             </w:t>
      </w:r>
    </w:p>
    <w:p w14:paraId="1DB23E9D">
      <w:pPr>
        <w:autoSpaceDE w:val="0"/>
        <w:autoSpaceDN w:val="0"/>
        <w:spacing w:line="560" w:lineRule="exact"/>
        <w:ind w:firstLine="480"/>
        <w:rPr>
          <w:rFonts w:ascii="宋体" w:hAnsi="宋体" w:cs="宋体"/>
          <w:color w:val="auto"/>
          <w:u w:val="single"/>
          <w:lang w:val="zh-CN"/>
        </w:rPr>
      </w:pPr>
      <w:r>
        <w:rPr>
          <w:rFonts w:hint="eastAsia" w:ascii="宋体" w:hAnsi="宋体" w:cs="宋体"/>
          <w:color w:val="auto"/>
          <w:lang w:val="zh-CN"/>
        </w:rPr>
        <w:t>职务：</w:t>
      </w:r>
      <w:r>
        <w:rPr>
          <w:rFonts w:hint="eastAsia" w:ascii="宋体" w:hAnsi="宋体" w:cs="宋体"/>
          <w:color w:val="auto"/>
          <w:u w:val="single"/>
          <w:lang w:val="zh-CN"/>
        </w:rPr>
        <w:t xml:space="preserve">                             </w:t>
      </w:r>
      <w:r>
        <w:rPr>
          <w:rFonts w:hint="eastAsia" w:ascii="宋体" w:hAnsi="宋体" w:cs="宋体"/>
          <w:color w:val="auto"/>
          <w:lang w:val="zh-CN"/>
        </w:rPr>
        <w:t xml:space="preserve">  </w:t>
      </w:r>
    </w:p>
    <w:p w14:paraId="0BBFFDE2">
      <w:pPr>
        <w:autoSpaceDE w:val="0"/>
        <w:autoSpaceDN w:val="0"/>
        <w:spacing w:line="560" w:lineRule="exact"/>
        <w:ind w:firstLine="480"/>
        <w:rPr>
          <w:rFonts w:ascii="宋体" w:hAnsi="宋体" w:cs="宋体"/>
          <w:color w:val="auto"/>
          <w:lang w:val="zh-CN"/>
        </w:rPr>
      </w:pPr>
    </w:p>
    <w:p w14:paraId="2ED69385">
      <w:pPr>
        <w:autoSpaceDE w:val="0"/>
        <w:autoSpaceDN w:val="0"/>
        <w:spacing w:line="560" w:lineRule="exact"/>
        <w:ind w:firstLine="480"/>
        <w:rPr>
          <w:rFonts w:ascii="宋体" w:hAnsi="宋体" w:cs="宋体"/>
          <w:color w:val="auto"/>
          <w:lang w:val="zh-CN"/>
        </w:rPr>
      </w:pPr>
      <w:r>
        <w:rPr>
          <w:rFonts w:hint="eastAsia" w:ascii="宋体" w:hAnsi="宋体" w:cs="宋体"/>
          <w:color w:val="auto"/>
          <w:lang w:val="zh-CN"/>
        </w:rPr>
        <w:t>附被授权人第二代身份证双面扫描（或复印）件</w:t>
      </w:r>
    </w:p>
    <w:p w14:paraId="413910F3">
      <w:pPr>
        <w:autoSpaceDE w:val="0"/>
        <w:autoSpaceDN w:val="0"/>
        <w:spacing w:line="360" w:lineRule="auto"/>
        <w:ind w:firstLine="420"/>
        <w:rPr>
          <w:rFonts w:ascii="宋体" w:hAnsi="宋体" w:cs="宋体"/>
          <w:color w:val="auto"/>
          <w:lang w:val="zh-CN"/>
        </w:rPr>
      </w:pPr>
    </w:p>
    <w:p w14:paraId="16047106">
      <w:pPr>
        <w:autoSpaceDE w:val="0"/>
        <w:autoSpaceDN w:val="0"/>
        <w:spacing w:line="360" w:lineRule="auto"/>
        <w:ind w:firstLine="420"/>
        <w:rPr>
          <w:rFonts w:ascii="宋体" w:hAnsi="宋体" w:cs="宋体"/>
          <w:color w:val="auto"/>
          <w:lang w:val="zh-CN"/>
        </w:rPr>
      </w:pPr>
    </w:p>
    <w:p w14:paraId="5258C076">
      <w:pPr>
        <w:spacing w:line="360" w:lineRule="auto"/>
        <w:rPr>
          <w:rFonts w:ascii="宋体" w:hAnsi="宋体" w:cs="宋体"/>
          <w:color w:val="auto"/>
        </w:rPr>
      </w:pPr>
    </w:p>
    <w:p w14:paraId="75395806">
      <w:pPr>
        <w:spacing w:line="360" w:lineRule="auto"/>
        <w:rPr>
          <w:rFonts w:ascii="宋体" w:hAnsi="宋体" w:cs="宋体"/>
          <w:color w:val="auto"/>
        </w:rPr>
      </w:pPr>
    </w:p>
    <w:p w14:paraId="2771E06F">
      <w:pPr>
        <w:spacing w:line="360" w:lineRule="auto"/>
        <w:rPr>
          <w:rFonts w:ascii="宋体" w:hAnsi="宋体" w:cs="宋体"/>
          <w:color w:val="auto"/>
        </w:rPr>
      </w:pPr>
    </w:p>
    <w:p w14:paraId="6D652948">
      <w:pPr>
        <w:spacing w:line="360" w:lineRule="auto"/>
        <w:jc w:val="center"/>
        <w:rPr>
          <w:rFonts w:ascii="宋体" w:hAnsi="宋体" w:cs="宋体"/>
          <w:b/>
          <w:color w:val="auto"/>
        </w:rPr>
      </w:pPr>
      <w:r>
        <w:rPr>
          <w:rFonts w:hint="eastAsia" w:ascii="宋体" w:hAnsi="宋体" w:cs="宋体"/>
          <w:b/>
          <w:color w:val="auto"/>
        </w:rPr>
        <w:t xml:space="preserve">                                  供应商：</w:t>
      </w:r>
      <w:r>
        <w:rPr>
          <w:rFonts w:ascii="宋体" w:hAnsi="宋体" w:cs="宋体"/>
          <w:color w:val="auto"/>
          <w:u w:val="single"/>
        </w:rPr>
        <w:t xml:space="preserve">   </w:t>
      </w:r>
      <w:r>
        <w:rPr>
          <w:rFonts w:hint="eastAsia" w:ascii="宋体" w:hAnsi="宋体" w:cs="宋体"/>
          <w:color w:val="auto"/>
          <w:u w:val="single"/>
        </w:rPr>
        <w:t xml:space="preserve">   </w:t>
      </w:r>
      <w:r>
        <w:rPr>
          <w:rFonts w:ascii="宋体" w:hAnsi="宋体" w:cs="宋体"/>
          <w:color w:val="auto"/>
          <w:u w:val="single"/>
        </w:rPr>
        <w:t xml:space="preserve">    </w:t>
      </w:r>
      <w:r>
        <w:rPr>
          <w:rFonts w:hint="eastAsia" w:ascii="宋体" w:hAnsi="宋体" w:cs="宋体"/>
          <w:b/>
          <w:color w:val="auto"/>
        </w:rPr>
        <w:t>（公章）</w:t>
      </w:r>
    </w:p>
    <w:p w14:paraId="34885731">
      <w:pPr>
        <w:autoSpaceDE w:val="0"/>
        <w:autoSpaceDN w:val="0"/>
        <w:spacing w:line="360" w:lineRule="auto"/>
        <w:rPr>
          <w:rFonts w:ascii="宋体" w:hAnsi="宋体" w:cs="宋体"/>
          <w:color w:val="auto"/>
          <w:kern w:val="0"/>
          <w:lang w:val="zh-CN"/>
        </w:rPr>
      </w:pPr>
      <w:r>
        <w:rPr>
          <w:rFonts w:hint="eastAsia" w:ascii="宋体" w:hAnsi="宋体" w:cs="宋体"/>
          <w:b/>
          <w:color w:val="auto"/>
        </w:rPr>
        <w:t xml:space="preserve">                                               年</w:t>
      </w:r>
      <w:r>
        <w:rPr>
          <w:rFonts w:ascii="宋体" w:hAnsi="宋体" w:cs="宋体"/>
          <w:b/>
          <w:color w:val="auto"/>
        </w:rPr>
        <w:t xml:space="preserve">   </w:t>
      </w:r>
      <w:r>
        <w:rPr>
          <w:rFonts w:hint="eastAsia" w:ascii="宋体" w:hAnsi="宋体" w:cs="宋体"/>
          <w:b/>
          <w:color w:val="auto"/>
        </w:rPr>
        <w:t>月</w:t>
      </w:r>
      <w:r>
        <w:rPr>
          <w:rFonts w:ascii="宋体" w:hAnsi="宋体" w:cs="宋体"/>
          <w:b/>
          <w:color w:val="auto"/>
        </w:rPr>
        <w:t xml:space="preserve"> </w:t>
      </w:r>
      <w:r>
        <w:rPr>
          <w:rFonts w:hint="eastAsia" w:ascii="宋体" w:hAnsi="宋体" w:cs="宋体"/>
          <w:b/>
          <w:color w:val="auto"/>
        </w:rPr>
        <w:t xml:space="preserve"> </w:t>
      </w:r>
      <w:r>
        <w:rPr>
          <w:rFonts w:ascii="宋体" w:hAnsi="宋体" w:cs="宋体"/>
          <w:b/>
          <w:color w:val="auto"/>
        </w:rPr>
        <w:t xml:space="preserve"> </w:t>
      </w:r>
      <w:r>
        <w:rPr>
          <w:rFonts w:hint="eastAsia" w:ascii="宋体" w:hAnsi="宋体" w:cs="宋体"/>
          <w:b/>
          <w:color w:val="auto"/>
        </w:rPr>
        <w:t>日</w:t>
      </w:r>
    </w:p>
    <w:p w14:paraId="6EE6C3AD">
      <w:pPr>
        <w:bidi w:val="0"/>
        <w:rPr>
          <w:rFonts w:ascii="宋体" w:hAnsi="宋体" w:cs="宋体"/>
          <w:color w:val="auto"/>
          <w:lang w:val="zh-CN"/>
        </w:rPr>
      </w:pPr>
      <w:r>
        <w:rPr>
          <w:rFonts w:hint="eastAsia" w:ascii="宋体" w:hAnsi="宋体" w:cs="宋体"/>
          <w:color w:val="auto"/>
          <w:lang w:val="zh-CN"/>
        </w:rPr>
        <w:br w:type="page"/>
      </w:r>
      <w:bookmarkStart w:id="83" w:name="_Toc13428"/>
      <w:bookmarkStart w:id="84" w:name="_Toc7786"/>
      <w:bookmarkStart w:id="85" w:name="_Toc76659134"/>
      <w:bookmarkStart w:id="86" w:name="_Toc14588"/>
      <w:bookmarkStart w:id="87" w:name="_Toc17592"/>
      <w:r>
        <w:rPr>
          <w:rFonts w:hint="eastAsia" w:ascii="Times New Roman" w:hAnsi="Times New Roman" w:eastAsia="宋体"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zh-CN" w:eastAsia="zh-CN" w:bidi="ar-SA"/>
        </w:rPr>
        <w:t>投标人承诺函</w:t>
      </w:r>
      <w:bookmarkEnd w:id="83"/>
      <w:bookmarkEnd w:id="84"/>
      <w:bookmarkEnd w:id="85"/>
      <w:bookmarkEnd w:id="86"/>
      <w:bookmarkEnd w:id="87"/>
    </w:p>
    <w:p w14:paraId="4AF4D1F8">
      <w:pPr>
        <w:autoSpaceDE w:val="0"/>
        <w:autoSpaceDN w:val="0"/>
        <w:spacing w:line="520" w:lineRule="exact"/>
        <w:rPr>
          <w:rFonts w:ascii="宋体" w:hAnsi="宋体" w:cs="宋体"/>
          <w:color w:val="auto"/>
          <w:kern w:val="0"/>
          <w:sz w:val="28"/>
          <w:szCs w:val="28"/>
          <w:lang w:val="zh-CN"/>
        </w:rPr>
      </w:pPr>
    </w:p>
    <w:p w14:paraId="006E4F49">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投标人承诺函</w:t>
      </w:r>
    </w:p>
    <w:p w14:paraId="4E2ECCB0">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14:paraId="4359108E">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关于贵方202</w:t>
      </w:r>
      <w:r>
        <w:rPr>
          <w:rFonts w:hint="eastAsia" w:ascii="宋体" w:hAnsi="宋体" w:cs="宋体"/>
          <w:color w:val="auto"/>
          <w:kern w:val="0"/>
          <w:lang w:val="en-US" w:eastAsia="zh-CN"/>
        </w:rPr>
        <w:t>4</w:t>
      </w:r>
      <w:r>
        <w:rPr>
          <w:rFonts w:hint="eastAsia" w:ascii="宋体" w:hAnsi="宋体" w:cs="宋体"/>
          <w:color w:val="auto"/>
          <w:kern w:val="0"/>
          <w:lang w:val="zh-CN"/>
        </w:rPr>
        <w:t>年</w:t>
      </w:r>
      <w:r>
        <w:rPr>
          <w:rFonts w:hint="eastAsia" w:ascii="宋体" w:hAnsi="宋体" w:cs="宋体"/>
          <w:color w:val="auto"/>
          <w:kern w:val="0"/>
          <w:lang w:val="en-US" w:eastAsia="zh-CN"/>
        </w:rPr>
        <w:t xml:space="preserve"> </w:t>
      </w:r>
      <w:r>
        <w:rPr>
          <w:rFonts w:hint="eastAsia" w:ascii="宋体" w:hAnsi="宋体" w:cs="宋体"/>
          <w:color w:val="auto"/>
          <w:kern w:val="0"/>
          <w:lang w:val="zh-CN"/>
        </w:rPr>
        <w:t>月</w:t>
      </w:r>
      <w:r>
        <w:rPr>
          <w:rFonts w:hint="eastAsia" w:ascii="宋体" w:hAnsi="宋体" w:cs="宋体"/>
          <w:color w:val="auto"/>
          <w:kern w:val="0"/>
          <w:lang w:val="en-US" w:eastAsia="zh-CN"/>
        </w:rPr>
        <w:t xml:space="preserve"> </w:t>
      </w:r>
      <w:r>
        <w:rPr>
          <w:rFonts w:hint="eastAsia" w:ascii="宋体" w:hAnsi="宋体" w:cs="宋体"/>
          <w:color w:val="auto"/>
          <w:kern w:val="0"/>
          <w:lang w:val="zh-CN"/>
        </w:rPr>
        <w:t>日          (项目名称)采购项目，本签字人愿意参加投标，提供采购一览表中要求的所有产品，并证实提交的所有资料是准确的和真实的。同时，我代表（投标人名称），在此作如下承诺：</w:t>
      </w:r>
    </w:p>
    <w:p w14:paraId="4FD3F1EB">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 xml:space="preserve">   </w:t>
      </w:r>
      <w:r>
        <w:rPr>
          <w:rFonts w:hint="eastAsia" w:ascii="宋体" w:hAnsi="宋体" w:cs="宋体"/>
          <w:color w:val="auto"/>
          <w:kern w:val="0"/>
        </w:rPr>
        <w:t xml:space="preserve"> </w:t>
      </w:r>
      <w:r>
        <w:rPr>
          <w:rFonts w:hint="eastAsia" w:ascii="宋体" w:hAnsi="宋体" w:cs="宋体"/>
          <w:color w:val="auto"/>
          <w:kern w:val="0"/>
          <w:lang w:val="zh-CN"/>
        </w:rPr>
        <w:t>1.完全理解和接受招标文件的一切规定和要求；</w:t>
      </w:r>
    </w:p>
    <w:p w14:paraId="2B112FA0">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0971BC1B">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3、我方保证甲方在使用该产品或其任何一部分时，不受第三方提出的侵犯专利权、著作权、商标权和工业设计权等知识产权的起诉，若有违犯，愿承担相应的一切责任。</w:t>
      </w:r>
    </w:p>
    <w:p w14:paraId="7B1863BD">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4、我方承诺，除招标文件中规定的进口产品外，所投的产品均为国产产品，且均符合国家强制性标准。若有不实，愿承担相应的责任。</w:t>
      </w:r>
    </w:p>
    <w:p w14:paraId="5567B10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5、在整个招标过程中我方若有违规行为，贵方可按招标文件之规定给予处罚，我方完全接受。</w:t>
      </w:r>
    </w:p>
    <w:p w14:paraId="16FBDC0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6、若中标，本承诺将成为合同不可分割的一部分，与合同具有同等的法律效力。</w:t>
      </w:r>
    </w:p>
    <w:p w14:paraId="32914CAC">
      <w:pPr>
        <w:autoSpaceDE w:val="0"/>
        <w:autoSpaceDN w:val="0"/>
        <w:spacing w:line="520" w:lineRule="exact"/>
        <w:rPr>
          <w:rFonts w:ascii="宋体" w:hAnsi="宋体" w:cs="宋体"/>
          <w:color w:val="auto"/>
          <w:kern w:val="0"/>
          <w:lang w:val="zh-CN"/>
        </w:rPr>
      </w:pPr>
    </w:p>
    <w:p w14:paraId="3B25D49E">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628105C9">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363C10DA">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29B799F5">
      <w:pPr>
        <w:pStyle w:val="36"/>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bookmarkStart w:id="88" w:name="_Toc3549"/>
      <w:bookmarkStart w:id="89" w:name="_Toc3955"/>
      <w:bookmarkStart w:id="90" w:name="_Toc16017"/>
      <w:bookmarkStart w:id="91" w:name="_Toc76659135"/>
      <w:bookmarkStart w:id="92" w:name="_Toc19035"/>
    </w:p>
    <w:p w14:paraId="7A87A932">
      <w:pPr>
        <w:pStyle w:val="36"/>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p>
    <w:p w14:paraId="4DB315F1">
      <w:pPr>
        <w:pStyle w:val="36"/>
        <w:spacing w:line="520" w:lineRule="exact"/>
        <w:jc w:val="left"/>
        <w:outlineLvl w:val="1"/>
        <w:rPr>
          <w:rFonts w:hint="eastAsia" w:ascii="Times New Roman" w:hAnsi="Times New Roman" w:eastAsia="宋体" w:cs="Times New Roman"/>
          <w:b/>
          <w:bCs/>
          <w:color w:val="auto"/>
          <w:kern w:val="2"/>
          <w:sz w:val="21"/>
          <w:szCs w:val="24"/>
          <w:lang w:val="en-US" w:eastAsia="zh-CN" w:bidi="ar-SA"/>
        </w:rPr>
      </w:pPr>
    </w:p>
    <w:p w14:paraId="79F31BBA">
      <w:pPr>
        <w:bidi w:val="0"/>
        <w:rPr>
          <w:rFonts w:hint="eastAsia" w:ascii="Times New Roman" w:hAnsi="Times New Roman" w:eastAsia="宋体" w:cs="Times New Roman"/>
          <w:b/>
          <w:bCs/>
          <w:color w:val="auto"/>
          <w:kern w:val="2"/>
          <w:sz w:val="24"/>
          <w:szCs w:val="24"/>
          <w:lang w:val="en-US" w:eastAsia="zh-CN" w:bidi="ar-SA"/>
        </w:rPr>
      </w:pPr>
    </w:p>
    <w:p w14:paraId="27ECA2B8">
      <w:pPr>
        <w:bidi w:val="0"/>
        <w:rPr>
          <w:rFonts w:hint="eastAsia" w:ascii="Times New Roman" w:hAnsi="Times New Roman" w:eastAsia="宋体" w:cs="Times New Roman"/>
          <w:b/>
          <w:bCs/>
          <w:color w:val="auto"/>
          <w:kern w:val="2"/>
          <w:sz w:val="24"/>
          <w:szCs w:val="24"/>
          <w:lang w:val="zh-CN" w:eastAsia="zh-CN" w:bidi="ar-SA"/>
        </w:rPr>
      </w:pPr>
      <w:r>
        <w:rPr>
          <w:rFonts w:hint="eastAsia" w:ascii="Times New Roman" w:hAnsi="Times New Roman" w:eastAsia="宋体" w:cs="Times New Roman"/>
          <w:b/>
          <w:bCs/>
          <w:color w:val="auto"/>
          <w:kern w:val="2"/>
          <w:sz w:val="24"/>
          <w:szCs w:val="24"/>
          <w:lang w:val="en-US" w:eastAsia="zh-CN" w:bidi="ar-SA"/>
        </w:rPr>
        <w:t>（5）</w:t>
      </w:r>
      <w:r>
        <w:rPr>
          <w:rFonts w:hint="eastAsia" w:ascii="Times New Roman" w:hAnsi="Times New Roman" w:eastAsia="宋体" w:cs="Times New Roman"/>
          <w:b/>
          <w:bCs/>
          <w:color w:val="auto"/>
          <w:kern w:val="2"/>
          <w:sz w:val="24"/>
          <w:szCs w:val="24"/>
          <w:lang w:val="zh-CN" w:eastAsia="zh-CN" w:bidi="ar-SA"/>
        </w:rPr>
        <w:t>投标人诚信承诺书</w:t>
      </w:r>
      <w:bookmarkEnd w:id="88"/>
      <w:bookmarkEnd w:id="89"/>
      <w:bookmarkEnd w:id="90"/>
      <w:bookmarkEnd w:id="91"/>
      <w:bookmarkEnd w:id="92"/>
    </w:p>
    <w:p w14:paraId="40DEDAD6">
      <w:pPr>
        <w:spacing w:line="520" w:lineRule="exact"/>
        <w:rPr>
          <w:rFonts w:ascii="宋体" w:hAnsi="宋体" w:cs="宋体"/>
          <w:color w:val="auto"/>
          <w:sz w:val="28"/>
          <w:szCs w:val="28"/>
          <w:lang w:val="zh-CN"/>
        </w:rPr>
      </w:pPr>
    </w:p>
    <w:p w14:paraId="029773AD">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投标人诚信承诺书</w:t>
      </w:r>
    </w:p>
    <w:p w14:paraId="3F5C7185">
      <w:pPr>
        <w:autoSpaceDE w:val="0"/>
        <w:autoSpaceDN w:val="0"/>
        <w:spacing w:line="520" w:lineRule="exact"/>
        <w:rPr>
          <w:rFonts w:ascii="宋体" w:hAnsi="宋体" w:cs="宋体"/>
          <w:color w:val="auto"/>
          <w:kern w:val="0"/>
          <w:lang w:val="zh-CN"/>
        </w:rPr>
      </w:pPr>
      <w:r>
        <w:rPr>
          <w:rFonts w:hint="eastAsia" w:ascii="宋体" w:hAnsi="宋体" w:cs="宋体"/>
          <w:b/>
          <w:bCs/>
          <w:color w:val="auto"/>
          <w:kern w:val="0"/>
          <w:lang w:val="zh-CN"/>
        </w:rPr>
        <w:t>致：采购人或者采购代理机构</w:t>
      </w:r>
    </w:p>
    <w:p w14:paraId="1EDAB06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为了诚实、客观、有序地参与青海省政府采购活动，愿就以下内容作出承诺：</w:t>
      </w:r>
    </w:p>
    <w:p w14:paraId="2BF159A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一、自觉遵守各项法律、法规、规章、制度以及社会公德，维护廉洁环境，与同场竞争的其他投标人平等参加政府采购活动。</w:t>
      </w:r>
    </w:p>
    <w:p w14:paraId="695624A6">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二、参加采购代理机构组织的政府采购活动时，严格按照招标文件的规定和要求提供所需的相关材料，并对所提供的各类资料的真实性负责，不虚假应标，不虚列业绩。</w:t>
      </w:r>
    </w:p>
    <w:p w14:paraId="5E0825D7">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三、尊重参与政府采购活动各相关方的合法行为，接受政府采购活动依法形成的意见、结果。</w:t>
      </w:r>
    </w:p>
    <w:p w14:paraId="20FB9CF8">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四、依法参加政府采购活动，不围标、串标，维护市场秩序，不提供“三无”产品、以次充好。</w:t>
      </w:r>
    </w:p>
    <w:p w14:paraId="09FF7D80">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五、积极推动政府采购活动健康开展，对采购活动有疑问、异议时，按法律规定的程序实名反映情况，不恶意中伤、无事生非，以和谐、平等的心态参加政府采购活动。</w:t>
      </w:r>
    </w:p>
    <w:p w14:paraId="68F55456">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六、认真履行中标人应承担的责任和义务，全面执行采购合同规定的各项内容，保质保量地按时提供采购物品。</w:t>
      </w:r>
    </w:p>
    <w:p w14:paraId="233B0A93">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若本企业（单位）发生有悖于上述承诺的行为，愿意接受《中华人民共和国政府采购法》和《政府采购法实施条例》中对投标人的相关处理。</w:t>
      </w:r>
    </w:p>
    <w:p w14:paraId="5EE73435">
      <w:pPr>
        <w:autoSpaceDE w:val="0"/>
        <w:autoSpaceDN w:val="0"/>
        <w:spacing w:line="520" w:lineRule="exact"/>
        <w:ind w:firstLine="480" w:firstLineChars="200"/>
        <w:rPr>
          <w:rFonts w:ascii="宋体" w:hAnsi="宋体" w:cs="宋体"/>
          <w:color w:val="auto"/>
          <w:kern w:val="0"/>
          <w:lang w:val="zh-CN"/>
        </w:rPr>
      </w:pPr>
      <w:r>
        <w:rPr>
          <w:rFonts w:hint="eastAsia" w:ascii="宋体" w:hAnsi="宋体" w:cs="宋体"/>
          <w:color w:val="auto"/>
          <w:kern w:val="0"/>
          <w:lang w:val="zh-CN"/>
        </w:rPr>
        <w:t>本承诺是采购项目投标文件的组成部分。</w:t>
      </w:r>
    </w:p>
    <w:p w14:paraId="7E87609E">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5B017A74">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D52014F">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09CF398B">
      <w:pPr>
        <w:bidi w:val="0"/>
        <w:rPr>
          <w:rFonts w:ascii="宋体" w:hAnsi="宋体" w:cs="宋体"/>
          <w:color w:val="auto"/>
          <w:lang w:val="zh-CN"/>
        </w:rPr>
      </w:pPr>
      <w:r>
        <w:rPr>
          <w:rFonts w:hint="eastAsia" w:ascii="宋体" w:hAnsi="宋体" w:cs="宋体"/>
          <w:color w:val="auto"/>
          <w:kern w:val="0"/>
          <w:sz w:val="24"/>
          <w:lang w:val="zh-CN"/>
        </w:rPr>
        <w:br w:type="page"/>
      </w:r>
      <w:bookmarkEnd w:id="82"/>
      <w:bookmarkStart w:id="93" w:name="_Toc76659136"/>
      <w:bookmarkStart w:id="94" w:name="_Toc48"/>
      <w:bookmarkStart w:id="95" w:name="_Toc19600"/>
      <w:bookmarkStart w:id="96" w:name="_Toc31381"/>
      <w:bookmarkStart w:id="97" w:name="_Toc15658"/>
      <w:bookmarkStart w:id="98" w:name="_Toc8344"/>
      <w:r>
        <w:rPr>
          <w:rFonts w:hint="eastAsia" w:ascii="Times New Roman" w:hAnsi="Times New Roman" w:eastAsia="宋体" w:cs="Times New Roman"/>
          <w:b/>
          <w:bCs/>
          <w:color w:val="auto"/>
          <w:kern w:val="2"/>
          <w:sz w:val="24"/>
          <w:szCs w:val="24"/>
          <w:lang w:val="en-US" w:eastAsia="zh-CN" w:bidi="ar-SA"/>
        </w:rPr>
        <w:t>（6）</w:t>
      </w:r>
      <w:r>
        <w:rPr>
          <w:rFonts w:hint="eastAsia" w:ascii="Times New Roman" w:hAnsi="Times New Roman" w:eastAsia="宋体" w:cs="Times New Roman"/>
          <w:b/>
          <w:bCs/>
          <w:color w:val="auto"/>
          <w:kern w:val="2"/>
          <w:sz w:val="24"/>
          <w:szCs w:val="24"/>
          <w:lang w:val="zh-CN" w:eastAsia="zh-CN" w:bidi="ar-SA"/>
        </w:rPr>
        <w:t>资格证明材料</w:t>
      </w:r>
      <w:bookmarkEnd w:id="93"/>
      <w:bookmarkEnd w:id="94"/>
      <w:bookmarkEnd w:id="95"/>
      <w:bookmarkEnd w:id="96"/>
      <w:bookmarkEnd w:id="97"/>
    </w:p>
    <w:p w14:paraId="537B6B50">
      <w:pPr>
        <w:spacing w:line="520" w:lineRule="exact"/>
        <w:rPr>
          <w:rFonts w:ascii="宋体" w:hAnsi="宋体" w:cs="宋体"/>
          <w:color w:val="auto"/>
          <w:sz w:val="28"/>
          <w:szCs w:val="28"/>
          <w:lang w:val="zh-CN"/>
        </w:rPr>
      </w:pPr>
    </w:p>
    <w:p w14:paraId="289457B0">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资格证明材料</w:t>
      </w:r>
    </w:p>
    <w:p w14:paraId="3A5BDDF4">
      <w:pPr>
        <w:spacing w:line="520" w:lineRule="exact"/>
        <w:ind w:firstLine="480" w:firstLineChars="200"/>
        <w:rPr>
          <w:rFonts w:ascii="宋体" w:hAnsi="宋体" w:cs="宋体"/>
          <w:color w:val="auto"/>
        </w:rPr>
      </w:pPr>
      <w:r>
        <w:rPr>
          <w:rFonts w:hint="eastAsia" w:ascii="宋体" w:hAnsi="宋体" w:cs="宋体"/>
          <w:color w:val="auto"/>
        </w:rPr>
        <w:t>资格证明材料包括：</w:t>
      </w:r>
    </w:p>
    <w:p w14:paraId="2A9E21F0">
      <w:pPr>
        <w:numPr>
          <w:ilvl w:val="0"/>
          <w:numId w:val="21"/>
        </w:numPr>
        <w:spacing w:line="520" w:lineRule="exact"/>
        <w:ind w:firstLine="480"/>
        <w:rPr>
          <w:rFonts w:ascii="宋体" w:hAnsi="宋体" w:cs="宋体"/>
          <w:color w:val="auto"/>
        </w:rPr>
      </w:pPr>
      <w:r>
        <w:rPr>
          <w:rFonts w:hint="eastAsia" w:ascii="宋体" w:hAnsi="宋体" w:cs="宋体"/>
          <w:color w:val="auto"/>
        </w:rPr>
        <w:t>提供有效的营业执照、税务登记证、机构代码证或三证（五证）合一统一社会代码证及其他资格证明文件（扫描或复印件）；</w:t>
      </w:r>
    </w:p>
    <w:p w14:paraId="64AEF959">
      <w:pPr>
        <w:spacing w:line="520" w:lineRule="exact"/>
        <w:ind w:firstLine="480" w:firstLineChars="200"/>
        <w:rPr>
          <w:rFonts w:ascii="宋体" w:hAnsi="宋体" w:cs="宋体"/>
          <w:color w:val="auto"/>
        </w:rPr>
      </w:pPr>
      <w:r>
        <w:rPr>
          <w:rFonts w:hint="eastAsia" w:ascii="宋体" w:hAnsi="宋体"/>
          <w:color w:val="auto"/>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3DAB009C">
      <w:pPr>
        <w:spacing w:line="520" w:lineRule="exact"/>
        <w:ind w:firstLine="480" w:firstLineChars="200"/>
        <w:rPr>
          <w:rFonts w:ascii="宋体" w:hAnsi="宋体" w:cs="宋体"/>
          <w:color w:val="auto"/>
        </w:rPr>
      </w:pPr>
      <w:r>
        <w:rPr>
          <w:rFonts w:hint="eastAsia" w:ascii="宋体" w:hAnsi="宋体" w:cs="宋体"/>
          <w:color w:val="auto"/>
        </w:rPr>
        <w:t>（2）招标文件规定的有关资格证书、许可证书、认证等；</w:t>
      </w:r>
    </w:p>
    <w:p w14:paraId="30CD5358">
      <w:pPr>
        <w:spacing w:line="520" w:lineRule="exact"/>
        <w:ind w:firstLine="480" w:firstLineChars="200"/>
        <w:rPr>
          <w:rFonts w:ascii="宋体" w:hAnsi="宋体" w:cs="宋体"/>
          <w:color w:val="auto"/>
        </w:rPr>
      </w:pPr>
      <w:r>
        <w:rPr>
          <w:rFonts w:hint="eastAsia" w:ascii="宋体" w:hAnsi="宋体" w:cs="宋体"/>
          <w:color w:val="auto"/>
        </w:rPr>
        <w:t>（3）投标人认为有必要提供的其他资格证明文件。</w:t>
      </w:r>
    </w:p>
    <w:p w14:paraId="3F171190">
      <w:pPr>
        <w:bidi w:val="0"/>
        <w:rPr>
          <w:rFonts w:ascii="宋体" w:hAnsi="宋体" w:cs="宋体"/>
          <w:color w:val="auto"/>
        </w:rPr>
      </w:pPr>
      <w:r>
        <w:rPr>
          <w:rFonts w:hint="eastAsia" w:ascii="宋体" w:hAnsi="宋体" w:cs="宋体"/>
          <w:color w:val="auto"/>
          <w:kern w:val="0"/>
          <w:sz w:val="24"/>
          <w:lang w:val="zh-CN"/>
        </w:rPr>
        <w:br w:type="page"/>
      </w:r>
      <w:bookmarkStart w:id="99" w:name="_Toc76659137"/>
      <w:bookmarkStart w:id="100" w:name="_Toc14152"/>
      <w:bookmarkStart w:id="101" w:name="_Toc11203"/>
      <w:bookmarkStart w:id="102" w:name="_Toc22189"/>
      <w:bookmarkStart w:id="103" w:name="_Toc5308"/>
      <w:r>
        <w:rPr>
          <w:rFonts w:hint="eastAsia" w:ascii="Times New Roman" w:hAnsi="Times New Roman" w:eastAsia="宋体" w:cs="Times New Roman"/>
          <w:b/>
          <w:bCs/>
          <w:color w:val="auto"/>
          <w:kern w:val="2"/>
          <w:sz w:val="24"/>
          <w:szCs w:val="24"/>
          <w:lang w:val="en-US" w:eastAsia="zh-CN" w:bidi="ar-SA"/>
        </w:rPr>
        <w:t>（7）</w:t>
      </w:r>
      <w:r>
        <w:rPr>
          <w:rFonts w:hint="eastAsia" w:ascii="Times New Roman" w:hAnsi="Times New Roman" w:eastAsia="宋体" w:cs="Times New Roman"/>
          <w:b/>
          <w:bCs/>
          <w:color w:val="auto"/>
          <w:kern w:val="2"/>
          <w:sz w:val="24"/>
          <w:szCs w:val="24"/>
          <w:lang w:val="zh-CN" w:eastAsia="zh-CN" w:bidi="ar-SA"/>
        </w:rPr>
        <w:t>财务状况报告，依法缴纳税收和社会保障资金的相关材料</w:t>
      </w:r>
      <w:bookmarkEnd w:id="99"/>
      <w:bookmarkEnd w:id="100"/>
      <w:bookmarkEnd w:id="101"/>
      <w:bookmarkEnd w:id="102"/>
      <w:bookmarkEnd w:id="103"/>
    </w:p>
    <w:p w14:paraId="65129CE4">
      <w:pPr>
        <w:autoSpaceDE w:val="0"/>
        <w:autoSpaceDN w:val="0"/>
        <w:spacing w:line="520" w:lineRule="exact"/>
        <w:rPr>
          <w:rFonts w:ascii="宋体" w:hAnsi="宋体" w:cs="宋体"/>
          <w:color w:val="auto"/>
          <w:kern w:val="0"/>
          <w:sz w:val="28"/>
          <w:szCs w:val="28"/>
          <w:lang w:val="zh-CN"/>
        </w:rPr>
      </w:pPr>
    </w:p>
    <w:p w14:paraId="08CD77E5">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财务状况报告，依法缴纳税收和社会保障资金的相关材料</w:t>
      </w:r>
    </w:p>
    <w:p w14:paraId="5C7F1056">
      <w:pPr>
        <w:autoSpaceDE w:val="0"/>
        <w:autoSpaceDN w:val="0"/>
        <w:spacing w:line="520" w:lineRule="exact"/>
        <w:rPr>
          <w:rFonts w:ascii="宋体" w:hAnsi="宋体" w:cs="宋体"/>
          <w:color w:val="auto"/>
          <w:kern w:val="0"/>
          <w:sz w:val="28"/>
          <w:szCs w:val="28"/>
          <w:lang w:val="zh-CN"/>
        </w:rPr>
      </w:pPr>
    </w:p>
    <w:p w14:paraId="35AA1D29">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按照招标文件第2.2款（1）中第&lt;2&gt;条规定提供以下相关材料。</w:t>
      </w:r>
    </w:p>
    <w:p w14:paraId="6E6F75B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1、投标人是</w:t>
      </w:r>
      <w:r>
        <w:rPr>
          <w:rFonts w:ascii="宋体" w:hAnsi="宋体" w:cs="宋体"/>
          <w:color w:val="auto"/>
          <w:kern w:val="0"/>
          <w:lang w:val="zh-CN"/>
        </w:rPr>
        <w:t>法人的提供</w:t>
      </w:r>
      <w:r>
        <w:rPr>
          <w:rFonts w:hint="eastAsia" w:ascii="宋体" w:hAnsi="宋体" w:cs="宋体"/>
          <w:color w:val="auto"/>
          <w:kern w:val="0"/>
          <w:lang w:val="zh-CN"/>
        </w:rPr>
        <w:t>基本开户银行近三个月内出具的资信证明或</w:t>
      </w:r>
      <w:r>
        <w:rPr>
          <w:rFonts w:hint="eastAsia" w:ascii="宋体" w:hAnsi="宋体" w:cs="宋体"/>
          <w:color w:val="auto"/>
          <w:kern w:val="0"/>
        </w:rPr>
        <w:t>202</w:t>
      </w:r>
      <w:r>
        <w:rPr>
          <w:rFonts w:hint="eastAsia" w:ascii="宋体" w:hAnsi="宋体" w:cs="宋体"/>
          <w:color w:val="auto"/>
          <w:kern w:val="0"/>
          <w:lang w:val="en-US" w:eastAsia="zh-CN"/>
        </w:rPr>
        <w:t>3</w:t>
      </w:r>
      <w:r>
        <w:rPr>
          <w:rFonts w:hint="eastAsia" w:ascii="宋体" w:hAnsi="宋体" w:cs="宋体"/>
          <w:color w:val="auto"/>
          <w:kern w:val="0"/>
        </w:rPr>
        <w:t>年度</w:t>
      </w:r>
      <w:r>
        <w:rPr>
          <w:rFonts w:hint="eastAsia" w:ascii="宋体" w:hAnsi="宋体"/>
          <w:color w:val="auto"/>
        </w:rPr>
        <w:t>经第三方审计的财务状况报告</w:t>
      </w:r>
      <w:r>
        <w:rPr>
          <w:rFonts w:hint="eastAsia" w:ascii="宋体" w:hAnsi="宋体" w:cs="宋体"/>
          <w:color w:val="auto"/>
          <w:kern w:val="0"/>
          <w:lang w:val="zh-CN"/>
        </w:rPr>
        <w:t>（扫描或复印件应全面、完整、清晰），包括资产负债表、现金流量表、利润表和财务（会计）报表附注</w:t>
      </w:r>
      <w:r>
        <w:rPr>
          <w:rFonts w:hint="eastAsia" w:ascii="宋体" w:hAnsi="宋体" w:cs="宋体"/>
          <w:color w:val="auto"/>
          <w:kern w:val="0"/>
        </w:rPr>
        <w:t>，</w:t>
      </w:r>
      <w:r>
        <w:rPr>
          <w:rFonts w:hint="eastAsia" w:ascii="宋体" w:hAnsi="宋体" w:cs="宋体"/>
          <w:color w:val="auto"/>
          <w:kern w:val="0"/>
          <w:lang w:val="zh-CN"/>
        </w:rPr>
        <w:t>并提供第三方机构的营业执照、执业证书。</w:t>
      </w:r>
      <w:r>
        <w:rPr>
          <w:rFonts w:hint="eastAsia" w:ascii="宋体" w:hAnsi="宋体"/>
          <w:color w:val="auto"/>
        </w:rPr>
        <w:t>投标人是其他组织和自然人，没有经审计的财务报告，可以提供基本开户银行出具的资信证明。</w:t>
      </w:r>
    </w:p>
    <w:p w14:paraId="6C07FA9C">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2、近半年内任意一个月的依法缴纳税收和社会保障资金记录的证明材料；依法免税或不需要缴纳社会保障资金的投标人须提供相应文件证明其依法免税或不需要缴纳社会保障资金。</w:t>
      </w:r>
    </w:p>
    <w:p w14:paraId="0D28C77C">
      <w:pPr>
        <w:bidi w:val="0"/>
        <w:rPr>
          <w:rFonts w:ascii="宋体" w:hAnsi="宋体" w:cs="宋体"/>
          <w:color w:val="auto"/>
        </w:rPr>
      </w:pPr>
      <w:r>
        <w:rPr>
          <w:rFonts w:hint="eastAsia" w:ascii="宋体" w:hAnsi="宋体" w:cs="宋体"/>
          <w:color w:val="auto"/>
          <w:kern w:val="0"/>
          <w:sz w:val="24"/>
          <w:lang w:val="zh-CN"/>
        </w:rPr>
        <w:br w:type="page"/>
      </w:r>
      <w:bookmarkEnd w:id="98"/>
      <w:bookmarkStart w:id="104" w:name="_Toc28536"/>
      <w:bookmarkStart w:id="105" w:name="_Toc30559"/>
      <w:bookmarkStart w:id="106" w:name="_Toc24853"/>
      <w:bookmarkStart w:id="107" w:name="_Toc22255"/>
      <w:bookmarkStart w:id="108" w:name="_Toc76659138"/>
      <w:bookmarkStart w:id="109" w:name="_Toc21530"/>
      <w:r>
        <w:rPr>
          <w:rFonts w:hint="eastAsia" w:ascii="Times New Roman" w:hAnsi="Times New Roman" w:eastAsia="宋体" w:cs="Times New Roman"/>
          <w:b/>
          <w:bCs/>
          <w:color w:val="auto"/>
          <w:kern w:val="2"/>
          <w:sz w:val="24"/>
          <w:szCs w:val="24"/>
          <w:lang w:val="en-US" w:eastAsia="zh-CN" w:bidi="ar-SA"/>
        </w:rPr>
        <w:t>（8）</w:t>
      </w:r>
      <w:r>
        <w:rPr>
          <w:rFonts w:hint="eastAsia" w:ascii="Times New Roman" w:hAnsi="Times New Roman" w:eastAsia="宋体" w:cs="Times New Roman"/>
          <w:b/>
          <w:bCs/>
          <w:color w:val="auto"/>
          <w:kern w:val="2"/>
          <w:sz w:val="24"/>
          <w:szCs w:val="24"/>
          <w:lang w:val="zh-CN" w:eastAsia="zh-CN" w:bidi="ar-SA"/>
        </w:rPr>
        <w:t>具备履行合同所必需的设备和专业技术能力的证明材料</w:t>
      </w:r>
      <w:bookmarkEnd w:id="104"/>
      <w:bookmarkEnd w:id="105"/>
      <w:bookmarkEnd w:id="106"/>
      <w:bookmarkEnd w:id="107"/>
      <w:bookmarkEnd w:id="108"/>
    </w:p>
    <w:p w14:paraId="730F16F0">
      <w:pPr>
        <w:autoSpaceDE w:val="0"/>
        <w:autoSpaceDN w:val="0"/>
        <w:spacing w:line="520" w:lineRule="exact"/>
        <w:rPr>
          <w:rFonts w:ascii="宋体" w:hAnsi="宋体" w:cs="宋体"/>
          <w:color w:val="auto"/>
          <w:kern w:val="0"/>
          <w:sz w:val="28"/>
          <w:szCs w:val="28"/>
          <w:lang w:val="zh-CN"/>
        </w:rPr>
      </w:pPr>
    </w:p>
    <w:p w14:paraId="39A35B56">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具备履行合同所必需的设备和专业技术能力的证明材料</w:t>
      </w:r>
    </w:p>
    <w:p w14:paraId="2F78DFF6">
      <w:pPr>
        <w:autoSpaceDE w:val="0"/>
        <w:autoSpaceDN w:val="0"/>
        <w:spacing w:line="520" w:lineRule="exact"/>
        <w:ind w:firstLine="480"/>
        <w:rPr>
          <w:rFonts w:ascii="宋体" w:hAnsi="宋体" w:cs="宋体"/>
          <w:color w:val="auto"/>
          <w:kern w:val="0"/>
          <w:lang w:val="zh-CN"/>
        </w:rPr>
      </w:pPr>
    </w:p>
    <w:p w14:paraId="55857E62">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为保证本项目合同的顺利履行，投标人必须具备履行合同的设备和专业技术能力，须提供必须具备履行合同的设备和专业技术能力的承诺函（格式自拟），并提供相关设备的购置发票、相关人员的职称证书、用工合同等证明材料。</w:t>
      </w:r>
    </w:p>
    <w:p w14:paraId="5C04A72B">
      <w:pPr>
        <w:bidi w:val="0"/>
        <w:rPr>
          <w:rFonts w:ascii="宋体" w:hAnsi="宋体" w:cs="宋体"/>
          <w:color w:val="auto"/>
        </w:rPr>
      </w:pPr>
      <w:r>
        <w:rPr>
          <w:rFonts w:hint="eastAsia" w:ascii="宋体" w:hAnsi="宋体" w:cs="宋体"/>
          <w:color w:val="auto"/>
          <w:kern w:val="0"/>
          <w:sz w:val="24"/>
          <w:lang w:val="zh-CN"/>
        </w:rPr>
        <w:br w:type="page"/>
      </w:r>
      <w:bookmarkStart w:id="110" w:name="_Toc6637"/>
      <w:bookmarkStart w:id="111" w:name="_Toc14528"/>
      <w:bookmarkStart w:id="112" w:name="_Toc76659139"/>
      <w:bookmarkStart w:id="113" w:name="_Toc12526"/>
      <w:bookmarkStart w:id="114" w:name="_Toc61"/>
      <w:r>
        <w:rPr>
          <w:rFonts w:hint="eastAsia" w:ascii="Times New Roman" w:hAnsi="Times New Roman" w:eastAsia="宋体" w:cs="Times New Roman"/>
          <w:b/>
          <w:bCs/>
          <w:color w:val="auto"/>
          <w:kern w:val="2"/>
          <w:sz w:val="24"/>
          <w:szCs w:val="24"/>
          <w:lang w:val="en-US" w:eastAsia="zh-CN" w:bidi="ar-SA"/>
        </w:rPr>
        <w:t>（9）</w:t>
      </w:r>
      <w:r>
        <w:rPr>
          <w:rFonts w:hint="eastAsia" w:ascii="Times New Roman" w:hAnsi="Times New Roman" w:eastAsia="宋体" w:cs="Times New Roman"/>
          <w:b/>
          <w:bCs/>
          <w:color w:val="auto"/>
          <w:kern w:val="2"/>
          <w:sz w:val="24"/>
          <w:szCs w:val="24"/>
          <w:lang w:val="zh-CN" w:eastAsia="zh-CN" w:bidi="ar-SA"/>
        </w:rPr>
        <w:t>无重大违法记录声明</w:t>
      </w:r>
      <w:bookmarkEnd w:id="110"/>
      <w:bookmarkEnd w:id="111"/>
      <w:bookmarkEnd w:id="112"/>
      <w:bookmarkEnd w:id="113"/>
      <w:bookmarkEnd w:id="114"/>
    </w:p>
    <w:p w14:paraId="2FE8D6EF">
      <w:pPr>
        <w:autoSpaceDE w:val="0"/>
        <w:autoSpaceDN w:val="0"/>
        <w:spacing w:line="520" w:lineRule="exact"/>
        <w:rPr>
          <w:rFonts w:ascii="宋体" w:hAnsi="宋体" w:cs="宋体"/>
          <w:color w:val="auto"/>
          <w:kern w:val="0"/>
          <w:sz w:val="28"/>
          <w:szCs w:val="28"/>
          <w:lang w:val="zh-CN"/>
        </w:rPr>
      </w:pPr>
    </w:p>
    <w:p w14:paraId="12F7C02B">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无重大违法记录声明</w:t>
      </w:r>
    </w:p>
    <w:p w14:paraId="0352BE55">
      <w:pPr>
        <w:spacing w:line="520" w:lineRule="exact"/>
        <w:rPr>
          <w:rFonts w:ascii="宋体" w:hAnsi="宋体" w:cs="宋体"/>
          <w:b/>
          <w:bCs/>
          <w:color w:val="auto"/>
        </w:rPr>
      </w:pPr>
      <w:r>
        <w:rPr>
          <w:rFonts w:hint="eastAsia" w:ascii="宋体" w:hAnsi="宋体" w:cs="宋体"/>
          <w:b/>
          <w:bCs/>
          <w:color w:val="auto"/>
        </w:rPr>
        <w:t>致：</w:t>
      </w:r>
      <w:r>
        <w:rPr>
          <w:rFonts w:hint="eastAsia" w:ascii="宋体" w:hAnsi="宋体" w:cs="宋体"/>
          <w:b/>
          <w:bCs/>
          <w:color w:val="auto"/>
          <w:kern w:val="0"/>
          <w:lang w:val="zh-CN"/>
        </w:rPr>
        <w:t>采购人或者采购代理机构</w:t>
      </w:r>
    </w:p>
    <w:p w14:paraId="6E93781F">
      <w:pPr>
        <w:spacing w:line="520" w:lineRule="exact"/>
        <w:ind w:firstLine="480" w:firstLineChars="200"/>
        <w:rPr>
          <w:rFonts w:ascii="宋体" w:hAnsi="宋体" w:cs="宋体"/>
          <w:color w:val="auto"/>
          <w:shd w:val="clear" w:color="auto" w:fill="FFFFFF"/>
        </w:rPr>
      </w:pPr>
      <w:r>
        <w:rPr>
          <w:rFonts w:hint="eastAsia" w:ascii="宋体" w:hAnsi="宋体" w:cs="宋体"/>
          <w:color w:val="auto"/>
        </w:rPr>
        <w:t>我单位参加本次政府采购项目活动前三年内，在经营活动中无重大违法活动记录，符合《政府采购法》规定的供应商资格条</w:t>
      </w:r>
      <w:r>
        <w:rPr>
          <w:rFonts w:hint="eastAsia" w:ascii="宋体" w:hAnsi="宋体" w:cs="宋体"/>
          <w:color w:val="auto"/>
          <w:shd w:val="clear" w:color="auto" w:fill="FFFFFF"/>
        </w:rPr>
        <w:t>件。我方对此声明负全部法律责任。</w:t>
      </w:r>
    </w:p>
    <w:p w14:paraId="2541D433">
      <w:pPr>
        <w:spacing w:line="520" w:lineRule="exact"/>
        <w:ind w:firstLine="480" w:firstLineChars="200"/>
        <w:rPr>
          <w:rFonts w:ascii="宋体" w:hAnsi="宋体" w:cs="宋体"/>
          <w:color w:val="auto"/>
        </w:rPr>
      </w:pPr>
      <w:r>
        <w:rPr>
          <w:rFonts w:hint="eastAsia" w:ascii="宋体" w:hAnsi="宋体" w:cs="宋体"/>
          <w:color w:val="auto"/>
        </w:rPr>
        <w:t>特此声明。</w:t>
      </w:r>
    </w:p>
    <w:p w14:paraId="4B9E7768">
      <w:pPr>
        <w:autoSpaceDE w:val="0"/>
        <w:autoSpaceDN w:val="0"/>
        <w:spacing w:line="520" w:lineRule="exact"/>
        <w:jc w:val="left"/>
        <w:rPr>
          <w:rFonts w:ascii="宋体" w:hAnsi="宋体" w:cs="宋体"/>
          <w:color w:val="auto"/>
          <w:kern w:val="0"/>
          <w:lang w:val="zh-CN"/>
        </w:rPr>
      </w:pPr>
    </w:p>
    <w:p w14:paraId="79EE9A84">
      <w:pPr>
        <w:autoSpaceDE w:val="0"/>
        <w:autoSpaceDN w:val="0"/>
        <w:spacing w:line="520" w:lineRule="exact"/>
        <w:ind w:firstLine="480" w:firstLineChars="200"/>
        <w:jc w:val="left"/>
        <w:rPr>
          <w:rFonts w:ascii="宋体" w:hAnsi="宋体" w:cs="宋体"/>
          <w:color w:val="auto"/>
        </w:rPr>
      </w:pPr>
    </w:p>
    <w:p w14:paraId="13B5DAC9">
      <w:pPr>
        <w:autoSpaceDE w:val="0"/>
        <w:autoSpaceDN w:val="0"/>
        <w:spacing w:line="520" w:lineRule="exact"/>
        <w:jc w:val="left"/>
        <w:rPr>
          <w:rFonts w:ascii="宋体" w:hAnsi="宋体" w:cs="宋体"/>
          <w:color w:val="auto"/>
          <w:kern w:val="0"/>
        </w:rPr>
      </w:pPr>
    </w:p>
    <w:p w14:paraId="24980C86">
      <w:pPr>
        <w:autoSpaceDE w:val="0"/>
        <w:autoSpaceDN w:val="0"/>
        <w:spacing w:line="520" w:lineRule="exact"/>
        <w:jc w:val="left"/>
        <w:rPr>
          <w:rFonts w:ascii="宋体" w:hAnsi="宋体" w:cs="宋体"/>
          <w:color w:val="auto"/>
          <w:kern w:val="0"/>
        </w:rPr>
      </w:pPr>
    </w:p>
    <w:p w14:paraId="5A0E0116">
      <w:pPr>
        <w:autoSpaceDE w:val="0"/>
        <w:autoSpaceDN w:val="0"/>
        <w:spacing w:line="520" w:lineRule="exact"/>
        <w:jc w:val="left"/>
        <w:rPr>
          <w:rFonts w:ascii="宋体" w:hAnsi="宋体" w:cs="宋体"/>
          <w:color w:val="auto"/>
          <w:kern w:val="0"/>
        </w:rPr>
      </w:pPr>
    </w:p>
    <w:p w14:paraId="00C6F74C">
      <w:pPr>
        <w:autoSpaceDE w:val="0"/>
        <w:autoSpaceDN w:val="0"/>
        <w:spacing w:line="520" w:lineRule="exact"/>
        <w:jc w:val="left"/>
        <w:rPr>
          <w:rFonts w:ascii="宋体" w:hAnsi="宋体" w:cs="宋体"/>
          <w:color w:val="auto"/>
          <w:kern w:val="0"/>
        </w:rPr>
      </w:pPr>
    </w:p>
    <w:p w14:paraId="6576E11B">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29392F66">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4D72147">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3D1C2095">
      <w:pPr>
        <w:bidi w:val="0"/>
        <w:rPr>
          <w:rFonts w:ascii="宋体" w:hAnsi="宋体" w:cs="宋体"/>
          <w:color w:val="auto"/>
          <w:lang w:val="zh-CN"/>
        </w:rPr>
      </w:pPr>
      <w:r>
        <w:rPr>
          <w:rFonts w:hint="eastAsia" w:ascii="宋体" w:hAnsi="宋体" w:cs="宋体"/>
          <w:color w:val="auto"/>
          <w:lang w:val="zh-CN"/>
        </w:rPr>
        <w:br w:type="page"/>
      </w:r>
      <w:bookmarkStart w:id="115" w:name="_Toc76659140"/>
      <w:bookmarkStart w:id="116" w:name="_Toc8748"/>
      <w:bookmarkStart w:id="117" w:name="_Toc26377"/>
      <w:bookmarkStart w:id="118" w:name="_Toc4429"/>
      <w:bookmarkStart w:id="119" w:name="_Toc5317"/>
      <w:bookmarkStart w:id="120" w:name="_Toc29764"/>
      <w:r>
        <w:rPr>
          <w:rFonts w:hint="eastAsia" w:ascii="Times New Roman" w:hAnsi="Times New Roman" w:eastAsia="宋体" w:cs="Times New Roman"/>
          <w:b/>
          <w:bCs/>
          <w:color w:val="auto"/>
          <w:kern w:val="2"/>
          <w:sz w:val="24"/>
          <w:szCs w:val="24"/>
          <w:lang w:val="en-US" w:eastAsia="zh-CN" w:bidi="ar-SA"/>
        </w:rPr>
        <w:t>（10）</w:t>
      </w:r>
      <w:r>
        <w:rPr>
          <w:rFonts w:hint="eastAsia" w:ascii="Times New Roman" w:hAnsi="Times New Roman" w:eastAsia="宋体" w:cs="Times New Roman"/>
          <w:b/>
          <w:bCs/>
          <w:color w:val="auto"/>
          <w:kern w:val="2"/>
          <w:sz w:val="24"/>
          <w:szCs w:val="24"/>
          <w:lang w:val="zh-CN" w:eastAsia="zh-CN" w:bidi="ar-SA"/>
        </w:rPr>
        <w:t>磋商保证金证明</w:t>
      </w:r>
      <w:bookmarkEnd w:id="115"/>
      <w:bookmarkEnd w:id="116"/>
      <w:bookmarkEnd w:id="117"/>
      <w:bookmarkEnd w:id="118"/>
      <w:bookmarkEnd w:id="119"/>
      <w:bookmarkEnd w:id="120"/>
    </w:p>
    <w:p w14:paraId="3655DDCA">
      <w:pPr>
        <w:spacing w:line="520" w:lineRule="exact"/>
        <w:rPr>
          <w:rFonts w:ascii="宋体" w:hAnsi="宋体" w:cs="宋体"/>
          <w:color w:val="auto"/>
          <w:sz w:val="28"/>
          <w:szCs w:val="28"/>
          <w:lang w:val="zh-CN"/>
        </w:rPr>
      </w:pPr>
    </w:p>
    <w:p w14:paraId="34EF2F9B">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磋商保证金证明</w:t>
      </w:r>
    </w:p>
    <w:p w14:paraId="42353689">
      <w:pPr>
        <w:autoSpaceDE w:val="0"/>
        <w:autoSpaceDN w:val="0"/>
        <w:spacing w:line="520" w:lineRule="exact"/>
        <w:rPr>
          <w:rFonts w:ascii="宋体" w:hAnsi="宋体" w:cs="宋体"/>
          <w:b/>
          <w:bCs/>
          <w:color w:val="auto"/>
          <w:kern w:val="0"/>
          <w:lang w:val="zh-CN"/>
        </w:rPr>
      </w:pPr>
      <w:r>
        <w:rPr>
          <w:rFonts w:hint="eastAsia" w:ascii="宋体" w:hAnsi="宋体" w:cs="宋体"/>
          <w:b/>
          <w:bCs/>
          <w:color w:val="auto"/>
          <w:kern w:val="0"/>
          <w:lang w:val="zh-CN"/>
        </w:rPr>
        <w:t>致：采购人或者采购代理机构</w:t>
      </w:r>
    </w:p>
    <w:p w14:paraId="64227F31">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我方为（采购项目名称）项目（采购项目编号为：        ）递交保证金人民币       （大写：人民币        元）已于     年    月    日以转账方式汇入你方账户。</w:t>
      </w:r>
    </w:p>
    <w:p w14:paraId="35535FB3">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附件：保证金交款证明复印件（加盖公章）</w:t>
      </w:r>
    </w:p>
    <w:p w14:paraId="61B38F35">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130B6060">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户    名：</w:t>
      </w:r>
    </w:p>
    <w:p w14:paraId="547FA15F">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开户银行：</w:t>
      </w:r>
    </w:p>
    <w:p w14:paraId="33581AF8">
      <w:pPr>
        <w:autoSpaceDE w:val="0"/>
        <w:autoSpaceDN w:val="0"/>
        <w:spacing w:line="520" w:lineRule="exact"/>
        <w:ind w:firstLine="360"/>
        <w:rPr>
          <w:rFonts w:ascii="宋体" w:hAnsi="宋体" w:cs="宋体"/>
          <w:color w:val="auto"/>
          <w:kern w:val="0"/>
          <w:lang w:val="zh-CN"/>
        </w:rPr>
      </w:pPr>
      <w:r>
        <w:rPr>
          <w:rFonts w:hint="eastAsia" w:ascii="宋体" w:hAnsi="宋体" w:cs="宋体"/>
          <w:color w:val="auto"/>
          <w:kern w:val="0"/>
          <w:lang w:val="zh-CN"/>
        </w:rPr>
        <w:t>开户帐号：</w:t>
      </w:r>
    </w:p>
    <w:p w14:paraId="69B4DF5D">
      <w:pPr>
        <w:autoSpaceDE w:val="0"/>
        <w:autoSpaceDN w:val="0"/>
        <w:spacing w:line="520" w:lineRule="exact"/>
        <w:ind w:firstLine="360"/>
        <w:rPr>
          <w:rFonts w:ascii="宋体" w:hAnsi="宋体" w:cs="宋体"/>
          <w:color w:val="auto"/>
          <w:kern w:val="0"/>
          <w:lang w:val="zh-CN"/>
        </w:rPr>
      </w:pPr>
    </w:p>
    <w:p w14:paraId="21381BE5">
      <w:pPr>
        <w:autoSpaceDE w:val="0"/>
        <w:autoSpaceDN w:val="0"/>
        <w:spacing w:line="520" w:lineRule="exact"/>
        <w:ind w:firstLine="360"/>
        <w:rPr>
          <w:rFonts w:ascii="宋体" w:hAnsi="宋体" w:cs="宋体"/>
          <w:color w:val="auto"/>
          <w:kern w:val="0"/>
          <w:lang w:val="zh-CN"/>
        </w:rPr>
      </w:pPr>
    </w:p>
    <w:p w14:paraId="528399CA">
      <w:pPr>
        <w:autoSpaceDE w:val="0"/>
        <w:autoSpaceDN w:val="0"/>
        <w:spacing w:line="520" w:lineRule="exact"/>
        <w:ind w:firstLine="360"/>
        <w:rPr>
          <w:rFonts w:ascii="宋体" w:hAnsi="宋体" w:cs="宋体"/>
          <w:color w:val="auto"/>
          <w:kern w:val="0"/>
          <w:lang w:val="zh-CN"/>
        </w:rPr>
      </w:pPr>
    </w:p>
    <w:p w14:paraId="03D05E17">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2D92F044">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4DBB369E">
      <w:pPr>
        <w:autoSpaceDE w:val="0"/>
        <w:autoSpaceDN w:val="0"/>
        <w:spacing w:line="520" w:lineRule="exact"/>
        <w:jc w:val="center"/>
        <w:rPr>
          <w:rFonts w:ascii="宋体" w:hAnsi="宋体" w:cs="宋体"/>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5CC80CDE">
      <w:pPr>
        <w:autoSpaceDE w:val="0"/>
        <w:autoSpaceDN w:val="0"/>
        <w:spacing w:line="520" w:lineRule="exact"/>
        <w:rPr>
          <w:rFonts w:ascii="宋体" w:hAnsi="宋体" w:cs="宋体"/>
          <w:b/>
          <w:bCs/>
          <w:color w:val="auto"/>
          <w:kern w:val="0"/>
          <w:lang w:val="zh-CN"/>
        </w:rPr>
      </w:pPr>
    </w:p>
    <w:p w14:paraId="6463BC64">
      <w:pPr>
        <w:autoSpaceDE w:val="0"/>
        <w:autoSpaceDN w:val="0"/>
        <w:spacing w:line="520" w:lineRule="exact"/>
        <w:rPr>
          <w:rFonts w:ascii="宋体" w:hAnsi="宋体" w:cs="宋体"/>
          <w:b/>
          <w:bCs/>
          <w:color w:val="auto"/>
          <w:kern w:val="0"/>
          <w:lang w:val="zh-CN"/>
        </w:rPr>
      </w:pPr>
    </w:p>
    <w:p w14:paraId="16205339">
      <w:pPr>
        <w:autoSpaceDE w:val="0"/>
        <w:autoSpaceDN w:val="0"/>
        <w:spacing w:line="520" w:lineRule="exact"/>
        <w:rPr>
          <w:rFonts w:ascii="宋体" w:hAnsi="宋体" w:cs="宋体"/>
          <w:b/>
          <w:bCs/>
          <w:color w:val="auto"/>
          <w:kern w:val="0"/>
          <w:lang w:val="zh-CN"/>
        </w:rPr>
      </w:pPr>
    </w:p>
    <w:p w14:paraId="1330BC9A">
      <w:pPr>
        <w:autoSpaceDE w:val="0"/>
        <w:autoSpaceDN w:val="0"/>
        <w:spacing w:line="520" w:lineRule="exact"/>
        <w:rPr>
          <w:rFonts w:ascii="宋体" w:hAnsi="宋体" w:cs="宋体"/>
          <w:b/>
          <w:bCs/>
          <w:color w:val="auto"/>
          <w:kern w:val="0"/>
          <w:lang w:val="zh-CN"/>
        </w:rPr>
      </w:pPr>
    </w:p>
    <w:p w14:paraId="520613C9">
      <w:pPr>
        <w:autoSpaceDE w:val="0"/>
        <w:autoSpaceDN w:val="0"/>
        <w:spacing w:line="520" w:lineRule="exact"/>
        <w:rPr>
          <w:rFonts w:ascii="宋体" w:hAnsi="宋体" w:cs="宋体"/>
          <w:b/>
          <w:bCs/>
          <w:color w:val="auto"/>
          <w:kern w:val="0"/>
          <w:lang w:val="zh-CN"/>
        </w:rPr>
      </w:pPr>
    </w:p>
    <w:bookmarkEnd w:id="109"/>
    <w:p w14:paraId="34EFFCF0">
      <w:pPr>
        <w:rPr>
          <w:rFonts w:hint="eastAsia" w:ascii="宋体" w:hAnsi="宋体"/>
          <w:color w:val="auto"/>
          <w:kern w:val="0"/>
          <w:lang w:val="zh-CN"/>
        </w:rPr>
      </w:pPr>
      <w:r>
        <w:rPr>
          <w:rFonts w:hint="eastAsia" w:ascii="宋体" w:hAnsi="宋体"/>
          <w:color w:val="auto"/>
          <w:kern w:val="0"/>
          <w:lang w:val="zh-CN"/>
        </w:rPr>
        <w:br w:type="page"/>
      </w:r>
    </w:p>
    <w:p w14:paraId="5A6D9FDA">
      <w:pPr>
        <w:ind w:firstLine="200" w:firstLineChars="83"/>
        <w:rPr>
          <w:b/>
          <w:color w:val="auto"/>
        </w:rPr>
      </w:pPr>
      <w:r>
        <w:rPr>
          <w:rFonts w:hint="eastAsia"/>
          <w:b/>
          <w:color w:val="auto"/>
        </w:rPr>
        <w:t>（磋商响应文件封面）</w:t>
      </w:r>
    </w:p>
    <w:p w14:paraId="5EC0555D">
      <w:pPr>
        <w:spacing w:line="360" w:lineRule="auto"/>
        <w:ind w:firstLine="2088" w:firstLineChars="400"/>
        <w:rPr>
          <w:rFonts w:ascii="仿宋_GB2312" w:hAnsi="宋体" w:eastAsia="仿宋_GB2312"/>
          <w:b/>
          <w:color w:val="auto"/>
          <w:sz w:val="52"/>
          <w:szCs w:val="52"/>
        </w:rPr>
      </w:pPr>
    </w:p>
    <w:p w14:paraId="0D368611">
      <w:pPr>
        <w:spacing w:line="360" w:lineRule="auto"/>
        <w:ind w:firstLine="2088" w:firstLineChars="400"/>
        <w:rPr>
          <w:rFonts w:ascii="仿宋_GB2312" w:hAnsi="宋体" w:eastAsia="仿宋_GB2312"/>
          <w:b/>
          <w:color w:val="auto"/>
          <w:sz w:val="52"/>
          <w:szCs w:val="52"/>
        </w:rPr>
      </w:pPr>
      <w:r>
        <w:rPr>
          <w:rFonts w:hint="eastAsia" w:ascii="仿宋_GB2312" w:hAnsi="宋体" w:eastAsia="仿宋_GB2312"/>
          <w:b/>
          <w:color w:val="auto"/>
          <w:sz w:val="52"/>
          <w:szCs w:val="52"/>
        </w:rPr>
        <w:t>青海省政府采购项目</w:t>
      </w:r>
    </w:p>
    <w:p w14:paraId="0FF5E166">
      <w:pPr>
        <w:spacing w:line="360" w:lineRule="auto"/>
        <w:ind w:firstLine="944" w:firstLineChars="392"/>
        <w:rPr>
          <w:rFonts w:ascii="宋体"/>
          <w:b/>
          <w:color w:val="auto"/>
          <w:szCs w:val="21"/>
        </w:rPr>
      </w:pPr>
    </w:p>
    <w:p w14:paraId="63DCC3AD">
      <w:pPr>
        <w:spacing w:line="360" w:lineRule="auto"/>
        <w:ind w:firstLine="2364" w:firstLineChars="327"/>
        <w:rPr>
          <w:rFonts w:ascii="宋体"/>
          <w:b/>
          <w:color w:val="auto"/>
          <w:sz w:val="72"/>
          <w:szCs w:val="72"/>
        </w:rPr>
      </w:pPr>
    </w:p>
    <w:p w14:paraId="5B1982BF">
      <w:pPr>
        <w:spacing w:line="360" w:lineRule="auto"/>
        <w:ind w:firstLine="2364" w:firstLineChars="327"/>
        <w:rPr>
          <w:rFonts w:ascii="宋体"/>
          <w:b/>
          <w:color w:val="auto"/>
          <w:sz w:val="72"/>
          <w:szCs w:val="72"/>
        </w:rPr>
      </w:pPr>
      <w:r>
        <w:rPr>
          <w:rFonts w:hint="eastAsia" w:ascii="宋体" w:hAnsi="宋体"/>
          <w:b/>
          <w:color w:val="auto"/>
          <w:sz w:val="72"/>
          <w:szCs w:val="72"/>
        </w:rPr>
        <w:t>磋商响应文件</w:t>
      </w:r>
    </w:p>
    <w:p w14:paraId="5217C40C">
      <w:pPr>
        <w:adjustRightInd w:val="0"/>
        <w:spacing w:line="360" w:lineRule="auto"/>
        <w:jc w:val="center"/>
        <w:textAlignment w:val="baseline"/>
        <w:rPr>
          <w:rFonts w:ascii="宋体"/>
          <w:b/>
          <w:bCs/>
          <w:color w:val="auto"/>
          <w:sz w:val="36"/>
          <w:szCs w:val="36"/>
        </w:rPr>
      </w:pPr>
      <w:r>
        <w:rPr>
          <w:rFonts w:hint="eastAsia" w:ascii="宋体" w:hAnsi="宋体"/>
          <w:b/>
          <w:bCs/>
          <w:color w:val="auto"/>
          <w:sz w:val="36"/>
          <w:szCs w:val="36"/>
        </w:rPr>
        <w:t>（符合性审查文件）</w:t>
      </w:r>
    </w:p>
    <w:p w14:paraId="34250210">
      <w:pPr>
        <w:spacing w:line="360" w:lineRule="auto"/>
        <w:ind w:firstLine="788" w:firstLineChars="327"/>
        <w:rPr>
          <w:rFonts w:ascii="宋体"/>
          <w:b/>
          <w:color w:val="auto"/>
        </w:rPr>
      </w:pPr>
    </w:p>
    <w:p w14:paraId="2B9FB0AB">
      <w:pPr>
        <w:adjustRightInd w:val="0"/>
        <w:spacing w:line="360" w:lineRule="auto"/>
        <w:textAlignment w:val="baseline"/>
        <w:rPr>
          <w:rFonts w:ascii="宋体"/>
          <w:b/>
          <w:bCs/>
          <w:color w:val="auto"/>
          <w:sz w:val="32"/>
        </w:rPr>
      </w:pPr>
    </w:p>
    <w:p w14:paraId="287C910A">
      <w:pPr>
        <w:adjustRightInd w:val="0"/>
        <w:spacing w:line="360" w:lineRule="auto"/>
        <w:textAlignment w:val="baseline"/>
        <w:rPr>
          <w:rFonts w:hint="eastAsia" w:ascii="宋体" w:eastAsia="宋体"/>
          <w:b/>
          <w:color w:val="auto"/>
          <w:sz w:val="36"/>
          <w:szCs w:val="36"/>
          <w:lang w:eastAsia="zh-CN"/>
        </w:rPr>
      </w:pPr>
      <w:r>
        <w:rPr>
          <w:rFonts w:hint="eastAsia" w:ascii="宋体" w:hAnsi="宋体"/>
          <w:b/>
          <w:bCs/>
          <w:color w:val="auto"/>
          <w:sz w:val="36"/>
          <w:szCs w:val="36"/>
        </w:rPr>
        <w:t>采购项目编号</w:t>
      </w:r>
      <w:r>
        <w:rPr>
          <w:rFonts w:hint="eastAsia" w:ascii="宋体" w:hAnsi="宋体"/>
          <w:b/>
          <w:color w:val="auto"/>
          <w:sz w:val="36"/>
          <w:szCs w:val="36"/>
        </w:rPr>
        <w:t>：</w:t>
      </w:r>
      <w:r>
        <w:rPr>
          <w:rFonts w:hint="eastAsia" w:ascii="宋体" w:hAnsi="宋体"/>
          <w:b/>
          <w:color w:val="auto"/>
          <w:sz w:val="36"/>
          <w:szCs w:val="36"/>
          <w:lang w:eastAsia="zh-CN"/>
        </w:rPr>
        <w:t>青海雅辉竞磋（货物）2024-006</w:t>
      </w:r>
    </w:p>
    <w:p w14:paraId="3C549F01">
      <w:pPr>
        <w:adjustRightInd w:val="0"/>
        <w:spacing w:line="360" w:lineRule="auto"/>
        <w:ind w:left="2512" w:right="-283" w:rightChars="-118" w:hanging="2512" w:hangingChars="695"/>
        <w:textAlignment w:val="baseline"/>
        <w:rPr>
          <w:rFonts w:hint="eastAsia" w:ascii="宋体" w:hAnsi="宋体"/>
          <w:b/>
          <w:color w:val="auto"/>
          <w:sz w:val="36"/>
          <w:szCs w:val="36"/>
          <w:lang w:eastAsia="zh-CN"/>
        </w:rPr>
      </w:pPr>
      <w:r>
        <w:rPr>
          <w:rFonts w:hint="eastAsia" w:ascii="宋体" w:hAnsi="宋体"/>
          <w:b/>
          <w:bCs/>
          <w:color w:val="auto"/>
          <w:sz w:val="36"/>
          <w:szCs w:val="36"/>
        </w:rPr>
        <w:t>采购项目名</w:t>
      </w:r>
      <w:r>
        <w:rPr>
          <w:rFonts w:hint="eastAsia" w:ascii="宋体" w:hAnsi="宋体"/>
          <w:b/>
          <w:color w:val="auto"/>
          <w:sz w:val="36"/>
          <w:szCs w:val="36"/>
        </w:rPr>
        <w:t>称</w:t>
      </w:r>
      <w:r>
        <w:rPr>
          <w:rFonts w:ascii="宋体" w:hAnsi="宋体"/>
          <w:b/>
          <w:color w:val="auto"/>
          <w:sz w:val="36"/>
          <w:szCs w:val="36"/>
        </w:rPr>
        <w:t xml:space="preserve">: </w:t>
      </w:r>
      <w:r>
        <w:rPr>
          <w:rFonts w:hint="eastAsia" w:ascii="宋体" w:hAnsi="宋体"/>
          <w:b/>
          <w:color w:val="auto"/>
          <w:sz w:val="36"/>
          <w:szCs w:val="36"/>
          <w:lang w:eastAsia="zh-CN"/>
        </w:rPr>
        <w:t>玉树州职业技术学校民族服装与服饰专业建设项目</w:t>
      </w:r>
    </w:p>
    <w:p w14:paraId="4DE0BB38">
      <w:pPr>
        <w:adjustRightInd w:val="0"/>
        <w:spacing w:line="360" w:lineRule="auto"/>
        <w:ind w:left="2512" w:right="-283" w:rightChars="-118" w:hanging="2512" w:hangingChars="695"/>
        <w:textAlignment w:val="baseline"/>
        <w:rPr>
          <w:rFonts w:hint="eastAsia" w:ascii="宋体" w:hAnsi="宋体"/>
          <w:b/>
          <w:color w:val="auto"/>
          <w:sz w:val="36"/>
          <w:szCs w:val="36"/>
          <w:lang w:eastAsia="zh-CN"/>
        </w:rPr>
      </w:pPr>
    </w:p>
    <w:p w14:paraId="475DEA43">
      <w:pPr>
        <w:adjustRightInd w:val="0"/>
        <w:spacing w:line="360" w:lineRule="auto"/>
        <w:ind w:firstLine="643" w:firstLineChars="200"/>
        <w:textAlignment w:val="baseline"/>
        <w:outlineLvl w:val="1"/>
        <w:rPr>
          <w:rFonts w:hint="eastAsia" w:ascii="宋体" w:hAnsi="宋体" w:cs="宋体"/>
          <w:b/>
          <w:color w:val="auto"/>
          <w:sz w:val="32"/>
          <w:szCs w:val="32"/>
          <w:u w:val="single"/>
        </w:rPr>
      </w:pPr>
      <w:r>
        <w:rPr>
          <w:rFonts w:hint="eastAsia" w:ascii="宋体" w:hAnsi="宋体" w:cs="宋体"/>
          <w:b/>
          <w:bCs/>
          <w:color w:val="auto"/>
          <w:sz w:val="32"/>
          <w:szCs w:val="32"/>
          <w:lang w:val="en-US" w:eastAsia="zh-CN"/>
        </w:rPr>
        <w:t>磋商</w:t>
      </w:r>
      <w:r>
        <w:rPr>
          <w:rFonts w:hint="eastAsia" w:ascii="宋体" w:hAnsi="宋体" w:cs="宋体"/>
          <w:b/>
          <w:bCs/>
          <w:color w:val="auto"/>
          <w:sz w:val="32"/>
          <w:szCs w:val="32"/>
        </w:rPr>
        <w:t>供应商</w:t>
      </w:r>
      <w:r>
        <w:rPr>
          <w:rFonts w:hint="eastAsia" w:ascii="宋体" w:hAnsi="宋体" w:cs="宋体"/>
          <w:b/>
          <w:color w:val="auto"/>
          <w:sz w:val="32"/>
          <w:szCs w:val="32"/>
        </w:rPr>
        <w:t>：</w:t>
      </w:r>
      <w:r>
        <w:rPr>
          <w:rFonts w:hint="eastAsia" w:ascii="宋体" w:hAnsi="宋体" w:cs="宋体"/>
          <w:b/>
          <w:color w:val="auto"/>
          <w:sz w:val="32"/>
          <w:szCs w:val="32"/>
          <w:u w:val="single"/>
        </w:rPr>
        <w:t xml:space="preserve">                         （公章）</w:t>
      </w:r>
    </w:p>
    <w:p w14:paraId="2D0B97E1">
      <w:pPr>
        <w:spacing w:line="360" w:lineRule="auto"/>
        <w:ind w:firstLine="723" w:firstLineChars="300"/>
        <w:jc w:val="both"/>
        <w:rPr>
          <w:rFonts w:hint="eastAsia" w:ascii="宋体" w:hAnsi="宋体" w:cs="宋体"/>
          <w:b/>
          <w:color w:val="auto"/>
          <w:sz w:val="32"/>
          <w:szCs w:val="32"/>
          <w:u w:val="single"/>
        </w:rPr>
      </w:pPr>
      <w:r>
        <w:rPr>
          <w:rFonts w:hint="eastAsia" w:ascii="宋体" w:hAnsi="宋体" w:eastAsia="宋体" w:cs="宋体"/>
          <w:b/>
          <w:color w:val="auto"/>
          <w:sz w:val="24"/>
        </w:rPr>
        <w:t>法定代表人</w:t>
      </w:r>
      <w:r>
        <w:rPr>
          <w:rFonts w:hint="eastAsia" w:ascii="宋体" w:hAnsi="宋体" w:eastAsia="宋体" w:cs="宋体"/>
          <w:b/>
          <w:color w:val="auto"/>
        </w:rPr>
        <w:t>（非法人组织的负责人）</w:t>
      </w:r>
      <w:r>
        <w:rPr>
          <w:rFonts w:hint="eastAsia" w:ascii="宋体" w:hAnsi="宋体" w:eastAsia="宋体" w:cs="宋体"/>
          <w:b/>
          <w:color w:val="auto"/>
          <w:sz w:val="24"/>
        </w:rPr>
        <w:t>或委托代理人：</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（签字或盖章）</w:t>
      </w:r>
    </w:p>
    <w:p w14:paraId="4A54ED1C">
      <w:pPr>
        <w:spacing w:line="360" w:lineRule="auto"/>
        <w:ind w:firstLine="3534" w:firstLineChars="1100"/>
        <w:rPr>
          <w:rFonts w:ascii="宋体"/>
          <w:b/>
          <w:color w:val="auto"/>
          <w:sz w:val="32"/>
        </w:rPr>
      </w:pPr>
      <w:r>
        <w:rPr>
          <w:rFonts w:hint="eastAsia" w:ascii="宋体" w:hAnsi="宋体"/>
          <w:b/>
          <w:color w:val="auto"/>
          <w:sz w:val="32"/>
        </w:rPr>
        <w:t>年</w:t>
      </w:r>
      <w:r>
        <w:rPr>
          <w:rFonts w:ascii="宋体" w:hAnsi="宋体"/>
          <w:b/>
          <w:color w:val="auto"/>
          <w:sz w:val="32"/>
        </w:rPr>
        <w:t xml:space="preserve">  </w:t>
      </w:r>
      <w:r>
        <w:rPr>
          <w:rFonts w:hint="eastAsia" w:ascii="宋体" w:hAnsi="宋体"/>
          <w:b/>
          <w:color w:val="auto"/>
          <w:sz w:val="32"/>
        </w:rPr>
        <w:t>月</w:t>
      </w:r>
      <w:r>
        <w:rPr>
          <w:rFonts w:ascii="宋体" w:hAnsi="宋体"/>
          <w:b/>
          <w:color w:val="auto"/>
          <w:sz w:val="32"/>
        </w:rPr>
        <w:t xml:space="preserve">  </w:t>
      </w:r>
      <w:r>
        <w:rPr>
          <w:rFonts w:hint="eastAsia" w:ascii="宋体" w:hAnsi="宋体"/>
          <w:b/>
          <w:color w:val="auto"/>
          <w:sz w:val="32"/>
        </w:rPr>
        <w:t>日</w:t>
      </w:r>
    </w:p>
    <w:p w14:paraId="57B2833E">
      <w:pPr>
        <w:widowControl/>
        <w:snapToGrid w:val="0"/>
        <w:spacing w:line="360" w:lineRule="auto"/>
        <w:outlineLvl w:val="9"/>
        <w:rPr>
          <w:rFonts w:ascii="宋体"/>
          <w:b/>
          <w:color w:val="auto"/>
          <w:sz w:val="36"/>
          <w:szCs w:val="36"/>
        </w:rPr>
      </w:pPr>
      <w:r>
        <w:rPr>
          <w:rFonts w:ascii="宋体"/>
          <w:b/>
          <w:color w:val="auto"/>
          <w:sz w:val="28"/>
          <w:szCs w:val="28"/>
        </w:rPr>
        <w:br w:type="page"/>
      </w:r>
      <w:bookmarkStart w:id="121" w:name="_Toc376936769"/>
      <w:bookmarkStart w:id="122" w:name="_Toc325726038"/>
      <w:bookmarkStart w:id="123" w:name="_Toc496626244"/>
      <w:bookmarkStart w:id="124" w:name="_Toc14784"/>
      <w:bookmarkStart w:id="125" w:name="_Toc18129"/>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1</w:t>
      </w:r>
      <w:r>
        <w:rPr>
          <w:rFonts w:hint="eastAsia" w:ascii="Times New Roman" w:hAnsi="Times New Roman" w:eastAsia="宋体" w:cs="Times New Roman"/>
          <w:b/>
          <w:bCs/>
          <w:color w:val="auto"/>
          <w:kern w:val="2"/>
          <w:sz w:val="24"/>
          <w:szCs w:val="24"/>
          <w:lang w:val="en-US" w:eastAsia="zh-CN" w:bidi="ar-SA"/>
        </w:rPr>
        <w:t>）</w:t>
      </w:r>
      <w:bookmarkEnd w:id="121"/>
      <w:bookmarkEnd w:id="122"/>
      <w:r>
        <w:rPr>
          <w:rFonts w:hint="eastAsia" w:ascii="Times New Roman" w:hAnsi="Times New Roman" w:eastAsia="宋体" w:cs="Times New Roman"/>
          <w:b/>
          <w:bCs/>
          <w:color w:val="auto"/>
          <w:kern w:val="2"/>
          <w:sz w:val="24"/>
          <w:szCs w:val="24"/>
          <w:lang w:val="en-US" w:eastAsia="zh-CN" w:bidi="ar-SA"/>
        </w:rPr>
        <w:t>竞争性磋商首次报价表</w:t>
      </w:r>
      <w:bookmarkEnd w:id="123"/>
      <w:bookmarkEnd w:id="124"/>
      <w:bookmarkEnd w:id="125"/>
    </w:p>
    <w:p w14:paraId="57F45614">
      <w:pPr>
        <w:ind w:firstLine="2711" w:firstLineChars="750"/>
        <w:rPr>
          <w:rFonts w:ascii="宋体"/>
          <w:b/>
          <w:color w:val="auto"/>
          <w:sz w:val="36"/>
          <w:szCs w:val="36"/>
        </w:rPr>
      </w:pPr>
      <w:r>
        <w:rPr>
          <w:rFonts w:hint="eastAsia" w:ascii="宋体" w:hAnsi="宋体"/>
          <w:b/>
          <w:color w:val="auto"/>
          <w:sz w:val="36"/>
          <w:szCs w:val="36"/>
        </w:rPr>
        <w:t>竞争性磋商首次报价表</w:t>
      </w:r>
    </w:p>
    <w:p w14:paraId="6C0F7540">
      <w:pPr>
        <w:autoSpaceDE w:val="0"/>
        <w:autoSpaceDN w:val="0"/>
        <w:spacing w:line="360" w:lineRule="auto"/>
        <w:rPr>
          <w:rFonts w:ascii="宋体" w:hAnsi="宋体" w:cs="宋体"/>
          <w:b/>
          <w:bCs/>
          <w:color w:val="auto"/>
          <w:sz w:val="24"/>
          <w:lang w:val="zh-CN"/>
        </w:rPr>
      </w:pPr>
      <w:r>
        <w:rPr>
          <w:rFonts w:hint="eastAsia" w:ascii="宋体" w:hAnsi="宋体" w:cs="宋体"/>
          <w:b/>
          <w:bCs/>
          <w:color w:val="auto"/>
          <w:sz w:val="24"/>
          <w:lang w:val="zh-CN"/>
        </w:rPr>
        <w:t>供应商名称：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14:paraId="21D7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5577A059">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项目编号</w:t>
            </w:r>
          </w:p>
        </w:tc>
        <w:tc>
          <w:tcPr>
            <w:tcW w:w="5749" w:type="dxa"/>
            <w:vAlign w:val="center"/>
          </w:tcPr>
          <w:p w14:paraId="34A67736">
            <w:pPr>
              <w:pStyle w:val="9"/>
              <w:spacing w:line="360" w:lineRule="auto"/>
              <w:ind w:firstLine="0" w:firstLineChars="0"/>
              <w:rPr>
                <w:rFonts w:ascii="宋体" w:hAnsi="宋体" w:cs="宋体"/>
                <w:color w:val="000000"/>
                <w:sz w:val="24"/>
                <w:szCs w:val="24"/>
              </w:rPr>
            </w:pPr>
          </w:p>
        </w:tc>
      </w:tr>
      <w:tr w14:paraId="1EA5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92B3942">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项目名称</w:t>
            </w:r>
          </w:p>
        </w:tc>
        <w:tc>
          <w:tcPr>
            <w:tcW w:w="5749" w:type="dxa"/>
            <w:vAlign w:val="center"/>
          </w:tcPr>
          <w:p w14:paraId="1BCE83E7">
            <w:pPr>
              <w:pStyle w:val="9"/>
              <w:spacing w:line="360" w:lineRule="auto"/>
              <w:ind w:firstLine="0" w:firstLineChars="0"/>
              <w:rPr>
                <w:rFonts w:ascii="宋体" w:hAnsi="宋体" w:cs="宋体"/>
                <w:color w:val="000000"/>
                <w:sz w:val="24"/>
                <w:szCs w:val="24"/>
              </w:rPr>
            </w:pPr>
          </w:p>
        </w:tc>
      </w:tr>
      <w:tr w14:paraId="75A8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6FCCF316">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rPr>
              <w:t>投标报价</w:t>
            </w:r>
          </w:p>
        </w:tc>
        <w:tc>
          <w:tcPr>
            <w:tcW w:w="5749" w:type="dxa"/>
            <w:vAlign w:val="center"/>
          </w:tcPr>
          <w:p w14:paraId="10740B66">
            <w:pPr>
              <w:pStyle w:val="9"/>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 xml:space="preserve">小写：        </w:t>
            </w:r>
          </w:p>
          <w:p w14:paraId="5CCA16D7">
            <w:pPr>
              <w:pStyle w:val="9"/>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大写：</w:t>
            </w:r>
          </w:p>
        </w:tc>
      </w:tr>
      <w:tr w14:paraId="1138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14:paraId="2C1DE5CE">
            <w:pPr>
              <w:pStyle w:val="9"/>
              <w:spacing w:line="360" w:lineRule="auto"/>
              <w:ind w:firstLine="0" w:firstLineChars="0"/>
              <w:jc w:val="center"/>
              <w:rPr>
                <w:rFonts w:ascii="宋体" w:hAnsi="宋体" w:cs="宋体"/>
                <w:color w:val="000000"/>
                <w:sz w:val="24"/>
                <w:szCs w:val="24"/>
              </w:rPr>
            </w:pPr>
            <w:r>
              <w:rPr>
                <w:rFonts w:hint="eastAsia" w:ascii="宋体" w:hAnsi="宋体" w:cs="宋体"/>
                <w:color w:val="000000"/>
                <w:sz w:val="24"/>
                <w:szCs w:val="24"/>
                <w:lang w:val="en-US" w:eastAsia="zh-CN"/>
              </w:rPr>
              <w:t>交货</w:t>
            </w:r>
            <w:r>
              <w:rPr>
                <w:rFonts w:hint="eastAsia" w:ascii="宋体" w:hAnsi="宋体" w:cs="宋体"/>
                <w:color w:val="000000"/>
                <w:sz w:val="24"/>
                <w:szCs w:val="24"/>
              </w:rPr>
              <w:t>时间</w:t>
            </w:r>
          </w:p>
        </w:tc>
        <w:tc>
          <w:tcPr>
            <w:tcW w:w="5749" w:type="dxa"/>
            <w:vAlign w:val="center"/>
          </w:tcPr>
          <w:p w14:paraId="6B44D654">
            <w:pPr>
              <w:pStyle w:val="9"/>
              <w:spacing w:line="360" w:lineRule="auto"/>
              <w:ind w:firstLine="0" w:firstLineChars="0"/>
              <w:rPr>
                <w:rFonts w:ascii="宋体" w:hAnsi="宋体" w:cs="宋体"/>
                <w:color w:val="000000"/>
                <w:sz w:val="24"/>
                <w:szCs w:val="24"/>
              </w:rPr>
            </w:pPr>
          </w:p>
        </w:tc>
      </w:tr>
      <w:tr w14:paraId="51AC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14:paraId="69A7DA1A">
            <w:pPr>
              <w:pStyle w:val="9"/>
              <w:spacing w:line="360" w:lineRule="auto"/>
              <w:ind w:firstLine="0" w:firstLineChars="0"/>
              <w:rPr>
                <w:rFonts w:ascii="宋体" w:hAnsi="宋体" w:cs="宋体"/>
                <w:color w:val="000000"/>
                <w:sz w:val="24"/>
                <w:szCs w:val="24"/>
                <w:lang w:val="zh-CN"/>
              </w:rPr>
            </w:pPr>
            <w:r>
              <w:rPr>
                <w:rFonts w:hint="eastAsia" w:ascii="宋体" w:hAnsi="宋体" w:cs="宋体"/>
                <w:color w:val="000000"/>
                <w:sz w:val="24"/>
                <w:szCs w:val="24"/>
                <w:lang w:val="zh-CN"/>
              </w:rPr>
              <w:t>优惠承诺及其他：</w:t>
            </w:r>
          </w:p>
          <w:p w14:paraId="1BEF9023">
            <w:pPr>
              <w:pStyle w:val="9"/>
              <w:spacing w:line="360" w:lineRule="auto"/>
              <w:ind w:firstLine="0" w:firstLineChars="0"/>
              <w:rPr>
                <w:rFonts w:ascii="宋体" w:hAnsi="宋体" w:cs="宋体"/>
                <w:color w:val="000000"/>
                <w:sz w:val="24"/>
                <w:szCs w:val="24"/>
                <w:lang w:val="zh-CN"/>
              </w:rPr>
            </w:pPr>
          </w:p>
          <w:p w14:paraId="3B81FE62">
            <w:pPr>
              <w:pStyle w:val="9"/>
              <w:spacing w:line="360" w:lineRule="auto"/>
              <w:ind w:firstLine="0" w:firstLineChars="0"/>
              <w:rPr>
                <w:rFonts w:ascii="宋体" w:hAnsi="宋体" w:cs="宋体"/>
                <w:color w:val="000000"/>
                <w:sz w:val="24"/>
                <w:szCs w:val="24"/>
                <w:lang w:val="zh-CN"/>
              </w:rPr>
            </w:pPr>
          </w:p>
        </w:tc>
      </w:tr>
    </w:tbl>
    <w:p w14:paraId="527119C3">
      <w:pPr>
        <w:spacing w:line="360" w:lineRule="auto"/>
        <w:rPr>
          <w:rFonts w:hint="eastAsia" w:ascii="宋体" w:hAnsi="宋体" w:cs="宋体"/>
          <w:color w:val="auto"/>
          <w:sz w:val="24"/>
          <w:lang w:val="zh-CN"/>
        </w:rPr>
      </w:pPr>
    </w:p>
    <w:p w14:paraId="7A77140D">
      <w:pPr>
        <w:spacing w:line="360" w:lineRule="auto"/>
        <w:ind w:firstLine="480" w:firstLineChars="200"/>
        <w:rPr>
          <w:rFonts w:ascii="宋体" w:hAnsi="宋体" w:cs="宋体"/>
          <w:color w:val="auto"/>
          <w:sz w:val="24"/>
        </w:rPr>
      </w:pPr>
      <w:r>
        <w:rPr>
          <w:rFonts w:hint="eastAsia" w:ascii="宋体" w:hAnsi="宋体" w:cs="宋体"/>
          <w:color w:val="auto"/>
          <w:sz w:val="24"/>
          <w:lang w:val="zh-CN"/>
        </w:rPr>
        <w:t>注：</w:t>
      </w:r>
    </w:p>
    <w:p w14:paraId="6FACFDD1">
      <w:pPr>
        <w:autoSpaceDE w:val="0"/>
        <w:autoSpaceDN w:val="0"/>
        <w:spacing w:line="360" w:lineRule="auto"/>
        <w:ind w:firstLine="480" w:firstLineChars="200"/>
        <w:rPr>
          <w:rFonts w:hint="eastAsia" w:ascii="宋体" w:hAnsi="宋体" w:eastAsia="宋体" w:cs="宋体"/>
          <w:color w:val="auto"/>
          <w:sz w:val="24"/>
          <w:lang w:val="zh-CN" w:eastAsia="zh-CN"/>
        </w:rPr>
      </w:pPr>
      <w:r>
        <w:rPr>
          <w:rFonts w:hint="eastAsia" w:ascii="宋体" w:hAnsi="宋体" w:cs="宋体"/>
          <w:color w:val="auto"/>
          <w:sz w:val="24"/>
          <w:lang w:val="en-US" w:eastAsia="zh-CN"/>
        </w:rPr>
        <w:t>1、</w:t>
      </w:r>
      <w:r>
        <w:rPr>
          <w:rFonts w:hint="eastAsia" w:ascii="宋体" w:hAnsi="宋体" w:cs="宋体"/>
          <w:color w:val="auto"/>
          <w:sz w:val="24"/>
          <w:lang w:val="zh-CN"/>
        </w:rPr>
        <w:t>“磋商报价”为磋商总价。</w:t>
      </w:r>
      <w:r>
        <w:rPr>
          <w:rFonts w:hint="eastAsia" w:hAnsi="宋体" w:cs="宋体"/>
          <w:color w:val="auto"/>
          <w:sz w:val="24"/>
          <w:szCs w:val="28"/>
          <w:lang w:eastAsia="zh-CN"/>
        </w:rPr>
        <w:t>磋商报价必须包括：产品费、验收费、手续费、包装费、运输费、保险费、安装费、调试费、培训费、售前、售中、售后服务费、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p>
    <w:p w14:paraId="5CD84DDF">
      <w:pPr>
        <w:numPr>
          <w:ilvl w:val="0"/>
          <w:numId w:val="22"/>
        </w:numPr>
        <w:autoSpaceDE w:val="0"/>
        <w:autoSpaceDN w:val="0"/>
        <w:spacing w:line="360" w:lineRule="auto"/>
        <w:ind w:firstLine="480"/>
        <w:rPr>
          <w:rFonts w:hint="eastAsia"/>
          <w:color w:val="auto"/>
        </w:rPr>
      </w:pPr>
      <w:r>
        <w:rPr>
          <w:rFonts w:hint="eastAsia" w:ascii="宋体" w:hAnsi="宋体" w:cs="宋体"/>
          <w:color w:val="auto"/>
          <w:sz w:val="24"/>
          <w:lang w:val="zh-CN"/>
        </w:rPr>
        <w:t>若报价不能完全包括上述内容，该投标将被认为非实质性响应。</w:t>
      </w:r>
    </w:p>
    <w:p w14:paraId="4A997E99">
      <w:pPr>
        <w:numPr>
          <w:ilvl w:val="0"/>
          <w:numId w:val="22"/>
        </w:numPr>
        <w:spacing w:line="360" w:lineRule="auto"/>
        <w:ind w:left="0" w:leftChars="0" w:firstLine="480" w:firstLineChars="0"/>
        <w:rPr>
          <w:rFonts w:hint="eastAsia" w:ascii="宋体" w:hAnsi="宋体" w:cs="宋体"/>
          <w:color w:val="auto"/>
          <w:sz w:val="24"/>
          <w:lang w:val="zh-CN"/>
        </w:rPr>
      </w:pPr>
      <w:r>
        <w:rPr>
          <w:rFonts w:hint="eastAsia" w:ascii="宋体" w:hAnsi="宋体" w:cs="宋体"/>
          <w:color w:val="auto"/>
          <w:sz w:val="24"/>
          <w:lang w:val="zh-CN"/>
        </w:rPr>
        <w:t>磋商报价不能有两个或两个以上的报价方案。</w:t>
      </w:r>
    </w:p>
    <w:p w14:paraId="34F0E06B">
      <w:pPr>
        <w:spacing w:line="360" w:lineRule="auto"/>
        <w:jc w:val="center"/>
        <w:rPr>
          <w:rFonts w:ascii="宋体" w:hAnsi="宋体" w:cs="宋体"/>
          <w:b/>
          <w:color w:val="auto"/>
          <w:sz w:val="24"/>
        </w:rPr>
      </w:pPr>
      <w:r>
        <w:rPr>
          <w:rFonts w:hint="eastAsia" w:ascii="宋体" w:hAnsi="宋体" w:cs="宋体"/>
          <w:b/>
          <w:color w:val="auto"/>
          <w:sz w:val="24"/>
        </w:rPr>
        <w:t>供应商：（公章）</w:t>
      </w:r>
    </w:p>
    <w:p w14:paraId="4D8F7011">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0769C9EE">
      <w:pPr>
        <w:wordWrap w:val="0"/>
        <w:spacing w:line="360" w:lineRule="auto"/>
        <w:jc w:val="center"/>
        <w:rPr>
          <w:rFonts w:ascii="宋体" w:hAnsi="宋体" w:cs="宋体"/>
          <w:b/>
          <w:color w:val="auto"/>
          <w:sz w:val="24"/>
        </w:rPr>
      </w:pPr>
      <w:r>
        <w:rPr>
          <w:rFonts w:hint="eastAsia" w:ascii="宋体" w:hAnsi="宋体" w:cs="宋体"/>
          <w:b/>
          <w:color w:val="auto"/>
          <w:sz w:val="24"/>
        </w:rPr>
        <w:t>年   月  日</w:t>
      </w:r>
    </w:p>
    <w:p w14:paraId="64DB7107">
      <w:pPr>
        <w:widowControl/>
        <w:snapToGrid w:val="0"/>
        <w:spacing w:line="360" w:lineRule="auto"/>
        <w:outlineLvl w:val="9"/>
        <w:rPr>
          <w:rFonts w:ascii="宋体"/>
          <w:b/>
          <w:color w:val="auto"/>
          <w:sz w:val="28"/>
          <w:szCs w:val="28"/>
        </w:rPr>
      </w:pPr>
      <w:r>
        <w:rPr>
          <w:rFonts w:ascii="宋体"/>
          <w:b/>
          <w:color w:val="auto"/>
          <w:sz w:val="28"/>
          <w:szCs w:val="28"/>
        </w:rPr>
        <w:br w:type="page"/>
      </w:r>
      <w:bookmarkStart w:id="126" w:name="_Toc496626245"/>
      <w:bookmarkStart w:id="127" w:name="_Toc10053"/>
      <w:bookmarkStart w:id="128" w:name="_Toc25057"/>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）分项报价表</w:t>
      </w:r>
      <w:bookmarkEnd w:id="126"/>
      <w:bookmarkEnd w:id="127"/>
      <w:bookmarkEnd w:id="128"/>
      <w:r>
        <w:rPr>
          <w:rFonts w:hint="eastAsia" w:ascii="Times New Roman" w:hAnsi="Times New Roman" w:eastAsia="宋体" w:cs="Times New Roman"/>
          <w:b/>
          <w:bCs/>
          <w:color w:val="auto"/>
          <w:kern w:val="2"/>
          <w:sz w:val="24"/>
          <w:szCs w:val="24"/>
          <w:lang w:val="en-US" w:eastAsia="zh-CN" w:bidi="ar-SA"/>
        </w:rPr>
        <w:t xml:space="preserve">   </w:t>
      </w:r>
      <w:r>
        <w:rPr>
          <w:rFonts w:ascii="宋体"/>
          <w:b/>
          <w:color w:val="auto"/>
          <w:sz w:val="28"/>
          <w:szCs w:val="28"/>
        </w:rPr>
        <w:t xml:space="preserve"> </w:t>
      </w:r>
    </w:p>
    <w:p w14:paraId="6B914D9D">
      <w:pPr>
        <w:ind w:firstLine="3795" w:firstLineChars="1050"/>
        <w:rPr>
          <w:rFonts w:ascii="宋体" w:cs="宋体"/>
          <w:b/>
          <w:color w:val="auto"/>
          <w:sz w:val="36"/>
          <w:szCs w:val="36"/>
        </w:rPr>
      </w:pPr>
      <w:bookmarkStart w:id="129" w:name="_Toc365019575"/>
      <w:bookmarkStart w:id="130" w:name="_Toc325726039"/>
    </w:p>
    <w:p w14:paraId="27044935">
      <w:pPr>
        <w:ind w:firstLine="3795" w:firstLineChars="1050"/>
        <w:rPr>
          <w:rFonts w:ascii="宋体" w:cs="宋体"/>
          <w:b/>
          <w:color w:val="auto"/>
          <w:sz w:val="36"/>
          <w:szCs w:val="36"/>
        </w:rPr>
      </w:pPr>
      <w:r>
        <w:rPr>
          <w:rFonts w:hint="eastAsia" w:ascii="宋体" w:hAnsi="宋体" w:cs="宋体"/>
          <w:b/>
          <w:color w:val="auto"/>
          <w:sz w:val="36"/>
          <w:szCs w:val="36"/>
        </w:rPr>
        <w:t>分项报价表</w:t>
      </w:r>
      <w:bookmarkEnd w:id="129"/>
      <w:bookmarkEnd w:id="130"/>
    </w:p>
    <w:p w14:paraId="1D1113DD">
      <w:pPr>
        <w:rPr>
          <w:rFonts w:ascii="宋体" w:cs="宋体"/>
          <w:b/>
          <w:color w:val="auto"/>
        </w:rPr>
      </w:pPr>
    </w:p>
    <w:p w14:paraId="591DD346">
      <w:pPr>
        <w:autoSpaceDE w:val="0"/>
        <w:autoSpaceDN w:val="0"/>
        <w:spacing w:line="360" w:lineRule="auto"/>
        <w:rPr>
          <w:rFonts w:ascii="宋体" w:hAnsi="宋体" w:cs="宋体"/>
          <w:color w:val="auto"/>
          <w:sz w:val="24"/>
          <w:lang w:val="zh-CN"/>
        </w:rPr>
      </w:pPr>
      <w:bookmarkStart w:id="131" w:name="_Toc496626246"/>
      <w:bookmarkStart w:id="132" w:name="_Toc427748095"/>
      <w:r>
        <w:rPr>
          <w:rFonts w:hint="eastAsia" w:ascii="宋体" w:hAnsi="宋体" w:cs="宋体"/>
          <w:b/>
          <w:bCs/>
          <w:color w:val="auto"/>
          <w:sz w:val="24"/>
          <w:lang w:val="zh-CN"/>
        </w:rPr>
        <w:t>供应商名称：</w:t>
      </w:r>
    </w:p>
    <w:tbl>
      <w:tblPr>
        <w:tblStyle w:val="40"/>
        <w:tblW w:w="0" w:type="auto"/>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14:paraId="766BC514">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196342D5">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14:paraId="0991A1B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14:paraId="1D1C7D8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14:paraId="049380E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14:paraId="260F1E5C">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14:paraId="1EA6DE6B">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14:paraId="42C7430C">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14:paraId="790DF0E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0E85E72C">
            <w:pPr>
              <w:autoSpaceDE w:val="0"/>
              <w:autoSpaceDN w:val="0"/>
              <w:spacing w:line="520" w:lineRule="exact"/>
              <w:jc w:val="center"/>
              <w:rPr>
                <w:rFonts w:ascii="宋体" w:hAnsi="宋体" w:cs="宋体"/>
                <w:color w:val="auto"/>
                <w:kern w:val="0"/>
                <w:lang w:val="zh-CN"/>
              </w:rPr>
            </w:pPr>
            <w:r>
              <w:rPr>
                <w:rFonts w:hint="eastAsia" w:ascii="宋体" w:hAnsi="宋体" w:cs="宋体"/>
                <w:color w:val="auto"/>
              </w:rPr>
              <w:t>免费质保期</w:t>
            </w:r>
          </w:p>
        </w:tc>
      </w:tr>
      <w:tr w14:paraId="4924F28F">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7A437A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14:paraId="1C22DDDA">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15161F92">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42E68FE">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5BEFED39">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7097CD6">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6C2D0BFC">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48AD009">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190F2633">
            <w:pPr>
              <w:autoSpaceDE w:val="0"/>
              <w:autoSpaceDN w:val="0"/>
              <w:spacing w:line="520" w:lineRule="exact"/>
              <w:jc w:val="center"/>
              <w:rPr>
                <w:rFonts w:ascii="宋体" w:hAnsi="宋体" w:cs="宋体"/>
                <w:color w:val="auto"/>
                <w:kern w:val="0"/>
                <w:lang w:val="zh-CN"/>
              </w:rPr>
            </w:pPr>
          </w:p>
        </w:tc>
      </w:tr>
      <w:tr w14:paraId="527EE09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B811B34">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14:paraId="314B164F">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A02521E">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63128F53">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0CEE4FA7">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136A0043">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10D770E">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39C8DAB9">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4B67C1C">
            <w:pPr>
              <w:autoSpaceDE w:val="0"/>
              <w:autoSpaceDN w:val="0"/>
              <w:spacing w:line="520" w:lineRule="exact"/>
              <w:jc w:val="center"/>
              <w:rPr>
                <w:rFonts w:ascii="宋体" w:hAnsi="宋体" w:cs="宋体"/>
                <w:color w:val="auto"/>
                <w:kern w:val="0"/>
                <w:lang w:val="zh-CN"/>
              </w:rPr>
            </w:pPr>
          </w:p>
        </w:tc>
      </w:tr>
      <w:tr w14:paraId="778A68C8">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4EDE384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14:paraId="5F861B74">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45C681B0">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54948B71">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21336515">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813254A">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1698CEA2">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56A511EF">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861AC76">
            <w:pPr>
              <w:autoSpaceDE w:val="0"/>
              <w:autoSpaceDN w:val="0"/>
              <w:spacing w:line="520" w:lineRule="exact"/>
              <w:jc w:val="center"/>
              <w:rPr>
                <w:rFonts w:ascii="宋体" w:hAnsi="宋体" w:cs="宋体"/>
                <w:color w:val="auto"/>
                <w:kern w:val="0"/>
                <w:lang w:val="zh-CN"/>
              </w:rPr>
            </w:pPr>
          </w:p>
        </w:tc>
      </w:tr>
      <w:tr w14:paraId="160FADCD">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7516612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14:paraId="2C12E317">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2BB0FA47">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221D29B3">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16543391">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7D255F7F">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27E07050">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DD45985">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BB90E33">
            <w:pPr>
              <w:autoSpaceDE w:val="0"/>
              <w:autoSpaceDN w:val="0"/>
              <w:spacing w:line="520" w:lineRule="exact"/>
              <w:jc w:val="center"/>
              <w:rPr>
                <w:rFonts w:ascii="宋体" w:hAnsi="宋体" w:cs="宋体"/>
                <w:color w:val="auto"/>
                <w:kern w:val="0"/>
                <w:lang w:val="zh-CN"/>
              </w:rPr>
            </w:pPr>
          </w:p>
        </w:tc>
      </w:tr>
      <w:tr w14:paraId="18E3351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8E328B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14:paraId="3AFB4A36">
            <w:pPr>
              <w:autoSpaceDE w:val="0"/>
              <w:autoSpaceDN w:val="0"/>
              <w:spacing w:line="520" w:lineRule="exact"/>
              <w:jc w:val="center"/>
              <w:rPr>
                <w:rFonts w:ascii="宋体" w:hAnsi="宋体" w:cs="宋体"/>
                <w:color w:val="auto"/>
                <w:kern w:val="0"/>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14:paraId="573F11A5">
            <w:pPr>
              <w:autoSpaceDE w:val="0"/>
              <w:autoSpaceDN w:val="0"/>
              <w:spacing w:line="520" w:lineRule="exact"/>
              <w:jc w:val="center"/>
              <w:rPr>
                <w:rFonts w:ascii="宋体" w:hAnsi="宋体" w:cs="宋体"/>
                <w:color w:val="auto"/>
                <w:kern w:val="0"/>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14:paraId="1B18A9ED">
            <w:pPr>
              <w:autoSpaceDE w:val="0"/>
              <w:autoSpaceDN w:val="0"/>
              <w:spacing w:line="520" w:lineRule="exact"/>
              <w:jc w:val="center"/>
              <w:rPr>
                <w:rFonts w:ascii="宋体" w:hAnsi="宋体" w:cs="宋体"/>
                <w:color w:val="auto"/>
                <w:kern w:val="0"/>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14:paraId="6A59B8D5">
            <w:pPr>
              <w:autoSpaceDE w:val="0"/>
              <w:autoSpaceDN w:val="0"/>
              <w:spacing w:line="520" w:lineRule="exact"/>
              <w:jc w:val="center"/>
              <w:rPr>
                <w:rFonts w:ascii="宋体" w:hAnsi="宋体" w:cs="宋体"/>
                <w:color w:val="auto"/>
                <w:kern w:val="0"/>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14:paraId="5970A94F">
            <w:pPr>
              <w:autoSpaceDE w:val="0"/>
              <w:autoSpaceDN w:val="0"/>
              <w:spacing w:line="520" w:lineRule="exact"/>
              <w:jc w:val="center"/>
              <w:rPr>
                <w:rFonts w:ascii="宋体" w:hAnsi="宋体" w:cs="宋体"/>
                <w:color w:val="auto"/>
                <w:kern w:val="0"/>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14:paraId="315ACABA">
            <w:pPr>
              <w:autoSpaceDE w:val="0"/>
              <w:autoSpaceDN w:val="0"/>
              <w:spacing w:line="520" w:lineRule="exact"/>
              <w:jc w:val="center"/>
              <w:rPr>
                <w:rFonts w:ascii="宋体" w:hAnsi="宋体" w:cs="宋体"/>
                <w:color w:val="auto"/>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6ABB297F">
            <w:pPr>
              <w:autoSpaceDE w:val="0"/>
              <w:autoSpaceDN w:val="0"/>
              <w:spacing w:line="520" w:lineRule="exact"/>
              <w:jc w:val="center"/>
              <w:rPr>
                <w:rFonts w:ascii="宋体" w:hAnsi="宋体" w:cs="宋体"/>
                <w:color w:val="auto"/>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E976DA5">
            <w:pPr>
              <w:autoSpaceDE w:val="0"/>
              <w:autoSpaceDN w:val="0"/>
              <w:spacing w:line="520" w:lineRule="exact"/>
              <w:jc w:val="center"/>
              <w:rPr>
                <w:rFonts w:ascii="宋体" w:hAnsi="宋体" w:cs="宋体"/>
                <w:color w:val="auto"/>
                <w:kern w:val="0"/>
                <w:lang w:val="zh-CN"/>
              </w:rPr>
            </w:pPr>
          </w:p>
        </w:tc>
      </w:tr>
      <w:tr w14:paraId="01C0333C">
        <w:tblPrEx>
          <w:tblCellMar>
            <w:top w:w="0" w:type="dxa"/>
            <w:left w:w="28" w:type="dxa"/>
            <w:bottom w:w="0" w:type="dxa"/>
            <w:right w:w="28" w:type="dxa"/>
          </w:tblCellMar>
        </w:tblPrEx>
        <w:trPr>
          <w:trHeight w:val="23"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14:paraId="1AEE9EE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14:paraId="0B62002C">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大写：</w:t>
            </w:r>
          </w:p>
          <w:p w14:paraId="5EE3F395">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小写：</w:t>
            </w:r>
          </w:p>
        </w:tc>
      </w:tr>
    </w:tbl>
    <w:p w14:paraId="4CBDB5BB">
      <w:pPr>
        <w:spacing w:line="360" w:lineRule="auto"/>
        <w:rPr>
          <w:rFonts w:ascii="宋体" w:hAnsi="宋体" w:cs="宋体"/>
          <w:color w:val="auto"/>
          <w:sz w:val="24"/>
        </w:rPr>
      </w:pPr>
    </w:p>
    <w:p w14:paraId="1078DE9E">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w:t>
      </w:r>
      <w:r>
        <w:rPr>
          <w:rFonts w:hint="eastAsia" w:ascii="宋体" w:hAnsi="宋体" w:cs="宋体"/>
          <w:color w:val="auto"/>
          <w:kern w:val="0"/>
        </w:rPr>
        <w:t>1.</w:t>
      </w:r>
      <w:r>
        <w:rPr>
          <w:rFonts w:hint="eastAsia" w:ascii="宋体" w:hAnsi="宋体" w:cs="宋体"/>
          <w:color w:val="auto"/>
          <w:kern w:val="0"/>
          <w:lang w:val="zh-CN"/>
        </w:rPr>
        <w:t>本表应依照每包采购一览表中的产品序号按顺序逐项填写，不得遗漏，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s="宋体"/>
          <w:color w:val="auto"/>
          <w:kern w:val="0"/>
          <w:lang w:val="zh-CN"/>
        </w:rPr>
        <w:t>。</w:t>
      </w:r>
    </w:p>
    <w:p w14:paraId="6BDBC87F">
      <w:pPr>
        <w:autoSpaceDE w:val="0"/>
        <w:autoSpaceDN w:val="0"/>
        <w:spacing w:line="520" w:lineRule="exact"/>
        <w:rPr>
          <w:rFonts w:ascii="宋体" w:hAnsi="宋体" w:cs="宋体"/>
          <w:color w:val="auto"/>
          <w:kern w:val="0"/>
        </w:rPr>
      </w:pPr>
      <w:r>
        <w:rPr>
          <w:rFonts w:hint="eastAsia" w:ascii="宋体" w:hAnsi="宋体" w:cs="宋体"/>
          <w:color w:val="auto"/>
          <w:kern w:val="0"/>
        </w:rPr>
        <w:t xml:space="preserve">    2.</w:t>
      </w:r>
      <w:r>
        <w:rPr>
          <w:rFonts w:hint="eastAsia" w:ascii="宋体" w:hAnsi="宋体" w:cs="宋体"/>
          <w:color w:val="auto"/>
          <w:kern w:val="0"/>
          <w:lang w:val="zh-CN"/>
        </w:rPr>
        <w:t>投标报价不能有两个或两个以上的报价方案。</w:t>
      </w:r>
    </w:p>
    <w:p w14:paraId="3EEFA867">
      <w:pPr>
        <w:pStyle w:val="3"/>
        <w:numPr>
          <w:ilvl w:val="1"/>
          <w:numId w:val="0"/>
        </w:numPr>
        <w:tabs>
          <w:tab w:val="clear" w:pos="720"/>
        </w:tabs>
        <w:ind w:leftChars="0"/>
        <w:rPr>
          <w:color w:val="auto"/>
        </w:rPr>
      </w:pPr>
    </w:p>
    <w:p w14:paraId="713AE48E">
      <w:pPr>
        <w:spacing w:line="360" w:lineRule="auto"/>
        <w:textAlignment w:val="baseline"/>
        <w:rPr>
          <w:rFonts w:ascii="宋体" w:hAnsi="宋体" w:cs="宋体"/>
          <w:color w:val="auto"/>
          <w:sz w:val="24"/>
        </w:rPr>
      </w:pPr>
    </w:p>
    <w:p w14:paraId="094E96D2">
      <w:pPr>
        <w:spacing w:line="360" w:lineRule="auto"/>
        <w:textAlignment w:val="baseline"/>
        <w:rPr>
          <w:rFonts w:ascii="宋体" w:hAnsi="宋体" w:cs="宋体"/>
          <w:color w:val="auto"/>
          <w:sz w:val="24"/>
        </w:rPr>
      </w:pPr>
    </w:p>
    <w:p w14:paraId="7E314641">
      <w:pPr>
        <w:spacing w:line="360" w:lineRule="auto"/>
        <w:jc w:val="center"/>
        <w:rPr>
          <w:rFonts w:ascii="宋体" w:hAnsi="宋体" w:cs="宋体"/>
          <w:b/>
          <w:color w:val="auto"/>
          <w:sz w:val="24"/>
        </w:rPr>
      </w:pPr>
      <w:r>
        <w:rPr>
          <w:rFonts w:hint="eastAsia" w:ascii="宋体" w:hAnsi="宋体" w:cs="宋体"/>
          <w:b/>
          <w:color w:val="auto"/>
          <w:sz w:val="24"/>
        </w:rPr>
        <w:t>供应商：（公章）</w:t>
      </w:r>
    </w:p>
    <w:p w14:paraId="5128CC89">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17A9B676">
      <w:pPr>
        <w:wordWrap w:val="0"/>
        <w:spacing w:line="360" w:lineRule="auto"/>
        <w:jc w:val="center"/>
        <w:rPr>
          <w:rFonts w:ascii="宋体" w:hAnsi="宋体" w:cs="宋体"/>
          <w:b/>
          <w:color w:val="auto"/>
          <w:sz w:val="24"/>
        </w:rPr>
      </w:pPr>
      <w:r>
        <w:rPr>
          <w:rFonts w:hint="eastAsia" w:ascii="宋体" w:hAnsi="宋体" w:cs="宋体"/>
          <w:b/>
          <w:color w:val="auto"/>
          <w:sz w:val="24"/>
        </w:rPr>
        <w:t>年   月   日</w:t>
      </w:r>
    </w:p>
    <w:p w14:paraId="3EB69F4A">
      <w:pPr>
        <w:widowControl/>
        <w:snapToGrid w:val="0"/>
        <w:spacing w:line="360" w:lineRule="auto"/>
        <w:outlineLvl w:val="9"/>
        <w:rPr>
          <w:rFonts w:ascii="宋体"/>
          <w:b/>
          <w:color w:val="auto"/>
          <w:sz w:val="28"/>
          <w:szCs w:val="28"/>
        </w:rPr>
      </w:pPr>
    </w:p>
    <w:p w14:paraId="0848588E">
      <w:pPr>
        <w:widowControl/>
        <w:snapToGrid w:val="0"/>
        <w:spacing w:line="360" w:lineRule="auto"/>
        <w:outlineLvl w:val="9"/>
        <w:rPr>
          <w:rFonts w:ascii="宋体"/>
          <w:b/>
          <w:color w:val="auto"/>
          <w:sz w:val="28"/>
          <w:szCs w:val="28"/>
        </w:rPr>
      </w:pPr>
    </w:p>
    <w:bookmarkEnd w:id="131"/>
    <w:bookmarkEnd w:id="132"/>
    <w:p w14:paraId="46EC6DAA">
      <w:pPr>
        <w:wordWrap w:val="0"/>
        <w:spacing w:line="360" w:lineRule="auto"/>
        <w:outlineLvl w:val="1"/>
        <w:rPr>
          <w:rFonts w:hint="eastAsia"/>
          <w:b/>
          <w:bCs/>
          <w:color w:val="auto"/>
          <w:lang w:val="en-US" w:eastAsia="zh-CN"/>
        </w:rPr>
      </w:pPr>
      <w:bookmarkStart w:id="133" w:name="_Toc31940"/>
      <w:bookmarkStart w:id="134" w:name="_Toc24428"/>
    </w:p>
    <w:p w14:paraId="02106AF3">
      <w:pPr>
        <w:bidi w:val="0"/>
        <w:rPr>
          <w:rFonts w:hint="eastAsia" w:ascii="Times New Roman" w:hAnsi="Times New Roman" w:eastAsia="宋体" w:cs="Times New Roman"/>
          <w:b/>
          <w:bCs/>
          <w:color w:val="auto"/>
          <w:kern w:val="2"/>
          <w:sz w:val="24"/>
          <w:szCs w:val="24"/>
          <w:lang w:val="en-US" w:eastAsia="zh-CN" w:bidi="ar-SA"/>
        </w:rPr>
      </w:pPr>
      <w:bookmarkStart w:id="135" w:name="_Toc2540"/>
      <w:bookmarkStart w:id="136" w:name="_Toc76659145"/>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3</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zh-CN" w:eastAsia="zh-CN" w:bidi="ar-SA"/>
        </w:rPr>
        <w:t>技术规格响应表</w:t>
      </w:r>
      <w:bookmarkEnd w:id="135"/>
      <w:bookmarkEnd w:id="136"/>
    </w:p>
    <w:p w14:paraId="0B148438">
      <w:pPr>
        <w:autoSpaceDE w:val="0"/>
        <w:autoSpaceDN w:val="0"/>
        <w:spacing w:line="520" w:lineRule="exact"/>
        <w:rPr>
          <w:rFonts w:ascii="宋体" w:hAnsi="宋体" w:cs="宋体"/>
          <w:color w:val="auto"/>
          <w:kern w:val="0"/>
          <w:sz w:val="28"/>
          <w:szCs w:val="28"/>
          <w:lang w:val="zh-CN"/>
        </w:rPr>
      </w:pPr>
    </w:p>
    <w:p w14:paraId="722BEEFE">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技术规格响应表</w:t>
      </w:r>
    </w:p>
    <w:p w14:paraId="1D25879C">
      <w:pPr>
        <w:autoSpaceDE w:val="0"/>
        <w:autoSpaceDN w:val="0"/>
        <w:spacing w:line="520" w:lineRule="exact"/>
        <w:rPr>
          <w:rFonts w:ascii="宋体" w:hAnsi="宋体" w:cs="宋体"/>
          <w:b/>
          <w:bCs/>
          <w:color w:val="auto"/>
          <w:kern w:val="0"/>
          <w:lang w:val="zh-CN"/>
        </w:rPr>
      </w:pPr>
      <w:r>
        <w:rPr>
          <w:rFonts w:hint="eastAsia" w:ascii="宋体" w:hAnsi="宋体" w:cs="宋体"/>
          <w:b/>
          <w:color w:val="auto"/>
          <w:sz w:val="24"/>
        </w:rPr>
        <w:t>供应商</w:t>
      </w:r>
      <w:r>
        <w:rPr>
          <w:rFonts w:hint="eastAsia" w:ascii="宋体" w:hAnsi="宋体" w:cs="宋体"/>
          <w:b/>
          <w:bCs/>
          <w:color w:val="auto"/>
          <w:kern w:val="0"/>
          <w:lang w:val="zh-CN"/>
        </w:rPr>
        <w:t>名称</w:t>
      </w:r>
      <w:r>
        <w:rPr>
          <w:rFonts w:hint="eastAsia" w:ascii="宋体" w:hAnsi="宋体" w:cs="宋体"/>
          <w:b/>
          <w:bCs/>
          <w:color w:val="auto"/>
          <w:kern w:val="0"/>
        </w:rPr>
        <w:t xml:space="preserve">：                                              </w:t>
      </w:r>
      <w:r>
        <w:rPr>
          <w:rFonts w:hint="eastAsia" w:ascii="宋体" w:hAnsi="宋体" w:cs="宋体"/>
          <w:b/>
          <w:bCs/>
          <w:color w:val="auto"/>
          <w:kern w:val="0"/>
          <w:lang w:val="zh-CN"/>
        </w:rPr>
        <w:t>包号：</w:t>
      </w:r>
    </w:p>
    <w:tbl>
      <w:tblPr>
        <w:tblStyle w:val="40"/>
        <w:tblW w:w="0" w:type="auto"/>
        <w:jc w:val="center"/>
        <w:tblLayout w:type="fixed"/>
        <w:tblCellMar>
          <w:top w:w="0" w:type="dxa"/>
          <w:left w:w="28" w:type="dxa"/>
          <w:bottom w:w="0" w:type="dxa"/>
          <w:right w:w="28" w:type="dxa"/>
        </w:tblCellMar>
      </w:tblPr>
      <w:tblGrid>
        <w:gridCol w:w="616"/>
        <w:gridCol w:w="1233"/>
        <w:gridCol w:w="2378"/>
        <w:gridCol w:w="1247"/>
        <w:gridCol w:w="2467"/>
        <w:gridCol w:w="676"/>
      </w:tblGrid>
      <w:tr w14:paraId="58CC354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D01C242">
            <w:pPr>
              <w:autoSpaceDE w:val="0"/>
              <w:autoSpaceDN w:val="0"/>
              <w:spacing w:line="520" w:lineRule="exact"/>
              <w:jc w:val="center"/>
              <w:rPr>
                <w:rFonts w:ascii="宋体" w:hAnsi="宋体" w:cs="宋体"/>
                <w:color w:val="auto"/>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72702A7">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FB7453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1F4408EA">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偏离</w:t>
            </w:r>
          </w:p>
        </w:tc>
      </w:tr>
      <w:tr w14:paraId="6C5CA880">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1258A309">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4B7D7ACD">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20399758">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14:paraId="75A1954E">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14:paraId="00EC856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76836261">
            <w:pPr>
              <w:autoSpaceDE w:val="0"/>
              <w:autoSpaceDN w:val="0"/>
              <w:spacing w:line="520" w:lineRule="exact"/>
              <w:jc w:val="center"/>
              <w:rPr>
                <w:rFonts w:ascii="宋体" w:hAnsi="宋体" w:cs="宋体"/>
                <w:color w:val="auto"/>
                <w:kern w:val="0"/>
                <w:lang w:val="zh-CN"/>
              </w:rPr>
            </w:pPr>
          </w:p>
        </w:tc>
      </w:tr>
      <w:tr w14:paraId="4D5740D7">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5ABFDB6">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6DA1407">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3D17F36">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72D98217">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1C8EA8C7">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6525472C">
            <w:pPr>
              <w:autoSpaceDE w:val="0"/>
              <w:autoSpaceDN w:val="0"/>
              <w:spacing w:line="520" w:lineRule="exact"/>
              <w:jc w:val="center"/>
              <w:rPr>
                <w:rFonts w:ascii="宋体" w:hAnsi="宋体" w:cs="宋体"/>
                <w:color w:val="auto"/>
                <w:kern w:val="0"/>
                <w:lang w:val="zh-CN"/>
              </w:rPr>
            </w:pPr>
          </w:p>
        </w:tc>
      </w:tr>
      <w:tr w14:paraId="2C9013AD">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43E3C40A">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31FCE9D9">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7E8B033A">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3B634B04">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074DEDCF">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DBC4724">
            <w:pPr>
              <w:autoSpaceDE w:val="0"/>
              <w:autoSpaceDN w:val="0"/>
              <w:spacing w:line="520" w:lineRule="exact"/>
              <w:jc w:val="center"/>
              <w:rPr>
                <w:rFonts w:ascii="宋体" w:hAnsi="宋体" w:cs="宋体"/>
                <w:color w:val="auto"/>
                <w:kern w:val="0"/>
                <w:lang w:val="zh-CN"/>
              </w:rPr>
            </w:pPr>
          </w:p>
        </w:tc>
      </w:tr>
      <w:tr w14:paraId="69F957EE">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7693C390">
            <w:pPr>
              <w:autoSpaceDE w:val="0"/>
              <w:autoSpaceDN w:val="0"/>
              <w:spacing w:line="520" w:lineRule="exact"/>
              <w:jc w:val="center"/>
              <w:rPr>
                <w:rFonts w:ascii="宋体" w:hAnsi="宋体" w:cs="宋体"/>
                <w:color w:val="auto"/>
                <w:kern w:val="0"/>
                <w:lang w:val="zh-CN"/>
              </w:rPr>
            </w:pPr>
            <w:r>
              <w:rPr>
                <w:rFonts w:hint="eastAsia" w:ascii="宋体" w:hAnsi="宋体" w:cs="宋体"/>
                <w:color w:val="auto"/>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37901DAF">
            <w:pPr>
              <w:autoSpaceDE w:val="0"/>
              <w:autoSpaceDN w:val="0"/>
              <w:spacing w:line="520" w:lineRule="exact"/>
              <w:jc w:val="center"/>
              <w:rPr>
                <w:rFonts w:ascii="宋体" w:hAnsi="宋体" w:cs="宋体"/>
                <w:color w:val="auto"/>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291BE722">
            <w:pPr>
              <w:autoSpaceDE w:val="0"/>
              <w:autoSpaceDN w:val="0"/>
              <w:spacing w:line="520" w:lineRule="exact"/>
              <w:jc w:val="center"/>
              <w:rPr>
                <w:rFonts w:ascii="宋体" w:hAnsi="宋体" w:cs="宋体"/>
                <w:color w:val="auto"/>
                <w:kern w:val="0"/>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14:paraId="0BCFE47C">
            <w:pPr>
              <w:autoSpaceDE w:val="0"/>
              <w:autoSpaceDN w:val="0"/>
              <w:spacing w:line="520" w:lineRule="exact"/>
              <w:jc w:val="center"/>
              <w:rPr>
                <w:rFonts w:ascii="宋体" w:hAnsi="宋体" w:cs="宋体"/>
                <w:color w:val="auto"/>
                <w:kern w:val="0"/>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14:paraId="4DEE6A73">
            <w:pPr>
              <w:autoSpaceDE w:val="0"/>
              <w:autoSpaceDN w:val="0"/>
              <w:spacing w:line="520" w:lineRule="exact"/>
              <w:jc w:val="center"/>
              <w:rPr>
                <w:rFonts w:ascii="宋体" w:hAnsi="宋体" w:cs="宋体"/>
                <w:color w:val="auto"/>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A4EEF92">
            <w:pPr>
              <w:autoSpaceDE w:val="0"/>
              <w:autoSpaceDN w:val="0"/>
              <w:spacing w:line="520" w:lineRule="exact"/>
              <w:jc w:val="center"/>
              <w:rPr>
                <w:rFonts w:ascii="宋体" w:hAnsi="宋体" w:cs="宋体"/>
                <w:color w:val="auto"/>
                <w:kern w:val="0"/>
                <w:lang w:val="zh-CN"/>
              </w:rPr>
            </w:pPr>
          </w:p>
        </w:tc>
      </w:tr>
    </w:tbl>
    <w:p w14:paraId="109E9717">
      <w:pPr>
        <w:autoSpaceDE w:val="0"/>
        <w:autoSpaceDN w:val="0"/>
        <w:spacing w:line="520" w:lineRule="exact"/>
        <w:rPr>
          <w:rFonts w:ascii="宋体" w:hAnsi="宋体" w:cs="宋体"/>
          <w:color w:val="auto"/>
          <w:kern w:val="0"/>
          <w:lang w:val="zh-CN"/>
        </w:rPr>
      </w:pPr>
      <w:r>
        <w:rPr>
          <w:rFonts w:hint="eastAsia" w:ascii="宋体" w:hAnsi="宋体" w:cs="宋体"/>
          <w:color w:val="auto"/>
          <w:kern w:val="0"/>
          <w:lang w:val="zh-CN"/>
        </w:rPr>
        <w:t>注：1.本表应按照每包“项目概况及技术参数”中产品序号的指标逐项填写，不得遗漏，</w:t>
      </w:r>
      <w:r>
        <w:rPr>
          <w:rFonts w:hint="eastAsia" w:ascii="宋体" w:hAnsi="宋体"/>
          <w:color w:val="auto"/>
        </w:rPr>
        <w:t>否则</w:t>
      </w:r>
      <w:r>
        <w:rPr>
          <w:rFonts w:hint="eastAsia" w:ascii="宋体" w:hAnsi="宋体"/>
          <w:color w:val="auto"/>
          <w:kern w:val="0"/>
          <w:szCs w:val="20"/>
        </w:rPr>
        <w:t>，按无效投标处理</w:t>
      </w:r>
      <w:r>
        <w:rPr>
          <w:rFonts w:hint="eastAsia" w:ascii="宋体" w:hAnsi="宋体"/>
          <w:color w:val="auto"/>
        </w:rPr>
        <w:t>。</w:t>
      </w:r>
    </w:p>
    <w:p w14:paraId="760C73D2">
      <w:pPr>
        <w:numPr>
          <w:ilvl w:val="0"/>
          <w:numId w:val="23"/>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“投标产品技术参数、指标”必须与投标文件中提供的产品检测报告、彩页等证明材料的实质性响应情况相一致。若在评标环节发现该项与投标文件中提供的产品检测报告</w:t>
      </w:r>
      <w:r>
        <w:rPr>
          <w:rFonts w:hint="eastAsia" w:ascii="宋体" w:hAnsi="宋体" w:cs="宋体"/>
          <w:color w:val="auto"/>
          <w:kern w:val="0"/>
          <w:lang w:val="en-US" w:eastAsia="zh-CN"/>
        </w:rPr>
        <w:t>、</w:t>
      </w:r>
      <w:r>
        <w:rPr>
          <w:rFonts w:hint="eastAsia" w:ascii="宋体" w:hAnsi="宋体" w:cs="宋体"/>
          <w:color w:val="auto"/>
          <w:kern w:val="0"/>
          <w:lang w:val="zh-CN"/>
        </w:rPr>
        <w:t>彩页（或厂家公开发布的资料参数）等证明材料的实质性响应情况不一致或直接复制招标文件“采购需求技术参数、指标”内容的，按无效投标处理。</w:t>
      </w:r>
    </w:p>
    <w:p w14:paraId="083C08C0">
      <w:pPr>
        <w:numPr>
          <w:ilvl w:val="0"/>
          <w:numId w:val="23"/>
        </w:num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lang w:val="zh-CN"/>
        </w:rPr>
        <w:t>填写此表时以招标项目参数要求为基本投标要求，满足招标项目参数要求的指标需列出“</w:t>
      </w:r>
      <w:r>
        <w:rPr>
          <w:rFonts w:hint="eastAsia" w:ascii="宋体" w:hAnsi="宋体" w:cs="宋体"/>
          <w:color w:val="auto"/>
          <w:kern w:val="0"/>
        </w:rPr>
        <w:t>0</w:t>
      </w:r>
      <w:r>
        <w:rPr>
          <w:rFonts w:hint="eastAsia" w:ascii="宋体" w:hAnsi="宋体" w:cs="宋体"/>
          <w:color w:val="auto"/>
          <w:kern w:val="0"/>
          <w:lang w:val="zh-CN"/>
        </w:rPr>
        <w:t>”；超出、不满足招标项目参数要求的指标需列出“+”、“-”偏差，并做出详细说明；如果只注明“+”、“-”或未填写，将视为该项指标不响应。</w:t>
      </w:r>
    </w:p>
    <w:p w14:paraId="04B6B895">
      <w:pPr>
        <w:autoSpaceDE w:val="0"/>
        <w:autoSpaceDN w:val="0"/>
        <w:spacing w:line="520" w:lineRule="exact"/>
        <w:ind w:firstLine="480"/>
        <w:rPr>
          <w:rFonts w:ascii="宋体" w:hAnsi="宋体" w:cs="宋体"/>
          <w:color w:val="auto"/>
          <w:kern w:val="0"/>
          <w:lang w:val="zh-CN"/>
        </w:rPr>
      </w:pPr>
      <w:r>
        <w:rPr>
          <w:rFonts w:hint="eastAsia" w:ascii="宋体" w:hAnsi="宋体" w:cs="宋体"/>
          <w:color w:val="auto"/>
          <w:kern w:val="0"/>
        </w:rPr>
        <w:t>4</w:t>
      </w:r>
      <w:r>
        <w:rPr>
          <w:rFonts w:hint="eastAsia" w:ascii="宋体" w:hAnsi="宋体" w:cs="宋体"/>
          <w:color w:val="auto"/>
          <w:kern w:val="0"/>
          <w:lang w:val="zh-CN"/>
        </w:rPr>
        <w:t>.供应商响应采购需求应具体、明确，含糊不清、不确切或伪造、编造证明材料的，按照实质性不响应处理。对伪造、编造证明材料的，将报告本级财政部门。</w:t>
      </w:r>
    </w:p>
    <w:p w14:paraId="1DC5346F">
      <w:pPr>
        <w:autoSpaceDE w:val="0"/>
        <w:autoSpaceDN w:val="0"/>
        <w:spacing w:line="520" w:lineRule="exact"/>
        <w:jc w:val="center"/>
        <w:rPr>
          <w:rFonts w:ascii="宋体" w:hAnsi="宋体" w:cs="宋体"/>
          <w:b/>
          <w:bCs/>
          <w:color w:val="auto"/>
          <w:kern w:val="0"/>
          <w:lang w:val="zh-CN"/>
        </w:rPr>
      </w:pPr>
      <w:r>
        <w:rPr>
          <w:rFonts w:hint="eastAsia" w:ascii="宋体" w:hAnsi="宋体" w:cs="宋体"/>
          <w:b/>
          <w:color w:val="auto"/>
          <w:sz w:val="24"/>
        </w:rPr>
        <w:t>供应商</w:t>
      </w:r>
      <w:r>
        <w:rPr>
          <w:rFonts w:hint="eastAsia" w:ascii="宋体" w:hAnsi="宋体" w:cs="宋体"/>
          <w:b/>
          <w:bCs/>
          <w:color w:val="auto"/>
          <w:kern w:val="0"/>
          <w:lang w:val="zh-CN"/>
        </w:rPr>
        <w:t xml:space="preserve">：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（公章）</w:t>
      </w:r>
    </w:p>
    <w:p w14:paraId="7B8931F5">
      <w:pPr>
        <w:autoSpaceDE w:val="0"/>
        <w:autoSpaceDN w:val="0"/>
        <w:spacing w:line="520" w:lineRule="exact"/>
        <w:jc w:val="center"/>
        <w:rPr>
          <w:rFonts w:ascii="宋体" w:hAnsi="宋体" w:cs="宋体"/>
          <w:b/>
          <w:bCs/>
          <w:color w:val="auto"/>
          <w:kern w:val="0"/>
          <w:lang w:val="zh-CN"/>
        </w:rPr>
      </w:pPr>
      <w:r>
        <w:rPr>
          <w:rFonts w:hint="eastAsia" w:ascii="宋体" w:hAnsi="宋体" w:cs="宋体"/>
          <w:b/>
          <w:bCs/>
          <w:color w:val="auto"/>
          <w:kern w:val="0"/>
          <w:lang w:val="zh-CN"/>
        </w:rPr>
        <w:t>法定代表人</w:t>
      </w:r>
      <w:r>
        <w:rPr>
          <w:rFonts w:hint="eastAsia" w:ascii="宋体" w:hAnsi="宋体" w:cs="宋体"/>
          <w:b/>
          <w:color w:val="auto"/>
        </w:rPr>
        <w:t>（非法人组织的负责人）</w:t>
      </w:r>
      <w:r>
        <w:rPr>
          <w:rFonts w:hint="eastAsia" w:ascii="宋体" w:hAnsi="宋体" w:cs="宋体"/>
          <w:b/>
          <w:bCs/>
          <w:color w:val="auto"/>
          <w:kern w:val="0"/>
          <w:lang w:val="zh-CN"/>
        </w:rPr>
        <w:t>或委托代理人：        （签字或盖章）</w:t>
      </w:r>
    </w:p>
    <w:p w14:paraId="197133F2">
      <w:pPr>
        <w:autoSpaceDE w:val="0"/>
        <w:autoSpaceDN w:val="0"/>
        <w:spacing w:line="520" w:lineRule="exact"/>
        <w:ind w:firstLine="3253"/>
        <w:rPr>
          <w:rFonts w:ascii="宋体" w:hAnsi="宋体" w:cs="宋体"/>
          <w:b/>
          <w:bCs/>
          <w:color w:val="auto"/>
          <w:kern w:val="0"/>
          <w:lang w:val="zh-CN"/>
        </w:rPr>
      </w:pPr>
      <w:r>
        <w:rPr>
          <w:rFonts w:hint="eastAsia" w:ascii="宋体" w:hAnsi="宋体" w:cs="宋体"/>
          <w:b/>
          <w:bCs/>
          <w:color w:val="auto"/>
          <w:kern w:val="0"/>
          <w:lang w:val="zh-CN"/>
        </w:rPr>
        <w:t xml:space="preserve">年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月  </w:t>
      </w:r>
      <w:r>
        <w:rPr>
          <w:rFonts w:hint="eastAsia" w:ascii="宋体" w:hAnsi="宋体" w:cs="宋体"/>
          <w:b/>
          <w:bCs/>
          <w:color w:val="auto"/>
          <w:kern w:val="0"/>
        </w:rPr>
        <w:t xml:space="preserve"> </w:t>
      </w:r>
      <w:r>
        <w:rPr>
          <w:rFonts w:hint="eastAsia" w:ascii="宋体" w:hAnsi="宋体" w:cs="宋体"/>
          <w:b/>
          <w:bCs/>
          <w:color w:val="auto"/>
          <w:kern w:val="0"/>
          <w:lang w:val="zh-CN"/>
        </w:rPr>
        <w:t xml:space="preserve"> 日</w:t>
      </w:r>
    </w:p>
    <w:p w14:paraId="593B9ECE">
      <w:pPr>
        <w:bidi w:val="0"/>
        <w:rPr>
          <w:rFonts w:ascii="宋体" w:hAnsi="宋体" w:cs="宋体"/>
          <w:color w:val="auto"/>
        </w:rPr>
      </w:pPr>
      <w:r>
        <w:rPr>
          <w:rFonts w:hint="eastAsia" w:ascii="宋体" w:hAnsi="宋体" w:cs="宋体"/>
          <w:color w:val="auto"/>
          <w:kern w:val="0"/>
          <w:sz w:val="24"/>
          <w:szCs w:val="24"/>
          <w:lang w:val="zh-CN"/>
        </w:rPr>
        <w:br w:type="page"/>
      </w:r>
      <w:bookmarkStart w:id="137" w:name="_Toc76659146"/>
      <w:bookmarkStart w:id="138" w:name="_Toc15483"/>
      <w:r>
        <w:rPr>
          <w:rFonts w:hint="eastAsia" w:ascii="Times New Roman" w:hAnsi="Times New Roman" w:eastAsia="宋体" w:cs="Times New Roman"/>
          <w:b/>
          <w:bCs/>
          <w:color w:val="auto"/>
          <w:kern w:val="2"/>
          <w:sz w:val="24"/>
          <w:szCs w:val="24"/>
          <w:lang w:val="en-US" w:eastAsia="zh-CN" w:bidi="ar-SA"/>
        </w:rPr>
        <w:t>（1</w:t>
      </w:r>
      <w:r>
        <w:rPr>
          <w:rFonts w:hint="eastAsia" w:cs="Times New Roman"/>
          <w:b/>
          <w:bCs/>
          <w:color w:val="auto"/>
          <w:kern w:val="2"/>
          <w:sz w:val="24"/>
          <w:szCs w:val="24"/>
          <w:lang w:val="en-US" w:eastAsia="zh-CN" w:bidi="ar-SA"/>
        </w:rPr>
        <w:t>4</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eastAsia="宋体" w:cs="Times New Roman"/>
          <w:b/>
          <w:bCs/>
          <w:color w:val="auto"/>
          <w:kern w:val="2"/>
          <w:sz w:val="24"/>
          <w:szCs w:val="24"/>
          <w:lang w:val="zh-CN" w:eastAsia="zh-CN" w:bidi="ar-SA"/>
        </w:rPr>
        <w:t>投标产品相关资料</w:t>
      </w:r>
      <w:bookmarkEnd w:id="137"/>
      <w:bookmarkEnd w:id="138"/>
    </w:p>
    <w:p w14:paraId="2FC5CC12">
      <w:pPr>
        <w:autoSpaceDE w:val="0"/>
        <w:autoSpaceDN w:val="0"/>
        <w:spacing w:line="520" w:lineRule="exact"/>
        <w:rPr>
          <w:rFonts w:ascii="宋体" w:hAnsi="宋体" w:cs="宋体"/>
          <w:color w:val="auto"/>
          <w:kern w:val="0"/>
          <w:sz w:val="28"/>
          <w:szCs w:val="28"/>
          <w:lang w:val="zh-CN"/>
        </w:rPr>
      </w:pPr>
    </w:p>
    <w:p w14:paraId="322AB296">
      <w:pPr>
        <w:autoSpaceDE w:val="0"/>
        <w:autoSpaceDN w:val="0"/>
        <w:spacing w:line="520" w:lineRule="exact"/>
        <w:jc w:val="center"/>
        <w:rPr>
          <w:rFonts w:ascii="宋体" w:hAnsi="宋体" w:cs="宋体"/>
          <w:b/>
          <w:bCs/>
          <w:color w:val="auto"/>
          <w:kern w:val="0"/>
          <w:sz w:val="36"/>
          <w:szCs w:val="36"/>
          <w:lang w:val="zh-CN"/>
        </w:rPr>
      </w:pPr>
      <w:r>
        <w:rPr>
          <w:rFonts w:hint="eastAsia" w:ascii="宋体" w:hAnsi="宋体" w:cs="宋体"/>
          <w:b/>
          <w:bCs/>
          <w:color w:val="auto"/>
          <w:kern w:val="0"/>
          <w:sz w:val="28"/>
          <w:szCs w:val="28"/>
          <w:lang w:val="zh-CN"/>
        </w:rPr>
        <w:t>投标产品相关资料</w:t>
      </w:r>
    </w:p>
    <w:p w14:paraId="0073FE8B">
      <w:pPr>
        <w:autoSpaceDE w:val="0"/>
        <w:autoSpaceDN w:val="0"/>
        <w:spacing w:line="520" w:lineRule="exact"/>
        <w:rPr>
          <w:rFonts w:ascii="宋体" w:hAnsi="宋体" w:cs="宋体"/>
          <w:color w:val="auto"/>
          <w:kern w:val="0"/>
          <w:sz w:val="28"/>
          <w:szCs w:val="28"/>
          <w:lang w:val="zh-CN"/>
        </w:rPr>
      </w:pPr>
    </w:p>
    <w:p w14:paraId="2DFEF900">
      <w:pPr>
        <w:autoSpaceDE w:val="0"/>
        <w:autoSpaceDN w:val="0"/>
        <w:spacing w:line="520" w:lineRule="exact"/>
        <w:ind w:firstLine="480" w:firstLineChars="200"/>
        <w:rPr>
          <w:rFonts w:ascii="宋体" w:hAnsi="宋体" w:cs="宋体"/>
          <w:color w:val="auto"/>
          <w:sz w:val="32"/>
          <w:lang w:val="zh-CN"/>
        </w:rPr>
      </w:pPr>
      <w:r>
        <w:rPr>
          <w:rFonts w:hint="eastAsia" w:ascii="宋体" w:hAnsi="宋体" w:cs="宋体"/>
          <w:color w:val="auto"/>
          <w:kern w:val="0"/>
          <w:lang w:val="zh-CN"/>
        </w:rPr>
        <w:t>根据采购项目内容，投标时提供国家认可的质监机构出具的投标产品的产品检验报告、证明技术参数响应的相关资料、彩页（或厂家公开发布的资料参数）、相关认证等资料。</w:t>
      </w:r>
    </w:p>
    <w:p w14:paraId="00469C85">
      <w:pPr>
        <w:rPr>
          <w:rFonts w:hint="eastAsia"/>
          <w:b/>
          <w:bCs/>
          <w:color w:val="auto"/>
          <w:lang w:val="en-US" w:eastAsia="zh-CN"/>
        </w:rPr>
      </w:pPr>
      <w:r>
        <w:rPr>
          <w:rFonts w:hint="eastAsia" w:ascii="宋体" w:hAnsi="宋体" w:cs="宋体"/>
          <w:color w:val="auto"/>
          <w:lang w:val="zh-CN"/>
        </w:rPr>
        <w:br w:type="page"/>
      </w:r>
    </w:p>
    <w:p w14:paraId="6698101D">
      <w:pPr>
        <w:widowControl/>
        <w:snapToGrid w:val="0"/>
        <w:spacing w:line="360" w:lineRule="auto"/>
        <w:outlineLvl w:val="9"/>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5</w:t>
      </w:r>
      <w:r>
        <w:rPr>
          <w:rFonts w:hint="eastAsia" w:ascii="Times New Roman" w:hAnsi="Times New Roman" w:eastAsia="宋体" w:cs="Times New Roman"/>
          <w:b/>
          <w:bCs/>
          <w:color w:val="auto"/>
          <w:lang w:val="en-US" w:eastAsia="zh-CN"/>
        </w:rPr>
        <w:t>）供应商类似业绩证明材料</w:t>
      </w:r>
      <w:bookmarkEnd w:id="133"/>
      <w:bookmarkEnd w:id="134"/>
    </w:p>
    <w:p w14:paraId="230FB9E5">
      <w:pPr>
        <w:spacing w:line="360" w:lineRule="auto"/>
        <w:jc w:val="center"/>
        <w:rPr>
          <w:rFonts w:ascii="宋体" w:hAnsi="宋体"/>
          <w:color w:val="auto"/>
          <w:sz w:val="23"/>
        </w:rPr>
      </w:pPr>
      <w:bookmarkStart w:id="139" w:name="_Toc496004041"/>
      <w:bookmarkStart w:id="140" w:name="_Toc496626247"/>
      <w:r>
        <w:rPr>
          <w:rFonts w:hint="eastAsia" w:ascii="宋体" w:hAnsi="宋体" w:cs="宋体"/>
          <w:b/>
          <w:color w:val="auto"/>
          <w:sz w:val="24"/>
        </w:rPr>
        <w:t>供应商类似业绩证明材料</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235D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676A7BA4">
            <w:pPr>
              <w:topLinePunct/>
              <w:spacing w:line="440" w:lineRule="exact"/>
              <w:ind w:firstLine="420"/>
              <w:jc w:val="center"/>
              <w:rPr>
                <w:color w:val="auto"/>
              </w:rPr>
            </w:pPr>
            <w:r>
              <w:rPr>
                <w:rFonts w:hint="eastAsia"/>
                <w:color w:val="auto"/>
              </w:rPr>
              <w:t>项目名称</w:t>
            </w:r>
          </w:p>
        </w:tc>
        <w:tc>
          <w:tcPr>
            <w:tcW w:w="6253" w:type="dxa"/>
          </w:tcPr>
          <w:p w14:paraId="0FC20CEA">
            <w:pPr>
              <w:topLinePunct/>
              <w:spacing w:line="440" w:lineRule="exact"/>
              <w:ind w:firstLine="420"/>
              <w:rPr>
                <w:color w:val="auto"/>
              </w:rPr>
            </w:pPr>
          </w:p>
        </w:tc>
      </w:tr>
      <w:tr w14:paraId="30A21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765EAF4D">
            <w:pPr>
              <w:topLinePunct/>
              <w:spacing w:line="440" w:lineRule="exact"/>
              <w:ind w:firstLine="420"/>
              <w:jc w:val="center"/>
              <w:rPr>
                <w:color w:val="auto"/>
              </w:rPr>
            </w:pPr>
            <w:r>
              <w:rPr>
                <w:rFonts w:hint="eastAsia"/>
                <w:color w:val="auto"/>
              </w:rPr>
              <w:t>项目所在地</w:t>
            </w:r>
          </w:p>
        </w:tc>
        <w:tc>
          <w:tcPr>
            <w:tcW w:w="6253" w:type="dxa"/>
          </w:tcPr>
          <w:p w14:paraId="4D45DAF7">
            <w:pPr>
              <w:topLinePunct/>
              <w:spacing w:line="440" w:lineRule="exact"/>
              <w:ind w:firstLine="420"/>
              <w:rPr>
                <w:color w:val="auto"/>
              </w:rPr>
            </w:pPr>
          </w:p>
        </w:tc>
      </w:tr>
      <w:tr w14:paraId="27099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186B84BA">
            <w:pPr>
              <w:tabs>
                <w:tab w:val="left" w:pos="360"/>
              </w:tabs>
              <w:topLinePunct/>
              <w:spacing w:line="440" w:lineRule="exact"/>
              <w:ind w:firstLine="420"/>
              <w:jc w:val="center"/>
              <w:rPr>
                <w:color w:val="auto"/>
              </w:rPr>
            </w:pPr>
            <w:r>
              <w:rPr>
                <w:rFonts w:hint="eastAsia"/>
                <w:color w:val="auto"/>
              </w:rPr>
              <w:t>发包人名称</w:t>
            </w:r>
          </w:p>
        </w:tc>
        <w:tc>
          <w:tcPr>
            <w:tcW w:w="6253" w:type="dxa"/>
          </w:tcPr>
          <w:p w14:paraId="11B377AB">
            <w:pPr>
              <w:topLinePunct/>
              <w:spacing w:line="440" w:lineRule="exact"/>
              <w:ind w:firstLine="420"/>
              <w:rPr>
                <w:color w:val="auto"/>
              </w:rPr>
            </w:pPr>
          </w:p>
        </w:tc>
      </w:tr>
      <w:tr w14:paraId="6BC1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360896A3">
            <w:pPr>
              <w:tabs>
                <w:tab w:val="left" w:pos="360"/>
              </w:tabs>
              <w:topLinePunct/>
              <w:spacing w:line="440" w:lineRule="exact"/>
              <w:ind w:firstLine="420"/>
              <w:jc w:val="center"/>
              <w:rPr>
                <w:color w:val="auto"/>
              </w:rPr>
            </w:pPr>
            <w:r>
              <w:rPr>
                <w:rFonts w:hint="eastAsia"/>
                <w:color w:val="auto"/>
              </w:rPr>
              <w:t>发包人地址</w:t>
            </w:r>
          </w:p>
        </w:tc>
        <w:tc>
          <w:tcPr>
            <w:tcW w:w="6253" w:type="dxa"/>
          </w:tcPr>
          <w:p w14:paraId="755617B7">
            <w:pPr>
              <w:topLinePunct/>
              <w:spacing w:line="440" w:lineRule="exact"/>
              <w:ind w:firstLine="420"/>
              <w:rPr>
                <w:color w:val="auto"/>
              </w:rPr>
            </w:pPr>
          </w:p>
        </w:tc>
      </w:tr>
      <w:tr w14:paraId="1487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3C93DEF3">
            <w:pPr>
              <w:tabs>
                <w:tab w:val="left" w:pos="360"/>
              </w:tabs>
              <w:topLinePunct/>
              <w:spacing w:line="440" w:lineRule="exact"/>
              <w:ind w:firstLine="420"/>
              <w:jc w:val="center"/>
              <w:rPr>
                <w:color w:val="auto"/>
              </w:rPr>
            </w:pPr>
            <w:r>
              <w:rPr>
                <w:rFonts w:hint="eastAsia"/>
                <w:color w:val="auto"/>
              </w:rPr>
              <w:t>发包人电话</w:t>
            </w:r>
          </w:p>
        </w:tc>
        <w:tc>
          <w:tcPr>
            <w:tcW w:w="6253" w:type="dxa"/>
          </w:tcPr>
          <w:p w14:paraId="7232395F">
            <w:pPr>
              <w:topLinePunct/>
              <w:spacing w:line="440" w:lineRule="exact"/>
              <w:ind w:firstLine="420"/>
              <w:rPr>
                <w:color w:val="auto"/>
              </w:rPr>
            </w:pPr>
          </w:p>
        </w:tc>
      </w:tr>
      <w:tr w14:paraId="02EA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40B8D933">
            <w:pPr>
              <w:tabs>
                <w:tab w:val="left" w:pos="360"/>
              </w:tabs>
              <w:topLinePunct/>
              <w:spacing w:line="440" w:lineRule="exact"/>
              <w:ind w:firstLine="420"/>
              <w:jc w:val="center"/>
              <w:rPr>
                <w:color w:val="auto"/>
              </w:rPr>
            </w:pPr>
            <w:r>
              <w:rPr>
                <w:rFonts w:hint="eastAsia"/>
                <w:color w:val="auto"/>
              </w:rPr>
              <w:t>合同价格</w:t>
            </w:r>
          </w:p>
        </w:tc>
        <w:tc>
          <w:tcPr>
            <w:tcW w:w="6253" w:type="dxa"/>
          </w:tcPr>
          <w:p w14:paraId="4CBFCDD7">
            <w:pPr>
              <w:topLinePunct/>
              <w:spacing w:line="440" w:lineRule="exact"/>
              <w:ind w:firstLine="420"/>
              <w:rPr>
                <w:color w:val="auto"/>
              </w:rPr>
            </w:pPr>
          </w:p>
        </w:tc>
      </w:tr>
      <w:tr w14:paraId="0119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78287C8F">
            <w:pPr>
              <w:tabs>
                <w:tab w:val="left" w:pos="360"/>
              </w:tabs>
              <w:topLinePunct/>
              <w:spacing w:line="440" w:lineRule="exact"/>
              <w:ind w:firstLine="420"/>
              <w:jc w:val="center"/>
              <w:rPr>
                <w:color w:val="auto"/>
              </w:rPr>
            </w:pPr>
            <w:r>
              <w:rPr>
                <w:rFonts w:hint="eastAsia"/>
                <w:color w:val="auto"/>
                <w:lang w:val="en-US" w:eastAsia="zh-CN"/>
              </w:rPr>
              <w:t>交货</w:t>
            </w:r>
            <w:r>
              <w:rPr>
                <w:rFonts w:hint="eastAsia"/>
                <w:color w:val="auto"/>
              </w:rPr>
              <w:t>期限</w:t>
            </w:r>
          </w:p>
        </w:tc>
        <w:tc>
          <w:tcPr>
            <w:tcW w:w="6253" w:type="dxa"/>
          </w:tcPr>
          <w:p w14:paraId="3A3623AA">
            <w:pPr>
              <w:topLinePunct/>
              <w:spacing w:line="440" w:lineRule="exact"/>
              <w:ind w:firstLine="420"/>
              <w:rPr>
                <w:color w:val="auto"/>
              </w:rPr>
            </w:pPr>
          </w:p>
        </w:tc>
      </w:tr>
      <w:tr w14:paraId="0B47D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0C84B1B8">
            <w:pPr>
              <w:tabs>
                <w:tab w:val="left" w:pos="360"/>
              </w:tabs>
              <w:topLinePunct/>
              <w:spacing w:line="440" w:lineRule="exact"/>
              <w:ind w:firstLine="420"/>
              <w:jc w:val="center"/>
              <w:rPr>
                <w:color w:val="auto"/>
              </w:rPr>
            </w:pPr>
            <w:r>
              <w:rPr>
                <w:rFonts w:hint="eastAsia"/>
                <w:color w:val="auto"/>
                <w:lang w:val="en-US" w:eastAsia="zh-CN"/>
              </w:rPr>
              <w:t>服务</w:t>
            </w:r>
            <w:r>
              <w:rPr>
                <w:rFonts w:hint="eastAsia"/>
                <w:color w:val="auto"/>
              </w:rPr>
              <w:t>内容</w:t>
            </w:r>
          </w:p>
        </w:tc>
        <w:tc>
          <w:tcPr>
            <w:tcW w:w="6253" w:type="dxa"/>
          </w:tcPr>
          <w:p w14:paraId="03F1C7BC">
            <w:pPr>
              <w:topLinePunct/>
              <w:spacing w:line="440" w:lineRule="exact"/>
              <w:ind w:firstLine="420"/>
              <w:rPr>
                <w:color w:val="auto"/>
              </w:rPr>
            </w:pPr>
          </w:p>
        </w:tc>
      </w:tr>
      <w:tr w14:paraId="5F64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07A51474">
            <w:pPr>
              <w:tabs>
                <w:tab w:val="left" w:pos="360"/>
              </w:tabs>
              <w:topLinePunct/>
              <w:spacing w:line="440" w:lineRule="exact"/>
              <w:ind w:firstLine="420"/>
              <w:jc w:val="center"/>
              <w:rPr>
                <w:color w:val="auto"/>
              </w:rPr>
            </w:pPr>
            <w:r>
              <w:rPr>
                <w:rFonts w:hint="eastAsia"/>
                <w:color w:val="auto"/>
              </w:rPr>
              <w:t>项目负责人</w:t>
            </w:r>
          </w:p>
        </w:tc>
        <w:tc>
          <w:tcPr>
            <w:tcW w:w="6253" w:type="dxa"/>
          </w:tcPr>
          <w:p w14:paraId="64DDDB23">
            <w:pPr>
              <w:topLinePunct/>
              <w:spacing w:line="440" w:lineRule="exact"/>
              <w:ind w:firstLine="420"/>
              <w:rPr>
                <w:color w:val="auto"/>
              </w:rPr>
            </w:pPr>
          </w:p>
        </w:tc>
      </w:tr>
      <w:tr w14:paraId="1DD7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DB01F64">
            <w:pPr>
              <w:tabs>
                <w:tab w:val="left" w:pos="360"/>
              </w:tabs>
              <w:topLinePunct/>
              <w:spacing w:line="440" w:lineRule="exact"/>
              <w:ind w:firstLine="420"/>
              <w:jc w:val="center"/>
              <w:rPr>
                <w:color w:val="auto"/>
              </w:rPr>
            </w:pPr>
            <w:r>
              <w:rPr>
                <w:rFonts w:hint="eastAsia"/>
                <w:color w:val="auto"/>
              </w:rPr>
              <w:t>项目描述</w:t>
            </w:r>
          </w:p>
        </w:tc>
        <w:tc>
          <w:tcPr>
            <w:tcW w:w="6253" w:type="dxa"/>
          </w:tcPr>
          <w:p w14:paraId="25CB9FC5">
            <w:pPr>
              <w:topLinePunct/>
              <w:spacing w:line="440" w:lineRule="exact"/>
              <w:ind w:firstLine="420"/>
              <w:rPr>
                <w:color w:val="auto"/>
              </w:rPr>
            </w:pPr>
          </w:p>
          <w:p w14:paraId="79EC1A4B">
            <w:pPr>
              <w:topLinePunct/>
              <w:spacing w:line="440" w:lineRule="exact"/>
              <w:ind w:firstLine="420"/>
              <w:rPr>
                <w:color w:val="auto"/>
              </w:rPr>
            </w:pPr>
          </w:p>
          <w:p w14:paraId="309C1F69">
            <w:pPr>
              <w:topLinePunct/>
              <w:spacing w:line="440" w:lineRule="exact"/>
              <w:ind w:firstLine="420"/>
              <w:rPr>
                <w:color w:val="auto"/>
              </w:rPr>
            </w:pPr>
          </w:p>
          <w:p w14:paraId="77F948A6">
            <w:pPr>
              <w:topLinePunct/>
              <w:spacing w:line="440" w:lineRule="exact"/>
              <w:ind w:firstLine="420"/>
              <w:rPr>
                <w:color w:val="auto"/>
              </w:rPr>
            </w:pPr>
          </w:p>
          <w:p w14:paraId="5D140841">
            <w:pPr>
              <w:topLinePunct/>
              <w:spacing w:line="440" w:lineRule="exact"/>
              <w:ind w:firstLine="420"/>
              <w:rPr>
                <w:color w:val="auto"/>
              </w:rPr>
            </w:pPr>
          </w:p>
          <w:p w14:paraId="3385A7CB">
            <w:pPr>
              <w:topLinePunct/>
              <w:spacing w:line="440" w:lineRule="exact"/>
              <w:ind w:firstLine="420"/>
              <w:rPr>
                <w:color w:val="auto"/>
              </w:rPr>
            </w:pPr>
          </w:p>
          <w:p w14:paraId="74704D2A">
            <w:pPr>
              <w:topLinePunct/>
              <w:spacing w:line="440" w:lineRule="exact"/>
              <w:ind w:firstLine="420"/>
              <w:rPr>
                <w:color w:val="auto"/>
              </w:rPr>
            </w:pPr>
          </w:p>
        </w:tc>
      </w:tr>
      <w:tr w14:paraId="338E7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9961147">
            <w:pPr>
              <w:tabs>
                <w:tab w:val="left" w:pos="360"/>
              </w:tabs>
              <w:topLinePunct/>
              <w:spacing w:line="440" w:lineRule="exact"/>
              <w:ind w:firstLine="420"/>
              <w:jc w:val="center"/>
              <w:rPr>
                <w:color w:val="auto"/>
              </w:rPr>
            </w:pPr>
            <w:r>
              <w:rPr>
                <w:rFonts w:hint="eastAsia"/>
                <w:color w:val="auto"/>
              </w:rPr>
              <w:t>备注</w:t>
            </w:r>
          </w:p>
        </w:tc>
        <w:tc>
          <w:tcPr>
            <w:tcW w:w="6253" w:type="dxa"/>
          </w:tcPr>
          <w:p w14:paraId="25F41C38">
            <w:pPr>
              <w:topLinePunct/>
              <w:spacing w:line="440" w:lineRule="exact"/>
              <w:ind w:firstLine="420"/>
              <w:rPr>
                <w:color w:val="auto"/>
              </w:rPr>
            </w:pPr>
          </w:p>
        </w:tc>
      </w:tr>
    </w:tbl>
    <w:p w14:paraId="290D5AC1">
      <w:pPr>
        <w:wordWrap w:val="0"/>
        <w:spacing w:line="360" w:lineRule="auto"/>
        <w:ind w:firstLine="480"/>
        <w:rPr>
          <w:rFonts w:ascii="宋体" w:hAnsi="宋体" w:cs="宋体"/>
          <w:bCs/>
          <w:color w:val="auto"/>
          <w:sz w:val="24"/>
        </w:rPr>
      </w:pPr>
      <w:r>
        <w:rPr>
          <w:rFonts w:hint="eastAsia" w:ascii="宋体" w:hAnsi="宋体" w:cs="宋体"/>
          <w:bCs/>
          <w:color w:val="auto"/>
          <w:sz w:val="24"/>
        </w:rPr>
        <w:t>注：</w:t>
      </w:r>
      <w:r>
        <w:rPr>
          <w:rFonts w:hint="eastAsia" w:ascii="宋体" w:hAnsi="宋体"/>
          <w:color w:val="auto"/>
        </w:rPr>
        <w:t>提供自</w:t>
      </w:r>
      <w:r>
        <w:rPr>
          <w:rFonts w:ascii="宋体" w:hAnsi="宋体"/>
          <w:color w:val="auto"/>
        </w:rPr>
        <w:t>20</w:t>
      </w:r>
      <w:r>
        <w:rPr>
          <w:rFonts w:hint="eastAsia" w:ascii="宋体" w:hAnsi="宋体"/>
          <w:color w:val="auto"/>
          <w:lang w:val="en-US" w:eastAsia="zh-CN"/>
        </w:rPr>
        <w:t>21</w:t>
      </w:r>
      <w:r>
        <w:rPr>
          <w:rFonts w:hint="eastAsia" w:ascii="宋体" w:hAnsi="宋体"/>
          <w:color w:val="auto"/>
        </w:rPr>
        <w:t>年</w:t>
      </w:r>
      <w:r>
        <w:rPr>
          <w:rFonts w:ascii="宋体" w:hAnsi="宋体"/>
          <w:color w:val="auto"/>
        </w:rPr>
        <w:t>1</w:t>
      </w:r>
      <w:r>
        <w:rPr>
          <w:rFonts w:hint="eastAsia" w:ascii="宋体" w:hAnsi="宋体"/>
          <w:color w:val="auto"/>
        </w:rPr>
        <w:t>月</w:t>
      </w:r>
      <w:r>
        <w:rPr>
          <w:rFonts w:ascii="宋体" w:hAnsi="宋体"/>
          <w:color w:val="auto"/>
        </w:rPr>
        <w:t>1</w:t>
      </w:r>
      <w:r>
        <w:rPr>
          <w:rFonts w:hint="eastAsia" w:ascii="宋体" w:hAnsi="宋体"/>
          <w:color w:val="auto"/>
        </w:rPr>
        <w:t>日以来的类似业绩证明材料。</w:t>
      </w:r>
      <w:r>
        <w:rPr>
          <w:rFonts w:hint="eastAsia" w:ascii="宋体" w:hAnsi="宋体" w:cs="宋体"/>
          <w:color w:val="auto"/>
          <w:kern w:val="0"/>
          <w:lang w:val="zh-CN"/>
        </w:rPr>
        <w:t>类似业绩是指与采购项目在产品类型、使用功能、</w:t>
      </w:r>
      <w:r>
        <w:rPr>
          <w:rFonts w:ascii="宋体" w:hAnsi="宋体" w:cs="宋体"/>
          <w:color w:val="auto"/>
          <w:kern w:val="0"/>
          <w:lang w:val="zh-CN"/>
        </w:rPr>
        <w:t>合同规模</w:t>
      </w:r>
      <w:r>
        <w:rPr>
          <w:rFonts w:hint="eastAsia" w:ascii="宋体" w:hAnsi="宋体" w:cs="宋体"/>
          <w:color w:val="auto"/>
          <w:kern w:val="0"/>
          <w:lang w:val="zh-CN"/>
        </w:rPr>
        <w:t>等方面相同或相近的项目</w:t>
      </w:r>
      <w:r>
        <w:rPr>
          <w:rFonts w:hint="eastAsia" w:ascii="宋体" w:hAnsi="宋体" w:cs="宋体"/>
          <w:color w:val="auto"/>
          <w:kern w:val="0"/>
          <w:sz w:val="24"/>
          <w:lang w:val="zh-CN"/>
        </w:rPr>
        <w:t>。</w:t>
      </w:r>
    </w:p>
    <w:p w14:paraId="66DEFEA2">
      <w:pPr>
        <w:rPr>
          <w:rFonts w:ascii="宋体"/>
          <w:b/>
          <w:color w:val="auto"/>
          <w:sz w:val="28"/>
          <w:szCs w:val="28"/>
        </w:rPr>
      </w:pPr>
      <w:r>
        <w:rPr>
          <w:rFonts w:ascii="宋体" w:hAnsi="宋体" w:cs="宋体"/>
          <w:bCs/>
          <w:color w:val="auto"/>
          <w:sz w:val="24"/>
        </w:rPr>
        <w:br w:type="page"/>
      </w:r>
      <w:bookmarkEnd w:id="139"/>
      <w:bookmarkEnd w:id="140"/>
      <w:bookmarkStart w:id="141" w:name="_Toc16246"/>
      <w:bookmarkStart w:id="142" w:name="_Toc31601"/>
      <w:bookmarkStart w:id="143" w:name="_Toc365019586"/>
      <w:bookmarkStart w:id="144" w:name="_Toc325726045"/>
      <w:bookmarkStart w:id="145" w:name="_Toc376936780"/>
      <w:r>
        <w:rPr>
          <w:rFonts w:hint="eastAsia" w:ascii="Times New Roman" w:hAnsi="Times New Roman" w:eastAsia="宋体" w:cs="Times New Roman"/>
          <w:b/>
          <w:bCs/>
          <w:color w:val="auto"/>
          <w:lang w:val="en-US" w:eastAsia="zh-CN"/>
        </w:rPr>
        <w:t>（1</w:t>
      </w:r>
      <w:r>
        <w:rPr>
          <w:rFonts w:hint="eastAsia" w:cs="Times New Roman"/>
          <w:b/>
          <w:bCs/>
          <w:color w:val="auto"/>
          <w:lang w:val="en-US" w:eastAsia="zh-CN"/>
        </w:rPr>
        <w:t>6</w:t>
      </w:r>
      <w:r>
        <w:rPr>
          <w:rFonts w:hint="eastAsia" w:ascii="Times New Roman" w:hAnsi="Times New Roman" w:eastAsia="宋体" w:cs="Times New Roman"/>
          <w:b/>
          <w:bCs/>
          <w:color w:val="auto"/>
          <w:lang w:val="en-US" w:eastAsia="zh-CN"/>
        </w:rPr>
        <w:t>）交货方案</w:t>
      </w:r>
      <w:bookmarkEnd w:id="141"/>
      <w:bookmarkEnd w:id="142"/>
    </w:p>
    <w:p w14:paraId="1E2C169B">
      <w:pPr>
        <w:jc w:val="center"/>
        <w:rPr>
          <w:rFonts w:ascii="宋体"/>
          <w:bCs/>
          <w:color w:val="auto"/>
        </w:rPr>
      </w:pPr>
      <w:r>
        <w:rPr>
          <w:rFonts w:hint="eastAsia" w:ascii="宋体" w:hAnsi="宋体" w:cs="宋体"/>
          <w:b/>
          <w:color w:val="auto"/>
          <w:sz w:val="28"/>
          <w:szCs w:val="28"/>
          <w:lang w:val="en-US" w:eastAsia="zh-CN"/>
        </w:rPr>
        <w:t>交货</w:t>
      </w:r>
      <w:r>
        <w:rPr>
          <w:rFonts w:hint="eastAsia" w:ascii="宋体" w:hAnsi="宋体" w:cs="宋体"/>
          <w:b/>
          <w:color w:val="auto"/>
          <w:sz w:val="28"/>
          <w:szCs w:val="28"/>
        </w:rPr>
        <w:t>方案</w:t>
      </w:r>
    </w:p>
    <w:bookmarkEnd w:id="143"/>
    <w:bookmarkEnd w:id="144"/>
    <w:bookmarkEnd w:id="145"/>
    <w:p w14:paraId="22F4F70C">
      <w:pPr>
        <w:spacing w:line="360" w:lineRule="auto"/>
        <w:ind w:firstLine="480"/>
        <w:rPr>
          <w:rFonts w:ascii="宋体" w:hAnsi="宋体" w:cs="宋体"/>
          <w:color w:val="auto"/>
          <w:sz w:val="24"/>
        </w:rPr>
      </w:pPr>
      <w:r>
        <w:rPr>
          <w:rFonts w:hint="eastAsia" w:ascii="宋体" w:hAnsi="宋体" w:cs="宋体"/>
          <w:color w:val="auto"/>
          <w:sz w:val="24"/>
        </w:rPr>
        <w:t>格式自定</w:t>
      </w:r>
    </w:p>
    <w:bookmarkEnd w:id="75"/>
    <w:p w14:paraId="60B35997">
      <w:pPr>
        <w:widowControl/>
        <w:snapToGrid w:val="0"/>
        <w:spacing w:line="360" w:lineRule="auto"/>
        <w:outlineLvl w:val="9"/>
        <w:rPr>
          <w:rFonts w:ascii="宋体"/>
          <w:b/>
          <w:color w:val="auto"/>
          <w:sz w:val="28"/>
          <w:szCs w:val="28"/>
        </w:rPr>
      </w:pPr>
      <w:bookmarkStart w:id="146" w:name="_Toc496004044"/>
      <w:bookmarkStart w:id="147" w:name="_Toc496626250"/>
      <w:r>
        <w:rPr>
          <w:rFonts w:hint="eastAsia" w:ascii="宋体"/>
          <w:b/>
          <w:color w:val="auto"/>
          <w:sz w:val="28"/>
          <w:szCs w:val="28"/>
        </w:rPr>
        <w:t xml:space="preserve"> </w:t>
      </w:r>
    </w:p>
    <w:bookmarkEnd w:id="146"/>
    <w:bookmarkEnd w:id="147"/>
    <w:p w14:paraId="6A890040">
      <w:pPr>
        <w:widowControl/>
        <w:jc w:val="left"/>
        <w:rPr>
          <w:rFonts w:ascii="宋体" w:hAnsi="宋体" w:cs="宋体"/>
          <w:b/>
          <w:bCs/>
          <w:color w:val="auto"/>
          <w:sz w:val="30"/>
          <w:szCs w:val="30"/>
        </w:rPr>
      </w:pPr>
      <w:bookmarkStart w:id="148" w:name="_Toc10010"/>
      <w:bookmarkStart w:id="149" w:name="_Toc496004047"/>
      <w:bookmarkStart w:id="150" w:name="_Toc496626253"/>
      <w:bookmarkStart w:id="151" w:name="_Toc416363470"/>
      <w:r>
        <w:rPr>
          <w:rFonts w:ascii="宋体" w:hAnsi="宋体" w:cs="宋体"/>
          <w:b/>
          <w:bCs/>
          <w:color w:val="auto"/>
          <w:sz w:val="30"/>
          <w:szCs w:val="30"/>
        </w:rPr>
        <w:br w:type="page"/>
      </w:r>
    </w:p>
    <w:p w14:paraId="070B002B">
      <w:pPr>
        <w:wordWrap w:val="0"/>
        <w:spacing w:line="360" w:lineRule="auto"/>
        <w:outlineLvl w:val="1"/>
        <w:rPr>
          <w:rFonts w:hint="eastAsia"/>
          <w:b/>
          <w:bCs/>
          <w:color w:val="auto"/>
          <w:lang w:val="en-US" w:eastAsia="zh-CN"/>
        </w:rPr>
      </w:pPr>
      <w:bookmarkStart w:id="152" w:name="_Toc5703"/>
      <w:r>
        <w:rPr>
          <w:rFonts w:hint="eastAsia"/>
          <w:b/>
          <w:bCs/>
          <w:color w:val="auto"/>
          <w:lang w:val="en-US" w:eastAsia="zh-CN"/>
        </w:rPr>
        <w:t>（17）</w:t>
      </w:r>
      <w:bookmarkEnd w:id="148"/>
      <w:r>
        <w:rPr>
          <w:rFonts w:hint="eastAsia"/>
          <w:b/>
          <w:bCs/>
          <w:color w:val="auto"/>
          <w:lang w:val="en-US" w:eastAsia="zh-CN"/>
        </w:rPr>
        <w:t>享受政府采购政策优惠的证明资料</w:t>
      </w:r>
      <w:bookmarkEnd w:id="152"/>
    </w:p>
    <w:p w14:paraId="23E71114">
      <w:pPr>
        <w:numPr>
          <w:ilvl w:val="0"/>
          <w:numId w:val="24"/>
        </w:numPr>
        <w:adjustRightInd w:val="0"/>
        <w:snapToGrid w:val="0"/>
        <w:spacing w:beforeLines="50" w:line="560" w:lineRule="exact"/>
        <w:jc w:val="center"/>
        <w:rPr>
          <w:rFonts w:ascii="宋体" w:hAnsi="宋体" w:cs="宋体"/>
          <w:b/>
          <w:bCs/>
          <w:color w:val="auto"/>
          <w:sz w:val="28"/>
          <w:szCs w:val="28"/>
        </w:rPr>
      </w:pPr>
      <w:bookmarkStart w:id="153" w:name="_Toc25276"/>
      <w:r>
        <w:rPr>
          <w:rFonts w:hint="eastAsia" w:ascii="宋体" w:hAnsi="宋体" w:cs="宋体"/>
          <w:b/>
          <w:bCs/>
          <w:color w:val="auto"/>
          <w:sz w:val="28"/>
          <w:szCs w:val="28"/>
        </w:rPr>
        <w:t>节能产品、环境标志产品证明材料</w:t>
      </w:r>
      <w:bookmarkEnd w:id="153"/>
    </w:p>
    <w:p w14:paraId="6ED10683">
      <w:pPr>
        <w:adjustRightInd w:val="0"/>
        <w:snapToGrid w:val="0"/>
        <w:spacing w:line="560" w:lineRule="exact"/>
        <w:ind w:firstLine="480"/>
        <w:rPr>
          <w:rFonts w:ascii="宋体" w:hAnsi="宋体" w:cs="宋体"/>
          <w:bCs/>
          <w:color w:val="auto"/>
        </w:rPr>
      </w:pPr>
      <w:r>
        <w:rPr>
          <w:rFonts w:hint="eastAsia" w:ascii="宋体" w:hAnsi="宋体" w:cs="宋体"/>
          <w:bCs/>
          <w:color w:val="auto"/>
        </w:rPr>
        <w:t>产品属于品目清单范围的，实施政府优先采购和强制采购。供应商应提供国家确定的认证机构出具的、处于有效期之内的节能产品、环境标志产品认证证书，并加盖供应商单位公章。</w:t>
      </w:r>
    </w:p>
    <w:p w14:paraId="5BB316B8">
      <w:pPr>
        <w:adjustRightInd w:val="0"/>
        <w:snapToGrid w:val="0"/>
        <w:spacing w:beforeLines="50" w:line="560" w:lineRule="exact"/>
        <w:ind w:firstLine="420"/>
        <w:jc w:val="left"/>
        <w:rPr>
          <w:rFonts w:ascii="宋体" w:hAnsi="宋体"/>
          <w:color w:val="auto"/>
          <w:szCs w:val="21"/>
        </w:rPr>
      </w:pPr>
    </w:p>
    <w:p w14:paraId="6AB4E327">
      <w:pPr>
        <w:adjustRightInd w:val="0"/>
        <w:snapToGrid w:val="0"/>
        <w:spacing w:beforeLines="50" w:line="560" w:lineRule="exact"/>
        <w:ind w:firstLine="420"/>
        <w:jc w:val="left"/>
        <w:rPr>
          <w:rFonts w:ascii="宋体" w:hAnsi="宋体"/>
          <w:color w:val="auto"/>
          <w:szCs w:val="21"/>
        </w:rPr>
      </w:pPr>
    </w:p>
    <w:p w14:paraId="48912CAC">
      <w:pPr>
        <w:widowControl/>
        <w:snapToGrid w:val="0"/>
        <w:spacing w:beforeLines="50" w:line="560" w:lineRule="exact"/>
        <w:ind w:firstLine="562"/>
        <w:rPr>
          <w:rFonts w:ascii="宋体" w:hAnsi="宋体"/>
          <w:b/>
          <w:color w:val="auto"/>
          <w:sz w:val="28"/>
          <w:szCs w:val="28"/>
        </w:rPr>
      </w:pPr>
    </w:p>
    <w:p w14:paraId="3DAEAEAB">
      <w:pPr>
        <w:widowControl/>
        <w:snapToGrid w:val="0"/>
        <w:spacing w:beforeLines="50" w:line="560" w:lineRule="exact"/>
        <w:ind w:firstLine="562"/>
        <w:rPr>
          <w:rFonts w:ascii="宋体" w:hAnsi="宋体"/>
          <w:b/>
          <w:color w:val="auto"/>
          <w:sz w:val="28"/>
          <w:szCs w:val="28"/>
        </w:rPr>
      </w:pPr>
    </w:p>
    <w:p w14:paraId="65B12119">
      <w:pPr>
        <w:widowControl/>
        <w:snapToGrid w:val="0"/>
        <w:spacing w:beforeLines="50" w:line="560" w:lineRule="exact"/>
        <w:ind w:firstLine="562"/>
        <w:rPr>
          <w:rFonts w:ascii="宋体" w:hAnsi="宋体"/>
          <w:b/>
          <w:color w:val="auto"/>
          <w:sz w:val="28"/>
          <w:szCs w:val="28"/>
        </w:rPr>
      </w:pPr>
    </w:p>
    <w:p w14:paraId="65F8F59C">
      <w:pPr>
        <w:widowControl/>
        <w:snapToGrid w:val="0"/>
        <w:spacing w:beforeLines="50" w:line="560" w:lineRule="exact"/>
        <w:ind w:firstLine="562"/>
        <w:rPr>
          <w:rFonts w:ascii="宋体" w:hAnsi="宋体"/>
          <w:b/>
          <w:color w:val="auto"/>
          <w:sz w:val="28"/>
          <w:szCs w:val="28"/>
        </w:rPr>
      </w:pPr>
    </w:p>
    <w:p w14:paraId="3A9BCD21">
      <w:pPr>
        <w:widowControl/>
        <w:snapToGrid w:val="0"/>
        <w:spacing w:beforeLines="50" w:line="560" w:lineRule="exact"/>
        <w:ind w:firstLine="562"/>
        <w:rPr>
          <w:rFonts w:ascii="宋体" w:hAnsi="宋体"/>
          <w:b/>
          <w:color w:val="auto"/>
          <w:sz w:val="28"/>
          <w:szCs w:val="28"/>
        </w:rPr>
      </w:pPr>
    </w:p>
    <w:p w14:paraId="4037FDD5">
      <w:pPr>
        <w:widowControl/>
        <w:snapToGrid w:val="0"/>
        <w:spacing w:beforeLines="50" w:line="560" w:lineRule="exact"/>
        <w:ind w:firstLine="562"/>
        <w:rPr>
          <w:rFonts w:ascii="宋体" w:hAnsi="宋体"/>
          <w:b/>
          <w:color w:val="auto"/>
          <w:sz w:val="28"/>
          <w:szCs w:val="28"/>
        </w:rPr>
      </w:pPr>
    </w:p>
    <w:p w14:paraId="03DB26F8">
      <w:pPr>
        <w:widowControl/>
        <w:snapToGrid w:val="0"/>
        <w:spacing w:beforeLines="50" w:line="560" w:lineRule="exact"/>
        <w:ind w:firstLine="562"/>
        <w:rPr>
          <w:rFonts w:ascii="宋体" w:hAnsi="宋体"/>
          <w:b/>
          <w:color w:val="auto"/>
          <w:sz w:val="28"/>
          <w:szCs w:val="28"/>
        </w:rPr>
      </w:pPr>
    </w:p>
    <w:p w14:paraId="79C800F5">
      <w:pPr>
        <w:widowControl/>
        <w:snapToGrid w:val="0"/>
        <w:spacing w:beforeLines="50" w:line="560" w:lineRule="exact"/>
        <w:ind w:firstLine="562"/>
        <w:rPr>
          <w:rFonts w:ascii="宋体" w:hAnsi="宋体"/>
          <w:b/>
          <w:color w:val="auto"/>
          <w:sz w:val="28"/>
          <w:szCs w:val="28"/>
        </w:rPr>
      </w:pPr>
    </w:p>
    <w:p w14:paraId="3C206C44">
      <w:pPr>
        <w:numPr>
          <w:ilvl w:val="0"/>
          <w:numId w:val="0"/>
        </w:numPr>
        <w:ind w:leftChars="0"/>
        <w:jc w:val="center"/>
        <w:rPr>
          <w:rFonts w:ascii="宋体" w:hAnsi="宋体" w:cs="宋体"/>
          <w:b/>
          <w:bCs/>
          <w:color w:val="000000"/>
          <w:sz w:val="28"/>
          <w:szCs w:val="28"/>
        </w:rPr>
      </w:pPr>
      <w:r>
        <w:rPr>
          <w:rFonts w:ascii="宋体" w:hAnsi="宋体"/>
          <w:b/>
          <w:color w:val="auto"/>
          <w:sz w:val="28"/>
          <w:szCs w:val="28"/>
        </w:rPr>
        <w:br w:type="page"/>
      </w:r>
      <w:bookmarkStart w:id="154" w:name="_Toc6454"/>
      <w:bookmarkStart w:id="155" w:name="_Toc31539"/>
      <w:bookmarkStart w:id="156" w:name="_Toc22784_WPSOffice_Level3"/>
      <w:r>
        <w:rPr>
          <w:rFonts w:hint="eastAsia" w:ascii="宋体" w:hAnsi="宋体" w:cs="宋体"/>
          <w:b/>
          <w:bCs/>
          <w:color w:val="auto"/>
          <w:sz w:val="28"/>
          <w:szCs w:val="28"/>
        </w:rPr>
        <w:t>2.</w:t>
      </w:r>
      <w:bookmarkEnd w:id="154"/>
      <w:bookmarkEnd w:id="155"/>
      <w:bookmarkEnd w:id="156"/>
      <w:r>
        <w:rPr>
          <w:rFonts w:hint="eastAsia" w:ascii="宋体" w:hAnsi="宋体" w:cs="宋体"/>
          <w:b/>
          <w:bCs/>
          <w:color w:val="000000"/>
          <w:sz w:val="28"/>
          <w:szCs w:val="28"/>
        </w:rPr>
        <w:t>中小企业声明函（货物）</w:t>
      </w:r>
    </w:p>
    <w:p w14:paraId="58B7B3E1">
      <w:pPr>
        <w:widowControl/>
        <w:adjustRightInd w:val="0"/>
        <w:snapToGrid w:val="0"/>
        <w:spacing w:line="560" w:lineRule="exact"/>
        <w:ind w:firstLine="506"/>
        <w:jc w:val="center"/>
        <w:rPr>
          <w:rFonts w:ascii="宋体" w:hAnsi="宋体" w:cs="仿宋_GB2312"/>
          <w:b/>
          <w:color w:val="000000"/>
          <w:spacing w:val="6"/>
        </w:rPr>
      </w:pPr>
      <w:r>
        <w:rPr>
          <w:rFonts w:hint="eastAsia" w:ascii="宋体" w:hAnsi="宋体" w:cs="仿宋_GB2312"/>
          <w:b/>
          <w:color w:val="000000"/>
          <w:spacing w:val="6"/>
        </w:rPr>
        <w:t>(不满足以下条件的无需填写)</w:t>
      </w:r>
    </w:p>
    <w:p w14:paraId="3924E678">
      <w:pPr>
        <w:widowControl/>
        <w:adjustRightInd w:val="0"/>
        <w:snapToGrid w:val="0"/>
        <w:spacing w:line="560" w:lineRule="exact"/>
        <w:ind w:firstLine="506"/>
        <w:jc w:val="center"/>
        <w:rPr>
          <w:rFonts w:ascii="宋体" w:hAnsi="宋体" w:cs="仿宋_GB2312"/>
          <w:b/>
          <w:color w:val="000000"/>
          <w:spacing w:val="6"/>
        </w:rPr>
      </w:pPr>
    </w:p>
    <w:p w14:paraId="13C379F9">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本公司（联合体）郑重声明，根据《政府采购促进中小企业发展管理办法》（财库【2020】46号）的规定，本公司（联合体）参加</w:t>
      </w:r>
      <w:r>
        <w:rPr>
          <w:rFonts w:hint="eastAsia" w:ascii="宋体" w:hAnsi="宋体" w:cs="仿宋_GB2312"/>
          <w:color w:val="000000"/>
          <w:spacing w:val="6"/>
          <w:u w:val="single"/>
        </w:rPr>
        <w:t xml:space="preserve"> （单位名称）</w:t>
      </w:r>
      <w:r>
        <w:rPr>
          <w:rFonts w:hint="eastAsia" w:ascii="宋体" w:hAnsi="宋体" w:cs="仿宋_GB2312"/>
          <w:color w:val="000000"/>
          <w:spacing w:val="6"/>
        </w:rPr>
        <w:t>的</w:t>
      </w:r>
      <w:r>
        <w:rPr>
          <w:rFonts w:hint="eastAsia" w:ascii="宋体" w:hAnsi="宋体" w:cs="仿宋_GB2312"/>
          <w:color w:val="000000"/>
          <w:spacing w:val="6"/>
          <w:u w:val="single"/>
        </w:rPr>
        <w:t xml:space="preserve"> （项目名称）</w:t>
      </w:r>
      <w:r>
        <w:rPr>
          <w:rFonts w:hint="eastAsia" w:ascii="宋体" w:hAnsi="宋体" w:cs="仿宋_GB2312"/>
          <w:color w:val="000000"/>
          <w:spacing w:val="6"/>
        </w:rPr>
        <w:t>采购活动，提供的货物全部由符合政策要求的中小企业制造，相关企业（含联合体中的中小企业、签订分包意向协议的中小企业）具体情况如下：</w:t>
      </w:r>
    </w:p>
    <w:p w14:paraId="7C5C521E">
      <w:pPr>
        <w:widowControl/>
        <w:numPr>
          <w:ilvl w:val="0"/>
          <w:numId w:val="25"/>
        </w:numPr>
        <w:adjustRightInd w:val="0"/>
        <w:snapToGrid w:val="0"/>
        <w:spacing w:line="560" w:lineRule="exact"/>
        <w:ind w:firstLine="504" w:firstLineChars="200"/>
        <w:jc w:val="left"/>
        <w:rPr>
          <w:rFonts w:ascii="宋体" w:hAnsi="宋体" w:cs="仿宋_GB2312"/>
          <w:color w:val="000000"/>
          <w:spacing w:val="6"/>
        </w:rPr>
      </w:pPr>
      <w:r>
        <w:rPr>
          <w:rFonts w:hint="eastAsia" w:ascii="宋体" w:hAnsi="宋体" w:cs="仿宋_GB2312"/>
          <w:color w:val="000000"/>
          <w:spacing w:val="6"/>
          <w:u w:val="single"/>
        </w:rPr>
        <w:t>（标的名称）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14:paraId="2E8DF8A5">
      <w:pPr>
        <w:widowControl/>
        <w:adjustRightInd w:val="0"/>
        <w:snapToGrid w:val="0"/>
        <w:spacing w:line="560" w:lineRule="exact"/>
        <w:ind w:firstLine="504"/>
        <w:jc w:val="left"/>
        <w:rPr>
          <w:rFonts w:ascii="宋体" w:hAnsi="宋体" w:cs="仿宋_GB2312"/>
          <w:color w:val="000000"/>
        </w:rPr>
      </w:pPr>
      <w:r>
        <w:rPr>
          <w:rFonts w:hint="eastAsia" w:ascii="宋体" w:hAnsi="宋体" w:cs="仿宋_GB2312"/>
          <w:color w:val="000000"/>
          <w:spacing w:val="6"/>
        </w:rPr>
        <w:t>2.</w:t>
      </w:r>
      <w:r>
        <w:rPr>
          <w:rFonts w:hint="eastAsia" w:ascii="宋体" w:hAnsi="宋体" w:cs="仿宋_GB2312"/>
          <w:color w:val="000000"/>
          <w:spacing w:val="6"/>
          <w:u w:val="single"/>
        </w:rPr>
        <w:t xml:space="preserve"> （标的名称）</w:t>
      </w:r>
      <w:r>
        <w:rPr>
          <w:rFonts w:hint="eastAsia" w:ascii="宋体" w:hAnsi="宋体" w:cs="仿宋_GB2312"/>
          <w:color w:val="000000"/>
          <w:spacing w:val="6"/>
        </w:rPr>
        <w:t>，属于</w:t>
      </w:r>
      <w:r>
        <w:rPr>
          <w:rFonts w:hint="eastAsia" w:ascii="宋体" w:hAnsi="宋体" w:cs="仿宋_GB2312"/>
          <w:color w:val="000000"/>
          <w:spacing w:val="6"/>
          <w:u w:val="single"/>
        </w:rPr>
        <w:t xml:space="preserve"> （采购文件中明确的所属行业）行业</w:t>
      </w:r>
      <w:r>
        <w:rPr>
          <w:rFonts w:hint="eastAsia" w:ascii="宋体" w:hAnsi="宋体" w:cs="仿宋_GB2312"/>
          <w:color w:val="000000"/>
          <w:spacing w:val="6"/>
        </w:rPr>
        <w:t>，制造商为</w:t>
      </w:r>
      <w:r>
        <w:rPr>
          <w:rFonts w:hint="eastAsia" w:ascii="宋体" w:hAnsi="宋体" w:cs="仿宋_GB2312"/>
          <w:color w:val="000000"/>
          <w:spacing w:val="6"/>
          <w:u w:val="single"/>
        </w:rPr>
        <w:t xml:space="preserve"> （企业名称）</w:t>
      </w:r>
      <w:r>
        <w:rPr>
          <w:rFonts w:hint="eastAsia" w:ascii="宋体" w:hAnsi="宋体" w:cs="仿宋_GB2312"/>
          <w:color w:val="000000"/>
          <w:spacing w:val="6"/>
        </w:rPr>
        <w:t>，从业人员</w:t>
      </w:r>
      <w:r>
        <w:rPr>
          <w:rFonts w:hint="eastAsia" w:ascii="宋体" w:hAnsi="宋体" w:cs="仿宋_GB2312"/>
          <w:color w:val="000000"/>
          <w:spacing w:val="6"/>
          <w:u w:val="single"/>
        </w:rPr>
        <w:t xml:space="preserve">    </w:t>
      </w:r>
      <w:r>
        <w:rPr>
          <w:rFonts w:hint="eastAsia" w:ascii="宋体" w:hAnsi="宋体" w:cs="仿宋_GB2312"/>
          <w:color w:val="000000"/>
          <w:spacing w:val="6"/>
        </w:rPr>
        <w:t>人，营业收入为</w:t>
      </w:r>
      <w:r>
        <w:rPr>
          <w:rFonts w:hint="eastAsia" w:ascii="宋体" w:hAnsi="宋体" w:cs="仿宋_GB2312"/>
          <w:color w:val="000000"/>
          <w:spacing w:val="6"/>
          <w:u w:val="single"/>
        </w:rPr>
        <w:t xml:space="preserve">    </w:t>
      </w:r>
      <w:r>
        <w:rPr>
          <w:rFonts w:hint="eastAsia" w:ascii="宋体" w:hAnsi="宋体" w:cs="仿宋_GB2312"/>
          <w:color w:val="000000"/>
          <w:spacing w:val="6"/>
        </w:rPr>
        <w:t>万元，资产总额为</w:t>
      </w:r>
      <w:r>
        <w:rPr>
          <w:rFonts w:hint="eastAsia" w:ascii="宋体" w:hAnsi="宋体" w:cs="仿宋_GB2312"/>
          <w:color w:val="000000"/>
          <w:spacing w:val="6"/>
          <w:u w:val="single"/>
        </w:rPr>
        <w:t xml:space="preserve">    </w:t>
      </w:r>
      <w:r>
        <w:rPr>
          <w:rFonts w:hint="eastAsia" w:ascii="宋体" w:hAnsi="宋体" w:cs="仿宋_GB2312"/>
          <w:color w:val="000000"/>
          <w:spacing w:val="6"/>
        </w:rPr>
        <w:t>万元，属于</w:t>
      </w:r>
      <w:r>
        <w:rPr>
          <w:rFonts w:hint="eastAsia" w:ascii="宋体" w:hAnsi="宋体" w:cs="仿宋_GB2312"/>
          <w:color w:val="000000"/>
          <w:spacing w:val="6"/>
          <w:u w:val="single"/>
        </w:rPr>
        <w:t xml:space="preserve"> （中型企业、小型企业、微型企业）</w:t>
      </w:r>
      <w:r>
        <w:rPr>
          <w:rFonts w:hint="eastAsia" w:ascii="宋体" w:hAnsi="宋体" w:cs="仿宋_GB2312"/>
          <w:color w:val="000000"/>
          <w:spacing w:val="6"/>
        </w:rPr>
        <w:t>；</w:t>
      </w:r>
    </w:p>
    <w:p w14:paraId="3CF58CBA">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 xml:space="preserve">    ……</w:t>
      </w:r>
    </w:p>
    <w:p w14:paraId="1F8EA480">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以上企业，不属于大企业的分支机构，不存在控股股东为大企业的情形，也不存在与大企业的负责人为同一人的情形。</w:t>
      </w:r>
    </w:p>
    <w:p w14:paraId="11ABC345">
      <w:pPr>
        <w:widowControl/>
        <w:adjustRightInd w:val="0"/>
        <w:snapToGrid w:val="0"/>
        <w:spacing w:line="560" w:lineRule="exact"/>
        <w:ind w:firstLine="504"/>
        <w:jc w:val="left"/>
        <w:rPr>
          <w:rFonts w:ascii="宋体" w:hAnsi="宋体" w:cs="仿宋_GB2312"/>
          <w:color w:val="000000"/>
          <w:spacing w:val="6"/>
        </w:rPr>
      </w:pPr>
      <w:r>
        <w:rPr>
          <w:rFonts w:hint="eastAsia" w:ascii="宋体" w:hAnsi="宋体" w:cs="仿宋_GB2312"/>
          <w:color w:val="000000"/>
          <w:spacing w:val="6"/>
        </w:rPr>
        <w:t>本企业对上述声明内容的真实性负责。如有虚假，将依法承担相应责任。</w:t>
      </w:r>
    </w:p>
    <w:p w14:paraId="2C79D166">
      <w:pPr>
        <w:spacing w:before="120" w:beforeLines="50" w:line="560" w:lineRule="exact"/>
        <w:ind w:firstLine="482"/>
        <w:jc w:val="center"/>
        <w:rPr>
          <w:rFonts w:ascii="宋体" w:hAnsi="宋体" w:cs="仿宋_GB2312"/>
          <w:bCs/>
          <w:color w:val="000000"/>
        </w:rPr>
      </w:pPr>
      <w:r>
        <w:rPr>
          <w:rFonts w:hint="eastAsia" w:ascii="宋体" w:hAnsi="宋体"/>
          <w:b/>
          <w:color w:val="000000"/>
        </w:rPr>
        <w:t xml:space="preserve">                       </w:t>
      </w:r>
      <w:r>
        <w:rPr>
          <w:rFonts w:hint="eastAsia" w:ascii="宋体" w:hAnsi="宋体" w:cs="仿宋_GB2312"/>
          <w:bCs/>
          <w:color w:val="000000"/>
        </w:rPr>
        <w:t>单位名称（公章）：</w:t>
      </w:r>
    </w:p>
    <w:p w14:paraId="28569CF2">
      <w:pPr>
        <w:spacing w:before="120" w:beforeLines="50" w:line="560" w:lineRule="exact"/>
        <w:ind w:firstLine="480"/>
        <w:jc w:val="center"/>
        <w:rPr>
          <w:rFonts w:ascii="宋体" w:hAnsi="宋体"/>
          <w:b/>
          <w:color w:val="000000"/>
        </w:rPr>
      </w:pPr>
      <w:r>
        <w:rPr>
          <w:rFonts w:hint="eastAsia" w:ascii="宋体" w:hAnsi="宋体" w:cs="仿宋_GB2312"/>
          <w:bCs/>
          <w:color w:val="000000"/>
        </w:rPr>
        <w:t xml:space="preserve">              日期：</w:t>
      </w:r>
      <w:r>
        <w:rPr>
          <w:rFonts w:ascii="宋体" w:hAnsi="宋体"/>
          <w:b/>
          <w:color w:val="000000"/>
        </w:rPr>
        <w:t xml:space="preserve"> </w:t>
      </w:r>
    </w:p>
    <w:p w14:paraId="3733EB19">
      <w:pPr>
        <w:widowControl/>
        <w:adjustRightInd w:val="0"/>
        <w:snapToGrid w:val="0"/>
        <w:spacing w:line="560" w:lineRule="exact"/>
        <w:ind w:firstLine="504"/>
        <w:jc w:val="left"/>
        <w:rPr>
          <w:rFonts w:ascii="宋体" w:hAnsi="宋体" w:cs="仿宋_GB2312"/>
          <w:color w:val="000000"/>
          <w:spacing w:val="6"/>
        </w:rPr>
      </w:pPr>
    </w:p>
    <w:p w14:paraId="67F5CAF0">
      <w:pPr>
        <w:widowControl/>
        <w:adjustRightInd w:val="0"/>
        <w:snapToGrid w:val="0"/>
        <w:spacing w:line="560" w:lineRule="exact"/>
        <w:ind w:firstLine="504"/>
        <w:jc w:val="left"/>
      </w:pPr>
      <w:r>
        <w:rPr>
          <w:rFonts w:ascii="宋体" w:hAnsi="宋体" w:cs="仿宋_GB2312"/>
          <w:color w:val="000000"/>
          <w:spacing w:val="6"/>
        </w:rPr>
        <w:t>注</w:t>
      </w:r>
      <w:r>
        <w:rPr>
          <w:rFonts w:hint="eastAsia" w:ascii="宋体" w:hAnsi="宋体" w:cs="仿宋_GB2312"/>
          <w:color w:val="000000"/>
          <w:spacing w:val="6"/>
        </w:rPr>
        <w:t>：</w:t>
      </w:r>
      <w:r>
        <w:rPr>
          <w:rFonts w:ascii="宋体" w:hAnsi="宋体" w:cs="仿宋_GB2312"/>
          <w:color w:val="000000"/>
          <w:spacing w:val="6"/>
        </w:rPr>
        <w:t>从业人员</w:t>
      </w:r>
      <w:r>
        <w:rPr>
          <w:rFonts w:hint="eastAsia" w:ascii="宋体" w:hAnsi="宋体" w:cs="仿宋_GB2312"/>
          <w:color w:val="000000"/>
          <w:spacing w:val="6"/>
        </w:rPr>
        <w:t>、</w:t>
      </w:r>
      <w:r>
        <w:rPr>
          <w:rFonts w:ascii="宋体" w:hAnsi="宋体" w:cs="仿宋_GB2312"/>
          <w:color w:val="000000"/>
          <w:spacing w:val="6"/>
        </w:rPr>
        <w:t>营业收入</w:t>
      </w:r>
      <w:r>
        <w:rPr>
          <w:rFonts w:hint="eastAsia" w:ascii="宋体" w:hAnsi="宋体" w:cs="仿宋_GB2312"/>
          <w:color w:val="000000"/>
          <w:spacing w:val="6"/>
        </w:rPr>
        <w:t>、</w:t>
      </w:r>
      <w:r>
        <w:rPr>
          <w:rFonts w:ascii="宋体" w:hAnsi="宋体" w:cs="仿宋_GB2312"/>
          <w:color w:val="000000"/>
          <w:spacing w:val="6"/>
        </w:rPr>
        <w:t>资产总额填报上一年度数据</w:t>
      </w:r>
      <w:r>
        <w:rPr>
          <w:rFonts w:hint="eastAsia" w:ascii="宋体" w:hAnsi="宋体" w:cs="仿宋_GB2312"/>
          <w:color w:val="000000"/>
          <w:spacing w:val="6"/>
        </w:rPr>
        <w:t>，</w:t>
      </w:r>
      <w:r>
        <w:rPr>
          <w:rFonts w:ascii="宋体" w:hAnsi="宋体" w:cs="仿宋_GB2312"/>
          <w:color w:val="000000"/>
          <w:spacing w:val="6"/>
        </w:rPr>
        <w:t>无上一年度数据的新成立企业可不填报</w:t>
      </w:r>
      <w:r>
        <w:rPr>
          <w:rFonts w:hint="eastAsia" w:ascii="宋体" w:hAnsi="宋体" w:cs="仿宋_GB2312"/>
          <w:color w:val="000000"/>
          <w:spacing w:val="6"/>
        </w:rPr>
        <w:t>。</w:t>
      </w:r>
    </w:p>
    <w:p w14:paraId="1B9A282D">
      <w:pPr>
        <w:widowControl/>
        <w:spacing w:line="560" w:lineRule="exact"/>
        <w:ind w:firstLine="504" w:firstLineChars="200"/>
        <w:rPr>
          <w:rFonts w:ascii="宋体" w:hAnsi="宋体" w:cs="仿宋_GB2312"/>
          <w:color w:val="auto"/>
          <w:spacing w:val="6"/>
        </w:rPr>
      </w:pPr>
    </w:p>
    <w:p w14:paraId="4D3156E6">
      <w:pPr>
        <w:adjustRightInd w:val="0"/>
        <w:snapToGrid w:val="0"/>
        <w:spacing w:beforeLines="50" w:line="560" w:lineRule="exact"/>
        <w:ind w:firstLine="562"/>
        <w:jc w:val="center"/>
        <w:rPr>
          <w:rFonts w:hint="eastAsia" w:ascii="宋体" w:hAnsi="宋体" w:cs="楷体"/>
          <w:b/>
          <w:color w:val="auto"/>
          <w:sz w:val="28"/>
          <w:szCs w:val="28"/>
        </w:rPr>
      </w:pPr>
      <w:bookmarkStart w:id="157" w:name="_Toc14211_WPSOffice_Level3"/>
      <w:bookmarkStart w:id="158" w:name="_Toc12160"/>
      <w:bookmarkStart w:id="159" w:name="_Toc11740"/>
    </w:p>
    <w:p w14:paraId="463EC303">
      <w:pPr>
        <w:adjustRightInd w:val="0"/>
        <w:snapToGrid w:val="0"/>
        <w:spacing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3.残疾人福利性单位声明函</w:t>
      </w:r>
      <w:bookmarkEnd w:id="157"/>
      <w:bookmarkEnd w:id="158"/>
      <w:bookmarkEnd w:id="159"/>
    </w:p>
    <w:p w14:paraId="56BB05A7">
      <w:pPr>
        <w:adjustRightInd w:val="0"/>
        <w:snapToGrid w:val="0"/>
        <w:spacing w:line="560" w:lineRule="exact"/>
        <w:ind w:firstLine="506"/>
        <w:jc w:val="center"/>
        <w:rPr>
          <w:rFonts w:ascii="宋体" w:hAnsi="宋体" w:cs="仿宋_GB2312"/>
          <w:color w:val="auto"/>
          <w:spacing w:val="6"/>
        </w:rPr>
      </w:pPr>
      <w:bookmarkStart w:id="160" w:name="_Toc17469_WPSOffice_Level3"/>
      <w:bookmarkStart w:id="161" w:name="_Toc12079_WPSOffice_Level3"/>
      <w:r>
        <w:rPr>
          <w:rFonts w:hint="eastAsia" w:ascii="宋体" w:hAnsi="宋体" w:cs="仿宋_GB2312"/>
          <w:b/>
          <w:color w:val="auto"/>
          <w:spacing w:val="6"/>
        </w:rPr>
        <w:t>(不属于残疾人福利性单位的无需填写)</w:t>
      </w:r>
      <w:bookmarkEnd w:id="160"/>
      <w:bookmarkEnd w:id="161"/>
    </w:p>
    <w:p w14:paraId="02A29BBA">
      <w:pPr>
        <w:spacing w:line="560" w:lineRule="exact"/>
        <w:ind w:firstLine="505"/>
        <w:rPr>
          <w:rFonts w:ascii="宋体" w:hAnsi="宋体" w:cs="仿宋_GB2312"/>
          <w:color w:val="auto"/>
          <w:spacing w:val="6"/>
        </w:rPr>
      </w:pPr>
      <w:r>
        <w:rPr>
          <w:rFonts w:hint="eastAsia" w:ascii="宋体" w:hAnsi="宋体" w:cs="仿宋_GB2312"/>
          <w:color w:val="auto"/>
          <w:spacing w:val="6"/>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仿宋_GB2312"/>
          <w:color w:val="auto"/>
          <w:spacing w:val="6"/>
          <w:u w:val="single"/>
        </w:rPr>
        <w:t xml:space="preserve">       </w:t>
      </w:r>
      <w:r>
        <w:rPr>
          <w:rFonts w:hint="eastAsia" w:ascii="宋体" w:hAnsi="宋体" w:cs="仿宋_GB2312"/>
          <w:color w:val="auto"/>
          <w:spacing w:val="6"/>
        </w:rPr>
        <w:t>人，安置的残疾人人数</w:t>
      </w:r>
      <w:r>
        <w:rPr>
          <w:rFonts w:hint="eastAsia" w:ascii="宋体" w:hAnsi="宋体" w:cs="仿宋_GB2312"/>
          <w:color w:val="auto"/>
          <w:spacing w:val="6"/>
          <w:u w:val="single"/>
        </w:rPr>
        <w:t xml:space="preserve">      </w:t>
      </w:r>
      <w:r>
        <w:rPr>
          <w:rFonts w:hint="eastAsia" w:ascii="宋体" w:hAnsi="宋体" w:cs="仿宋_GB2312"/>
          <w:color w:val="auto"/>
          <w:spacing w:val="6"/>
        </w:rPr>
        <w:t>人。且本单位参加</w:t>
      </w:r>
      <w:r>
        <w:rPr>
          <w:rFonts w:hint="eastAsia" w:ascii="宋体" w:hAnsi="宋体" w:cs="仿宋_GB2312"/>
          <w:color w:val="auto"/>
          <w:spacing w:val="6"/>
          <w:u w:val="single"/>
        </w:rPr>
        <w:t xml:space="preserve">      </w:t>
      </w:r>
      <w:r>
        <w:rPr>
          <w:rFonts w:hint="eastAsia" w:ascii="宋体" w:hAnsi="宋体" w:cs="仿宋_GB2312"/>
          <w:color w:val="auto"/>
          <w:spacing w:val="6"/>
        </w:rPr>
        <w:t>单位的</w:t>
      </w:r>
      <w:r>
        <w:rPr>
          <w:rFonts w:hint="eastAsia" w:ascii="宋体" w:hAnsi="宋体" w:cs="仿宋_GB2312"/>
          <w:color w:val="auto"/>
          <w:spacing w:val="6"/>
          <w:u w:val="single"/>
        </w:rPr>
        <w:t xml:space="preserve">       </w:t>
      </w:r>
      <w:r>
        <w:rPr>
          <w:rFonts w:hint="eastAsia" w:ascii="宋体" w:hAnsi="宋体" w:cs="仿宋_GB2312"/>
          <w:color w:val="auto"/>
          <w:spacing w:val="6"/>
        </w:rPr>
        <w:t>项目采购活动提供本单位制造的货物（由本单位承担工程/提供服务），或者提供其他残疾人福利性单位制造的货物（不包括使用非残疾人福利性单位注册商标的货物）。</w:t>
      </w:r>
    </w:p>
    <w:p w14:paraId="14B87BCD">
      <w:pPr>
        <w:spacing w:line="560" w:lineRule="exact"/>
        <w:ind w:firstLine="504"/>
        <w:rPr>
          <w:rFonts w:ascii="宋体" w:hAnsi="宋体" w:cs="仿宋_GB2312"/>
          <w:color w:val="auto"/>
          <w:spacing w:val="6"/>
        </w:rPr>
      </w:pPr>
      <w:r>
        <w:rPr>
          <w:rFonts w:hint="eastAsia" w:ascii="宋体" w:hAnsi="宋体" w:cs="仿宋_GB2312"/>
          <w:color w:val="auto"/>
          <w:spacing w:val="6"/>
        </w:rPr>
        <w:t>本单位对上述声明的真实性负责。如有虚假，将依法承担相应责任。</w:t>
      </w:r>
    </w:p>
    <w:p w14:paraId="589F3FCD">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2" w:name="_Toc17628_WPSOffice_Level3"/>
    </w:p>
    <w:p w14:paraId="2109F326">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单位名称：</w:t>
      </w:r>
      <w:r>
        <w:rPr>
          <w:rFonts w:hint="eastAsia" w:ascii="宋体" w:hAnsi="宋体" w:cs="仿宋_GB2312"/>
          <w:color w:val="auto"/>
          <w:spacing w:val="6"/>
          <w:u w:val="single"/>
        </w:rPr>
        <w:t xml:space="preserve">       </w:t>
      </w:r>
      <w:r>
        <w:rPr>
          <w:rFonts w:hint="eastAsia" w:ascii="宋体" w:hAnsi="宋体" w:cs="仿宋_GB2312"/>
          <w:color w:val="auto"/>
          <w:spacing w:val="6"/>
        </w:rPr>
        <w:t>（公章）</w:t>
      </w:r>
      <w:bookmarkEnd w:id="162"/>
    </w:p>
    <w:p w14:paraId="6D6488A5">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3" w:name="_Toc32124_WPSOffice_Level3"/>
      <w:r>
        <w:rPr>
          <w:rFonts w:hint="eastAsia" w:ascii="宋体" w:hAnsi="宋体" w:cs="仿宋_GB2312"/>
          <w:color w:val="auto"/>
          <w:spacing w:val="6"/>
        </w:rPr>
        <w:t>法定代表人（非法人组织的负责人）或委托代理人：</w:t>
      </w:r>
      <w:r>
        <w:rPr>
          <w:rFonts w:hint="eastAsia" w:ascii="宋体" w:hAnsi="宋体" w:cs="仿宋_GB2312"/>
          <w:color w:val="auto"/>
          <w:spacing w:val="6"/>
          <w:u w:val="single"/>
        </w:rPr>
        <w:t xml:space="preserve">       </w:t>
      </w:r>
      <w:r>
        <w:rPr>
          <w:rFonts w:hint="eastAsia" w:ascii="宋体" w:hAnsi="宋体" w:cs="仿宋_GB2312"/>
          <w:color w:val="auto"/>
          <w:spacing w:val="6"/>
        </w:rPr>
        <w:t>（签字或盖章）</w:t>
      </w:r>
      <w:bookmarkEnd w:id="163"/>
    </w:p>
    <w:p w14:paraId="5B56B9D7">
      <w:pPr>
        <w:spacing w:beforeLines="50" w:line="560" w:lineRule="exact"/>
        <w:ind w:firstLine="504"/>
        <w:jc w:val="center"/>
        <w:rPr>
          <w:rFonts w:ascii="宋体" w:hAnsi="宋体" w:cs="仿宋_GB2312"/>
          <w:color w:val="auto"/>
          <w:spacing w:val="6"/>
        </w:rPr>
      </w:pPr>
      <w:r>
        <w:rPr>
          <w:rFonts w:hint="eastAsia" w:ascii="宋体" w:hAnsi="宋体" w:cs="仿宋_GB2312"/>
          <w:color w:val="auto"/>
          <w:spacing w:val="6"/>
        </w:rPr>
        <w:t xml:space="preserve">                                    </w:t>
      </w:r>
      <w:bookmarkStart w:id="164" w:name="_Toc1871_WPSOffice_Level3"/>
      <w:r>
        <w:rPr>
          <w:rFonts w:hint="eastAsia" w:ascii="宋体" w:hAnsi="宋体" w:cs="仿宋_GB2312"/>
          <w:color w:val="auto"/>
          <w:spacing w:val="6"/>
        </w:rPr>
        <w:t>年   月  日</w:t>
      </w:r>
      <w:bookmarkEnd w:id="164"/>
    </w:p>
    <w:p w14:paraId="096D801B">
      <w:pPr>
        <w:adjustRightInd w:val="0"/>
        <w:snapToGrid w:val="0"/>
        <w:spacing w:line="560" w:lineRule="exact"/>
        <w:ind w:firstLine="664"/>
        <w:rPr>
          <w:rFonts w:ascii="宋体" w:hAnsi="宋体" w:cs="仿宋_GB2312"/>
          <w:color w:val="auto"/>
          <w:spacing w:val="6"/>
          <w:sz w:val="32"/>
          <w:szCs w:val="32"/>
        </w:rPr>
      </w:pPr>
    </w:p>
    <w:p w14:paraId="43420B80">
      <w:pPr>
        <w:adjustRightInd w:val="0"/>
        <w:snapToGrid w:val="0"/>
        <w:spacing w:line="560" w:lineRule="exact"/>
        <w:ind w:firstLine="664"/>
        <w:rPr>
          <w:rFonts w:ascii="宋体" w:hAnsi="宋体" w:cs="仿宋_GB2312"/>
          <w:color w:val="auto"/>
          <w:spacing w:val="6"/>
          <w:sz w:val="32"/>
          <w:szCs w:val="32"/>
        </w:rPr>
      </w:pPr>
    </w:p>
    <w:p w14:paraId="79C34990">
      <w:pPr>
        <w:adjustRightInd w:val="0"/>
        <w:snapToGrid w:val="0"/>
        <w:spacing w:beforeLines="50" w:line="560" w:lineRule="exact"/>
        <w:ind w:firstLine="444"/>
        <w:rPr>
          <w:rFonts w:ascii="宋体" w:hAnsi="宋体"/>
          <w:color w:val="auto"/>
          <w:spacing w:val="6"/>
          <w:szCs w:val="21"/>
        </w:rPr>
      </w:pPr>
    </w:p>
    <w:p w14:paraId="559BFF02">
      <w:pPr>
        <w:adjustRightInd w:val="0"/>
        <w:snapToGrid w:val="0"/>
        <w:spacing w:beforeLines="50" w:line="560" w:lineRule="exact"/>
        <w:ind w:firstLine="444"/>
        <w:rPr>
          <w:rFonts w:ascii="宋体" w:hAnsi="宋体"/>
          <w:color w:val="auto"/>
          <w:spacing w:val="6"/>
          <w:szCs w:val="21"/>
        </w:rPr>
      </w:pPr>
    </w:p>
    <w:p w14:paraId="42E2D806">
      <w:pPr>
        <w:adjustRightInd w:val="0"/>
        <w:snapToGrid w:val="0"/>
        <w:spacing w:beforeLines="50" w:line="560" w:lineRule="exact"/>
        <w:ind w:firstLine="444"/>
        <w:rPr>
          <w:rFonts w:ascii="宋体" w:hAnsi="宋体"/>
          <w:color w:val="auto"/>
          <w:spacing w:val="6"/>
          <w:szCs w:val="21"/>
        </w:rPr>
      </w:pPr>
    </w:p>
    <w:p w14:paraId="033CDAA5">
      <w:pPr>
        <w:adjustRightInd w:val="0"/>
        <w:snapToGrid w:val="0"/>
        <w:spacing w:beforeLines="50" w:line="560" w:lineRule="exact"/>
        <w:ind w:firstLine="444"/>
        <w:rPr>
          <w:rFonts w:ascii="宋体" w:hAnsi="宋体"/>
          <w:color w:val="auto"/>
          <w:spacing w:val="6"/>
          <w:szCs w:val="21"/>
        </w:rPr>
      </w:pPr>
    </w:p>
    <w:p w14:paraId="2A57FCDC">
      <w:pPr>
        <w:adjustRightInd w:val="0"/>
        <w:snapToGrid w:val="0"/>
        <w:spacing w:beforeLines="50" w:line="560" w:lineRule="exact"/>
        <w:ind w:firstLine="444"/>
        <w:rPr>
          <w:rFonts w:ascii="宋体" w:hAnsi="宋体"/>
          <w:color w:val="auto"/>
          <w:spacing w:val="6"/>
          <w:szCs w:val="21"/>
        </w:rPr>
      </w:pPr>
    </w:p>
    <w:p w14:paraId="6792CBDD">
      <w:pPr>
        <w:adjustRightInd w:val="0"/>
        <w:snapToGrid w:val="0"/>
        <w:spacing w:beforeLines="50" w:line="560" w:lineRule="exact"/>
        <w:rPr>
          <w:rFonts w:ascii="宋体" w:hAnsi="宋体" w:cs="楷体"/>
          <w:b/>
          <w:color w:val="auto"/>
          <w:sz w:val="28"/>
          <w:szCs w:val="28"/>
        </w:rPr>
      </w:pPr>
      <w:bookmarkStart w:id="165" w:name="_Toc9477"/>
      <w:bookmarkStart w:id="166" w:name="_Toc30801"/>
    </w:p>
    <w:p w14:paraId="5A2D780E">
      <w:pPr>
        <w:adjustRightInd w:val="0"/>
        <w:snapToGrid w:val="0"/>
        <w:spacing w:beforeLines="50" w:line="560" w:lineRule="exact"/>
        <w:ind w:firstLine="562"/>
        <w:jc w:val="center"/>
        <w:rPr>
          <w:rFonts w:hint="eastAsia" w:ascii="宋体" w:hAnsi="宋体" w:cs="楷体"/>
          <w:b/>
          <w:color w:val="auto"/>
          <w:sz w:val="28"/>
          <w:szCs w:val="28"/>
        </w:rPr>
      </w:pPr>
    </w:p>
    <w:p w14:paraId="31BE156C">
      <w:pPr>
        <w:adjustRightInd w:val="0"/>
        <w:snapToGrid w:val="0"/>
        <w:spacing w:beforeLines="50" w:line="560" w:lineRule="exact"/>
        <w:ind w:firstLine="562"/>
        <w:jc w:val="center"/>
        <w:rPr>
          <w:rFonts w:ascii="宋体" w:hAnsi="宋体" w:cs="楷体"/>
          <w:b/>
          <w:color w:val="auto"/>
          <w:sz w:val="28"/>
          <w:szCs w:val="28"/>
        </w:rPr>
      </w:pPr>
      <w:r>
        <w:rPr>
          <w:rFonts w:hint="eastAsia" w:ascii="宋体" w:hAnsi="宋体" w:cs="楷体"/>
          <w:b/>
          <w:color w:val="auto"/>
          <w:sz w:val="28"/>
          <w:szCs w:val="28"/>
        </w:rPr>
        <w:t>4.监狱企业证明资料</w:t>
      </w:r>
      <w:bookmarkEnd w:id="165"/>
      <w:bookmarkEnd w:id="166"/>
    </w:p>
    <w:p w14:paraId="7586E046">
      <w:pPr>
        <w:adjustRightInd w:val="0"/>
        <w:snapToGrid w:val="0"/>
        <w:spacing w:line="560" w:lineRule="exact"/>
        <w:ind w:firstLine="506"/>
        <w:jc w:val="center"/>
        <w:rPr>
          <w:rFonts w:ascii="宋体" w:hAnsi="宋体" w:cs="仿宋_GB2312"/>
          <w:color w:val="auto"/>
        </w:rPr>
      </w:pPr>
      <w:bookmarkStart w:id="167" w:name="_Toc25903_WPSOffice_Level3"/>
      <w:bookmarkStart w:id="168" w:name="_Toc28022_WPSOffice_Level3"/>
      <w:r>
        <w:rPr>
          <w:rFonts w:hint="eastAsia" w:ascii="宋体" w:hAnsi="宋体" w:cs="仿宋_GB2312"/>
          <w:b/>
          <w:color w:val="auto"/>
          <w:spacing w:val="6"/>
        </w:rPr>
        <w:t>(不属于监狱企业的无需提供)</w:t>
      </w:r>
      <w:bookmarkEnd w:id="167"/>
      <w:bookmarkEnd w:id="168"/>
    </w:p>
    <w:p w14:paraId="0272D765">
      <w:pPr>
        <w:adjustRightInd w:val="0"/>
        <w:snapToGrid w:val="0"/>
        <w:spacing w:line="560" w:lineRule="exact"/>
        <w:ind w:firstLine="504"/>
        <w:rPr>
          <w:rFonts w:ascii="宋体" w:hAnsi="宋体" w:cs="仿宋_GB2312"/>
          <w:color w:val="auto"/>
        </w:rPr>
      </w:pPr>
      <w:r>
        <w:rPr>
          <w:rFonts w:hint="eastAsia" w:ascii="宋体" w:hAnsi="宋体" w:cs="仿宋_GB2312"/>
          <w:bCs/>
          <w:color w:val="auto"/>
          <w:spacing w:val="6"/>
        </w:rPr>
        <w:t>备注：</w:t>
      </w:r>
      <w:r>
        <w:rPr>
          <w:rFonts w:hint="eastAsia" w:ascii="宋体" w:hAnsi="宋体" w:cs="仿宋_GB2312"/>
          <w:color w:val="auto"/>
        </w:rPr>
        <w:t>按</w:t>
      </w:r>
      <w:r>
        <w:rPr>
          <w:rFonts w:hint="eastAsia" w:ascii="宋体" w:hAnsi="宋体" w:cs="仿宋_GB2312"/>
          <w:color w:val="auto"/>
          <w:spacing w:val="6"/>
        </w:rPr>
        <w:t>《</w:t>
      </w:r>
      <w:r>
        <w:rPr>
          <w:rFonts w:hint="eastAsia" w:ascii="宋体" w:hAnsi="宋体" w:cs="仿宋_GB2312"/>
          <w:color w:val="auto"/>
        </w:rPr>
        <w:t>财政部司法部关于政府采购支持监狱企业发展有关问题的通知</w:t>
      </w:r>
      <w:r>
        <w:rPr>
          <w:rFonts w:hint="eastAsia" w:ascii="宋体" w:hAnsi="宋体" w:cs="仿宋_GB2312"/>
          <w:color w:val="auto"/>
          <w:spacing w:val="6"/>
        </w:rPr>
        <w:t>》</w:t>
      </w:r>
      <w:r>
        <w:rPr>
          <w:rFonts w:hint="eastAsia" w:ascii="宋体" w:hAnsi="宋体" w:cs="仿宋_GB2312"/>
          <w:color w:val="auto"/>
        </w:rPr>
        <w:t>(财库〔2014〕68号)文件规定提供证明文件（复印件）。</w:t>
      </w:r>
    </w:p>
    <w:p w14:paraId="3F6A57D9">
      <w:pPr>
        <w:adjustRightInd w:val="0"/>
        <w:snapToGrid w:val="0"/>
        <w:spacing w:line="560" w:lineRule="exact"/>
        <w:ind w:firstLine="480"/>
        <w:rPr>
          <w:rFonts w:ascii="宋体" w:hAnsi="宋体" w:cs="仿宋_GB2312"/>
          <w:color w:val="auto"/>
        </w:rPr>
      </w:pPr>
    </w:p>
    <w:p w14:paraId="40B357AD">
      <w:pPr>
        <w:adjustRightInd w:val="0"/>
        <w:snapToGrid w:val="0"/>
        <w:spacing w:line="560" w:lineRule="exact"/>
        <w:ind w:firstLine="480"/>
        <w:rPr>
          <w:rFonts w:ascii="宋体" w:hAnsi="宋体" w:cs="仿宋_GB2312"/>
          <w:color w:val="auto"/>
        </w:rPr>
      </w:pPr>
    </w:p>
    <w:p w14:paraId="168F73D7">
      <w:pPr>
        <w:spacing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169" w:name="_Toc22071_WPSOffice_Level3"/>
      <w:r>
        <w:rPr>
          <w:rFonts w:hint="eastAsia" w:ascii="宋体" w:hAnsi="宋体" w:cs="仿宋_GB2312"/>
          <w:bCs/>
          <w:color w:val="auto"/>
        </w:rPr>
        <w:t>单位名称：</w:t>
      </w:r>
      <w:r>
        <w:rPr>
          <w:rFonts w:hint="eastAsia" w:ascii="宋体" w:hAnsi="宋体" w:cs="仿宋_GB2312"/>
          <w:bCs/>
          <w:color w:val="auto"/>
          <w:u w:val="single"/>
        </w:rPr>
        <w:t xml:space="preserve">       </w:t>
      </w:r>
      <w:r>
        <w:rPr>
          <w:rFonts w:hint="eastAsia" w:ascii="宋体" w:hAnsi="宋体" w:cs="仿宋_GB2312"/>
          <w:bCs/>
          <w:color w:val="auto"/>
        </w:rPr>
        <w:t>（公章）</w:t>
      </w:r>
      <w:bookmarkEnd w:id="169"/>
    </w:p>
    <w:p w14:paraId="08DA78BA">
      <w:pPr>
        <w:spacing w:beforeLines="50" w:line="560" w:lineRule="exact"/>
        <w:ind w:firstLine="480"/>
        <w:jc w:val="center"/>
        <w:rPr>
          <w:rFonts w:ascii="宋体" w:hAnsi="宋体" w:cs="仿宋_GB2312"/>
          <w:bCs/>
          <w:color w:val="auto"/>
        </w:rPr>
      </w:pPr>
      <w:r>
        <w:rPr>
          <w:rFonts w:hint="eastAsia" w:ascii="宋体" w:hAnsi="宋体" w:cs="仿宋_GB2312"/>
          <w:bCs/>
          <w:color w:val="auto"/>
        </w:rPr>
        <w:t xml:space="preserve">        </w:t>
      </w:r>
      <w:bookmarkStart w:id="170" w:name="_Toc11539_WPSOffice_Level3"/>
      <w:r>
        <w:rPr>
          <w:rFonts w:hint="eastAsia" w:ascii="宋体" w:hAnsi="宋体" w:cs="仿宋_GB2312"/>
          <w:bCs/>
          <w:color w:val="auto"/>
        </w:rPr>
        <w:t>法定代表人（非法人组织的负责人）或委托代理人：</w:t>
      </w:r>
      <w:r>
        <w:rPr>
          <w:rFonts w:hint="eastAsia" w:ascii="宋体" w:hAnsi="宋体" w:cs="仿宋_GB2312"/>
          <w:bCs/>
          <w:color w:val="auto"/>
          <w:u w:val="single"/>
        </w:rPr>
        <w:t xml:space="preserve">       </w:t>
      </w:r>
      <w:r>
        <w:rPr>
          <w:rFonts w:hint="eastAsia" w:ascii="宋体" w:hAnsi="宋体" w:cs="仿宋_GB2312"/>
          <w:bCs/>
          <w:color w:val="auto"/>
        </w:rPr>
        <w:t>（签字或盖章）</w:t>
      </w:r>
      <w:bookmarkEnd w:id="170"/>
    </w:p>
    <w:p w14:paraId="6E320EA3">
      <w:pPr>
        <w:spacing w:beforeLines="50" w:line="560" w:lineRule="exact"/>
        <w:ind w:firstLine="480"/>
        <w:jc w:val="center"/>
        <w:rPr>
          <w:rFonts w:ascii="宋体" w:hAnsi="宋体"/>
          <w:color w:val="auto"/>
          <w:spacing w:val="6"/>
        </w:rPr>
      </w:pPr>
      <w:r>
        <w:rPr>
          <w:rFonts w:hint="eastAsia" w:ascii="宋体" w:hAnsi="宋体" w:cs="仿宋_GB2312"/>
          <w:bCs/>
          <w:color w:val="auto"/>
        </w:rPr>
        <w:t xml:space="preserve">                                    </w:t>
      </w:r>
      <w:bookmarkStart w:id="171" w:name="_Toc3285_WPSOffice_Level3"/>
      <w:r>
        <w:rPr>
          <w:rFonts w:hint="eastAsia" w:ascii="宋体" w:hAnsi="宋体" w:cs="仿宋_GB2312"/>
          <w:bCs/>
          <w:color w:val="auto"/>
        </w:rPr>
        <w:t>年   月  日</w:t>
      </w:r>
      <w:bookmarkEnd w:id="171"/>
    </w:p>
    <w:p w14:paraId="4682A60F">
      <w:pPr>
        <w:widowControl/>
        <w:snapToGrid w:val="0"/>
        <w:spacing w:line="360" w:lineRule="auto"/>
        <w:outlineLvl w:val="9"/>
        <w:rPr>
          <w:rFonts w:ascii="宋体"/>
          <w:b/>
          <w:color w:val="auto"/>
          <w:sz w:val="28"/>
          <w:szCs w:val="28"/>
        </w:rPr>
      </w:pPr>
    </w:p>
    <w:p w14:paraId="43D0224C">
      <w:pPr>
        <w:widowControl/>
        <w:snapToGrid w:val="0"/>
        <w:spacing w:line="360" w:lineRule="auto"/>
        <w:outlineLvl w:val="9"/>
        <w:rPr>
          <w:rFonts w:ascii="宋体"/>
          <w:b/>
          <w:color w:val="auto"/>
          <w:sz w:val="28"/>
          <w:szCs w:val="28"/>
        </w:rPr>
      </w:pPr>
    </w:p>
    <w:p w14:paraId="60CFD846">
      <w:pPr>
        <w:widowControl/>
        <w:snapToGrid w:val="0"/>
        <w:spacing w:line="360" w:lineRule="auto"/>
        <w:outlineLvl w:val="9"/>
        <w:rPr>
          <w:rFonts w:ascii="宋体"/>
          <w:b/>
          <w:color w:val="auto"/>
          <w:sz w:val="28"/>
          <w:szCs w:val="28"/>
        </w:rPr>
      </w:pPr>
    </w:p>
    <w:p w14:paraId="67D2F3C9">
      <w:pPr>
        <w:widowControl/>
        <w:snapToGrid w:val="0"/>
        <w:spacing w:line="360" w:lineRule="auto"/>
        <w:outlineLvl w:val="9"/>
        <w:rPr>
          <w:rFonts w:ascii="宋体"/>
          <w:b/>
          <w:color w:val="auto"/>
          <w:sz w:val="28"/>
          <w:szCs w:val="28"/>
        </w:rPr>
      </w:pPr>
    </w:p>
    <w:p w14:paraId="503099B1">
      <w:pPr>
        <w:widowControl/>
        <w:snapToGrid w:val="0"/>
        <w:spacing w:line="360" w:lineRule="auto"/>
        <w:outlineLvl w:val="9"/>
        <w:rPr>
          <w:rFonts w:ascii="宋体"/>
          <w:b/>
          <w:color w:val="auto"/>
          <w:sz w:val="28"/>
          <w:szCs w:val="28"/>
        </w:rPr>
      </w:pPr>
    </w:p>
    <w:p w14:paraId="6322B126">
      <w:pPr>
        <w:widowControl/>
        <w:snapToGrid w:val="0"/>
        <w:spacing w:line="360" w:lineRule="auto"/>
        <w:outlineLvl w:val="9"/>
        <w:rPr>
          <w:rFonts w:ascii="宋体"/>
          <w:b/>
          <w:color w:val="auto"/>
          <w:sz w:val="28"/>
          <w:szCs w:val="28"/>
        </w:rPr>
      </w:pPr>
    </w:p>
    <w:p w14:paraId="4E601275">
      <w:pPr>
        <w:widowControl/>
        <w:snapToGrid w:val="0"/>
        <w:spacing w:line="360" w:lineRule="auto"/>
        <w:outlineLvl w:val="9"/>
        <w:rPr>
          <w:rFonts w:ascii="宋体"/>
          <w:b/>
          <w:color w:val="auto"/>
          <w:sz w:val="28"/>
          <w:szCs w:val="28"/>
        </w:rPr>
      </w:pPr>
    </w:p>
    <w:p w14:paraId="270379D9">
      <w:pPr>
        <w:widowControl/>
        <w:snapToGrid w:val="0"/>
        <w:spacing w:line="360" w:lineRule="auto"/>
        <w:outlineLvl w:val="9"/>
        <w:rPr>
          <w:rFonts w:ascii="宋体"/>
          <w:b/>
          <w:color w:val="auto"/>
          <w:sz w:val="28"/>
          <w:szCs w:val="28"/>
        </w:rPr>
      </w:pPr>
    </w:p>
    <w:p w14:paraId="00305C79">
      <w:pPr>
        <w:widowControl/>
        <w:snapToGrid w:val="0"/>
        <w:spacing w:line="360" w:lineRule="auto"/>
        <w:outlineLvl w:val="9"/>
        <w:rPr>
          <w:rFonts w:ascii="宋体"/>
          <w:b/>
          <w:color w:val="auto"/>
          <w:sz w:val="28"/>
          <w:szCs w:val="28"/>
        </w:rPr>
      </w:pPr>
    </w:p>
    <w:p w14:paraId="7330BB74">
      <w:pPr>
        <w:widowControl/>
        <w:snapToGrid w:val="0"/>
        <w:spacing w:line="360" w:lineRule="auto"/>
        <w:outlineLvl w:val="9"/>
        <w:rPr>
          <w:rFonts w:ascii="宋体"/>
          <w:b/>
          <w:color w:val="auto"/>
          <w:sz w:val="28"/>
          <w:szCs w:val="28"/>
        </w:rPr>
      </w:pPr>
    </w:p>
    <w:p w14:paraId="4B962924">
      <w:pPr>
        <w:widowControl/>
        <w:snapToGrid w:val="0"/>
        <w:spacing w:line="360" w:lineRule="auto"/>
        <w:outlineLvl w:val="9"/>
        <w:rPr>
          <w:rFonts w:ascii="宋体"/>
          <w:b/>
          <w:color w:val="auto"/>
          <w:sz w:val="28"/>
          <w:szCs w:val="28"/>
        </w:rPr>
      </w:pPr>
    </w:p>
    <w:p w14:paraId="15BA6A6A">
      <w:pPr>
        <w:widowControl/>
        <w:snapToGrid w:val="0"/>
        <w:spacing w:line="360" w:lineRule="auto"/>
        <w:outlineLvl w:val="9"/>
        <w:rPr>
          <w:rFonts w:ascii="宋体"/>
          <w:b/>
          <w:color w:val="auto"/>
          <w:sz w:val="28"/>
          <w:szCs w:val="28"/>
        </w:rPr>
      </w:pPr>
    </w:p>
    <w:p w14:paraId="7A30B17A">
      <w:pPr>
        <w:widowControl/>
        <w:snapToGrid w:val="0"/>
        <w:spacing w:line="360" w:lineRule="auto"/>
        <w:outlineLvl w:val="9"/>
        <w:rPr>
          <w:rFonts w:ascii="宋体"/>
          <w:b/>
          <w:color w:val="auto"/>
          <w:sz w:val="28"/>
          <w:szCs w:val="28"/>
        </w:rPr>
      </w:pPr>
    </w:p>
    <w:p w14:paraId="6B7BECE3">
      <w:pPr>
        <w:widowControl/>
        <w:snapToGrid w:val="0"/>
        <w:spacing w:line="360" w:lineRule="auto"/>
        <w:outlineLvl w:val="9"/>
        <w:rPr>
          <w:rFonts w:ascii="宋体"/>
          <w:b/>
          <w:color w:val="auto"/>
          <w:sz w:val="28"/>
          <w:szCs w:val="28"/>
        </w:rPr>
      </w:pPr>
    </w:p>
    <w:p w14:paraId="352BC46F">
      <w:pPr>
        <w:widowControl/>
        <w:snapToGrid w:val="0"/>
        <w:spacing w:line="360" w:lineRule="auto"/>
        <w:outlineLvl w:val="9"/>
        <w:rPr>
          <w:rFonts w:ascii="宋体"/>
          <w:b/>
          <w:color w:val="auto"/>
          <w:sz w:val="28"/>
          <w:szCs w:val="28"/>
        </w:rPr>
      </w:pPr>
    </w:p>
    <w:p w14:paraId="385C1207">
      <w:pPr>
        <w:rPr>
          <w:rFonts w:hint="eastAsia"/>
          <w:b/>
          <w:bCs/>
          <w:color w:val="auto"/>
          <w:lang w:val="en-US" w:eastAsia="zh-CN"/>
        </w:rPr>
      </w:pPr>
      <w:bookmarkStart w:id="172" w:name="_Toc16462"/>
      <w:bookmarkStart w:id="173" w:name="_Toc10824"/>
      <w:r>
        <w:rPr>
          <w:rFonts w:hint="eastAsia"/>
          <w:b/>
          <w:bCs/>
          <w:color w:val="auto"/>
          <w:lang w:val="en-US" w:eastAsia="zh-CN"/>
        </w:rPr>
        <w:br w:type="page"/>
      </w:r>
    </w:p>
    <w:p w14:paraId="7887D850">
      <w:pPr>
        <w:wordWrap w:val="0"/>
        <w:spacing w:line="360" w:lineRule="auto"/>
        <w:outlineLvl w:val="9"/>
        <w:rPr>
          <w:rFonts w:hint="eastAsia"/>
          <w:b/>
          <w:bCs/>
          <w:color w:val="auto"/>
          <w:lang w:val="en-US" w:eastAsia="zh-CN"/>
        </w:rPr>
      </w:pPr>
      <w:r>
        <w:rPr>
          <w:rFonts w:hint="eastAsia"/>
          <w:b/>
          <w:bCs/>
          <w:color w:val="auto"/>
          <w:lang w:val="en-US" w:eastAsia="zh-CN"/>
        </w:rPr>
        <w:t>(18)供应商认为在其他方面有必要说明的事项</w:t>
      </w:r>
      <w:bookmarkEnd w:id="149"/>
      <w:bookmarkEnd w:id="150"/>
      <w:bookmarkEnd w:id="172"/>
      <w:bookmarkEnd w:id="173"/>
    </w:p>
    <w:p w14:paraId="68E32DE1">
      <w:pPr>
        <w:ind w:firstLine="723"/>
        <w:jc w:val="center"/>
        <w:rPr>
          <w:rFonts w:ascii="宋体"/>
          <w:b/>
          <w:color w:val="auto"/>
          <w:sz w:val="36"/>
          <w:szCs w:val="36"/>
        </w:rPr>
      </w:pPr>
    </w:p>
    <w:p w14:paraId="75CE6B13">
      <w:pPr>
        <w:ind w:firstLine="723"/>
        <w:jc w:val="center"/>
        <w:rPr>
          <w:rFonts w:ascii="宋体"/>
          <w:b/>
          <w:color w:val="auto"/>
          <w:sz w:val="36"/>
          <w:szCs w:val="36"/>
        </w:rPr>
      </w:pPr>
      <w:r>
        <w:rPr>
          <w:rFonts w:hint="eastAsia" w:ascii="宋体" w:hAnsi="宋体"/>
          <w:b/>
          <w:color w:val="auto"/>
          <w:sz w:val="36"/>
          <w:szCs w:val="36"/>
        </w:rPr>
        <w:t>供应商认为在其他方面有必要说明的事项</w:t>
      </w:r>
    </w:p>
    <w:p w14:paraId="1E806EC4">
      <w:pPr>
        <w:ind w:firstLine="723"/>
        <w:jc w:val="center"/>
        <w:rPr>
          <w:rFonts w:ascii="宋体"/>
          <w:b/>
          <w:color w:val="auto"/>
          <w:sz w:val="36"/>
          <w:szCs w:val="36"/>
        </w:rPr>
      </w:pPr>
      <w:r>
        <w:rPr>
          <w:rFonts w:hint="eastAsia" w:ascii="宋体" w:hAnsi="宋体"/>
          <w:b/>
          <w:color w:val="auto"/>
          <w:sz w:val="36"/>
          <w:szCs w:val="36"/>
        </w:rPr>
        <w:t>（格式自定）</w:t>
      </w:r>
    </w:p>
    <w:p w14:paraId="1DABF91E">
      <w:pPr>
        <w:widowControl/>
        <w:snapToGrid w:val="0"/>
        <w:spacing w:line="360" w:lineRule="auto"/>
        <w:outlineLvl w:val="9"/>
        <w:rPr>
          <w:rFonts w:ascii="宋体"/>
          <w:b/>
          <w:color w:val="auto"/>
        </w:rPr>
      </w:pPr>
    </w:p>
    <w:p w14:paraId="22458DFA">
      <w:pPr>
        <w:widowControl/>
        <w:jc w:val="left"/>
        <w:rPr>
          <w:rFonts w:ascii="宋体" w:hAnsi="宋体" w:cs="宋体"/>
          <w:b/>
          <w:color w:val="auto"/>
          <w:sz w:val="28"/>
          <w:szCs w:val="28"/>
        </w:rPr>
      </w:pPr>
      <w:bookmarkStart w:id="174" w:name="_Toc76737326"/>
      <w:r>
        <w:rPr>
          <w:rFonts w:ascii="宋体" w:hAnsi="宋体" w:cs="宋体"/>
          <w:b/>
          <w:color w:val="auto"/>
          <w:sz w:val="28"/>
          <w:szCs w:val="28"/>
        </w:rPr>
        <w:br w:type="page"/>
      </w:r>
    </w:p>
    <w:p w14:paraId="49BC8EAB">
      <w:pPr>
        <w:wordWrap w:val="0"/>
        <w:spacing w:line="360" w:lineRule="auto"/>
        <w:outlineLvl w:val="1"/>
        <w:rPr>
          <w:rFonts w:hint="eastAsia"/>
          <w:b/>
          <w:bCs/>
          <w:color w:val="auto"/>
          <w:lang w:val="en-US" w:eastAsia="zh-CN"/>
        </w:rPr>
      </w:pPr>
      <w:bookmarkStart w:id="175" w:name="_Toc10527"/>
      <w:bookmarkStart w:id="176" w:name="_Toc7894"/>
      <w:r>
        <w:rPr>
          <w:rFonts w:hint="eastAsia"/>
          <w:b/>
          <w:bCs/>
          <w:color w:val="auto"/>
          <w:lang w:val="en-US" w:eastAsia="zh-CN"/>
        </w:rPr>
        <w:t>(19)供应商最终报价表</w:t>
      </w:r>
      <w:bookmarkEnd w:id="174"/>
      <w:bookmarkEnd w:id="175"/>
      <w:bookmarkEnd w:id="176"/>
    </w:p>
    <w:p w14:paraId="28622455">
      <w:pPr>
        <w:ind w:firstLine="2909" w:firstLineChars="805"/>
        <w:rPr>
          <w:rFonts w:ascii="宋体"/>
          <w:b/>
          <w:color w:val="auto"/>
          <w:sz w:val="36"/>
          <w:szCs w:val="36"/>
        </w:rPr>
      </w:pPr>
      <w:r>
        <w:rPr>
          <w:rFonts w:hint="eastAsia" w:ascii="宋体" w:hAnsi="宋体"/>
          <w:b/>
          <w:color w:val="auto"/>
          <w:sz w:val="36"/>
          <w:szCs w:val="36"/>
        </w:rPr>
        <w:t>供应商最终报价表</w:t>
      </w:r>
    </w:p>
    <w:p w14:paraId="560B16CE">
      <w:pPr>
        <w:spacing w:line="360" w:lineRule="auto"/>
        <w:rPr>
          <w:rFonts w:ascii="宋体" w:hAnsi="宋体" w:cs="宋体"/>
          <w:b/>
          <w:color w:val="auto"/>
          <w:sz w:val="24"/>
        </w:rPr>
      </w:pPr>
      <w:r>
        <w:rPr>
          <w:rFonts w:hint="eastAsia" w:ascii="宋体" w:hAnsi="宋体" w:cs="宋体"/>
          <w:b/>
          <w:color w:val="auto"/>
          <w:sz w:val="24"/>
        </w:rPr>
        <w:t>项目名称：</w:t>
      </w:r>
      <w:r>
        <w:rPr>
          <w:rFonts w:ascii="宋体" w:hAnsi="宋体" w:cs="宋体"/>
          <w:color w:val="auto"/>
          <w:sz w:val="24"/>
        </w:rPr>
        <w:t xml:space="preserve"> </w:t>
      </w:r>
    </w:p>
    <w:p w14:paraId="784D67A1">
      <w:pPr>
        <w:pStyle w:val="24"/>
        <w:rPr>
          <w:rFonts w:hint="eastAsia"/>
          <w:b/>
          <w:bCs/>
          <w:color w:val="auto"/>
          <w:sz w:val="24"/>
        </w:rPr>
      </w:pPr>
      <w:r>
        <w:rPr>
          <w:rFonts w:hint="eastAsia"/>
          <w:b/>
          <w:bCs/>
          <w:color w:val="auto"/>
          <w:sz w:val="24"/>
        </w:rPr>
        <w:t>项目编号：</w:t>
      </w:r>
    </w:p>
    <w:tbl>
      <w:tblPr>
        <w:tblStyle w:val="41"/>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544"/>
        <w:gridCol w:w="4054"/>
      </w:tblGrid>
      <w:tr w14:paraId="0654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843" w:type="dxa"/>
            <w:vAlign w:val="center"/>
          </w:tcPr>
          <w:p w14:paraId="72BDCA4B">
            <w:pPr>
              <w:pStyle w:val="24"/>
              <w:ind w:firstLine="0" w:firstLineChars="0"/>
              <w:jc w:val="center"/>
              <w:rPr>
                <w:sz w:val="24"/>
                <w:szCs w:val="24"/>
              </w:rPr>
            </w:pPr>
            <w:r>
              <w:rPr>
                <w:rFonts w:hint="eastAsia"/>
                <w:sz w:val="24"/>
                <w:szCs w:val="24"/>
              </w:rPr>
              <w:t>采购项目名称</w:t>
            </w:r>
          </w:p>
        </w:tc>
        <w:tc>
          <w:tcPr>
            <w:tcW w:w="3544" w:type="dxa"/>
            <w:vAlign w:val="center"/>
          </w:tcPr>
          <w:p w14:paraId="599A79E3">
            <w:pPr>
              <w:pStyle w:val="24"/>
              <w:ind w:firstLine="600" w:firstLineChars="250"/>
              <w:rPr>
                <w:sz w:val="24"/>
                <w:szCs w:val="24"/>
              </w:rPr>
            </w:pPr>
            <w:r>
              <w:rPr>
                <w:rFonts w:hint="eastAsia"/>
                <w:sz w:val="24"/>
                <w:szCs w:val="24"/>
              </w:rPr>
              <w:t>响应报价</w:t>
            </w:r>
          </w:p>
        </w:tc>
        <w:tc>
          <w:tcPr>
            <w:tcW w:w="4054" w:type="dxa"/>
            <w:vAlign w:val="center"/>
          </w:tcPr>
          <w:p w14:paraId="64EAFC1B">
            <w:pPr>
              <w:pStyle w:val="24"/>
              <w:ind w:firstLine="240" w:firstLineChars="100"/>
              <w:rPr>
                <w:rFonts w:hint="eastAsia" w:eastAsia="宋体"/>
                <w:sz w:val="24"/>
                <w:szCs w:val="24"/>
                <w:lang w:eastAsia="zh-CN"/>
              </w:rPr>
            </w:pPr>
            <w:r>
              <w:rPr>
                <w:rFonts w:hint="eastAsia"/>
                <w:sz w:val="24"/>
                <w:szCs w:val="24"/>
                <w:lang w:eastAsia="zh-CN"/>
              </w:rPr>
              <w:t>交货时间</w:t>
            </w:r>
          </w:p>
        </w:tc>
      </w:tr>
      <w:tr w14:paraId="2160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843" w:type="dxa"/>
            <w:vMerge w:val="restart"/>
            <w:vAlign w:val="center"/>
          </w:tcPr>
          <w:p w14:paraId="1AB4E73B">
            <w:pPr>
              <w:pStyle w:val="24"/>
              <w:ind w:firstLine="0" w:firstLineChars="0"/>
              <w:jc w:val="center"/>
              <w:rPr>
                <w:sz w:val="24"/>
                <w:szCs w:val="24"/>
              </w:rPr>
            </w:pPr>
          </w:p>
        </w:tc>
        <w:tc>
          <w:tcPr>
            <w:tcW w:w="3544" w:type="dxa"/>
            <w:vAlign w:val="center"/>
          </w:tcPr>
          <w:p w14:paraId="6EEFA854">
            <w:pPr>
              <w:pStyle w:val="24"/>
              <w:ind w:firstLine="0" w:firstLineChars="0"/>
              <w:jc w:val="center"/>
              <w:rPr>
                <w:sz w:val="24"/>
                <w:szCs w:val="24"/>
              </w:rPr>
            </w:pPr>
          </w:p>
          <w:p w14:paraId="1999142A">
            <w:pPr>
              <w:pStyle w:val="24"/>
              <w:ind w:firstLine="0" w:firstLineChars="0"/>
              <w:rPr>
                <w:sz w:val="24"/>
                <w:szCs w:val="24"/>
              </w:rPr>
            </w:pPr>
            <w:r>
              <w:rPr>
                <w:rFonts w:hint="eastAsia"/>
                <w:sz w:val="24"/>
                <w:szCs w:val="24"/>
              </w:rPr>
              <w:t>大写：</w:t>
            </w:r>
          </w:p>
        </w:tc>
        <w:tc>
          <w:tcPr>
            <w:tcW w:w="4054" w:type="dxa"/>
            <w:vMerge w:val="restart"/>
            <w:vAlign w:val="center"/>
          </w:tcPr>
          <w:p w14:paraId="3F32EF09">
            <w:pPr>
              <w:pStyle w:val="24"/>
              <w:ind w:firstLine="0" w:firstLineChars="0"/>
              <w:jc w:val="center"/>
              <w:rPr>
                <w:sz w:val="24"/>
                <w:szCs w:val="24"/>
              </w:rPr>
            </w:pPr>
          </w:p>
        </w:tc>
      </w:tr>
      <w:tr w14:paraId="0038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843" w:type="dxa"/>
            <w:vMerge w:val="continue"/>
            <w:vAlign w:val="center"/>
          </w:tcPr>
          <w:p w14:paraId="00CBFF6A">
            <w:pPr>
              <w:pStyle w:val="24"/>
              <w:ind w:firstLine="0" w:firstLineChars="0"/>
              <w:jc w:val="center"/>
              <w:rPr>
                <w:sz w:val="24"/>
                <w:szCs w:val="24"/>
              </w:rPr>
            </w:pPr>
          </w:p>
        </w:tc>
        <w:tc>
          <w:tcPr>
            <w:tcW w:w="3544" w:type="dxa"/>
            <w:vAlign w:val="center"/>
          </w:tcPr>
          <w:p w14:paraId="2D7A5D35">
            <w:pPr>
              <w:pStyle w:val="24"/>
              <w:ind w:firstLine="0" w:firstLineChars="0"/>
              <w:jc w:val="center"/>
              <w:rPr>
                <w:sz w:val="24"/>
                <w:szCs w:val="24"/>
              </w:rPr>
            </w:pPr>
          </w:p>
          <w:p w14:paraId="6F036D6A">
            <w:pPr>
              <w:pStyle w:val="24"/>
              <w:ind w:firstLine="0" w:firstLineChars="0"/>
              <w:rPr>
                <w:sz w:val="24"/>
                <w:szCs w:val="24"/>
              </w:rPr>
            </w:pPr>
            <w:r>
              <w:rPr>
                <w:rFonts w:hint="eastAsia"/>
                <w:sz w:val="24"/>
                <w:szCs w:val="24"/>
              </w:rPr>
              <w:t>小写：</w:t>
            </w:r>
          </w:p>
        </w:tc>
        <w:tc>
          <w:tcPr>
            <w:tcW w:w="4054" w:type="dxa"/>
            <w:vMerge w:val="continue"/>
            <w:vAlign w:val="center"/>
          </w:tcPr>
          <w:p w14:paraId="17C3A910">
            <w:pPr>
              <w:pStyle w:val="24"/>
              <w:ind w:firstLine="0" w:firstLineChars="0"/>
              <w:jc w:val="center"/>
              <w:rPr>
                <w:sz w:val="24"/>
                <w:szCs w:val="24"/>
              </w:rPr>
            </w:pPr>
          </w:p>
        </w:tc>
      </w:tr>
      <w:tr w14:paraId="55AA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9441" w:type="dxa"/>
            <w:gridSpan w:val="3"/>
            <w:vAlign w:val="center"/>
          </w:tcPr>
          <w:p w14:paraId="79FE296D">
            <w:pPr>
              <w:pStyle w:val="24"/>
              <w:ind w:firstLine="0" w:firstLineChars="0"/>
              <w:rPr>
                <w:sz w:val="24"/>
                <w:szCs w:val="24"/>
              </w:rPr>
            </w:pPr>
            <w:r>
              <w:rPr>
                <w:rFonts w:hint="eastAsia"/>
                <w:sz w:val="24"/>
                <w:szCs w:val="24"/>
              </w:rPr>
              <w:t>最终确定的质量保证及服务承诺（优惠条件）：</w:t>
            </w:r>
          </w:p>
        </w:tc>
      </w:tr>
    </w:tbl>
    <w:p w14:paraId="188137EA">
      <w:pPr>
        <w:pStyle w:val="24"/>
        <w:rPr>
          <w:rFonts w:hint="eastAsia"/>
          <w:b/>
          <w:bCs/>
          <w:color w:val="auto"/>
          <w:sz w:val="24"/>
        </w:rPr>
      </w:pPr>
    </w:p>
    <w:p w14:paraId="34C74B8F">
      <w:pPr>
        <w:spacing w:line="360" w:lineRule="auto"/>
        <w:jc w:val="left"/>
        <w:rPr>
          <w:rFonts w:hint="eastAsia" w:ascii="宋体" w:hAnsi="宋体" w:cs="宋体"/>
          <w:color w:val="auto"/>
          <w:sz w:val="24"/>
          <w:lang w:val="en-US" w:eastAsia="zh-CN"/>
        </w:rPr>
      </w:pPr>
      <w:r>
        <w:rPr>
          <w:rFonts w:hint="eastAsia" w:ascii="宋体" w:hAnsi="宋体" w:cs="宋体"/>
          <w:color w:val="auto"/>
          <w:sz w:val="24"/>
        </w:rPr>
        <w:t>注：</w:t>
      </w:r>
      <w:r>
        <w:rPr>
          <w:rFonts w:hint="eastAsia" w:ascii="宋体" w:hAnsi="宋体" w:cs="宋体"/>
          <w:color w:val="auto"/>
          <w:sz w:val="24"/>
          <w:lang w:val="en-US" w:eastAsia="zh-CN"/>
        </w:rPr>
        <w:t>1、“磋商报价”为磋商总价。磋商报价必须包括：规划编制服务费、人工费、维护费、管理费、人员差旅费、安装费、调试费、验收费、售前售中售后服务费、税金、招标代理服务费及不可预见费等全部费用；</w:t>
      </w:r>
    </w:p>
    <w:p w14:paraId="3FD1FF6E">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2.若报价不能完全包括上述内容，该投标将被认为非实质性响应。</w:t>
      </w:r>
    </w:p>
    <w:p w14:paraId="2AE5B447">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3、本表需规定的最后一轮报价时间内盖章上传至政采云平台，如不上传本表按报价无效处理。</w:t>
      </w:r>
    </w:p>
    <w:p w14:paraId="75D61BCC">
      <w:pPr>
        <w:spacing w:line="360" w:lineRule="auto"/>
        <w:ind w:firstLine="480" w:firstLineChars="200"/>
        <w:jc w:val="both"/>
        <w:rPr>
          <w:rFonts w:hint="eastAsia" w:ascii="宋体" w:hAnsi="宋体" w:cs="宋体"/>
          <w:color w:val="auto"/>
          <w:sz w:val="24"/>
          <w:lang w:val="en-US" w:eastAsia="zh-CN"/>
        </w:rPr>
      </w:pPr>
      <w:r>
        <w:rPr>
          <w:rFonts w:hint="eastAsia" w:ascii="宋体" w:hAnsi="宋体" w:cs="宋体"/>
          <w:color w:val="auto"/>
          <w:sz w:val="24"/>
          <w:lang w:val="en-US" w:eastAsia="zh-CN"/>
        </w:rPr>
        <w:t>4、磋商报价不能有两个或两个以上的报价方案。</w:t>
      </w:r>
    </w:p>
    <w:p w14:paraId="1766268E">
      <w:pPr>
        <w:spacing w:line="360" w:lineRule="auto"/>
        <w:jc w:val="center"/>
        <w:rPr>
          <w:rFonts w:ascii="宋体" w:hAnsi="宋体" w:cs="宋体"/>
          <w:b/>
          <w:color w:val="auto"/>
          <w:sz w:val="24"/>
        </w:rPr>
      </w:pPr>
      <w:r>
        <w:rPr>
          <w:rFonts w:hint="eastAsia" w:ascii="宋体" w:hAnsi="宋体" w:cs="宋体"/>
          <w:b/>
          <w:color w:val="auto"/>
          <w:sz w:val="24"/>
        </w:rPr>
        <w:t>供应商：      （公章）</w:t>
      </w:r>
    </w:p>
    <w:p w14:paraId="35436CFE">
      <w:pPr>
        <w:spacing w:line="360" w:lineRule="auto"/>
        <w:jc w:val="center"/>
        <w:rPr>
          <w:rFonts w:ascii="宋体" w:hAnsi="宋体" w:cs="宋体"/>
          <w:b/>
          <w:color w:val="auto"/>
          <w:sz w:val="24"/>
        </w:rPr>
      </w:pPr>
      <w:r>
        <w:rPr>
          <w:rFonts w:hint="eastAsia" w:ascii="宋体" w:hAnsi="宋体" w:cs="宋体"/>
          <w:b/>
          <w:color w:val="auto"/>
          <w:sz w:val="24"/>
        </w:rPr>
        <w:t>法定代表人</w:t>
      </w:r>
      <w:r>
        <w:rPr>
          <w:rFonts w:hint="eastAsia" w:ascii="宋体" w:hAnsi="宋体" w:cs="宋体"/>
          <w:b/>
          <w:color w:val="auto"/>
        </w:rPr>
        <w:t>（非法人组织的负责人）</w:t>
      </w:r>
      <w:r>
        <w:rPr>
          <w:rFonts w:hint="eastAsia" w:ascii="宋体" w:hAnsi="宋体" w:cs="宋体"/>
          <w:b/>
          <w:color w:val="auto"/>
          <w:sz w:val="24"/>
        </w:rPr>
        <w:t>或委托代理人：（签字或盖章）</w:t>
      </w:r>
    </w:p>
    <w:p w14:paraId="511FF282">
      <w:pPr>
        <w:wordWrap w:val="0"/>
        <w:spacing w:line="360" w:lineRule="auto"/>
        <w:jc w:val="center"/>
        <w:rPr>
          <w:rFonts w:hint="eastAsia" w:ascii="宋体" w:hAnsi="宋体" w:eastAsia="宋体" w:cs="宋体"/>
          <w:color w:val="auto"/>
          <w:kern w:val="0"/>
          <w:sz w:val="48"/>
          <w:szCs w:val="20"/>
          <w:lang w:val="en-US" w:eastAsia="zh-CN" w:bidi="ar-SA"/>
        </w:rPr>
      </w:pPr>
      <w:r>
        <w:rPr>
          <w:rFonts w:hint="eastAsia" w:ascii="宋体" w:hAnsi="宋体" w:cs="宋体"/>
          <w:b/>
          <w:color w:val="auto"/>
          <w:sz w:val="24"/>
        </w:rPr>
        <w:t>年   月    日</w:t>
      </w:r>
      <w:bookmarkEnd w:id="151"/>
    </w:p>
    <w:p w14:paraId="7BD95259">
      <w:pPr>
        <w:pStyle w:val="90"/>
        <w:numPr>
          <w:ilvl w:val="0"/>
          <w:numId w:val="26"/>
        </w:numPr>
        <w:jc w:val="center"/>
        <w:outlineLvl w:val="0"/>
        <w:rPr>
          <w:sz w:val="44"/>
          <w:szCs w:val="44"/>
        </w:rPr>
      </w:pPr>
      <w:r>
        <w:rPr>
          <w:rFonts w:hint="eastAsia" w:ascii="宋体" w:hAnsi="宋体" w:eastAsia="宋体" w:cs="宋体"/>
          <w:color w:val="auto"/>
          <w:kern w:val="0"/>
          <w:sz w:val="48"/>
          <w:szCs w:val="20"/>
          <w:lang w:val="en-US" w:eastAsia="zh-CN" w:bidi="ar-SA"/>
        </w:rPr>
        <w:t xml:space="preserve">  </w:t>
      </w:r>
      <w:bookmarkStart w:id="177" w:name="_Toc256"/>
      <w:r>
        <w:rPr>
          <w:rFonts w:hint="eastAsia" w:ascii="Times New Roman" w:hAnsi="宋体" w:cs="宋体"/>
          <w:b/>
          <w:bCs/>
          <w:color w:val="auto"/>
          <w:kern w:val="28"/>
          <w:sz w:val="44"/>
          <w:szCs w:val="44"/>
          <w:highlight w:val="none"/>
          <w:lang w:val="en-US" w:eastAsia="zh-CN"/>
        </w:rPr>
        <w:t>采</w:t>
      </w:r>
      <w:r>
        <w:rPr>
          <w:rFonts w:hint="eastAsia" w:hAnsi="宋体" w:cs="宋体"/>
          <w:b/>
          <w:bCs/>
          <w:color w:val="auto"/>
          <w:kern w:val="28"/>
          <w:sz w:val="44"/>
          <w:szCs w:val="44"/>
          <w:highlight w:val="none"/>
          <w:lang w:val="en-US" w:eastAsia="zh-CN"/>
        </w:rPr>
        <w:t>购项目要求及</w:t>
      </w:r>
      <w:bookmarkStart w:id="178" w:name="_Toc20063159"/>
      <w:bookmarkStart w:id="179" w:name="_Toc19402"/>
      <w:bookmarkStart w:id="180" w:name="_Toc504574615"/>
      <w:r>
        <w:rPr>
          <w:rFonts w:hint="eastAsia" w:hAnsi="宋体" w:cs="宋体"/>
          <w:b/>
          <w:bCs/>
          <w:color w:val="auto"/>
          <w:kern w:val="28"/>
          <w:sz w:val="44"/>
          <w:szCs w:val="44"/>
          <w:highlight w:val="none"/>
          <w:lang w:val="en-US" w:eastAsia="zh-CN"/>
        </w:rPr>
        <w:t>服务内容</w:t>
      </w:r>
      <w:bookmarkEnd w:id="68"/>
      <w:bookmarkEnd w:id="177"/>
      <w:bookmarkEnd w:id="178"/>
      <w:bookmarkEnd w:id="179"/>
      <w:bookmarkEnd w:id="180"/>
    </w:p>
    <w:p w14:paraId="7FD4A775">
      <w:pPr>
        <w:bidi w:val="0"/>
        <w:jc w:val="center"/>
        <w:rPr>
          <w:rFonts w:hint="eastAsia" w:ascii="宋体" w:hAnsi="宋体" w:cs="Times New Roman"/>
          <w:b/>
          <w:bCs/>
          <w:color w:val="auto"/>
          <w:kern w:val="0"/>
          <w:sz w:val="44"/>
          <w:szCs w:val="44"/>
          <w:lang w:val="en-US" w:eastAsia="zh-CN"/>
        </w:rPr>
      </w:pPr>
      <w:bookmarkStart w:id="181" w:name="_Toc10139"/>
      <w:bookmarkStart w:id="182" w:name="_Toc496626255"/>
      <w:bookmarkStart w:id="183" w:name="_Toc24838"/>
      <w:bookmarkStart w:id="184" w:name="_Toc325726052"/>
      <w:bookmarkStart w:id="185" w:name="_Toc25789"/>
      <w:bookmarkStart w:id="186" w:name="_Toc376936783"/>
      <w:r>
        <w:rPr>
          <w:rFonts w:hint="eastAsia" w:ascii="宋体" w:hAnsi="宋体" w:cs="Times New Roman"/>
          <w:b/>
          <w:bCs/>
          <w:color w:val="auto"/>
          <w:kern w:val="0"/>
          <w:sz w:val="44"/>
          <w:szCs w:val="44"/>
          <w:lang w:val="en-US" w:eastAsia="zh-CN"/>
        </w:rPr>
        <w:t>一、磋商要求</w:t>
      </w:r>
      <w:bookmarkEnd w:id="181"/>
      <w:bookmarkEnd w:id="182"/>
      <w:bookmarkEnd w:id="183"/>
      <w:bookmarkEnd w:id="184"/>
      <w:bookmarkEnd w:id="185"/>
      <w:bookmarkEnd w:id="186"/>
      <w:bookmarkStart w:id="187" w:name="_Toc20332"/>
      <w:bookmarkStart w:id="188" w:name="_Toc16678"/>
      <w:bookmarkStart w:id="189" w:name="_Toc25829"/>
      <w:bookmarkStart w:id="190" w:name="_Toc3845"/>
      <w:bookmarkStart w:id="191" w:name="_Toc2769"/>
      <w:bookmarkStart w:id="192" w:name="_Toc4601"/>
    </w:p>
    <w:p w14:paraId="5AC508BA">
      <w:pPr>
        <w:wordWrap w:val="0"/>
        <w:spacing w:line="360" w:lineRule="auto"/>
        <w:outlineLvl w:val="1"/>
        <w:rPr>
          <w:rFonts w:hint="eastAsia" w:ascii="Times New Roman" w:hAnsi="Times New Roman" w:cs="Times New Roman"/>
          <w:b/>
          <w:bCs/>
          <w:color w:val="auto"/>
          <w:lang w:val="zh-CN" w:eastAsia="zh-CN"/>
        </w:rPr>
      </w:pPr>
      <w:r>
        <w:rPr>
          <w:rFonts w:hint="eastAsia" w:ascii="Times New Roman" w:hAnsi="Times New Roman" w:cs="Times New Roman"/>
          <w:b/>
          <w:bCs/>
          <w:color w:val="auto"/>
          <w:lang w:val="zh-CN" w:eastAsia="zh-CN"/>
        </w:rPr>
        <w:t>1.投标说明</w:t>
      </w:r>
      <w:bookmarkEnd w:id="187"/>
      <w:bookmarkEnd w:id="188"/>
      <w:bookmarkEnd w:id="189"/>
      <w:bookmarkEnd w:id="190"/>
      <w:bookmarkEnd w:id="191"/>
      <w:bookmarkEnd w:id="192"/>
    </w:p>
    <w:p w14:paraId="5C6FF952">
      <w:pPr>
        <w:autoSpaceDE w:val="0"/>
        <w:autoSpaceDN w:val="0"/>
        <w:spacing w:line="240" w:lineRule="auto"/>
        <w:ind w:firstLine="480" w:firstLineChars="200"/>
        <w:rPr>
          <w:rFonts w:hint="eastAsia" w:ascii="宋体" w:hAnsi="宋体" w:cs="宋体"/>
          <w:color w:val="auto"/>
          <w:kern w:val="0"/>
        </w:rPr>
      </w:pPr>
      <w:r>
        <w:rPr>
          <w:rFonts w:ascii="宋体" w:hAnsi="宋体" w:cs="宋体"/>
          <w:color w:val="auto"/>
          <w:kern w:val="0"/>
          <w:lang w:val="zh-CN"/>
        </w:rPr>
        <w:t>1.1</w:t>
      </w:r>
      <w:r>
        <w:rPr>
          <w:rFonts w:hint="eastAsia" w:ascii="宋体" w:hAnsi="宋体" w:cs="宋体"/>
          <w:color w:val="auto"/>
          <w:kern w:val="0"/>
        </w:rPr>
        <w:t>供应商可以按照磋商性响应文件规定投标，但必须对所投的所有内容作为一个整体进行投标，不能拆分或少报。否则，投标无效；</w:t>
      </w:r>
    </w:p>
    <w:p w14:paraId="13D21BB9">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val="zh-CN" w:eastAsia="zh-CN"/>
        </w:rPr>
        <w:t>1.2</w:t>
      </w:r>
      <w:r>
        <w:rPr>
          <w:rFonts w:hint="eastAsia" w:ascii="Times New Roman" w:hAnsi="宋体" w:eastAsia="宋体" w:cs="宋体"/>
          <w:color w:val="auto"/>
          <w:sz w:val="24"/>
          <w:szCs w:val="28"/>
          <w:lang w:eastAsia="zh-CN"/>
        </w:rPr>
        <w:t xml:space="preserve"> </w:t>
      </w:r>
      <w:r>
        <w:rPr>
          <w:rFonts w:hint="eastAsia" w:ascii="Times New Roman" w:hAnsi="宋体" w:eastAsia="宋体" w:cs="宋体"/>
          <w:color w:val="auto"/>
          <w:sz w:val="24"/>
          <w:szCs w:val="28"/>
          <w:lang w:val="zh-CN" w:eastAsia="zh-CN"/>
        </w:rPr>
        <w:t>投标人必须如实填写“技术规格响应表”，在“投标产品技术参数、指标”栏中列出所投产品的具体技术参数、指标；以采购人需求为最低指标要求，投标人对超出或不满足最低指标要求的指标需列出“＋、-”偏差。如果与投标文件中提供的产品检测报告</w:t>
      </w:r>
      <w:r>
        <w:rPr>
          <w:rFonts w:hint="eastAsia" w:ascii="Times New Roman" w:hAnsi="宋体" w:eastAsia="宋体" w:cs="宋体"/>
          <w:color w:val="auto"/>
          <w:sz w:val="24"/>
          <w:szCs w:val="28"/>
          <w:lang w:val="en-US" w:eastAsia="zh-CN"/>
        </w:rPr>
        <w:t>或</w:t>
      </w:r>
      <w:r>
        <w:rPr>
          <w:rFonts w:hint="eastAsia" w:ascii="Times New Roman" w:hAnsi="宋体" w:eastAsia="宋体" w:cs="宋体"/>
          <w:color w:val="auto"/>
          <w:sz w:val="24"/>
          <w:szCs w:val="28"/>
          <w:lang w:val="zh-CN" w:eastAsia="zh-CN"/>
        </w:rPr>
        <w:t>彩页等证明材料中的实质性响应情况不一致或直接复制招标文件“采购需求技术参数、指标”内容的，按无效投标处理。</w:t>
      </w:r>
    </w:p>
    <w:p w14:paraId="46038040">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val="zh-CN" w:eastAsia="zh-CN"/>
        </w:rPr>
        <w:t>1.</w:t>
      </w:r>
      <w:r>
        <w:rPr>
          <w:rFonts w:hint="eastAsia" w:ascii="Times New Roman" w:hAnsi="宋体" w:eastAsia="宋体" w:cs="宋体"/>
          <w:color w:val="auto"/>
          <w:sz w:val="24"/>
          <w:szCs w:val="28"/>
          <w:lang w:eastAsia="zh-CN"/>
        </w:rPr>
        <w:t xml:space="preserve">3 </w:t>
      </w:r>
      <w:r>
        <w:rPr>
          <w:rFonts w:hint="eastAsia" w:ascii="Times New Roman" w:hAnsi="宋体" w:eastAsia="宋体" w:cs="宋体"/>
          <w:color w:val="auto"/>
          <w:sz w:val="24"/>
          <w:szCs w:val="28"/>
          <w:lang w:val="zh-CN" w:eastAsia="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090ECFD1">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eastAsia="zh-CN"/>
        </w:rPr>
        <w:t>1.4 所投产品或其任何一部分不得侵犯专利权、著作权、商标权和工业设计权等知识产权。</w:t>
      </w:r>
    </w:p>
    <w:p w14:paraId="3E17A49F">
      <w:pPr>
        <w:autoSpaceDE w:val="0"/>
        <w:autoSpaceDN w:val="0"/>
        <w:spacing w:line="240" w:lineRule="auto"/>
        <w:ind w:firstLine="480" w:firstLineChars="200"/>
        <w:rPr>
          <w:rFonts w:hint="eastAsia" w:ascii="Times New Roman" w:hAnsi="宋体" w:eastAsia="宋体" w:cs="宋体"/>
          <w:color w:val="auto"/>
          <w:sz w:val="24"/>
          <w:szCs w:val="28"/>
          <w:lang w:val="zh-CN" w:eastAsia="zh-CN"/>
        </w:rPr>
      </w:pPr>
      <w:r>
        <w:rPr>
          <w:rFonts w:hint="eastAsia" w:ascii="Times New Roman" w:hAnsi="宋体" w:eastAsia="宋体" w:cs="宋体"/>
          <w:color w:val="auto"/>
          <w:sz w:val="24"/>
          <w:szCs w:val="28"/>
          <w:lang w:eastAsia="zh-CN"/>
        </w:rPr>
        <w:t>1.5 项目中标后分包情况：不允许。（允许，投标人拟在中标后将中标项目的非主体、非关键性工作分包的，应当在投标文件中载明分包承担主体，分包承担主体应当具备相应资质条件且不得再次分包）</w:t>
      </w:r>
    </w:p>
    <w:p w14:paraId="117B608C">
      <w:pPr>
        <w:autoSpaceDE w:val="0"/>
        <w:autoSpaceDN w:val="0"/>
        <w:spacing w:line="240" w:lineRule="auto"/>
        <w:ind w:firstLine="480" w:firstLineChars="200"/>
        <w:rPr>
          <w:rFonts w:hint="eastAsia" w:ascii="宋体" w:hAnsi="宋体" w:cs="宋体"/>
          <w:color w:val="auto"/>
          <w:kern w:val="0"/>
        </w:rPr>
      </w:pPr>
      <w:r>
        <w:rPr>
          <w:rFonts w:hint="eastAsia" w:ascii="Times New Roman" w:hAnsi="宋体" w:eastAsia="宋体" w:cs="宋体"/>
          <w:color w:val="auto"/>
          <w:sz w:val="24"/>
          <w:szCs w:val="28"/>
          <w:lang w:val="zh-CN" w:eastAsia="zh-CN"/>
        </w:rPr>
        <w:t>1.</w:t>
      </w:r>
      <w:r>
        <w:rPr>
          <w:rFonts w:hint="eastAsia" w:ascii="Times New Roman" w:hAnsi="宋体" w:eastAsia="宋体" w:cs="宋体"/>
          <w:color w:val="auto"/>
          <w:sz w:val="24"/>
          <w:szCs w:val="28"/>
          <w:lang w:val="en-US" w:eastAsia="zh-CN"/>
        </w:rPr>
        <w:t>6</w:t>
      </w:r>
      <w:r>
        <w:rPr>
          <w:rFonts w:hint="eastAsia" w:ascii="宋体" w:hAnsi="宋体" w:cs="宋体"/>
          <w:color w:val="auto"/>
          <w:kern w:val="0"/>
        </w:rPr>
        <w:t>磋商报价应包括：</w:t>
      </w:r>
      <w:r>
        <w:rPr>
          <w:rFonts w:hint="eastAsia" w:hAnsi="宋体" w:cs="宋体"/>
          <w:color w:val="auto"/>
          <w:sz w:val="24"/>
          <w:szCs w:val="28"/>
          <w:lang w:eastAsia="zh-CN"/>
        </w:rPr>
        <w:t>产品费、验收费、手续费、包装费、运输费、保险费、安装费、调试费、培训费、售前、售中、售后服务费、</w:t>
      </w:r>
      <w:r>
        <w:rPr>
          <w:rFonts w:hint="eastAsia" w:hAnsi="宋体" w:cs="宋体"/>
          <w:color w:val="auto"/>
          <w:sz w:val="24"/>
          <w:szCs w:val="28"/>
          <w:lang w:val="en-US" w:eastAsia="zh-CN"/>
        </w:rPr>
        <w:t>招标代理费、</w:t>
      </w:r>
      <w:r>
        <w:rPr>
          <w:rFonts w:hint="eastAsia" w:hAnsi="宋体" w:cs="宋体"/>
          <w:color w:val="auto"/>
          <w:sz w:val="24"/>
          <w:szCs w:val="28"/>
          <w:lang w:eastAsia="zh-CN"/>
        </w:rPr>
        <w:t>税金及不可预见费等全部费用</w:t>
      </w:r>
      <w:r>
        <w:rPr>
          <w:rFonts w:hint="eastAsia" w:ascii="宋体" w:hAnsi="宋体" w:cs="宋体"/>
          <w:color w:val="auto"/>
          <w:kern w:val="0"/>
        </w:rPr>
        <w:t>。若报价不能完全包括上述内容，该投标将被认为非实质性响应。</w:t>
      </w:r>
      <w:bookmarkStart w:id="193" w:name="_Toc76736856"/>
      <w:bookmarkStart w:id="194" w:name="_Toc76737333"/>
      <w:r>
        <w:rPr>
          <w:rFonts w:hint="eastAsia" w:ascii="宋体" w:hAnsi="宋体" w:cs="宋体"/>
          <w:color w:val="auto"/>
          <w:kern w:val="0"/>
        </w:rPr>
        <w:t>本次采购文件中规定的采购预算额度为招标最高限价，供应商的投标报价不得超出此额度。否则，投标无效。</w:t>
      </w:r>
      <w:bookmarkEnd w:id="193"/>
      <w:bookmarkEnd w:id="194"/>
      <w:bookmarkStart w:id="195" w:name="_Toc18880"/>
      <w:bookmarkStart w:id="196" w:name="_Toc16744"/>
      <w:bookmarkStart w:id="197" w:name="_Toc12515"/>
      <w:bookmarkStart w:id="198" w:name="_Toc13813"/>
      <w:bookmarkStart w:id="199" w:name="_Toc30417"/>
      <w:bookmarkStart w:id="200" w:name="_Toc11220"/>
    </w:p>
    <w:p w14:paraId="6CD57B4D">
      <w:pPr>
        <w:wordWrap w:val="0"/>
        <w:spacing w:line="360" w:lineRule="auto"/>
        <w:outlineLvl w:val="1"/>
        <w:rPr>
          <w:rFonts w:hint="eastAsia" w:ascii="Times New Roman" w:hAnsi="Times New Roman" w:cs="Times New Roman"/>
          <w:b/>
          <w:bCs/>
          <w:color w:val="auto"/>
          <w:lang w:val="zh-CN" w:eastAsia="zh-CN"/>
        </w:rPr>
      </w:pPr>
      <w:r>
        <w:rPr>
          <w:rFonts w:hint="eastAsia" w:ascii="Times New Roman" w:hAnsi="Times New Roman" w:cs="Times New Roman"/>
          <w:b/>
          <w:bCs/>
          <w:color w:val="auto"/>
          <w:lang w:val="zh-CN" w:eastAsia="zh-CN"/>
        </w:rPr>
        <w:t>2.商务要求</w:t>
      </w:r>
      <w:bookmarkEnd w:id="195"/>
      <w:bookmarkEnd w:id="196"/>
      <w:bookmarkEnd w:id="197"/>
      <w:bookmarkEnd w:id="198"/>
      <w:bookmarkEnd w:id="199"/>
      <w:bookmarkEnd w:id="200"/>
    </w:p>
    <w:p w14:paraId="639A9582">
      <w:pPr>
        <w:autoSpaceDE w:val="0"/>
        <w:autoSpaceDN w:val="0"/>
        <w:spacing w:line="240" w:lineRule="auto"/>
        <w:rPr>
          <w:rFonts w:hint="eastAsia" w:ascii="宋体" w:hAnsi="宋体" w:cs="宋体"/>
          <w:color w:val="auto"/>
          <w:kern w:val="0"/>
          <w:lang w:val="en-US" w:eastAsia="zh-CN"/>
        </w:rPr>
      </w:pPr>
      <w:r>
        <w:rPr>
          <w:rFonts w:hint="eastAsia" w:ascii="宋体" w:hAnsi="宋体" w:cs="宋体"/>
          <w:color w:val="auto"/>
          <w:kern w:val="0"/>
          <w:lang w:val="en-US" w:eastAsia="zh-CN"/>
        </w:rPr>
        <w:t>2.1交货时间：</w:t>
      </w:r>
      <w:r>
        <w:rPr>
          <w:rFonts w:hint="eastAsia" w:ascii="宋体" w:hAnsi="宋体" w:cs="宋体"/>
          <w:color w:val="auto"/>
          <w:sz w:val="24"/>
          <w:lang w:val="en-US" w:eastAsia="zh-CN"/>
        </w:rPr>
        <w:t>签订合同后一个月内。</w:t>
      </w:r>
    </w:p>
    <w:p w14:paraId="16A86447">
      <w:pPr>
        <w:autoSpaceDE w:val="0"/>
        <w:autoSpaceDN w:val="0"/>
        <w:spacing w:line="240" w:lineRule="auto"/>
        <w:rPr>
          <w:rFonts w:hint="eastAsia" w:ascii="宋体" w:hAnsi="宋体" w:cs="宋体"/>
          <w:color w:val="auto"/>
          <w:kern w:val="0"/>
          <w:lang w:val="en-US" w:eastAsia="zh-CN"/>
        </w:rPr>
      </w:pPr>
      <w:r>
        <w:rPr>
          <w:rFonts w:hint="eastAsia" w:ascii="宋体" w:hAnsi="宋体" w:cs="宋体"/>
          <w:color w:val="auto"/>
          <w:kern w:val="0"/>
          <w:lang w:val="en-US" w:eastAsia="zh-CN"/>
        </w:rPr>
        <w:t xml:space="preserve">2.2交货地点：甲方指定地点。 </w:t>
      </w:r>
    </w:p>
    <w:p w14:paraId="443316EE">
      <w:pPr>
        <w:autoSpaceDE w:val="0"/>
        <w:autoSpaceDN w:val="0"/>
        <w:spacing w:line="240" w:lineRule="auto"/>
        <w:rPr>
          <w:rFonts w:hint="eastAsia" w:ascii="宋体" w:hAnsi="宋体" w:cs="宋体"/>
          <w:color w:val="FF0000"/>
          <w:kern w:val="0"/>
          <w:lang w:val="en-US" w:eastAsia="zh-CN"/>
        </w:rPr>
      </w:pPr>
      <w:r>
        <w:rPr>
          <w:rFonts w:hint="eastAsia" w:ascii="宋体" w:hAnsi="宋体" w:cs="宋体"/>
          <w:color w:val="auto"/>
          <w:kern w:val="0"/>
          <w:lang w:val="en-US" w:eastAsia="zh-CN"/>
        </w:rPr>
        <w:t>2.3质保期：质保1年。</w:t>
      </w:r>
    </w:p>
    <w:p w14:paraId="7CF5FE24">
      <w:pPr>
        <w:autoSpaceDE w:val="0"/>
        <w:autoSpaceDN w:val="0"/>
        <w:spacing w:line="240" w:lineRule="auto"/>
        <w:rPr>
          <w:rFonts w:hint="eastAsia" w:ascii="宋体" w:hAnsi="宋体" w:cs="宋体"/>
          <w:color w:val="auto"/>
          <w:kern w:val="0"/>
          <w:lang w:val="zh-CN"/>
        </w:rPr>
      </w:pPr>
      <w:r>
        <w:rPr>
          <w:rFonts w:hint="eastAsia" w:ascii="宋体" w:hAnsi="宋体" w:cs="宋体"/>
          <w:color w:val="auto"/>
          <w:kern w:val="0"/>
          <w:lang w:val="en-US" w:eastAsia="zh-CN"/>
        </w:rPr>
        <w:t>2.4</w:t>
      </w:r>
      <w:r>
        <w:rPr>
          <w:rFonts w:hint="eastAsia" w:ascii="宋体" w:hAnsi="宋体" w:cs="宋体"/>
          <w:color w:val="auto"/>
          <w:kern w:val="0"/>
          <w:lang w:val="zh-CN"/>
        </w:rPr>
        <w:t>付款方式：</w:t>
      </w:r>
      <w:r>
        <w:rPr>
          <w:rFonts w:hint="eastAsia" w:ascii="宋体" w:hAnsi="宋体" w:cs="宋体"/>
          <w:color w:val="auto"/>
          <w:kern w:val="0"/>
        </w:rPr>
        <w:t>参考“第</w:t>
      </w:r>
      <w:r>
        <w:rPr>
          <w:rFonts w:hint="eastAsia" w:ascii="宋体" w:hAnsi="宋体" w:cs="宋体"/>
          <w:color w:val="auto"/>
          <w:kern w:val="0"/>
          <w:lang w:val="en-US" w:eastAsia="zh-CN"/>
        </w:rPr>
        <w:t>四</w:t>
      </w:r>
      <w:r>
        <w:rPr>
          <w:rFonts w:hint="eastAsia" w:ascii="宋体" w:hAnsi="宋体" w:cs="宋体"/>
          <w:color w:val="auto"/>
          <w:kern w:val="0"/>
        </w:rPr>
        <w:t>部分</w:t>
      </w:r>
      <w:r>
        <w:rPr>
          <w:rFonts w:ascii="宋体" w:hAnsi="宋体" w:cs="宋体"/>
          <w:color w:val="auto"/>
          <w:kern w:val="0"/>
        </w:rPr>
        <w:t xml:space="preserve">  </w:t>
      </w:r>
      <w:r>
        <w:rPr>
          <w:rFonts w:hint="eastAsia" w:ascii="宋体" w:hAnsi="宋体" w:cs="宋体"/>
          <w:color w:val="auto"/>
          <w:kern w:val="0"/>
        </w:rPr>
        <w:t>青海省政府采购项目合同书范本”中“四、付款方式”的规定</w:t>
      </w:r>
      <w:r>
        <w:rPr>
          <w:rFonts w:hint="eastAsia" w:ascii="宋体" w:hAnsi="宋体" w:cs="宋体"/>
          <w:color w:val="auto"/>
          <w:kern w:val="0"/>
          <w:lang w:val="zh-CN"/>
        </w:rPr>
        <w:t>。</w:t>
      </w:r>
    </w:p>
    <w:p w14:paraId="6A40A4BE">
      <w:pPr>
        <w:pStyle w:val="36"/>
        <w:spacing w:before="0" w:after="0" w:line="360" w:lineRule="auto"/>
        <w:jc w:val="center"/>
        <w:outlineLvl w:val="1"/>
        <w:rPr>
          <w:rFonts w:hint="eastAsia" w:ascii="宋体" w:hAnsi="宋体" w:cs="宋体"/>
          <w:color w:val="auto"/>
          <w:lang w:val="en-US" w:eastAsia="zh-CN"/>
        </w:rPr>
      </w:pPr>
      <w:bookmarkStart w:id="201" w:name="_Toc76659154"/>
      <w:bookmarkStart w:id="202" w:name="_Toc30410"/>
    </w:p>
    <w:p w14:paraId="68714AE6">
      <w:pPr>
        <w:rPr>
          <w:rFonts w:hint="eastAsia" w:ascii="宋体" w:hAnsi="宋体" w:cs="宋体"/>
          <w:color w:val="auto"/>
          <w:lang w:val="en-US" w:eastAsia="zh-CN"/>
        </w:rPr>
      </w:pPr>
    </w:p>
    <w:p w14:paraId="7BF26EF9">
      <w:pPr>
        <w:pStyle w:val="12"/>
        <w:rPr>
          <w:rFonts w:hint="eastAsia" w:ascii="宋体" w:hAnsi="宋体" w:cs="宋体"/>
          <w:color w:val="auto"/>
          <w:lang w:val="en-US" w:eastAsia="zh-CN"/>
        </w:rPr>
      </w:pPr>
    </w:p>
    <w:p w14:paraId="223CF4C8">
      <w:pPr>
        <w:pStyle w:val="13"/>
        <w:rPr>
          <w:rFonts w:hint="eastAsia" w:ascii="宋体" w:hAnsi="宋体" w:cs="宋体"/>
          <w:color w:val="auto"/>
          <w:lang w:val="en-US" w:eastAsia="zh-CN"/>
        </w:rPr>
      </w:pPr>
    </w:p>
    <w:p w14:paraId="133438AB">
      <w:pPr>
        <w:pStyle w:val="15"/>
        <w:rPr>
          <w:rFonts w:hint="eastAsia" w:ascii="宋体" w:hAnsi="宋体" w:cs="宋体"/>
          <w:color w:val="auto"/>
          <w:lang w:val="en-US" w:eastAsia="zh-CN"/>
        </w:rPr>
      </w:pPr>
    </w:p>
    <w:p w14:paraId="179CB037">
      <w:pPr>
        <w:rPr>
          <w:rFonts w:hint="eastAsia"/>
          <w:lang w:val="en-US" w:eastAsia="zh-CN"/>
        </w:rPr>
      </w:pPr>
    </w:p>
    <w:p w14:paraId="3B4458B4">
      <w:pPr>
        <w:rPr>
          <w:rFonts w:hint="eastAsia"/>
          <w:lang w:val="en-US" w:eastAsia="zh-CN"/>
        </w:rPr>
      </w:pPr>
    </w:p>
    <w:p w14:paraId="51EF5D68">
      <w:pPr>
        <w:pStyle w:val="15"/>
        <w:rPr>
          <w:rFonts w:hint="eastAsia" w:ascii="宋体" w:hAnsi="宋体" w:cs="宋体"/>
          <w:color w:val="auto"/>
          <w:lang w:val="en-US" w:eastAsia="zh-CN"/>
        </w:rPr>
      </w:pPr>
    </w:p>
    <w:p w14:paraId="36E26FA7">
      <w:pPr>
        <w:rPr>
          <w:rFonts w:hint="eastAsia" w:ascii="宋体" w:hAnsi="宋体" w:cs="宋体"/>
          <w:color w:val="auto"/>
          <w:lang w:val="en-US" w:eastAsia="zh-CN"/>
        </w:rPr>
      </w:pPr>
    </w:p>
    <w:p w14:paraId="39F8611D">
      <w:pPr>
        <w:pStyle w:val="12"/>
        <w:rPr>
          <w:rFonts w:hint="eastAsia"/>
          <w:lang w:val="en-US" w:eastAsia="zh-CN"/>
        </w:rPr>
      </w:pPr>
    </w:p>
    <w:p w14:paraId="10997550">
      <w:pPr>
        <w:numPr>
          <w:ilvl w:val="0"/>
          <w:numId w:val="27"/>
        </w:numPr>
        <w:bidi w:val="0"/>
        <w:jc w:val="center"/>
        <w:rPr>
          <w:rFonts w:hint="eastAsia" w:ascii="宋体" w:hAnsi="宋体" w:cs="Times New Roman"/>
          <w:b/>
          <w:bCs/>
          <w:color w:val="auto"/>
          <w:kern w:val="0"/>
          <w:sz w:val="44"/>
          <w:szCs w:val="44"/>
          <w:lang w:val="zh-CN" w:eastAsia="zh-CN"/>
        </w:rPr>
      </w:pPr>
      <w:r>
        <w:rPr>
          <w:rFonts w:hint="eastAsia" w:ascii="宋体" w:hAnsi="宋体" w:cs="Times New Roman"/>
          <w:b/>
          <w:bCs/>
          <w:color w:val="auto"/>
          <w:kern w:val="0"/>
          <w:sz w:val="44"/>
          <w:szCs w:val="44"/>
          <w:lang w:val="zh-CN" w:eastAsia="zh-CN"/>
        </w:rPr>
        <w:t>技术参数</w:t>
      </w:r>
      <w:bookmarkEnd w:id="201"/>
      <w:bookmarkEnd w:id="202"/>
    </w:p>
    <w:tbl>
      <w:tblPr>
        <w:tblStyle w:val="40"/>
        <w:tblW w:w="103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3"/>
        <w:gridCol w:w="1604"/>
        <w:gridCol w:w="6431"/>
        <w:gridCol w:w="788"/>
        <w:gridCol w:w="712"/>
      </w:tblGrid>
      <w:tr w14:paraId="662EC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2CB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06C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6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B071">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364E">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45F9">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r>
      <w:tr w14:paraId="42AB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3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5EF866">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一、服装专业</w:t>
            </w:r>
          </w:p>
        </w:tc>
      </w:tr>
      <w:tr w14:paraId="5E82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0E1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221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置物柜</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493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规格：1200*2000*380mm；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材质：冷轧钢+钢化玻璃；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推拉门：钢化玻璃移动门+密码锁；</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E6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86F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5D9E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28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CE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智慧黑板教学一体机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2B7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整机采用一体化全金属外壳设计，外部无任何可见内部功能模块连接线；屏幕边缘采用金属圆角包边防护，边角采用弧形设计，表面无尖锐边缘或凸起；背板采用金属材质，有效屏蔽内部电路器件辐射。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屏幕采用≥86英寸UHD超高清LED液晶显示器，且液晶屏的质量标准为A规级别的合格品；整机屏幕显示比例需满足16:9，分辨率≥3840×2160；支持DC调光方式，多级亮度调节，支持白颜色背景下最暗亮度≤100nit，用于提升显示对比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整机书写面板采用防眩光全钢化防爆玻璃面板，玻璃厚度≤4mm，防划防撞耐磨，具备防眩光功能；面板的碎片状态、抗冲击性、霰弹袋冲击性能、耐热冲击性能均通过国家强制玻璃标准，钢化玻璃表面硬度≥9H。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整机采用红外触控方式，支持Windows系统及Android系统中各40点或以上触控。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书写触控延迟≤25ms，支持提笔书写，在Windows系统下可实现无需点击任意功能入口，当检测到红外笔笔尖接触屏幕时，自动进入书写模式。(提供具有CMA检测资质的检测机构出具的检测报告复印件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为保证设备显示整机支持色彩空间可选，需支持sRGB模式，在sRGB模式下可做到高色准△E≤1；整机色域覆盖率（NTSC）≥74%，灰度等级≥256级。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采用硬件低蓝光背光技术，在源头减少有害蓝光波段能量，蓝光占比（有害蓝光415～455nm能量综合）/（整体蓝光400～500能量综合）＜50%，低蓝光保护显示不偏色、不泛黄，且通过由中国标准化研究院制定的视觉舒适度（VICO）评价体系测试，并达到视觉舒适度A级或以上标准，提供权威机构出具的相关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整机侧置输入接口需具备≥2路HDMI，前置输入接口需具备≥2路USB接口、≥1路Type-C（支持通过不带转换转置的外部线缆，实现外接电脑HDMI信号的接入显示）；且前置USB接口需具备防撞挡板设计。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整机前置Type-C接口支持通过Type-C接口实现音视频输入，外接电脑设备经双头Type-C线连接至整机，即可把外接电脑设备画面投到整机上，同时在整机上操作画面，可实现触摸电脑的操作，无需再连接触控USB线。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整机具备至少6个前置物理按键，可实现开关机、调出中控菜单、音量+、音量-、护眼、录屏操作，除电源按键外，均支持设置为自定义按键，一键启用全局小工具。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整机内置2.2声道扬声器，额定总功率≥60W；100%音量下，满足1米处声压级≥91db，10米处声压级≥80dB。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上边框内置非独立摄像头，可拍摄≥1600万像素数的照片，视场角≥142°，水平视场角≥138°，支持输出16:9、4:3比例的图片和视频，分辨率达8192×2048或以上。(提供具有CMA检测资质的检测机构出具的检测报告复印件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摄像头支持拍照、随机抽选、人数统计等功能，可同时输出至少3路视频流，同时支持课堂远程巡课、课堂教学数据采集、本地画面预览（拍照或视频录制）。摄像头运行时有指示灯提示，支持根据环境调节合适的显示图像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整机内置非独立外扩展的8阵列麦克风，拾音角度≥180°，可用于对教室环境音频进行采集，拾音距离≥12m。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整机需支持Windows和Android双系统，嵌入式系统版本不低于Android 13，内存≥2GB，存储空间≥8GB。(提供具有CMA检测资质的检测机构出具的检测报告复印件并加盖投标人公章)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整机内置双WiFi 6无线网卡（不接受外接），在Android和Windows系统下，可实现Wi-Fi无线上网连接、AP无线热点发射。(提供具有CMA检测资质的检测机构出具的检测报告复印件并加盖投标人公章)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整机Wi-Fi及AP热点需支持频段2.4GHz/5GHz；Wi-Fi制式需支持IEEE 802.11 a/b/g/n/ac/ax；需支持版本Wi-Fi 6。(提供具有CMA检测资质的检测机构出具的检测报告复印件并加盖投标人公章)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整机需支持发出频率为18kHz-22kHz超声波信号，智能手机通过麦克风接收后，无需与整机在同一局域网内即可实现配对一键投屏。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整机在Windows通道下支持文件传输应用，支持通过扫码、WiFi直联、超声三种方式与手机进行握手连接，实现文件传输功能。(提供具有CMA检测资质的检测机构出具的检测报告复印件并加盖投标人公章)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Windows通道需支持文件传输应用，支持多人同时将手机文件传输到整机上，当手机端登录账号与整机一致时，接收文件不需要二次确认，当手机端登录账号与整机不一致时，且距离连接成功或上次传输超过3分钟，则接收文件需要二次确认；无需借助第三方网页、第三方应用，即可将手机文件传输到整机上，传输文件格式支持：pptx、pdf、docx、txt、xlsx、enbx、jpg、png、gif、svg、mp4、rmvb、avi、3gp、wmv、flv、mkv、mp3、wav、wma、ogg、zi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整机在嵌入式Android操作系统下，需支持对多媒体USB所读取到的文件进行自动归类，可分类查找文档、板书、图片、音视频，检索后可直接在界面中打开。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在无PC状态下，嵌入式Android操作系统需支持使用白板书写、WPS软件和网页浏览；嵌入式系统需内置互动白板支持十笔书写及手掌擦除（手掌擦除面积根据手掌与屏幕的接触面大小自动调整），白板书写内容可以PDF、IWB和SVG格式导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全通道侧边栏快捷菜单包含如下小工具：批注、降半屏、截屏、放大镜、倒计时、日历、聚光灯、秒表、冻屏、倒数日、答题、节拍器等；支持快捷调节音量、亮度，支持自动亮度模式，支持点击静音按钮静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整机具备电视遥控功能和电脑键盘常用的F1—F12功能键及Alt+F4、Alt+Tab、Space、Enter、windows快捷按键，可实现一键开启交互白板软件、PPT上下翻页、一键锁定/解锁触摸及整机实体按键、一键熄屏的功能。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整机关机状态下，支持通过长按电源键进入设置界面后，可点击屏幕选择故障检测、系统还原功能，系统还原可单独还原PC系统，单独还原整机系统。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整机设备自带地震预警软件，支持在地震预警页面中获取位置，可以手动进行位置校准。支持在地震预警页面中选择提醒阈值。支持在地震预警界面中开启和关闭地震预警服务。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OPS模块：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整机采用抽拉（插拔）内置式模块化电脑，PC模块可插入整机，可实现无单独接线的插拔，模块和整机的连接采用万兆级接口，传输速率≥10Gbps。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显存频率≥5000MHz，显存容量≥2GB，内存需满足≥8GB或以上配置，硬盘需满足≥256GB或以上固态硬盘。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OPS模块需具备独立非外扩展的电脑USB接口：需满足≥3个USB 3.0，≥1个USB 2.0，≥1个HDMI，≥1个1000M RJ45。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OPS模块需满足按压式卡扣方式设计，无需工具即可快速拆卸电脑模块，且具有标准PC防盗锁孔，确保模块安全防盗。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教学白板软件：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备授课一体化，支持课件云存储，无需使用U盘等存储设备，老师只需联网登录即可获取云课件，可通过数字账号、微信二维码、硬件密钥的方式登录教师个人账号，支持根据每名教师使用时长与教学资料制作频率提供可扩展升级≥200GB的个人云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学课件支持定向分享和开放式分享，在定向分享模式下，分享者可将互动课件、课件组推送至指定接收方账号的云空间，接收方可在云空间接收并打开分享课件；在开放式分享模式下，分享者可将互动课件、课件组以公开或加密的web链接和二维码形式进行分享，分享链接可设置访问有效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支持PPT的原生解析，教师可将pptx课件转化为互动教学课件，支持单份导入和批量文件夹导入两种导入方式，保留pptx原文件中的文字、图片、表格等对象及动画的可编辑性，并可为课件增加互动教学元素。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教学软件支持任意教学环境下（白板讲解、PPT讲解、视频播放等）进行全屏原笔迹书写，笔迹流畅无延迟并自带笔锋，髙度还原粉笔书写体验与效果。提供多种书写工具，含设置字体、大小、颜色、粗体、斜体、下划线、删除线、上标、下标、项目符号等复杂文本的输入，可对文本的对齐、行间距、透明度、等进行设置，方便用户编辑文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需带直播课堂功能，老师可在白板软件中提前创建直播课堂，并关联个人空间中的课件，生成听课码，学生只需微信扫码即可快速加入直播课堂，老师还可实时下发客观答题，学生可远程实时互动答题，并进行课堂发言和同步板书书写；直播课程结束后，后台自动统计报名学生名单和学生学习清单；课程结束后自动生成直播回放，报名课程的学生可反复学习；回放课程自动保存在云端，支持人工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支持树形结构目录，便于资源分类及快速查找，支持全局资源搜索，按年级、学科筛选资源，支持查找资源后快速定位到当前资源文件夹。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具备云端静默推送下载功能，无需用户手动下载即可实现应用的在线升级，升级具有信息验证机制，确保教学秩序不受干扰。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其他要求：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硬件设备至少提供三年的原厂质保。</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为保证投标软件拥有自主产权，投标时软件产品须提供软件著作权登记证书复印件。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8F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B9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33D3A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D72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8CB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全自动电脑数控模板机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84D40">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1.XY轴缝工作范围：1300*850mm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2.最高速： 2800 转/分钟。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3.针距：0.1—10.mm。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4.剪线刀传动方式：独立AC马达式传动。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5.剪线刀结构：圆刀结构。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6.旋梭标准：2 倍大旋梭。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7.可实现高品质缝纫：机头可按缝纫轨迹 360度调整缝纫方向，实现永远“正方向”缝纫，保证线迹一致,创造任何角度,任何方向缝纫完美线迹。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8.配置智能软件实现任何图案的处理。可任意编辑指令输出。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9.可直接在触摸屏上进行图案的“点修改”和“段修改”，如插入动作、加减针、变方向、变缝纫顺序、增加或删除缩缝等。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10.配置电子标签射频识别功能，模板识别数量不限制，达到无限数量识别。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11.每个缝纫图案的最大针数：90,000 针以上/图案。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12.用户程序数不低于 990个。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13.程序输入方式:U 盘数据导入。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14.自带采集花样文件输入功能。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15.显示屏操作方式：按键+全液晶式触摸显示屏。</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17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D8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A3D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DB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097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全自动免烫服装贴袋机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1175">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1.全自动贴袋机口袋的缝制作业，适用于所以口袋的缝合，采用工业计算机控制，可实现高速稳定的缝制，缝制的口袋线迹整齐划一。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2.自动贴袋机运用工业计算机控制技术，可实现自动送料、自动叠料、自动设定花形缝制等动作;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机头驱动部分采用了伺服电机直接驱动，取代了传统的外挂式大型电机，节省空间、节约电源;材质上，该机最大眼度地应用了新型高强度轻质材料，重要零部件全部采用加工中心和激光切制技术完成，保证了整机的质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4.采用折袋、缝制一次性完成工艺，造就完美产品品质:7寸高性能触摸屏可任意新建花样和快速修改花样; 快速换模功能，输人CAD曲线可自动生成缝制路线。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5.缝制袋口的形状(圆角、直角、斜角)可任意设定，缝制完毕自动收料，实现高效率生产。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6.送料方式采用气垫式平移技术，保证送料精确、平稳。本机采用高响应伺服，空送速度可以达到每分钟60米。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7.工作范围：500mmx280mm，针数：单针，机针型号：DPX17 16-23#，缝制速度：4000sti/min，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8.自动化程度：全自动 ，气压、空气消费量：0.5Mpa(5kg/cm2)、220dm3/分，线迹类型：锁式线迹。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35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F8A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019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0F4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90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汽车脚垫包边机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619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1、适用于皮革或汽车脚垫包边等车缝，筒型机座缝制鞋的滚边、凹凸、转角等形状时较稳定。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2、单针筒式三同步送料，自动加油；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3、最高转速：2000转/分钟，机针DP*17，针距：0-5mm，压脚提升高度：7-10mm，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94A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16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8A2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9C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5DF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暗缝机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6DB6">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1、小嘴电脑暗缝机，小筒直径筒式直径最小6cm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2、下落式缝抬:抬压脚 放布时厚料不容易碰到针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3、送料履带缝制时更加送料顺畅。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4、该产品广泛用于袜子、手套、帽沿、羊(棉)毛衫颈口、袖口、裤脚等筒状小口径织物的暗缝用。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电压：220V，机针：LW*6</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3B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20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F624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3FF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C4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剖缝机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8D2D">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1、专业针对面料开缝再缝，电机采用节能伺服电机驱动，节能高效、低噪音转速由控制器直接调整。最低2000转，最高可调至10000转。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2、电机有自锁功能。方便于双面呢料开缝高低的调节，顺时针旋转，刀片向上移动。逆时针旋转，刀片向下移动，无需其他工具进行辅助调节，节省调节时间。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3、开缝宽度调节也方便，省事只要松一点档布块锁紧帽，便可移动挡布块。调好后稍紧即可。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4、刀片罩调节也方便，省事，无需任何工具，便实现调节需要；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5、自动磨刀装置，刀用钝后，放开下刀凸轮手柄。按下磨刀器，便轻松实现磨刀。快捷、方便、大大减少了过去因无法磨刀，每天需要换无数刀片的烦恼。降低了成本，大大提高了工作效率。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6、配有吸风装置，采用低噪音，节能环保电机使工作环境洁净清爽，方便清理，对工人的健康极其有利。并有利于操作工的呼吸健康；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7、转速：200R/M~10000R/MM，电压：220V，功率：550W，频率：50Hz/60Hz，劈料宽度：15mm。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21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517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5B3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6D4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86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自动人像整烫机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EEAE">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1、采用横拟人体模特的结构形式，只要把衣服穿在模特身上，即可自动进行整体熨烫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2、熨后的衣服匀称笔挺，无反光，无压烫痕迹，是熨烫西装等上衣的理想工具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3、肩宽、腰高可调，人形架及有关控刺部位可旋转360度使用方便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4、电压：220/50HZ，功率0.55kw，蒸汽压力0.15-0.5mpa 外形1000x450x1630m,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31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BB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DB52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19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BB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仓库布匹展示架</w:t>
            </w:r>
          </w:p>
        </w:tc>
        <w:tc>
          <w:tcPr>
            <w:tcW w:w="6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CAB7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规格：1500mm*350mm*2000mm 三层；材质：冷轧钢；单层承重：100KG；</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92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30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614BF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42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433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指纹门禁锁</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9A1E">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操作系统：嵌入式Linux操作系统；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显示屏：2.4寸LCD液晶屏；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摄像头：200万像素单目摄像头；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刷脸验证速度：1:N人脸比对时间&lt;0.2S/人；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人脸验证精度：≥99%；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面部识别距离：0.5m-1.0m；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储存容量：300人脸600电容指纹600卡；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识别方式：刷卡、人脸、指纹、密码；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通讯方式：TCP/IP WIFI；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外部接口：USB20*1电锁*1门磁*1开门按钮*1门铃*1经销485*1；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设备电源：DC12V/1A(标配电源)；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工作温度：-10~55℃；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含门磁、开门按钮。</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55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288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D6D7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3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163670">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二、服装图案设计与打版室</w:t>
            </w:r>
          </w:p>
        </w:tc>
      </w:tr>
      <w:tr w14:paraId="4693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54B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DE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激光彩色打印机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79F5">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产品类型：彩色激光打印机；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产品定位：家用/商用；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最大打印幅面：A4；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最高分辨率 ：600×600dpi；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黑白打印速度：21ppm；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彩色打印速度：21ppm；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处理器：800MHz；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内存：标配/最大：256MB DDR，256MB NAND闪存；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双面打印：自动；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网络功能：无线/有线网络打印；</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C44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4C7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A15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D6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38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彩色喷墨打印机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CBD9">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产品类型：彩色喷墨多功能一体机；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涵盖功能：打印/复印/扫描/传真；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最大处理幅面：A3；</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双面功能：自动；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网络功能：支持无线/有线网络打印；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移动打印：WIFI直连（IEEE802.11b/g/n），AirPrint打印，惠普云打印，Mopria认证，Google云打印；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黑白打印速度：草稿34ppm；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彩色打印速度：草稿34ppm；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复印速度：黑白34cpm，彩色34cpm；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复印分辨率 ：600dpi；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连续复印：1-99页；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缩放范围：25-400%；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扫描控制器：标准配置；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扫描类型：平板+馈纸式；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扫描速度：单面(黑白/彩色200ppi)：8张图像/分钟；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光学分辨率：1200dpi；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传真控制器 ：标准配置；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传真类型：彩色；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供纸盒容量 标配：250页进纸盒，250页普通纸纸盒；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输出容量：标配：75页，最大：75张A尺寸纸，50张B尺寸纸；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自动供纸器 ：支持，可进纸35页；</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27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D9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6D90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CF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A0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设计师多功能椅</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E92C">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1.优质纳帕纹西皮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2.内板12mm木皮压制而成高密度夹板；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3.座包高密度定型海绵，经久耐用，带防尘底壳美观大方；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4.豪华飞机底盘；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5.电镀气压棒；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6.350mm电镀方脚。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7.靠背护腰曲线设计符合人体工学，全新PP材质一体成型，加厚细孔网，透气抗拉力强，靠背连接件为铝合金带逍遥功能</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0D6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DF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7EBD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979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32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设计师岩板书桌</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AA4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规格：1600*700*750mm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1、基材：采用优质三胺板，三聚氰胺纸贴面，重量为为90g/m2，甲醛释放量≤1.5mg/L，防火，耐磨，防污，硬度高；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2.封边：采用优质PVC封边带，厚度2mm,。封边带使用无铅、汞、镉三大重金属的高成份PVC粉作为原料来生产封边条，耐撞击，达到国标环保要求；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3、五金配件：优质五金配件（导轨、锁具、拉手等），均经过酸洗、磷洗等防锈处理；</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76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B3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4F88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235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63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平板电脑</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91B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显示屏：13英寸（无线局域网机型）；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容量：1TB（选配纳米纹理显示屏玻璃）；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auto"/>
                <w:kern w:val="0"/>
                <w:sz w:val="24"/>
                <w:szCs w:val="24"/>
                <w:u w:val="none"/>
                <w:lang w:val="en-US" w:eastAsia="zh-CN" w:bidi="ar"/>
              </w:rPr>
              <w:t>cpu:3.93GHz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分辨率：2752 x 2064 像素分辨率；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摄像头：1200 万像素广角摄像头；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4K 视频拍摄：24 fps、25 fps、30 fps 或 60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1080p 高清视频拍摄：25 fps、30 fps 或 60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720p 高清视频拍摄：30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ProRes 视频拍摄：最高可达 4K，30 fps (256GB 容量机型最高可达 1080p，30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扬声器：四扬声器系统；</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D8E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B2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2D00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73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DB3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绘图专用笔记本电脑</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101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1、cpu：5.40 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内存容量 ：32GB；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固态硬盘：1TB；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显存：8G；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分辨率：1920*1200；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屏幕规格：16英寸；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屏幕比例：16:9；</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内置麦克风：内置麦克风；</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4E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848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375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3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8E82">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三、民族服饰非遗实训室</w:t>
            </w:r>
          </w:p>
        </w:tc>
      </w:tr>
      <w:tr w14:paraId="2454D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1F9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63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冰箱（染色颜料，皮料保鲜）</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2ACA">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产品类别：三开门冰箱；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总容积：253L；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温控方式：电脑温控；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制冷方式：风冷；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制冷循环系统：单循环；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制冷能力：5.5kg/24h；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能效等级：1级；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噪声值：37db；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压缩机：变频；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电源性能：220V/50Hz；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11、</w:t>
            </w:r>
            <w:r>
              <w:rPr>
                <w:rFonts w:hint="eastAsia" w:ascii="宋体" w:hAnsi="宋体" w:eastAsia="宋体" w:cs="宋体"/>
                <w:i w:val="0"/>
                <w:iCs w:val="0"/>
                <w:color w:val="000000"/>
                <w:kern w:val="0"/>
                <w:sz w:val="24"/>
                <w:szCs w:val="24"/>
                <w:u w:val="none"/>
                <w:lang w:val="en-US" w:eastAsia="zh-CN" w:bidi="ar"/>
              </w:rPr>
              <w:t>无霜功能：支持；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速冷/速冻：支持；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开门报警：支持；</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87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33E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BAB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5F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CF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厨宝</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09E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容积：11升；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加热功率：2200W；</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F9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643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7B80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01F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72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电灶</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3EDC">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左电陶炉，右凹面爆炒电磁炉；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电磁炉额定功率：2500W；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电陶炉额定功率：2200W；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总功率3500W（火力平衡）；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控制方式：触控+旋钮操作；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面板材质：黑晶板+钢化玻璃面板；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C20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0AC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80FC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8E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36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实木工作台</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B75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规格：1000*3000*500mm;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1、材料：基材采用优质环保型松木板，甲醛释放量≤0.05mg/m³，挥发性有机化合物（TVOC）释放量≤0.5mg/m²·h（72h）（厚度为~8mm）；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2、表面：木器表面采用优质环保水性漆涂装，</w:t>
            </w:r>
            <w:r>
              <w:rPr>
                <w:rFonts w:hint="eastAsia" w:ascii="宋体" w:hAnsi="宋体" w:eastAsia="宋体" w:cs="宋体"/>
                <w:i w:val="0"/>
                <w:iCs w:val="0"/>
                <w:color w:val="auto"/>
                <w:kern w:val="0"/>
                <w:sz w:val="24"/>
                <w:szCs w:val="24"/>
                <w:u w:val="none"/>
                <w:lang w:val="en-US" w:eastAsia="zh-CN" w:bidi="ar"/>
              </w:rPr>
              <w:t>符合国家环境保护标准 HJ 2537-2014</w:t>
            </w:r>
            <w:r>
              <w:rPr>
                <w:rFonts w:hint="eastAsia" w:ascii="宋体" w:hAnsi="宋体" w:eastAsia="宋体" w:cs="宋体"/>
                <w:i w:val="0"/>
                <w:iCs w:val="0"/>
                <w:color w:val="000000"/>
                <w:kern w:val="0"/>
                <w:sz w:val="24"/>
                <w:szCs w:val="24"/>
                <w:u w:val="none"/>
                <w:lang w:val="en-US" w:eastAsia="zh-CN" w:bidi="ar"/>
              </w:rPr>
              <w:t>，漆面光洁平整, 木纹纹理清晰，色泽均匀；有防火、抗磨、防水等性能。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3、金属：钢管采用优质冷轧钢管，钢板采用一级冷轧钢板，表面采用优质环保型粉末涂料涂装；前处理过程不使用含磷的脱脂剂和皮膜剂，不使用卤代有机物去除油污或进行金属表面处理。满足</w:t>
            </w:r>
            <w:r>
              <w:rPr>
                <w:rFonts w:hint="eastAsia" w:ascii="宋体" w:hAnsi="宋体" w:eastAsia="宋体" w:cs="宋体"/>
                <w:i w:val="0"/>
                <w:iCs w:val="0"/>
                <w:color w:val="auto"/>
                <w:kern w:val="0"/>
                <w:sz w:val="24"/>
                <w:szCs w:val="24"/>
                <w:u w:val="none"/>
                <w:lang w:val="en-US" w:eastAsia="zh-CN" w:bidi="ar"/>
              </w:rPr>
              <w:t>《HG/T2006-2006</w:t>
            </w:r>
            <w:r>
              <w:rPr>
                <w:rFonts w:hint="eastAsia" w:ascii="宋体" w:hAnsi="宋体" w:eastAsia="宋体" w:cs="宋体"/>
                <w:i w:val="0"/>
                <w:iCs w:val="0"/>
                <w:color w:val="000000"/>
                <w:kern w:val="0"/>
                <w:sz w:val="24"/>
                <w:szCs w:val="24"/>
                <w:u w:val="none"/>
                <w:lang w:val="en-US" w:eastAsia="zh-CN" w:bidi="ar"/>
              </w:rPr>
              <w:t xml:space="preserve"> 热固性粉末涂料》4中室内用优等品所规定的要求。图层理化性能应满足GB/T 3325-2017中5.5.1中表5关于金属喷漆（塑）涂层的理化性能要求。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4、执行标准：各项技术指标符合GB/T 3325-2017 《金属家具通用技术条件》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FC5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97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22FC8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348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82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实木凳子</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8EC3">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规格：430*240*320mm;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1、材料：基材采用优质环保型松木板，甲醛释放量≤0.05mg/m³，挥发性有机化合物（TVOC）释放量≤0.5mg/m²·h（72h）（厚度为~8mm）；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2、表面：木器表面采用优质环保水性漆涂装，符合国家环境保护标准</w:t>
            </w:r>
            <w:r>
              <w:rPr>
                <w:rFonts w:hint="eastAsia" w:ascii="宋体" w:hAnsi="宋体" w:eastAsia="宋体" w:cs="宋体"/>
                <w:i w:val="0"/>
                <w:iCs w:val="0"/>
                <w:color w:val="auto"/>
                <w:kern w:val="0"/>
                <w:sz w:val="24"/>
                <w:szCs w:val="24"/>
                <w:u w:val="none"/>
                <w:lang w:val="en-US" w:eastAsia="zh-CN" w:bidi="ar"/>
              </w:rPr>
              <w:t xml:space="preserve"> HJ 2537-2014，</w:t>
            </w:r>
            <w:r>
              <w:rPr>
                <w:rFonts w:hint="eastAsia" w:ascii="宋体" w:hAnsi="宋体" w:eastAsia="宋体" w:cs="宋体"/>
                <w:i w:val="0"/>
                <w:iCs w:val="0"/>
                <w:color w:val="000000"/>
                <w:kern w:val="0"/>
                <w:sz w:val="24"/>
                <w:szCs w:val="24"/>
                <w:u w:val="none"/>
                <w:lang w:val="en-US" w:eastAsia="zh-CN" w:bidi="ar"/>
              </w:rPr>
              <w:t>漆面光洁平整, 木纹纹理清晰，色泽均匀；有防火、抗磨、防水等性能。</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66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D5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0C82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245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0A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工作台吊灯（工作灯）</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61C9">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规格：1200*200*40mm；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瓦数：48W；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灯身材质：铝；</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D4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8B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21B0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09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29C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鞋底加热烘箱</w:t>
            </w:r>
          </w:p>
        </w:tc>
        <w:tc>
          <w:tcPr>
            <w:tcW w:w="6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A54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功率：8千瓦。内部分10层，配10个托盘。内空尺寸：宽500*深500*高1000（mm）。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9D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EC9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DF8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C83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442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皮料截断下料机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754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裁断面积:800*400mm㎡;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冲程调节范围:100;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上速度:100m/s;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下速度:100m/min;</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功率:0.75kw;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张距:50~120mm;</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207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53A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64FB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A3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3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皮料下料模具</w:t>
            </w:r>
          </w:p>
        </w:tc>
        <w:tc>
          <w:tcPr>
            <w:tcW w:w="6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DBD9">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钢材质 规格不等，根据客户要求提供模具。</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1D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30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7D48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3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4171">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四、布料转印室</w:t>
            </w:r>
          </w:p>
        </w:tc>
      </w:tr>
      <w:tr w14:paraId="4F841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0F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5D1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热转移打印机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10B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1、采用全新一体式清洗保湿墨栈模块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2、错位排列小车底板 调节方便 精度更高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3、千兆网络数据传送端口，满足数码印花高清画面输出稳定性和传输速度的要求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4、双动力收纸器，打印介质快速收纳。自动测纸，防刮纸，耗材翘边，打印自动暂停，防刮伤喷头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5、打印喷头：3200喷头，数量:2个，喷嘴数量:3200个，喷头属性:自动清洗，自动闪喷保湿功能；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6、有效宽幅：1900mm，打印介质：热转印纸，介质传送：双动力直收；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7、烘干方式：外置智能风热一体烘干器，保湿模式：全密封自动保湿、清洗。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8、RIP软件：支持Maintop6.0、photoprint、ONYX、NeoStampa等软件。标配Maintop6.0，图片格式：JPG,TIF,PDF等。</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AAA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9B4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AF0F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49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A2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热转印滚筒机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967A">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1、滚简油温加热,发热更均匀,转印效果无色差,安全省电。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2、电机和减速器,经多年使用,均达到稳定。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3、温控表,数字化智能,温控系统精度更准确;变频调速器可根据转印不同产品自行调节。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4、免维护集成式导电环,导电性能更加稳定安全。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技术参数：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滚筒尺寸：200MM；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转印宽幅：1200MM；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额定功率：5KW；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温度范围：0~300C；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时间范围：0~999s；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生产效率：20~60米/小时；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使用线径：10平方；</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22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13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AA3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39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84A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烫画打印机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295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1、高分辨率，高打印速度，带给你完美的图形输出。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2、采用氟橡胶压纸轮，减少静电不飞墨，保证打印品质拒绝输出画面褶皱。</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3、无刷一体电机，图走纸更精准,画面输出更稳定；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、具有断电续打功能，打印中因环境干扰，引起连接断开，控制软件可以自动检测重新连接并拼接上一次断开部分，继续打印，避免浪费。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、有效幅面：600mm，喷墨墨水：涂料墨水，墨水颜色：CMYK+W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、RIP软件：Maintop,Photoprint，数据接口：千兆网口，打印介质：PET离型膜；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、系统配置：WIN7/WIN10,500G以上硬盘,ATI独立显卡,8G以上内存,酷睿15以上处理器；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、图片格式：JPG,TIF,PDF等，电源：220V,50HZ/60HZ,10A；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、抖粉烘干机：额定电压：220V，额定功率：5KW,能耗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:2KW-4KW,灯管数量:5支灯管,走纸方式:红外感应自动走纸,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收纸设备:感应自动收纸器和网带.</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446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FE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D0F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56C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8A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绣花机（皮包，帽子，服装绣花）</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0CB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1、双头15针电脑绣花机，适用于皮包、帽子、服装绣花针。具有平绣、成衣绣、帽绣、鞋子绣，带绣，包绣于一身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2、自动剪线、自动换色，刺绣范围：50*60cm,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3、最高转速：1200转/分钟，13 种语言可选 ，储存容量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 亿针（800 个花样）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4、采用大豪 A15 高清真彩色 10 英寸液晶触摸屏计算机，花样格式：DST,DSB 格式， 帽绣系统：270度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5、标配：帽绣装置，铝合金框架带台板，塑料成衣绣框，工具箱，常用零件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6、机架：重型钢架和万向轮确保移动顺畅，又能稳固。 </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966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E2C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B2CF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16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DCF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烘洗机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B339">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1、产品类型：洗烘干一体机，能效等级：一级，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2、开合方式：前开式，堆码层数极限：4层，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3、用水量：64L，脱水公斤量：10kg，烘干方式：冷凝式，烘干公斤量：7kg；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4、烘干功率：1200W，最高转速：1200转/分钟；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5、工作方式：皮带驱动，使用方式：全自动，排水方式：上排水，内桶材质：不锈钢；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6、箱体材质：PCM钢板，电机类型：BLDC变频电机，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7、附加功能：自动断电,中途添衣,断电记忆功能,童锁,预约,除菌，控制方式：电子式。</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5BC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C5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8353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74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07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电动晾衣架</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7C09">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晾杆尺寸:1.15-2.08m;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晾杆数量:衣杆*2+被杆*2;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升降高度:1.2m;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照明功率:16W;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晾衣孔数:24个;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材质:镀锌铁、铝型材;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功能:照明、烘干、风干、除菌、轻抬上升、遇阻即停。</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796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33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98F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3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FE18">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五、毛衣编织与皮衣制作室</w:t>
            </w:r>
          </w:p>
        </w:tc>
      </w:tr>
      <w:tr w14:paraId="7DBD9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07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F5B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全自动电脑横机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EA4C">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5.0英寸全电机编码器小机头：效率高，稳定性好，异常报警，杜绝撞针。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全成型组合罗拉:拉力横向及前后床分段单独控制，可实现一行里面多种拉力及前后床独立控制,满足不同组织的拉力需求,是做高端全成型衣服的必要配置。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双向收针:同一行左右两边同时收针,高速高效。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动态度目:单行度目多次可变,编织花型更加丰富。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虽制脱圈:一键开启,解决包头针。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摇床零等待:翻针编织同步进行,效率更高。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各类组织：实现挑孔、吊目、嵌花、四平、各类提花、明收针、明放针、暗收针、夹丝、衬纬等各类组织以及全成型衣服。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适用性广：使用羊毛、羊绒、棉、化纤、真丝及各类混纺纱线。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寿命更长：针板自动加油，减少针与山板磨损，延长使用寿命。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针型：10.2G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编织幅宽：72,80inch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编织系统：全成型系统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编织速度：通过AC伺服电机控制，128段选择，最高速度可达1.6米/秒。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编织功能：实现桃孔、吊目、嵌花、四平、各类提花、明收针、明放针、暗收针、夹丝、衬纬等各类组织以及全成型衣服。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摇床：采用AC伺服马达控制,移针范围达2英寸,同时具有精确的微调功能。翻针编织同步进行,效率更高。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线圈密度：步进马达控制,128段密度选择,采用细分基数,可调范围:0-650度,更能准确地控制片衣长短。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动态度目：高速步进电机实现,支持在花型一行内实现多段可变度目控制,实现同行多种密度的织物编织,丰富编织花型。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选针系统：采用先进的编码器,配备8段特殊精密选针器,每组选针器皆可在机头外侧装卸,易于维护及保养。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翻针系统：二角整合设计,可单独或同时翻针从而提高生产效车。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沉降片系统：电子步进电机微调控制沉降片系统,可依纱的材质调整参数设定。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快速回转：智能切换编织系统提高编织效率。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卷布系统：拉力横向及前后床分段单独控制，可实现一行里面多种拉力及前后床独立控制,满足不同组织的拉力需求,是做高端全成型衣服的必要配置。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换色系统：4根导轨2*8把纱嘴,可在针床的任何位置移动;智跑纱嘴(选装)。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送纱装置：精确控制纱线的张力,确保整体织片质量的一致性。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零废纱起底板：左右各配两个夹子和一把剪刀,用高精度步进电机送丝,用伺服电机控制上下。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保护系统：当断纱，结头，浮纱，倒卷，片数结束，移床未归，撞针脚或程序错误时机器报警系统将启动，并设置安全自动锁定保护装置。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控制系统：1.机器运行时可随时显示各种运行参数,并可进行调整,使操作尽可能方便,省时。2.扩展内存高达2G。3.设计系统和控制系统(软件)易于免费更新。4.多语言操作系统,有中文,英文,西班牙语和俄语等等。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自动加油装置：自动加油:通过设定时间及频率,油泵自动给针板上的长针弹簧针加润滑油,减少机器磨损,增加使用寿命。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电源装置：单相220V/三相380V,采用先进的CMOS技术,实现停电记亿、来电恢复编织功能。</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2C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BD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38C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8C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E98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直驱裘皮机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51D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1、此款机型为单线直驱裘皮机，其缝出的双线线迹美观。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2、该机型机针定位准确，转速能设定,并且低噪音，省电 60% 以上。是有关行业的理想设备。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3、适用于:皮毛厂、服装厂、皮件厂、帽厂等缝制水貂皮、狐皮、兔皮等各种中薄料裘皮的缝制。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4、机针：DB*1，线数：1线，针距：0.9-3mm，线迹宽度：2.5mm，针杆行程：25.5mm,最高缝速：2500转/分钟，功率：550W。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35C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E19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1F4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C1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64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缝绳裘皮机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8FB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1、此款机型为双线直驱裘皮机，其缝出的双线线迹美观。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2、该机型是电脑一体机,机针定位准确，转速能设定,并且低噪音，省电 60% 以上。是有关行业的理想设备。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3、适用于:民族服饰盘扣圆绳实心缝皮、服装装饰缝等,线迹长短,宽窄都可调节。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机针：DB*1，线数：2线，针距：1.5-5mm，线迹宽度：3mm，针杆行程：29mm,最高缝速：2000转/分钟，功率：550W。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FA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E27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9774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04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D56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盘扣钉扣机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D620">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1、采用了刚性较高机架，低噪音低振动，进一步改善了电控系统的功能，反应及响应速度更加灵敏。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2、改善了夹线系统，高速起缝时可防止产生面料脱线，缩短了切线后的针线余成，可有效防止在缝纫开始时出现鸟巢状线迹，改善了电功功率，厚料缝制也能轻松完成。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3、全新的无油设计，封闭式齿轮箱设计，优越的操作性能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，使用简便的操作控制盘。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4、唐装扣专用钉扣机，配专用唐装扣压脚。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5、最高缝制速度:2000rpm,机针：DP*5，缝迹长度：0.1-10 mm，针杆行程：45.7mm，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6、记忆容量：最多项式20.000针，可记忆数据数：200个花样(最少可追加150个花样的缝制数据，根据用户选用的盘容量大小而定），记忆媒体：EEP-ROM,EP-ROM，机器马达：400WV小型AC伺服马达 。</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13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31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4E17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5931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7D0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实心扣条机机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5213">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1、直驱缝绳裘皮机适用于数据线、唐装扣线、工艺品装饰品、民族服饰盘扣圆绳实心缝皮等行业，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2、采用箱体主体，直驱电机，速度可调；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3、自动上油，经过零件特殊加工后，可用于各种规格 4-10mm 包皮缝纫作业，操作高效简便，是各种工艺品广首选产品。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4、机针：DB*1，线数：1线，针距：1.5-5mm，线迹宽度：3mm，针杆行程：29mm,最高缝速：2000转/分钟，功率：550W。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834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67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BA8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11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86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双面呢裘皮机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65C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1、直驱双面呢裘皮机是通过部件升级改装，传统一件双面呢大衣用手工缝纫需要 3小时左右，用双面呢裘皮机只需十几分钟就能完成，大大减少了服装工人并迅速提高了服装产量和经济效益。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2、压脚直驱伺服马达驱动，自动加油；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3、机针：DB*1，线数：1线，针距：3.5-5mm，线迹宽度：5mm，针杆行程：29mm,最高缝速：2500转/分钟，功率：550W。</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C2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F17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0FBC2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C40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981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三针五线绷缝机（配拉筒）</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5F0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1、采用三合一直驱技术，具有包边缝、立骨缝、折下摆等功能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2、自动剪线、自动抬压脚、上下停针，故障报警等功能。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采用横筒式结构，机针：UY128，针迹宽度：1.4*4.5mm，双针间距：5.6mm，差动比：1：0.7-1：2.0，压脚提升高度：7mm，最高转速：5000转/分钟。</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45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C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E5A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511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D0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皮具缝纫机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242E">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针/线数:单针单线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作用对象:织物/皮革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驱动形式:电脑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自动化程度:全自动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线迹类型:绗缝机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适用场所:工厂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整机重量:65Kg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转速：5000转，适用于缝制薄的和中等厚度的针、棉、毛、花纤等织品及轻便皮革制品，该机结构合理、性能优良、运转平稳、噪音下、使用方便、经久耐用、外型美大方，全自动润滑系统和装有油量控制阀，不沾污衣物，该机采用国内标准的通用零部件，方便用户，配件采购，是服装、鞋帽行业理想的缝制设备。</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63A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01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A87A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34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2E6B">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六、服装CAD与表演多媒体教室</w:t>
            </w:r>
          </w:p>
        </w:tc>
      </w:tr>
      <w:tr w14:paraId="155E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C78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90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室内全彩显示屏</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AFA6">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投标产品LED像素点间距≤1.86mm;像素密度≥288906点/㎡，每个像素点采用1纯红1纯绿1纯蓝三像素，表贴三合一封装。LED显示屏整屏像素失控率小于0.000001且区域像素失控率小于0.000003。（提供封面具有CNAS盖章的第三方检测机构出具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2、显示屏有效显示尺寸为5.26m*2.97m（按照项目修改尺寸），投标方也可根据自身产品尺寸进行拼接，但是设计显示尺寸长和宽均不得小于规定长宽，误差范围不超过2％。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3、LED显示屏整屏平整度：≤0.05mm，单元平整度：≤0.05mm，模组间缝隙：≤0.10mm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18Bit，281 万亿色，达到广播级 1024 级灰度，色域覆盖率 100%，YLV(PAL)色域覆盖率≥170%，支持 BT.2020、DCI-P3、BT.709、SRGB 等多种色域转换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4、"投标产品的显示单元白平衡亮度≥600cd/㎡，对比度≥4000：1；色温2000K~18000K连续可调。色温在6500K时，100%、75%、50%、25%四档电平白场调节色温误差＜100K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（提供封面具有CNAS盖章的第三方检测机构出具的检测报告复印件）"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投标产品支持前拆前维护和后拆后维护功能，支持用户级模组前维护方式,可在正面拆卸、安装，支持带电维护,热插拔,维护时间不超过10秒，支持单点维修更换。（提供封面具有CNAS盖章的第三方检测机构出具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6、投标产品水平和垂直视角≥170°；亮度均匀性≥99%，色度均匀性≤±0.001Cx、Cy之内，产品出厂老化后送样测试，衰减率＜15%。（提供封面具有CNAS盖章的第三方检测机构出具的检测报告复印件）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7、组成LED显示屏的显示模组的平均失效间隔工作时间MTBF≥100000小时，平均修复时间MTTR≤5分钟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8、视网膜蓝光危害：符合 GB/T 20145-2006 标准要求，对样品发光器件(灯珠) 蓝色光的波长进行测试。为保证产品屏幕光看起来柔和不刺眼，产品需要具备蓝光护眼多重过渡保护系统显示屏调到蓝光最亮状态下测试，蓝光危害加权辐亮度值 (LB) 应优于国标限量值≤100W·m-2·sr-1，并在 2.8h 内不造成对视网膜蓝光危害 (LB)，蓝光视网膜危害应属无危害类。依据 GB/T 20145-2006 标准进行光生物安全评估检测，光生物安全检测应属无危害类:30000s 曝辐中不造成光化学紫外危害 (ES) ，并在 1000s内不造成近紫外危害并在 10s 内不造成对视网膜热危害 (LR) ，且在1000s 内不造成对眼睛的红外辐射危害 (EIR)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9、机械强度≥25MP  拉伸强度≥50MP,符合GBT1040标准；缺口冲击强度≥7KJ/㎡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10、根据 SJ/T 11590-2016 LED 显示屏图像质量主观评价方法，大屏静态图像清晰度、运动图像清晰度、大面积色彩还原、图像均匀性、拼装精度、回扫线或频闪现象均符合评价优。11、投标产品可提供中国节能产品认证证书（CQC）</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EE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43C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14:paraId="4A4A7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3AB8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76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7C2C">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产品类别：LED开关电源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电源参数输出电压：4.5V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输出电流：50A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额定功率：225W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纹波噪声：150mVp-p</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电压精度：±2.5%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线性调整率：±0.5%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负载调整率：±2%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启动、上升时间：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2500ms，50ms/230VAC 负载 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保持时间：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20ms/230VAC 负载100%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输入电压：180～264VAC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频率范围：47～63HZ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效率：≥88%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交流电流：230VAC/2.8A</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浪涌电流：冷启动 60A/230VAC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泄漏电流：&lt;1mA/240VAC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过负载：110～150% rated</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运行环境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工作温度：-20℃～50℃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工作湿度：20～90%RH不凝固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存储湿度：10～95%RH 不凝固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存储温度：-30～+85℃</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D2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CC8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0D0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63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B1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接收卡</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22F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集成16个标准HUB75接口，免接HUB板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采用千兆网口通信，可以连接PC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支持亮色度逐点校正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支持接收卡预存画面设置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支持温度、电压、网线通讯和视频源信号状态检测</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88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19C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r>
      <w:tr w14:paraId="27B3F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6AE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B66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视频控制器</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0C12">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支持2 路 HDMI1.4，1 路 DVI视频输入，1路HDMI环通输出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 HDMI、DVI 输入分辨率自定义调节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支持快捷配屏和高级配屏功能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支持设备间备份设置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支持10路千兆网口，视频带载高达 650 万像素，带载支持最大宽度10240，高度8192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支持带载屏体亮度调节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支持一键将优先级最低的窗口全屏自动缩放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支持3个图层窗口，图层大小和位置可单独调节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支持创建 10 个用户场景作为模板保存，方便使用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支持选择 HDMI 输入源或 DVI 输入源作为同步信号，达到输出的场级同步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支持逐点亮色度校正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前面板配备直观的 LCD 显示界面，清晰的按键灯提示，简化了系统的控制操作</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C0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FF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1F2A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8A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C80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大屏管理平台</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5BE6">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系统具备C/S和B/S架构，支持通过浏览器对系统进行设备统一管理，支持同时管理不同分辨率、不同类型的显示屏系统、中央控制系统、拼控系统；实现对显示屏、拼控设备、播控主机、KVM坐席、PC主机、中控主机、LED控制卡、PLC配电柜的统一管控；（提供封面具有CNAS 、CMA认证标识的公安部报告证明复印件并加盖原厂公章）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系统支持网页、客户端、APP（安卓、鸿蒙、IOS、windows）三端数据实时同步；WEB端、平板端、客户端均可以所见即所得的查看在线场景、离线场景的画面布局、场景的实时画面，以及信号的实时画面；（提供封面具有CNAS 、CMA、认证标识的公安部报告证明复印件并加盖原厂公章）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3、不依赖中控等第三方设备，支持对播控主机通过平台远程管控，包括同步、开机、关机、重启、升级播控主机程序。（提供封面具有CNAS 、CMA认证标识的公安部报告证明复印件并加盖原厂公章）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4、支持监控信号、拼控信号、坐席信号、PC信号的管理查询；可对拼控信号设置设置信号分组，分组支持新增、重命名、删除、移动等操作；信号支持按名称模糊搜索。（提供封面具有CNAS 、CMA、认证标识的公安部报告证明复印件并加盖原厂公章）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分别统计拼控大屏、播控大屏、会议平板的屏幕数量；支持查看拼控器的设备总数、在线数、在线率、所在场所名称、设备名称；支持查看中控主机设备总数、在线数、在线率；支持查看播控主机设备总数、在线数、在线率，以及每个播控主机的页面数量、分辨率、温度、稳定运行时长、内存使用情况、硬盘使用情况、CPU使用比例；支持查看PC主机的在离线情况；支持查看设备的在离线告警，近7天告警数量统计，近7天离线次数统计。（提供封面具有CNAS 、CMA认证标识的公安部报告证明复印件并加盖原厂公章）</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86C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9AD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4B920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567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DA7F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2CBA">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功能特性：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控制方式：手动+时控+选控三位一体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手动状态：一键启停，分步上电、断电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时控状态：设置4组控制时间段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选控控制：多功能卡、PLC、干接点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空调控制：单独温度设定控制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级联控制：自动级联控制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保护内容：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零线电缆高温保护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高温断电保护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短路保护</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12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D2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16BF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68B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49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专用线材</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DFFE">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电源线、网线等。</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16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42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r w14:paraId="316E7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756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E1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专业功放</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4A5E8F33">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1.1U机箱设计，采用D类数字功放设计方案。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2.标准XLR输入接口，和LINK输出口。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3.电源采用开关电源技术，效率高，有效的抑制电源谐波。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4.内置智能削峰限幅器，支持开机软启动，防止开机时向电网吸收大电流，干扰其它用电设备。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5.具有：过压保护，欠压保护，过流保护，直流保护，输出短路保护，温控风扇等功能。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6.输出功率：立体声@8Ω：≥500W×2；立体声@4Ω：≥850W×2；桥接@8Ω：≥1700W。</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BD0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369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4BB3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4A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E8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专业音箱</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1BCE854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1.阻抗≤8Ω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2.频响等同或优于55Hz~20KHz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3.额定功率≥300W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4.灵敏度≥98dB/W/M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5.水平覆盖角≥80°，垂直覆盖角≥60°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6.高音≥1.4"压缩高音单元×1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7.低音≥10"低音×1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CE1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A5A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14:paraId="772A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09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9A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17D7E492">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音箱支架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075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A9F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14:paraId="5E30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32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A9E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调音台</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7A8CAE8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1.支持≥8路麦克风输入兼容6路线路输入接口，支持≥2路立体声输入接口，≥4路RCA输入，话筒接口幻象电源：+48V。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2.具有≥2组立体主输出、≥4路编组输出、≥4路辅助输出、≥1组立体声监听输出、≥1个耳机监听输出、≥1个效果输出、≥1组主混音断点插入、≥6个断点插入。（提供接口图佐证）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3.内置≥24位DSP效果器，提供≥100种预设效果。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4.具备≥13个60mm行程的高精密碳膜推子。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5.内置USB声卡模块，支持连接电脑进行音乐播放和声音录音；内置MP3播放器，支持≥1个USB接口接U盘播放音乐。（提供接口图佐证）</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ACF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E9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1639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046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5C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音频处理器</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7E4296FA">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1.数字音频处理器支持≥8路平衡式话筒/线路输入通道，采用裸线接口端子，平衡接法；支持≥8路平衡式线路输出，采用裸线接口端子，平衡接法。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输入通道支持前级放大、信号发生器、扩展器、压缩器、≥12段参量均衡，≥31段图示均衡、闪避器、AGC自动增益、AM自动混音功能（门限式、增益共享式）、AFC自适应反馈消除、AEC回声消除、ANC噪声消除、音频矩阵。（提供设备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3.输出通道支持≥12段参量均衡，≥31段图示均衡、延时器、分频器、高低通滤波器、限幅器。（提供设备界面截图佐证）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4.高性能专业DSP处理器，支持≥32bit/48kHz的声音，支持输入通道48V幻象供电。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5.具有≥2英寸IPS真彩显示屏，支持显示设备网络信息、实时电平、通道静音状态。（提供设备界面截图佐证）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6.支持通过APP软件进行操作控制，面板具备USB接口，支持多媒体存储，可进行播放或存储录播。（提供功能界面截图及接口截图佐证）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7.配置双向RS-232接口，可用于控制外部设备；配置RS-485接口，可实现自动摄像跟踪功能。配置≥8通道可编程GPIO控制接口（可自定义输入输出）。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8.支持断电自动保护记忆功能。支持通道拷贝、粘贴、联控功能。管理控制软件可工作在XP/Windows7、8、10等系统环境下。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9.≥8个场景预设，支持场景信息导入、场景信息导出。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31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FA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9D2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1C4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D0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接收机</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41393A3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1.采用数字U段传输技术，pi/4-DQPSK调制方式，抗干扰能力强，误码率低，传输稳定。</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2.可一键频率扫描，避开干扰；可一键红外对频。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3.具有混响、高中低音调节。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4.接收机采用2.2英寸TFT-LCD屏。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5.具有≥8路平衡输出、≥2路非平衡混音输出。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6.投标产品制造商达到GB/T 27922-2011《商品售后服务评价体系》十星级的服务认证证书，提供证书复印件及平台查询结果截图。</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315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746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1F07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E8D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632B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手持话筒</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41554765">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1.音头：动圈式麦克风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2.频率范围：等同或优于540MHz-590MHz、640MHz-690MHz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3.调制方式：pi/4-DQPSK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4.电池使用时长：&gt;10H</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A48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F5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14:paraId="1936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F36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13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话筒</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2DCA336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1.采用独有数字U段传输技术，pi/4-DQPSK调制方式。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2.支持自动频率扫描功能，可快速地找到清晰的频率。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4.支持混响调节功能，比例调节、延时调节、电平调节不低于25个档位。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5.支持麦克风均衡器调节功能，不低于高、中、低音三种调节档位。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6.支持音频加密功能，开启后话筒与接收机通过独特的ID码导频加密技术，不受同频段或其他设备干扰。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7.支持调节发射功率，包含高、低发射功率。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8.产品具有显示屏，用户可通过显示屏查看设备发射功率状态、开关麦状态、电量显示状态。（提供软件界面截图佐证）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9.不低于1个3.5mm耳机孔，可通过3.5mm耳机孔输入音频。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10.支持通过Type-C口进行充电。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11.设备电池孔位不低于4个，连续使用时长不低于15小时；电池具有扩展性，连续使用时长可扩展至60小时。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B7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DFE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14:paraId="0F7F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7E2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A4C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头戴腰包</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460A60D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1.音头：电容式麦克风（头戴话筒）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2.频率范围：等同或优于540MHz-590MHz、640MHz-690MHz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3.调制方式：pi/4-DQPSK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4.电池使用时长：&gt;10H</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1C3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8B3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r>
      <w:tr w14:paraId="2392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BFF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773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电池</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004AA65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提供WiFi会议单元电池（18650锂电池）≥4颗/包，每颗电池容量为≥2400mAh。</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79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D20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r>
      <w:tr w14:paraId="1ED2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86B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360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抑制器</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41576D90">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1.高性能DSP处理，≥40-bit DPS处理器（400兆主频），提供≥32-bit/48kHz的声音。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2.采用“陷波”+“移频”双方式进行反馈抑制。陷波器提供12固定点+12动态点。高精度移频，范围等同或优于-10Hz到10Hz。（提供功能界面截图佐证）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3.均衡器支持≥31段图示均衡器和8段参量均衡器。（提供功能界面截图佐证）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4.支持巴特沃斯，贝塞尔，林克威治-瑞利三种类型及多种倍频程。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5.具有自动增益功能，声音达到一定峰值自动衰减变小，声音较小则自动增益放大。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6.具有一个IPS真彩显示屏。支持中英文切换显示。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7.具有≥48个陷波器状态LED指示灯实时显示，每通道≥12个静态+≥12个动态陷波器。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8.具有≥双通道直通，一键重置陷波点配置功能。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9.支持≥4个场景切换。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10.支持设备定位功能、断电自动保护记忆功能。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11.输入通道及插座≥2路XLR与TRS多功能座模拟输入；输出通道及插座≥2路XLR公座+≥2路TRS公座模拟输出。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12.支持通过后台管理软件对多台设备进行批量升级。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D6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B1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384A1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E25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DB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电源管理器</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2CE97F36">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2.当远程控制有效时同时控制后板ALARM（报警）端口导通以起到级联控制ALARM（报警）功能。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3.单个通道最大负载功率≥2200W，所有通道负载总功率≥6000W。输出连接器：多用途电源插座。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4.具有一路及以上USB输出接口。</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031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237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65D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4B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007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507B">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1.容量：37U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2.尺寸600*600*1833mm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3.配置：8口PDU国标电源插排×1，固定板部件×3,风扇×2,2"重型脚轮×4，M12支脚×4，M6方螺母螺钉×40，内六角扳手×1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E93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4E7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D61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24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E1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29BD6BE5">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3米音频连接线：卡侬头（母）-卡侬头（公）</w:t>
            </w:r>
          </w:p>
        </w:tc>
        <w:tc>
          <w:tcPr>
            <w:tcW w:w="788" w:type="dxa"/>
            <w:tcBorders>
              <w:top w:val="nil"/>
              <w:left w:val="single" w:color="000000" w:sz="4" w:space="0"/>
              <w:bottom w:val="single" w:color="000000" w:sz="4" w:space="0"/>
              <w:right w:val="single" w:color="000000" w:sz="4" w:space="0"/>
            </w:tcBorders>
            <w:shd w:val="clear" w:color="auto" w:fill="auto"/>
            <w:noWrap/>
            <w:vAlign w:val="center"/>
          </w:tcPr>
          <w:p w14:paraId="23ECDE8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362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6A84B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070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CB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63020211">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3米音频连接线：卡农头（母）-空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B27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034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70E7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2E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A8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00082151">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3米音频连接线：6.35话筒插头-空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D1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EA0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49A3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D08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F8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4BD318BD">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1.8米音频连接线：卡农头（公）-空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99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C3B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649B7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284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1EB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0CD4AEE3">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1.8米音频连接线：6.35话筒插头-6.35话筒插头</w:t>
            </w:r>
          </w:p>
        </w:tc>
        <w:tc>
          <w:tcPr>
            <w:tcW w:w="788" w:type="dxa"/>
            <w:tcBorders>
              <w:top w:val="nil"/>
              <w:left w:val="single" w:color="000000" w:sz="4" w:space="0"/>
              <w:bottom w:val="single" w:color="000000" w:sz="4" w:space="0"/>
              <w:right w:val="single" w:color="000000" w:sz="4" w:space="0"/>
            </w:tcBorders>
            <w:shd w:val="clear" w:color="auto" w:fill="auto"/>
            <w:noWrap/>
            <w:vAlign w:val="center"/>
          </w:tcPr>
          <w:p w14:paraId="32107F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C24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061F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2B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15B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音频连接线</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0EA2F70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5米音频连接线：3.5（耳机插头）-双6.35话筒插头</w:t>
            </w:r>
          </w:p>
        </w:tc>
        <w:tc>
          <w:tcPr>
            <w:tcW w:w="788" w:type="dxa"/>
            <w:tcBorders>
              <w:top w:val="nil"/>
              <w:left w:val="single" w:color="000000" w:sz="4" w:space="0"/>
              <w:bottom w:val="single" w:color="000000" w:sz="4" w:space="0"/>
              <w:right w:val="single" w:color="000000" w:sz="4" w:space="0"/>
            </w:tcBorders>
            <w:shd w:val="clear" w:color="auto" w:fill="auto"/>
            <w:noWrap/>
            <w:vAlign w:val="center"/>
          </w:tcPr>
          <w:p w14:paraId="43E102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949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r>
      <w:tr w14:paraId="0639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E20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E3C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固定染色灯</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20DFC82A">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1.采用54×3W LED光源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2.具备25°透镜角度，1-25Hz/s的频闪速度，具有调光功能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3.具有RGBW混色功能，3200-7200K色温调节功能。（需提供得到CMA或CNAS认可的检测机构出具的检测报告作为该技术参数证明材料）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4.具有主从自走自动同步功能，具有控台正常控制自走永久同步，具有声控功能。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5.具有过温保护功能，支持NTC温度控测，当LED工作过热时，降低LED的输出功率。（需提供得到CMA或CNAS认可的检测机构出具的检测报告作为该技术参数证明材料）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6.具备DMX512接口，支持RDM协议，具有程序在线更新功能。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7.支持DMX控制通道数量为4/8通道。</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6B0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469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644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52C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7A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摇头灯</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6D062E4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1.采用OSRAM 251W光源，具有8000K色温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2.具备2.5°光束角度，频率0.5-13次/s的频闪速度，具有雾化功能。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3.色盘由≥14个颜色片+1个白光组成，具有双向彩虹效果，速度可调，任意定位功能。（需提供得到CMA或CNAS认可的检测机构出具的检测报告作为该技术参数证明材料）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4.固定图案盘由≥16个固定图案片+1个白光组成，有单向流水,速度可调，任意定位功能。（需提供得到CMA或CNAS认可的检测机构出具的检测报告作为该技术参数证明材料）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5.具有十六面旋转棱镜+6排镜，棱镜能正反向旋转,可叠加,速度可调。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6.采用宽屏2.8英寸LCD液晶中英文显示界面，采用菜单分层结构,支持触摸屏的常规操作，包括点击、双击、滑动等操作手势。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具有散热功能，采用风向引流与温度监控技术,根据灯具不同位置的温度高低，自动驱动灯具里面不同部位的冷却风扇，对灯具部件进行有效的冷却。（需提供得到CMA或CNAS认可的检测机构出具的检测报告作为该技术参数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8.具有Y轴自动补偿校准功能，当灯具陀螺仪功能打开时，Y轴自动补偿校准，具有3-25.5米自动对焦功能。（需提供得到CMA或CNAS认可的检测机构出具的检测报告作为该技术参数证明材料）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9.配备DMX512接口，支持RDM协议，Art-net以太网数据接口。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10.具有DMX控制通道数量为14/17通道。</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4A2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8D1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60E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4A2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A7E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控台</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5963118D">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1.具备1024个DMX512 通道数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2.具备96台电脑灯的配接数量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3.支持电脑灯重新配接地址码，支持灯具水平垂直交换，支持灯具通道反相输出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4.支持灯具通道滑步模式切换，支持40主通道+40微调通道控制，支持R20灯库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5.具备60个可保存的场景，具备10个可同时运行的场景，具备600步场景的总步数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6.具备淡入、淡出、LTP滑步场景时间控制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7.支持推杆启动场景并进行调光，支持互锁场景，支持点控场景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8.具备图形生成器，每个场景可存储5个图形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9.具备10个可同时运行图形数量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10.具备全局、重演、灯具主控推杆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11.支持立即黑场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12.支持转盘调整通道数值，支持推杆调整通道数值，支持推杆调光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13.支持FAT32格式U盘读取</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224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ABE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7748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FC4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C3D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直通箱</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7B82F11D">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1.具备过载与短路双重保护高分断空气开关。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2.具备12路×4kW功率输出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3.支持A.B.C三相工作指示灯。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4.支持两脚和三脚万能用插座。</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424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CCA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3C1B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C4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D4D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信号放大器</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1BFB93AD">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1.支持DMX512公母接口输入。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2.支持输入输出光电隔离。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3.支持8路独立放大驱动输出。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4.具备信号放大整形功能，延长信号传输距离。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5.具备增强数据总线接入设备数量的能力。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6.具备独立的LED信号指示。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FB5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6F1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4CC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89E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A0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摄影打光灯（套装）</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39795835">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198000lm太阳灯*+深口柔光箱*2+长条柔光箱*1+八角柔光箱*1  2.8m加粗支架*3 4m顶灯支架*1</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8A3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E73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4DF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1CB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C44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单反相机</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66A1305D">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操作方式：全手动操作；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传感器类型：CMOS；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传感器尺寸:全画幅（36*24mm）;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有效像素:3040万高清级像素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影像处理器 :DIGIC6+;</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最高分辨率:6720×4480;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高清摄像:4K超高清视频;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对焦方式:单次自动对焦，人工智能伺服自动对焦，人工智能自动对焦，手动对焦;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对焦点数:61点（41个十字）;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显示屏类型:触摸屏;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显示屏尺寸:3.2英寸;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显示屏像素:162万像素液晶屏;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菜单语言:25种（含简体中文）;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取景器类型:光学;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快门类型:电子控制焦平面快门;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闪光灯类型 :外接;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曝光模式:自动曝光，程序自动曝光（P），光圈优先（A），快门优先（S），手动曝光（M）;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曝光补偿:手动：±5EV（1/3EV或1/2EV步长）;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自动包围曝光：±3EV（1/3EV或1/2EV步长）;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测光方式:评价测光，中央重点测光，点测光，局部测光;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白平衡:自动（氛围优先)，自动（白色优先)，预设（日光，阴影，阴天，钨丝灯，白色荧光灯，闪光灯），用户自定义，色温（约2500-10000K）</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感光度:ISO 100-32000，可扩展最高到ISO 50-102400;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存储卡类型:CF/SD/SDHC/SDXC卡，兼容UHS-I;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无线功能:WiFi（IEEE 802.11b/g/n），NFC;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产品功能:GPS功能;</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3C5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CC2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072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E55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161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单反相机云台</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835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一、外围设备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1、配件接口：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RSA 配件扩展接口／NATO 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1/4"-20 安装孔；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冷靴接口；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图传接口（USB-C）；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RSS 相机快门控制接口（USB-C）；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跟焦电机接口（USB-C）；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容量：3000 毫安时；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能量：21 瓦时；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最长待机时间：12 小时（在云台调平且静置状态下测得。若云台处于运动状态，续航时间会缩短。）；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充电时长：约 2.5 小时（用支持 18 瓦快充的充电器测得。推荐使用支持 PD 协议的充电器。）；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建议充电环境温度：5℃ 至 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3、支持接口类型：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蓝牙 5.1；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充电接口（USB-C）；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4、安装要求：iOS 11.0 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Android 8.0 及以上；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5、负载重量3 千克；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6、最大可控转速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平移方向：360°/秒；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俯仰方向：360°/秒；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横滚方向：360°/秒；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7、机械限位范围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平移轴无限位；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横滚轴 -95° 至 240°；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俯仰轴 -112° 至 214°；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8、工作频率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2.400 GHz 至 2.4835 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9、蓝牙发射功率&lt;8 dBm；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10、工作环境温度-20℃ 至 45℃；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二、DJI Ronin 图传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1、支持接口类型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充电／通信接口（USB-C）；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HDMI 接口（Mini-HDMI）；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RSS 相机控制接口（USB-C）；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2、拓展接口冷靴接口；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3、工作频率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2.400 GHz 至 2.4835 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5.725 GHz 至 5.850 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容量：2970 毫安时；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适配充电器规格：5 伏，2 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充电时间：约 2.5 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续航时间：约 3.5 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5、传输距离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200 米（SRRC／FCC）；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100 米（CE）；</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533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0FF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532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23B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D8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防抖运动相机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4CA4">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传感器类型 ：CMOS；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传感器尺寸：1/1.9英寸；</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有效像素：27.6MP 有效像素万像素；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镜头：光圈：F2.5;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防抖性能：HyperSmooth 超强防抖 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照片分辨率：27.13MP (5568x4872);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视频分辨率：5.3K (8:7) 30/25/24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5.3K (16:9) 60/50/30/25/24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4K (8:7) 60/50/30/25/24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4K (9:16) 60/50/30/25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4K (16:9) 120/100/60/50/30/25/24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2.7K (4:3) 120/100/60/50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2.7K (16:9) 240/200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1,080 (9:16) 60/50/30/25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1080p (16:9) 240/200/120/100/60/50/30/25/24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照片模式：标准照片，连拍照片，夜景照片；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视频模式：视频压缩标准：H.265 (HEVC)；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图片格式：.jpg，.gpr (RAW)；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视频格式：5.3K (16:9) 30/25/24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4K (8:7) 30/25/24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4K (16:9) @60/50/30/25/24 fps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视频最大码率：120Mbps；</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液晶屏类型：触摸屏；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菜单语言：12种语言；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WiFi工作频率：2.4GHZ；5GHz；</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WiFi协议：802.11 a/b/g/n/ac；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蓝牙版本：蓝牙4.2；</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麦克风：3个降风噪麦克风；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防水功能：没有保护壳，10 米防水。有保护壳，60 米防水；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存储介质：SD卡；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USB接口：USB Type C；</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HDMI接口：HDMI接口；</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675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915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14:paraId="20028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4EC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1D5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运动相机灯光模组</w:t>
            </w:r>
          </w:p>
        </w:tc>
        <w:tc>
          <w:tcPr>
            <w:tcW w:w="6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2EA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运动相机配套灯光模组</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56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1D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6AB0F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16D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6A7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运动相机三脚架</w:t>
            </w:r>
          </w:p>
        </w:tc>
        <w:tc>
          <w:tcPr>
            <w:tcW w:w="6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BF35">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运动相机配套三脚架</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C07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145D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0F42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3C7E">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D4F4">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运动相机麦克风外框+拓展接口</w:t>
            </w:r>
          </w:p>
        </w:tc>
        <w:tc>
          <w:tcPr>
            <w:tcW w:w="6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2EC0">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运动相机配套麦克风外框+拓展接口</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26AE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94D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1C41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551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A20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B17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起飞重量：低于 249 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最大上升速度：5 米/秒（运动挡）；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 米/秒（普通挡）；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 米/秒（平稳挡）；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最大下降速度：5 米/秒（运动挡俯冲下降时）；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5 米/秒（普通挡）；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3 米/秒（平稳挡）；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最大水平飞行速度（海平面附近无风）：16 米/秒（运动挡）；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12 米/秒（普通挡）；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12 米/秒（平稳挡）；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最大起飞海拔高度：智能飞行电池：4000 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最长飞行时间：34 分钟（智能飞行电池）；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最长悬停时间：30 分钟（智能飞行电池）；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最大抗风速度：10.7 米/秒（5 级风）；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最大可倾斜角度：35°；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工作环境温度：-10℃ 至 40℃；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卫星导航系统：GPS + Galileo + BeiDou；</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悬停精度（无风或微风环境）：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垂直：±0.1 米（视觉定位正常工作时）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±0.5 米（GNSS 正常工作时）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水平：±0.1 米（视觉定位正常工作时）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±0.5 米（GNSS 正常工作时）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机载内存：2GB；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影像传感器：1/1.3 英寸 CMOS，有效像素 4800 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镜头：视角：82.1°；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等效焦距：24 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光圈：f/1.7；</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对焦点：1 米至无穷远；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快门速度：1200 万像素拍照，1/16000 秒至 2 秒（2.5 秒到 8 秒快门为模拟长曝光）；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4800 万像素拍照，1/8000 秒至 2 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最大照片尺寸：8064 × 6048；</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图片格式：JPEG/DNG（RAW）；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稳定系统：三轴机械云台（俯仰、横滚、偏航）；</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可控转动范围：俯仰：-90° 至 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横滚：-90° 或 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最大控制转速（俯仰）：100°/秒；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角度抖动量：±0.01°；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感知系统类型：全向双目视觉系统，辅以机身底部三维红外传感器；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电池：配备三块电池；</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7E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0E15">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F25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532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64A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户外电源</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C497">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产品类别：户外电源；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过载保护：支持；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过热保护：支持；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输出波形：纯正弦波；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容量：278400mAh；</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持续输出功率：1000W；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峰值输出功率：2000W；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充电时间：墙充电：约1.8小时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车充充电：约5小时44分</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DF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149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209C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74A8">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E06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电脑主机(组装机）</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A5E9">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auto"/>
                <w:kern w:val="0"/>
                <w:sz w:val="24"/>
                <w:szCs w:val="24"/>
                <w:u w:val="none"/>
                <w:lang w:val="en-US" w:eastAsia="zh-CN" w:bidi="ar"/>
              </w:rPr>
              <w:t>Cpu：5.8 GHz</w:t>
            </w:r>
            <w:r>
              <w:rPr>
                <w:rFonts w:hint="eastAsia" w:ascii="宋体" w:hAnsi="宋体" w:eastAsia="宋体" w:cs="宋体"/>
                <w:i w:val="0"/>
                <w:iCs w:val="0"/>
                <w:color w:val="auto"/>
                <w:kern w:val="0"/>
                <w:sz w:val="24"/>
                <w:szCs w:val="24"/>
                <w:u w:val="none"/>
                <w:lang w:val="en-US" w:eastAsia="zh-CN" w:bidi="ar"/>
              </w:rPr>
              <w:t xml:space="preserve"> </w:t>
            </w:r>
            <w:bookmarkStart w:id="203" w:name="_GoBack"/>
            <w:bookmarkEnd w:id="203"/>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显存：12G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内存：32G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主板:</w:t>
            </w:r>
            <w:r>
              <w:rPr>
                <w:rFonts w:hint="eastAsia" w:ascii="宋体" w:hAnsi="宋体" w:cs="宋体"/>
                <w:i w:val="0"/>
                <w:iCs w:val="0"/>
                <w:color w:val="000000"/>
                <w:kern w:val="0"/>
                <w:sz w:val="24"/>
                <w:szCs w:val="24"/>
                <w:u w:val="none"/>
                <w:lang w:val="en-US" w:eastAsia="zh-CN" w:bidi="ar"/>
              </w:rPr>
              <w:t>支持配置的</w:t>
            </w:r>
            <w:r>
              <w:rPr>
                <w:rFonts w:hint="eastAsia" w:ascii="宋体" w:hAnsi="宋体" w:eastAsia="宋体" w:cs="宋体"/>
                <w:i w:val="0"/>
                <w:iCs w:val="0"/>
                <w:color w:val="000000"/>
                <w:kern w:val="0"/>
                <w:sz w:val="24"/>
                <w:szCs w:val="24"/>
                <w:u w:val="none"/>
                <w:lang w:val="en-US" w:eastAsia="zh-CN" w:bidi="ar"/>
              </w:rPr>
              <w:t>处理器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强劲性能：6+2+1相供电设计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双通道DDR5：4*内存插槽支持XMP内存模块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新一代存储：2*PCI-E 4.0 x4 M.2 SSD插槽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M.2散热装甲：确保M.2 SSD性能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EZ-Latch快易拆：免工具拆卸设计的PCI-E 4.0x16显卡插槽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高速网络：2.5千兆高速网卡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扩展接口：后窗10Gb/s USB-C® , DP, HDMI</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Smart Fan 6：集成多点测温功能并采用混合式风扇插座与支持FAN STOP技术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Q-Flash Plus：免安装CPU、内存、显卡即可轻松更新BIOS                                                                                                                                                            电源: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80Plus银牌认证：转换效率高达90%，节省能源及电费；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支持INTEL ATX 3.0标准设计；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电容采用台系电容+固态电容，提升产品使用寿命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CPU双8PIN供电接口设计；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单路+12V设计：功率高达649.2W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过压、过功率、过温、过流、欠压、短路等多重保护功能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 采用大直径12公分液压动力轴承智能静音风扇+智能温控设计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 宽幅电压(140-264Vac)供电设计，可更好的征服恶劣电压环境的应用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 PCBA双面板设计，可靠性更强；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F86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81DC">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5ECC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AAC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947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电脑显示器</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A56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1、屏幕尺寸：31.5英寸；</w:t>
            </w:r>
          </w:p>
          <w:p w14:paraId="172D24EB">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2、类型：曲面屏</w:t>
            </w:r>
          </w:p>
          <w:p w14:paraId="12E96E8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3、曲率：1500R。</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4、面板：VA</w:t>
            </w:r>
          </w:p>
          <w:p w14:paraId="77E2EAB4">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5、屏幕比例：16:9</w:t>
            </w:r>
          </w:p>
          <w:p w14:paraId="797DAACF">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6、屏幕刷新率：240Hz</w:t>
            </w:r>
          </w:p>
          <w:p w14:paraId="2DDC113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7、分辨率：1920*1080</w:t>
            </w:r>
          </w:p>
          <w:p w14:paraId="4623CE90">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8、接口：DP，HDMI，音频/耳机输出</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F58B">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2CD1">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6E931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5FBD">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5E76">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键鼠</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3813">
            <w:pPr>
              <w:keepNext w:val="0"/>
              <w:keepLines w:val="0"/>
              <w:widowControl/>
              <w:suppressLineNumbers w:val="0"/>
              <w:spacing w:line="240" w:lineRule="auto"/>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有线机械键盘鼠标.</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193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EB33">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r>
      <w:tr w14:paraId="341A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246A">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266F">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教学电脑</w:t>
            </w:r>
          </w:p>
        </w:tc>
        <w:tc>
          <w:tcPr>
            <w:tcW w:w="6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AF4C">
            <w:pPr>
              <w:keepNext w:val="0"/>
              <w:keepLines w:val="0"/>
              <w:widowControl/>
              <w:suppressLineNumbers w:val="0"/>
              <w:spacing w:line="240" w:lineRule="auto"/>
              <w:jc w:val="left"/>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一体机 27寸</w:t>
            </w:r>
            <w:r>
              <w:rPr>
                <w:rFonts w:hint="eastAsia" w:ascii="宋体" w:hAnsi="宋体" w:eastAsia="宋体" w:cs="宋体"/>
                <w:i w:val="0"/>
                <w:iCs w:val="0"/>
                <w:color w:val="FF0000"/>
                <w:kern w:val="0"/>
                <w:sz w:val="24"/>
                <w:szCs w:val="24"/>
                <w:u w:val="none"/>
                <w:lang w:val="en-US" w:eastAsia="zh-CN" w:bidi="ar"/>
              </w:rPr>
              <w:t xml:space="preserve"> </w:t>
            </w:r>
          </w:p>
          <w:p w14:paraId="52E2EC12">
            <w:pPr>
              <w:keepNext w:val="0"/>
              <w:keepLines w:val="0"/>
              <w:widowControl/>
              <w:suppressLineNumbers w:val="0"/>
              <w:spacing w:line="240" w:lineRule="auto"/>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Cpu：1.50 GHz</w:t>
            </w:r>
          </w:p>
          <w:p w14:paraId="5DBCFAB8">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auto"/>
                <w:kern w:val="0"/>
                <w:sz w:val="24"/>
                <w:szCs w:val="24"/>
                <w:u w:val="none"/>
                <w:lang w:val="en-US" w:eastAsia="zh-CN" w:bidi="ar"/>
              </w:rPr>
              <w:t>内存：</w:t>
            </w:r>
            <w:r>
              <w:rPr>
                <w:rFonts w:hint="eastAsia" w:ascii="宋体" w:hAnsi="宋体" w:eastAsia="宋体" w:cs="宋体"/>
                <w:i w:val="0"/>
                <w:iCs w:val="0"/>
                <w:color w:val="auto"/>
                <w:kern w:val="0"/>
                <w:sz w:val="24"/>
                <w:szCs w:val="24"/>
                <w:u w:val="none"/>
                <w:lang w:val="en-US" w:eastAsia="zh-CN" w:bidi="ar"/>
              </w:rPr>
              <w:t>32g</w:t>
            </w:r>
            <w:r>
              <w:rPr>
                <w:rFonts w:hint="eastAsia" w:ascii="宋体" w:hAnsi="宋体" w:eastAsia="宋体" w:cs="宋体"/>
                <w:i w:val="0"/>
                <w:iCs w:val="0"/>
                <w:color w:val="000000"/>
                <w:kern w:val="0"/>
                <w:sz w:val="24"/>
                <w:szCs w:val="24"/>
                <w:u w:val="none"/>
                <w:lang w:val="en-US" w:eastAsia="zh-CN" w:bidi="ar"/>
              </w:rPr>
              <w:t xml:space="preserve"> </w:t>
            </w:r>
          </w:p>
          <w:p w14:paraId="2A75844D">
            <w:pPr>
              <w:keepNext w:val="0"/>
              <w:keepLines w:val="0"/>
              <w:widowControl/>
              <w:suppressLineNumbers w:val="0"/>
              <w:spacing w:line="240" w:lineRule="auto"/>
              <w:jc w:val="left"/>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ssd</w:t>
            </w:r>
            <w:r>
              <w:rPr>
                <w:rFonts w:hint="eastAsia" w:ascii="宋体" w:hAnsi="宋体" w:cs="宋体"/>
                <w:i w:val="0"/>
                <w:iCs w:val="0"/>
                <w:color w:val="000000"/>
                <w:kern w:val="0"/>
                <w:sz w:val="24"/>
                <w:szCs w:val="24"/>
                <w:u w:val="none"/>
                <w:lang w:val="en-US" w:eastAsia="zh-CN" w:bidi="ar"/>
              </w:rPr>
              <w:t xml:space="preserve">=1tb </w:t>
            </w:r>
          </w:p>
          <w:p w14:paraId="30D52478">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无线键鼠</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E577">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C8B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14:paraId="7EE4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03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C0A13">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七、实训室改电及其它装修</w:t>
            </w:r>
          </w:p>
        </w:tc>
      </w:tr>
      <w:tr w14:paraId="45715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452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EA92">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装修</w:t>
            </w:r>
          </w:p>
        </w:tc>
        <w:tc>
          <w:tcPr>
            <w:tcW w:w="6431" w:type="dxa"/>
            <w:tcBorders>
              <w:top w:val="single" w:color="000000" w:sz="4" w:space="0"/>
              <w:left w:val="nil"/>
              <w:bottom w:val="single" w:color="000000" w:sz="4" w:space="0"/>
              <w:right w:val="single" w:color="000000" w:sz="4" w:space="0"/>
            </w:tcBorders>
            <w:shd w:val="clear" w:color="auto" w:fill="auto"/>
            <w:noWrap/>
            <w:vAlign w:val="center"/>
          </w:tcPr>
          <w:p w14:paraId="0E64807F">
            <w:pPr>
              <w:keepNext w:val="0"/>
              <w:keepLines w:val="0"/>
              <w:widowControl/>
              <w:suppressLineNumbers w:val="0"/>
              <w:spacing w:line="24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格栅吊顶360平（65x100x65mm ）服装展览长廊玻璃橱窗展示270平 玻璃推拉门 木地板400平 T台15m 木饰面墙板300平 橱柜5m岩石台 玻璃实木隔断45平 水池 下水防水 筒灯 线条灯 工厂吊顶插座加灯（轨道） 插排若干</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78C9">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42A0">
            <w:pPr>
              <w:keepNext w:val="0"/>
              <w:keepLines w:val="0"/>
              <w:widowControl/>
              <w:suppressLineNumbers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r>
    </w:tbl>
    <w:p w14:paraId="7E10F706">
      <w:pPr>
        <w:pStyle w:val="58"/>
        <w:numPr>
          <w:ilvl w:val="0"/>
          <w:numId w:val="0"/>
        </w:numPr>
        <w:jc w:val="both"/>
        <w:rPr>
          <w:rFonts w:hint="default"/>
          <w:sz w:val="28"/>
          <w:szCs w:val="28"/>
          <w:lang w:val="en-US" w:eastAsia="zh-CN"/>
        </w:rPr>
      </w:pPr>
    </w:p>
    <w:sectPr>
      <w:footerReference r:id="rId11" w:type="default"/>
      <w:pgSz w:w="11906" w:h="16838"/>
      <w:pgMar w:top="1440" w:right="1080" w:bottom="1440" w:left="1080" w:header="851" w:footer="850" w:gutter="0"/>
      <w:pgBorders w:offsetFrom="page">
        <w:top w:val="single" w:color="A6A6A6" w:sz="12" w:space="24"/>
        <w:left w:val="single" w:color="A6A6A6" w:sz="12" w:space="24"/>
        <w:bottom w:val="single" w:color="A6A6A6" w:sz="12" w:space="24"/>
        <w:right w:val="single" w:color="A6A6A6" w:sz="12" w:space="24"/>
      </w:pgBorders>
      <w:pgNumType w:fmt="decimal"/>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7A"/>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140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E808">
    <w:pPr>
      <w:pStyle w:val="24"/>
    </w:pPr>
  </w:p>
  <w:p w14:paraId="0ABA4DA7">
    <w:pPr>
      <w:pStyle w:val="24"/>
    </w:pPr>
  </w:p>
  <w:p w14:paraId="200D9C4F">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493B2">
    <w:r>
      <w:rPr>
        <w:sz w:val="18"/>
      </w:rPr>
      <mc:AlternateContent>
        <mc:Choice Requires="wps">
          <w:drawing>
            <wp:anchor distT="0" distB="0" distL="114300" distR="114300" simplePos="0" relativeHeight="251660288" behindDoc="0" locked="0" layoutInCell="1" allowOverlap="1">
              <wp:simplePos x="0" y="0"/>
              <wp:positionH relativeFrom="margin">
                <wp:posOffset>2616200</wp:posOffset>
              </wp:positionH>
              <wp:positionV relativeFrom="paragraph">
                <wp:posOffset>34925</wp:posOffset>
              </wp:positionV>
              <wp:extent cx="1043305" cy="1968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43305" cy="196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4BE1E0">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pt;margin-top:2.75pt;height:15.5pt;width:82.15pt;mso-position-horizontal-relative:margin;z-index:251660288;mso-width-relative:page;mso-height-relative:page;" filled="f" stroked="f" coordsize="21600,21600" o:gfxdata="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CL6N9gAAAAIAQAADwAAAAAAAAABACAAAAAiAAAAZHJzL2Rvd25y&#10;ZXYueG1sUEsBAhQAFAAAAAgAh07iQJmzOTA3AgAAYgQAAA4AAAAAAAAAAQAgAAAAJwEAAGRycy9l&#10;Mm9Eb2MueG1sUEsFBgAAAAAGAAYAWQEAANAFAAAAAA==&#10;">
              <v:fill on="f" focussize="0,0"/>
              <v:stroke on="f" weight="0.5pt"/>
              <v:imagedata o:title=""/>
              <o:lock v:ext="edit" aspectratio="f"/>
              <v:textbox inset="0mm,0mm,0mm,0mm">
                <w:txbxContent>
                  <w:p w14:paraId="644BE1E0">
                    <w:pPr>
                      <w:pStyle w:val="2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96C74">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FF9B">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4DDFF9B">
                    <w:pPr>
                      <w:pStyle w:val="2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101F3CD9">
    <w:pPr>
      <w:pStyle w:val="24"/>
    </w:pPr>
  </w:p>
  <w:p w14:paraId="0BBF5823">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26E14">
    <w:pPr>
      <w:spacing w:line="184" w:lineRule="auto"/>
      <w:ind w:left="4558"/>
      <w:rPr>
        <w:rFonts w:ascii="Calibri" w:hAnsi="Calibri" w:eastAsia="Calibri" w:cs="Calibri"/>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30407">
                          <w:pPr>
                            <w:pStyle w:val="2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5330407">
                    <w:pPr>
                      <w:pStyle w:val="24"/>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3A71">
    <w:pPr>
      <w:pStyle w:val="25"/>
      <w:pBdr>
        <w:bottom w:val="none" w:color="auto" w:sz="0" w:space="1"/>
      </w:pBdr>
      <w:jc w:val="left"/>
      <w:rPr>
        <w:rFonts w:hint="eastAsia"/>
        <w:sz w:val="21"/>
        <w:szCs w:val="21"/>
        <w:u w:val="single"/>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E2DD4">
    <w:pPr>
      <w:pStyle w:val="25"/>
      <w:pBdr>
        <w:bottom w:val="none" w:color="auto" w:sz="0" w:space="1"/>
      </w:pBdr>
      <w:jc w:val="left"/>
      <w:rPr>
        <w:rFonts w:hint="eastAsia" w:ascii="宋体" w:hAnsi="宋体" w:cs="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4B145"/>
    <w:multiLevelType w:val="multilevel"/>
    <w:tmpl w:val="8F14B145"/>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8F79EDE0"/>
    <w:multiLevelType w:val="singleLevel"/>
    <w:tmpl w:val="8F79EDE0"/>
    <w:lvl w:ilvl="0" w:tentative="0">
      <w:start w:val="1"/>
      <w:numFmt w:val="decimal"/>
      <w:lvlText w:val="%1."/>
      <w:lvlJc w:val="left"/>
      <w:pPr>
        <w:tabs>
          <w:tab w:val="left" w:pos="312"/>
        </w:tabs>
      </w:pPr>
    </w:lvl>
  </w:abstractNum>
  <w:abstractNum w:abstractNumId="2">
    <w:nsid w:val="A2A34580"/>
    <w:multiLevelType w:val="multilevel"/>
    <w:tmpl w:val="A2A34580"/>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BE3B2DAB"/>
    <w:multiLevelType w:val="singleLevel"/>
    <w:tmpl w:val="BE3B2DAB"/>
    <w:lvl w:ilvl="0" w:tentative="0">
      <w:start w:val="2"/>
      <w:numFmt w:val="decimal"/>
      <w:suff w:val="nothing"/>
      <w:lvlText w:val="%1、"/>
      <w:lvlJc w:val="left"/>
    </w:lvl>
  </w:abstractNum>
  <w:abstractNum w:abstractNumId="4">
    <w:nsid w:val="F60DFEFE"/>
    <w:multiLevelType w:val="multilevel"/>
    <w:tmpl w:val="F60DFEFE"/>
    <w:lvl w:ilvl="0" w:tentative="0">
      <w:start w:val="1"/>
      <w:numFmt w:val="decimal"/>
      <w:suff w:val="nothing"/>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FB601F45"/>
    <w:multiLevelType w:val="singleLevel"/>
    <w:tmpl w:val="FB601F45"/>
    <w:lvl w:ilvl="0" w:tentative="0">
      <w:start w:val="2"/>
      <w:numFmt w:val="chineseCounting"/>
      <w:suff w:val="nothing"/>
      <w:lvlText w:val="%1、"/>
      <w:lvlJc w:val="left"/>
      <w:rPr>
        <w:rFonts w:hint="eastAsia"/>
      </w:rPr>
    </w:lvl>
  </w:abstractNum>
  <w:abstractNum w:abstractNumId="6">
    <w:nsid w:val="00000002"/>
    <w:multiLevelType w:val="multilevel"/>
    <w:tmpl w:val="00000002"/>
    <w:lvl w:ilvl="0" w:tentative="0">
      <w:start w:val="1"/>
      <w:numFmt w:val="decimal"/>
      <w:lvlText w:val="（%1）"/>
      <w:lvlJc w:val="left"/>
      <w:pPr>
        <w:ind w:left="1041" w:hanging="420"/>
      </w:pPr>
      <w:rPr>
        <w:rFonts w:hint="default"/>
      </w:r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7">
    <w:nsid w:val="00000003"/>
    <w:multiLevelType w:val="multilevel"/>
    <w:tmpl w:val="00000003"/>
    <w:lvl w:ilvl="0" w:tentative="0">
      <w:start w:val="1"/>
      <w:numFmt w:val="decimal"/>
      <w:lvlText w:val="%1、"/>
      <w:lvlJc w:val="left"/>
      <w:pPr>
        <w:ind w:left="720" w:hanging="72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4"/>
    <w:multiLevelType w:val="multilevel"/>
    <w:tmpl w:val="00000004"/>
    <w:lvl w:ilvl="0" w:tentative="0">
      <w:start w:val="1"/>
      <w:numFmt w:val="decimal"/>
      <w:lvlText w:val="%1."/>
      <w:lvlJc w:val="left"/>
      <w:pPr>
        <w:ind w:left="1041" w:hanging="420"/>
      </w:pPr>
    </w:lvl>
    <w:lvl w:ilvl="1" w:tentative="0">
      <w:start w:val="1"/>
      <w:numFmt w:val="lowerLetter"/>
      <w:lvlText w:val="%2)"/>
      <w:lvlJc w:val="left"/>
      <w:pPr>
        <w:ind w:left="1461" w:hanging="420"/>
      </w:pPr>
    </w:lvl>
    <w:lvl w:ilvl="2" w:tentative="0">
      <w:start w:val="1"/>
      <w:numFmt w:val="lowerRoman"/>
      <w:lvlText w:val="%3."/>
      <w:lvlJc w:val="right"/>
      <w:pPr>
        <w:ind w:left="1881" w:hanging="420"/>
      </w:pPr>
    </w:lvl>
    <w:lvl w:ilvl="3" w:tentative="0">
      <w:start w:val="1"/>
      <w:numFmt w:val="decimal"/>
      <w:lvlText w:val="%4."/>
      <w:lvlJc w:val="left"/>
      <w:pPr>
        <w:ind w:left="2301" w:hanging="420"/>
      </w:pPr>
    </w:lvl>
    <w:lvl w:ilvl="4" w:tentative="0">
      <w:start w:val="1"/>
      <w:numFmt w:val="lowerLetter"/>
      <w:lvlText w:val="%5)"/>
      <w:lvlJc w:val="left"/>
      <w:pPr>
        <w:ind w:left="2721" w:hanging="420"/>
      </w:pPr>
    </w:lvl>
    <w:lvl w:ilvl="5" w:tentative="0">
      <w:start w:val="1"/>
      <w:numFmt w:val="lowerRoman"/>
      <w:lvlText w:val="%6."/>
      <w:lvlJc w:val="right"/>
      <w:pPr>
        <w:ind w:left="3141" w:hanging="420"/>
      </w:pPr>
    </w:lvl>
    <w:lvl w:ilvl="6" w:tentative="0">
      <w:start w:val="1"/>
      <w:numFmt w:val="decimal"/>
      <w:lvlText w:val="%7."/>
      <w:lvlJc w:val="left"/>
      <w:pPr>
        <w:ind w:left="3561" w:hanging="420"/>
      </w:pPr>
    </w:lvl>
    <w:lvl w:ilvl="7" w:tentative="0">
      <w:start w:val="1"/>
      <w:numFmt w:val="lowerLetter"/>
      <w:lvlText w:val="%8)"/>
      <w:lvlJc w:val="left"/>
      <w:pPr>
        <w:ind w:left="3981" w:hanging="420"/>
      </w:pPr>
    </w:lvl>
    <w:lvl w:ilvl="8" w:tentative="0">
      <w:start w:val="1"/>
      <w:numFmt w:val="lowerRoman"/>
      <w:lvlText w:val="%9."/>
      <w:lvlJc w:val="right"/>
      <w:pPr>
        <w:ind w:left="4401" w:hanging="420"/>
      </w:pPr>
    </w:lvl>
  </w:abstractNum>
  <w:abstractNum w:abstractNumId="9">
    <w:nsid w:val="00000007"/>
    <w:multiLevelType w:val="multilevel"/>
    <w:tmpl w:val="00000007"/>
    <w:lvl w:ilvl="0" w:tentative="0">
      <w:start w:val="2"/>
      <w:numFmt w:val="decimal"/>
      <w:lvlText w:val="%1"/>
      <w:lvlJc w:val="left"/>
      <w:pPr>
        <w:ind w:left="360" w:hanging="360"/>
      </w:pPr>
      <w:rPr>
        <w:rFonts w:hint="default"/>
      </w:rPr>
    </w:lvl>
    <w:lvl w:ilvl="1" w:tentative="0">
      <w:start w:val="1"/>
      <w:numFmt w:val="decimal"/>
      <w:lvlText w:val="%1.%2"/>
      <w:lvlJc w:val="left"/>
      <w:pPr>
        <w:ind w:left="501" w:hanging="360"/>
      </w:pPr>
      <w:rPr>
        <w:rFonts w:hint="default"/>
      </w:rPr>
    </w:lvl>
    <w:lvl w:ilvl="2" w:tentative="0">
      <w:start w:val="1"/>
      <w:numFmt w:val="decimal"/>
      <w:lvlText w:val="%1.%2.%3"/>
      <w:lvlJc w:val="left"/>
      <w:pPr>
        <w:ind w:left="1680" w:hanging="720"/>
      </w:pPr>
      <w:rPr>
        <w:rFonts w:hint="default"/>
      </w:rPr>
    </w:lvl>
    <w:lvl w:ilvl="3" w:tentative="0">
      <w:start w:val="1"/>
      <w:numFmt w:val="decimal"/>
      <w:lvlText w:val="%1.%2.%3.%4"/>
      <w:lvlJc w:val="left"/>
      <w:pPr>
        <w:ind w:left="2520" w:hanging="1080"/>
      </w:pPr>
      <w:rPr>
        <w:rFonts w:hint="default"/>
      </w:rPr>
    </w:lvl>
    <w:lvl w:ilvl="4" w:tentative="0">
      <w:start w:val="1"/>
      <w:numFmt w:val="decimal"/>
      <w:lvlText w:val="%1.%2.%3.%4.%5"/>
      <w:lvlJc w:val="left"/>
      <w:pPr>
        <w:ind w:left="3000" w:hanging="1080"/>
      </w:pPr>
      <w:rPr>
        <w:rFonts w:hint="default"/>
      </w:rPr>
    </w:lvl>
    <w:lvl w:ilvl="5" w:tentative="0">
      <w:start w:val="1"/>
      <w:numFmt w:val="decimal"/>
      <w:lvlText w:val="%1.%2.%3.%4.%5.%6"/>
      <w:lvlJc w:val="left"/>
      <w:pPr>
        <w:ind w:left="3840" w:hanging="1440"/>
      </w:pPr>
      <w:rPr>
        <w:rFonts w:hint="default"/>
      </w:rPr>
    </w:lvl>
    <w:lvl w:ilvl="6" w:tentative="0">
      <w:start w:val="1"/>
      <w:numFmt w:val="decimal"/>
      <w:lvlText w:val="%1.%2.%3.%4.%5.%6.%7"/>
      <w:lvlJc w:val="left"/>
      <w:pPr>
        <w:ind w:left="4680" w:hanging="1800"/>
      </w:pPr>
      <w:rPr>
        <w:rFonts w:hint="default"/>
      </w:rPr>
    </w:lvl>
    <w:lvl w:ilvl="7" w:tentative="0">
      <w:start w:val="1"/>
      <w:numFmt w:val="decimal"/>
      <w:lvlText w:val="%1.%2.%3.%4.%5.%6.%7.%8"/>
      <w:lvlJc w:val="left"/>
      <w:pPr>
        <w:ind w:left="5160" w:hanging="1800"/>
      </w:pPr>
      <w:rPr>
        <w:rFonts w:hint="default"/>
      </w:rPr>
    </w:lvl>
    <w:lvl w:ilvl="8" w:tentative="0">
      <w:start w:val="1"/>
      <w:numFmt w:val="decimal"/>
      <w:lvlText w:val="%1.%2.%3.%4.%5.%6.%7.%8.%9"/>
      <w:lvlJc w:val="left"/>
      <w:pPr>
        <w:ind w:left="6000" w:hanging="2160"/>
      </w:pPr>
      <w:rPr>
        <w:rFonts w:hint="default"/>
      </w:rPr>
    </w:lvl>
  </w:abstractNum>
  <w:abstractNum w:abstractNumId="10">
    <w:nsid w:val="0000000C"/>
    <w:multiLevelType w:val="multilevel"/>
    <w:tmpl w:val="0000000C"/>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0010"/>
    <w:multiLevelType w:val="multilevel"/>
    <w:tmpl w:val="00000010"/>
    <w:lvl w:ilvl="0" w:tentative="0">
      <w:start w:val="1"/>
      <w:numFmt w:val="decimal"/>
      <w:pStyle w:val="2"/>
      <w:lvlText w:val="%1."/>
      <w:lvlJc w:val="left"/>
      <w:pPr>
        <w:tabs>
          <w:tab w:val="left" w:pos="425"/>
        </w:tabs>
        <w:ind w:left="425" w:hanging="425"/>
      </w:pPr>
      <w:rPr>
        <w:rFonts w:hint="eastAsia"/>
      </w:rPr>
    </w:lvl>
    <w:lvl w:ilvl="1" w:tentative="0">
      <w:start w:val="1"/>
      <w:numFmt w:val="decimal"/>
      <w:pStyle w:val="3"/>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867"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00000011"/>
    <w:multiLevelType w:val="multilevel"/>
    <w:tmpl w:val="00000011"/>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3">
    <w:nsid w:val="00000012"/>
    <w:multiLevelType w:val="multilevel"/>
    <w:tmpl w:val="00000012"/>
    <w:lvl w:ilvl="0" w:tentative="0">
      <w:start w:val="1"/>
      <w:numFmt w:val="decimal"/>
      <w:lvlText w:val="%1)"/>
      <w:lvlJc w:val="left"/>
      <w:pPr>
        <w:ind w:left="1461" w:hanging="420"/>
      </w:pPr>
    </w:lvl>
    <w:lvl w:ilvl="1" w:tentative="0">
      <w:start w:val="1"/>
      <w:numFmt w:val="lowerLetter"/>
      <w:lvlText w:val="%2)"/>
      <w:lvlJc w:val="left"/>
      <w:pPr>
        <w:ind w:left="1881" w:hanging="420"/>
      </w:pPr>
    </w:lvl>
    <w:lvl w:ilvl="2" w:tentative="0">
      <w:start w:val="1"/>
      <w:numFmt w:val="lowerRoman"/>
      <w:lvlText w:val="%3."/>
      <w:lvlJc w:val="right"/>
      <w:pPr>
        <w:ind w:left="2301" w:hanging="420"/>
      </w:pPr>
    </w:lvl>
    <w:lvl w:ilvl="3" w:tentative="0">
      <w:start w:val="1"/>
      <w:numFmt w:val="decimal"/>
      <w:lvlText w:val="%4."/>
      <w:lvlJc w:val="left"/>
      <w:pPr>
        <w:ind w:left="2721" w:hanging="420"/>
      </w:pPr>
    </w:lvl>
    <w:lvl w:ilvl="4" w:tentative="0">
      <w:start w:val="1"/>
      <w:numFmt w:val="lowerLetter"/>
      <w:lvlText w:val="%5)"/>
      <w:lvlJc w:val="left"/>
      <w:pPr>
        <w:ind w:left="3141" w:hanging="420"/>
      </w:pPr>
    </w:lvl>
    <w:lvl w:ilvl="5" w:tentative="0">
      <w:start w:val="1"/>
      <w:numFmt w:val="lowerRoman"/>
      <w:lvlText w:val="%6."/>
      <w:lvlJc w:val="right"/>
      <w:pPr>
        <w:ind w:left="3561" w:hanging="420"/>
      </w:pPr>
    </w:lvl>
    <w:lvl w:ilvl="6" w:tentative="0">
      <w:start w:val="1"/>
      <w:numFmt w:val="decimal"/>
      <w:lvlText w:val="%7."/>
      <w:lvlJc w:val="left"/>
      <w:pPr>
        <w:ind w:left="3981" w:hanging="420"/>
      </w:pPr>
    </w:lvl>
    <w:lvl w:ilvl="7" w:tentative="0">
      <w:start w:val="1"/>
      <w:numFmt w:val="lowerLetter"/>
      <w:lvlText w:val="%8)"/>
      <w:lvlJc w:val="left"/>
      <w:pPr>
        <w:ind w:left="4401" w:hanging="420"/>
      </w:pPr>
    </w:lvl>
    <w:lvl w:ilvl="8" w:tentative="0">
      <w:start w:val="1"/>
      <w:numFmt w:val="lowerRoman"/>
      <w:lvlText w:val="%9."/>
      <w:lvlJc w:val="right"/>
      <w:pPr>
        <w:ind w:left="4821" w:hanging="420"/>
      </w:pPr>
    </w:lvl>
  </w:abstractNum>
  <w:abstractNum w:abstractNumId="14">
    <w:nsid w:val="00000018"/>
    <w:multiLevelType w:val="singleLevel"/>
    <w:tmpl w:val="00000018"/>
    <w:lvl w:ilvl="0" w:tentative="0">
      <w:start w:val="1"/>
      <w:numFmt w:val="decimal"/>
      <w:suff w:val="nothing"/>
      <w:lvlText w:val="%1"/>
      <w:lvlJc w:val="left"/>
      <w:pPr>
        <w:tabs>
          <w:tab w:val="left" w:pos="0"/>
        </w:tabs>
        <w:ind w:left="0" w:firstLine="0"/>
      </w:pPr>
      <w:rPr>
        <w:rFonts w:hint="default"/>
      </w:rPr>
    </w:lvl>
  </w:abstractNum>
  <w:abstractNum w:abstractNumId="15">
    <w:nsid w:val="04247E1C"/>
    <w:multiLevelType w:val="multilevel"/>
    <w:tmpl w:val="04247E1C"/>
    <w:lvl w:ilvl="0" w:tentative="0">
      <w:start w:val="1"/>
      <w:numFmt w:val="decimal"/>
      <w:lvlText w:val="（%1）"/>
      <w:lvlJc w:val="left"/>
      <w:pPr>
        <w:ind w:left="987" w:hanging="420"/>
      </w:pPr>
      <w:rPr>
        <w:rFonts w:hint="eastAsia"/>
      </w:rPr>
    </w:lvl>
    <w:lvl w:ilvl="1" w:tentative="0">
      <w:start w:val="1"/>
      <w:numFmt w:val="lowerLetter"/>
      <w:pStyle w:val="86"/>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6">
    <w:nsid w:val="0B21349E"/>
    <w:multiLevelType w:val="multilevel"/>
    <w:tmpl w:val="0B21349E"/>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7">
    <w:nsid w:val="214E96CE"/>
    <w:multiLevelType w:val="singleLevel"/>
    <w:tmpl w:val="214E96CE"/>
    <w:lvl w:ilvl="0" w:tentative="0">
      <w:start w:val="1"/>
      <w:numFmt w:val="decimal"/>
      <w:suff w:val="nothing"/>
      <w:lvlText w:val="%1、"/>
      <w:lvlJc w:val="left"/>
    </w:lvl>
  </w:abstractNum>
  <w:abstractNum w:abstractNumId="18">
    <w:nsid w:val="4702D7A7"/>
    <w:multiLevelType w:val="singleLevel"/>
    <w:tmpl w:val="4702D7A7"/>
    <w:lvl w:ilvl="0" w:tentative="0">
      <w:start w:val="1"/>
      <w:numFmt w:val="decimal"/>
      <w:suff w:val="nothing"/>
      <w:lvlText w:val="%1．"/>
      <w:lvlJc w:val="left"/>
      <w:pPr>
        <w:ind w:left="0" w:firstLine="400"/>
      </w:pPr>
      <w:rPr>
        <w:rFonts w:hint="default"/>
      </w:rPr>
    </w:lvl>
  </w:abstractNum>
  <w:abstractNum w:abstractNumId="19">
    <w:nsid w:val="561F42AC"/>
    <w:multiLevelType w:val="singleLevel"/>
    <w:tmpl w:val="561F42AC"/>
    <w:lvl w:ilvl="0" w:tentative="0">
      <w:start w:val="2"/>
      <w:numFmt w:val="decimal"/>
      <w:suff w:val="nothing"/>
      <w:lvlText w:val="%1."/>
      <w:lvlJc w:val="left"/>
    </w:lvl>
  </w:abstractNum>
  <w:abstractNum w:abstractNumId="20">
    <w:nsid w:val="59B11739"/>
    <w:multiLevelType w:val="singleLevel"/>
    <w:tmpl w:val="59B11739"/>
    <w:lvl w:ilvl="0" w:tentative="0">
      <w:start w:val="1"/>
      <w:numFmt w:val="decimal"/>
      <w:suff w:val="nothing"/>
      <w:lvlText w:val="（%1）"/>
      <w:lvlJc w:val="left"/>
    </w:lvl>
  </w:abstractNum>
  <w:abstractNum w:abstractNumId="21">
    <w:nsid w:val="59FC3CC6"/>
    <w:multiLevelType w:val="singleLevel"/>
    <w:tmpl w:val="59FC3CC6"/>
    <w:lvl w:ilvl="0" w:tentative="0">
      <w:start w:val="1"/>
      <w:numFmt w:val="decimal"/>
      <w:suff w:val="nothing"/>
      <w:lvlText w:val="（%1）"/>
      <w:lvlJc w:val="left"/>
      <w:rPr>
        <w:rFonts w:cs="Times New Roman"/>
      </w:rPr>
    </w:lvl>
  </w:abstractNum>
  <w:abstractNum w:abstractNumId="22">
    <w:nsid w:val="6A7196BF"/>
    <w:multiLevelType w:val="singleLevel"/>
    <w:tmpl w:val="6A7196BF"/>
    <w:lvl w:ilvl="0" w:tentative="0">
      <w:start w:val="1"/>
      <w:numFmt w:val="decimal"/>
      <w:suff w:val="space"/>
      <w:lvlText w:val="%1."/>
      <w:lvlJc w:val="left"/>
    </w:lvl>
  </w:abstractNum>
  <w:abstractNum w:abstractNumId="23">
    <w:nsid w:val="6F48261C"/>
    <w:multiLevelType w:val="singleLevel"/>
    <w:tmpl w:val="6F48261C"/>
    <w:lvl w:ilvl="0" w:tentative="0">
      <w:start w:val="1"/>
      <w:numFmt w:val="decimal"/>
      <w:suff w:val="nothing"/>
      <w:lvlText w:val="%1．"/>
      <w:lvlJc w:val="left"/>
      <w:pPr>
        <w:ind w:left="0" w:firstLine="400"/>
      </w:pPr>
      <w:rPr>
        <w:rFonts w:hint="default"/>
      </w:rPr>
    </w:lvl>
  </w:abstractNum>
  <w:abstractNum w:abstractNumId="24">
    <w:nsid w:val="73030404"/>
    <w:multiLevelType w:val="multilevel"/>
    <w:tmpl w:val="73030404"/>
    <w:lvl w:ilvl="0" w:tentative="0">
      <w:start w:val="1"/>
      <w:numFmt w:val="decimal"/>
      <w:lvlText w:val="%1、"/>
      <w:lvlJc w:val="left"/>
      <w:pPr>
        <w:ind w:left="1069" w:hanging="360"/>
      </w:pPr>
      <w:rPr>
        <w:rFonts w:hint="default" w:hAnsi="宋体"/>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5">
    <w:nsid w:val="748D16CD"/>
    <w:multiLevelType w:val="multilevel"/>
    <w:tmpl w:val="748D16CD"/>
    <w:lvl w:ilvl="0" w:tentative="0">
      <w:start w:val="1"/>
      <w:numFmt w:val="decimal"/>
      <w:pStyle w:val="87"/>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74CD3AF1"/>
    <w:multiLevelType w:val="singleLevel"/>
    <w:tmpl w:val="74CD3AF1"/>
    <w:lvl w:ilvl="0" w:tentative="0">
      <w:start w:val="6"/>
      <w:numFmt w:val="chineseCounting"/>
      <w:suff w:val="space"/>
      <w:lvlText w:val="第%1部分"/>
      <w:lvlJc w:val="left"/>
      <w:rPr>
        <w:rFonts w:hint="eastAsia"/>
      </w:rPr>
    </w:lvl>
  </w:abstractNum>
  <w:num w:numId="1">
    <w:abstractNumId w:val="11"/>
  </w:num>
  <w:num w:numId="2">
    <w:abstractNumId w:val="15"/>
  </w:num>
  <w:num w:numId="3">
    <w:abstractNumId w:val="25"/>
  </w:num>
  <w:num w:numId="4">
    <w:abstractNumId w:val="10"/>
  </w:num>
  <w:num w:numId="5">
    <w:abstractNumId w:val="14"/>
  </w:num>
  <w:num w:numId="6">
    <w:abstractNumId w:val="7"/>
  </w:num>
  <w:num w:numId="7">
    <w:abstractNumId w:val="9"/>
  </w:num>
  <w:num w:numId="8">
    <w:abstractNumId w:val="16"/>
  </w:num>
  <w:num w:numId="9">
    <w:abstractNumId w:val="0"/>
  </w:num>
  <w:num w:numId="10">
    <w:abstractNumId w:val="2"/>
  </w:num>
  <w:num w:numId="11">
    <w:abstractNumId w:val="21"/>
  </w:num>
  <w:num w:numId="12">
    <w:abstractNumId w:val="23"/>
  </w:num>
  <w:num w:numId="13">
    <w:abstractNumId w:val="18"/>
  </w:num>
  <w:num w:numId="14">
    <w:abstractNumId w:val="6"/>
  </w:num>
  <w:num w:numId="15">
    <w:abstractNumId w:val="12"/>
  </w:num>
  <w:num w:numId="16">
    <w:abstractNumId w:val="4"/>
  </w:num>
  <w:num w:numId="17">
    <w:abstractNumId w:val="8"/>
  </w:num>
  <w:num w:numId="18">
    <w:abstractNumId w:val="13"/>
  </w:num>
  <w:num w:numId="19">
    <w:abstractNumId w:val="17"/>
  </w:num>
  <w:num w:numId="20">
    <w:abstractNumId w:val="24"/>
  </w:num>
  <w:num w:numId="21">
    <w:abstractNumId w:val="20"/>
  </w:num>
  <w:num w:numId="22">
    <w:abstractNumId w:val="3"/>
  </w:num>
  <w:num w:numId="23">
    <w:abstractNumId w:val="19"/>
  </w:num>
  <w:num w:numId="24">
    <w:abstractNumId w:val="1"/>
  </w:num>
  <w:num w:numId="25">
    <w:abstractNumId w:val="22"/>
  </w:num>
  <w:num w:numId="26">
    <w:abstractNumId w:val="2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OTM5MWIzZjcyY2UwZWEzZTQ4YWIwYTdjNGIwZGUifQ=="/>
  </w:docVars>
  <w:rsids>
    <w:rsidRoot w:val="00172A27"/>
    <w:rsid w:val="000038F3"/>
    <w:rsid w:val="0000523C"/>
    <w:rsid w:val="000067C2"/>
    <w:rsid w:val="000072CA"/>
    <w:rsid w:val="00010612"/>
    <w:rsid w:val="000136E3"/>
    <w:rsid w:val="00014702"/>
    <w:rsid w:val="00014941"/>
    <w:rsid w:val="00015785"/>
    <w:rsid w:val="0001758F"/>
    <w:rsid w:val="00020044"/>
    <w:rsid w:val="0002211A"/>
    <w:rsid w:val="0002411A"/>
    <w:rsid w:val="000254B5"/>
    <w:rsid w:val="000270E1"/>
    <w:rsid w:val="00044184"/>
    <w:rsid w:val="00044D19"/>
    <w:rsid w:val="000457A3"/>
    <w:rsid w:val="00051006"/>
    <w:rsid w:val="00051784"/>
    <w:rsid w:val="00053D3B"/>
    <w:rsid w:val="0005473E"/>
    <w:rsid w:val="000558CC"/>
    <w:rsid w:val="00060656"/>
    <w:rsid w:val="00066FE0"/>
    <w:rsid w:val="00070967"/>
    <w:rsid w:val="00071E6B"/>
    <w:rsid w:val="0007617E"/>
    <w:rsid w:val="000806B7"/>
    <w:rsid w:val="00081E42"/>
    <w:rsid w:val="0008548A"/>
    <w:rsid w:val="00086D42"/>
    <w:rsid w:val="00091938"/>
    <w:rsid w:val="000943E1"/>
    <w:rsid w:val="00095A45"/>
    <w:rsid w:val="000A3964"/>
    <w:rsid w:val="000A4266"/>
    <w:rsid w:val="000A4A29"/>
    <w:rsid w:val="000A5E33"/>
    <w:rsid w:val="000A7AA9"/>
    <w:rsid w:val="000B0C19"/>
    <w:rsid w:val="000C43F0"/>
    <w:rsid w:val="000C60A4"/>
    <w:rsid w:val="000D6FF9"/>
    <w:rsid w:val="000D7CD3"/>
    <w:rsid w:val="000E0E00"/>
    <w:rsid w:val="000E12A7"/>
    <w:rsid w:val="000E791D"/>
    <w:rsid w:val="000F03C2"/>
    <w:rsid w:val="000F373D"/>
    <w:rsid w:val="001003FB"/>
    <w:rsid w:val="00101C28"/>
    <w:rsid w:val="00103A39"/>
    <w:rsid w:val="00104CCA"/>
    <w:rsid w:val="001100C2"/>
    <w:rsid w:val="00110842"/>
    <w:rsid w:val="00110AF9"/>
    <w:rsid w:val="00110B3A"/>
    <w:rsid w:val="0011165B"/>
    <w:rsid w:val="00114C0A"/>
    <w:rsid w:val="00117E99"/>
    <w:rsid w:val="00120EB7"/>
    <w:rsid w:val="00121135"/>
    <w:rsid w:val="001227E8"/>
    <w:rsid w:val="00123F0F"/>
    <w:rsid w:val="00124055"/>
    <w:rsid w:val="00125A2E"/>
    <w:rsid w:val="0012666C"/>
    <w:rsid w:val="00130A2A"/>
    <w:rsid w:val="00130E30"/>
    <w:rsid w:val="001310F1"/>
    <w:rsid w:val="00132225"/>
    <w:rsid w:val="00134A4A"/>
    <w:rsid w:val="0013606C"/>
    <w:rsid w:val="0014227A"/>
    <w:rsid w:val="0014254E"/>
    <w:rsid w:val="0014346E"/>
    <w:rsid w:val="00145E72"/>
    <w:rsid w:val="0015007E"/>
    <w:rsid w:val="00153051"/>
    <w:rsid w:val="00157DE4"/>
    <w:rsid w:val="00160183"/>
    <w:rsid w:val="00160710"/>
    <w:rsid w:val="00161442"/>
    <w:rsid w:val="00163370"/>
    <w:rsid w:val="001659BA"/>
    <w:rsid w:val="00170482"/>
    <w:rsid w:val="0017214E"/>
    <w:rsid w:val="00172224"/>
    <w:rsid w:val="00174F7A"/>
    <w:rsid w:val="00176770"/>
    <w:rsid w:val="001801DD"/>
    <w:rsid w:val="00180A83"/>
    <w:rsid w:val="00181301"/>
    <w:rsid w:val="00184ADA"/>
    <w:rsid w:val="001871FE"/>
    <w:rsid w:val="00191300"/>
    <w:rsid w:val="00197375"/>
    <w:rsid w:val="001A5630"/>
    <w:rsid w:val="001B258F"/>
    <w:rsid w:val="001B3A0B"/>
    <w:rsid w:val="001B6AEF"/>
    <w:rsid w:val="001C1E19"/>
    <w:rsid w:val="001C3362"/>
    <w:rsid w:val="001C47BE"/>
    <w:rsid w:val="001C5860"/>
    <w:rsid w:val="001D0BB0"/>
    <w:rsid w:val="001D21FA"/>
    <w:rsid w:val="001D4078"/>
    <w:rsid w:val="001E08C0"/>
    <w:rsid w:val="001E1C73"/>
    <w:rsid w:val="001E78D7"/>
    <w:rsid w:val="001F37EE"/>
    <w:rsid w:val="001F6CA1"/>
    <w:rsid w:val="002002AB"/>
    <w:rsid w:val="00203976"/>
    <w:rsid w:val="00210596"/>
    <w:rsid w:val="002136BF"/>
    <w:rsid w:val="002175BE"/>
    <w:rsid w:val="00221B90"/>
    <w:rsid w:val="0022383F"/>
    <w:rsid w:val="00224136"/>
    <w:rsid w:val="002249FE"/>
    <w:rsid w:val="00226841"/>
    <w:rsid w:val="00233122"/>
    <w:rsid w:val="0023487E"/>
    <w:rsid w:val="00235CAF"/>
    <w:rsid w:val="00235E52"/>
    <w:rsid w:val="00240485"/>
    <w:rsid w:val="002411CA"/>
    <w:rsid w:val="002458E9"/>
    <w:rsid w:val="00250D9F"/>
    <w:rsid w:val="00250E43"/>
    <w:rsid w:val="0025211E"/>
    <w:rsid w:val="0025360D"/>
    <w:rsid w:val="002554DC"/>
    <w:rsid w:val="00255B9F"/>
    <w:rsid w:val="00263995"/>
    <w:rsid w:val="00263CBE"/>
    <w:rsid w:val="00263CC7"/>
    <w:rsid w:val="00264E70"/>
    <w:rsid w:val="00265C78"/>
    <w:rsid w:val="00273870"/>
    <w:rsid w:val="002812BE"/>
    <w:rsid w:val="002839E2"/>
    <w:rsid w:val="00283EDA"/>
    <w:rsid w:val="00284776"/>
    <w:rsid w:val="00285653"/>
    <w:rsid w:val="002863DA"/>
    <w:rsid w:val="00293AFC"/>
    <w:rsid w:val="002948C0"/>
    <w:rsid w:val="002A09C4"/>
    <w:rsid w:val="002A0B8C"/>
    <w:rsid w:val="002B0774"/>
    <w:rsid w:val="002B3C13"/>
    <w:rsid w:val="002B40F9"/>
    <w:rsid w:val="002B69BA"/>
    <w:rsid w:val="002C59C7"/>
    <w:rsid w:val="002D5143"/>
    <w:rsid w:val="002D56ED"/>
    <w:rsid w:val="002E5C15"/>
    <w:rsid w:val="002F29A0"/>
    <w:rsid w:val="002F4602"/>
    <w:rsid w:val="002F4AE4"/>
    <w:rsid w:val="002F611D"/>
    <w:rsid w:val="00301408"/>
    <w:rsid w:val="00301577"/>
    <w:rsid w:val="003015BD"/>
    <w:rsid w:val="003028D3"/>
    <w:rsid w:val="00302F31"/>
    <w:rsid w:val="003035D3"/>
    <w:rsid w:val="0031377B"/>
    <w:rsid w:val="00314AA7"/>
    <w:rsid w:val="0031651E"/>
    <w:rsid w:val="00317608"/>
    <w:rsid w:val="003233E5"/>
    <w:rsid w:val="00325034"/>
    <w:rsid w:val="0033150D"/>
    <w:rsid w:val="00331ABE"/>
    <w:rsid w:val="0034164B"/>
    <w:rsid w:val="003440F7"/>
    <w:rsid w:val="00344398"/>
    <w:rsid w:val="0034606E"/>
    <w:rsid w:val="00347405"/>
    <w:rsid w:val="0034743D"/>
    <w:rsid w:val="00347C5C"/>
    <w:rsid w:val="0035056F"/>
    <w:rsid w:val="00352172"/>
    <w:rsid w:val="00354055"/>
    <w:rsid w:val="00354356"/>
    <w:rsid w:val="003555B8"/>
    <w:rsid w:val="003560BD"/>
    <w:rsid w:val="00356255"/>
    <w:rsid w:val="00356B80"/>
    <w:rsid w:val="00357C79"/>
    <w:rsid w:val="00361505"/>
    <w:rsid w:val="00363694"/>
    <w:rsid w:val="00365BDB"/>
    <w:rsid w:val="00374189"/>
    <w:rsid w:val="003871E6"/>
    <w:rsid w:val="0039073E"/>
    <w:rsid w:val="0039788F"/>
    <w:rsid w:val="003A0AF6"/>
    <w:rsid w:val="003A11A4"/>
    <w:rsid w:val="003A2B4C"/>
    <w:rsid w:val="003A2CEB"/>
    <w:rsid w:val="003A39C0"/>
    <w:rsid w:val="003A7E68"/>
    <w:rsid w:val="003B0C74"/>
    <w:rsid w:val="003C0201"/>
    <w:rsid w:val="003C5826"/>
    <w:rsid w:val="003C6CC2"/>
    <w:rsid w:val="003C72AA"/>
    <w:rsid w:val="003D0248"/>
    <w:rsid w:val="003D0529"/>
    <w:rsid w:val="003D26BA"/>
    <w:rsid w:val="003D322B"/>
    <w:rsid w:val="003D5817"/>
    <w:rsid w:val="003D6B4E"/>
    <w:rsid w:val="003E1052"/>
    <w:rsid w:val="003E536F"/>
    <w:rsid w:val="003F13D7"/>
    <w:rsid w:val="003F1EDC"/>
    <w:rsid w:val="003F3F43"/>
    <w:rsid w:val="003F6B9A"/>
    <w:rsid w:val="00400FFB"/>
    <w:rsid w:val="00404EC4"/>
    <w:rsid w:val="00415A34"/>
    <w:rsid w:val="00417C36"/>
    <w:rsid w:val="0042346A"/>
    <w:rsid w:val="004245B7"/>
    <w:rsid w:val="004273F5"/>
    <w:rsid w:val="004300F6"/>
    <w:rsid w:val="00433A07"/>
    <w:rsid w:val="004364ED"/>
    <w:rsid w:val="00440C41"/>
    <w:rsid w:val="00443800"/>
    <w:rsid w:val="00443869"/>
    <w:rsid w:val="004443A4"/>
    <w:rsid w:val="00446641"/>
    <w:rsid w:val="00451525"/>
    <w:rsid w:val="00451913"/>
    <w:rsid w:val="00451ED2"/>
    <w:rsid w:val="00452B6F"/>
    <w:rsid w:val="00455244"/>
    <w:rsid w:val="00461184"/>
    <w:rsid w:val="00462558"/>
    <w:rsid w:val="00463549"/>
    <w:rsid w:val="0046364C"/>
    <w:rsid w:val="00464C20"/>
    <w:rsid w:val="00466044"/>
    <w:rsid w:val="00473DDA"/>
    <w:rsid w:val="00474B2F"/>
    <w:rsid w:val="00475FE2"/>
    <w:rsid w:val="004802FC"/>
    <w:rsid w:val="00481BE7"/>
    <w:rsid w:val="00482CF8"/>
    <w:rsid w:val="00482F1A"/>
    <w:rsid w:val="004844D1"/>
    <w:rsid w:val="00486E9B"/>
    <w:rsid w:val="0049250E"/>
    <w:rsid w:val="004938FF"/>
    <w:rsid w:val="0049591A"/>
    <w:rsid w:val="004970F2"/>
    <w:rsid w:val="004A2070"/>
    <w:rsid w:val="004A2A27"/>
    <w:rsid w:val="004A3ED2"/>
    <w:rsid w:val="004A4982"/>
    <w:rsid w:val="004A5A03"/>
    <w:rsid w:val="004A732D"/>
    <w:rsid w:val="004A7C28"/>
    <w:rsid w:val="004B6399"/>
    <w:rsid w:val="004B64A2"/>
    <w:rsid w:val="004B6731"/>
    <w:rsid w:val="004C0817"/>
    <w:rsid w:val="004C0CD5"/>
    <w:rsid w:val="004C1069"/>
    <w:rsid w:val="004D249E"/>
    <w:rsid w:val="004D282F"/>
    <w:rsid w:val="004D78AE"/>
    <w:rsid w:val="004E0FA5"/>
    <w:rsid w:val="004E1822"/>
    <w:rsid w:val="004E2A85"/>
    <w:rsid w:val="004E2AD3"/>
    <w:rsid w:val="004F2725"/>
    <w:rsid w:val="004F2EB9"/>
    <w:rsid w:val="004F305B"/>
    <w:rsid w:val="004F434B"/>
    <w:rsid w:val="004F7309"/>
    <w:rsid w:val="00500775"/>
    <w:rsid w:val="00500AC0"/>
    <w:rsid w:val="00504201"/>
    <w:rsid w:val="00511E57"/>
    <w:rsid w:val="00513063"/>
    <w:rsid w:val="0051425A"/>
    <w:rsid w:val="005146F9"/>
    <w:rsid w:val="0051535D"/>
    <w:rsid w:val="00521E96"/>
    <w:rsid w:val="005315A3"/>
    <w:rsid w:val="00531A76"/>
    <w:rsid w:val="00541D80"/>
    <w:rsid w:val="00545F65"/>
    <w:rsid w:val="00546EDF"/>
    <w:rsid w:val="005476BB"/>
    <w:rsid w:val="0055015E"/>
    <w:rsid w:val="0055155D"/>
    <w:rsid w:val="00552880"/>
    <w:rsid w:val="005553DD"/>
    <w:rsid w:val="00562FD5"/>
    <w:rsid w:val="00563A89"/>
    <w:rsid w:val="00583185"/>
    <w:rsid w:val="0058630A"/>
    <w:rsid w:val="005864CE"/>
    <w:rsid w:val="005908A4"/>
    <w:rsid w:val="00592F25"/>
    <w:rsid w:val="005A075B"/>
    <w:rsid w:val="005A1090"/>
    <w:rsid w:val="005A2653"/>
    <w:rsid w:val="005A47D2"/>
    <w:rsid w:val="005A4B0F"/>
    <w:rsid w:val="005B11B1"/>
    <w:rsid w:val="005B2A68"/>
    <w:rsid w:val="005B2E8A"/>
    <w:rsid w:val="005B71FE"/>
    <w:rsid w:val="005C16B4"/>
    <w:rsid w:val="005C3AFA"/>
    <w:rsid w:val="005C522B"/>
    <w:rsid w:val="005D0243"/>
    <w:rsid w:val="005D1809"/>
    <w:rsid w:val="005D62D3"/>
    <w:rsid w:val="005D7465"/>
    <w:rsid w:val="005E10F4"/>
    <w:rsid w:val="005E5454"/>
    <w:rsid w:val="005F09EE"/>
    <w:rsid w:val="005F489F"/>
    <w:rsid w:val="005F4FCC"/>
    <w:rsid w:val="005F5C48"/>
    <w:rsid w:val="005F7193"/>
    <w:rsid w:val="005F7412"/>
    <w:rsid w:val="005F76F1"/>
    <w:rsid w:val="00601782"/>
    <w:rsid w:val="00604ECA"/>
    <w:rsid w:val="006051AB"/>
    <w:rsid w:val="00611A23"/>
    <w:rsid w:val="00615373"/>
    <w:rsid w:val="00617319"/>
    <w:rsid w:val="00625C34"/>
    <w:rsid w:val="0063185D"/>
    <w:rsid w:val="006409B6"/>
    <w:rsid w:val="00643871"/>
    <w:rsid w:val="006509E1"/>
    <w:rsid w:val="00651C89"/>
    <w:rsid w:val="00654453"/>
    <w:rsid w:val="00654E30"/>
    <w:rsid w:val="00656667"/>
    <w:rsid w:val="006629DD"/>
    <w:rsid w:val="00662A00"/>
    <w:rsid w:val="00664B29"/>
    <w:rsid w:val="00667567"/>
    <w:rsid w:val="00667584"/>
    <w:rsid w:val="00670377"/>
    <w:rsid w:val="0067228E"/>
    <w:rsid w:val="006730A4"/>
    <w:rsid w:val="00675EEE"/>
    <w:rsid w:val="00680294"/>
    <w:rsid w:val="00680F53"/>
    <w:rsid w:val="006823C9"/>
    <w:rsid w:val="00682AAA"/>
    <w:rsid w:val="00684781"/>
    <w:rsid w:val="0068487D"/>
    <w:rsid w:val="006856F1"/>
    <w:rsid w:val="00685DC3"/>
    <w:rsid w:val="006861D2"/>
    <w:rsid w:val="00686AE0"/>
    <w:rsid w:val="006923A3"/>
    <w:rsid w:val="00692C09"/>
    <w:rsid w:val="006A13F2"/>
    <w:rsid w:val="006A757E"/>
    <w:rsid w:val="006A7D4C"/>
    <w:rsid w:val="006B05A9"/>
    <w:rsid w:val="006B1CD8"/>
    <w:rsid w:val="006B1E3B"/>
    <w:rsid w:val="006B2256"/>
    <w:rsid w:val="006B678A"/>
    <w:rsid w:val="006B6CE0"/>
    <w:rsid w:val="006B7A72"/>
    <w:rsid w:val="006C00C2"/>
    <w:rsid w:val="006C68BA"/>
    <w:rsid w:val="006C722E"/>
    <w:rsid w:val="006C76D2"/>
    <w:rsid w:val="006D0531"/>
    <w:rsid w:val="006D08B1"/>
    <w:rsid w:val="006D6DFE"/>
    <w:rsid w:val="006D7AF3"/>
    <w:rsid w:val="006E17F0"/>
    <w:rsid w:val="006E3235"/>
    <w:rsid w:val="006E3F95"/>
    <w:rsid w:val="006E46B1"/>
    <w:rsid w:val="006E747E"/>
    <w:rsid w:val="006E78EB"/>
    <w:rsid w:val="006F2208"/>
    <w:rsid w:val="006F285E"/>
    <w:rsid w:val="006F51CD"/>
    <w:rsid w:val="006F6EE3"/>
    <w:rsid w:val="006F73D2"/>
    <w:rsid w:val="00703F37"/>
    <w:rsid w:val="00704D43"/>
    <w:rsid w:val="00704F3F"/>
    <w:rsid w:val="00713C67"/>
    <w:rsid w:val="007147AC"/>
    <w:rsid w:val="00715BCB"/>
    <w:rsid w:val="00721ED0"/>
    <w:rsid w:val="00725686"/>
    <w:rsid w:val="00725CB3"/>
    <w:rsid w:val="00737584"/>
    <w:rsid w:val="0074048C"/>
    <w:rsid w:val="00741F64"/>
    <w:rsid w:val="00747D95"/>
    <w:rsid w:val="00750D52"/>
    <w:rsid w:val="0075218F"/>
    <w:rsid w:val="0075345E"/>
    <w:rsid w:val="007548D7"/>
    <w:rsid w:val="00756D74"/>
    <w:rsid w:val="00757391"/>
    <w:rsid w:val="00757975"/>
    <w:rsid w:val="00766562"/>
    <w:rsid w:val="007716E5"/>
    <w:rsid w:val="00784E87"/>
    <w:rsid w:val="007857CA"/>
    <w:rsid w:val="00790229"/>
    <w:rsid w:val="00790933"/>
    <w:rsid w:val="00792EBD"/>
    <w:rsid w:val="00796036"/>
    <w:rsid w:val="007A0357"/>
    <w:rsid w:val="007A04A0"/>
    <w:rsid w:val="007A1690"/>
    <w:rsid w:val="007A1AE0"/>
    <w:rsid w:val="007A4F27"/>
    <w:rsid w:val="007A6A33"/>
    <w:rsid w:val="007A7DDF"/>
    <w:rsid w:val="007B0EBE"/>
    <w:rsid w:val="007B33D6"/>
    <w:rsid w:val="007B6131"/>
    <w:rsid w:val="007B663F"/>
    <w:rsid w:val="007B71CF"/>
    <w:rsid w:val="007C1C30"/>
    <w:rsid w:val="007C1D0A"/>
    <w:rsid w:val="007C2716"/>
    <w:rsid w:val="007C2854"/>
    <w:rsid w:val="007C52D7"/>
    <w:rsid w:val="007C5EEB"/>
    <w:rsid w:val="007D440C"/>
    <w:rsid w:val="007D452A"/>
    <w:rsid w:val="007D471F"/>
    <w:rsid w:val="007E14CA"/>
    <w:rsid w:val="007E378F"/>
    <w:rsid w:val="007E3CEB"/>
    <w:rsid w:val="007E6A9F"/>
    <w:rsid w:val="007E6FBA"/>
    <w:rsid w:val="007E75C5"/>
    <w:rsid w:val="007F1082"/>
    <w:rsid w:val="007F4192"/>
    <w:rsid w:val="007F48C4"/>
    <w:rsid w:val="007F5058"/>
    <w:rsid w:val="007F6016"/>
    <w:rsid w:val="00802677"/>
    <w:rsid w:val="00814F4D"/>
    <w:rsid w:val="008152A0"/>
    <w:rsid w:val="0081547C"/>
    <w:rsid w:val="008251D4"/>
    <w:rsid w:val="00825455"/>
    <w:rsid w:val="00830DDC"/>
    <w:rsid w:val="00836013"/>
    <w:rsid w:val="008452B9"/>
    <w:rsid w:val="0084557F"/>
    <w:rsid w:val="0084590C"/>
    <w:rsid w:val="008477FB"/>
    <w:rsid w:val="008501ED"/>
    <w:rsid w:val="008511B8"/>
    <w:rsid w:val="00855832"/>
    <w:rsid w:val="00860F46"/>
    <w:rsid w:val="0086215A"/>
    <w:rsid w:val="00862D14"/>
    <w:rsid w:val="00863D0C"/>
    <w:rsid w:val="0086655E"/>
    <w:rsid w:val="0086762F"/>
    <w:rsid w:val="0087022A"/>
    <w:rsid w:val="0087096E"/>
    <w:rsid w:val="0087111C"/>
    <w:rsid w:val="008714F6"/>
    <w:rsid w:val="008732A6"/>
    <w:rsid w:val="00873425"/>
    <w:rsid w:val="008743C9"/>
    <w:rsid w:val="0087780C"/>
    <w:rsid w:val="00877BF5"/>
    <w:rsid w:val="0088728A"/>
    <w:rsid w:val="00887F4D"/>
    <w:rsid w:val="0089271B"/>
    <w:rsid w:val="00894993"/>
    <w:rsid w:val="00897BC8"/>
    <w:rsid w:val="008A35DE"/>
    <w:rsid w:val="008A7E5E"/>
    <w:rsid w:val="008B54D7"/>
    <w:rsid w:val="008C3631"/>
    <w:rsid w:val="008D267D"/>
    <w:rsid w:val="008D2A93"/>
    <w:rsid w:val="008D2AD6"/>
    <w:rsid w:val="008D3326"/>
    <w:rsid w:val="008D5CCB"/>
    <w:rsid w:val="008D5F9D"/>
    <w:rsid w:val="008D7A9C"/>
    <w:rsid w:val="008E2C7C"/>
    <w:rsid w:val="008E4609"/>
    <w:rsid w:val="008E4BFB"/>
    <w:rsid w:val="008E5310"/>
    <w:rsid w:val="008E5FAD"/>
    <w:rsid w:val="008E5FE3"/>
    <w:rsid w:val="008E61AD"/>
    <w:rsid w:val="008F3DCD"/>
    <w:rsid w:val="008F6374"/>
    <w:rsid w:val="008F6925"/>
    <w:rsid w:val="008F7602"/>
    <w:rsid w:val="009031A2"/>
    <w:rsid w:val="0090541D"/>
    <w:rsid w:val="009059DC"/>
    <w:rsid w:val="00912CA9"/>
    <w:rsid w:val="00913443"/>
    <w:rsid w:val="00913F9A"/>
    <w:rsid w:val="00915FF3"/>
    <w:rsid w:val="00921BBA"/>
    <w:rsid w:val="00921ED0"/>
    <w:rsid w:val="00923700"/>
    <w:rsid w:val="00923BFF"/>
    <w:rsid w:val="00924807"/>
    <w:rsid w:val="009261BF"/>
    <w:rsid w:val="009301E4"/>
    <w:rsid w:val="00930D70"/>
    <w:rsid w:val="009329E6"/>
    <w:rsid w:val="00933EFD"/>
    <w:rsid w:val="00934E60"/>
    <w:rsid w:val="00935B54"/>
    <w:rsid w:val="0094161D"/>
    <w:rsid w:val="009468E3"/>
    <w:rsid w:val="0095664C"/>
    <w:rsid w:val="0095717A"/>
    <w:rsid w:val="00966D4C"/>
    <w:rsid w:val="00966F4A"/>
    <w:rsid w:val="009674BE"/>
    <w:rsid w:val="00976557"/>
    <w:rsid w:val="0097699C"/>
    <w:rsid w:val="0097741C"/>
    <w:rsid w:val="00977562"/>
    <w:rsid w:val="0097795F"/>
    <w:rsid w:val="009828B4"/>
    <w:rsid w:val="00982F4D"/>
    <w:rsid w:val="00985FB9"/>
    <w:rsid w:val="00995674"/>
    <w:rsid w:val="00997D8B"/>
    <w:rsid w:val="009A1411"/>
    <w:rsid w:val="009B6178"/>
    <w:rsid w:val="009C27E4"/>
    <w:rsid w:val="009C2AC4"/>
    <w:rsid w:val="009C48AA"/>
    <w:rsid w:val="009C5D1B"/>
    <w:rsid w:val="009D6249"/>
    <w:rsid w:val="009D7643"/>
    <w:rsid w:val="009E1A38"/>
    <w:rsid w:val="009E26A8"/>
    <w:rsid w:val="009E3F8B"/>
    <w:rsid w:val="009E6666"/>
    <w:rsid w:val="009F0213"/>
    <w:rsid w:val="009F0DD2"/>
    <w:rsid w:val="009F29D6"/>
    <w:rsid w:val="009F61B2"/>
    <w:rsid w:val="00A00AE9"/>
    <w:rsid w:val="00A0288F"/>
    <w:rsid w:val="00A06EE8"/>
    <w:rsid w:val="00A124DF"/>
    <w:rsid w:val="00A164C6"/>
    <w:rsid w:val="00A16C28"/>
    <w:rsid w:val="00A17C8F"/>
    <w:rsid w:val="00A21E8B"/>
    <w:rsid w:val="00A223C2"/>
    <w:rsid w:val="00A266DE"/>
    <w:rsid w:val="00A27724"/>
    <w:rsid w:val="00A37371"/>
    <w:rsid w:val="00A40343"/>
    <w:rsid w:val="00A40760"/>
    <w:rsid w:val="00A415F3"/>
    <w:rsid w:val="00A44FCA"/>
    <w:rsid w:val="00A4547C"/>
    <w:rsid w:val="00A4594A"/>
    <w:rsid w:val="00A472C2"/>
    <w:rsid w:val="00A50E99"/>
    <w:rsid w:val="00A57938"/>
    <w:rsid w:val="00A617B1"/>
    <w:rsid w:val="00A619FF"/>
    <w:rsid w:val="00A63CB1"/>
    <w:rsid w:val="00A65348"/>
    <w:rsid w:val="00A662CA"/>
    <w:rsid w:val="00A71155"/>
    <w:rsid w:val="00A71750"/>
    <w:rsid w:val="00A73684"/>
    <w:rsid w:val="00A73B06"/>
    <w:rsid w:val="00A773C2"/>
    <w:rsid w:val="00A81823"/>
    <w:rsid w:val="00A90FF2"/>
    <w:rsid w:val="00A94898"/>
    <w:rsid w:val="00A94B27"/>
    <w:rsid w:val="00A9537A"/>
    <w:rsid w:val="00A95454"/>
    <w:rsid w:val="00A95687"/>
    <w:rsid w:val="00A9680C"/>
    <w:rsid w:val="00A97031"/>
    <w:rsid w:val="00A97E05"/>
    <w:rsid w:val="00AA1ABB"/>
    <w:rsid w:val="00AA1C23"/>
    <w:rsid w:val="00AA451B"/>
    <w:rsid w:val="00AA4C43"/>
    <w:rsid w:val="00AA672B"/>
    <w:rsid w:val="00AB3145"/>
    <w:rsid w:val="00AB4A16"/>
    <w:rsid w:val="00AB5DBA"/>
    <w:rsid w:val="00AB720B"/>
    <w:rsid w:val="00AC3302"/>
    <w:rsid w:val="00AC6E70"/>
    <w:rsid w:val="00AD0E56"/>
    <w:rsid w:val="00AD20C4"/>
    <w:rsid w:val="00AD3FC7"/>
    <w:rsid w:val="00AD5BC6"/>
    <w:rsid w:val="00AD72EB"/>
    <w:rsid w:val="00AE02A9"/>
    <w:rsid w:val="00AE161C"/>
    <w:rsid w:val="00AE67E5"/>
    <w:rsid w:val="00AF22E0"/>
    <w:rsid w:val="00AF2438"/>
    <w:rsid w:val="00AF60A3"/>
    <w:rsid w:val="00B012F8"/>
    <w:rsid w:val="00B04E1D"/>
    <w:rsid w:val="00B13683"/>
    <w:rsid w:val="00B13CBF"/>
    <w:rsid w:val="00B1698F"/>
    <w:rsid w:val="00B2088A"/>
    <w:rsid w:val="00B232EA"/>
    <w:rsid w:val="00B2331E"/>
    <w:rsid w:val="00B2366B"/>
    <w:rsid w:val="00B24022"/>
    <w:rsid w:val="00B2652E"/>
    <w:rsid w:val="00B274E3"/>
    <w:rsid w:val="00B36C58"/>
    <w:rsid w:val="00B42EF3"/>
    <w:rsid w:val="00B438A2"/>
    <w:rsid w:val="00B45B8D"/>
    <w:rsid w:val="00B469A4"/>
    <w:rsid w:val="00B53FB6"/>
    <w:rsid w:val="00B54AA4"/>
    <w:rsid w:val="00B61CB0"/>
    <w:rsid w:val="00B61E76"/>
    <w:rsid w:val="00B64A69"/>
    <w:rsid w:val="00B7155D"/>
    <w:rsid w:val="00B71C5F"/>
    <w:rsid w:val="00B80E7E"/>
    <w:rsid w:val="00B811FF"/>
    <w:rsid w:val="00B81C04"/>
    <w:rsid w:val="00B83CEA"/>
    <w:rsid w:val="00B87145"/>
    <w:rsid w:val="00B8715D"/>
    <w:rsid w:val="00B953CD"/>
    <w:rsid w:val="00B979BD"/>
    <w:rsid w:val="00BA02C4"/>
    <w:rsid w:val="00BA06DE"/>
    <w:rsid w:val="00BA2610"/>
    <w:rsid w:val="00BA2C35"/>
    <w:rsid w:val="00BA6F67"/>
    <w:rsid w:val="00BB29A0"/>
    <w:rsid w:val="00BB7E4E"/>
    <w:rsid w:val="00BB7F5E"/>
    <w:rsid w:val="00BC2078"/>
    <w:rsid w:val="00BC21FF"/>
    <w:rsid w:val="00BC38C0"/>
    <w:rsid w:val="00BC429B"/>
    <w:rsid w:val="00BC6242"/>
    <w:rsid w:val="00BD2868"/>
    <w:rsid w:val="00BD3C3F"/>
    <w:rsid w:val="00BE0E79"/>
    <w:rsid w:val="00BE139C"/>
    <w:rsid w:val="00BF252F"/>
    <w:rsid w:val="00BF3A9B"/>
    <w:rsid w:val="00BF673E"/>
    <w:rsid w:val="00C035D4"/>
    <w:rsid w:val="00C03855"/>
    <w:rsid w:val="00C03F9C"/>
    <w:rsid w:val="00C0668E"/>
    <w:rsid w:val="00C13FD0"/>
    <w:rsid w:val="00C15072"/>
    <w:rsid w:val="00C153A1"/>
    <w:rsid w:val="00C2056C"/>
    <w:rsid w:val="00C20A38"/>
    <w:rsid w:val="00C22486"/>
    <w:rsid w:val="00C264F6"/>
    <w:rsid w:val="00C27AC6"/>
    <w:rsid w:val="00C44FD9"/>
    <w:rsid w:val="00C45893"/>
    <w:rsid w:val="00C46005"/>
    <w:rsid w:val="00C46FF9"/>
    <w:rsid w:val="00C50080"/>
    <w:rsid w:val="00C51F2F"/>
    <w:rsid w:val="00C56C5A"/>
    <w:rsid w:val="00C57BB8"/>
    <w:rsid w:val="00C6240D"/>
    <w:rsid w:val="00C62458"/>
    <w:rsid w:val="00C64D9E"/>
    <w:rsid w:val="00C71DCD"/>
    <w:rsid w:val="00C720A9"/>
    <w:rsid w:val="00C75C88"/>
    <w:rsid w:val="00C76992"/>
    <w:rsid w:val="00C7769A"/>
    <w:rsid w:val="00C80213"/>
    <w:rsid w:val="00C8101F"/>
    <w:rsid w:val="00C81676"/>
    <w:rsid w:val="00C8527B"/>
    <w:rsid w:val="00C864FA"/>
    <w:rsid w:val="00C91356"/>
    <w:rsid w:val="00C9234F"/>
    <w:rsid w:val="00C92745"/>
    <w:rsid w:val="00C92C12"/>
    <w:rsid w:val="00C92D55"/>
    <w:rsid w:val="00CA4273"/>
    <w:rsid w:val="00CA5E08"/>
    <w:rsid w:val="00CB1669"/>
    <w:rsid w:val="00CB434F"/>
    <w:rsid w:val="00CB49BC"/>
    <w:rsid w:val="00CC307B"/>
    <w:rsid w:val="00CC3F73"/>
    <w:rsid w:val="00CC5B22"/>
    <w:rsid w:val="00CC6A23"/>
    <w:rsid w:val="00CC6CA7"/>
    <w:rsid w:val="00CD2294"/>
    <w:rsid w:val="00CD30AE"/>
    <w:rsid w:val="00CD3639"/>
    <w:rsid w:val="00CD4FAC"/>
    <w:rsid w:val="00CE274E"/>
    <w:rsid w:val="00CE410A"/>
    <w:rsid w:val="00CE7AEB"/>
    <w:rsid w:val="00CF181E"/>
    <w:rsid w:val="00CF30A1"/>
    <w:rsid w:val="00D00C1C"/>
    <w:rsid w:val="00D01A2B"/>
    <w:rsid w:val="00D04FAA"/>
    <w:rsid w:val="00D052C7"/>
    <w:rsid w:val="00D12AD0"/>
    <w:rsid w:val="00D21155"/>
    <w:rsid w:val="00D2152B"/>
    <w:rsid w:val="00D22568"/>
    <w:rsid w:val="00D24E43"/>
    <w:rsid w:val="00D25E80"/>
    <w:rsid w:val="00D27DFA"/>
    <w:rsid w:val="00D30074"/>
    <w:rsid w:val="00D33622"/>
    <w:rsid w:val="00D34E96"/>
    <w:rsid w:val="00D352F6"/>
    <w:rsid w:val="00D35BB3"/>
    <w:rsid w:val="00D43DBA"/>
    <w:rsid w:val="00D463D9"/>
    <w:rsid w:val="00D46659"/>
    <w:rsid w:val="00D469F5"/>
    <w:rsid w:val="00D53A26"/>
    <w:rsid w:val="00D56943"/>
    <w:rsid w:val="00D640C3"/>
    <w:rsid w:val="00D6426D"/>
    <w:rsid w:val="00D646DE"/>
    <w:rsid w:val="00D648D1"/>
    <w:rsid w:val="00D67014"/>
    <w:rsid w:val="00D71830"/>
    <w:rsid w:val="00D71E08"/>
    <w:rsid w:val="00D82045"/>
    <w:rsid w:val="00D8324F"/>
    <w:rsid w:val="00D832A0"/>
    <w:rsid w:val="00D8437A"/>
    <w:rsid w:val="00D87345"/>
    <w:rsid w:val="00D913F7"/>
    <w:rsid w:val="00D9505D"/>
    <w:rsid w:val="00D952AA"/>
    <w:rsid w:val="00D97C77"/>
    <w:rsid w:val="00DA28EB"/>
    <w:rsid w:val="00DA4A01"/>
    <w:rsid w:val="00DA65FD"/>
    <w:rsid w:val="00DA726B"/>
    <w:rsid w:val="00DB1B9F"/>
    <w:rsid w:val="00DB3B96"/>
    <w:rsid w:val="00DB640C"/>
    <w:rsid w:val="00DB6C1F"/>
    <w:rsid w:val="00DC7A94"/>
    <w:rsid w:val="00DD5592"/>
    <w:rsid w:val="00DE005A"/>
    <w:rsid w:val="00DE2173"/>
    <w:rsid w:val="00DE3FB4"/>
    <w:rsid w:val="00DE5B86"/>
    <w:rsid w:val="00DE6829"/>
    <w:rsid w:val="00DF0ECB"/>
    <w:rsid w:val="00DF56B6"/>
    <w:rsid w:val="00DF57FE"/>
    <w:rsid w:val="00E02E1D"/>
    <w:rsid w:val="00E046C6"/>
    <w:rsid w:val="00E066B7"/>
    <w:rsid w:val="00E06CA5"/>
    <w:rsid w:val="00E13374"/>
    <w:rsid w:val="00E137C3"/>
    <w:rsid w:val="00E13C8E"/>
    <w:rsid w:val="00E16611"/>
    <w:rsid w:val="00E16E8D"/>
    <w:rsid w:val="00E22AB6"/>
    <w:rsid w:val="00E23012"/>
    <w:rsid w:val="00E307B5"/>
    <w:rsid w:val="00E32F66"/>
    <w:rsid w:val="00E33FAB"/>
    <w:rsid w:val="00E4033F"/>
    <w:rsid w:val="00E4106A"/>
    <w:rsid w:val="00E4121D"/>
    <w:rsid w:val="00E42E3F"/>
    <w:rsid w:val="00E478D8"/>
    <w:rsid w:val="00E47FE7"/>
    <w:rsid w:val="00E51566"/>
    <w:rsid w:val="00E51E31"/>
    <w:rsid w:val="00E523AA"/>
    <w:rsid w:val="00E54143"/>
    <w:rsid w:val="00E60F75"/>
    <w:rsid w:val="00E629B0"/>
    <w:rsid w:val="00E629C2"/>
    <w:rsid w:val="00E6339F"/>
    <w:rsid w:val="00E64F05"/>
    <w:rsid w:val="00E65335"/>
    <w:rsid w:val="00E70C2D"/>
    <w:rsid w:val="00E739D3"/>
    <w:rsid w:val="00E74BE2"/>
    <w:rsid w:val="00E7754C"/>
    <w:rsid w:val="00E80A49"/>
    <w:rsid w:val="00E83BB2"/>
    <w:rsid w:val="00E85369"/>
    <w:rsid w:val="00E85F02"/>
    <w:rsid w:val="00E863E4"/>
    <w:rsid w:val="00E87C4A"/>
    <w:rsid w:val="00E92036"/>
    <w:rsid w:val="00E94CFB"/>
    <w:rsid w:val="00E96018"/>
    <w:rsid w:val="00EA4FD4"/>
    <w:rsid w:val="00EB155B"/>
    <w:rsid w:val="00EC2C44"/>
    <w:rsid w:val="00EC3783"/>
    <w:rsid w:val="00EC3F72"/>
    <w:rsid w:val="00EC5FA5"/>
    <w:rsid w:val="00EC6437"/>
    <w:rsid w:val="00ED69EA"/>
    <w:rsid w:val="00EE32EB"/>
    <w:rsid w:val="00EE4DAC"/>
    <w:rsid w:val="00EE65FC"/>
    <w:rsid w:val="00EF2A2B"/>
    <w:rsid w:val="00EF3612"/>
    <w:rsid w:val="00EF3FB4"/>
    <w:rsid w:val="00EF6A2A"/>
    <w:rsid w:val="00EF7276"/>
    <w:rsid w:val="00F00ABC"/>
    <w:rsid w:val="00F0360C"/>
    <w:rsid w:val="00F14DDC"/>
    <w:rsid w:val="00F1566D"/>
    <w:rsid w:val="00F15959"/>
    <w:rsid w:val="00F15B3B"/>
    <w:rsid w:val="00F32226"/>
    <w:rsid w:val="00F33213"/>
    <w:rsid w:val="00F40354"/>
    <w:rsid w:val="00F40436"/>
    <w:rsid w:val="00F41A6C"/>
    <w:rsid w:val="00F43A62"/>
    <w:rsid w:val="00F52B42"/>
    <w:rsid w:val="00F545E6"/>
    <w:rsid w:val="00F54911"/>
    <w:rsid w:val="00F616B3"/>
    <w:rsid w:val="00F66FA0"/>
    <w:rsid w:val="00F67930"/>
    <w:rsid w:val="00F736B7"/>
    <w:rsid w:val="00F83881"/>
    <w:rsid w:val="00F8784A"/>
    <w:rsid w:val="00F904DE"/>
    <w:rsid w:val="00F909FE"/>
    <w:rsid w:val="00F90CA3"/>
    <w:rsid w:val="00F92111"/>
    <w:rsid w:val="00FA2BB6"/>
    <w:rsid w:val="00FB1504"/>
    <w:rsid w:val="00FB3BEB"/>
    <w:rsid w:val="00FB7BF2"/>
    <w:rsid w:val="00FC1155"/>
    <w:rsid w:val="00FC296D"/>
    <w:rsid w:val="00FC31C0"/>
    <w:rsid w:val="00FC3B2E"/>
    <w:rsid w:val="00FC53FC"/>
    <w:rsid w:val="00FD06BF"/>
    <w:rsid w:val="00FD0A4E"/>
    <w:rsid w:val="00FD5632"/>
    <w:rsid w:val="00FD6E57"/>
    <w:rsid w:val="00FE30D7"/>
    <w:rsid w:val="00FE46E5"/>
    <w:rsid w:val="00FF494C"/>
    <w:rsid w:val="00FF7082"/>
    <w:rsid w:val="01107E19"/>
    <w:rsid w:val="011356B4"/>
    <w:rsid w:val="01225A02"/>
    <w:rsid w:val="012D25BD"/>
    <w:rsid w:val="01582C8E"/>
    <w:rsid w:val="016021FC"/>
    <w:rsid w:val="016F0596"/>
    <w:rsid w:val="017E5D32"/>
    <w:rsid w:val="019873B1"/>
    <w:rsid w:val="019A60C3"/>
    <w:rsid w:val="01B24190"/>
    <w:rsid w:val="01B5158C"/>
    <w:rsid w:val="01CC7C92"/>
    <w:rsid w:val="01CE3A0A"/>
    <w:rsid w:val="0219794D"/>
    <w:rsid w:val="02575D84"/>
    <w:rsid w:val="025D58D9"/>
    <w:rsid w:val="02693733"/>
    <w:rsid w:val="027C32E6"/>
    <w:rsid w:val="029359EA"/>
    <w:rsid w:val="02A05D4B"/>
    <w:rsid w:val="02BB4E97"/>
    <w:rsid w:val="02E03475"/>
    <w:rsid w:val="02E1776D"/>
    <w:rsid w:val="02E67D73"/>
    <w:rsid w:val="02EC09B2"/>
    <w:rsid w:val="02EF1E8A"/>
    <w:rsid w:val="032B023F"/>
    <w:rsid w:val="03593D13"/>
    <w:rsid w:val="03633E11"/>
    <w:rsid w:val="03884169"/>
    <w:rsid w:val="03AE5215"/>
    <w:rsid w:val="03E727F4"/>
    <w:rsid w:val="03EF3054"/>
    <w:rsid w:val="03F462B0"/>
    <w:rsid w:val="040A4AA1"/>
    <w:rsid w:val="041D6970"/>
    <w:rsid w:val="042610C6"/>
    <w:rsid w:val="042E05E9"/>
    <w:rsid w:val="04374897"/>
    <w:rsid w:val="043A46D7"/>
    <w:rsid w:val="043C447B"/>
    <w:rsid w:val="046631B1"/>
    <w:rsid w:val="046B7DD1"/>
    <w:rsid w:val="047A67A7"/>
    <w:rsid w:val="049B088D"/>
    <w:rsid w:val="04BC0280"/>
    <w:rsid w:val="04C36EF1"/>
    <w:rsid w:val="04D04FF2"/>
    <w:rsid w:val="04DC7F6E"/>
    <w:rsid w:val="04E142B5"/>
    <w:rsid w:val="052847D0"/>
    <w:rsid w:val="05367DBC"/>
    <w:rsid w:val="054261FF"/>
    <w:rsid w:val="05542EE3"/>
    <w:rsid w:val="055D3430"/>
    <w:rsid w:val="05690A99"/>
    <w:rsid w:val="056C1F8D"/>
    <w:rsid w:val="05762867"/>
    <w:rsid w:val="0595014E"/>
    <w:rsid w:val="059C7408"/>
    <w:rsid w:val="05BF3414"/>
    <w:rsid w:val="05C264D5"/>
    <w:rsid w:val="05DB46A2"/>
    <w:rsid w:val="05E52DE5"/>
    <w:rsid w:val="0624009C"/>
    <w:rsid w:val="06322819"/>
    <w:rsid w:val="063B5AC4"/>
    <w:rsid w:val="067070D8"/>
    <w:rsid w:val="06877F27"/>
    <w:rsid w:val="069A4B7B"/>
    <w:rsid w:val="06A32D8E"/>
    <w:rsid w:val="06D373CC"/>
    <w:rsid w:val="06F063D1"/>
    <w:rsid w:val="06FC2E56"/>
    <w:rsid w:val="071D295A"/>
    <w:rsid w:val="07471E3F"/>
    <w:rsid w:val="075065BC"/>
    <w:rsid w:val="07554E77"/>
    <w:rsid w:val="07783E0F"/>
    <w:rsid w:val="07AF1A53"/>
    <w:rsid w:val="07B2546E"/>
    <w:rsid w:val="07DB703D"/>
    <w:rsid w:val="07F33AD9"/>
    <w:rsid w:val="07FB43F4"/>
    <w:rsid w:val="08000709"/>
    <w:rsid w:val="08202AE5"/>
    <w:rsid w:val="083F00B3"/>
    <w:rsid w:val="08447156"/>
    <w:rsid w:val="085B2AD6"/>
    <w:rsid w:val="085D23CD"/>
    <w:rsid w:val="0878022B"/>
    <w:rsid w:val="087C2D8F"/>
    <w:rsid w:val="087D5E88"/>
    <w:rsid w:val="089B6610"/>
    <w:rsid w:val="08B33F75"/>
    <w:rsid w:val="08B92354"/>
    <w:rsid w:val="08C118F2"/>
    <w:rsid w:val="08CF6358"/>
    <w:rsid w:val="08D230F7"/>
    <w:rsid w:val="09497E1A"/>
    <w:rsid w:val="094A2B91"/>
    <w:rsid w:val="095E4F87"/>
    <w:rsid w:val="09976DD7"/>
    <w:rsid w:val="09C465BB"/>
    <w:rsid w:val="09C821FE"/>
    <w:rsid w:val="0A06762D"/>
    <w:rsid w:val="0A3C5A1C"/>
    <w:rsid w:val="0A92306E"/>
    <w:rsid w:val="0AA42F62"/>
    <w:rsid w:val="0AC534D0"/>
    <w:rsid w:val="0AEB3411"/>
    <w:rsid w:val="0B422D73"/>
    <w:rsid w:val="0B4534A5"/>
    <w:rsid w:val="0B8074CB"/>
    <w:rsid w:val="0B8F2CE6"/>
    <w:rsid w:val="0BA53A2D"/>
    <w:rsid w:val="0BA77F71"/>
    <w:rsid w:val="0BB51F9F"/>
    <w:rsid w:val="0BC83764"/>
    <w:rsid w:val="0BCA4682"/>
    <w:rsid w:val="0BE00631"/>
    <w:rsid w:val="0C203D34"/>
    <w:rsid w:val="0C3C1E0A"/>
    <w:rsid w:val="0C3E0833"/>
    <w:rsid w:val="0C40649B"/>
    <w:rsid w:val="0C59767E"/>
    <w:rsid w:val="0C5B40EC"/>
    <w:rsid w:val="0C821790"/>
    <w:rsid w:val="0C9238A7"/>
    <w:rsid w:val="0C984466"/>
    <w:rsid w:val="0CDB303E"/>
    <w:rsid w:val="0CDF52BC"/>
    <w:rsid w:val="0CF87B8D"/>
    <w:rsid w:val="0D0E24C5"/>
    <w:rsid w:val="0D21374F"/>
    <w:rsid w:val="0D8E6743"/>
    <w:rsid w:val="0D976EAB"/>
    <w:rsid w:val="0DC37D36"/>
    <w:rsid w:val="0DE94EC0"/>
    <w:rsid w:val="0DEB0E17"/>
    <w:rsid w:val="0E1D65B7"/>
    <w:rsid w:val="0E2C34E0"/>
    <w:rsid w:val="0E304D89"/>
    <w:rsid w:val="0E384A6A"/>
    <w:rsid w:val="0E3F3323"/>
    <w:rsid w:val="0E413685"/>
    <w:rsid w:val="0E603C62"/>
    <w:rsid w:val="0E630C21"/>
    <w:rsid w:val="0E6A2D0C"/>
    <w:rsid w:val="0E782BC0"/>
    <w:rsid w:val="0E870951"/>
    <w:rsid w:val="0E880988"/>
    <w:rsid w:val="0E8F650B"/>
    <w:rsid w:val="0EA31D7A"/>
    <w:rsid w:val="0EA653BA"/>
    <w:rsid w:val="0EAD3E9A"/>
    <w:rsid w:val="0EC56195"/>
    <w:rsid w:val="0ECC4F3E"/>
    <w:rsid w:val="0EE62235"/>
    <w:rsid w:val="0EED409A"/>
    <w:rsid w:val="0EF93C6A"/>
    <w:rsid w:val="0F474DFC"/>
    <w:rsid w:val="0F580DB7"/>
    <w:rsid w:val="0F7B5780"/>
    <w:rsid w:val="0F84395A"/>
    <w:rsid w:val="0F8E6586"/>
    <w:rsid w:val="0FBE25DD"/>
    <w:rsid w:val="0FC01A82"/>
    <w:rsid w:val="0FC31730"/>
    <w:rsid w:val="0FDD7863"/>
    <w:rsid w:val="0FE007EC"/>
    <w:rsid w:val="0FEE36BE"/>
    <w:rsid w:val="0FF77CA6"/>
    <w:rsid w:val="10007B7F"/>
    <w:rsid w:val="10044A9B"/>
    <w:rsid w:val="100827DD"/>
    <w:rsid w:val="101E632F"/>
    <w:rsid w:val="102120F3"/>
    <w:rsid w:val="1032785A"/>
    <w:rsid w:val="104F3F68"/>
    <w:rsid w:val="105D50FE"/>
    <w:rsid w:val="106D1DC6"/>
    <w:rsid w:val="10896255"/>
    <w:rsid w:val="108D0836"/>
    <w:rsid w:val="10A31D06"/>
    <w:rsid w:val="10B81C2F"/>
    <w:rsid w:val="10C326C0"/>
    <w:rsid w:val="10CE0488"/>
    <w:rsid w:val="10DC4F31"/>
    <w:rsid w:val="10EC17B7"/>
    <w:rsid w:val="110441D6"/>
    <w:rsid w:val="11513D10"/>
    <w:rsid w:val="11661C21"/>
    <w:rsid w:val="11907E11"/>
    <w:rsid w:val="11A71B81"/>
    <w:rsid w:val="11B17F46"/>
    <w:rsid w:val="11CB63BB"/>
    <w:rsid w:val="11FC011F"/>
    <w:rsid w:val="12015736"/>
    <w:rsid w:val="120A5129"/>
    <w:rsid w:val="120C7C36"/>
    <w:rsid w:val="1212349F"/>
    <w:rsid w:val="12243327"/>
    <w:rsid w:val="12286A1B"/>
    <w:rsid w:val="124052A2"/>
    <w:rsid w:val="12435D4E"/>
    <w:rsid w:val="12687A03"/>
    <w:rsid w:val="126957C4"/>
    <w:rsid w:val="126E3A4B"/>
    <w:rsid w:val="128B0105"/>
    <w:rsid w:val="128D0467"/>
    <w:rsid w:val="128F3DB7"/>
    <w:rsid w:val="128F517C"/>
    <w:rsid w:val="12BE624D"/>
    <w:rsid w:val="12C07C8E"/>
    <w:rsid w:val="12C16C73"/>
    <w:rsid w:val="13052EB9"/>
    <w:rsid w:val="131D3C57"/>
    <w:rsid w:val="13201BEB"/>
    <w:rsid w:val="13304431"/>
    <w:rsid w:val="1335711C"/>
    <w:rsid w:val="133E1BF6"/>
    <w:rsid w:val="135E44B2"/>
    <w:rsid w:val="136631CE"/>
    <w:rsid w:val="13725660"/>
    <w:rsid w:val="137274F8"/>
    <w:rsid w:val="137626C4"/>
    <w:rsid w:val="137951EA"/>
    <w:rsid w:val="13920CCD"/>
    <w:rsid w:val="13A46921"/>
    <w:rsid w:val="13A71B77"/>
    <w:rsid w:val="13AC1469"/>
    <w:rsid w:val="13DD73A2"/>
    <w:rsid w:val="13EE51BE"/>
    <w:rsid w:val="140C0BFF"/>
    <w:rsid w:val="141A4414"/>
    <w:rsid w:val="141B57FE"/>
    <w:rsid w:val="1448764C"/>
    <w:rsid w:val="14535FF1"/>
    <w:rsid w:val="14575513"/>
    <w:rsid w:val="145F6029"/>
    <w:rsid w:val="146D0E60"/>
    <w:rsid w:val="14893727"/>
    <w:rsid w:val="148B4609"/>
    <w:rsid w:val="148F2E6E"/>
    <w:rsid w:val="149B393A"/>
    <w:rsid w:val="14AC5AB5"/>
    <w:rsid w:val="14C263DB"/>
    <w:rsid w:val="14EA047D"/>
    <w:rsid w:val="14F32497"/>
    <w:rsid w:val="14F50E56"/>
    <w:rsid w:val="151C26CD"/>
    <w:rsid w:val="151E023A"/>
    <w:rsid w:val="15261CD5"/>
    <w:rsid w:val="15341750"/>
    <w:rsid w:val="15557B25"/>
    <w:rsid w:val="15861EA1"/>
    <w:rsid w:val="15902CFF"/>
    <w:rsid w:val="15910B7E"/>
    <w:rsid w:val="15960C16"/>
    <w:rsid w:val="15A506CD"/>
    <w:rsid w:val="15A81BD7"/>
    <w:rsid w:val="15AC7766"/>
    <w:rsid w:val="15BF3A7B"/>
    <w:rsid w:val="15D60C87"/>
    <w:rsid w:val="15DC0B72"/>
    <w:rsid w:val="15DF13EA"/>
    <w:rsid w:val="15E21005"/>
    <w:rsid w:val="1605045C"/>
    <w:rsid w:val="16060436"/>
    <w:rsid w:val="16086B62"/>
    <w:rsid w:val="161B29FA"/>
    <w:rsid w:val="1620307B"/>
    <w:rsid w:val="163E5980"/>
    <w:rsid w:val="166F6F12"/>
    <w:rsid w:val="16784837"/>
    <w:rsid w:val="16970A9A"/>
    <w:rsid w:val="169E25CA"/>
    <w:rsid w:val="16B13CE3"/>
    <w:rsid w:val="16C857BA"/>
    <w:rsid w:val="16D85E6F"/>
    <w:rsid w:val="16ED6288"/>
    <w:rsid w:val="172B6DB1"/>
    <w:rsid w:val="177E7E8F"/>
    <w:rsid w:val="178070FD"/>
    <w:rsid w:val="17926A70"/>
    <w:rsid w:val="17B24A6E"/>
    <w:rsid w:val="17B84AE8"/>
    <w:rsid w:val="17DD587D"/>
    <w:rsid w:val="17F80C65"/>
    <w:rsid w:val="181033F2"/>
    <w:rsid w:val="1820443C"/>
    <w:rsid w:val="1838145F"/>
    <w:rsid w:val="184B6A12"/>
    <w:rsid w:val="18641B32"/>
    <w:rsid w:val="188237C3"/>
    <w:rsid w:val="18907C23"/>
    <w:rsid w:val="18BA7D5A"/>
    <w:rsid w:val="18CC1B19"/>
    <w:rsid w:val="18E1049D"/>
    <w:rsid w:val="18F620C3"/>
    <w:rsid w:val="18FE477D"/>
    <w:rsid w:val="19040BBA"/>
    <w:rsid w:val="1907328B"/>
    <w:rsid w:val="192629B7"/>
    <w:rsid w:val="1943616A"/>
    <w:rsid w:val="194C0F35"/>
    <w:rsid w:val="19746AAE"/>
    <w:rsid w:val="19795EB1"/>
    <w:rsid w:val="19B103FF"/>
    <w:rsid w:val="1A033212"/>
    <w:rsid w:val="1A171E05"/>
    <w:rsid w:val="1A36536B"/>
    <w:rsid w:val="1A3E2813"/>
    <w:rsid w:val="1A642D06"/>
    <w:rsid w:val="1A920A3F"/>
    <w:rsid w:val="1AE51725"/>
    <w:rsid w:val="1AE65D37"/>
    <w:rsid w:val="1B247BA0"/>
    <w:rsid w:val="1B402872"/>
    <w:rsid w:val="1B402C84"/>
    <w:rsid w:val="1B687433"/>
    <w:rsid w:val="1B790DD1"/>
    <w:rsid w:val="1B7B63FF"/>
    <w:rsid w:val="1BA14CC9"/>
    <w:rsid w:val="1BA413B3"/>
    <w:rsid w:val="1BAD1E3A"/>
    <w:rsid w:val="1BC850AE"/>
    <w:rsid w:val="1BF42AD6"/>
    <w:rsid w:val="1BF82392"/>
    <w:rsid w:val="1C1478C1"/>
    <w:rsid w:val="1C691589"/>
    <w:rsid w:val="1CBE52D3"/>
    <w:rsid w:val="1CC17F9B"/>
    <w:rsid w:val="1CFD6851"/>
    <w:rsid w:val="1D0213B3"/>
    <w:rsid w:val="1D07447A"/>
    <w:rsid w:val="1D0F3DCC"/>
    <w:rsid w:val="1D1825CD"/>
    <w:rsid w:val="1D183965"/>
    <w:rsid w:val="1D2B3A6C"/>
    <w:rsid w:val="1D444728"/>
    <w:rsid w:val="1D52645B"/>
    <w:rsid w:val="1D7C2114"/>
    <w:rsid w:val="1D875307"/>
    <w:rsid w:val="1DDF00D3"/>
    <w:rsid w:val="1DF75CF6"/>
    <w:rsid w:val="1E06573B"/>
    <w:rsid w:val="1E294E24"/>
    <w:rsid w:val="1E83489E"/>
    <w:rsid w:val="1EB7788F"/>
    <w:rsid w:val="1EC71AB5"/>
    <w:rsid w:val="1ED9229F"/>
    <w:rsid w:val="1F205B52"/>
    <w:rsid w:val="1F323969"/>
    <w:rsid w:val="1F461C21"/>
    <w:rsid w:val="1F5C4CFC"/>
    <w:rsid w:val="1F744825"/>
    <w:rsid w:val="1F8A4FBC"/>
    <w:rsid w:val="1FAC03BF"/>
    <w:rsid w:val="1FAC29FA"/>
    <w:rsid w:val="1FAE20DD"/>
    <w:rsid w:val="1FB20068"/>
    <w:rsid w:val="1FBD065D"/>
    <w:rsid w:val="1FC7552A"/>
    <w:rsid w:val="200D360E"/>
    <w:rsid w:val="201111B1"/>
    <w:rsid w:val="20276492"/>
    <w:rsid w:val="202D3F2D"/>
    <w:rsid w:val="20540A83"/>
    <w:rsid w:val="2059613B"/>
    <w:rsid w:val="205C377E"/>
    <w:rsid w:val="206D685D"/>
    <w:rsid w:val="20720B3B"/>
    <w:rsid w:val="20742EAB"/>
    <w:rsid w:val="208C1464"/>
    <w:rsid w:val="208E44C7"/>
    <w:rsid w:val="20985128"/>
    <w:rsid w:val="20A8480D"/>
    <w:rsid w:val="20C15310"/>
    <w:rsid w:val="20C53DD2"/>
    <w:rsid w:val="20C75E24"/>
    <w:rsid w:val="20F30AC8"/>
    <w:rsid w:val="20FC1407"/>
    <w:rsid w:val="21242745"/>
    <w:rsid w:val="21325980"/>
    <w:rsid w:val="213D3599"/>
    <w:rsid w:val="219B56CA"/>
    <w:rsid w:val="21AD2462"/>
    <w:rsid w:val="21B32D1D"/>
    <w:rsid w:val="21B5516C"/>
    <w:rsid w:val="21C475DB"/>
    <w:rsid w:val="21CF3A19"/>
    <w:rsid w:val="21DE5B31"/>
    <w:rsid w:val="21E2253A"/>
    <w:rsid w:val="21EE71E7"/>
    <w:rsid w:val="21F754F5"/>
    <w:rsid w:val="22023C5B"/>
    <w:rsid w:val="220806D0"/>
    <w:rsid w:val="224A7EB2"/>
    <w:rsid w:val="224D0523"/>
    <w:rsid w:val="22543660"/>
    <w:rsid w:val="22573150"/>
    <w:rsid w:val="226A67CD"/>
    <w:rsid w:val="22717E2F"/>
    <w:rsid w:val="22792936"/>
    <w:rsid w:val="227C4964"/>
    <w:rsid w:val="228201CD"/>
    <w:rsid w:val="22853819"/>
    <w:rsid w:val="22A60053"/>
    <w:rsid w:val="22B365D8"/>
    <w:rsid w:val="22C6230F"/>
    <w:rsid w:val="22CC769A"/>
    <w:rsid w:val="22D765BF"/>
    <w:rsid w:val="23162888"/>
    <w:rsid w:val="232C6CA6"/>
    <w:rsid w:val="233770CD"/>
    <w:rsid w:val="236945D5"/>
    <w:rsid w:val="23700025"/>
    <w:rsid w:val="23827D58"/>
    <w:rsid w:val="23C0685D"/>
    <w:rsid w:val="23CA3044"/>
    <w:rsid w:val="23D205C9"/>
    <w:rsid w:val="23D443AE"/>
    <w:rsid w:val="23E60CF2"/>
    <w:rsid w:val="23E87AD8"/>
    <w:rsid w:val="23E9602A"/>
    <w:rsid w:val="23EB6ACE"/>
    <w:rsid w:val="24190F3B"/>
    <w:rsid w:val="24360AFF"/>
    <w:rsid w:val="24424F22"/>
    <w:rsid w:val="2455546D"/>
    <w:rsid w:val="24991480"/>
    <w:rsid w:val="24BC1286"/>
    <w:rsid w:val="24C219FA"/>
    <w:rsid w:val="24DB40F8"/>
    <w:rsid w:val="24F02392"/>
    <w:rsid w:val="24F42E33"/>
    <w:rsid w:val="24F85FB8"/>
    <w:rsid w:val="24FD18FE"/>
    <w:rsid w:val="250D1AD1"/>
    <w:rsid w:val="25145328"/>
    <w:rsid w:val="252417C2"/>
    <w:rsid w:val="252F3F10"/>
    <w:rsid w:val="25445730"/>
    <w:rsid w:val="25777D91"/>
    <w:rsid w:val="25857DAC"/>
    <w:rsid w:val="25902C01"/>
    <w:rsid w:val="25A77C8F"/>
    <w:rsid w:val="25B12A40"/>
    <w:rsid w:val="25B1588D"/>
    <w:rsid w:val="25D74C65"/>
    <w:rsid w:val="26000619"/>
    <w:rsid w:val="26016D14"/>
    <w:rsid w:val="2640503C"/>
    <w:rsid w:val="26725B7F"/>
    <w:rsid w:val="26C22D9C"/>
    <w:rsid w:val="26EA7C92"/>
    <w:rsid w:val="26ED6ABF"/>
    <w:rsid w:val="270B5F28"/>
    <w:rsid w:val="270C7A5C"/>
    <w:rsid w:val="27267FDD"/>
    <w:rsid w:val="275E178E"/>
    <w:rsid w:val="2764614A"/>
    <w:rsid w:val="277B484D"/>
    <w:rsid w:val="278B6BBE"/>
    <w:rsid w:val="279D3B95"/>
    <w:rsid w:val="27C711DE"/>
    <w:rsid w:val="27C82E0F"/>
    <w:rsid w:val="27EE6921"/>
    <w:rsid w:val="27EF78C0"/>
    <w:rsid w:val="280A7122"/>
    <w:rsid w:val="28190CE8"/>
    <w:rsid w:val="283654C1"/>
    <w:rsid w:val="284219E8"/>
    <w:rsid w:val="2846045A"/>
    <w:rsid w:val="285D2C5B"/>
    <w:rsid w:val="286345E6"/>
    <w:rsid w:val="287F11C2"/>
    <w:rsid w:val="287F5651"/>
    <w:rsid w:val="28AD1D1C"/>
    <w:rsid w:val="28B20A50"/>
    <w:rsid w:val="28BB0A9F"/>
    <w:rsid w:val="28CD2E80"/>
    <w:rsid w:val="28EC0B69"/>
    <w:rsid w:val="28F57896"/>
    <w:rsid w:val="29013089"/>
    <w:rsid w:val="29130A20"/>
    <w:rsid w:val="291D6C05"/>
    <w:rsid w:val="29266B94"/>
    <w:rsid w:val="292C60B9"/>
    <w:rsid w:val="292F39EF"/>
    <w:rsid w:val="29387837"/>
    <w:rsid w:val="295C43A8"/>
    <w:rsid w:val="29637922"/>
    <w:rsid w:val="29676EC0"/>
    <w:rsid w:val="29695C42"/>
    <w:rsid w:val="29821744"/>
    <w:rsid w:val="29B849A9"/>
    <w:rsid w:val="29CA4207"/>
    <w:rsid w:val="29E06CFA"/>
    <w:rsid w:val="29E95AC0"/>
    <w:rsid w:val="2A0A4E28"/>
    <w:rsid w:val="2A0F3EC0"/>
    <w:rsid w:val="2A140C35"/>
    <w:rsid w:val="2A3F3879"/>
    <w:rsid w:val="2A4A58B4"/>
    <w:rsid w:val="2A52785C"/>
    <w:rsid w:val="2A585CB7"/>
    <w:rsid w:val="2A647A65"/>
    <w:rsid w:val="2A675BA0"/>
    <w:rsid w:val="2A691C72"/>
    <w:rsid w:val="2A7A4809"/>
    <w:rsid w:val="2A8259F5"/>
    <w:rsid w:val="2A881BBE"/>
    <w:rsid w:val="2A897A32"/>
    <w:rsid w:val="2A9154ED"/>
    <w:rsid w:val="2A9A6F4A"/>
    <w:rsid w:val="2ADC41F2"/>
    <w:rsid w:val="2B0707C4"/>
    <w:rsid w:val="2B3100CF"/>
    <w:rsid w:val="2B6C0352"/>
    <w:rsid w:val="2B8A6344"/>
    <w:rsid w:val="2B974E7B"/>
    <w:rsid w:val="2BB40DA9"/>
    <w:rsid w:val="2BD1706B"/>
    <w:rsid w:val="2BDD00D1"/>
    <w:rsid w:val="2C087541"/>
    <w:rsid w:val="2C116525"/>
    <w:rsid w:val="2C12046C"/>
    <w:rsid w:val="2C213EE8"/>
    <w:rsid w:val="2C283702"/>
    <w:rsid w:val="2C2F3578"/>
    <w:rsid w:val="2C4402A1"/>
    <w:rsid w:val="2C5C44B6"/>
    <w:rsid w:val="2C694793"/>
    <w:rsid w:val="2C7059BC"/>
    <w:rsid w:val="2C726454"/>
    <w:rsid w:val="2C7C5C8D"/>
    <w:rsid w:val="2C8A7A36"/>
    <w:rsid w:val="2C9F68B9"/>
    <w:rsid w:val="2CC80ED2"/>
    <w:rsid w:val="2CDA4F6C"/>
    <w:rsid w:val="2D06653B"/>
    <w:rsid w:val="2D0F593B"/>
    <w:rsid w:val="2D104627"/>
    <w:rsid w:val="2D1F1E3A"/>
    <w:rsid w:val="2D3B7647"/>
    <w:rsid w:val="2D476F2D"/>
    <w:rsid w:val="2D5E5392"/>
    <w:rsid w:val="2D9B4F46"/>
    <w:rsid w:val="2DA7032C"/>
    <w:rsid w:val="2DA743B6"/>
    <w:rsid w:val="2DAE2509"/>
    <w:rsid w:val="2DC73FC9"/>
    <w:rsid w:val="2DDA0FA4"/>
    <w:rsid w:val="2E062CDC"/>
    <w:rsid w:val="2E111441"/>
    <w:rsid w:val="2E1E1E62"/>
    <w:rsid w:val="2E2F0D9E"/>
    <w:rsid w:val="2E2F52BE"/>
    <w:rsid w:val="2E3B2342"/>
    <w:rsid w:val="2E5745FD"/>
    <w:rsid w:val="2E633D44"/>
    <w:rsid w:val="2E795872"/>
    <w:rsid w:val="2E7F0DC2"/>
    <w:rsid w:val="2ECB467D"/>
    <w:rsid w:val="2ECE479A"/>
    <w:rsid w:val="2EE25787"/>
    <w:rsid w:val="2EFF0A46"/>
    <w:rsid w:val="2F0B779C"/>
    <w:rsid w:val="2F19539D"/>
    <w:rsid w:val="2F54413C"/>
    <w:rsid w:val="2F69582D"/>
    <w:rsid w:val="2F7013AD"/>
    <w:rsid w:val="2F7D0AAB"/>
    <w:rsid w:val="2F7D523B"/>
    <w:rsid w:val="2F8718E9"/>
    <w:rsid w:val="2F902811"/>
    <w:rsid w:val="2FD0757D"/>
    <w:rsid w:val="30006BD5"/>
    <w:rsid w:val="300B4E6A"/>
    <w:rsid w:val="30174960"/>
    <w:rsid w:val="301F72C9"/>
    <w:rsid w:val="302B5AEB"/>
    <w:rsid w:val="302C1634"/>
    <w:rsid w:val="303E28ED"/>
    <w:rsid w:val="303F76FD"/>
    <w:rsid w:val="306E08E8"/>
    <w:rsid w:val="308249B7"/>
    <w:rsid w:val="308C64FF"/>
    <w:rsid w:val="30C00E6E"/>
    <w:rsid w:val="30C06BDA"/>
    <w:rsid w:val="30D7772C"/>
    <w:rsid w:val="30D77936"/>
    <w:rsid w:val="30F61A79"/>
    <w:rsid w:val="311A0E7B"/>
    <w:rsid w:val="312608BD"/>
    <w:rsid w:val="312F633E"/>
    <w:rsid w:val="313528AE"/>
    <w:rsid w:val="3140197F"/>
    <w:rsid w:val="31761131"/>
    <w:rsid w:val="31766F86"/>
    <w:rsid w:val="318001D6"/>
    <w:rsid w:val="31811153"/>
    <w:rsid w:val="31B87D0E"/>
    <w:rsid w:val="31E54B41"/>
    <w:rsid w:val="31FD1186"/>
    <w:rsid w:val="31FF2D2F"/>
    <w:rsid w:val="322A1CE7"/>
    <w:rsid w:val="32564F27"/>
    <w:rsid w:val="32835898"/>
    <w:rsid w:val="3289295A"/>
    <w:rsid w:val="328C60F2"/>
    <w:rsid w:val="3296641C"/>
    <w:rsid w:val="329B1CFC"/>
    <w:rsid w:val="32A218B7"/>
    <w:rsid w:val="32B17D63"/>
    <w:rsid w:val="32C00DA2"/>
    <w:rsid w:val="32D66B10"/>
    <w:rsid w:val="32D96FC0"/>
    <w:rsid w:val="32FA32E6"/>
    <w:rsid w:val="32FF3174"/>
    <w:rsid w:val="331E7D95"/>
    <w:rsid w:val="33214230"/>
    <w:rsid w:val="33474D36"/>
    <w:rsid w:val="334A23CC"/>
    <w:rsid w:val="33535FA3"/>
    <w:rsid w:val="336B1630"/>
    <w:rsid w:val="336D6420"/>
    <w:rsid w:val="336E6498"/>
    <w:rsid w:val="33870580"/>
    <w:rsid w:val="339715FE"/>
    <w:rsid w:val="33BA5599"/>
    <w:rsid w:val="33C71A5A"/>
    <w:rsid w:val="33D13969"/>
    <w:rsid w:val="33DB1344"/>
    <w:rsid w:val="33DE0CDB"/>
    <w:rsid w:val="34021358"/>
    <w:rsid w:val="34395F71"/>
    <w:rsid w:val="34422667"/>
    <w:rsid w:val="344239B1"/>
    <w:rsid w:val="3475194B"/>
    <w:rsid w:val="349E1D31"/>
    <w:rsid w:val="34A676A4"/>
    <w:rsid w:val="34FD3DF8"/>
    <w:rsid w:val="350902DA"/>
    <w:rsid w:val="358931C8"/>
    <w:rsid w:val="358E159A"/>
    <w:rsid w:val="359F6F8E"/>
    <w:rsid w:val="35A11CF9"/>
    <w:rsid w:val="35A63209"/>
    <w:rsid w:val="35B06055"/>
    <w:rsid w:val="35DA1C76"/>
    <w:rsid w:val="35EA56E1"/>
    <w:rsid w:val="361D0F06"/>
    <w:rsid w:val="36271258"/>
    <w:rsid w:val="362E26F6"/>
    <w:rsid w:val="362F46ED"/>
    <w:rsid w:val="363650FE"/>
    <w:rsid w:val="363E4EDB"/>
    <w:rsid w:val="36511F38"/>
    <w:rsid w:val="366003CD"/>
    <w:rsid w:val="366052BB"/>
    <w:rsid w:val="367169E5"/>
    <w:rsid w:val="368716F7"/>
    <w:rsid w:val="36932551"/>
    <w:rsid w:val="369D517D"/>
    <w:rsid w:val="36A53FDF"/>
    <w:rsid w:val="36A83FB1"/>
    <w:rsid w:val="36BD5820"/>
    <w:rsid w:val="36D66DA9"/>
    <w:rsid w:val="36E86D8C"/>
    <w:rsid w:val="37515BB0"/>
    <w:rsid w:val="37557806"/>
    <w:rsid w:val="37853F3D"/>
    <w:rsid w:val="37977C2D"/>
    <w:rsid w:val="37BD7D15"/>
    <w:rsid w:val="37C02228"/>
    <w:rsid w:val="37C915A0"/>
    <w:rsid w:val="37CD3132"/>
    <w:rsid w:val="37CF01E7"/>
    <w:rsid w:val="37DD73FC"/>
    <w:rsid w:val="38001C55"/>
    <w:rsid w:val="382035B1"/>
    <w:rsid w:val="38501D72"/>
    <w:rsid w:val="38505FA0"/>
    <w:rsid w:val="385B53B3"/>
    <w:rsid w:val="385C7B0A"/>
    <w:rsid w:val="386B4E07"/>
    <w:rsid w:val="386B671A"/>
    <w:rsid w:val="386C5B60"/>
    <w:rsid w:val="38946520"/>
    <w:rsid w:val="38A01C1F"/>
    <w:rsid w:val="38AC40A3"/>
    <w:rsid w:val="38D37EA4"/>
    <w:rsid w:val="38E869F3"/>
    <w:rsid w:val="38F020E7"/>
    <w:rsid w:val="39034620"/>
    <w:rsid w:val="390F37AC"/>
    <w:rsid w:val="39125787"/>
    <w:rsid w:val="39344F40"/>
    <w:rsid w:val="3956225A"/>
    <w:rsid w:val="396018B9"/>
    <w:rsid w:val="396401D4"/>
    <w:rsid w:val="39695F07"/>
    <w:rsid w:val="39787E84"/>
    <w:rsid w:val="39880080"/>
    <w:rsid w:val="398A6BCC"/>
    <w:rsid w:val="39A16D33"/>
    <w:rsid w:val="39BD3E1B"/>
    <w:rsid w:val="3A045F2B"/>
    <w:rsid w:val="3A053765"/>
    <w:rsid w:val="3A086B84"/>
    <w:rsid w:val="3A087D0E"/>
    <w:rsid w:val="3A2C3683"/>
    <w:rsid w:val="3A3351F6"/>
    <w:rsid w:val="3A573895"/>
    <w:rsid w:val="3A7A27BB"/>
    <w:rsid w:val="3A7B6079"/>
    <w:rsid w:val="3A905B0E"/>
    <w:rsid w:val="3AB13D7D"/>
    <w:rsid w:val="3AB806E4"/>
    <w:rsid w:val="3AC4271C"/>
    <w:rsid w:val="3AC73BF7"/>
    <w:rsid w:val="3B095AB8"/>
    <w:rsid w:val="3B112E65"/>
    <w:rsid w:val="3B1D5662"/>
    <w:rsid w:val="3B2B65CA"/>
    <w:rsid w:val="3B2D535B"/>
    <w:rsid w:val="3B48675C"/>
    <w:rsid w:val="3B4A6E4C"/>
    <w:rsid w:val="3B7C4C08"/>
    <w:rsid w:val="3B806E1C"/>
    <w:rsid w:val="3BAB7C7D"/>
    <w:rsid w:val="3BB53DE9"/>
    <w:rsid w:val="3C0C1CC3"/>
    <w:rsid w:val="3C1C4D96"/>
    <w:rsid w:val="3C2239AD"/>
    <w:rsid w:val="3C4F440B"/>
    <w:rsid w:val="3C5255AE"/>
    <w:rsid w:val="3C692C56"/>
    <w:rsid w:val="3C895064"/>
    <w:rsid w:val="3CA734C1"/>
    <w:rsid w:val="3CEE5459"/>
    <w:rsid w:val="3CF94156"/>
    <w:rsid w:val="3CFB5F7C"/>
    <w:rsid w:val="3D0A44C7"/>
    <w:rsid w:val="3D0D0ABF"/>
    <w:rsid w:val="3D141F11"/>
    <w:rsid w:val="3D154BD6"/>
    <w:rsid w:val="3D181988"/>
    <w:rsid w:val="3D1E3820"/>
    <w:rsid w:val="3D4A60E3"/>
    <w:rsid w:val="3D6379EC"/>
    <w:rsid w:val="3D6E1622"/>
    <w:rsid w:val="3D82337C"/>
    <w:rsid w:val="3D837D04"/>
    <w:rsid w:val="3DA26532"/>
    <w:rsid w:val="3DB334D8"/>
    <w:rsid w:val="3DB57579"/>
    <w:rsid w:val="3DBD49F3"/>
    <w:rsid w:val="3DCE7600"/>
    <w:rsid w:val="3DD57CCC"/>
    <w:rsid w:val="3DE96EFA"/>
    <w:rsid w:val="3E063099"/>
    <w:rsid w:val="3E2766B0"/>
    <w:rsid w:val="3E4D7489"/>
    <w:rsid w:val="3E59521E"/>
    <w:rsid w:val="3E5F48F1"/>
    <w:rsid w:val="3E630A5B"/>
    <w:rsid w:val="3E6D2497"/>
    <w:rsid w:val="3E797B68"/>
    <w:rsid w:val="3E817133"/>
    <w:rsid w:val="3E854631"/>
    <w:rsid w:val="3EB461D9"/>
    <w:rsid w:val="3ED17D9A"/>
    <w:rsid w:val="3ED356B7"/>
    <w:rsid w:val="3EE146E0"/>
    <w:rsid w:val="3EF12CEC"/>
    <w:rsid w:val="3F163D1F"/>
    <w:rsid w:val="3F1D32B1"/>
    <w:rsid w:val="3F2A3DC3"/>
    <w:rsid w:val="3F306F20"/>
    <w:rsid w:val="3F682EC0"/>
    <w:rsid w:val="3F76214A"/>
    <w:rsid w:val="3F8E31B9"/>
    <w:rsid w:val="3F980E7B"/>
    <w:rsid w:val="3FF13620"/>
    <w:rsid w:val="40152726"/>
    <w:rsid w:val="40216C16"/>
    <w:rsid w:val="40784565"/>
    <w:rsid w:val="40A07FF6"/>
    <w:rsid w:val="40B30EC5"/>
    <w:rsid w:val="40B94D77"/>
    <w:rsid w:val="40D1200C"/>
    <w:rsid w:val="40D76672"/>
    <w:rsid w:val="40DA4146"/>
    <w:rsid w:val="40DE0C94"/>
    <w:rsid w:val="40E70812"/>
    <w:rsid w:val="40F043A1"/>
    <w:rsid w:val="410E5556"/>
    <w:rsid w:val="41270367"/>
    <w:rsid w:val="41393854"/>
    <w:rsid w:val="4149099C"/>
    <w:rsid w:val="414A412B"/>
    <w:rsid w:val="4166190D"/>
    <w:rsid w:val="416C1E0D"/>
    <w:rsid w:val="41A67482"/>
    <w:rsid w:val="41CD11B2"/>
    <w:rsid w:val="41DB1250"/>
    <w:rsid w:val="41F87C46"/>
    <w:rsid w:val="42164CC1"/>
    <w:rsid w:val="42213106"/>
    <w:rsid w:val="42467738"/>
    <w:rsid w:val="42734FE4"/>
    <w:rsid w:val="42793416"/>
    <w:rsid w:val="42A03F51"/>
    <w:rsid w:val="42BA3739"/>
    <w:rsid w:val="42BB33EF"/>
    <w:rsid w:val="42D31F27"/>
    <w:rsid w:val="42E54462"/>
    <w:rsid w:val="42E944EE"/>
    <w:rsid w:val="42FC09BF"/>
    <w:rsid w:val="43015AD2"/>
    <w:rsid w:val="433D427F"/>
    <w:rsid w:val="434646F2"/>
    <w:rsid w:val="436500EB"/>
    <w:rsid w:val="43825FFE"/>
    <w:rsid w:val="43A55671"/>
    <w:rsid w:val="43AE7F82"/>
    <w:rsid w:val="43C95038"/>
    <w:rsid w:val="43E27BB0"/>
    <w:rsid w:val="43F513C1"/>
    <w:rsid w:val="43F96C43"/>
    <w:rsid w:val="44054362"/>
    <w:rsid w:val="440C15DA"/>
    <w:rsid w:val="44253909"/>
    <w:rsid w:val="44472BCC"/>
    <w:rsid w:val="44501A81"/>
    <w:rsid w:val="445520E9"/>
    <w:rsid w:val="445833D1"/>
    <w:rsid w:val="44745027"/>
    <w:rsid w:val="44896D41"/>
    <w:rsid w:val="44953938"/>
    <w:rsid w:val="44C461DE"/>
    <w:rsid w:val="44D34460"/>
    <w:rsid w:val="44D829DB"/>
    <w:rsid w:val="44DA57D8"/>
    <w:rsid w:val="44EF24B6"/>
    <w:rsid w:val="44F43679"/>
    <w:rsid w:val="451A47BA"/>
    <w:rsid w:val="451E1B7F"/>
    <w:rsid w:val="454E132D"/>
    <w:rsid w:val="45512030"/>
    <w:rsid w:val="45910015"/>
    <w:rsid w:val="45932695"/>
    <w:rsid w:val="45D26988"/>
    <w:rsid w:val="45DA4C2D"/>
    <w:rsid w:val="46410FBF"/>
    <w:rsid w:val="46442539"/>
    <w:rsid w:val="46445D4E"/>
    <w:rsid w:val="46A14F16"/>
    <w:rsid w:val="46AC68D8"/>
    <w:rsid w:val="46AE74A7"/>
    <w:rsid w:val="46B04A59"/>
    <w:rsid w:val="46C55DCC"/>
    <w:rsid w:val="46D213CF"/>
    <w:rsid w:val="46D923ED"/>
    <w:rsid w:val="46E346FD"/>
    <w:rsid w:val="46F55956"/>
    <w:rsid w:val="471C6BAB"/>
    <w:rsid w:val="47242968"/>
    <w:rsid w:val="47247D05"/>
    <w:rsid w:val="47581EC9"/>
    <w:rsid w:val="47683ECB"/>
    <w:rsid w:val="476A1A4C"/>
    <w:rsid w:val="476C1521"/>
    <w:rsid w:val="477061B6"/>
    <w:rsid w:val="478367FA"/>
    <w:rsid w:val="478F099A"/>
    <w:rsid w:val="47906854"/>
    <w:rsid w:val="4793661C"/>
    <w:rsid w:val="47946476"/>
    <w:rsid w:val="479D7B49"/>
    <w:rsid w:val="47B73EFD"/>
    <w:rsid w:val="47D31751"/>
    <w:rsid w:val="482F0BE1"/>
    <w:rsid w:val="483F74C8"/>
    <w:rsid w:val="484B085A"/>
    <w:rsid w:val="484C701C"/>
    <w:rsid w:val="48544EF5"/>
    <w:rsid w:val="487F3084"/>
    <w:rsid w:val="488330A5"/>
    <w:rsid w:val="48A26623"/>
    <w:rsid w:val="48A55674"/>
    <w:rsid w:val="48AA5EB9"/>
    <w:rsid w:val="48B6186F"/>
    <w:rsid w:val="48C4327D"/>
    <w:rsid w:val="48CE4E2D"/>
    <w:rsid w:val="48D80297"/>
    <w:rsid w:val="48E814B4"/>
    <w:rsid w:val="48F5673A"/>
    <w:rsid w:val="48FF26B6"/>
    <w:rsid w:val="491D214E"/>
    <w:rsid w:val="4928529C"/>
    <w:rsid w:val="493108C7"/>
    <w:rsid w:val="493168B0"/>
    <w:rsid w:val="49436350"/>
    <w:rsid w:val="494819D8"/>
    <w:rsid w:val="49545DB2"/>
    <w:rsid w:val="49567A64"/>
    <w:rsid w:val="49636EBB"/>
    <w:rsid w:val="49756703"/>
    <w:rsid w:val="49843BAF"/>
    <w:rsid w:val="49957F36"/>
    <w:rsid w:val="49AA1FCF"/>
    <w:rsid w:val="49C64593"/>
    <w:rsid w:val="49C751FD"/>
    <w:rsid w:val="49C97CBE"/>
    <w:rsid w:val="49DD3DA7"/>
    <w:rsid w:val="49E35DA1"/>
    <w:rsid w:val="49F26D29"/>
    <w:rsid w:val="49F509D5"/>
    <w:rsid w:val="4A042F74"/>
    <w:rsid w:val="4A177670"/>
    <w:rsid w:val="4A2319E6"/>
    <w:rsid w:val="4A3C7ADB"/>
    <w:rsid w:val="4A79529A"/>
    <w:rsid w:val="4A7F3586"/>
    <w:rsid w:val="4A891547"/>
    <w:rsid w:val="4A9326C8"/>
    <w:rsid w:val="4A933552"/>
    <w:rsid w:val="4A987DCD"/>
    <w:rsid w:val="4AA346AF"/>
    <w:rsid w:val="4AB12B4E"/>
    <w:rsid w:val="4AC8496C"/>
    <w:rsid w:val="4ADF3B5F"/>
    <w:rsid w:val="4AE64EED"/>
    <w:rsid w:val="4AED3C37"/>
    <w:rsid w:val="4B1510BB"/>
    <w:rsid w:val="4B2322CC"/>
    <w:rsid w:val="4B2F0323"/>
    <w:rsid w:val="4B3F45FD"/>
    <w:rsid w:val="4B474F22"/>
    <w:rsid w:val="4B691950"/>
    <w:rsid w:val="4BCE337D"/>
    <w:rsid w:val="4BFC5014"/>
    <w:rsid w:val="4BFF0CCA"/>
    <w:rsid w:val="4C116DD1"/>
    <w:rsid w:val="4C602A7D"/>
    <w:rsid w:val="4C666B5C"/>
    <w:rsid w:val="4C667968"/>
    <w:rsid w:val="4C677639"/>
    <w:rsid w:val="4C6F4A6E"/>
    <w:rsid w:val="4C9E350A"/>
    <w:rsid w:val="4C9E35A6"/>
    <w:rsid w:val="4CC254E6"/>
    <w:rsid w:val="4CCD139A"/>
    <w:rsid w:val="4CD46D60"/>
    <w:rsid w:val="4CF907F5"/>
    <w:rsid w:val="4D015533"/>
    <w:rsid w:val="4D1A472A"/>
    <w:rsid w:val="4D500849"/>
    <w:rsid w:val="4D8052EE"/>
    <w:rsid w:val="4D8D2AA1"/>
    <w:rsid w:val="4DB84842"/>
    <w:rsid w:val="4E1D1349"/>
    <w:rsid w:val="4E1E674C"/>
    <w:rsid w:val="4E597784"/>
    <w:rsid w:val="4E5C0742"/>
    <w:rsid w:val="4E7131E8"/>
    <w:rsid w:val="4E7412D1"/>
    <w:rsid w:val="4E9401DE"/>
    <w:rsid w:val="4E9952C3"/>
    <w:rsid w:val="4EB019D3"/>
    <w:rsid w:val="4EBB21ED"/>
    <w:rsid w:val="4EED094E"/>
    <w:rsid w:val="4EF059BF"/>
    <w:rsid w:val="4F2002A2"/>
    <w:rsid w:val="4F2A00CA"/>
    <w:rsid w:val="4F381CB9"/>
    <w:rsid w:val="4F5A11AE"/>
    <w:rsid w:val="4F701229"/>
    <w:rsid w:val="4F870F96"/>
    <w:rsid w:val="4FB530E0"/>
    <w:rsid w:val="4FB6178C"/>
    <w:rsid w:val="4FBF4D3B"/>
    <w:rsid w:val="4FDA48F5"/>
    <w:rsid w:val="4FDE4134"/>
    <w:rsid w:val="4FE53975"/>
    <w:rsid w:val="4FE63E8B"/>
    <w:rsid w:val="501304C7"/>
    <w:rsid w:val="506B140C"/>
    <w:rsid w:val="506D3551"/>
    <w:rsid w:val="50760AC1"/>
    <w:rsid w:val="50804848"/>
    <w:rsid w:val="509749E5"/>
    <w:rsid w:val="50B04060"/>
    <w:rsid w:val="50B7396B"/>
    <w:rsid w:val="50BC224C"/>
    <w:rsid w:val="50DB5A3A"/>
    <w:rsid w:val="50E20723"/>
    <w:rsid w:val="510F392A"/>
    <w:rsid w:val="51256043"/>
    <w:rsid w:val="512D7FFE"/>
    <w:rsid w:val="51404AC1"/>
    <w:rsid w:val="514C39B4"/>
    <w:rsid w:val="51595CED"/>
    <w:rsid w:val="51C4585C"/>
    <w:rsid w:val="51D84063"/>
    <w:rsid w:val="51DB360F"/>
    <w:rsid w:val="51DD7794"/>
    <w:rsid w:val="51E90E1F"/>
    <w:rsid w:val="51F15F26"/>
    <w:rsid w:val="520C1954"/>
    <w:rsid w:val="520D1AE5"/>
    <w:rsid w:val="52323755"/>
    <w:rsid w:val="52394966"/>
    <w:rsid w:val="524F15CA"/>
    <w:rsid w:val="52693A5B"/>
    <w:rsid w:val="527A5F1B"/>
    <w:rsid w:val="52804A81"/>
    <w:rsid w:val="52874E9C"/>
    <w:rsid w:val="52D62ACC"/>
    <w:rsid w:val="52DA3C53"/>
    <w:rsid w:val="52EB6527"/>
    <w:rsid w:val="52FA7E6E"/>
    <w:rsid w:val="530B5753"/>
    <w:rsid w:val="53105217"/>
    <w:rsid w:val="531F6EC4"/>
    <w:rsid w:val="534976C1"/>
    <w:rsid w:val="53542C10"/>
    <w:rsid w:val="53A6479D"/>
    <w:rsid w:val="53B7511E"/>
    <w:rsid w:val="53C945FB"/>
    <w:rsid w:val="53DC50DF"/>
    <w:rsid w:val="53EC73A6"/>
    <w:rsid w:val="53F96EC6"/>
    <w:rsid w:val="541128AF"/>
    <w:rsid w:val="5422305F"/>
    <w:rsid w:val="54311480"/>
    <w:rsid w:val="54333971"/>
    <w:rsid w:val="54362D03"/>
    <w:rsid w:val="5471010A"/>
    <w:rsid w:val="5474356A"/>
    <w:rsid w:val="547A0454"/>
    <w:rsid w:val="54806952"/>
    <w:rsid w:val="54870D7E"/>
    <w:rsid w:val="548B551C"/>
    <w:rsid w:val="54A70868"/>
    <w:rsid w:val="54E55D89"/>
    <w:rsid w:val="54F06637"/>
    <w:rsid w:val="55013028"/>
    <w:rsid w:val="55387622"/>
    <w:rsid w:val="557A3E03"/>
    <w:rsid w:val="557E32DD"/>
    <w:rsid w:val="558B1C8C"/>
    <w:rsid w:val="55986733"/>
    <w:rsid w:val="559D6B59"/>
    <w:rsid w:val="55B5677C"/>
    <w:rsid w:val="55CD4B0F"/>
    <w:rsid w:val="55F34C02"/>
    <w:rsid w:val="55FA4790"/>
    <w:rsid w:val="56037B2D"/>
    <w:rsid w:val="56082199"/>
    <w:rsid w:val="560A1F8E"/>
    <w:rsid w:val="56151F36"/>
    <w:rsid w:val="56215F1F"/>
    <w:rsid w:val="562A02FF"/>
    <w:rsid w:val="5634443F"/>
    <w:rsid w:val="563806E6"/>
    <w:rsid w:val="563C59BE"/>
    <w:rsid w:val="56413835"/>
    <w:rsid w:val="564A15B9"/>
    <w:rsid w:val="564C5150"/>
    <w:rsid w:val="565B4D8F"/>
    <w:rsid w:val="565E05E4"/>
    <w:rsid w:val="565F0CA4"/>
    <w:rsid w:val="569C661B"/>
    <w:rsid w:val="56F30F79"/>
    <w:rsid w:val="56F3629C"/>
    <w:rsid w:val="57016C0B"/>
    <w:rsid w:val="5708748F"/>
    <w:rsid w:val="570D1A54"/>
    <w:rsid w:val="571F7091"/>
    <w:rsid w:val="5722123B"/>
    <w:rsid w:val="5734276E"/>
    <w:rsid w:val="574440AB"/>
    <w:rsid w:val="57551024"/>
    <w:rsid w:val="575E0876"/>
    <w:rsid w:val="57656A4A"/>
    <w:rsid w:val="57754CE5"/>
    <w:rsid w:val="577B31B2"/>
    <w:rsid w:val="57981FE0"/>
    <w:rsid w:val="57BD2F66"/>
    <w:rsid w:val="57D3471A"/>
    <w:rsid w:val="57D94CF8"/>
    <w:rsid w:val="57E233C6"/>
    <w:rsid w:val="57F87E76"/>
    <w:rsid w:val="582426F9"/>
    <w:rsid w:val="58472771"/>
    <w:rsid w:val="586C4D6C"/>
    <w:rsid w:val="587753D7"/>
    <w:rsid w:val="588B491D"/>
    <w:rsid w:val="588E44CE"/>
    <w:rsid w:val="589E685D"/>
    <w:rsid w:val="58A4190F"/>
    <w:rsid w:val="58CB5722"/>
    <w:rsid w:val="58CC45A2"/>
    <w:rsid w:val="58D8365F"/>
    <w:rsid w:val="58DA51F7"/>
    <w:rsid w:val="595341D0"/>
    <w:rsid w:val="596A6CE9"/>
    <w:rsid w:val="59837DAB"/>
    <w:rsid w:val="59A05998"/>
    <w:rsid w:val="59B667FC"/>
    <w:rsid w:val="59B91A1F"/>
    <w:rsid w:val="59E64A91"/>
    <w:rsid w:val="5A0007DB"/>
    <w:rsid w:val="5A007513"/>
    <w:rsid w:val="5A17569A"/>
    <w:rsid w:val="5A386774"/>
    <w:rsid w:val="5A3B477C"/>
    <w:rsid w:val="5A4532B2"/>
    <w:rsid w:val="5A5A04EF"/>
    <w:rsid w:val="5A750343"/>
    <w:rsid w:val="5A9A7CF5"/>
    <w:rsid w:val="5AAB4CAC"/>
    <w:rsid w:val="5AFB3C7B"/>
    <w:rsid w:val="5B123195"/>
    <w:rsid w:val="5B1F1D55"/>
    <w:rsid w:val="5B2A7944"/>
    <w:rsid w:val="5B524600"/>
    <w:rsid w:val="5B622CB5"/>
    <w:rsid w:val="5B755279"/>
    <w:rsid w:val="5B8127E6"/>
    <w:rsid w:val="5B9025DF"/>
    <w:rsid w:val="5BAA52F6"/>
    <w:rsid w:val="5BC326E1"/>
    <w:rsid w:val="5BC714C3"/>
    <w:rsid w:val="5BE549FB"/>
    <w:rsid w:val="5BF2528B"/>
    <w:rsid w:val="5C154851"/>
    <w:rsid w:val="5C3C4F10"/>
    <w:rsid w:val="5C462B83"/>
    <w:rsid w:val="5C4D3844"/>
    <w:rsid w:val="5C597B4B"/>
    <w:rsid w:val="5C5F5FDC"/>
    <w:rsid w:val="5C6D4DFC"/>
    <w:rsid w:val="5C84084B"/>
    <w:rsid w:val="5C852714"/>
    <w:rsid w:val="5C9040D1"/>
    <w:rsid w:val="5CAF696A"/>
    <w:rsid w:val="5CB41885"/>
    <w:rsid w:val="5CC56363"/>
    <w:rsid w:val="5CC920AF"/>
    <w:rsid w:val="5CD06384"/>
    <w:rsid w:val="5CEA1047"/>
    <w:rsid w:val="5CF25ACA"/>
    <w:rsid w:val="5D0026BF"/>
    <w:rsid w:val="5D4E06D0"/>
    <w:rsid w:val="5D557423"/>
    <w:rsid w:val="5D6B3C9C"/>
    <w:rsid w:val="5D6B4822"/>
    <w:rsid w:val="5D837311"/>
    <w:rsid w:val="5DA827A9"/>
    <w:rsid w:val="5DAB78D0"/>
    <w:rsid w:val="5DB96848"/>
    <w:rsid w:val="5DE25347"/>
    <w:rsid w:val="5DE677E4"/>
    <w:rsid w:val="5E3B2A02"/>
    <w:rsid w:val="5E4E22BF"/>
    <w:rsid w:val="5E503390"/>
    <w:rsid w:val="5E6A4158"/>
    <w:rsid w:val="5E8927F7"/>
    <w:rsid w:val="5EB553D8"/>
    <w:rsid w:val="5EBE66A1"/>
    <w:rsid w:val="5EFB4E8F"/>
    <w:rsid w:val="5F06765C"/>
    <w:rsid w:val="5F153CD5"/>
    <w:rsid w:val="5F1A7546"/>
    <w:rsid w:val="5F296CFF"/>
    <w:rsid w:val="5F361C4C"/>
    <w:rsid w:val="5F3C2AA3"/>
    <w:rsid w:val="5F64160B"/>
    <w:rsid w:val="5F7D6E9B"/>
    <w:rsid w:val="5F8A7AF8"/>
    <w:rsid w:val="5F910EEB"/>
    <w:rsid w:val="5F9723D4"/>
    <w:rsid w:val="5FB57A43"/>
    <w:rsid w:val="5FB76A2D"/>
    <w:rsid w:val="5FCF5AF8"/>
    <w:rsid w:val="5FD541E5"/>
    <w:rsid w:val="5FEA2EBA"/>
    <w:rsid w:val="6002623B"/>
    <w:rsid w:val="60033159"/>
    <w:rsid w:val="6024225D"/>
    <w:rsid w:val="60327CDA"/>
    <w:rsid w:val="6041392A"/>
    <w:rsid w:val="60827A7F"/>
    <w:rsid w:val="60B1179C"/>
    <w:rsid w:val="60C03B9D"/>
    <w:rsid w:val="60C30EBA"/>
    <w:rsid w:val="60E32176"/>
    <w:rsid w:val="60E92BEA"/>
    <w:rsid w:val="60FA5E4D"/>
    <w:rsid w:val="60FD687E"/>
    <w:rsid w:val="611B610A"/>
    <w:rsid w:val="61231205"/>
    <w:rsid w:val="614B5652"/>
    <w:rsid w:val="615519D1"/>
    <w:rsid w:val="61677179"/>
    <w:rsid w:val="61712BFA"/>
    <w:rsid w:val="618A6458"/>
    <w:rsid w:val="619E175B"/>
    <w:rsid w:val="61A43085"/>
    <w:rsid w:val="61A76CE1"/>
    <w:rsid w:val="61AB32F6"/>
    <w:rsid w:val="61B16DCA"/>
    <w:rsid w:val="61B76112"/>
    <w:rsid w:val="61BC02FE"/>
    <w:rsid w:val="61D91B87"/>
    <w:rsid w:val="61F670BF"/>
    <w:rsid w:val="622163B3"/>
    <w:rsid w:val="62382B6B"/>
    <w:rsid w:val="625E4B5A"/>
    <w:rsid w:val="628726BA"/>
    <w:rsid w:val="62D17DD9"/>
    <w:rsid w:val="62D95085"/>
    <w:rsid w:val="63086D34"/>
    <w:rsid w:val="63124B5B"/>
    <w:rsid w:val="63147271"/>
    <w:rsid w:val="6319235B"/>
    <w:rsid w:val="631970F2"/>
    <w:rsid w:val="63225664"/>
    <w:rsid w:val="634E6B59"/>
    <w:rsid w:val="635C3B47"/>
    <w:rsid w:val="639E323C"/>
    <w:rsid w:val="63A2649A"/>
    <w:rsid w:val="63A72DA5"/>
    <w:rsid w:val="63AC7EFE"/>
    <w:rsid w:val="63BA086D"/>
    <w:rsid w:val="63DC6A36"/>
    <w:rsid w:val="640F0C95"/>
    <w:rsid w:val="642C5726"/>
    <w:rsid w:val="64414423"/>
    <w:rsid w:val="64653A39"/>
    <w:rsid w:val="64837689"/>
    <w:rsid w:val="64860DCF"/>
    <w:rsid w:val="649B43E7"/>
    <w:rsid w:val="64AC24AA"/>
    <w:rsid w:val="64AC501D"/>
    <w:rsid w:val="64C84C42"/>
    <w:rsid w:val="64CA2D32"/>
    <w:rsid w:val="64D71257"/>
    <w:rsid w:val="64DB1D5B"/>
    <w:rsid w:val="65051FBC"/>
    <w:rsid w:val="650A7D0F"/>
    <w:rsid w:val="654E3963"/>
    <w:rsid w:val="657F47FA"/>
    <w:rsid w:val="65962422"/>
    <w:rsid w:val="659C0F61"/>
    <w:rsid w:val="65A90B99"/>
    <w:rsid w:val="65DE74AA"/>
    <w:rsid w:val="65E06A24"/>
    <w:rsid w:val="65FD3F7D"/>
    <w:rsid w:val="660E1720"/>
    <w:rsid w:val="6615324D"/>
    <w:rsid w:val="6621498F"/>
    <w:rsid w:val="66244E2A"/>
    <w:rsid w:val="663A54CD"/>
    <w:rsid w:val="664E543D"/>
    <w:rsid w:val="665151C5"/>
    <w:rsid w:val="668F353B"/>
    <w:rsid w:val="66A419C8"/>
    <w:rsid w:val="66CA3900"/>
    <w:rsid w:val="66EF7CB3"/>
    <w:rsid w:val="66F43167"/>
    <w:rsid w:val="66F96665"/>
    <w:rsid w:val="67002405"/>
    <w:rsid w:val="6709239E"/>
    <w:rsid w:val="670A619C"/>
    <w:rsid w:val="670B6C95"/>
    <w:rsid w:val="67122501"/>
    <w:rsid w:val="6716551C"/>
    <w:rsid w:val="672460D2"/>
    <w:rsid w:val="67404836"/>
    <w:rsid w:val="67460796"/>
    <w:rsid w:val="674A5320"/>
    <w:rsid w:val="67746C1E"/>
    <w:rsid w:val="678A4C87"/>
    <w:rsid w:val="679A2E90"/>
    <w:rsid w:val="67B57CC9"/>
    <w:rsid w:val="67B83316"/>
    <w:rsid w:val="67C70996"/>
    <w:rsid w:val="67D34371"/>
    <w:rsid w:val="67F15358"/>
    <w:rsid w:val="67F91B67"/>
    <w:rsid w:val="67FB2D9A"/>
    <w:rsid w:val="68015122"/>
    <w:rsid w:val="680D7860"/>
    <w:rsid w:val="680E682C"/>
    <w:rsid w:val="683C5CF5"/>
    <w:rsid w:val="68545728"/>
    <w:rsid w:val="68737491"/>
    <w:rsid w:val="68A4335E"/>
    <w:rsid w:val="68AC570F"/>
    <w:rsid w:val="68B31A1E"/>
    <w:rsid w:val="69065331"/>
    <w:rsid w:val="691A5C25"/>
    <w:rsid w:val="697D65C5"/>
    <w:rsid w:val="69A0273F"/>
    <w:rsid w:val="69A81D13"/>
    <w:rsid w:val="69B4394F"/>
    <w:rsid w:val="69C63890"/>
    <w:rsid w:val="69C83917"/>
    <w:rsid w:val="69DF2DDC"/>
    <w:rsid w:val="69EA14D4"/>
    <w:rsid w:val="6A4E1D0F"/>
    <w:rsid w:val="6A673A27"/>
    <w:rsid w:val="6A774E62"/>
    <w:rsid w:val="6A835E5D"/>
    <w:rsid w:val="6A837D1F"/>
    <w:rsid w:val="6A86777A"/>
    <w:rsid w:val="6A986FA7"/>
    <w:rsid w:val="6AAE6CD6"/>
    <w:rsid w:val="6ABE4487"/>
    <w:rsid w:val="6AC21848"/>
    <w:rsid w:val="6AD6096B"/>
    <w:rsid w:val="6AEE5AB3"/>
    <w:rsid w:val="6AEF0F07"/>
    <w:rsid w:val="6B1E5B86"/>
    <w:rsid w:val="6B3517A2"/>
    <w:rsid w:val="6B3F056E"/>
    <w:rsid w:val="6B5F7207"/>
    <w:rsid w:val="6B9D33DE"/>
    <w:rsid w:val="6BA07497"/>
    <w:rsid w:val="6BAC5775"/>
    <w:rsid w:val="6BAF67DE"/>
    <w:rsid w:val="6BC73B27"/>
    <w:rsid w:val="6BD62E25"/>
    <w:rsid w:val="6BE32FA2"/>
    <w:rsid w:val="6BEB2EB8"/>
    <w:rsid w:val="6BEC72DA"/>
    <w:rsid w:val="6BED49F5"/>
    <w:rsid w:val="6BFC5274"/>
    <w:rsid w:val="6C2D4727"/>
    <w:rsid w:val="6C382C77"/>
    <w:rsid w:val="6C3A3070"/>
    <w:rsid w:val="6C4B7382"/>
    <w:rsid w:val="6C4D6722"/>
    <w:rsid w:val="6C4E3D8F"/>
    <w:rsid w:val="6C4F0913"/>
    <w:rsid w:val="6C530D6E"/>
    <w:rsid w:val="6C665F22"/>
    <w:rsid w:val="6C6B37B7"/>
    <w:rsid w:val="6C7B04AD"/>
    <w:rsid w:val="6C7F2654"/>
    <w:rsid w:val="6C865698"/>
    <w:rsid w:val="6C99009C"/>
    <w:rsid w:val="6CA54F66"/>
    <w:rsid w:val="6CCD7525"/>
    <w:rsid w:val="6CD90225"/>
    <w:rsid w:val="6CE95168"/>
    <w:rsid w:val="6D0936FF"/>
    <w:rsid w:val="6D0D4F0D"/>
    <w:rsid w:val="6D2A2137"/>
    <w:rsid w:val="6D3B38A6"/>
    <w:rsid w:val="6D592A35"/>
    <w:rsid w:val="6D6E7A25"/>
    <w:rsid w:val="6D7B52A4"/>
    <w:rsid w:val="6D9C0709"/>
    <w:rsid w:val="6DBC0443"/>
    <w:rsid w:val="6DCA5B51"/>
    <w:rsid w:val="6DCA76E7"/>
    <w:rsid w:val="6DD90E9C"/>
    <w:rsid w:val="6DEE25FC"/>
    <w:rsid w:val="6DEE54FF"/>
    <w:rsid w:val="6DFF7B69"/>
    <w:rsid w:val="6E0077C5"/>
    <w:rsid w:val="6E172713"/>
    <w:rsid w:val="6E183FF7"/>
    <w:rsid w:val="6E301C12"/>
    <w:rsid w:val="6E361438"/>
    <w:rsid w:val="6E794A70"/>
    <w:rsid w:val="6E8859B4"/>
    <w:rsid w:val="6E901AF9"/>
    <w:rsid w:val="6E923810"/>
    <w:rsid w:val="6EB674B0"/>
    <w:rsid w:val="6EDD1797"/>
    <w:rsid w:val="6EE025B3"/>
    <w:rsid w:val="6F062BB9"/>
    <w:rsid w:val="6F15469D"/>
    <w:rsid w:val="6F215F77"/>
    <w:rsid w:val="6F2B0871"/>
    <w:rsid w:val="6F310BEA"/>
    <w:rsid w:val="6F377216"/>
    <w:rsid w:val="6F3D1B95"/>
    <w:rsid w:val="6F5D48A9"/>
    <w:rsid w:val="6F685621"/>
    <w:rsid w:val="6F9208F0"/>
    <w:rsid w:val="6F935636"/>
    <w:rsid w:val="6FA65EC5"/>
    <w:rsid w:val="6FAB35A0"/>
    <w:rsid w:val="6FB15609"/>
    <w:rsid w:val="6FC101DA"/>
    <w:rsid w:val="6FCA32D4"/>
    <w:rsid w:val="6FD960F8"/>
    <w:rsid w:val="701140D8"/>
    <w:rsid w:val="70130B7C"/>
    <w:rsid w:val="701E37CD"/>
    <w:rsid w:val="70261E0E"/>
    <w:rsid w:val="703E0F71"/>
    <w:rsid w:val="70AB2682"/>
    <w:rsid w:val="70C60851"/>
    <w:rsid w:val="711E2E7B"/>
    <w:rsid w:val="71207507"/>
    <w:rsid w:val="71215755"/>
    <w:rsid w:val="71381023"/>
    <w:rsid w:val="714D0383"/>
    <w:rsid w:val="714D7970"/>
    <w:rsid w:val="71536AB4"/>
    <w:rsid w:val="7177283F"/>
    <w:rsid w:val="71974668"/>
    <w:rsid w:val="71AE4CE1"/>
    <w:rsid w:val="71B00239"/>
    <w:rsid w:val="71C07EDB"/>
    <w:rsid w:val="71DA3698"/>
    <w:rsid w:val="71E778E1"/>
    <w:rsid w:val="71EA5F45"/>
    <w:rsid w:val="71EC1090"/>
    <w:rsid w:val="71ED31CD"/>
    <w:rsid w:val="72037883"/>
    <w:rsid w:val="72225F5B"/>
    <w:rsid w:val="722573B2"/>
    <w:rsid w:val="725F4713"/>
    <w:rsid w:val="72665631"/>
    <w:rsid w:val="728C6382"/>
    <w:rsid w:val="7291007C"/>
    <w:rsid w:val="729B63E6"/>
    <w:rsid w:val="72B44BAB"/>
    <w:rsid w:val="72B752B6"/>
    <w:rsid w:val="72BE6889"/>
    <w:rsid w:val="72C1034F"/>
    <w:rsid w:val="72C65445"/>
    <w:rsid w:val="72D134DE"/>
    <w:rsid w:val="72EB5625"/>
    <w:rsid w:val="72F571CC"/>
    <w:rsid w:val="73131EAA"/>
    <w:rsid w:val="732C3E6A"/>
    <w:rsid w:val="733525AB"/>
    <w:rsid w:val="733951B5"/>
    <w:rsid w:val="7350525A"/>
    <w:rsid w:val="735974C7"/>
    <w:rsid w:val="735C724B"/>
    <w:rsid w:val="737759D2"/>
    <w:rsid w:val="738A025C"/>
    <w:rsid w:val="73A5095C"/>
    <w:rsid w:val="73AC5479"/>
    <w:rsid w:val="73B456F7"/>
    <w:rsid w:val="73B47506"/>
    <w:rsid w:val="73E02E52"/>
    <w:rsid w:val="74143FCA"/>
    <w:rsid w:val="74274806"/>
    <w:rsid w:val="747607E0"/>
    <w:rsid w:val="74C9771A"/>
    <w:rsid w:val="74F6722B"/>
    <w:rsid w:val="74FA1AA3"/>
    <w:rsid w:val="750952D6"/>
    <w:rsid w:val="750B3503"/>
    <w:rsid w:val="754132D7"/>
    <w:rsid w:val="754B39BE"/>
    <w:rsid w:val="754E4D52"/>
    <w:rsid w:val="75540CB5"/>
    <w:rsid w:val="755F027C"/>
    <w:rsid w:val="756F7498"/>
    <w:rsid w:val="75762808"/>
    <w:rsid w:val="757C5983"/>
    <w:rsid w:val="757E6628"/>
    <w:rsid w:val="758D5C65"/>
    <w:rsid w:val="75A32CD3"/>
    <w:rsid w:val="75F34DBC"/>
    <w:rsid w:val="761262E7"/>
    <w:rsid w:val="76171B4F"/>
    <w:rsid w:val="761C3D07"/>
    <w:rsid w:val="76506D12"/>
    <w:rsid w:val="76522B87"/>
    <w:rsid w:val="7669528D"/>
    <w:rsid w:val="769676BE"/>
    <w:rsid w:val="769B26DC"/>
    <w:rsid w:val="76A16A78"/>
    <w:rsid w:val="76A301A9"/>
    <w:rsid w:val="76AA12D1"/>
    <w:rsid w:val="76BE3814"/>
    <w:rsid w:val="76C81182"/>
    <w:rsid w:val="76D20752"/>
    <w:rsid w:val="76D92C39"/>
    <w:rsid w:val="770E6AAE"/>
    <w:rsid w:val="77195EC0"/>
    <w:rsid w:val="772C31EA"/>
    <w:rsid w:val="773329B9"/>
    <w:rsid w:val="77472490"/>
    <w:rsid w:val="7748432C"/>
    <w:rsid w:val="774D0D92"/>
    <w:rsid w:val="775A62EB"/>
    <w:rsid w:val="775B1CAC"/>
    <w:rsid w:val="77640DC4"/>
    <w:rsid w:val="7780146C"/>
    <w:rsid w:val="77860D3A"/>
    <w:rsid w:val="77916807"/>
    <w:rsid w:val="77AC03F7"/>
    <w:rsid w:val="77AD2972"/>
    <w:rsid w:val="77AF348B"/>
    <w:rsid w:val="77BB62C8"/>
    <w:rsid w:val="77E4568D"/>
    <w:rsid w:val="780E632E"/>
    <w:rsid w:val="7818236C"/>
    <w:rsid w:val="7826576E"/>
    <w:rsid w:val="784D6A8F"/>
    <w:rsid w:val="78656649"/>
    <w:rsid w:val="786F3811"/>
    <w:rsid w:val="787075E3"/>
    <w:rsid w:val="787F5E0E"/>
    <w:rsid w:val="78833603"/>
    <w:rsid w:val="78871EF4"/>
    <w:rsid w:val="788F0A8E"/>
    <w:rsid w:val="78964FAD"/>
    <w:rsid w:val="78984411"/>
    <w:rsid w:val="78B35B5F"/>
    <w:rsid w:val="78B975E2"/>
    <w:rsid w:val="78BD5B5B"/>
    <w:rsid w:val="78D859AC"/>
    <w:rsid w:val="78D87374"/>
    <w:rsid w:val="78DB788A"/>
    <w:rsid w:val="78DD2BDC"/>
    <w:rsid w:val="78E20BCB"/>
    <w:rsid w:val="78EE56C6"/>
    <w:rsid w:val="7901645D"/>
    <w:rsid w:val="791B6EFA"/>
    <w:rsid w:val="79200D1B"/>
    <w:rsid w:val="793900AE"/>
    <w:rsid w:val="793A646B"/>
    <w:rsid w:val="79411E2E"/>
    <w:rsid w:val="79440EAD"/>
    <w:rsid w:val="794E57B9"/>
    <w:rsid w:val="795113B8"/>
    <w:rsid w:val="795B6CA7"/>
    <w:rsid w:val="7993773F"/>
    <w:rsid w:val="799A7EFC"/>
    <w:rsid w:val="79A416E4"/>
    <w:rsid w:val="79A74FA7"/>
    <w:rsid w:val="79BD7A28"/>
    <w:rsid w:val="79C80320"/>
    <w:rsid w:val="79D76944"/>
    <w:rsid w:val="79E3201D"/>
    <w:rsid w:val="79E35356"/>
    <w:rsid w:val="7A017BA3"/>
    <w:rsid w:val="7A09618E"/>
    <w:rsid w:val="7A2E0C25"/>
    <w:rsid w:val="7A3031E0"/>
    <w:rsid w:val="7A5520E7"/>
    <w:rsid w:val="7A8E7000"/>
    <w:rsid w:val="7A9B169C"/>
    <w:rsid w:val="7ACB47F9"/>
    <w:rsid w:val="7B2F5FF1"/>
    <w:rsid w:val="7B362C38"/>
    <w:rsid w:val="7B3E709B"/>
    <w:rsid w:val="7BB87930"/>
    <w:rsid w:val="7BC55CD7"/>
    <w:rsid w:val="7C015525"/>
    <w:rsid w:val="7C122B9D"/>
    <w:rsid w:val="7C1B2F90"/>
    <w:rsid w:val="7C346788"/>
    <w:rsid w:val="7C3A6597"/>
    <w:rsid w:val="7C3F14B1"/>
    <w:rsid w:val="7C436A1C"/>
    <w:rsid w:val="7C4B14F5"/>
    <w:rsid w:val="7C714397"/>
    <w:rsid w:val="7C8C6252"/>
    <w:rsid w:val="7C9537CE"/>
    <w:rsid w:val="7CB160F0"/>
    <w:rsid w:val="7CC077C4"/>
    <w:rsid w:val="7CC54241"/>
    <w:rsid w:val="7CD93EEC"/>
    <w:rsid w:val="7CFA1B2B"/>
    <w:rsid w:val="7D021147"/>
    <w:rsid w:val="7D0A5C94"/>
    <w:rsid w:val="7D2742EC"/>
    <w:rsid w:val="7D354D9C"/>
    <w:rsid w:val="7D4262D5"/>
    <w:rsid w:val="7D4A7A8F"/>
    <w:rsid w:val="7D5A009D"/>
    <w:rsid w:val="7D5A26C7"/>
    <w:rsid w:val="7D802F63"/>
    <w:rsid w:val="7DA018DD"/>
    <w:rsid w:val="7DC317FD"/>
    <w:rsid w:val="7DEE3196"/>
    <w:rsid w:val="7DEE3610"/>
    <w:rsid w:val="7E117D5D"/>
    <w:rsid w:val="7E17093E"/>
    <w:rsid w:val="7E512469"/>
    <w:rsid w:val="7E560070"/>
    <w:rsid w:val="7E7B7570"/>
    <w:rsid w:val="7EC43811"/>
    <w:rsid w:val="7EC46BCF"/>
    <w:rsid w:val="7EC55CEB"/>
    <w:rsid w:val="7EDD4A9A"/>
    <w:rsid w:val="7EE41634"/>
    <w:rsid w:val="7EF01E0D"/>
    <w:rsid w:val="7EF95000"/>
    <w:rsid w:val="7F296E45"/>
    <w:rsid w:val="7F6F2449"/>
    <w:rsid w:val="7F776EBB"/>
    <w:rsid w:val="7FB34CE5"/>
    <w:rsid w:val="7FBB0477"/>
    <w:rsid w:val="7FBF290A"/>
    <w:rsid w:val="7FC171A0"/>
    <w:rsid w:val="7FE0385B"/>
    <w:rsid w:val="7FF41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2"/>
    <w:qFormat/>
    <w:uiPriority w:val="0"/>
    <w:pPr>
      <w:keepNext/>
      <w:keepLines/>
      <w:numPr>
        <w:ilvl w:val="0"/>
        <w:numId w:val="1"/>
      </w:numPr>
      <w:snapToGrid w:val="0"/>
      <w:spacing w:line="400" w:lineRule="atLeast"/>
      <w:outlineLvl w:val="0"/>
    </w:pPr>
    <w:rPr>
      <w:rFonts w:ascii="宋体" w:hAnsi="Times New Roman" w:eastAsia="黑体" w:cs="Times New Roman"/>
      <w:kern w:val="28"/>
      <w:sz w:val="28"/>
      <w:szCs w:val="20"/>
    </w:rPr>
  </w:style>
  <w:style w:type="paragraph" w:styleId="3">
    <w:name w:val="heading 2"/>
    <w:basedOn w:val="1"/>
    <w:next w:val="1"/>
    <w:link w:val="63"/>
    <w:qFormat/>
    <w:uiPriority w:val="0"/>
    <w:pPr>
      <w:numPr>
        <w:ilvl w:val="1"/>
        <w:numId w:val="1"/>
      </w:numPr>
      <w:tabs>
        <w:tab w:val="left" w:pos="425"/>
      </w:tabs>
      <w:snapToGrid w:val="0"/>
      <w:spacing w:line="360" w:lineRule="auto"/>
      <w:outlineLvl w:val="1"/>
    </w:pPr>
    <w:rPr>
      <w:rFonts w:ascii="宋体" w:hAnsi="Times New Roman" w:eastAsia="宋体" w:cs="Times New Roman"/>
      <w:sz w:val="28"/>
      <w:szCs w:val="20"/>
    </w:rPr>
  </w:style>
  <w:style w:type="paragraph" w:styleId="4">
    <w:name w:val="heading 3"/>
    <w:basedOn w:val="1"/>
    <w:next w:val="1"/>
    <w:link w:val="64"/>
    <w:qFormat/>
    <w:uiPriority w:val="0"/>
    <w:pPr>
      <w:numPr>
        <w:ilvl w:val="2"/>
        <w:numId w:val="1"/>
      </w:numPr>
      <w:tabs>
        <w:tab w:val="left" w:pos="720"/>
      </w:tabs>
      <w:ind w:left="0" w:firstLine="0"/>
      <w:jc w:val="left"/>
      <w:outlineLvl w:val="2"/>
    </w:pPr>
    <w:rPr>
      <w:b/>
      <w:sz w:val="32"/>
    </w:rPr>
  </w:style>
  <w:style w:type="paragraph" w:styleId="5">
    <w:name w:val="heading 4"/>
    <w:basedOn w:val="1"/>
    <w:next w:val="1"/>
    <w:link w:val="65"/>
    <w:qFormat/>
    <w:uiPriority w:val="0"/>
    <w:pPr>
      <w:keepNext/>
      <w:keepLines/>
      <w:spacing w:before="280" w:after="290" w:line="376" w:lineRule="auto"/>
      <w:outlineLvl w:val="3"/>
    </w:pPr>
    <w:rPr>
      <w:rFonts w:ascii="Calibri Light" w:hAnsi="Calibri Light" w:eastAsia="宋体" w:cs="Times New Roman"/>
      <w:b/>
      <w:bCs/>
      <w:kern w:val="0"/>
      <w:sz w:val="28"/>
      <w:szCs w:val="28"/>
    </w:rPr>
  </w:style>
  <w:style w:type="paragraph" w:styleId="6">
    <w:name w:val="heading 5"/>
    <w:basedOn w:val="1"/>
    <w:next w:val="1"/>
    <w:link w:val="66"/>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1"/>
    <w:link w:val="67"/>
    <w:qFormat/>
    <w:uiPriority w:val="0"/>
    <w:pPr>
      <w:keepNext/>
      <w:keepLines/>
      <w:spacing w:before="240" w:after="64" w:line="320" w:lineRule="auto"/>
      <w:outlineLvl w:val="5"/>
    </w:pPr>
    <w:rPr>
      <w:rFonts w:ascii="Calibri Light" w:hAnsi="Calibri Light" w:eastAsia="宋体" w:cs="Times New Roman"/>
      <w:b/>
      <w:bCs/>
      <w:kern w:val="0"/>
      <w:sz w:val="24"/>
    </w:rPr>
  </w:style>
  <w:style w:type="paragraph" w:styleId="8">
    <w:name w:val="heading 7"/>
    <w:basedOn w:val="1"/>
    <w:next w:val="1"/>
    <w:link w:val="68"/>
    <w:qFormat/>
    <w:uiPriority w:val="0"/>
    <w:pPr>
      <w:keepNext/>
      <w:keepLines/>
      <w:spacing w:before="240" w:after="64" w:line="320" w:lineRule="auto"/>
      <w:outlineLvl w:val="6"/>
    </w:pPr>
    <w:rPr>
      <w:rFonts w:ascii="Times New Roman" w:hAnsi="Times New Roman" w:eastAsia="宋体" w:cs="Times New Roman"/>
      <w:b/>
      <w:bCs/>
      <w:sz w:val="24"/>
    </w:rPr>
  </w:style>
  <w:style w:type="character" w:default="1" w:styleId="42">
    <w:name w:val="Default Paragraph Font"/>
    <w:qFormat/>
    <w:uiPriority w:val="0"/>
    <w:rPr>
      <w:rFonts w:ascii="Times New Roman" w:hAnsi="Times New Roman" w:eastAsia="宋体" w:cs="Times New Roman"/>
    </w:rPr>
  </w:style>
  <w:style w:type="table" w:default="1" w:styleId="4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9">
    <w:name w:val="Normal Indent"/>
    <w:basedOn w:val="1"/>
    <w:qFormat/>
    <w:uiPriority w:val="0"/>
    <w:pPr>
      <w:ind w:firstLine="420" w:firstLineChars="200"/>
    </w:pPr>
    <w:rPr>
      <w:rFonts w:ascii="Times New Roman" w:hAnsi="Times New Roman" w:eastAsia="宋体" w:cs="Times New Roman"/>
    </w:rPr>
  </w:style>
  <w:style w:type="paragraph" w:styleId="10">
    <w:name w:val="Document Map"/>
    <w:basedOn w:val="1"/>
    <w:link w:val="69"/>
    <w:qFormat/>
    <w:uiPriority w:val="0"/>
    <w:rPr>
      <w:rFonts w:ascii="Microsoft YaHei UI" w:hAnsi="Times New Roman" w:eastAsia="Microsoft YaHei UI" w:cs="Times New Roman"/>
      <w:kern w:val="0"/>
      <w:sz w:val="18"/>
      <w:szCs w:val="18"/>
    </w:rPr>
  </w:style>
  <w:style w:type="paragraph" w:styleId="11">
    <w:name w:val="annotation text"/>
    <w:basedOn w:val="1"/>
    <w:link w:val="70"/>
    <w:qFormat/>
    <w:uiPriority w:val="0"/>
    <w:pPr>
      <w:jc w:val="left"/>
    </w:pPr>
    <w:rPr>
      <w:rFonts w:ascii="Times New Roman" w:hAnsi="Times New Roman" w:eastAsia="宋体" w:cs="Times New Roman"/>
      <w:kern w:val="0"/>
      <w:sz w:val="20"/>
    </w:rPr>
  </w:style>
  <w:style w:type="paragraph" w:styleId="12">
    <w:name w:val="Body Text"/>
    <w:basedOn w:val="1"/>
    <w:next w:val="13"/>
    <w:link w:val="61"/>
    <w:qFormat/>
    <w:uiPriority w:val="0"/>
    <w:pPr>
      <w:spacing w:after="120"/>
    </w:pPr>
    <w:rPr>
      <w:rFonts w:ascii="Times New Roman" w:hAnsi="Times New Roman" w:eastAsia="宋体" w:cs="Times New Roman"/>
      <w:kern w:val="0"/>
      <w:sz w:val="20"/>
    </w:rPr>
  </w:style>
  <w:style w:type="paragraph" w:customStyle="1" w:styleId="13">
    <w:name w:val="一级条标题"/>
    <w:basedOn w:val="14"/>
    <w:next w:val="15"/>
    <w:link w:val="84"/>
    <w:qFormat/>
    <w:uiPriority w:val="0"/>
    <w:pPr>
      <w:tabs>
        <w:tab w:val="left" w:pos="720"/>
      </w:tabs>
      <w:spacing w:beforeLines="0" w:afterLines="0"/>
      <w:ind w:left="567" w:hanging="567"/>
      <w:outlineLvl w:val="2"/>
    </w:pPr>
    <w:rPr>
      <w:rFonts w:ascii="Times New Roman" w:hAnsi="Times New Roman" w:eastAsia="宋体" w:cs="Times New Roman"/>
    </w:rPr>
  </w:style>
  <w:style w:type="paragraph" w:customStyle="1" w:styleId="14">
    <w:name w:val="章标题"/>
    <w:next w:val="1"/>
    <w:link w:val="83"/>
    <w:qFormat/>
    <w:uiPriority w:val="0"/>
    <w:pPr>
      <w:tabs>
        <w:tab w:val="left" w:pos="720"/>
      </w:tabs>
      <w:spacing w:beforeLines="50" w:afterLines="50"/>
      <w:ind w:left="567" w:hanging="567"/>
      <w:jc w:val="both"/>
      <w:outlineLvl w:val="1"/>
    </w:pPr>
    <w:rPr>
      <w:rFonts w:ascii="黑体" w:hAnsi="Times New Roman" w:eastAsia="黑体" w:cs="Times New Roman"/>
      <w:sz w:val="21"/>
      <w:lang w:val="en-US" w:eastAsia="zh-CN" w:bidi="ar-SA"/>
    </w:rPr>
  </w:style>
  <w:style w:type="paragraph" w:customStyle="1" w:styleId="15">
    <w:name w:val="段"/>
    <w:basedOn w:val="16"/>
    <w:next w:val="1"/>
    <w:link w:val="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17">
    <w:name w:val="Body Text Indent"/>
    <w:basedOn w:val="1"/>
    <w:next w:val="1"/>
    <w:link w:val="71"/>
    <w:qFormat/>
    <w:uiPriority w:val="0"/>
    <w:pPr>
      <w:tabs>
        <w:tab w:val="left" w:pos="2160"/>
      </w:tabs>
      <w:ind w:left="2159" w:leftChars="1028" w:firstLine="1"/>
    </w:pPr>
    <w:rPr>
      <w:rFonts w:ascii="宋体" w:hAnsi="宋体" w:eastAsia="宋体" w:cs="Times New Roman"/>
      <w:kern w:val="0"/>
      <w:sz w:val="20"/>
      <w:szCs w:val="21"/>
    </w:rPr>
  </w:style>
  <w:style w:type="paragraph" w:styleId="18">
    <w:name w:val="index 4"/>
    <w:basedOn w:val="1"/>
    <w:next w:val="1"/>
    <w:qFormat/>
    <w:uiPriority w:val="0"/>
    <w:pPr>
      <w:ind w:left="600" w:leftChars="600"/>
    </w:pPr>
    <w:rPr>
      <w:rFonts w:ascii="Times New Roman" w:hAnsi="Times New Roman" w:eastAsia="宋体" w:cs="Times New Roman"/>
    </w:rPr>
  </w:style>
  <w:style w:type="paragraph" w:styleId="19">
    <w:name w:val="toc 3"/>
    <w:basedOn w:val="1"/>
    <w:next w:val="1"/>
    <w:qFormat/>
    <w:uiPriority w:val="0"/>
    <w:pPr>
      <w:widowControl/>
      <w:spacing w:after="100" w:line="259" w:lineRule="auto"/>
      <w:ind w:left="440"/>
      <w:jc w:val="left"/>
    </w:pPr>
    <w:rPr>
      <w:rFonts w:ascii="Calibri" w:hAnsi="Calibri" w:eastAsia="宋体" w:cs="Times New Roman"/>
      <w:kern w:val="0"/>
      <w:sz w:val="22"/>
      <w:szCs w:val="22"/>
    </w:rPr>
  </w:style>
  <w:style w:type="paragraph" w:styleId="20">
    <w:name w:val="Plain Text"/>
    <w:basedOn w:val="1"/>
    <w:link w:val="72"/>
    <w:qFormat/>
    <w:uiPriority w:val="0"/>
    <w:rPr>
      <w:rFonts w:ascii="宋体" w:hAnsi="Courier New" w:eastAsia="宋体" w:cs="Times New Roman"/>
      <w:kern w:val="0"/>
      <w:sz w:val="20"/>
      <w:szCs w:val="20"/>
    </w:rPr>
  </w:style>
  <w:style w:type="paragraph" w:styleId="21">
    <w:name w:val="Date"/>
    <w:basedOn w:val="1"/>
    <w:next w:val="1"/>
    <w:link w:val="74"/>
    <w:qFormat/>
    <w:uiPriority w:val="0"/>
    <w:pPr>
      <w:ind w:left="100" w:leftChars="2500"/>
    </w:pPr>
    <w:rPr>
      <w:rFonts w:ascii="Times New Roman" w:hAnsi="Times New Roman" w:eastAsia="宋体" w:cs="Times New Roman"/>
      <w:kern w:val="0"/>
      <w:sz w:val="20"/>
    </w:rPr>
  </w:style>
  <w:style w:type="paragraph" w:styleId="22">
    <w:name w:val="Body Text Indent 2"/>
    <w:basedOn w:val="1"/>
    <w:qFormat/>
    <w:uiPriority w:val="0"/>
    <w:pPr>
      <w:ind w:firstLine="570"/>
    </w:pPr>
    <w:rPr>
      <w:rFonts w:ascii="Arial" w:hAnsi="Arial" w:eastAsia="仿宋_GB2312"/>
      <w:b/>
      <w:sz w:val="28"/>
    </w:rPr>
  </w:style>
  <w:style w:type="paragraph" w:styleId="23">
    <w:name w:val="Balloon Text"/>
    <w:basedOn w:val="1"/>
    <w:link w:val="75"/>
    <w:qFormat/>
    <w:uiPriority w:val="0"/>
    <w:rPr>
      <w:rFonts w:ascii="Times New Roman" w:hAnsi="Times New Roman" w:eastAsia="宋体" w:cs="Times New Roman"/>
      <w:kern w:val="0"/>
      <w:sz w:val="18"/>
      <w:szCs w:val="18"/>
    </w:rPr>
  </w:style>
  <w:style w:type="paragraph" w:styleId="24">
    <w:name w:val="footer"/>
    <w:basedOn w:val="1"/>
    <w:link w:val="76"/>
    <w:qFormat/>
    <w:uiPriority w:val="0"/>
    <w:pPr>
      <w:tabs>
        <w:tab w:val="center" w:pos="4153"/>
        <w:tab w:val="right" w:pos="8306"/>
      </w:tabs>
      <w:snapToGrid w:val="0"/>
      <w:jc w:val="left"/>
    </w:pPr>
    <w:rPr>
      <w:rFonts w:ascii="Times New Roman" w:hAnsi="Times New Roman" w:eastAsia="宋体" w:cs="Times New Roman"/>
      <w:kern w:val="0"/>
      <w:sz w:val="18"/>
      <w:szCs w:val="20"/>
    </w:rPr>
  </w:style>
  <w:style w:type="paragraph" w:styleId="25">
    <w:name w:val="header"/>
    <w:basedOn w:val="1"/>
    <w:link w:val="7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20"/>
    </w:rPr>
  </w:style>
  <w:style w:type="paragraph" w:styleId="26">
    <w:name w:val="toc 1"/>
    <w:basedOn w:val="1"/>
    <w:next w:val="1"/>
    <w:qFormat/>
    <w:uiPriority w:val="0"/>
    <w:pPr>
      <w:tabs>
        <w:tab w:val="right" w:leader="dot" w:pos="8296"/>
      </w:tabs>
      <w:jc w:val="left"/>
    </w:pPr>
    <w:rPr>
      <w:rFonts w:ascii="Times New Roman" w:hAnsi="Times New Roman" w:eastAsia="宋体" w:cs="Times New Roman"/>
    </w:rPr>
  </w:style>
  <w:style w:type="paragraph" w:styleId="27">
    <w:name w:val="index heading"/>
    <w:basedOn w:val="1"/>
    <w:next w:val="28"/>
    <w:qFormat/>
    <w:uiPriority w:val="0"/>
    <w:pPr>
      <w:spacing w:line="240" w:lineRule="auto"/>
      <w:ind w:firstLine="0" w:firstLineChars="0"/>
    </w:pPr>
    <w:rPr>
      <w:rFonts w:ascii="Times New Roman" w:hAnsi="Times New Roman" w:eastAsia="宋体" w:cs="Times New Roman"/>
      <w:kern w:val="2"/>
      <w:sz w:val="28"/>
      <w:szCs w:val="20"/>
    </w:rPr>
  </w:style>
  <w:style w:type="paragraph" w:styleId="28">
    <w:name w:val="index 1"/>
    <w:basedOn w:val="1"/>
    <w:next w:val="1"/>
    <w:qFormat/>
    <w:uiPriority w:val="0"/>
    <w:pPr>
      <w:adjustRightInd w:val="0"/>
      <w:snapToGrid w:val="0"/>
      <w:jc w:val="left"/>
    </w:pPr>
    <w:rPr>
      <w:rFonts w:ascii="微软雅黑" w:hAnsi="微软雅黑" w:eastAsia="微软雅黑" w:cs="微软雅黑"/>
      <w:sz w:val="21"/>
      <w:szCs w:val="21"/>
    </w:rPr>
  </w:style>
  <w:style w:type="paragraph" w:styleId="29">
    <w:name w:val="Subtitle"/>
    <w:basedOn w:val="1"/>
    <w:next w:val="1"/>
    <w:link w:val="78"/>
    <w:qFormat/>
    <w:uiPriority w:val="0"/>
    <w:pPr>
      <w:spacing w:before="240" w:after="60" w:line="312" w:lineRule="auto"/>
      <w:jc w:val="center"/>
      <w:outlineLvl w:val="1"/>
    </w:pPr>
    <w:rPr>
      <w:rFonts w:ascii="Calibri Light" w:hAnsi="Calibri Light" w:eastAsia="宋体" w:cs="Times New Roman"/>
      <w:b/>
      <w:bCs/>
      <w:kern w:val="28"/>
      <w:sz w:val="32"/>
      <w:szCs w:val="32"/>
    </w:rPr>
  </w:style>
  <w:style w:type="paragraph" w:styleId="30">
    <w:name w:val="Body Text Indent 3"/>
    <w:basedOn w:val="1"/>
    <w:link w:val="79"/>
    <w:qFormat/>
    <w:uiPriority w:val="0"/>
    <w:pPr>
      <w:spacing w:after="120"/>
      <w:ind w:left="420" w:leftChars="200"/>
    </w:pPr>
    <w:rPr>
      <w:rFonts w:ascii="Times New Roman" w:hAnsi="Times New Roman" w:eastAsia="宋体" w:cs="Times New Roman"/>
      <w:kern w:val="0"/>
      <w:sz w:val="16"/>
      <w:szCs w:val="16"/>
    </w:rPr>
  </w:style>
  <w:style w:type="paragraph" w:styleId="31">
    <w:name w:val="toc 2"/>
    <w:basedOn w:val="1"/>
    <w:next w:val="1"/>
    <w:qFormat/>
    <w:uiPriority w:val="0"/>
    <w:pPr>
      <w:widowControl/>
      <w:spacing w:after="100" w:line="259" w:lineRule="auto"/>
      <w:ind w:left="220"/>
      <w:jc w:val="left"/>
    </w:pPr>
    <w:rPr>
      <w:rFonts w:ascii="Calibri" w:hAnsi="Calibri" w:eastAsia="宋体" w:cs="Times New Roman"/>
      <w:kern w:val="0"/>
      <w:sz w:val="22"/>
      <w:szCs w:val="22"/>
    </w:rPr>
  </w:style>
  <w:style w:type="paragraph" w:styleId="32">
    <w:name w:val="toc 9"/>
    <w:basedOn w:val="1"/>
    <w:next w:val="1"/>
    <w:qFormat/>
    <w:uiPriority w:val="0"/>
    <w:pPr>
      <w:ind w:left="3360" w:leftChars="1600"/>
    </w:pPr>
    <w:rPr>
      <w:rFonts w:ascii="Times New Roman" w:hAnsi="Times New Roman" w:eastAsia="宋体" w:cs="Times New Roman"/>
    </w:rPr>
  </w:style>
  <w:style w:type="paragraph" w:styleId="33">
    <w:name w:val="Message Header"/>
    <w:basedOn w:val="1"/>
    <w:semiHidden/>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4">
    <w:name w:val="HTML Preformatted"/>
    <w:basedOn w:val="1"/>
    <w:next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rPr>
  </w:style>
  <w:style w:type="paragraph" w:styleId="35">
    <w:name w:val="Normal (Web)"/>
    <w:basedOn w:val="1"/>
    <w:next w:val="12"/>
    <w:qFormat/>
    <w:uiPriority w:val="0"/>
    <w:pPr>
      <w:widowControl/>
      <w:spacing w:before="100" w:beforeAutospacing="1" w:after="100" w:afterAutospacing="1"/>
      <w:jc w:val="left"/>
    </w:pPr>
    <w:rPr>
      <w:rFonts w:ascii="宋体" w:hAnsi="宋体" w:eastAsia="宋体" w:cs="宋体"/>
      <w:kern w:val="0"/>
      <w:sz w:val="24"/>
    </w:rPr>
  </w:style>
  <w:style w:type="paragraph" w:styleId="36">
    <w:name w:val="Title"/>
    <w:basedOn w:val="1"/>
    <w:next w:val="1"/>
    <w:link w:val="81"/>
    <w:qFormat/>
    <w:uiPriority w:val="0"/>
    <w:pPr>
      <w:spacing w:before="240" w:after="60"/>
      <w:jc w:val="center"/>
      <w:outlineLvl w:val="0"/>
    </w:pPr>
    <w:rPr>
      <w:rFonts w:ascii="Cambria" w:hAnsi="Cambria" w:eastAsia="宋体" w:cs="Times New Roman"/>
      <w:b/>
      <w:bCs/>
      <w:kern w:val="0"/>
      <w:sz w:val="36"/>
      <w:szCs w:val="32"/>
    </w:rPr>
  </w:style>
  <w:style w:type="paragraph" w:styleId="37">
    <w:name w:val="annotation subject"/>
    <w:basedOn w:val="11"/>
    <w:next w:val="19"/>
    <w:link w:val="73"/>
    <w:qFormat/>
    <w:uiPriority w:val="0"/>
    <w:rPr>
      <w:rFonts w:ascii="Times New Roman" w:hAnsi="Times New Roman" w:eastAsia="宋体" w:cs="Times New Roman"/>
      <w:b/>
      <w:bCs/>
    </w:rPr>
  </w:style>
  <w:style w:type="paragraph" w:styleId="38">
    <w:name w:val="Body Text First Indent"/>
    <w:basedOn w:val="1"/>
    <w:link w:val="82"/>
    <w:qFormat/>
    <w:uiPriority w:val="0"/>
    <w:pPr>
      <w:ind w:firstLine="420" w:firstLineChars="100"/>
    </w:pPr>
    <w:rPr>
      <w:rFonts w:ascii="Times New Roman" w:hAnsi="Times New Roman" w:eastAsia="宋体" w:cs="Times New Roman"/>
    </w:rPr>
  </w:style>
  <w:style w:type="paragraph" w:styleId="39">
    <w:name w:val="Body Text First Indent 2"/>
    <w:basedOn w:val="17"/>
    <w:next w:val="1"/>
    <w:qFormat/>
    <w:uiPriority w:val="0"/>
    <w:pPr>
      <w:ind w:firstLine="420" w:firstLineChars="200"/>
    </w:pPr>
    <w:rPr>
      <w:rFonts w:ascii="Times New Roman" w:hAnsi="Times New Roman" w:eastAsia="仿宋_GB2312" w:cs="Times New Roman"/>
      <w:sz w:val="32"/>
      <w:szCs w:val="22"/>
    </w:rPr>
  </w:style>
  <w:style w:type="table" w:styleId="41">
    <w:name w:val="Table Grid"/>
    <w:basedOn w:val="4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rFonts w:ascii="Times New Roman" w:hAnsi="Times New Roman" w:eastAsia="宋体" w:cs="Times New Roman"/>
      <w:b/>
    </w:rPr>
  </w:style>
  <w:style w:type="character" w:styleId="44">
    <w:name w:val="page number"/>
    <w:qFormat/>
    <w:uiPriority w:val="0"/>
    <w:rPr>
      <w:rFonts w:ascii="Times New Roman" w:hAnsi="Times New Roman" w:eastAsia="宋体" w:cs="Times New Roman"/>
    </w:rPr>
  </w:style>
  <w:style w:type="character" w:styleId="45">
    <w:name w:val="FollowedHyperlink"/>
    <w:qFormat/>
    <w:uiPriority w:val="0"/>
    <w:rPr>
      <w:rFonts w:ascii="Times New Roman" w:hAnsi="Times New Roman" w:eastAsia="宋体" w:cs="Times New Roman"/>
      <w:color w:val="0000FF"/>
      <w:u w:val="single"/>
    </w:rPr>
  </w:style>
  <w:style w:type="character" w:styleId="46">
    <w:name w:val="Emphasis"/>
    <w:qFormat/>
    <w:uiPriority w:val="0"/>
    <w:rPr>
      <w:rFonts w:ascii="Times New Roman" w:hAnsi="Times New Roman" w:eastAsia="宋体" w:cs="Times New Roman"/>
      <w:i/>
      <w:iCs/>
    </w:rPr>
  </w:style>
  <w:style w:type="character" w:styleId="47">
    <w:name w:val="HTML Definition"/>
    <w:basedOn w:val="42"/>
    <w:qFormat/>
    <w:uiPriority w:val="0"/>
  </w:style>
  <w:style w:type="character" w:styleId="48">
    <w:name w:val="HTML Typewriter"/>
    <w:basedOn w:val="42"/>
    <w:qFormat/>
    <w:uiPriority w:val="0"/>
    <w:rPr>
      <w:rFonts w:hint="default" w:ascii="monospace" w:hAnsi="monospace" w:eastAsia="monospace" w:cs="monospace"/>
      <w:sz w:val="20"/>
    </w:rPr>
  </w:style>
  <w:style w:type="character" w:styleId="49">
    <w:name w:val="HTML Acronym"/>
    <w:basedOn w:val="42"/>
    <w:qFormat/>
    <w:uiPriority w:val="0"/>
  </w:style>
  <w:style w:type="character" w:styleId="50">
    <w:name w:val="HTML Variable"/>
    <w:basedOn w:val="42"/>
    <w:qFormat/>
    <w:uiPriority w:val="0"/>
  </w:style>
  <w:style w:type="character" w:styleId="51">
    <w:name w:val="Hyperlink"/>
    <w:qFormat/>
    <w:uiPriority w:val="0"/>
    <w:rPr>
      <w:rFonts w:ascii="Times New Roman" w:hAnsi="Times New Roman" w:eastAsia="宋体" w:cs="Times New Roman"/>
      <w:color w:val="000099"/>
      <w:u w:val="none"/>
    </w:rPr>
  </w:style>
  <w:style w:type="character" w:styleId="52">
    <w:name w:val="HTML Code"/>
    <w:basedOn w:val="42"/>
    <w:qFormat/>
    <w:uiPriority w:val="0"/>
    <w:rPr>
      <w:rFonts w:hint="default" w:ascii="monospace" w:hAnsi="monospace" w:eastAsia="monospace" w:cs="monospace"/>
      <w:sz w:val="20"/>
    </w:rPr>
  </w:style>
  <w:style w:type="character" w:styleId="53">
    <w:name w:val="annotation reference"/>
    <w:qFormat/>
    <w:uiPriority w:val="0"/>
    <w:rPr>
      <w:rFonts w:ascii="Times New Roman" w:hAnsi="Times New Roman" w:eastAsia="宋体" w:cs="Times New Roman"/>
      <w:sz w:val="21"/>
      <w:szCs w:val="21"/>
    </w:rPr>
  </w:style>
  <w:style w:type="character" w:styleId="54">
    <w:name w:val="HTML Cite"/>
    <w:basedOn w:val="42"/>
    <w:qFormat/>
    <w:uiPriority w:val="0"/>
    <w:rPr>
      <w:rFonts w:ascii="Times New Roman" w:hAnsi="Times New Roman" w:eastAsia="宋体" w:cs="Times New Roman"/>
      <w:color w:val="008000"/>
    </w:rPr>
  </w:style>
  <w:style w:type="character" w:styleId="55">
    <w:name w:val="HTML Keyboard"/>
    <w:basedOn w:val="42"/>
    <w:qFormat/>
    <w:uiPriority w:val="0"/>
    <w:rPr>
      <w:rFonts w:ascii="monospace" w:hAnsi="monospace" w:eastAsia="monospace" w:cs="monospace"/>
      <w:sz w:val="20"/>
    </w:rPr>
  </w:style>
  <w:style w:type="character" w:styleId="56">
    <w:name w:val="HTML Sample"/>
    <w:basedOn w:val="42"/>
    <w:qFormat/>
    <w:uiPriority w:val="0"/>
    <w:rPr>
      <w:rFonts w:hint="default" w:ascii="monospace" w:hAnsi="monospace" w:eastAsia="monospace" w:cs="monospace"/>
    </w:rPr>
  </w:style>
  <w:style w:type="paragraph" w:customStyle="1" w:styleId="5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8">
    <w:name w:val="纯文本1"/>
    <w:basedOn w:val="1"/>
    <w:qFormat/>
    <w:uiPriority w:val="0"/>
    <w:rPr>
      <w:rFonts w:ascii="宋体" w:hAnsi="Courier New"/>
      <w:szCs w:val="21"/>
    </w:rPr>
  </w:style>
  <w:style w:type="paragraph" w:customStyle="1" w:styleId="59">
    <w:name w:val="样式 标题 3 + 首行缩进:  2 字符"/>
    <w:qFormat/>
    <w:uiPriority w:val="0"/>
    <w:pPr>
      <w:keepNext/>
      <w:keepLines/>
      <w:spacing w:line="480" w:lineRule="exact"/>
      <w:ind w:firstLine="200" w:firstLineChars="200"/>
      <w:outlineLvl w:val="2"/>
    </w:pPr>
    <w:rPr>
      <w:rFonts w:ascii="Times New Roman" w:hAnsi="Times New Roman" w:eastAsia="宋体" w:cs="宋体"/>
      <w:bCs/>
      <w:sz w:val="28"/>
      <w:szCs w:val="28"/>
      <w:lang w:val="en-US" w:eastAsia="zh-CN" w:bidi="ar-DZ"/>
    </w:rPr>
  </w:style>
  <w:style w:type="paragraph" w:customStyle="1" w:styleId="60">
    <w:name w:val="正文文本 21"/>
    <w:basedOn w:val="1"/>
    <w:qFormat/>
    <w:uiPriority w:val="0"/>
    <w:rPr>
      <w:rFonts w:ascii="Calibri" w:hAnsi="Calibri"/>
    </w:rPr>
  </w:style>
  <w:style w:type="character" w:customStyle="1" w:styleId="61">
    <w:name w:val="正文文本 Char"/>
    <w:link w:val="12"/>
    <w:qFormat/>
    <w:uiPriority w:val="0"/>
    <w:rPr>
      <w:rFonts w:ascii="Times New Roman" w:hAnsi="Times New Roman" w:eastAsia="宋体" w:cs="Times New Roman"/>
      <w:szCs w:val="24"/>
    </w:rPr>
  </w:style>
  <w:style w:type="character" w:customStyle="1" w:styleId="62">
    <w:name w:val="标题 1 Char"/>
    <w:link w:val="2"/>
    <w:qFormat/>
    <w:uiPriority w:val="0"/>
    <w:rPr>
      <w:rFonts w:ascii="宋体" w:hAnsi="Times New Roman" w:eastAsia="黑体" w:cs="Times New Roman"/>
      <w:kern w:val="28"/>
      <w:sz w:val="28"/>
    </w:rPr>
  </w:style>
  <w:style w:type="character" w:customStyle="1" w:styleId="63">
    <w:name w:val="标题 2 Char"/>
    <w:link w:val="3"/>
    <w:qFormat/>
    <w:uiPriority w:val="0"/>
    <w:rPr>
      <w:rFonts w:ascii="宋体" w:hAnsi="Times New Roman" w:eastAsia="宋体" w:cs="Times New Roman"/>
      <w:kern w:val="2"/>
      <w:sz w:val="28"/>
    </w:rPr>
  </w:style>
  <w:style w:type="character" w:customStyle="1" w:styleId="64">
    <w:name w:val="标题 3 Char"/>
    <w:link w:val="4"/>
    <w:qFormat/>
    <w:uiPriority w:val="0"/>
    <w:rPr>
      <w:rFonts w:ascii="Times New Roman" w:hAnsi="Times New Roman" w:eastAsia="宋体" w:cs="Times New Roman"/>
      <w:b/>
      <w:kern w:val="2"/>
      <w:sz w:val="32"/>
    </w:rPr>
  </w:style>
  <w:style w:type="character" w:customStyle="1" w:styleId="65">
    <w:name w:val="标题 4 Char"/>
    <w:link w:val="5"/>
    <w:qFormat/>
    <w:uiPriority w:val="0"/>
    <w:rPr>
      <w:rFonts w:ascii="Calibri Light" w:hAnsi="Calibri Light" w:eastAsia="宋体" w:cs="Times New Roman"/>
      <w:b/>
      <w:bCs/>
      <w:sz w:val="28"/>
      <w:szCs w:val="28"/>
    </w:rPr>
  </w:style>
  <w:style w:type="character" w:customStyle="1" w:styleId="66">
    <w:name w:val="标题 5 Char"/>
    <w:link w:val="6"/>
    <w:qFormat/>
    <w:uiPriority w:val="0"/>
    <w:rPr>
      <w:rFonts w:ascii="Times New Roman" w:hAnsi="Times New Roman" w:eastAsia="宋体" w:cs="Times New Roman"/>
      <w:b/>
      <w:bCs/>
      <w:sz w:val="28"/>
      <w:szCs w:val="28"/>
    </w:rPr>
  </w:style>
  <w:style w:type="character" w:customStyle="1" w:styleId="67">
    <w:name w:val="标题 6 Char"/>
    <w:link w:val="7"/>
    <w:qFormat/>
    <w:uiPriority w:val="0"/>
    <w:rPr>
      <w:rFonts w:ascii="Calibri Light" w:hAnsi="Calibri Light" w:eastAsia="宋体" w:cs="Times New Roman"/>
      <w:b/>
      <w:bCs/>
      <w:sz w:val="24"/>
      <w:szCs w:val="24"/>
    </w:rPr>
  </w:style>
  <w:style w:type="character" w:customStyle="1" w:styleId="68">
    <w:name w:val="标题 7 Char"/>
    <w:link w:val="8"/>
    <w:qFormat/>
    <w:uiPriority w:val="0"/>
    <w:rPr>
      <w:rFonts w:ascii="Times New Roman" w:hAnsi="Times New Roman" w:eastAsia="宋体" w:cs="Times New Roman"/>
      <w:b/>
      <w:bCs/>
      <w:kern w:val="2"/>
      <w:sz w:val="24"/>
      <w:szCs w:val="24"/>
    </w:rPr>
  </w:style>
  <w:style w:type="character" w:customStyle="1" w:styleId="69">
    <w:name w:val="文档结构图 Char"/>
    <w:link w:val="10"/>
    <w:qFormat/>
    <w:uiPriority w:val="0"/>
    <w:rPr>
      <w:rFonts w:ascii="Microsoft YaHei UI" w:hAnsi="Times New Roman" w:eastAsia="Microsoft YaHei UI" w:cs="Times New Roman"/>
      <w:sz w:val="18"/>
      <w:szCs w:val="18"/>
    </w:rPr>
  </w:style>
  <w:style w:type="character" w:customStyle="1" w:styleId="70">
    <w:name w:val="批注文字 Char1"/>
    <w:link w:val="11"/>
    <w:qFormat/>
    <w:uiPriority w:val="0"/>
    <w:rPr>
      <w:rFonts w:ascii="Times New Roman" w:hAnsi="Times New Roman" w:eastAsia="宋体" w:cs="Times New Roman"/>
      <w:szCs w:val="24"/>
    </w:rPr>
  </w:style>
  <w:style w:type="character" w:customStyle="1" w:styleId="71">
    <w:name w:val="正文文本缩进 Char"/>
    <w:link w:val="17"/>
    <w:qFormat/>
    <w:uiPriority w:val="0"/>
    <w:rPr>
      <w:rFonts w:ascii="宋体" w:hAnsi="宋体" w:eastAsia="宋体" w:cs="Times New Roman"/>
      <w:szCs w:val="21"/>
    </w:rPr>
  </w:style>
  <w:style w:type="character" w:customStyle="1" w:styleId="72">
    <w:name w:val="纯文本 Char2"/>
    <w:link w:val="20"/>
    <w:qFormat/>
    <w:uiPriority w:val="0"/>
    <w:rPr>
      <w:rFonts w:ascii="宋体" w:hAnsi="Courier New" w:eastAsia="宋体" w:cs="Times New Roman"/>
      <w:szCs w:val="20"/>
    </w:rPr>
  </w:style>
  <w:style w:type="character" w:customStyle="1" w:styleId="73">
    <w:name w:val="批注主题 Char1"/>
    <w:link w:val="37"/>
    <w:qFormat/>
    <w:uiPriority w:val="0"/>
    <w:rPr>
      <w:rFonts w:ascii="Times New Roman" w:hAnsi="Times New Roman" w:eastAsia="宋体" w:cs="Times New Roman"/>
      <w:b/>
      <w:bCs/>
      <w:szCs w:val="24"/>
    </w:rPr>
  </w:style>
  <w:style w:type="character" w:customStyle="1" w:styleId="74">
    <w:name w:val="日期 Char"/>
    <w:link w:val="21"/>
    <w:qFormat/>
    <w:uiPriority w:val="0"/>
    <w:rPr>
      <w:rFonts w:ascii="Times New Roman" w:hAnsi="Times New Roman" w:eastAsia="宋体" w:cs="Times New Roman"/>
      <w:szCs w:val="24"/>
    </w:rPr>
  </w:style>
  <w:style w:type="character" w:customStyle="1" w:styleId="75">
    <w:name w:val="批注框文本 Char"/>
    <w:link w:val="23"/>
    <w:qFormat/>
    <w:uiPriority w:val="0"/>
    <w:rPr>
      <w:rFonts w:ascii="Times New Roman" w:hAnsi="Times New Roman" w:eastAsia="宋体" w:cs="Times New Roman"/>
      <w:sz w:val="18"/>
      <w:szCs w:val="18"/>
    </w:rPr>
  </w:style>
  <w:style w:type="character" w:customStyle="1" w:styleId="76">
    <w:name w:val="页脚 Char1"/>
    <w:link w:val="24"/>
    <w:qFormat/>
    <w:uiPriority w:val="0"/>
    <w:rPr>
      <w:rFonts w:ascii="Times New Roman" w:hAnsi="Times New Roman" w:eastAsia="宋体" w:cs="Times New Roman"/>
      <w:sz w:val="18"/>
      <w:szCs w:val="20"/>
    </w:rPr>
  </w:style>
  <w:style w:type="character" w:customStyle="1" w:styleId="77">
    <w:name w:val="页眉 Char1"/>
    <w:link w:val="25"/>
    <w:qFormat/>
    <w:uiPriority w:val="0"/>
    <w:rPr>
      <w:rFonts w:ascii="Times New Roman" w:hAnsi="Times New Roman" w:eastAsia="宋体" w:cs="Times New Roman"/>
      <w:sz w:val="18"/>
      <w:szCs w:val="20"/>
    </w:rPr>
  </w:style>
  <w:style w:type="character" w:customStyle="1" w:styleId="78">
    <w:name w:val="副标题 Char"/>
    <w:link w:val="29"/>
    <w:qFormat/>
    <w:uiPriority w:val="0"/>
    <w:rPr>
      <w:rFonts w:ascii="Calibri Light" w:hAnsi="Calibri Light" w:eastAsia="宋体" w:cs="Times New Roman"/>
      <w:b/>
      <w:bCs/>
      <w:kern w:val="28"/>
      <w:sz w:val="32"/>
      <w:szCs w:val="32"/>
    </w:rPr>
  </w:style>
  <w:style w:type="character" w:customStyle="1" w:styleId="79">
    <w:name w:val="正文文本缩进 3 Char"/>
    <w:link w:val="30"/>
    <w:qFormat/>
    <w:uiPriority w:val="0"/>
    <w:rPr>
      <w:rFonts w:ascii="Times New Roman" w:hAnsi="Times New Roman" w:eastAsia="宋体" w:cs="Times New Roman"/>
      <w:sz w:val="16"/>
      <w:szCs w:val="16"/>
    </w:rPr>
  </w:style>
  <w:style w:type="character" w:customStyle="1" w:styleId="80">
    <w:name w:val="HTML 预设格式 Char"/>
    <w:link w:val="34"/>
    <w:qFormat/>
    <w:uiPriority w:val="0"/>
    <w:rPr>
      <w:rFonts w:ascii="宋体" w:hAnsi="宋体" w:eastAsia="宋体" w:cs="宋体"/>
      <w:sz w:val="24"/>
      <w:szCs w:val="24"/>
    </w:rPr>
  </w:style>
  <w:style w:type="character" w:customStyle="1" w:styleId="81">
    <w:name w:val="标题 Char"/>
    <w:link w:val="36"/>
    <w:qFormat/>
    <w:uiPriority w:val="0"/>
    <w:rPr>
      <w:rFonts w:ascii="Cambria" w:hAnsi="Cambria" w:eastAsia="宋体" w:cs="Times New Roman"/>
      <w:b/>
      <w:bCs/>
      <w:sz w:val="36"/>
      <w:szCs w:val="32"/>
    </w:rPr>
  </w:style>
  <w:style w:type="character" w:customStyle="1" w:styleId="82">
    <w:name w:val="正文首行缩进 Char"/>
    <w:link w:val="38"/>
    <w:qFormat/>
    <w:uiPriority w:val="0"/>
    <w:rPr>
      <w:rFonts w:ascii="Times New Roman" w:hAnsi="Times New Roman" w:eastAsia="宋体" w:cs="Times New Roman"/>
      <w:szCs w:val="24"/>
    </w:rPr>
  </w:style>
  <w:style w:type="character" w:customStyle="1" w:styleId="83">
    <w:name w:val="章标题 Char Char"/>
    <w:link w:val="14"/>
    <w:qFormat/>
    <w:uiPriority w:val="0"/>
    <w:rPr>
      <w:rFonts w:ascii="黑体" w:hAnsi="Times New Roman" w:eastAsia="黑体" w:cs="Times New Roman"/>
      <w:sz w:val="21"/>
      <w:lang w:val="en-US" w:eastAsia="zh-CN" w:bidi="ar-SA"/>
    </w:rPr>
  </w:style>
  <w:style w:type="character" w:customStyle="1" w:styleId="84">
    <w:name w:val="一级条标题 Char Char"/>
    <w:link w:val="13"/>
    <w:qFormat/>
    <w:uiPriority w:val="0"/>
    <w:rPr>
      <w:rFonts w:ascii="黑体" w:hAnsi="Times New Roman" w:eastAsia="黑体" w:cs="Times New Roman"/>
      <w:sz w:val="21"/>
    </w:rPr>
  </w:style>
  <w:style w:type="character" w:customStyle="1" w:styleId="85">
    <w:name w:val="段 Char Char"/>
    <w:link w:val="15"/>
    <w:qFormat/>
    <w:uiPriority w:val="0"/>
    <w:rPr>
      <w:rFonts w:ascii="宋体" w:hAnsi="Times New Roman" w:eastAsia="宋体" w:cs="Times New Roman"/>
      <w:sz w:val="21"/>
      <w:lang w:val="en-US" w:eastAsia="zh-CN" w:bidi="ar-SA"/>
    </w:rPr>
  </w:style>
  <w:style w:type="paragraph" w:customStyle="1" w:styleId="86">
    <w:name w:val="引言二级条标题"/>
    <w:basedOn w:val="87"/>
    <w:next w:val="15"/>
    <w:qFormat/>
    <w:uiPriority w:val="99"/>
    <w:pPr>
      <w:numPr>
        <w:ilvl w:val="1"/>
        <w:numId w:val="2"/>
      </w:numPr>
      <w:tabs>
        <w:tab w:val="left" w:pos="360"/>
        <w:tab w:val="left" w:pos="1200"/>
      </w:tabs>
    </w:pPr>
    <w:rPr>
      <w:b w:val="0"/>
    </w:rPr>
  </w:style>
  <w:style w:type="paragraph" w:customStyle="1" w:styleId="87">
    <w:name w:val="引言一级条标题"/>
    <w:basedOn w:val="1"/>
    <w:next w:val="15"/>
    <w:qFormat/>
    <w:uiPriority w:val="0"/>
    <w:pPr>
      <w:widowControl/>
      <w:numPr>
        <w:ilvl w:val="0"/>
        <w:numId w:val="3"/>
      </w:numPr>
    </w:pPr>
    <w:rPr>
      <w:rFonts w:eastAsia="黑体"/>
      <w:b/>
      <w:szCs w:val="20"/>
    </w:rPr>
  </w:style>
  <w:style w:type="paragraph" w:customStyle="1" w:styleId="88">
    <w:name w:val="Body Text Indent1"/>
    <w:basedOn w:val="1"/>
    <w:qFormat/>
    <w:uiPriority w:val="0"/>
    <w:pPr>
      <w:ind w:firstLine="420" w:firstLineChars="0"/>
    </w:pPr>
    <w:rPr>
      <w:rFonts w:ascii="宋体" w:hAnsi="宋体"/>
      <w:color w:val="000000"/>
    </w:rPr>
  </w:style>
  <w:style w:type="paragraph" w:customStyle="1" w:styleId="89">
    <w:name w:val="标题 5（有编号）（绿盟科技）"/>
    <w:basedOn w:val="1"/>
    <w:next w:val="90"/>
    <w:qFormat/>
    <w:uiPriority w:val="0"/>
    <w:pPr>
      <w:keepNext/>
      <w:keepLines/>
      <w:numPr>
        <w:ilvl w:val="4"/>
        <w:numId w:val="4"/>
      </w:numPr>
      <w:spacing w:before="280" w:after="156" w:line="377" w:lineRule="auto"/>
      <w:jc w:val="left"/>
      <w:outlineLvl w:val="4"/>
    </w:pPr>
    <w:rPr>
      <w:rFonts w:ascii="Arial" w:hAnsi="Arial" w:eastAsia="黑体" w:cs="Times New Roman"/>
      <w:b/>
      <w:kern w:val="0"/>
      <w:sz w:val="24"/>
      <w:szCs w:val="28"/>
    </w:rPr>
  </w:style>
  <w:style w:type="paragraph" w:customStyle="1" w:styleId="90">
    <w:name w:val="正文（绿盟科技）"/>
    <w:next w:val="89"/>
    <w:qFormat/>
    <w:uiPriority w:val="0"/>
    <w:pPr>
      <w:spacing w:line="300" w:lineRule="auto"/>
    </w:pPr>
    <w:rPr>
      <w:rFonts w:ascii="Arial" w:hAnsi="Arial" w:eastAsia="宋体" w:cs="黑体"/>
      <w:sz w:val="21"/>
      <w:szCs w:val="21"/>
      <w:lang w:val="en-US" w:eastAsia="zh-CN" w:bidi="ar-SA"/>
    </w:rPr>
  </w:style>
  <w:style w:type="character" w:customStyle="1" w:styleId="91">
    <w:name w:val="c-gap-right2"/>
    <w:basedOn w:val="42"/>
    <w:qFormat/>
    <w:uiPriority w:val="0"/>
    <w:rPr>
      <w:rFonts w:ascii="Times New Roman" w:hAnsi="Times New Roman" w:eastAsia="宋体" w:cs="Times New Roman"/>
    </w:rPr>
  </w:style>
  <w:style w:type="character" w:customStyle="1" w:styleId="92">
    <w:name w:val="标题4 Char Char"/>
    <w:link w:val="93"/>
    <w:qFormat/>
    <w:uiPriority w:val="0"/>
    <w:rPr>
      <w:rFonts w:ascii="Arial" w:hAnsi="Arial" w:eastAsia="宋体" w:cs="Times New Roman"/>
      <w:b/>
      <w:bCs/>
      <w:sz w:val="24"/>
      <w:szCs w:val="32"/>
    </w:rPr>
  </w:style>
  <w:style w:type="paragraph" w:customStyle="1" w:styleId="93">
    <w:name w:val="标题4"/>
    <w:basedOn w:val="3"/>
    <w:next w:val="18"/>
    <w:link w:val="92"/>
    <w:qFormat/>
    <w:uiPriority w:val="0"/>
    <w:pPr>
      <w:numPr>
        <w:ilvl w:val="0"/>
        <w:numId w:val="0"/>
      </w:numPr>
      <w:tabs>
        <w:tab w:val="clear" w:pos="425"/>
        <w:tab w:val="clear" w:pos="720"/>
      </w:tabs>
      <w:snapToGrid/>
      <w:spacing w:before="260" w:after="260" w:line="413" w:lineRule="auto"/>
    </w:pPr>
    <w:rPr>
      <w:rFonts w:ascii="Arial" w:hAnsi="Arial" w:eastAsia="宋体" w:cs="Times New Roman"/>
      <w:b/>
      <w:bCs/>
      <w:kern w:val="0"/>
      <w:sz w:val="24"/>
      <w:szCs w:val="32"/>
    </w:rPr>
  </w:style>
  <w:style w:type="character" w:customStyle="1" w:styleId="94">
    <w:name w:val="无间隔 Char1"/>
    <w:link w:val="95"/>
    <w:qFormat/>
    <w:uiPriority w:val="0"/>
    <w:rPr>
      <w:rFonts w:ascii="Times New Roman" w:hAnsi="Times New Roman" w:eastAsia="宋体" w:cs="Times New Roman"/>
      <w:kern w:val="2"/>
      <w:sz w:val="21"/>
      <w:szCs w:val="24"/>
      <w:lang w:val="en-US" w:eastAsia="zh-CN" w:bidi="ar-SA"/>
    </w:rPr>
  </w:style>
  <w:style w:type="paragraph" w:styleId="95">
    <w:name w:val="No Spacing"/>
    <w:link w:val="9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6">
    <w:name w:val="纯文本 Char1"/>
    <w:qFormat/>
    <w:uiPriority w:val="0"/>
    <w:rPr>
      <w:rFonts w:ascii="宋体" w:hAnsi="Courier New" w:eastAsia="宋体" w:cs="Courier New"/>
      <w:sz w:val="21"/>
      <w:szCs w:val="21"/>
    </w:rPr>
  </w:style>
  <w:style w:type="character" w:customStyle="1" w:styleId="97">
    <w:name w:val="纯文本 Char"/>
    <w:qFormat/>
    <w:uiPriority w:val="0"/>
    <w:rPr>
      <w:rFonts w:ascii="宋体" w:hAnsi="Courier New" w:eastAsia="宋体" w:cs="Courier New"/>
      <w:szCs w:val="21"/>
    </w:rPr>
  </w:style>
  <w:style w:type="character" w:customStyle="1" w:styleId="98">
    <w:name w:val="Table Text Char"/>
    <w:qFormat/>
    <w:uiPriority w:val="0"/>
    <w:rPr>
      <w:rFonts w:ascii="Arial" w:hAnsi="Arial" w:eastAsia="宋体" w:cs="Times New Roman"/>
      <w:sz w:val="18"/>
      <w:lang w:val="en-US" w:eastAsia="zh-CN" w:bidi="ar-SA"/>
    </w:rPr>
  </w:style>
  <w:style w:type="character" w:customStyle="1" w:styleId="99">
    <w:name w:val="无间隔 Char"/>
    <w:link w:val="100"/>
    <w:qFormat/>
    <w:uiPriority w:val="0"/>
    <w:rPr>
      <w:rFonts w:ascii="Times New Roman" w:hAnsi="Times New Roman" w:eastAsia="宋体" w:cs="Times New Roman"/>
      <w:kern w:val="2"/>
      <w:sz w:val="21"/>
      <w:szCs w:val="24"/>
      <w:lang w:val="en-US" w:eastAsia="zh-CN" w:bidi="ar-SA"/>
    </w:rPr>
  </w:style>
  <w:style w:type="paragraph" w:customStyle="1" w:styleId="100">
    <w:name w:val="_Style 32"/>
    <w:link w:val="9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textcontents"/>
    <w:qFormat/>
    <w:uiPriority w:val="0"/>
    <w:rPr>
      <w:rFonts w:ascii="Times New Roman" w:hAnsi="Times New Roman" w:eastAsia="宋体" w:cs="Times New Roman"/>
    </w:rPr>
  </w:style>
  <w:style w:type="character" w:customStyle="1" w:styleId="102">
    <w:name w:val="apple-converted-space"/>
    <w:basedOn w:val="42"/>
    <w:qFormat/>
    <w:uiPriority w:val="0"/>
    <w:rPr>
      <w:rFonts w:ascii="Times New Roman" w:hAnsi="Times New Roman" w:eastAsia="宋体" w:cs="Times New Roman"/>
    </w:rPr>
  </w:style>
  <w:style w:type="character" w:customStyle="1" w:styleId="103">
    <w:name w:val="页眉 Char"/>
    <w:qFormat/>
    <w:uiPriority w:val="0"/>
    <w:rPr>
      <w:rFonts w:ascii="Times New Roman" w:hAnsi="Times New Roman" w:eastAsia="宋体" w:cs="Times New Roman"/>
      <w:lang w:eastAsia="zh-CN"/>
    </w:rPr>
  </w:style>
  <w:style w:type="character" w:customStyle="1" w:styleId="104">
    <w:name w:val="标题 Char1"/>
    <w:qFormat/>
    <w:uiPriority w:val="0"/>
    <w:rPr>
      <w:rFonts w:ascii="Calibri Light" w:hAnsi="Calibri Light" w:eastAsia="宋体" w:cs="Times New Roman"/>
      <w:b/>
      <w:bCs/>
      <w:sz w:val="32"/>
      <w:szCs w:val="32"/>
    </w:rPr>
  </w:style>
  <w:style w:type="character" w:customStyle="1" w:styleId="105">
    <w:name w:val="三级条标题 Char Char"/>
    <w:link w:val="106"/>
    <w:qFormat/>
    <w:uiPriority w:val="0"/>
    <w:rPr>
      <w:rFonts w:ascii="黑体" w:hAnsi="Times New Roman" w:eastAsia="黑体" w:cs="Times New Roman"/>
      <w:sz w:val="21"/>
    </w:rPr>
  </w:style>
  <w:style w:type="paragraph" w:customStyle="1" w:styleId="106">
    <w:name w:val="三级条标题"/>
    <w:basedOn w:val="107"/>
    <w:next w:val="15"/>
    <w:link w:val="105"/>
    <w:qFormat/>
    <w:uiPriority w:val="0"/>
    <w:pPr>
      <w:tabs>
        <w:tab w:val="left" w:pos="720"/>
        <w:tab w:val="left" w:pos="992"/>
      </w:tabs>
      <w:ind w:left="992" w:hanging="992"/>
      <w:outlineLvl w:val="4"/>
    </w:pPr>
    <w:rPr>
      <w:rFonts w:ascii="Times New Roman" w:hAnsi="Times New Roman" w:eastAsia="宋体" w:cs="Times New Roman"/>
    </w:rPr>
  </w:style>
  <w:style w:type="paragraph" w:customStyle="1" w:styleId="107">
    <w:name w:val="二级条标题"/>
    <w:basedOn w:val="13"/>
    <w:next w:val="15"/>
    <w:link w:val="108"/>
    <w:qFormat/>
    <w:uiPriority w:val="0"/>
    <w:pPr>
      <w:ind w:left="567" w:hanging="567"/>
      <w:outlineLvl w:val="3"/>
    </w:pPr>
    <w:rPr>
      <w:rFonts w:ascii="Times New Roman" w:hAnsi="Times New Roman" w:eastAsia="宋体" w:cs="Times New Roman"/>
    </w:rPr>
  </w:style>
  <w:style w:type="character" w:customStyle="1" w:styleId="108">
    <w:name w:val="二级条标题 Char Char"/>
    <w:link w:val="107"/>
    <w:qFormat/>
    <w:uiPriority w:val="0"/>
    <w:rPr>
      <w:rFonts w:ascii="黑体" w:hAnsi="Times New Roman" w:eastAsia="黑体" w:cs="Times New Roman"/>
      <w:sz w:val="21"/>
    </w:rPr>
  </w:style>
  <w:style w:type="character" w:customStyle="1" w:styleId="109">
    <w:name w:val="Table Text Char Char Char"/>
    <w:qFormat/>
    <w:uiPriority w:val="0"/>
    <w:rPr>
      <w:rFonts w:ascii="Arial" w:hAnsi="Arial" w:eastAsia="宋体" w:cs="Arial"/>
      <w:sz w:val="18"/>
      <w:szCs w:val="18"/>
      <w:lang w:val="en-US" w:eastAsia="zh-CN" w:bidi="ar-SA"/>
    </w:rPr>
  </w:style>
  <w:style w:type="character" w:customStyle="1" w:styleId="110">
    <w:name w:val="前言 Char"/>
    <w:link w:val="111"/>
    <w:qFormat/>
    <w:uiPriority w:val="0"/>
    <w:rPr>
      <w:rFonts w:ascii="宋体" w:hAnsi="宋体" w:eastAsia="宋体" w:cs="Times New Roman"/>
      <w:b/>
      <w:bCs/>
      <w:color w:val="000000"/>
      <w:kern w:val="44"/>
      <w:sz w:val="32"/>
      <w:szCs w:val="32"/>
    </w:rPr>
  </w:style>
  <w:style w:type="paragraph" w:customStyle="1" w:styleId="111">
    <w:name w:val="前言"/>
    <w:basedOn w:val="2"/>
    <w:link w:val="110"/>
    <w:qFormat/>
    <w:uiPriority w:val="0"/>
    <w:pPr>
      <w:widowControl/>
      <w:numPr>
        <w:ilvl w:val="0"/>
        <w:numId w:val="0"/>
      </w:numPr>
      <w:tabs>
        <w:tab w:val="clear" w:pos="425"/>
      </w:tabs>
      <w:snapToGrid/>
      <w:spacing w:before="240" w:after="240" w:line="360" w:lineRule="auto"/>
      <w:jc w:val="left"/>
    </w:pPr>
    <w:rPr>
      <w:rFonts w:ascii="Times New Roman" w:hAnsi="宋体" w:eastAsia="宋体" w:cs="Times New Roman"/>
      <w:b/>
      <w:bCs/>
      <w:color w:val="000000"/>
      <w:kern w:val="44"/>
      <w:sz w:val="32"/>
      <w:szCs w:val="32"/>
    </w:rPr>
  </w:style>
  <w:style w:type="character" w:customStyle="1" w:styleId="112">
    <w:name w:val="批注主题 Char"/>
    <w:qFormat/>
    <w:uiPriority w:val="0"/>
    <w:rPr>
      <w:rFonts w:ascii="Times New Roman" w:hAnsi="Times New Roman" w:eastAsia="宋体" w:cs="Times New Roman"/>
      <w:b/>
      <w:bCs/>
      <w:szCs w:val="24"/>
    </w:rPr>
  </w:style>
  <w:style w:type="character" w:customStyle="1" w:styleId="113">
    <w:name w:val="tabg"/>
    <w:qFormat/>
    <w:uiPriority w:val="0"/>
    <w:rPr>
      <w:rFonts w:ascii="微软雅黑" w:hAnsi="微软雅黑" w:eastAsia="微软雅黑" w:cs="微软雅黑"/>
      <w:color w:val="FFFFFF"/>
      <w:sz w:val="27"/>
      <w:szCs w:val="27"/>
    </w:rPr>
  </w:style>
  <w:style w:type="character" w:customStyle="1" w:styleId="114">
    <w:name w:val="font111"/>
    <w:qFormat/>
    <w:uiPriority w:val="0"/>
    <w:rPr>
      <w:rFonts w:hint="eastAsia" w:ascii="宋体" w:hAnsi="宋体" w:eastAsia="宋体" w:cs="宋体"/>
      <w:color w:val="000000"/>
      <w:sz w:val="16"/>
      <w:szCs w:val="16"/>
      <w:u w:val="none"/>
    </w:rPr>
  </w:style>
  <w:style w:type="character" w:customStyle="1" w:styleId="115">
    <w:name w:val="批注文字 Char"/>
    <w:qFormat/>
    <w:uiPriority w:val="0"/>
    <w:rPr>
      <w:rFonts w:ascii="Times New Roman" w:hAnsi="Times New Roman" w:eastAsia="宋体" w:cs="Times New Roman"/>
      <w:szCs w:val="24"/>
    </w:rPr>
  </w:style>
  <w:style w:type="character" w:customStyle="1" w:styleId="116">
    <w:name w:val="页脚 Char"/>
    <w:qFormat/>
    <w:uiPriority w:val="0"/>
    <w:rPr>
      <w:rFonts w:ascii="Times New Roman" w:hAnsi="Times New Roman" w:eastAsia="宋体" w:cs="Times New Roman"/>
      <w:lang w:eastAsia="zh-CN"/>
    </w:rPr>
  </w:style>
  <w:style w:type="paragraph" w:customStyle="1" w:styleId="117">
    <w:name w:val="_Style 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119">
    <w:name w:val="_Style 40"/>
    <w:basedOn w:val="2"/>
    <w:next w:val="1"/>
    <w:qFormat/>
    <w:uiPriority w:val="0"/>
    <w:pPr>
      <w:widowControl/>
      <w:numPr>
        <w:ilvl w:val="0"/>
        <w:numId w:val="0"/>
      </w:numPr>
      <w:snapToGrid/>
      <w:spacing w:before="240" w:line="259" w:lineRule="auto"/>
      <w:jc w:val="left"/>
      <w:outlineLvl w:val="9"/>
    </w:pPr>
    <w:rPr>
      <w:rFonts w:ascii="Calibri Light" w:hAnsi="Calibri Light" w:eastAsia="宋体" w:cs="Times New Roman"/>
      <w:color w:val="2E74B5"/>
      <w:kern w:val="0"/>
      <w:sz w:val="32"/>
      <w:szCs w:val="32"/>
    </w:rPr>
  </w:style>
  <w:style w:type="paragraph" w:customStyle="1" w:styleId="120">
    <w:name w:val="表格内容"/>
    <w:qFormat/>
    <w:uiPriority w:val="0"/>
    <w:rPr>
      <w:rFonts w:ascii="宋体" w:hAnsi="Times New Roman" w:eastAsia="宋体" w:cs="Times New Roman"/>
      <w:sz w:val="21"/>
      <w:szCs w:val="21"/>
      <w:lang w:val="en-US" w:eastAsia="zh-CN" w:bidi="ar-SA"/>
    </w:rPr>
  </w:style>
  <w:style w:type="paragraph" w:customStyle="1" w:styleId="121">
    <w:name w:val="标准中文版式_正文"/>
    <w:basedOn w:val="1"/>
    <w:qFormat/>
    <w:uiPriority w:val="0"/>
    <w:pPr>
      <w:spacing w:before="30" w:beforeLines="0" w:line="360" w:lineRule="auto"/>
      <w:ind w:firstLineChars="200"/>
    </w:pPr>
    <w:rPr>
      <w:rFonts w:ascii="Arial" w:hAnsi="Arial"/>
      <w:sz w:val="24"/>
    </w:rPr>
  </w:style>
  <w:style w:type="paragraph" w:customStyle="1" w:styleId="122">
    <w:name w:val="_Style 115"/>
    <w:basedOn w:val="2"/>
    <w:next w:val="1"/>
    <w:qFormat/>
    <w:uiPriority w:val="0"/>
    <w:pPr>
      <w:widowControl/>
      <w:numPr>
        <w:ilvl w:val="0"/>
        <w:numId w:val="0"/>
      </w:numPr>
      <w:tabs>
        <w:tab w:val="clear" w:pos="425"/>
      </w:tabs>
      <w:snapToGrid/>
      <w:spacing w:before="480" w:line="276" w:lineRule="auto"/>
      <w:jc w:val="left"/>
      <w:outlineLvl w:val="9"/>
    </w:pPr>
    <w:rPr>
      <w:rFonts w:ascii="Cambria" w:hAnsi="Cambria" w:eastAsia="宋体" w:cs="Times New Roman"/>
      <w:b/>
      <w:bCs/>
      <w:color w:val="365F91"/>
      <w:kern w:val="0"/>
      <w:szCs w:val="28"/>
      <w:lang w:val="en-US" w:eastAsia="zh-CN"/>
    </w:rPr>
  </w:style>
  <w:style w:type="paragraph" w:customStyle="1" w:styleId="123">
    <w:name w:val="xl52"/>
    <w:basedOn w:val="1"/>
    <w:qFormat/>
    <w:uiPriority w:val="0"/>
    <w:pPr>
      <w:widowControl/>
      <w:spacing w:before="100" w:beforeAutospacing="1" w:after="100" w:afterAutospacing="1"/>
      <w:jc w:val="center"/>
      <w:textAlignment w:val="top"/>
    </w:pPr>
    <w:rPr>
      <w:rFonts w:ascii="Times New Roman" w:hAnsi="Times New Roman" w:eastAsia="宋体" w:cs="Times New Roman"/>
      <w:kern w:val="0"/>
      <w:sz w:val="20"/>
      <w:szCs w:val="20"/>
    </w:rPr>
  </w:style>
  <w:style w:type="paragraph" w:customStyle="1" w:styleId="124">
    <w:name w:val="_Style 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6">
    <w:name w:val="列出段落111"/>
    <w:basedOn w:val="1"/>
    <w:qFormat/>
    <w:uiPriority w:val="0"/>
    <w:pPr>
      <w:ind w:firstLine="420" w:firstLineChars="200"/>
    </w:pPr>
    <w:rPr>
      <w:rFonts w:ascii="Calibri" w:hAnsi="Calibri" w:eastAsia="宋体" w:cs="Times New Roman"/>
      <w:sz w:val="28"/>
    </w:rPr>
  </w:style>
  <w:style w:type="paragraph" w:customStyle="1" w:styleId="127">
    <w:name w:val="Table Text Char Char"/>
    <w:qFormat/>
    <w:uiPriority w:val="0"/>
    <w:pPr>
      <w:snapToGrid w:val="0"/>
      <w:spacing w:before="80" w:after="80"/>
    </w:pPr>
    <w:rPr>
      <w:rFonts w:ascii="Arial" w:hAnsi="Arial" w:eastAsia="宋体" w:cs="Arial"/>
      <w:sz w:val="18"/>
      <w:szCs w:val="18"/>
      <w:lang w:val="en-US" w:eastAsia="zh-CN" w:bidi="ar-SA"/>
    </w:rPr>
  </w:style>
  <w:style w:type="paragraph" w:customStyle="1" w:styleId="128">
    <w:name w:val="正文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129">
    <w:name w:val="Normal_2"/>
    <w:qFormat/>
    <w:uiPriority w:val="0"/>
    <w:rPr>
      <w:rFonts w:ascii="Times New Roman" w:hAnsi="Times New Roman" w:eastAsia="Times New Roman" w:cs="Times New Roman"/>
      <w:sz w:val="24"/>
      <w:szCs w:val="24"/>
    </w:rPr>
  </w:style>
  <w:style w:type="paragraph" w:customStyle="1" w:styleId="130">
    <w:name w:val="列出段落1"/>
    <w:basedOn w:val="1"/>
    <w:qFormat/>
    <w:uiPriority w:val="0"/>
    <w:pPr>
      <w:ind w:firstLine="420" w:firstLineChars="200"/>
    </w:pPr>
    <w:rPr>
      <w:rFonts w:ascii="Calibri" w:hAnsi="Calibri" w:eastAsia="宋体" w:cs="黑体"/>
      <w:szCs w:val="22"/>
    </w:rPr>
  </w:style>
  <w:style w:type="paragraph" w:customStyle="1" w:styleId="131">
    <w:name w:val="样式1"/>
    <w:basedOn w:val="1"/>
    <w:qFormat/>
    <w:uiPriority w:val="0"/>
    <w:rPr>
      <w:rFonts w:ascii="Times New Roman" w:hAnsi="Times New Roman" w:eastAsia="仿宋_GB2312" w:cs="Times New Roman"/>
      <w:kern w:val="0"/>
      <w:sz w:val="32"/>
      <w:szCs w:val="20"/>
    </w:rPr>
  </w:style>
  <w:style w:type="paragraph" w:customStyle="1" w:styleId="132">
    <w:name w:val="表内文字  居左"/>
    <w:basedOn w:val="1"/>
    <w:qFormat/>
    <w:uiPriority w:val="0"/>
    <w:pPr>
      <w:jc w:val="left"/>
    </w:pPr>
    <w:rPr>
      <w:rFonts w:ascii="Times New Roman" w:hAnsi="Times New Roman" w:eastAsia="宋体" w:cs="Times New Roman"/>
      <w:snapToGrid w:val="0"/>
      <w:szCs w:val="20"/>
    </w:rPr>
  </w:style>
  <w:style w:type="paragraph" w:customStyle="1" w:styleId="133">
    <w:name w:val="Table Text"/>
    <w:basedOn w:val="1"/>
    <w:qFormat/>
    <w:uiPriority w:val="0"/>
    <w:pPr>
      <w:widowControl/>
      <w:tabs>
        <w:tab w:val="decimal" w:pos="0"/>
      </w:tabs>
      <w:autoSpaceDE w:val="0"/>
      <w:autoSpaceDN w:val="0"/>
      <w:adjustRightInd w:val="0"/>
      <w:spacing w:before="80" w:after="80"/>
    </w:pPr>
    <w:rPr>
      <w:rFonts w:ascii="Arial" w:hAnsi="Arial" w:eastAsia="宋体" w:cs="Times New Roman"/>
      <w:kern w:val="0"/>
      <w:sz w:val="18"/>
      <w:szCs w:val="20"/>
    </w:rPr>
  </w:style>
  <w:style w:type="paragraph" w:customStyle="1" w:styleId="134">
    <w:name w:val="_Style 29"/>
    <w:basedOn w:val="1"/>
    <w:qFormat/>
    <w:uiPriority w:val="0"/>
    <w:pPr>
      <w:ind w:firstLine="420" w:firstLineChars="200"/>
    </w:pPr>
    <w:rPr>
      <w:rFonts w:ascii="Times New Roman" w:hAnsi="Times New Roman" w:eastAsia="宋体" w:cs="Times New Roman"/>
    </w:rPr>
  </w:style>
  <w:style w:type="paragraph" w:customStyle="1" w:styleId="135">
    <w:name w:val="p16"/>
    <w:basedOn w:val="1"/>
    <w:qFormat/>
    <w:uiPriority w:val="0"/>
    <w:pPr>
      <w:widowControl/>
    </w:pPr>
    <w:rPr>
      <w:rFonts w:ascii="宋体" w:hAnsi="宋体" w:eastAsia="宋体" w:cs="宋体"/>
      <w:kern w:val="0"/>
      <w:szCs w:val="21"/>
    </w:rPr>
  </w:style>
  <w:style w:type="paragraph" w:customStyle="1" w:styleId="136">
    <w:name w:val="正文图标题"/>
    <w:next w:val="15"/>
    <w:qFormat/>
    <w:uiPriority w:val="0"/>
    <w:pPr>
      <w:ind w:left="360" w:hanging="360"/>
      <w:jc w:val="center"/>
    </w:pPr>
    <w:rPr>
      <w:rFonts w:ascii="黑体" w:hAnsi="Times New Roman" w:eastAsia="黑体" w:cs="Times New Roman"/>
      <w:sz w:val="21"/>
      <w:lang w:val="en-US" w:eastAsia="zh-CN" w:bidi="ar-SA"/>
    </w:rPr>
  </w:style>
  <w:style w:type="paragraph" w:customStyle="1" w:styleId="137">
    <w:name w:val="正文表标题"/>
    <w:next w:val="15"/>
    <w:qFormat/>
    <w:uiPriority w:val="0"/>
    <w:pPr>
      <w:ind w:left="360" w:hanging="360"/>
      <w:jc w:val="center"/>
    </w:pPr>
    <w:rPr>
      <w:rFonts w:ascii="黑体" w:hAnsi="Times New Roman" w:eastAsia="黑体" w:cs="Times New Roman"/>
      <w:sz w:val="21"/>
      <w:lang w:val="en-US" w:eastAsia="zh-CN" w:bidi="ar-SA"/>
    </w:rPr>
  </w:style>
  <w:style w:type="paragraph" w:customStyle="1" w:styleId="138">
    <w:name w:val="Char1"/>
    <w:basedOn w:val="10"/>
    <w:qFormat/>
    <w:uiPriority w:val="0"/>
    <w:pPr>
      <w:shd w:val="clear" w:color="auto" w:fill="000080"/>
    </w:pPr>
    <w:rPr>
      <w:rFonts w:ascii="Times New Roman" w:hAnsi="Times New Roman" w:eastAsia="宋体" w:cs="Times New Roman"/>
      <w:sz w:val="21"/>
      <w:szCs w:val="20"/>
      <w:shd w:val="clear" w:color="auto" w:fill="000080"/>
    </w:rPr>
  </w:style>
  <w:style w:type="paragraph" w:customStyle="1" w:styleId="139">
    <w:name w:val="目次、标准名称标题"/>
    <w:basedOn w:val="1"/>
    <w:next w:val="15"/>
    <w:qFormat/>
    <w:uiPriority w:val="0"/>
    <w:pPr>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styleId="140">
    <w:name w:val="List Paragraph"/>
    <w:basedOn w:val="1"/>
    <w:qFormat/>
    <w:uiPriority w:val="0"/>
    <w:pPr>
      <w:ind w:firstLine="420" w:firstLineChars="200"/>
    </w:pPr>
    <w:rPr>
      <w:rFonts w:ascii="Times New Roman" w:hAnsi="Times New Roman" w:eastAsia="宋体" w:cs="Times New Roman"/>
    </w:rPr>
  </w:style>
  <w:style w:type="paragraph" w:customStyle="1" w:styleId="141">
    <w:name w:val="表文1"/>
    <w:basedOn w:val="1"/>
    <w:qFormat/>
    <w:uiPriority w:val="0"/>
    <w:pPr>
      <w:autoSpaceDE w:val="0"/>
      <w:autoSpaceDN w:val="0"/>
      <w:adjustRightInd w:val="0"/>
      <w:spacing w:before="60" w:after="60"/>
      <w:jc w:val="center"/>
    </w:pPr>
    <w:rPr>
      <w:rFonts w:ascii="Arial" w:hAnsi="Arial" w:eastAsia="宋体" w:cs="Times New Roman"/>
      <w:kern w:val="0"/>
      <w:sz w:val="24"/>
      <w:szCs w:val="20"/>
    </w:rPr>
  </w:style>
  <w:style w:type="paragraph" w:customStyle="1" w:styleId="142">
    <w:name w:val="_Style 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列出段落11"/>
    <w:basedOn w:val="1"/>
    <w:qFormat/>
    <w:uiPriority w:val="0"/>
    <w:pPr>
      <w:ind w:firstLine="420" w:firstLineChars="200"/>
    </w:pPr>
    <w:rPr>
      <w:rFonts w:ascii="Times New Roman" w:hAnsi="Times New Roman" w:eastAsia="宋体" w:cs="Times New Roman"/>
    </w:rPr>
  </w:style>
  <w:style w:type="paragraph" w:customStyle="1" w:styleId="144">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Body text|1"/>
    <w:basedOn w:val="1"/>
    <w:qFormat/>
    <w:uiPriority w:val="0"/>
    <w:pPr>
      <w:widowControl w:val="0"/>
      <w:shd w:val="clear" w:color="auto" w:fill="auto"/>
      <w:spacing w:line="334" w:lineRule="auto"/>
    </w:pPr>
    <w:rPr>
      <w:rFonts w:ascii="宋体" w:hAnsi="宋体" w:eastAsia="宋体" w:cs="宋体"/>
      <w:u w:val="none"/>
      <w:shd w:val="clear" w:color="auto" w:fill="auto"/>
      <w:lang w:val="zh-TW" w:eastAsia="zh-TW" w:bidi="zh-TW"/>
    </w:rPr>
  </w:style>
  <w:style w:type="paragraph" w:customStyle="1" w:styleId="146">
    <w:name w:val="Heading 2"/>
    <w:basedOn w:val="147"/>
    <w:next w:val="147"/>
    <w:qFormat/>
    <w:uiPriority w:val="0"/>
    <w:pPr>
      <w:keepNext/>
      <w:keepLines/>
      <w:spacing w:before="260" w:after="260" w:line="412" w:lineRule="auto"/>
      <w:outlineLvl w:val="1"/>
    </w:pPr>
    <w:rPr>
      <w:rFonts w:ascii="Arial" w:hAnsi="Arial" w:eastAsia="黑体"/>
      <w:b/>
      <w:sz w:val="32"/>
      <w:szCs w:val="20"/>
    </w:rPr>
  </w:style>
  <w:style w:type="paragraph" w:customStyle="1" w:styleId="147">
    <w:name w:val="Normal_0"/>
    <w:qFormat/>
    <w:uiPriority w:val="0"/>
    <w:pPr>
      <w:widowControl w:val="0"/>
      <w:jc w:val="both"/>
    </w:pPr>
    <w:rPr>
      <w:rFonts w:ascii="Calibri" w:hAnsi="Calibri" w:eastAsia="宋体" w:cs="Times New Roman"/>
    </w:rPr>
  </w:style>
  <w:style w:type="paragraph" w:customStyle="1" w:styleId="148">
    <w:name w:val="Heading 3"/>
    <w:basedOn w:val="147"/>
    <w:next w:val="147"/>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49">
    <w:name w:val="标题 3_0"/>
    <w:basedOn w:val="128"/>
    <w:next w:val="128"/>
    <w:qFormat/>
    <w:uiPriority w:val="0"/>
    <w:pPr>
      <w:keepNext/>
      <w:keepLines/>
      <w:spacing w:before="260" w:after="260" w:line="412" w:lineRule="auto"/>
      <w:ind w:firstLine="49" w:firstLineChars="49"/>
      <w:outlineLvl w:val="2"/>
    </w:pPr>
    <w:rPr>
      <w:rFonts w:ascii="黑体" w:hAnsi="Calibri" w:eastAsia="黑体"/>
      <w:sz w:val="28"/>
      <w:szCs w:val="20"/>
    </w:rPr>
  </w:style>
  <w:style w:type="paragraph" w:customStyle="1" w:styleId="150">
    <w:name w:val="目录 5_0"/>
    <w:basedOn w:val="128"/>
    <w:next w:val="128"/>
    <w:qFormat/>
    <w:uiPriority w:val="39"/>
    <w:pPr>
      <w:ind w:left="800" w:leftChars="800"/>
    </w:pPr>
  </w:style>
  <w:style w:type="paragraph" w:customStyle="1" w:styleId="151">
    <w:name w:val="Heading 3_1_0"/>
    <w:basedOn w:val="152"/>
    <w:next w:val="152"/>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52">
    <w:name w:val="Normal_16"/>
    <w:qFormat/>
    <w:uiPriority w:val="0"/>
    <w:pPr>
      <w:widowControl w:val="0"/>
      <w:jc w:val="both"/>
    </w:pPr>
    <w:rPr>
      <w:rFonts w:ascii="Calibri" w:hAnsi="Calibri" w:eastAsia="宋体" w:cs="Times New Roman"/>
    </w:rPr>
  </w:style>
  <w:style w:type="paragraph" w:customStyle="1" w:styleId="153">
    <w:name w:val="Normal_17"/>
    <w:qFormat/>
    <w:uiPriority w:val="0"/>
    <w:rPr>
      <w:rFonts w:ascii="Times New Roman" w:hAnsi="Times New Roman" w:eastAsia="Times New Roman" w:cs="Times New Roman"/>
      <w:sz w:val="24"/>
      <w:szCs w:val="24"/>
    </w:rPr>
  </w:style>
  <w:style w:type="paragraph" w:customStyle="1" w:styleId="154">
    <w:name w:val="Heading 3_2"/>
    <w:basedOn w:val="155"/>
    <w:next w:val="155"/>
    <w:qFormat/>
    <w:uiPriority w:val="0"/>
    <w:pPr>
      <w:keepNext/>
      <w:keepLines/>
      <w:spacing w:before="260" w:after="260" w:line="412" w:lineRule="auto"/>
      <w:ind w:firstLine="49" w:firstLineChars="49"/>
      <w:outlineLvl w:val="2"/>
    </w:pPr>
    <w:rPr>
      <w:rFonts w:ascii="黑体" w:eastAsia="黑体"/>
      <w:sz w:val="28"/>
      <w:szCs w:val="20"/>
    </w:rPr>
  </w:style>
  <w:style w:type="paragraph" w:customStyle="1" w:styleId="155">
    <w:name w:val="Normal_18"/>
    <w:qFormat/>
    <w:uiPriority w:val="0"/>
    <w:pPr>
      <w:widowControl w:val="0"/>
      <w:jc w:val="both"/>
    </w:pPr>
    <w:rPr>
      <w:rFonts w:ascii="Calibri" w:hAnsi="Calibri" w:eastAsia="宋体" w:cs="Times New Roman"/>
    </w:rPr>
  </w:style>
  <w:style w:type="paragraph" w:customStyle="1" w:styleId="156">
    <w:name w:val="TOC 标题1"/>
    <w:basedOn w:val="2"/>
    <w:next w:val="1"/>
    <w:unhideWhenUsed/>
    <w:qFormat/>
    <w:uiPriority w:val="0"/>
    <w:pPr>
      <w:keepNext w:val="0"/>
      <w:keepLines w:val="0"/>
      <w:spacing w:before="480" w:after="0" w:line="276" w:lineRule="auto"/>
      <w:jc w:val="center"/>
      <w:outlineLvl w:val="9"/>
    </w:pPr>
    <w:rPr>
      <w:rFonts w:ascii="Cambria" w:hAnsi="Cambria"/>
      <w:color w:val="365F91"/>
      <w:kern w:val="0"/>
      <w:sz w:val="28"/>
      <w:szCs w:val="28"/>
    </w:rPr>
  </w:style>
  <w:style w:type="paragraph" w:customStyle="1" w:styleId="157">
    <w:name w:val="Style1"/>
    <w:basedOn w:val="1"/>
    <w:qFormat/>
    <w:uiPriority w:val="99"/>
    <w:pPr>
      <w:tabs>
        <w:tab w:val="left" w:pos="-720"/>
      </w:tabs>
      <w:spacing w:after="120"/>
    </w:pPr>
    <w:rPr>
      <w:spacing w:val="-3"/>
      <w:sz w:val="24"/>
      <w:lang w:val="en-AU" w:eastAsia="en-US"/>
    </w:rPr>
  </w:style>
  <w:style w:type="paragraph" w:customStyle="1" w:styleId="158">
    <w:name w:val="WPSOffice手动目录 1"/>
    <w:qFormat/>
    <w:uiPriority w:val="0"/>
    <w:pPr>
      <w:ind w:leftChars="0"/>
    </w:pPr>
    <w:rPr>
      <w:rFonts w:ascii="Times New Roman" w:hAnsi="Times New Roman" w:eastAsia="宋体" w:cs="Times New Roman"/>
      <w:sz w:val="20"/>
      <w:szCs w:val="20"/>
    </w:rPr>
  </w:style>
  <w:style w:type="paragraph" w:customStyle="1" w:styleId="159">
    <w:name w:val="WPSOffice手动目录 2"/>
    <w:qFormat/>
    <w:uiPriority w:val="0"/>
    <w:pPr>
      <w:ind w:leftChars="200"/>
    </w:pPr>
    <w:rPr>
      <w:rFonts w:ascii="Times New Roman" w:hAnsi="Times New Roman" w:eastAsia="宋体" w:cs="Times New Roman"/>
      <w:sz w:val="20"/>
      <w:szCs w:val="20"/>
    </w:rPr>
  </w:style>
  <w:style w:type="paragraph" w:customStyle="1" w:styleId="160">
    <w:name w:val="Other|1"/>
    <w:basedOn w:val="1"/>
    <w:qFormat/>
    <w:uiPriority w:val="0"/>
    <w:pPr>
      <w:widowControl w:val="0"/>
      <w:shd w:val="clear" w:color="auto" w:fill="auto"/>
    </w:pPr>
    <w:rPr>
      <w:sz w:val="26"/>
      <w:szCs w:val="26"/>
      <w:u w:val="none"/>
      <w:shd w:val="clear" w:color="auto" w:fill="auto"/>
      <w:lang w:val="zh-TW" w:eastAsia="zh-TW" w:bidi="zh-TW"/>
    </w:rPr>
  </w:style>
  <w:style w:type="character" w:customStyle="1" w:styleId="161">
    <w:name w:val="font41"/>
    <w:basedOn w:val="42"/>
    <w:qFormat/>
    <w:uiPriority w:val="0"/>
    <w:rPr>
      <w:rFonts w:ascii="Arial" w:hAnsi="Arial" w:cs="Arial"/>
      <w:color w:val="000000"/>
      <w:sz w:val="20"/>
      <w:szCs w:val="20"/>
      <w:u w:val="none"/>
    </w:rPr>
  </w:style>
  <w:style w:type="character" w:customStyle="1" w:styleId="162">
    <w:name w:val="font31"/>
    <w:basedOn w:val="42"/>
    <w:qFormat/>
    <w:uiPriority w:val="0"/>
    <w:rPr>
      <w:rFonts w:hint="eastAsia" w:ascii="宋体" w:hAnsi="宋体" w:eastAsia="宋体" w:cs="宋体"/>
      <w:color w:val="000000"/>
      <w:sz w:val="20"/>
      <w:szCs w:val="20"/>
      <w:u w:val="none"/>
    </w:rPr>
  </w:style>
  <w:style w:type="paragraph" w:customStyle="1" w:styleId="16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47416</Words>
  <Characters>52741</Characters>
  <Lines>223</Lines>
  <Paragraphs>63</Paragraphs>
  <TotalTime>20</TotalTime>
  <ScaleCrop>false</ScaleCrop>
  <LinksUpToDate>false</LinksUpToDate>
  <CharactersWithSpaces>56579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2018-11-08T06:53:00Z</dcterms:created>
  <dc:creator>李青</dc:creator>
  <cp:lastModifiedBy>Administrator</cp:lastModifiedBy>
  <cp:lastPrinted>2020-06-05T08:56:00Z</cp:lastPrinted>
  <dcterms:modified xsi:type="dcterms:W3CDTF">2024-09-19T10:32:23Z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6E6B5C39E78C46C1B0B5CCC3DF7B0E93</vt:lpwstr>
  </property>
</Properties>
</file>