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E7A74">
      <w:pPr>
        <w:adjustRightInd w:val="0"/>
        <w:spacing w:line="360" w:lineRule="auto"/>
        <w:jc w:val="both"/>
        <w:textAlignment w:val="baseline"/>
        <w:rPr>
          <w:rFonts w:ascii="宋体" w:hAnsi="宋体"/>
          <w:sz w:val="48"/>
          <w:szCs w:val="48"/>
        </w:rPr>
      </w:pPr>
    </w:p>
    <w:p w14:paraId="7DF82407">
      <w:pPr>
        <w:adjustRightInd w:val="0"/>
        <w:spacing w:line="360" w:lineRule="auto"/>
        <w:jc w:val="center"/>
        <w:textAlignment w:val="baseline"/>
        <w:rPr>
          <w:rFonts w:ascii="宋体" w:hAnsi="宋体"/>
          <w:sz w:val="32"/>
        </w:rPr>
      </w:pPr>
    </w:p>
    <w:p w14:paraId="6580B6B8">
      <w:pPr>
        <w:pStyle w:val="31"/>
        <w:spacing w:before="0" w:after="0" w:line="240" w:lineRule="auto"/>
        <w:rPr>
          <w:rFonts w:ascii="宋体" w:hAnsi="宋体"/>
          <w:sz w:val="96"/>
        </w:rPr>
      </w:pPr>
      <w:bookmarkStart w:id="0" w:name="_Toc449568588"/>
      <w:r>
        <w:rPr>
          <w:rFonts w:hint="eastAsia" w:ascii="宋体" w:hAnsi="宋体"/>
          <w:sz w:val="84"/>
          <w:szCs w:val="84"/>
        </w:rPr>
        <w:t>竞争性磋商文件</w:t>
      </w:r>
      <w:bookmarkEnd w:id="0"/>
    </w:p>
    <w:p w14:paraId="3194EF6F">
      <w:pPr>
        <w:pStyle w:val="55"/>
        <w:rPr>
          <w:rFonts w:ascii="宋体" w:hAnsi="宋体"/>
          <w:sz w:val="36"/>
          <w:szCs w:val="36"/>
        </w:rPr>
      </w:pPr>
    </w:p>
    <w:p w14:paraId="6C8C2985">
      <w:pPr>
        <w:rPr>
          <w:rFonts w:ascii="宋体" w:hAnsi="宋体"/>
          <w:sz w:val="36"/>
          <w:szCs w:val="36"/>
        </w:rPr>
      </w:pPr>
    </w:p>
    <w:p w14:paraId="527B98AC">
      <w:pPr>
        <w:pStyle w:val="55"/>
      </w:pPr>
    </w:p>
    <w:p w14:paraId="65608AD9">
      <w:pPr>
        <w:adjustRightInd w:val="0"/>
        <w:spacing w:line="360" w:lineRule="auto"/>
        <w:jc w:val="center"/>
        <w:textAlignment w:val="baseline"/>
        <w:rPr>
          <w:rFonts w:ascii="宋体" w:hAnsi="宋体"/>
          <w:sz w:val="36"/>
          <w:szCs w:val="36"/>
        </w:rPr>
      </w:pPr>
    </w:p>
    <w:p w14:paraId="219150BC">
      <w:pPr>
        <w:spacing w:line="480" w:lineRule="auto"/>
        <w:ind w:left="2887" w:leftChars="304" w:hanging="2249" w:hangingChars="700"/>
        <w:rPr>
          <w:rFonts w:hint="eastAsia" w:ascii="宋体" w:hAnsi="宋体" w:cs="Arial"/>
          <w:b/>
          <w:kern w:val="0"/>
          <w:sz w:val="32"/>
          <w:szCs w:val="32"/>
        </w:rPr>
      </w:pPr>
    </w:p>
    <w:p w14:paraId="318E743A">
      <w:pPr>
        <w:spacing w:line="480" w:lineRule="auto"/>
        <w:ind w:left="2887" w:leftChars="304" w:hanging="2249" w:hangingChars="700"/>
        <w:rPr>
          <w:rFonts w:hint="eastAsia" w:ascii="宋体" w:hAnsi="宋体" w:cs="Arial"/>
          <w:b/>
          <w:kern w:val="0"/>
          <w:sz w:val="32"/>
          <w:szCs w:val="32"/>
        </w:rPr>
      </w:pPr>
    </w:p>
    <w:p w14:paraId="08B4464A">
      <w:pPr>
        <w:spacing w:line="480" w:lineRule="auto"/>
        <w:ind w:left="2887" w:leftChars="304" w:hanging="2249" w:hangingChars="700"/>
        <w:rPr>
          <w:rFonts w:hint="eastAsia" w:ascii="宋体" w:hAnsi="宋体" w:eastAsia="宋体" w:cs="Arial"/>
          <w:b/>
          <w:kern w:val="0"/>
          <w:sz w:val="32"/>
          <w:szCs w:val="32"/>
          <w:lang w:eastAsia="zh-CN"/>
        </w:rPr>
      </w:pPr>
      <w:r>
        <w:rPr>
          <w:rFonts w:hint="eastAsia" w:ascii="宋体" w:hAnsi="宋体" w:cs="Arial"/>
          <w:b/>
          <w:kern w:val="0"/>
          <w:sz w:val="32"/>
          <w:szCs w:val="32"/>
        </w:rPr>
        <w:t>采购项目名称：</w:t>
      </w:r>
      <w:r>
        <w:rPr>
          <w:rFonts w:hint="eastAsia" w:ascii="宋体" w:hAnsi="宋体" w:cs="Arial"/>
          <w:b/>
          <w:kern w:val="0"/>
          <w:sz w:val="32"/>
          <w:szCs w:val="32"/>
          <w:lang w:eastAsia="zh-CN"/>
        </w:rPr>
        <w:t>全民健身场地器材补短板工程乡镇（街道）项目</w:t>
      </w:r>
    </w:p>
    <w:p w14:paraId="0E80C954">
      <w:pPr>
        <w:widowControl/>
        <w:adjustRightInd w:val="0"/>
        <w:snapToGrid w:val="0"/>
        <w:spacing w:line="480" w:lineRule="auto"/>
        <w:ind w:firstLine="643" w:firstLineChars="200"/>
        <w:jc w:val="left"/>
        <w:textAlignment w:val="baseline"/>
        <w:rPr>
          <w:rFonts w:hint="eastAsia" w:ascii="宋体" w:hAnsi="宋体" w:eastAsia="宋体" w:cs="Arial"/>
          <w:b/>
          <w:kern w:val="0"/>
          <w:sz w:val="32"/>
          <w:szCs w:val="32"/>
          <w:lang w:eastAsia="zh-CN"/>
        </w:rPr>
      </w:pPr>
      <w:r>
        <w:rPr>
          <w:rFonts w:hint="eastAsia" w:ascii="宋体" w:hAnsi="宋体" w:cs="Arial"/>
          <w:b/>
          <w:kern w:val="0"/>
          <w:sz w:val="32"/>
          <w:szCs w:val="32"/>
        </w:rPr>
        <w:t>采购项目编号：</w:t>
      </w:r>
      <w:r>
        <w:rPr>
          <w:rFonts w:hint="eastAsia" w:ascii="宋体" w:hAnsi="宋体" w:cs="Arial"/>
          <w:b/>
          <w:kern w:val="0"/>
          <w:sz w:val="32"/>
          <w:szCs w:val="32"/>
          <w:lang w:eastAsia="zh-CN"/>
        </w:rPr>
        <w:t>青海奕帆竞磋（货物）2024-038</w:t>
      </w:r>
    </w:p>
    <w:p w14:paraId="3D5E768F">
      <w:pPr>
        <w:widowControl/>
        <w:adjustRightInd w:val="0"/>
        <w:snapToGrid w:val="0"/>
        <w:spacing w:line="480" w:lineRule="auto"/>
        <w:ind w:firstLine="643" w:firstLineChars="200"/>
        <w:jc w:val="left"/>
        <w:textAlignment w:val="baseline"/>
        <w:rPr>
          <w:rFonts w:hint="eastAsia" w:ascii="宋体" w:hAnsi="宋体" w:eastAsia="宋体"/>
          <w:sz w:val="32"/>
          <w:szCs w:val="32"/>
          <w:lang w:eastAsia="zh-CN"/>
        </w:rPr>
      </w:pPr>
      <w:r>
        <w:rPr>
          <w:rFonts w:hint="eastAsia" w:ascii="宋体" w:hAnsi="宋体" w:cs="Arial"/>
          <w:b/>
          <w:kern w:val="0"/>
          <w:sz w:val="32"/>
          <w:szCs w:val="32"/>
        </w:rPr>
        <w:t>采  购 单 位</w:t>
      </w:r>
      <w:r>
        <w:rPr>
          <w:rFonts w:hint="eastAsia" w:ascii="宋体" w:hAnsi="宋体"/>
          <w:sz w:val="32"/>
          <w:szCs w:val="32"/>
        </w:rPr>
        <w:t>：</w:t>
      </w:r>
      <w:r>
        <w:rPr>
          <w:rFonts w:hint="eastAsia" w:ascii="宋体" w:hAnsi="宋体" w:cs="Arial"/>
          <w:b/>
          <w:kern w:val="0"/>
          <w:sz w:val="32"/>
          <w:szCs w:val="32"/>
          <w:lang w:eastAsia="zh-CN"/>
        </w:rPr>
        <w:t>西宁市城东区文体旅游科技局</w:t>
      </w:r>
    </w:p>
    <w:p w14:paraId="513AC31B">
      <w:pPr>
        <w:widowControl/>
        <w:adjustRightInd w:val="0"/>
        <w:snapToGrid w:val="0"/>
        <w:spacing w:line="480" w:lineRule="auto"/>
        <w:ind w:firstLine="643" w:firstLineChars="200"/>
        <w:jc w:val="left"/>
        <w:textAlignment w:val="baseline"/>
        <w:rPr>
          <w:rFonts w:hint="eastAsia" w:ascii="宋体" w:hAnsi="宋体" w:eastAsia="宋体"/>
          <w:b/>
          <w:bCs/>
          <w:sz w:val="32"/>
          <w:szCs w:val="32"/>
          <w:lang w:eastAsia="zh-CN"/>
        </w:rPr>
      </w:pPr>
      <w:r>
        <w:rPr>
          <w:rFonts w:ascii="宋体" w:hAnsi="宋体"/>
          <w:b/>
          <w:bCs/>
          <w:sz w:val="32"/>
          <w:szCs w:val="32"/>
        </w:rPr>
        <w:t>采购代理机构</w:t>
      </w:r>
      <w:r>
        <w:rPr>
          <w:rFonts w:hint="eastAsia" w:ascii="宋体" w:hAnsi="宋体"/>
          <w:b/>
          <w:bCs/>
          <w:sz w:val="32"/>
          <w:szCs w:val="32"/>
        </w:rPr>
        <w:t>：</w:t>
      </w:r>
      <w:r>
        <w:rPr>
          <w:rFonts w:hint="eastAsia" w:ascii="宋体" w:hAnsi="宋体"/>
          <w:b/>
          <w:bCs/>
          <w:sz w:val="32"/>
          <w:szCs w:val="32"/>
          <w:lang w:eastAsia="zh-CN"/>
        </w:rPr>
        <w:t>青海奕帆工程项目管理有限公司</w:t>
      </w:r>
    </w:p>
    <w:p w14:paraId="5DFC0ECE">
      <w:pPr>
        <w:rPr>
          <w:rFonts w:ascii="宋体" w:hAnsi="宋体"/>
          <w:b/>
          <w:bCs/>
          <w:sz w:val="32"/>
          <w:szCs w:val="32"/>
        </w:rPr>
      </w:pPr>
    </w:p>
    <w:p w14:paraId="053F5724">
      <w:pPr>
        <w:pStyle w:val="55"/>
        <w:ind w:left="0" w:leftChars="0" w:firstLine="0" w:firstLineChars="0"/>
        <w:rPr>
          <w:rFonts w:ascii="宋体" w:hAnsi="宋体"/>
          <w:b/>
          <w:bCs/>
          <w:sz w:val="32"/>
          <w:szCs w:val="32"/>
        </w:rPr>
      </w:pPr>
    </w:p>
    <w:p w14:paraId="14BFC451"/>
    <w:p w14:paraId="6F3DD619">
      <w:pPr>
        <w:adjustRightInd w:val="0"/>
        <w:spacing w:line="360" w:lineRule="auto"/>
        <w:jc w:val="center"/>
        <w:textAlignment w:val="baseline"/>
        <w:rPr>
          <w:rFonts w:hint="eastAsia" w:ascii="宋体" w:hAnsi="宋体"/>
          <w:b/>
          <w:bCs/>
          <w:sz w:val="32"/>
          <w:szCs w:val="32"/>
        </w:rPr>
      </w:pPr>
    </w:p>
    <w:p w14:paraId="2F5B4E0C">
      <w:pPr>
        <w:adjustRightInd w:val="0"/>
        <w:spacing w:line="360" w:lineRule="auto"/>
        <w:jc w:val="center"/>
        <w:textAlignment w:val="baseline"/>
        <w:rPr>
          <w:rFonts w:hint="default" w:ascii="宋体" w:hAnsi="宋体" w:eastAsia="宋体"/>
          <w:b/>
          <w:bCs/>
          <w:sz w:val="32"/>
          <w:szCs w:val="32"/>
          <w:lang w:val="en-US" w:eastAsia="zh-CN"/>
        </w:rPr>
      </w:pPr>
      <w:r>
        <w:rPr>
          <w:rFonts w:hint="eastAsia" w:ascii="宋体" w:hAnsi="宋体"/>
          <w:b/>
          <w:bCs/>
          <w:sz w:val="32"/>
          <w:szCs w:val="32"/>
        </w:rPr>
        <w:t>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11</w:t>
      </w:r>
      <w:r>
        <w:rPr>
          <w:rFonts w:hint="eastAsia" w:ascii="宋体" w:hAnsi="宋体"/>
          <w:b/>
          <w:bCs/>
          <w:sz w:val="32"/>
          <w:szCs w:val="32"/>
        </w:rPr>
        <w:t>月</w:t>
      </w:r>
      <w:r>
        <w:rPr>
          <w:rFonts w:hint="eastAsia" w:ascii="宋体" w:hAnsi="宋体"/>
          <w:b/>
          <w:bCs/>
          <w:sz w:val="32"/>
          <w:szCs w:val="32"/>
          <w:lang w:val="en-US" w:eastAsia="zh-CN"/>
        </w:rPr>
        <w:t>29日</w:t>
      </w:r>
    </w:p>
    <w:p w14:paraId="0C08E4F6">
      <w:pPr>
        <w:spacing w:line="360" w:lineRule="auto"/>
        <w:jc w:val="center"/>
        <w:rPr>
          <w:rFonts w:ascii="宋体" w:hAnsi="宋体"/>
        </w:rPr>
      </w:pPr>
    </w:p>
    <w:p w14:paraId="3046041D">
      <w:pPr>
        <w:bidi w:val="0"/>
        <w:jc w:val="center"/>
        <w:rPr>
          <w:rFonts w:ascii="宋体" w:hAnsi="宋体"/>
          <w:b/>
          <w:sz w:val="44"/>
          <w:szCs w:val="44"/>
        </w:rPr>
        <w:sectPr>
          <w:headerReference r:id="rId4" w:type="first"/>
          <w:headerReference r:id="rId3" w:type="default"/>
          <w:pgSz w:w="11906" w:h="16838"/>
          <w:pgMar w:top="1440" w:right="1077" w:bottom="1440" w:left="1077" w:header="851" w:footer="992" w:gutter="0"/>
          <w:pgNumType w:start="0"/>
          <w:cols w:space="720" w:num="1"/>
          <w:titlePg/>
          <w:docGrid w:linePitch="312" w:charSpace="0"/>
        </w:sectPr>
      </w:pPr>
    </w:p>
    <w:p w14:paraId="68714477">
      <w:pPr>
        <w:bidi w:val="0"/>
        <w:jc w:val="center"/>
        <w:rPr>
          <w:rFonts w:ascii="宋体" w:hAnsi="宋体"/>
          <w:b/>
          <w:sz w:val="44"/>
          <w:szCs w:val="44"/>
        </w:rPr>
      </w:pPr>
      <w:r>
        <w:rPr>
          <w:rFonts w:ascii="宋体" w:hAnsi="宋体"/>
          <w:b/>
          <w:sz w:val="44"/>
          <w:szCs w:val="44"/>
        </w:rPr>
        <w:t>目</w:t>
      </w:r>
      <w:r>
        <w:rPr>
          <w:rFonts w:hint="eastAsia" w:ascii="宋体" w:hAnsi="宋体"/>
          <w:b/>
          <w:sz w:val="44"/>
          <w:szCs w:val="44"/>
        </w:rPr>
        <w:t xml:space="preserve"> </w:t>
      </w:r>
      <w:r>
        <w:rPr>
          <w:rFonts w:ascii="宋体" w:hAnsi="宋体"/>
          <w:b/>
          <w:sz w:val="44"/>
          <w:szCs w:val="44"/>
        </w:rPr>
        <w:t>录</w:t>
      </w:r>
    </w:p>
    <w:p w14:paraId="3D99058D">
      <w:pPr>
        <w:pStyle w:val="11"/>
      </w:pPr>
    </w:p>
    <w:p w14:paraId="0AA2F2CE">
      <w:pPr>
        <w:pStyle w:val="24"/>
        <w:spacing w:line="600" w:lineRule="auto"/>
        <w:jc w:val="center"/>
        <w:rPr>
          <w:rFonts w:asciiTheme="minorHAnsi" w:hAnsiTheme="minorHAnsi" w:eastAsiaTheme="minorEastAsia" w:cstheme="minorBidi"/>
          <w:sz w:val="28"/>
          <w:szCs w:val="28"/>
        </w:rPr>
      </w:pPr>
      <w:r>
        <w:rPr>
          <w:rFonts w:ascii="宋体" w:hAnsi="宋体"/>
          <w:sz w:val="24"/>
        </w:rPr>
        <w:fldChar w:fldCharType="begin"/>
      </w:r>
      <w:r>
        <w:rPr>
          <w:rFonts w:ascii="宋体" w:hAnsi="宋体"/>
          <w:sz w:val="24"/>
        </w:rPr>
        <w:instrText xml:space="preserve"> TOC \h \z \t "标题 1,1,标题 2,1,标题 3,1,标题 4,1,标题 5,1,标题 6,1,标题 7,1,副标题,1" </w:instrText>
      </w:r>
      <w:r>
        <w:rPr>
          <w:rFonts w:ascii="宋体" w:hAnsi="宋体"/>
          <w:sz w:val="24"/>
        </w:rPr>
        <w:fldChar w:fldCharType="separate"/>
      </w:r>
      <w:r>
        <w:rPr>
          <w:sz w:val="28"/>
          <w:szCs w:val="28"/>
        </w:rPr>
        <w:fldChar w:fldCharType="begin"/>
      </w:r>
      <w:r>
        <w:rPr>
          <w:sz w:val="28"/>
          <w:szCs w:val="28"/>
        </w:rPr>
        <w:instrText xml:space="preserve"> HYPERLINK \l "_Toc1575293" </w:instrText>
      </w:r>
      <w:r>
        <w:rPr>
          <w:sz w:val="28"/>
          <w:szCs w:val="28"/>
        </w:rPr>
        <w:fldChar w:fldCharType="separate"/>
      </w:r>
      <w:r>
        <w:rPr>
          <w:rStyle w:val="45"/>
          <w:rFonts w:hint="eastAsia" w:ascii="宋体" w:hAnsi="宋体"/>
          <w:sz w:val="28"/>
          <w:szCs w:val="28"/>
        </w:rPr>
        <w:t>第一部分</w:t>
      </w:r>
      <w:r>
        <w:rPr>
          <w:rStyle w:val="45"/>
          <w:rFonts w:hint="eastAsia" w:ascii="宋体" w:hAnsi="宋体"/>
          <w:sz w:val="28"/>
          <w:szCs w:val="28"/>
          <w:lang w:val="en-US" w:eastAsia="zh-CN"/>
        </w:rPr>
        <w:t xml:space="preserve"> </w:t>
      </w:r>
      <w:r>
        <w:rPr>
          <w:rStyle w:val="45"/>
          <w:rFonts w:hint="eastAsia" w:ascii="宋体" w:hAnsi="宋体"/>
          <w:sz w:val="28"/>
          <w:szCs w:val="28"/>
        </w:rPr>
        <w:t>磋商邀请</w:t>
      </w:r>
      <w:r>
        <w:rPr>
          <w:sz w:val="28"/>
          <w:szCs w:val="28"/>
        </w:rPr>
        <w:tab/>
      </w:r>
      <w:r>
        <w:rPr>
          <w:sz w:val="28"/>
          <w:szCs w:val="28"/>
        </w:rPr>
        <w:fldChar w:fldCharType="begin"/>
      </w:r>
      <w:r>
        <w:rPr>
          <w:sz w:val="28"/>
          <w:szCs w:val="28"/>
        </w:rPr>
        <w:instrText xml:space="preserve"> PAGEREF _Toc1575293 \h </w:instrText>
      </w:r>
      <w:r>
        <w:rPr>
          <w:sz w:val="28"/>
          <w:szCs w:val="28"/>
        </w:rPr>
        <w:fldChar w:fldCharType="separate"/>
      </w:r>
      <w:r>
        <w:rPr>
          <w:sz w:val="28"/>
          <w:szCs w:val="28"/>
        </w:rPr>
        <w:t>2</w:t>
      </w:r>
      <w:r>
        <w:rPr>
          <w:sz w:val="28"/>
          <w:szCs w:val="28"/>
        </w:rPr>
        <w:fldChar w:fldCharType="end"/>
      </w:r>
      <w:r>
        <w:rPr>
          <w:sz w:val="28"/>
          <w:szCs w:val="28"/>
        </w:rPr>
        <w:fldChar w:fldCharType="end"/>
      </w:r>
    </w:p>
    <w:p w14:paraId="45BEBFDA">
      <w:pPr>
        <w:pStyle w:val="24"/>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"_Toc1575294" </w:instrText>
      </w:r>
      <w:r>
        <w:rPr>
          <w:sz w:val="28"/>
          <w:szCs w:val="28"/>
        </w:rPr>
        <w:fldChar w:fldCharType="separate"/>
      </w:r>
      <w:r>
        <w:rPr>
          <w:rStyle w:val="45"/>
          <w:rFonts w:hint="eastAsia" w:ascii="宋体" w:hAnsi="宋体"/>
          <w:sz w:val="28"/>
          <w:szCs w:val="28"/>
        </w:rPr>
        <w:t>第二部分</w:t>
      </w:r>
      <w:r>
        <w:rPr>
          <w:rStyle w:val="45"/>
          <w:rFonts w:hint="eastAsia" w:ascii="宋体" w:hAnsi="宋体"/>
          <w:sz w:val="28"/>
          <w:szCs w:val="28"/>
          <w:lang w:val="en-US" w:eastAsia="zh-CN"/>
        </w:rPr>
        <w:t xml:space="preserve"> </w:t>
      </w:r>
      <w:r>
        <w:rPr>
          <w:rStyle w:val="45"/>
          <w:rFonts w:hint="eastAsia" w:ascii="宋体" w:hAnsi="宋体"/>
          <w:sz w:val="28"/>
          <w:szCs w:val="28"/>
        </w:rPr>
        <w:t>磋商供应商须知前附表</w:t>
      </w:r>
      <w:r>
        <w:rPr>
          <w:sz w:val="28"/>
          <w:szCs w:val="28"/>
        </w:rPr>
        <w:tab/>
      </w:r>
      <w:r>
        <w:rPr>
          <w:sz w:val="28"/>
          <w:szCs w:val="28"/>
        </w:rPr>
        <w:fldChar w:fldCharType="begin"/>
      </w:r>
      <w:r>
        <w:rPr>
          <w:sz w:val="28"/>
          <w:szCs w:val="28"/>
        </w:rPr>
        <w:instrText xml:space="preserve"> PAGEREF _Toc1575294 \h </w:instrText>
      </w:r>
      <w:r>
        <w:rPr>
          <w:sz w:val="28"/>
          <w:szCs w:val="28"/>
        </w:rPr>
        <w:fldChar w:fldCharType="separate"/>
      </w:r>
      <w:r>
        <w:rPr>
          <w:sz w:val="28"/>
          <w:szCs w:val="28"/>
        </w:rPr>
        <w:t>5</w:t>
      </w:r>
      <w:r>
        <w:rPr>
          <w:sz w:val="28"/>
          <w:szCs w:val="28"/>
        </w:rPr>
        <w:fldChar w:fldCharType="end"/>
      </w:r>
      <w:r>
        <w:rPr>
          <w:sz w:val="28"/>
          <w:szCs w:val="28"/>
        </w:rPr>
        <w:fldChar w:fldCharType="end"/>
      </w:r>
    </w:p>
    <w:p w14:paraId="3E449140">
      <w:pPr>
        <w:pStyle w:val="24"/>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"_Toc1575295" </w:instrText>
      </w:r>
      <w:r>
        <w:rPr>
          <w:sz w:val="28"/>
          <w:szCs w:val="28"/>
        </w:rPr>
        <w:fldChar w:fldCharType="separate"/>
      </w:r>
      <w:r>
        <w:rPr>
          <w:rStyle w:val="45"/>
          <w:rFonts w:hint="eastAsia" w:ascii="宋体" w:hAnsi="宋体"/>
          <w:sz w:val="28"/>
          <w:szCs w:val="28"/>
        </w:rPr>
        <w:t>第三部分</w:t>
      </w:r>
      <w:r>
        <w:rPr>
          <w:rStyle w:val="45"/>
          <w:rFonts w:hint="eastAsia" w:ascii="宋体" w:hAnsi="宋体"/>
          <w:sz w:val="28"/>
          <w:szCs w:val="28"/>
          <w:lang w:val="en-US" w:eastAsia="zh-CN"/>
        </w:rPr>
        <w:t xml:space="preserve"> </w:t>
      </w:r>
      <w:r>
        <w:rPr>
          <w:rStyle w:val="45"/>
          <w:rFonts w:hint="eastAsia" w:ascii="宋体" w:hAnsi="宋体"/>
          <w:sz w:val="28"/>
          <w:szCs w:val="28"/>
        </w:rPr>
        <w:t>磋商供应商须知</w:t>
      </w:r>
      <w:r>
        <w:rPr>
          <w:sz w:val="28"/>
          <w:szCs w:val="28"/>
        </w:rPr>
        <w:tab/>
      </w:r>
      <w:r>
        <w:rPr>
          <w:sz w:val="28"/>
          <w:szCs w:val="28"/>
        </w:rPr>
        <w:fldChar w:fldCharType="begin"/>
      </w:r>
      <w:r>
        <w:rPr>
          <w:sz w:val="28"/>
          <w:szCs w:val="28"/>
        </w:rPr>
        <w:instrText xml:space="preserve"> PAGEREF _Toc1575295 \h </w:instrText>
      </w:r>
      <w:r>
        <w:rPr>
          <w:sz w:val="28"/>
          <w:szCs w:val="28"/>
        </w:rPr>
        <w:fldChar w:fldCharType="separate"/>
      </w:r>
      <w:r>
        <w:rPr>
          <w:sz w:val="28"/>
          <w:szCs w:val="28"/>
        </w:rPr>
        <w:t>8</w:t>
      </w:r>
      <w:r>
        <w:rPr>
          <w:sz w:val="28"/>
          <w:szCs w:val="28"/>
        </w:rPr>
        <w:fldChar w:fldCharType="end"/>
      </w:r>
      <w:r>
        <w:rPr>
          <w:sz w:val="28"/>
          <w:szCs w:val="28"/>
        </w:rPr>
        <w:fldChar w:fldCharType="end"/>
      </w:r>
    </w:p>
    <w:p w14:paraId="29CB76FF">
      <w:pPr>
        <w:pStyle w:val="24"/>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"_Toc1575330" </w:instrText>
      </w:r>
      <w:r>
        <w:rPr>
          <w:sz w:val="28"/>
          <w:szCs w:val="28"/>
        </w:rPr>
        <w:fldChar w:fldCharType="separate"/>
      </w:r>
      <w:r>
        <w:rPr>
          <w:rStyle w:val="45"/>
          <w:rFonts w:hint="eastAsia" w:ascii="宋体" w:hAnsi="宋体"/>
          <w:sz w:val="28"/>
          <w:szCs w:val="28"/>
        </w:rPr>
        <w:t>第四部分</w:t>
      </w:r>
      <w:r>
        <w:rPr>
          <w:rStyle w:val="45"/>
          <w:rFonts w:hint="eastAsia" w:ascii="宋体" w:hAnsi="宋体"/>
          <w:sz w:val="28"/>
          <w:szCs w:val="28"/>
          <w:lang w:val="en-US" w:eastAsia="zh-CN"/>
        </w:rPr>
        <w:t xml:space="preserve"> </w:t>
      </w:r>
      <w:r>
        <w:rPr>
          <w:rStyle w:val="45"/>
          <w:rFonts w:hint="eastAsia" w:ascii="宋体" w:hAnsi="宋体"/>
          <w:sz w:val="28"/>
          <w:szCs w:val="28"/>
        </w:rPr>
        <w:t>青海省政府采购合同文本样式</w:t>
      </w:r>
      <w:r>
        <w:rPr>
          <w:sz w:val="28"/>
          <w:szCs w:val="28"/>
        </w:rPr>
        <w:tab/>
      </w:r>
      <w:r>
        <w:rPr>
          <w:sz w:val="28"/>
          <w:szCs w:val="28"/>
        </w:rPr>
        <w:fldChar w:fldCharType="begin"/>
      </w:r>
      <w:r>
        <w:rPr>
          <w:sz w:val="28"/>
          <w:szCs w:val="28"/>
        </w:rPr>
        <w:instrText xml:space="preserve"> PAGEREF _Toc1575330 \h </w:instrText>
      </w:r>
      <w:r>
        <w:rPr>
          <w:sz w:val="28"/>
          <w:szCs w:val="28"/>
        </w:rPr>
        <w:fldChar w:fldCharType="separate"/>
      </w:r>
      <w:r>
        <w:rPr>
          <w:sz w:val="28"/>
          <w:szCs w:val="28"/>
        </w:rPr>
        <w:t>22</w:t>
      </w:r>
      <w:r>
        <w:rPr>
          <w:sz w:val="28"/>
          <w:szCs w:val="28"/>
        </w:rPr>
        <w:fldChar w:fldCharType="end"/>
      </w:r>
      <w:r>
        <w:rPr>
          <w:sz w:val="28"/>
          <w:szCs w:val="28"/>
        </w:rPr>
        <w:fldChar w:fldCharType="end"/>
      </w:r>
    </w:p>
    <w:p w14:paraId="4C2E181A">
      <w:pPr>
        <w:pStyle w:val="24"/>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"_Toc1575331" </w:instrText>
      </w:r>
      <w:r>
        <w:rPr>
          <w:sz w:val="28"/>
          <w:szCs w:val="28"/>
        </w:rPr>
        <w:fldChar w:fldCharType="separate"/>
      </w:r>
      <w:r>
        <w:rPr>
          <w:rStyle w:val="45"/>
          <w:rFonts w:hint="eastAsia" w:ascii="宋体" w:hAnsi="宋体"/>
          <w:sz w:val="28"/>
          <w:szCs w:val="28"/>
        </w:rPr>
        <w:t>第五部分</w:t>
      </w:r>
      <w:r>
        <w:rPr>
          <w:rStyle w:val="45"/>
          <w:rFonts w:hint="eastAsia" w:ascii="宋体" w:hAnsi="宋体"/>
          <w:sz w:val="28"/>
          <w:szCs w:val="28"/>
          <w:lang w:val="en-US" w:eastAsia="zh-CN"/>
        </w:rPr>
        <w:t xml:space="preserve"> </w:t>
      </w:r>
      <w:r>
        <w:rPr>
          <w:rStyle w:val="45"/>
          <w:rFonts w:hint="eastAsia" w:ascii="宋体" w:hAnsi="宋体"/>
          <w:sz w:val="28"/>
          <w:szCs w:val="28"/>
        </w:rPr>
        <w:t>磋商响应文件格式</w:t>
      </w:r>
      <w:r>
        <w:rPr>
          <w:sz w:val="28"/>
          <w:szCs w:val="28"/>
        </w:rPr>
        <w:tab/>
      </w:r>
      <w:r>
        <w:rPr>
          <w:sz w:val="28"/>
          <w:szCs w:val="28"/>
        </w:rPr>
        <w:fldChar w:fldCharType="begin"/>
      </w:r>
      <w:r>
        <w:rPr>
          <w:sz w:val="28"/>
          <w:szCs w:val="28"/>
        </w:rPr>
        <w:instrText xml:space="preserve"> PAGEREF _Toc1575331 \h </w:instrText>
      </w:r>
      <w:r>
        <w:rPr>
          <w:sz w:val="28"/>
          <w:szCs w:val="28"/>
        </w:rPr>
        <w:fldChar w:fldCharType="separate"/>
      </w:r>
      <w:r>
        <w:rPr>
          <w:sz w:val="28"/>
          <w:szCs w:val="28"/>
        </w:rPr>
        <w:t>34</w:t>
      </w:r>
      <w:r>
        <w:rPr>
          <w:sz w:val="28"/>
          <w:szCs w:val="28"/>
        </w:rPr>
        <w:fldChar w:fldCharType="end"/>
      </w:r>
      <w:r>
        <w:rPr>
          <w:sz w:val="28"/>
          <w:szCs w:val="28"/>
        </w:rPr>
        <w:fldChar w:fldCharType="end"/>
      </w:r>
    </w:p>
    <w:p w14:paraId="7BE414D8">
      <w:pPr>
        <w:pStyle w:val="24"/>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"_Toc1575356" </w:instrText>
      </w:r>
      <w:r>
        <w:rPr>
          <w:sz w:val="28"/>
          <w:szCs w:val="28"/>
        </w:rPr>
        <w:fldChar w:fldCharType="separate"/>
      </w:r>
      <w:r>
        <w:rPr>
          <w:rStyle w:val="45"/>
          <w:rFonts w:hint="eastAsia" w:ascii="宋体" w:hAnsi="宋体"/>
          <w:sz w:val="28"/>
          <w:szCs w:val="28"/>
        </w:rPr>
        <w:t>第六部分</w:t>
      </w:r>
      <w:r>
        <w:rPr>
          <w:rStyle w:val="45"/>
          <w:rFonts w:hint="eastAsia" w:ascii="宋体" w:hAnsi="宋体"/>
          <w:sz w:val="28"/>
          <w:szCs w:val="28"/>
          <w:lang w:val="en-US" w:eastAsia="zh-CN"/>
        </w:rPr>
        <w:t xml:space="preserve"> </w:t>
      </w:r>
      <w:r>
        <w:rPr>
          <w:rStyle w:val="45"/>
          <w:rFonts w:hint="eastAsia" w:ascii="宋体" w:hAnsi="宋体"/>
          <w:sz w:val="28"/>
          <w:szCs w:val="28"/>
        </w:rPr>
        <w:t>采购项目要求及技术参数</w:t>
      </w:r>
      <w:r>
        <w:rPr>
          <w:sz w:val="28"/>
          <w:szCs w:val="28"/>
        </w:rPr>
        <w:tab/>
      </w:r>
      <w:r>
        <w:rPr>
          <w:sz w:val="28"/>
          <w:szCs w:val="28"/>
        </w:rPr>
        <w:fldChar w:fldCharType="begin"/>
      </w:r>
      <w:r>
        <w:rPr>
          <w:sz w:val="28"/>
          <w:szCs w:val="28"/>
        </w:rPr>
        <w:instrText xml:space="preserve"> PAGEREF _Toc1575356 \h </w:instrText>
      </w:r>
      <w:r>
        <w:rPr>
          <w:sz w:val="28"/>
          <w:szCs w:val="28"/>
        </w:rPr>
        <w:fldChar w:fldCharType="separate"/>
      </w:r>
      <w:r>
        <w:rPr>
          <w:sz w:val="28"/>
          <w:szCs w:val="28"/>
        </w:rPr>
        <w:t>59</w:t>
      </w:r>
      <w:r>
        <w:rPr>
          <w:sz w:val="28"/>
          <w:szCs w:val="28"/>
        </w:rPr>
        <w:fldChar w:fldCharType="end"/>
      </w:r>
      <w:r>
        <w:rPr>
          <w:sz w:val="28"/>
          <w:szCs w:val="28"/>
        </w:rPr>
        <w:fldChar w:fldCharType="end"/>
      </w:r>
    </w:p>
    <w:p w14:paraId="6E972F11">
      <w:pPr>
        <w:pStyle w:val="24"/>
        <w:jc w:val="center"/>
        <w:rPr>
          <w:rFonts w:asciiTheme="minorHAnsi" w:hAnsiTheme="minorHAnsi" w:eastAsiaTheme="minorEastAsia" w:cstheme="minorBidi"/>
          <w:szCs w:val="22"/>
        </w:rPr>
      </w:pPr>
    </w:p>
    <w:p w14:paraId="07B4B74F">
      <w:pPr>
        <w:pStyle w:val="24"/>
        <w:spacing w:line="360" w:lineRule="auto"/>
        <w:jc w:val="both"/>
        <w:rPr>
          <w:rFonts w:ascii="宋体" w:hAnsi="宋体"/>
          <w:bCs/>
          <w:sz w:val="24"/>
        </w:rPr>
      </w:pPr>
      <w:r>
        <w:rPr>
          <w:rFonts w:ascii="宋体" w:hAnsi="宋体"/>
          <w:bCs/>
          <w:sz w:val="24"/>
        </w:rPr>
        <w:fldChar w:fldCharType="end"/>
      </w:r>
    </w:p>
    <w:p w14:paraId="0C46D30B">
      <w:pPr>
        <w:pStyle w:val="25"/>
        <w:spacing w:before="0" w:after="0" w:line="360" w:lineRule="auto"/>
        <w:outlineLvl w:val="9"/>
        <w:rPr>
          <w:rFonts w:ascii="宋体" w:hAnsi="宋体"/>
          <w:sz w:val="48"/>
        </w:rPr>
      </w:pPr>
      <w:bookmarkStart w:id="1" w:name="_Toc1575293"/>
      <w:bookmarkStart w:id="2" w:name="_Toc444715732"/>
      <w:bookmarkStart w:id="3" w:name="_Hlk503427406"/>
    </w:p>
    <w:p w14:paraId="2EEA1534">
      <w:pPr>
        <w:pStyle w:val="25"/>
        <w:spacing w:before="0" w:after="0" w:line="360" w:lineRule="auto"/>
        <w:outlineLvl w:val="9"/>
        <w:rPr>
          <w:rFonts w:hint="eastAsia" w:ascii="宋体" w:hAnsi="宋体"/>
          <w:sz w:val="48"/>
        </w:rPr>
      </w:pPr>
    </w:p>
    <w:p w14:paraId="53EF976B">
      <w:pPr>
        <w:pStyle w:val="25"/>
        <w:spacing w:before="0" w:after="0" w:line="360" w:lineRule="auto"/>
        <w:outlineLvl w:val="9"/>
        <w:rPr>
          <w:rFonts w:hint="eastAsia" w:ascii="宋体" w:hAnsi="宋体"/>
          <w:sz w:val="48"/>
        </w:rPr>
      </w:pPr>
    </w:p>
    <w:p w14:paraId="2EB229C1">
      <w:pPr>
        <w:pStyle w:val="25"/>
        <w:spacing w:before="0" w:after="0" w:line="360" w:lineRule="auto"/>
        <w:outlineLvl w:val="9"/>
        <w:rPr>
          <w:rFonts w:hint="eastAsia" w:ascii="宋体" w:hAnsi="宋体"/>
          <w:sz w:val="48"/>
        </w:rPr>
      </w:pPr>
    </w:p>
    <w:p w14:paraId="7A40D0A1">
      <w:pPr>
        <w:pStyle w:val="25"/>
        <w:spacing w:before="0" w:after="0" w:line="360" w:lineRule="auto"/>
        <w:outlineLvl w:val="9"/>
        <w:rPr>
          <w:rFonts w:hint="eastAsia" w:ascii="宋体" w:hAnsi="宋体"/>
          <w:sz w:val="48"/>
        </w:rPr>
      </w:pPr>
    </w:p>
    <w:p w14:paraId="44940EA9">
      <w:pPr>
        <w:pStyle w:val="25"/>
        <w:spacing w:before="0" w:after="0" w:line="360" w:lineRule="auto"/>
        <w:outlineLvl w:val="9"/>
        <w:rPr>
          <w:rFonts w:hint="eastAsia" w:ascii="宋体" w:hAnsi="宋体"/>
          <w:sz w:val="48"/>
        </w:rPr>
      </w:pPr>
    </w:p>
    <w:p w14:paraId="2908BDE3">
      <w:pPr>
        <w:pStyle w:val="25"/>
        <w:spacing w:before="0" w:after="0" w:line="360" w:lineRule="auto"/>
        <w:outlineLvl w:val="9"/>
        <w:rPr>
          <w:rFonts w:hint="eastAsia" w:ascii="宋体" w:hAnsi="宋体"/>
          <w:sz w:val="48"/>
        </w:rPr>
      </w:pPr>
    </w:p>
    <w:p w14:paraId="1F5AB2F7">
      <w:pPr>
        <w:pStyle w:val="25"/>
        <w:spacing w:before="0" w:after="0" w:line="360" w:lineRule="auto"/>
        <w:rPr>
          <w:rFonts w:ascii="宋体" w:hAnsi="宋体"/>
          <w:sz w:val="36"/>
          <w:szCs w:val="22"/>
        </w:rPr>
      </w:pPr>
      <w:r>
        <w:rPr>
          <w:rFonts w:hint="eastAsia" w:ascii="宋体" w:hAnsi="宋体"/>
          <w:sz w:val="36"/>
          <w:szCs w:val="22"/>
        </w:rPr>
        <w:t>第一部分磋商邀请</w:t>
      </w:r>
      <w:bookmarkEnd w:id="1"/>
      <w:bookmarkEnd w:id="2"/>
    </w:p>
    <w:p w14:paraId="2EFF389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color w:val="auto"/>
          <w:sz w:val="32"/>
          <w:szCs w:val="32"/>
          <w:lang w:val="zh-CN"/>
        </w:rPr>
      </w:pPr>
      <w:bookmarkStart w:id="4" w:name="_Hlk503427571"/>
      <w:r>
        <w:rPr>
          <w:rFonts w:hint="eastAsia" w:ascii="宋体" w:hAnsi="宋体" w:cs="宋体"/>
          <w:b/>
          <w:color w:val="auto"/>
          <w:sz w:val="32"/>
          <w:szCs w:val="32"/>
          <w:lang w:val="zh-CN"/>
        </w:rPr>
        <w:t>全民健身场地器材补短板工程乡镇（街道）项目</w:t>
      </w:r>
    </w:p>
    <w:p w14:paraId="089DEA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color w:val="auto"/>
          <w:sz w:val="32"/>
          <w:szCs w:val="32"/>
        </w:rPr>
      </w:pPr>
      <w:r>
        <w:rPr>
          <w:rFonts w:hint="eastAsia" w:ascii="宋体" w:hAnsi="宋体" w:cs="宋体"/>
          <w:b/>
          <w:color w:val="auto"/>
          <w:sz w:val="32"/>
          <w:szCs w:val="32"/>
        </w:rPr>
        <w:t>竞争性磋商公告</w:t>
      </w:r>
    </w:p>
    <w:p w14:paraId="01BA1F7B">
      <w:pPr>
        <w:pStyle w:val="33"/>
        <w:rPr>
          <w:rFonts w:hint="eastAsia"/>
        </w:rPr>
      </w:pPr>
    </w:p>
    <w:p w14:paraId="03C3E42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cs="宋体"/>
          <w:b/>
          <w:bCs/>
          <w:color w:val="auto"/>
          <w:sz w:val="24"/>
        </w:rPr>
      </w:pPr>
      <w:r>
        <w:rPr>
          <w:rFonts w:hint="eastAsia" w:ascii="宋体" w:hAnsi="宋体" w:cs="宋体"/>
          <w:b/>
          <w:bCs/>
          <w:color w:val="auto"/>
          <w:sz w:val="24"/>
        </w:rPr>
        <w:t>项目概况</w:t>
      </w:r>
    </w:p>
    <w:p w14:paraId="0AA92A9F">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宋体"/>
          <w:color w:val="auto"/>
          <w:sz w:val="24"/>
        </w:rPr>
      </w:pPr>
      <w:r>
        <w:rPr>
          <w:rFonts w:hint="eastAsia" w:ascii="宋体" w:hAnsi="宋体" w:cs="宋体"/>
          <w:color w:val="auto"/>
          <w:sz w:val="24"/>
          <w:u w:val="single"/>
          <w:lang w:val="zh-CN"/>
        </w:rPr>
        <w:t>（全民健身场地器材补短板工程乡镇（街道）项目）</w:t>
      </w:r>
      <w:r>
        <w:rPr>
          <w:rFonts w:hint="eastAsia" w:ascii="宋体" w:hAnsi="宋体" w:cs="宋体"/>
          <w:color w:val="auto"/>
          <w:sz w:val="24"/>
        </w:rPr>
        <w:t>采购项目的潜在供应商应在线上获取通过政采云平台（www.zcygov.cn）获取采购文件，并于</w:t>
      </w:r>
      <w:r>
        <w:rPr>
          <w:rFonts w:hint="eastAsia" w:ascii="宋体" w:hAnsi="宋体" w:cs="宋体"/>
          <w:color w:val="auto"/>
          <w:sz w:val="24"/>
          <w:lang w:eastAsia="zh-CN"/>
        </w:rPr>
        <w:t>2024年12月12日上午09时30分（北京时间）</w:t>
      </w:r>
      <w:r>
        <w:rPr>
          <w:rFonts w:hint="eastAsia" w:ascii="宋体" w:hAnsi="宋体" w:cs="宋体"/>
          <w:color w:val="auto"/>
          <w:sz w:val="24"/>
        </w:rPr>
        <w:t>前递交响应文件。</w:t>
      </w:r>
    </w:p>
    <w:p w14:paraId="7A6164A7">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bookmarkStart w:id="5" w:name="_Toc35393621"/>
      <w:bookmarkStart w:id="6" w:name="_Toc6352"/>
      <w:bookmarkStart w:id="7" w:name="_Toc22251"/>
      <w:bookmarkStart w:id="8" w:name="_Toc28359079"/>
      <w:bookmarkStart w:id="9" w:name="_Toc8609"/>
      <w:bookmarkStart w:id="10" w:name="_Toc35393790"/>
      <w:bookmarkStart w:id="11" w:name="_Toc28359002"/>
      <w:bookmarkStart w:id="12" w:name="_Toc4576"/>
      <w:bookmarkStart w:id="13" w:name="_Toc27050"/>
      <w:bookmarkStart w:id="14" w:name="_Hlk24379207"/>
      <w:r>
        <w:rPr>
          <w:rFonts w:hint="eastAsia" w:ascii="宋体" w:hAnsi="宋体" w:cs="宋体"/>
          <w:b/>
          <w:bCs/>
          <w:color w:val="auto"/>
          <w:sz w:val="24"/>
        </w:rPr>
        <w:t>一、项目基本情况</w:t>
      </w:r>
      <w:bookmarkEnd w:id="5"/>
      <w:bookmarkEnd w:id="6"/>
      <w:bookmarkEnd w:id="7"/>
      <w:bookmarkEnd w:id="8"/>
      <w:bookmarkEnd w:id="9"/>
      <w:bookmarkEnd w:id="10"/>
      <w:bookmarkEnd w:id="11"/>
      <w:bookmarkEnd w:id="12"/>
      <w:bookmarkEnd w:id="13"/>
    </w:p>
    <w:p w14:paraId="651E76A9">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u w:val="none"/>
          <w:lang w:val="zh-CN" w:eastAsia="zh-CN"/>
        </w:rPr>
      </w:pPr>
      <w:r>
        <w:rPr>
          <w:rFonts w:hint="eastAsia" w:ascii="宋体" w:hAnsi="宋体" w:cs="宋体"/>
          <w:b/>
          <w:bCs/>
          <w:color w:val="auto"/>
          <w:sz w:val="24"/>
        </w:rPr>
        <w:t>项目编号：</w:t>
      </w:r>
      <w:r>
        <w:rPr>
          <w:rFonts w:hint="eastAsia" w:ascii="宋体" w:hAnsi="宋体" w:cs="宋体"/>
          <w:b w:val="0"/>
          <w:bCs w:val="0"/>
          <w:color w:val="auto"/>
          <w:sz w:val="24"/>
          <w:lang w:eastAsia="zh-CN"/>
        </w:rPr>
        <w:t>青海奕帆竞磋（货物）2024-038</w:t>
      </w:r>
    </w:p>
    <w:p w14:paraId="2615CC54">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u w:val="none"/>
          <w:lang w:val="zh-CN"/>
        </w:rPr>
      </w:pPr>
      <w:r>
        <w:rPr>
          <w:rFonts w:hint="eastAsia" w:ascii="宋体" w:hAnsi="宋体" w:cs="宋体"/>
          <w:b/>
          <w:bCs/>
          <w:color w:val="auto"/>
          <w:sz w:val="24"/>
          <w:u w:val="none"/>
        </w:rPr>
        <w:t>项目名称：</w:t>
      </w:r>
      <w:r>
        <w:rPr>
          <w:rFonts w:hint="eastAsia" w:ascii="宋体" w:hAnsi="宋体" w:cs="宋体"/>
          <w:color w:val="auto"/>
          <w:sz w:val="24"/>
          <w:u w:val="none"/>
          <w:lang w:val="zh-CN"/>
        </w:rPr>
        <w:t>全民健身场地器材补短板工程乡镇（街道）项目</w:t>
      </w:r>
    </w:p>
    <w:p w14:paraId="4FBF97A0">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cs="宋体"/>
          <w:color w:val="auto"/>
          <w:sz w:val="24"/>
          <w:szCs w:val="24"/>
          <w:u w:val="none"/>
        </w:rPr>
      </w:pPr>
      <w:r>
        <w:rPr>
          <w:rFonts w:hint="eastAsia" w:ascii="宋体" w:hAnsi="宋体" w:cs="宋体"/>
          <w:b/>
          <w:bCs/>
          <w:color w:val="auto"/>
          <w:sz w:val="24"/>
          <w:szCs w:val="24"/>
          <w:u w:val="none"/>
        </w:rPr>
        <w:t>采购方式：</w:t>
      </w:r>
      <w:r>
        <w:rPr>
          <w:rFonts w:hint="eastAsia" w:ascii="宋体" w:hAnsi="宋体" w:cs="宋体"/>
          <w:color w:val="auto"/>
          <w:sz w:val="24"/>
          <w:szCs w:val="24"/>
          <w:u w:val="none"/>
        </w:rPr>
        <w:t>竞争性磋商</w:t>
      </w:r>
    </w:p>
    <w:bookmarkEnd w:id="14"/>
    <w:p w14:paraId="28DE1B58">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u w:val="none"/>
        </w:rPr>
      </w:pPr>
      <w:r>
        <w:rPr>
          <w:rFonts w:hint="eastAsia" w:ascii="宋体" w:hAnsi="宋体" w:cs="宋体"/>
          <w:b/>
          <w:bCs/>
          <w:color w:val="auto"/>
          <w:sz w:val="24"/>
          <w:u w:val="none"/>
        </w:rPr>
        <w:t>预算金额：</w:t>
      </w:r>
      <w:r>
        <w:rPr>
          <w:rFonts w:hint="eastAsia" w:ascii="宋体" w:hAnsi="宋体" w:cs="宋体"/>
          <w:color w:val="auto"/>
          <w:sz w:val="24"/>
          <w:u w:val="none"/>
          <w:lang w:val="en-US" w:eastAsia="zh-CN"/>
        </w:rPr>
        <w:t>600000.00元</w:t>
      </w:r>
    </w:p>
    <w:p w14:paraId="4CF5E006">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rPr>
      </w:pPr>
      <w:r>
        <w:rPr>
          <w:rFonts w:hint="eastAsia" w:ascii="宋体" w:hAnsi="宋体" w:cs="宋体"/>
          <w:b/>
          <w:bCs/>
          <w:color w:val="auto"/>
          <w:sz w:val="24"/>
        </w:rPr>
        <w:t>最高限价（如有）：</w:t>
      </w:r>
      <w:r>
        <w:rPr>
          <w:rFonts w:hint="eastAsia" w:ascii="宋体" w:hAnsi="宋体" w:cs="宋体"/>
          <w:color w:val="auto"/>
          <w:sz w:val="24"/>
          <w:u w:val="none"/>
        </w:rPr>
        <w:t>/</w:t>
      </w:r>
    </w:p>
    <w:p w14:paraId="5DF47601">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rPr>
      </w:pPr>
      <w:r>
        <w:rPr>
          <w:rFonts w:hint="eastAsia" w:ascii="宋体" w:hAnsi="宋体" w:cs="宋体"/>
          <w:b/>
          <w:bCs/>
          <w:color w:val="auto"/>
          <w:sz w:val="24"/>
        </w:rPr>
        <w:t>采购需求</w:t>
      </w:r>
    </w:p>
    <w:p w14:paraId="2510C2E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标项</w:t>
      </w:r>
      <w:r>
        <w:rPr>
          <w:rFonts w:hint="eastAsia" w:ascii="宋体" w:hAnsi="宋体" w:cs="宋体"/>
          <w:color w:val="auto"/>
          <w:sz w:val="24"/>
          <w:lang w:val="en-US" w:eastAsia="zh-CN"/>
        </w:rPr>
        <w:t>一</w:t>
      </w:r>
      <w:r>
        <w:rPr>
          <w:rFonts w:hint="eastAsia" w:ascii="宋体" w:hAnsi="宋体" w:cs="宋体"/>
          <w:color w:val="auto"/>
          <w:sz w:val="24"/>
        </w:rPr>
        <w:t> </w:t>
      </w:r>
    </w:p>
    <w:p w14:paraId="52BBA0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数量：1</w:t>
      </w:r>
    </w:p>
    <w:p w14:paraId="741C9B4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auto"/>
          <w:sz w:val="24"/>
          <w:u w:val="none"/>
          <w:lang w:val="en-US" w:eastAsia="zh-CN"/>
        </w:rPr>
      </w:pPr>
      <w:r>
        <w:rPr>
          <w:rFonts w:hint="eastAsia" w:ascii="宋体" w:hAnsi="宋体" w:cs="宋体"/>
          <w:color w:val="auto"/>
          <w:sz w:val="24"/>
        </w:rPr>
        <w:t>预算金额（元）：</w:t>
      </w:r>
      <w:r>
        <w:rPr>
          <w:rFonts w:hint="eastAsia" w:ascii="宋体" w:hAnsi="宋体" w:cs="宋体"/>
          <w:color w:val="auto"/>
          <w:sz w:val="24"/>
          <w:u w:val="none"/>
          <w:lang w:val="en-US" w:eastAsia="zh-CN"/>
        </w:rPr>
        <w:t>600000.00</w:t>
      </w:r>
    </w:p>
    <w:p w14:paraId="022CD56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单位：/ </w:t>
      </w:r>
    </w:p>
    <w:p w14:paraId="796FA34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简要规格描述：具体内容详见《竞争性磋商文件》 </w:t>
      </w:r>
    </w:p>
    <w:p w14:paraId="51A081B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备注：/</w:t>
      </w:r>
    </w:p>
    <w:p w14:paraId="0FE4298C">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cs="宋体"/>
          <w:color w:val="auto"/>
          <w:sz w:val="24"/>
          <w:highlight w:val="yellow"/>
          <w:u w:val="none"/>
          <w:lang w:val="en-US" w:eastAsia="zh-CN"/>
        </w:rPr>
      </w:pPr>
      <w:r>
        <w:rPr>
          <w:rFonts w:hint="eastAsia" w:ascii="宋体" w:hAnsi="宋体" w:cs="宋体"/>
          <w:b/>
          <w:bCs/>
          <w:color w:val="auto"/>
          <w:sz w:val="24"/>
          <w:highlight w:val="none"/>
        </w:rPr>
        <w:t>合同</w:t>
      </w:r>
      <w:r>
        <w:rPr>
          <w:rFonts w:hint="eastAsia" w:ascii="宋体" w:hAnsi="宋体" w:cs="宋体"/>
          <w:b/>
          <w:bCs/>
          <w:color w:val="auto"/>
          <w:sz w:val="24"/>
          <w:highlight w:val="none"/>
          <w:lang w:val="en-US" w:eastAsia="zh-CN"/>
        </w:rPr>
        <w:t>履约</w:t>
      </w:r>
      <w:r>
        <w:rPr>
          <w:rFonts w:hint="eastAsia" w:ascii="宋体" w:hAnsi="宋体" w:cs="宋体"/>
          <w:b/>
          <w:bCs/>
          <w:color w:val="auto"/>
          <w:sz w:val="24"/>
          <w:highlight w:val="none"/>
        </w:rPr>
        <w:t>期限</w:t>
      </w:r>
      <w:r>
        <w:rPr>
          <w:rFonts w:hint="eastAsia" w:ascii="宋体" w:hAnsi="宋体" w:cs="宋体"/>
          <w:b/>
          <w:bCs/>
          <w:color w:val="auto"/>
          <w:sz w:val="24"/>
          <w:highlight w:val="none"/>
          <w:lang w:eastAsia="zh-CN"/>
        </w:rPr>
        <w:t>：</w:t>
      </w:r>
      <w:r>
        <w:rPr>
          <w:rFonts w:hint="eastAsia" w:ascii="宋体" w:hAnsi="宋体" w:cs="宋体"/>
          <w:b w:val="0"/>
          <w:bCs w:val="0"/>
          <w:color w:val="auto"/>
          <w:sz w:val="24"/>
          <w:highlight w:val="none"/>
          <w:lang w:val="en-US" w:eastAsia="zh-CN"/>
        </w:rPr>
        <w:t>交货期：自合同签订之日起60日历天(具体交货时间签订合同时约定)</w:t>
      </w:r>
      <w:r>
        <w:rPr>
          <w:rFonts w:hint="eastAsia" w:ascii="宋体" w:hAnsi="宋体" w:cs="宋体"/>
          <w:b w:val="0"/>
          <w:bCs w:val="0"/>
          <w:color w:val="auto"/>
          <w:sz w:val="24"/>
          <w:highlight w:val="none"/>
          <w:u w:val="none"/>
          <w:lang w:val="en-US" w:eastAsia="zh-CN"/>
        </w:rPr>
        <w:t>。</w:t>
      </w:r>
    </w:p>
    <w:p w14:paraId="51E45AF9">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color w:val="auto"/>
          <w:sz w:val="24"/>
        </w:rPr>
      </w:pPr>
      <w:r>
        <w:rPr>
          <w:rFonts w:hint="eastAsia" w:ascii="宋体" w:hAnsi="宋体" w:cs="宋体"/>
          <w:b/>
          <w:bCs/>
          <w:color w:val="auto"/>
          <w:sz w:val="24"/>
        </w:rPr>
        <w:t>本项目不接受联合体投标。</w:t>
      </w:r>
    </w:p>
    <w:p w14:paraId="1B3515A7">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bookmarkStart w:id="15" w:name="_Toc28359003"/>
      <w:bookmarkStart w:id="16" w:name="_Toc18625"/>
      <w:bookmarkStart w:id="17" w:name="_Toc35393622"/>
      <w:bookmarkStart w:id="18" w:name="_Toc28359080"/>
      <w:bookmarkStart w:id="19" w:name="_Toc29515"/>
      <w:bookmarkStart w:id="20" w:name="_Toc31044"/>
      <w:bookmarkStart w:id="21" w:name="_Toc2854"/>
      <w:bookmarkStart w:id="22" w:name="_Toc25034"/>
      <w:bookmarkStart w:id="23" w:name="_Toc35393791"/>
      <w:r>
        <w:rPr>
          <w:rFonts w:hint="eastAsia" w:ascii="宋体" w:hAnsi="宋体" w:cs="宋体"/>
          <w:b/>
          <w:bCs/>
          <w:color w:val="auto"/>
          <w:sz w:val="24"/>
        </w:rPr>
        <w:t>二、申请人的资格要求：</w:t>
      </w:r>
      <w:bookmarkEnd w:id="15"/>
      <w:bookmarkEnd w:id="16"/>
      <w:bookmarkEnd w:id="17"/>
      <w:bookmarkEnd w:id="18"/>
      <w:bookmarkEnd w:id="19"/>
      <w:bookmarkEnd w:id="20"/>
      <w:bookmarkEnd w:id="21"/>
      <w:bookmarkEnd w:id="22"/>
      <w:bookmarkEnd w:id="23"/>
    </w:p>
    <w:p w14:paraId="51DA5034">
      <w:pPr>
        <w:pStyle w:val="70"/>
        <w:autoSpaceDE w:val="0"/>
        <w:autoSpaceDN w:val="0"/>
        <w:adjustRightInd w:val="0"/>
        <w:spacing w:line="360" w:lineRule="auto"/>
        <w:ind w:firstLine="240" w:firstLineChars="100"/>
        <w:contextualSpacing/>
        <w:rPr>
          <w:rFonts w:ascii="宋体" w:hAnsi="Cambria" w:cs="宋体"/>
          <w:kern w:val="0"/>
          <w:sz w:val="24"/>
          <w:lang w:val="zh-CN"/>
        </w:rPr>
      </w:pPr>
      <w:bookmarkStart w:id="24" w:name="_Toc18348"/>
      <w:bookmarkStart w:id="25" w:name="_Toc28359081"/>
      <w:bookmarkStart w:id="26" w:name="_Toc27458"/>
      <w:bookmarkStart w:id="27" w:name="_Toc28359004"/>
      <w:bookmarkStart w:id="28" w:name="_Toc6195"/>
      <w:bookmarkStart w:id="29" w:name="_Toc35393623"/>
      <w:bookmarkStart w:id="30" w:name="_Toc17750"/>
      <w:bookmarkStart w:id="31" w:name="_Toc35393792"/>
      <w:bookmarkStart w:id="32" w:name="_Toc10138"/>
      <w:r>
        <w:rPr>
          <w:rFonts w:hint="eastAsia" w:ascii="宋体" w:hAnsi="Cambria" w:cs="宋体"/>
          <w:kern w:val="0"/>
          <w:sz w:val="24"/>
          <w:lang w:val="en-US" w:eastAsia="zh-CN"/>
        </w:rPr>
        <w:t>1、</w:t>
      </w:r>
      <w:r>
        <w:rPr>
          <w:rFonts w:hint="eastAsia" w:ascii="宋体" w:hAnsi="Cambria" w:cs="宋体"/>
          <w:kern w:val="0"/>
          <w:sz w:val="24"/>
          <w:lang w:val="zh-CN"/>
        </w:rPr>
        <w:t>符合《政府采购法》第22条规定，并提供下列材料：</w:t>
      </w:r>
    </w:p>
    <w:p w14:paraId="5025A7F9">
      <w:pPr>
        <w:pStyle w:val="70"/>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1）供应商的营业执照等证明文件，自然人的身份证明。</w:t>
      </w:r>
    </w:p>
    <w:p w14:paraId="628A8B99">
      <w:pPr>
        <w:pStyle w:val="70"/>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2）财务状况报告，依法缴纳税收和社会保障资金的相关材料。</w:t>
      </w:r>
    </w:p>
    <w:p w14:paraId="4CE07017">
      <w:pPr>
        <w:pStyle w:val="70"/>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3）具备履行合同所必需的设备和专业技术能力的证明材料。</w:t>
      </w:r>
    </w:p>
    <w:p w14:paraId="753108EC">
      <w:pPr>
        <w:pStyle w:val="70"/>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4）参加政府采购活动前3年内在经营活动中没有重大违法记录的书面声明。</w:t>
      </w:r>
    </w:p>
    <w:p w14:paraId="641BBC46">
      <w:pPr>
        <w:pStyle w:val="70"/>
        <w:autoSpaceDE w:val="0"/>
        <w:autoSpaceDN w:val="0"/>
        <w:adjustRightInd w:val="0"/>
        <w:spacing w:line="360" w:lineRule="auto"/>
        <w:ind w:firstLine="480" w:firstLineChars="200"/>
        <w:contextualSpacing/>
        <w:rPr>
          <w:rFonts w:hint="eastAsia" w:ascii="宋体" w:hAnsi="Cambria" w:cs="宋体"/>
          <w:kern w:val="0"/>
          <w:sz w:val="24"/>
          <w:lang w:val="zh-CN"/>
        </w:rPr>
      </w:pPr>
      <w:r>
        <w:rPr>
          <w:rFonts w:hint="eastAsia" w:ascii="宋体" w:hAnsi="Cambria" w:cs="宋体"/>
          <w:kern w:val="0"/>
          <w:sz w:val="24"/>
          <w:lang w:val="zh-CN"/>
        </w:rPr>
        <w:t>5）具备法律、行政法规规定的其他条件的证明材料。</w:t>
      </w:r>
    </w:p>
    <w:p w14:paraId="45DEB840">
      <w:pPr>
        <w:pStyle w:val="70"/>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en-US" w:eastAsia="zh-CN"/>
        </w:rPr>
        <w:t>2、</w:t>
      </w:r>
      <w:r>
        <w:rPr>
          <w:rFonts w:hint="eastAsia" w:ascii="宋体" w:hAnsi="Cambria" w:cs="宋体"/>
          <w:kern w:val="0"/>
          <w:sz w:val="24"/>
          <w:lang w:val="zh-CN"/>
        </w:rPr>
        <w:t>单位负责人为同一人或者存在直接控股、管理关系的不同供应商，不得参加同一合同项下的政府采购活动。否则，皆取消磋商资格。</w:t>
      </w:r>
    </w:p>
    <w:p w14:paraId="1ACE363D">
      <w:pPr>
        <w:pStyle w:val="70"/>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en-US" w:eastAsia="zh-CN"/>
        </w:rPr>
        <w:t>3、</w:t>
      </w:r>
      <w:r>
        <w:rPr>
          <w:rFonts w:hint="eastAsia" w:ascii="宋体" w:hAnsi="Cambria" w:cs="宋体"/>
          <w:kern w:val="0"/>
          <w:sz w:val="24"/>
          <w:lang w:val="zh-CN"/>
        </w:rPr>
        <w:t>为本采购项目提供整体设计、规范编制或者项目管理、监理、检测等服务的供应商，不得再参加该采购项目的其他采购活动。</w:t>
      </w:r>
    </w:p>
    <w:p w14:paraId="626C5BB5">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outlineLvl w:val="1"/>
        <w:rPr>
          <w:rFonts w:hint="eastAsia" w:ascii="宋体" w:hAnsi="Cambria" w:eastAsia="宋体" w:cs="宋体"/>
          <w:kern w:val="0"/>
          <w:sz w:val="24"/>
          <w:szCs w:val="22"/>
          <w:lang w:val="zh-CN" w:eastAsia="zh-CN" w:bidi="ar-SA"/>
        </w:rPr>
      </w:pPr>
      <w:r>
        <w:rPr>
          <w:rFonts w:hint="eastAsia" w:ascii="宋体" w:hAnsi="Cambria" w:cs="宋体"/>
          <w:kern w:val="0"/>
          <w:sz w:val="24"/>
          <w:lang w:val="en-US" w:eastAsia="zh-CN"/>
        </w:rPr>
        <w:t>4、</w:t>
      </w:r>
      <w:r>
        <w:rPr>
          <w:rFonts w:hint="eastAsia" w:ascii="宋体" w:hAnsi="Cambria" w:eastAsia="宋体" w:cs="宋体"/>
          <w:kern w:val="0"/>
          <w:sz w:val="24"/>
          <w:szCs w:val="22"/>
          <w:lang w:val="zh-CN" w:eastAsia="zh-CN" w:bidi="ar-SA"/>
        </w:rPr>
        <w:t>经信用中国（www.creditchina.gov.cn）、中国政府采购网（www.ccgp.gov.cn）渠道查询后，列入失信被执行人、重大税收违法案件当事人名单、政府采购严重违法失信行为记录名单的，取消投标资格。（提供“信用中国”、“中国政府采购网”网站查询截图，时间为投标截止时间前</w:t>
      </w:r>
      <w:r>
        <w:rPr>
          <w:rFonts w:hint="eastAsia" w:ascii="宋体" w:hAnsi="Cambria" w:cs="宋体"/>
          <w:kern w:val="0"/>
          <w:sz w:val="24"/>
          <w:szCs w:val="22"/>
          <w:lang w:val="en-US" w:eastAsia="zh-CN" w:bidi="ar-SA"/>
        </w:rPr>
        <w:t>1</w:t>
      </w:r>
      <w:r>
        <w:rPr>
          <w:rFonts w:hint="eastAsia" w:ascii="宋体" w:hAnsi="Cambria" w:eastAsia="宋体" w:cs="宋体"/>
          <w:kern w:val="0"/>
          <w:sz w:val="24"/>
          <w:szCs w:val="22"/>
          <w:lang w:val="en-US" w:eastAsia="zh-CN" w:bidi="ar-SA"/>
        </w:rPr>
        <w:t>0</w:t>
      </w:r>
      <w:r>
        <w:rPr>
          <w:rFonts w:hint="eastAsia" w:ascii="宋体" w:hAnsi="Cambria" w:eastAsia="宋体" w:cs="宋体"/>
          <w:kern w:val="0"/>
          <w:sz w:val="24"/>
          <w:szCs w:val="22"/>
          <w:lang w:val="zh-CN" w:eastAsia="zh-CN" w:bidi="ar-SA"/>
        </w:rPr>
        <w:t>天内）。</w:t>
      </w:r>
    </w:p>
    <w:p w14:paraId="11BEFA36">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outlineLvl w:val="1"/>
        <w:rPr>
          <w:rFonts w:hint="eastAsia" w:ascii="宋体" w:hAnsi="Cambria" w:cs="宋体"/>
          <w:kern w:val="0"/>
          <w:sz w:val="24"/>
          <w:lang w:val="zh-CN"/>
        </w:rPr>
      </w:pPr>
      <w:r>
        <w:rPr>
          <w:rFonts w:hint="eastAsia" w:ascii="宋体" w:hAnsi="Cambria" w:cs="宋体"/>
          <w:kern w:val="0"/>
          <w:sz w:val="24"/>
          <w:lang w:val="en-US" w:eastAsia="zh-CN"/>
        </w:rPr>
        <w:t>5、</w:t>
      </w:r>
      <w:r>
        <w:rPr>
          <w:rFonts w:hint="eastAsia" w:ascii="宋体" w:hAnsi="Cambria" w:cs="宋体"/>
          <w:kern w:val="0"/>
          <w:sz w:val="24"/>
          <w:lang w:val="zh-CN"/>
        </w:rPr>
        <w:t>本项目不接受以联合体方式进行投标。</w:t>
      </w:r>
    </w:p>
    <w:p w14:paraId="1C73D48A">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outlineLvl w:val="1"/>
        <w:rPr>
          <w:rFonts w:ascii="宋体" w:hAnsi="Cambria" w:cs="宋体"/>
          <w:kern w:val="0"/>
          <w:sz w:val="24"/>
          <w:lang w:val="zh-CN"/>
        </w:rPr>
      </w:pPr>
      <w:r>
        <w:rPr>
          <w:rFonts w:hint="eastAsia" w:ascii="宋体" w:hAnsi="Cambria" w:cs="宋体"/>
          <w:kern w:val="0"/>
          <w:sz w:val="24"/>
          <w:szCs w:val="22"/>
          <w:highlight w:val="none"/>
          <w:lang w:val="en-US" w:eastAsia="zh-CN" w:bidi="ar-SA"/>
        </w:rPr>
        <w:t>6、</w:t>
      </w:r>
      <w:r>
        <w:rPr>
          <w:rFonts w:hint="eastAsia" w:ascii="宋体" w:hAnsi="Cambria" w:eastAsia="宋体" w:cs="宋体"/>
          <w:kern w:val="0"/>
          <w:sz w:val="24"/>
          <w:szCs w:val="22"/>
          <w:highlight w:val="none"/>
          <w:lang w:val="zh-CN" w:eastAsia="zh-CN" w:bidi="ar-SA"/>
        </w:rPr>
        <w:t>本项目落实政府采购需满足的资格条件：</w:t>
      </w:r>
      <w:r>
        <w:rPr>
          <w:rFonts w:hint="eastAsia" w:ascii="宋体" w:hAnsi="Cambria" w:cs="宋体"/>
          <w:kern w:val="0"/>
          <w:sz w:val="24"/>
          <w:szCs w:val="22"/>
          <w:highlight w:val="none"/>
          <w:lang w:val="en-US" w:eastAsia="zh-CN" w:bidi="ar-SA"/>
        </w:rPr>
        <w:t>本项目全部面向中小企业采购。</w:t>
      </w:r>
    </w:p>
    <w:p w14:paraId="7E8E1F67">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r>
        <w:rPr>
          <w:rFonts w:hint="eastAsia" w:ascii="宋体" w:hAnsi="宋体" w:cs="宋体"/>
          <w:b/>
          <w:bCs/>
          <w:color w:val="auto"/>
          <w:sz w:val="24"/>
        </w:rPr>
        <w:t>三、获取采购文件</w:t>
      </w:r>
      <w:bookmarkEnd w:id="24"/>
      <w:bookmarkEnd w:id="25"/>
      <w:bookmarkEnd w:id="26"/>
      <w:bookmarkEnd w:id="27"/>
      <w:bookmarkEnd w:id="28"/>
      <w:bookmarkEnd w:id="29"/>
      <w:bookmarkEnd w:id="30"/>
      <w:bookmarkEnd w:id="31"/>
      <w:bookmarkEnd w:id="32"/>
    </w:p>
    <w:p w14:paraId="50C44BC7">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时间：</w:t>
      </w:r>
      <w:r>
        <w:rPr>
          <w:rFonts w:hint="eastAsia" w:ascii="宋体" w:hAnsi="宋体" w:cs="宋体"/>
          <w:b w:val="0"/>
          <w:bCs w:val="0"/>
          <w:sz w:val="24"/>
          <w:szCs w:val="24"/>
          <w:highlight w:val="none"/>
          <w:u w:val="none"/>
          <w:lang w:eastAsia="zh-CN"/>
        </w:rPr>
        <w:t>202</w:t>
      </w:r>
      <w:r>
        <w:rPr>
          <w:rFonts w:hint="eastAsia" w:ascii="宋体" w:hAnsi="宋体" w:cs="宋体"/>
          <w:b w:val="0"/>
          <w:bCs w:val="0"/>
          <w:sz w:val="24"/>
          <w:szCs w:val="24"/>
          <w:highlight w:val="none"/>
          <w:u w:val="none"/>
          <w:lang w:val="en-US" w:eastAsia="zh-CN"/>
        </w:rPr>
        <w:t>4</w:t>
      </w:r>
      <w:r>
        <w:rPr>
          <w:rFonts w:hint="eastAsia" w:ascii="宋体" w:hAnsi="宋体" w:cs="宋体"/>
          <w:b w:val="0"/>
          <w:bCs w:val="0"/>
          <w:sz w:val="24"/>
          <w:szCs w:val="24"/>
          <w:highlight w:val="none"/>
          <w:u w:val="none"/>
          <w:lang w:eastAsia="zh-CN"/>
        </w:rPr>
        <w:t>年</w:t>
      </w:r>
      <w:r>
        <w:rPr>
          <w:rFonts w:hint="eastAsia" w:ascii="宋体" w:hAnsi="宋体" w:cs="宋体"/>
          <w:b w:val="0"/>
          <w:bCs w:val="0"/>
          <w:sz w:val="24"/>
          <w:szCs w:val="24"/>
          <w:highlight w:val="none"/>
          <w:u w:val="none"/>
          <w:lang w:val="en-US" w:eastAsia="zh-CN"/>
        </w:rPr>
        <w:t>11</w:t>
      </w:r>
      <w:r>
        <w:rPr>
          <w:rFonts w:hint="eastAsia" w:ascii="宋体" w:hAnsi="宋体" w:cs="宋体"/>
          <w:b w:val="0"/>
          <w:bCs w:val="0"/>
          <w:sz w:val="24"/>
          <w:szCs w:val="24"/>
          <w:highlight w:val="none"/>
          <w:u w:val="none"/>
          <w:lang w:eastAsia="zh-CN"/>
        </w:rPr>
        <w:t>月</w:t>
      </w:r>
      <w:r>
        <w:rPr>
          <w:rFonts w:hint="eastAsia" w:ascii="宋体" w:hAnsi="宋体" w:cs="宋体"/>
          <w:b w:val="0"/>
          <w:bCs w:val="0"/>
          <w:sz w:val="24"/>
          <w:szCs w:val="24"/>
          <w:highlight w:val="none"/>
          <w:u w:val="none"/>
          <w:lang w:val="en-US" w:eastAsia="zh-CN"/>
        </w:rPr>
        <w:t>29</w:t>
      </w:r>
      <w:r>
        <w:rPr>
          <w:rFonts w:hint="eastAsia" w:ascii="宋体" w:hAnsi="宋体" w:cs="宋体"/>
          <w:b w:val="0"/>
          <w:bCs w:val="0"/>
          <w:sz w:val="24"/>
          <w:szCs w:val="24"/>
          <w:highlight w:val="none"/>
          <w:u w:val="none"/>
          <w:lang w:eastAsia="zh-CN"/>
        </w:rPr>
        <w:t>日至202</w:t>
      </w:r>
      <w:r>
        <w:rPr>
          <w:rFonts w:hint="eastAsia" w:ascii="宋体" w:hAnsi="宋体" w:cs="宋体"/>
          <w:b w:val="0"/>
          <w:bCs w:val="0"/>
          <w:sz w:val="24"/>
          <w:szCs w:val="24"/>
          <w:highlight w:val="none"/>
          <w:u w:val="none"/>
          <w:lang w:val="en-US" w:eastAsia="zh-CN"/>
        </w:rPr>
        <w:t>4</w:t>
      </w:r>
      <w:r>
        <w:rPr>
          <w:rFonts w:hint="eastAsia" w:ascii="宋体" w:hAnsi="宋体" w:cs="宋体"/>
          <w:b w:val="0"/>
          <w:bCs w:val="0"/>
          <w:sz w:val="24"/>
          <w:szCs w:val="24"/>
          <w:highlight w:val="none"/>
          <w:u w:val="none"/>
          <w:lang w:eastAsia="zh-CN"/>
        </w:rPr>
        <w:t>年</w:t>
      </w:r>
      <w:r>
        <w:rPr>
          <w:rFonts w:hint="eastAsia" w:ascii="宋体" w:hAnsi="宋体" w:cs="宋体"/>
          <w:b w:val="0"/>
          <w:bCs w:val="0"/>
          <w:sz w:val="24"/>
          <w:szCs w:val="24"/>
          <w:highlight w:val="none"/>
          <w:u w:val="none"/>
          <w:lang w:val="en-US" w:eastAsia="zh-CN"/>
        </w:rPr>
        <w:t>12</w:t>
      </w:r>
      <w:r>
        <w:rPr>
          <w:rFonts w:hint="eastAsia" w:ascii="宋体" w:hAnsi="宋体" w:cs="宋体"/>
          <w:b w:val="0"/>
          <w:bCs w:val="0"/>
          <w:sz w:val="24"/>
          <w:szCs w:val="24"/>
          <w:highlight w:val="none"/>
          <w:u w:val="none"/>
          <w:lang w:eastAsia="zh-CN"/>
        </w:rPr>
        <w:t>月</w:t>
      </w:r>
      <w:r>
        <w:rPr>
          <w:rFonts w:hint="eastAsia" w:ascii="宋体" w:hAnsi="宋体" w:cs="宋体"/>
          <w:b w:val="0"/>
          <w:bCs w:val="0"/>
          <w:sz w:val="24"/>
          <w:szCs w:val="24"/>
          <w:highlight w:val="none"/>
          <w:u w:val="none"/>
          <w:lang w:val="en-US" w:eastAsia="zh-CN"/>
        </w:rPr>
        <w:t>06</w:t>
      </w:r>
      <w:r>
        <w:rPr>
          <w:rFonts w:hint="eastAsia" w:ascii="宋体" w:hAnsi="宋体" w:cs="宋体"/>
          <w:b w:val="0"/>
          <w:bCs w:val="0"/>
          <w:sz w:val="24"/>
          <w:szCs w:val="24"/>
          <w:highlight w:val="none"/>
          <w:u w:val="none"/>
          <w:lang w:eastAsia="zh-CN"/>
        </w:rPr>
        <w:t>日</w:t>
      </w:r>
      <w:r>
        <w:rPr>
          <w:rFonts w:hint="eastAsia" w:ascii="宋体" w:hAnsi="宋体" w:cs="宋体"/>
          <w:color w:val="auto"/>
          <w:sz w:val="24"/>
          <w:u w:val="none"/>
          <w:lang w:val="zh-CN"/>
        </w:rPr>
        <w:t>，每天</w:t>
      </w:r>
      <w:r>
        <w:rPr>
          <w:rFonts w:hint="eastAsia" w:ascii="宋体" w:hAnsi="宋体" w:cs="宋体"/>
          <w:color w:val="auto"/>
          <w:sz w:val="24"/>
          <w:u w:val="none"/>
          <w:lang w:val="en-US" w:eastAsia="zh-CN"/>
        </w:rPr>
        <w:t>0</w:t>
      </w:r>
      <w:r>
        <w:rPr>
          <w:rFonts w:hint="eastAsia" w:ascii="宋体" w:hAnsi="宋体" w:cs="宋体"/>
          <w:color w:val="auto"/>
          <w:sz w:val="24"/>
          <w:u w:val="none"/>
          <w:lang w:val="zh-CN"/>
        </w:rPr>
        <w:t>0:00</w:t>
      </w:r>
      <w:r>
        <w:rPr>
          <w:rFonts w:hint="eastAsia" w:ascii="宋体" w:hAnsi="宋体" w:cs="宋体"/>
          <w:color w:val="auto"/>
          <w:sz w:val="24"/>
          <w:u w:val="none"/>
        </w:rPr>
        <w:t>时</w:t>
      </w:r>
      <w:r>
        <w:rPr>
          <w:rFonts w:hint="eastAsia" w:ascii="宋体" w:hAnsi="宋体" w:cs="宋体"/>
          <w:color w:val="auto"/>
          <w:sz w:val="24"/>
          <w:u w:val="none"/>
          <w:lang w:val="zh-CN"/>
        </w:rPr>
        <w:t>至2</w:t>
      </w:r>
      <w:r>
        <w:rPr>
          <w:rFonts w:hint="eastAsia" w:ascii="宋体" w:hAnsi="宋体" w:cs="宋体"/>
          <w:color w:val="auto"/>
          <w:sz w:val="24"/>
          <w:u w:val="none"/>
          <w:lang w:val="en-US" w:eastAsia="zh-CN"/>
        </w:rPr>
        <w:t>3</w:t>
      </w:r>
      <w:r>
        <w:rPr>
          <w:rFonts w:hint="eastAsia" w:ascii="宋体" w:hAnsi="宋体" w:cs="宋体"/>
          <w:color w:val="auto"/>
          <w:sz w:val="24"/>
          <w:u w:val="none"/>
          <w:lang w:val="zh-CN"/>
        </w:rPr>
        <w:t>:</w:t>
      </w:r>
      <w:r>
        <w:rPr>
          <w:rFonts w:hint="eastAsia" w:ascii="宋体" w:hAnsi="宋体" w:cs="宋体"/>
          <w:color w:val="auto"/>
          <w:sz w:val="24"/>
          <w:u w:val="none"/>
          <w:lang w:val="en-US" w:eastAsia="zh-CN"/>
        </w:rPr>
        <w:t>59</w:t>
      </w:r>
      <w:r>
        <w:rPr>
          <w:rFonts w:hint="eastAsia" w:ascii="宋体" w:hAnsi="宋体" w:cs="宋体"/>
          <w:color w:val="auto"/>
          <w:sz w:val="24"/>
          <w:u w:val="none"/>
        </w:rPr>
        <w:t>时(法定节</w:t>
      </w:r>
    </w:p>
    <w:p w14:paraId="564C46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u w:val="none"/>
        </w:rPr>
      </w:pPr>
      <w:r>
        <w:rPr>
          <w:rFonts w:hint="eastAsia" w:ascii="宋体" w:hAnsi="宋体" w:cs="宋体"/>
          <w:color w:val="auto"/>
          <w:sz w:val="24"/>
          <w:u w:val="none"/>
        </w:rPr>
        <w:t>假日除外)</w:t>
      </w:r>
    </w:p>
    <w:p w14:paraId="304CEE53">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地点：</w:t>
      </w:r>
      <w:r>
        <w:rPr>
          <w:rFonts w:hint="eastAsia" w:ascii="宋体" w:hAnsi="宋体" w:cs="宋体"/>
          <w:color w:val="auto"/>
          <w:sz w:val="24"/>
          <w:u w:val="none"/>
        </w:rPr>
        <w:t>线上获取通过政采云平台（ www.zcygov.cn）获取</w:t>
      </w:r>
    </w:p>
    <w:p w14:paraId="713D5A3B">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方式：</w:t>
      </w:r>
      <w:r>
        <w:rPr>
          <w:rFonts w:hint="eastAsia" w:ascii="宋体" w:hAnsi="宋体" w:cs="宋体"/>
          <w:color w:val="auto"/>
          <w:sz w:val="24"/>
          <w:u w:val="none"/>
        </w:rPr>
        <w:t>供应商登录政采云平台https://www.zcygov.cn/在线申请获取采购文件（进入“项目采购”应用，在获取采购文件菜单中选择项目，申请获取采购文件）</w:t>
      </w:r>
    </w:p>
    <w:p w14:paraId="141DEC51">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lang w:val="zh-CN"/>
        </w:rPr>
      </w:pPr>
      <w:r>
        <w:rPr>
          <w:rFonts w:hint="eastAsia" w:ascii="宋体" w:hAnsi="宋体" w:cs="宋体"/>
          <w:b/>
          <w:bCs/>
          <w:color w:val="auto"/>
          <w:sz w:val="24"/>
          <w:u w:val="none"/>
          <w:lang w:val="zh-CN"/>
        </w:rPr>
        <w:t>售价：</w:t>
      </w:r>
      <w:r>
        <w:rPr>
          <w:rFonts w:hint="eastAsia" w:ascii="宋体" w:hAnsi="宋体" w:cs="宋体"/>
          <w:color w:val="auto"/>
          <w:sz w:val="24"/>
          <w:u w:val="none"/>
        </w:rPr>
        <w:t>0</w:t>
      </w:r>
      <w:r>
        <w:rPr>
          <w:rFonts w:hint="eastAsia" w:ascii="宋体" w:hAnsi="宋体" w:cs="宋体"/>
          <w:color w:val="auto"/>
          <w:sz w:val="24"/>
          <w:u w:val="none"/>
          <w:lang w:val="zh-CN"/>
        </w:rPr>
        <w:t>元（</w:t>
      </w:r>
      <w:r>
        <w:rPr>
          <w:rFonts w:hint="eastAsia" w:ascii="宋体" w:hAnsi="宋体" w:cs="宋体"/>
          <w:color w:val="auto"/>
          <w:sz w:val="24"/>
          <w:u w:val="none"/>
          <w:lang w:val="en-US" w:eastAsia="zh-CN"/>
        </w:rPr>
        <w:t>磋商</w:t>
      </w:r>
      <w:r>
        <w:rPr>
          <w:rFonts w:hint="eastAsia" w:ascii="宋体" w:hAnsi="宋体" w:cs="宋体"/>
          <w:color w:val="auto"/>
          <w:sz w:val="24"/>
          <w:u w:val="none"/>
          <w:lang w:val="zh-CN"/>
        </w:rPr>
        <w:t>资格不能转让）</w:t>
      </w:r>
    </w:p>
    <w:p w14:paraId="2B43DE3C">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u w:val="none"/>
        </w:rPr>
      </w:pPr>
      <w:bookmarkStart w:id="33" w:name="_Toc29703"/>
      <w:bookmarkStart w:id="34" w:name="_Toc35393793"/>
      <w:bookmarkStart w:id="35" w:name="_Toc28359005"/>
      <w:bookmarkStart w:id="36" w:name="_Toc35393624"/>
      <w:bookmarkStart w:id="37" w:name="_Toc13059"/>
      <w:bookmarkStart w:id="38" w:name="_Toc28359082"/>
      <w:bookmarkStart w:id="39" w:name="_Toc24601"/>
      <w:bookmarkStart w:id="40" w:name="_Toc24699"/>
      <w:bookmarkStart w:id="41" w:name="_Toc4607"/>
      <w:r>
        <w:rPr>
          <w:rFonts w:hint="eastAsia" w:ascii="宋体" w:hAnsi="宋体" w:cs="宋体"/>
          <w:b/>
          <w:bCs/>
          <w:color w:val="auto"/>
          <w:sz w:val="24"/>
          <w:u w:val="none"/>
          <w:lang w:val="zh-CN"/>
        </w:rPr>
        <w:t>四、</w:t>
      </w:r>
      <w:bookmarkEnd w:id="33"/>
      <w:bookmarkEnd w:id="34"/>
      <w:bookmarkEnd w:id="35"/>
      <w:bookmarkEnd w:id="36"/>
      <w:bookmarkEnd w:id="37"/>
      <w:bookmarkEnd w:id="38"/>
      <w:bookmarkEnd w:id="39"/>
      <w:r>
        <w:rPr>
          <w:rFonts w:hint="eastAsia" w:ascii="宋体" w:hAnsi="宋体" w:cs="宋体"/>
          <w:b/>
          <w:bCs/>
          <w:color w:val="auto"/>
          <w:sz w:val="24"/>
          <w:u w:val="none"/>
          <w:lang w:val="zh-CN"/>
        </w:rPr>
        <w:t>响应文件的提交</w:t>
      </w:r>
      <w:bookmarkEnd w:id="40"/>
      <w:bookmarkEnd w:id="41"/>
    </w:p>
    <w:p w14:paraId="6AA4CCB2">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截止时间：</w:t>
      </w:r>
      <w:r>
        <w:rPr>
          <w:rFonts w:hint="eastAsia" w:ascii="宋体" w:hAnsi="宋体" w:cs="宋体"/>
          <w:color w:val="auto"/>
          <w:sz w:val="24"/>
          <w:u w:val="none"/>
          <w:lang w:eastAsia="zh-CN"/>
        </w:rPr>
        <w:t>2024年12月12日上午09时30分（北京时间）</w:t>
      </w:r>
    </w:p>
    <w:p w14:paraId="54F29C92">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地点：</w:t>
      </w:r>
      <w:r>
        <w:rPr>
          <w:rFonts w:hint="eastAsia" w:ascii="宋体" w:hAnsi="宋体" w:cs="宋体"/>
          <w:color w:val="auto"/>
          <w:sz w:val="24"/>
          <w:u w:val="none"/>
          <w:lang w:val="zh-CN"/>
        </w:rPr>
        <w:t>政采云平台</w:t>
      </w:r>
      <w:r>
        <w:rPr>
          <w:rFonts w:hint="eastAsia" w:ascii="宋体" w:hAnsi="宋体" w:cs="宋体"/>
          <w:color w:val="auto"/>
          <w:sz w:val="24"/>
          <w:u w:val="none"/>
        </w:rPr>
        <w:t>（https://www.zcygov.cn/）</w:t>
      </w:r>
    </w:p>
    <w:p w14:paraId="6CE9AC0C">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b/>
          <w:bCs/>
          <w:color w:val="auto"/>
          <w:kern w:val="2"/>
          <w:u w:val="none"/>
        </w:rPr>
      </w:pPr>
      <w:bookmarkStart w:id="42" w:name="_Toc7260"/>
      <w:bookmarkStart w:id="43" w:name="_Toc28597"/>
      <w:bookmarkStart w:id="44" w:name="_Toc24901"/>
      <w:bookmarkStart w:id="45" w:name="_Toc35393795"/>
      <w:bookmarkStart w:id="46" w:name="_Toc35393626"/>
      <w:r>
        <w:rPr>
          <w:rFonts w:hint="eastAsia"/>
          <w:b/>
          <w:bCs/>
          <w:color w:val="auto"/>
          <w:kern w:val="2"/>
          <w:u w:val="none"/>
        </w:rPr>
        <w:t>五、响应文件开启</w:t>
      </w:r>
    </w:p>
    <w:p w14:paraId="211E7367">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cs="宋体"/>
          <w:color w:val="auto"/>
          <w:u w:val="none"/>
        </w:rPr>
      </w:pPr>
      <w:r>
        <w:rPr>
          <w:rFonts w:hint="eastAsia" w:ascii="宋体" w:hAnsi="宋体" w:cs="宋体"/>
          <w:b/>
          <w:bCs/>
          <w:color w:val="auto"/>
          <w:u w:val="none"/>
        </w:rPr>
        <w:t>开启时间：</w:t>
      </w:r>
      <w:r>
        <w:rPr>
          <w:rFonts w:hint="eastAsia" w:cs="宋体"/>
          <w:color w:val="auto"/>
          <w:u w:val="none"/>
          <w:lang w:eastAsia="zh-CN"/>
        </w:rPr>
        <w:t>2024年12月12日上午09时30分（北京时间）</w:t>
      </w:r>
    </w:p>
    <w:p w14:paraId="6C03B496">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b/>
          <w:bCs/>
          <w:color w:val="auto"/>
          <w:u w:val="none"/>
        </w:rPr>
      </w:pPr>
      <w:r>
        <w:rPr>
          <w:rFonts w:hint="eastAsia" w:ascii="宋体" w:hAnsi="宋体" w:cs="宋体"/>
          <w:b/>
          <w:bCs/>
          <w:color w:val="auto"/>
          <w:sz w:val="24"/>
          <w:u w:val="none"/>
        </w:rPr>
        <w:t>地点：</w:t>
      </w:r>
      <w:r>
        <w:rPr>
          <w:rFonts w:hint="eastAsia" w:ascii="宋体" w:hAnsi="宋体" w:cs="宋体"/>
          <w:color w:val="auto"/>
          <w:sz w:val="24"/>
          <w:u w:val="none"/>
          <w:lang w:val="zh-CN"/>
        </w:rPr>
        <w:t>政采云平台</w:t>
      </w:r>
      <w:r>
        <w:rPr>
          <w:rFonts w:hint="eastAsia" w:ascii="宋体" w:hAnsi="宋体" w:cs="宋体"/>
          <w:color w:val="auto"/>
          <w:sz w:val="24"/>
          <w:u w:val="none"/>
        </w:rPr>
        <w:t>（https://www.zcygov.cn/）</w:t>
      </w:r>
    </w:p>
    <w:bookmarkEnd w:id="42"/>
    <w:bookmarkEnd w:id="43"/>
    <w:bookmarkEnd w:id="44"/>
    <w:p w14:paraId="3CC2FA25">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outlineLvl w:val="1"/>
        <w:rPr>
          <w:rFonts w:hint="eastAsia" w:ascii="宋体" w:hAnsi="宋体" w:cs="宋体"/>
          <w:b/>
          <w:bCs/>
          <w:color w:val="auto"/>
        </w:rPr>
      </w:pPr>
      <w:bookmarkStart w:id="47" w:name="_Toc18313"/>
      <w:bookmarkStart w:id="48" w:name="_Toc2039"/>
      <w:bookmarkStart w:id="49" w:name="_Toc11490"/>
      <w:bookmarkStart w:id="50" w:name="_Toc26651"/>
      <w:bookmarkStart w:id="51" w:name="_Toc2752"/>
      <w:bookmarkStart w:id="52" w:name="_Toc14683"/>
      <w:bookmarkStart w:id="53" w:name="_Toc26803"/>
      <w:r>
        <w:rPr>
          <w:rFonts w:hint="eastAsia" w:ascii="宋体" w:hAnsi="宋体" w:cs="宋体"/>
          <w:b/>
          <w:bCs/>
          <w:color w:val="auto"/>
        </w:rPr>
        <w:t>六、公告期限</w:t>
      </w:r>
      <w:bookmarkEnd w:id="47"/>
      <w:bookmarkEnd w:id="48"/>
    </w:p>
    <w:p w14:paraId="6815BD4C">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cs="宋体"/>
          <w:color w:val="auto"/>
        </w:rPr>
      </w:pPr>
      <w:r>
        <w:rPr>
          <w:rFonts w:hint="eastAsia" w:ascii="宋体" w:hAnsi="宋体" w:cs="宋体"/>
          <w:color w:val="auto"/>
        </w:rPr>
        <w:t>自本公告发布之日起5个工作日。</w:t>
      </w:r>
    </w:p>
    <w:p w14:paraId="02B55A79">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r>
        <w:rPr>
          <w:rFonts w:hint="eastAsia" w:ascii="宋体" w:hAnsi="宋体" w:cs="宋体"/>
          <w:b/>
          <w:bCs/>
          <w:color w:val="auto"/>
          <w:sz w:val="24"/>
        </w:rPr>
        <w:t>七、其他补充事宜</w:t>
      </w:r>
      <w:bookmarkEnd w:id="45"/>
      <w:bookmarkEnd w:id="46"/>
      <w:bookmarkEnd w:id="49"/>
      <w:bookmarkEnd w:id="50"/>
      <w:bookmarkEnd w:id="51"/>
      <w:bookmarkEnd w:id="52"/>
      <w:bookmarkEnd w:id="53"/>
    </w:p>
    <w:p w14:paraId="5D7649D2">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bidi="ar"/>
        </w:rPr>
      </w:pPr>
      <w:r>
        <w:rPr>
          <w:rFonts w:hint="eastAsia" w:ascii="宋体" w:hAnsi="宋体" w:cs="宋体"/>
          <w:color w:val="auto"/>
          <w:kern w:val="0"/>
          <w:sz w:val="24"/>
          <w:szCs w:val="24"/>
          <w:lang w:val="en-US" w:eastAsia="zh-CN" w:bidi="ar"/>
        </w:rPr>
        <w:t>1</w:t>
      </w:r>
      <w:r>
        <w:rPr>
          <w:rFonts w:hint="eastAsia" w:ascii="宋体" w:hAnsi="宋体" w:cs="宋体"/>
          <w:color w:val="auto"/>
          <w:kern w:val="0"/>
          <w:sz w:val="24"/>
          <w:szCs w:val="24"/>
          <w:lang w:bidi="ar"/>
        </w:rPr>
        <w:t>、</w:t>
      </w:r>
      <w:r>
        <w:rPr>
          <w:rFonts w:hint="eastAsia" w:ascii="宋体" w:hAnsi="宋体" w:cs="宋体"/>
          <w:color w:val="auto"/>
          <w:kern w:val="0"/>
          <w:sz w:val="24"/>
          <w:szCs w:val="24"/>
          <w:lang w:val="zh-CN" w:bidi="ar"/>
        </w:rPr>
        <w:t>本公告在《青海政府采购网》上发布；</w:t>
      </w:r>
    </w:p>
    <w:p w14:paraId="1F300810">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val="zh-CN" w:bidi="ar"/>
        </w:rPr>
      </w:pPr>
      <w:r>
        <w:rPr>
          <w:rFonts w:hint="eastAsia" w:ascii="宋体" w:hAnsi="宋体" w:cs="宋体"/>
          <w:color w:val="auto"/>
          <w:kern w:val="0"/>
          <w:sz w:val="24"/>
          <w:szCs w:val="24"/>
          <w:lang w:val="en-US" w:eastAsia="zh-CN" w:bidi="ar"/>
        </w:rPr>
        <w:t>2</w:t>
      </w:r>
      <w:r>
        <w:rPr>
          <w:rFonts w:hint="eastAsia" w:ascii="宋体" w:hAnsi="宋体" w:cs="宋体"/>
          <w:color w:val="auto"/>
          <w:kern w:val="0"/>
          <w:sz w:val="24"/>
          <w:szCs w:val="24"/>
          <w:lang w:bidi="ar"/>
        </w:rPr>
        <w:t>、</w:t>
      </w:r>
      <w:r>
        <w:rPr>
          <w:rFonts w:hint="eastAsia" w:ascii="宋体" w:hAnsi="宋体" w:cs="宋体"/>
          <w:color w:val="auto"/>
          <w:kern w:val="0"/>
          <w:sz w:val="24"/>
          <w:szCs w:val="24"/>
          <w:lang w:val="zh-CN" w:bidi="ar"/>
        </w:rPr>
        <w:t>本次</w:t>
      </w:r>
      <w:r>
        <w:rPr>
          <w:rFonts w:hint="eastAsia" w:ascii="宋体" w:hAnsi="宋体" w:cs="宋体"/>
          <w:color w:val="auto"/>
          <w:kern w:val="0"/>
          <w:sz w:val="24"/>
          <w:szCs w:val="24"/>
          <w:lang w:bidi="ar"/>
        </w:rPr>
        <w:t>采购</w:t>
      </w:r>
      <w:r>
        <w:rPr>
          <w:rFonts w:hint="eastAsia" w:ascii="宋体" w:hAnsi="宋体" w:cs="宋体"/>
          <w:color w:val="auto"/>
          <w:kern w:val="0"/>
          <w:sz w:val="24"/>
          <w:szCs w:val="24"/>
          <w:lang w:val="zh-CN" w:bidi="ar"/>
        </w:rPr>
        <w:t>采用线上提交响应文件的方式进行采购，线上</w:t>
      </w:r>
      <w:r>
        <w:rPr>
          <w:rFonts w:hint="eastAsia" w:ascii="宋体" w:hAnsi="宋体" w:cs="宋体"/>
          <w:color w:val="auto"/>
          <w:kern w:val="0"/>
          <w:sz w:val="24"/>
          <w:szCs w:val="24"/>
          <w:lang w:bidi="ar"/>
        </w:rPr>
        <w:t>电子版响应</w:t>
      </w:r>
      <w:r>
        <w:rPr>
          <w:rFonts w:hint="eastAsia" w:ascii="宋体" w:hAnsi="宋体" w:cs="宋体"/>
          <w:color w:val="auto"/>
          <w:kern w:val="0"/>
          <w:sz w:val="24"/>
          <w:szCs w:val="24"/>
          <w:lang w:val="zh-CN" w:bidi="ar"/>
        </w:rPr>
        <w:t>文件须在</w:t>
      </w:r>
      <w:r>
        <w:rPr>
          <w:rFonts w:hint="eastAsia" w:ascii="宋体" w:hAnsi="宋体" w:cs="宋体"/>
          <w:color w:val="auto"/>
          <w:kern w:val="0"/>
          <w:sz w:val="24"/>
          <w:szCs w:val="24"/>
          <w:lang w:bidi="ar"/>
        </w:rPr>
        <w:t>响应</w:t>
      </w:r>
      <w:r>
        <w:rPr>
          <w:rFonts w:hint="eastAsia" w:ascii="宋体" w:hAnsi="宋体" w:cs="宋体"/>
          <w:color w:val="auto"/>
          <w:kern w:val="0"/>
          <w:sz w:val="24"/>
          <w:szCs w:val="24"/>
          <w:lang w:val="zh-CN" w:bidi="ar"/>
        </w:rPr>
        <w:t>文件递交截止时间前上传政采云平台；</w:t>
      </w:r>
    </w:p>
    <w:p w14:paraId="6ACFA6DC">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sz w:val="24"/>
          <w:szCs w:val="24"/>
        </w:rPr>
      </w:pPr>
      <w:r>
        <w:rPr>
          <w:rFonts w:hint="eastAsia" w:ascii="宋体" w:hAnsi="宋体" w:cs="宋体"/>
          <w:color w:val="auto"/>
          <w:kern w:val="0"/>
          <w:sz w:val="24"/>
          <w:szCs w:val="24"/>
          <w:lang w:val="en-US" w:eastAsia="zh-CN" w:bidi="ar"/>
        </w:rPr>
        <w:t>3</w:t>
      </w:r>
      <w:r>
        <w:rPr>
          <w:rFonts w:hint="eastAsia" w:ascii="宋体" w:hAnsi="宋体" w:cs="宋体"/>
          <w:color w:val="auto"/>
          <w:kern w:val="0"/>
          <w:sz w:val="24"/>
          <w:szCs w:val="24"/>
          <w:lang w:bidi="ar"/>
        </w:rPr>
        <w:t>、</w:t>
      </w:r>
      <w:r>
        <w:rPr>
          <w:rFonts w:hint="eastAsia" w:ascii="宋体" w:hAnsi="宋体" w:cs="宋体"/>
          <w:color w:val="auto"/>
          <w:kern w:val="0"/>
          <w:sz w:val="24"/>
          <w:szCs w:val="24"/>
          <w:lang w:val="zh-CN" w:bidi="ar"/>
        </w:rPr>
        <w:t>若对项目采购电子交易系统操作有疑问，可登录政采云（https://www.zcygov.cn/），点击右侧咨询小采，获取采小蜜智能服务管家帮助，或拨打政采云服务</w:t>
      </w:r>
      <w:r>
        <w:rPr>
          <w:rFonts w:hint="eastAsia" w:ascii="宋体" w:hAnsi="宋体" w:cs="宋体"/>
          <w:color w:val="auto"/>
          <w:kern w:val="0"/>
          <w:sz w:val="24"/>
          <w:szCs w:val="24"/>
          <w:lang w:bidi="ar"/>
        </w:rPr>
        <w:t>热线</w:t>
      </w:r>
      <w:r>
        <w:rPr>
          <w:rFonts w:hint="eastAsia" w:ascii="宋体" w:hAnsi="宋体" w:cs="宋体"/>
          <w:color w:val="auto"/>
          <w:kern w:val="0"/>
          <w:sz w:val="24"/>
          <w:szCs w:val="24"/>
          <w:lang w:val="en-US" w:eastAsia="zh-CN" w:bidi="ar"/>
        </w:rPr>
        <w:t>95763</w:t>
      </w:r>
      <w:r>
        <w:rPr>
          <w:rFonts w:hint="eastAsia" w:ascii="宋体" w:hAnsi="宋体" w:cs="宋体"/>
          <w:color w:val="auto"/>
          <w:kern w:val="0"/>
          <w:sz w:val="24"/>
          <w:szCs w:val="24"/>
          <w:lang w:val="zh-CN" w:bidi="ar"/>
        </w:rPr>
        <w:t>获取热线服务帮助。CA问题联系电话（人工）；400-087-8198。</w:t>
      </w:r>
    </w:p>
    <w:p w14:paraId="3E0ADA01">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val="zh-CN" w:bidi="ar"/>
        </w:rPr>
      </w:pPr>
      <w:r>
        <w:rPr>
          <w:rFonts w:hint="eastAsia" w:ascii="宋体" w:hAnsi="宋体" w:cs="宋体"/>
          <w:color w:val="auto"/>
          <w:kern w:val="0"/>
          <w:sz w:val="24"/>
          <w:szCs w:val="24"/>
          <w:lang w:val="en-US" w:eastAsia="zh-CN" w:bidi="ar"/>
        </w:rPr>
        <w:t>4</w:t>
      </w:r>
      <w:r>
        <w:rPr>
          <w:rFonts w:hint="eastAsia" w:ascii="宋体" w:hAnsi="宋体" w:cs="宋体"/>
          <w:color w:val="auto"/>
          <w:kern w:val="0"/>
          <w:sz w:val="24"/>
          <w:szCs w:val="24"/>
          <w:lang w:val="zh-CN" w:bidi="ar"/>
        </w:rPr>
        <w:t>、磋商供应商解密和磋商报价时必须由e签宝注册人办理，在固定电脑设备前登陆等待解密和磋商最终报价。</w:t>
      </w:r>
    </w:p>
    <w:p w14:paraId="69B0FD2B">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lang w:val="zh-CN"/>
        </w:rPr>
      </w:pPr>
      <w:bookmarkStart w:id="54" w:name="_Toc35393796"/>
      <w:bookmarkStart w:id="55" w:name="_Toc16079"/>
      <w:bookmarkStart w:id="56" w:name="_Toc28359008"/>
      <w:bookmarkStart w:id="57" w:name="_Toc15107"/>
      <w:bookmarkStart w:id="58" w:name="_Toc1249"/>
      <w:bookmarkStart w:id="59" w:name="_Toc22544"/>
      <w:bookmarkStart w:id="60" w:name="_Toc12783"/>
      <w:bookmarkStart w:id="61" w:name="_Toc35393627"/>
      <w:bookmarkStart w:id="62" w:name="_Toc28359085"/>
      <w:r>
        <w:rPr>
          <w:rFonts w:hint="eastAsia" w:ascii="宋体" w:hAnsi="宋体" w:cs="宋体"/>
          <w:b/>
          <w:bCs/>
          <w:color w:val="auto"/>
          <w:sz w:val="24"/>
          <w:lang w:val="zh-CN"/>
        </w:rPr>
        <w:t>八、对本次采购提出询问，请按以下方式联系</w:t>
      </w:r>
      <w:bookmarkEnd w:id="54"/>
      <w:bookmarkEnd w:id="55"/>
      <w:bookmarkEnd w:id="56"/>
      <w:bookmarkEnd w:id="57"/>
      <w:bookmarkEnd w:id="58"/>
      <w:bookmarkEnd w:id="59"/>
      <w:bookmarkEnd w:id="60"/>
      <w:bookmarkEnd w:id="61"/>
      <w:bookmarkEnd w:id="62"/>
    </w:p>
    <w:p w14:paraId="11D9E66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1.采购人信息</w:t>
      </w:r>
    </w:p>
    <w:p w14:paraId="714FF0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lang w:val="zh-CN"/>
        </w:rPr>
        <w:t>名 称：</w:t>
      </w:r>
      <w:r>
        <w:rPr>
          <w:rFonts w:hint="eastAsia" w:ascii="宋体" w:hAnsi="宋体" w:cs="宋体"/>
          <w:sz w:val="24"/>
          <w:szCs w:val="24"/>
          <w:u w:val="none"/>
          <w:lang w:val="en-US" w:eastAsia="zh-CN"/>
        </w:rPr>
        <w:t>西宁市城东区文体旅游科技局</w:t>
      </w:r>
    </w:p>
    <w:p w14:paraId="139BC6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zh-CN"/>
        </w:rPr>
        <w:t>地</w:t>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lang w:val="zh-CN"/>
        </w:rPr>
        <w:t>址：</w:t>
      </w:r>
      <w:r>
        <w:rPr>
          <w:rFonts w:hint="eastAsia" w:ascii="宋体" w:hAnsi="宋体" w:cs="宋体"/>
          <w:sz w:val="24"/>
          <w:szCs w:val="24"/>
          <w:u w:val="none"/>
          <w:lang w:val="en-US" w:eastAsia="zh-CN"/>
        </w:rPr>
        <w:t>西宁市城东区文体旅游科技局</w:t>
      </w:r>
    </w:p>
    <w:p w14:paraId="009333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val="zh-CN"/>
        </w:rPr>
        <w:t>项目联系人（询问）：</w:t>
      </w:r>
      <w:r>
        <w:rPr>
          <w:rFonts w:hint="eastAsia" w:ascii="宋体" w:hAnsi="宋体" w:eastAsia="宋体" w:cs="宋体"/>
          <w:color w:val="auto"/>
          <w:sz w:val="24"/>
          <w:szCs w:val="24"/>
          <w:highlight w:val="none"/>
          <w:lang w:val="zh-CN" w:eastAsia="zh-CN"/>
        </w:rPr>
        <w:t>马先生</w:t>
      </w:r>
    </w:p>
    <w:p w14:paraId="6649D8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项目联系方式（询问）</w:t>
      </w:r>
      <w:bookmarkStart w:id="63" w:name="_Toc28359009"/>
      <w:bookmarkStart w:id="64" w:name="_Toc28359086"/>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0971-8082635</w:t>
      </w:r>
    </w:p>
    <w:p w14:paraId="4B0DB91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2.采购代理机构信息</w:t>
      </w:r>
      <w:bookmarkEnd w:id="63"/>
      <w:bookmarkEnd w:id="64"/>
    </w:p>
    <w:p w14:paraId="4D8BC6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zh-CN"/>
        </w:rPr>
        <w:t>名</w:t>
      </w:r>
      <w:r>
        <w:rPr>
          <w:rFonts w:hint="eastAsia" w:ascii="宋体" w:hAnsi="宋体" w:cs="宋体"/>
          <w:sz w:val="24"/>
          <w:szCs w:val="24"/>
          <w:lang w:val="en-US" w:eastAsia="zh-CN"/>
        </w:rPr>
        <w:t xml:space="preserve"> </w:t>
      </w:r>
      <w:r>
        <w:rPr>
          <w:rFonts w:hint="eastAsia" w:ascii="宋体" w:hAnsi="宋体" w:eastAsia="宋体" w:cs="宋体"/>
          <w:sz w:val="24"/>
          <w:szCs w:val="24"/>
          <w:lang w:val="zh-CN"/>
        </w:rPr>
        <w:t>称：</w:t>
      </w:r>
      <w:r>
        <w:rPr>
          <w:rFonts w:hint="eastAsia" w:ascii="宋体" w:hAnsi="宋体" w:cs="宋体"/>
          <w:sz w:val="24"/>
          <w:szCs w:val="24"/>
          <w:u w:val="none"/>
          <w:lang w:val="en-US" w:eastAsia="zh-CN"/>
        </w:rPr>
        <w:t>青海奕帆工程项目管理有限公司</w:t>
      </w:r>
    </w:p>
    <w:p w14:paraId="4FC904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sz w:val="24"/>
          <w:szCs w:val="24"/>
          <w:lang w:val="zh-CN"/>
        </w:rPr>
        <w:t>地</w:t>
      </w:r>
      <w:r>
        <w:rPr>
          <w:rFonts w:hint="eastAsia" w:ascii="宋体" w:hAnsi="宋体" w:cs="宋体"/>
          <w:sz w:val="24"/>
          <w:szCs w:val="24"/>
          <w:lang w:val="en-US" w:eastAsia="zh-CN"/>
        </w:rPr>
        <w:t xml:space="preserve"> </w:t>
      </w:r>
      <w:r>
        <w:rPr>
          <w:rFonts w:hint="eastAsia" w:ascii="宋体" w:hAnsi="宋体" w:eastAsia="宋体" w:cs="宋体"/>
          <w:sz w:val="24"/>
          <w:szCs w:val="24"/>
          <w:lang w:val="zh-CN"/>
        </w:rPr>
        <w:t>址：</w:t>
      </w:r>
      <w:r>
        <w:rPr>
          <w:rFonts w:hint="eastAsia" w:ascii="宋体" w:hAnsi="宋体" w:eastAsia="宋体" w:cs="宋体"/>
          <w:sz w:val="24"/>
          <w:szCs w:val="24"/>
          <w:lang w:val="zh-CN" w:eastAsia="zh-CN"/>
        </w:rPr>
        <w:t>西宁市城西区西川南路46号5号楼2单元2294室</w:t>
      </w:r>
    </w:p>
    <w:p w14:paraId="48A7A7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none"/>
          <w:lang w:val="en-US" w:eastAsia="zh-CN"/>
        </w:rPr>
      </w:pPr>
      <w:r>
        <w:rPr>
          <w:rFonts w:hint="eastAsia" w:ascii="宋体" w:hAnsi="宋体" w:cs="宋体"/>
          <w:sz w:val="24"/>
          <w:szCs w:val="24"/>
          <w:lang w:val="en-US" w:eastAsia="zh-CN"/>
        </w:rPr>
        <w:t>联系方式</w:t>
      </w:r>
      <w:r>
        <w:rPr>
          <w:rFonts w:hint="eastAsia" w:ascii="宋体" w:hAnsi="宋体" w:eastAsia="宋体" w:cs="宋体"/>
          <w:sz w:val="24"/>
          <w:szCs w:val="24"/>
          <w:lang w:val="zh-CN"/>
        </w:rPr>
        <w:t>：</w:t>
      </w:r>
      <w:r>
        <w:rPr>
          <w:rFonts w:hint="eastAsia" w:ascii="宋体" w:hAnsi="宋体" w:eastAsia="宋体" w:cs="宋体"/>
          <w:sz w:val="24"/>
          <w:szCs w:val="24"/>
          <w:lang w:val="zh-CN" w:eastAsia="zh-CN"/>
        </w:rPr>
        <w:t>0971-5362418</w:t>
      </w:r>
    </w:p>
    <w:p w14:paraId="1A4E3E3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u w:val="single"/>
        </w:rPr>
      </w:pPr>
      <w:bookmarkStart w:id="65" w:name="_Toc28359010"/>
      <w:bookmarkStart w:id="66" w:name="_Toc28359087"/>
      <w:r>
        <w:rPr>
          <w:rFonts w:hint="eastAsia" w:ascii="宋体" w:hAnsi="宋体" w:eastAsia="宋体" w:cs="宋体"/>
          <w:b/>
          <w:bCs/>
          <w:sz w:val="24"/>
          <w:szCs w:val="24"/>
        </w:rPr>
        <w:t>3.项目联系方式</w:t>
      </w:r>
      <w:bookmarkEnd w:id="65"/>
      <w:bookmarkEnd w:id="66"/>
    </w:p>
    <w:p w14:paraId="6441E3B8">
      <w:pPr>
        <w:pStyle w:val="1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u w:val="none"/>
          <w:lang w:val="zh-CN"/>
        </w:rPr>
      </w:pPr>
      <w:r>
        <w:rPr>
          <w:rFonts w:hint="eastAsia" w:ascii="宋体" w:hAnsi="宋体" w:eastAsia="宋体" w:cs="宋体"/>
          <w:kern w:val="0"/>
          <w:sz w:val="24"/>
          <w:szCs w:val="24"/>
          <w:lang w:val="zh-CN"/>
        </w:rPr>
        <w:t>项目联系人（询问）：</w:t>
      </w:r>
      <w:r>
        <w:rPr>
          <w:rFonts w:hint="eastAsia" w:ascii="宋体" w:hAnsi="宋体" w:eastAsia="宋体" w:cs="宋体"/>
          <w:kern w:val="0"/>
          <w:sz w:val="24"/>
          <w:szCs w:val="24"/>
          <w:lang w:val="zh-CN" w:eastAsia="zh-CN"/>
        </w:rPr>
        <w:t>晁女士</w:t>
      </w:r>
    </w:p>
    <w:p w14:paraId="796C1C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zh-CN"/>
        </w:rPr>
        <w:t>项目联系方式（询问）：</w:t>
      </w:r>
      <w:r>
        <w:rPr>
          <w:rFonts w:hint="eastAsia" w:ascii="宋体" w:hAnsi="宋体" w:eastAsia="宋体" w:cs="宋体"/>
          <w:sz w:val="24"/>
          <w:szCs w:val="24"/>
          <w:u w:val="none"/>
          <w:lang w:val="zh-CN" w:eastAsia="zh-CN"/>
        </w:rPr>
        <w:t>0971-5362418</w:t>
      </w:r>
    </w:p>
    <w:p w14:paraId="48ABF119">
      <w:pPr>
        <w:spacing w:line="400" w:lineRule="exact"/>
        <w:ind w:firstLine="480" w:firstLineChars="200"/>
        <w:jc w:val="right"/>
        <w:rPr>
          <w:color w:val="auto"/>
          <w:highlight w:val="none"/>
        </w:rPr>
      </w:pP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日</w:t>
      </w:r>
    </w:p>
    <w:bookmarkEnd w:id="3"/>
    <w:bookmarkEnd w:id="4"/>
    <w:p w14:paraId="721919DC">
      <w:pPr>
        <w:pStyle w:val="25"/>
        <w:spacing w:before="0" w:after="0" w:line="360" w:lineRule="auto"/>
        <w:rPr>
          <w:rFonts w:ascii="宋体" w:hAnsi="宋体"/>
          <w:sz w:val="36"/>
          <w:szCs w:val="36"/>
          <w:lang w:val="zh-CN"/>
        </w:rPr>
      </w:pPr>
      <w:r>
        <w:rPr>
          <w:rFonts w:ascii="宋体" w:hAnsi="宋体"/>
          <w:sz w:val="24"/>
        </w:rPr>
        <w:br w:type="page"/>
      </w:r>
      <w:bookmarkStart w:id="67" w:name="_Toc1575294"/>
      <w:bookmarkStart w:id="68" w:name="_Toc444715733"/>
      <w:r>
        <w:rPr>
          <w:rFonts w:hint="eastAsia" w:ascii="宋体" w:hAnsi="宋体"/>
          <w:sz w:val="36"/>
          <w:szCs w:val="36"/>
        </w:rPr>
        <w:t>第二部分磋商供应商须知前附表</w:t>
      </w:r>
      <w:bookmarkEnd w:id="67"/>
      <w:bookmarkEnd w:id="68"/>
    </w:p>
    <w:tbl>
      <w:tblPr>
        <w:tblStyle w:val="34"/>
        <w:tblW w:w="10433" w:type="dxa"/>
        <w:jc w:val="center"/>
        <w:tblLayout w:type="fixed"/>
        <w:tblCellMar>
          <w:top w:w="0" w:type="dxa"/>
          <w:left w:w="57" w:type="dxa"/>
          <w:bottom w:w="0" w:type="dxa"/>
          <w:right w:w="57" w:type="dxa"/>
        </w:tblCellMar>
      </w:tblPr>
      <w:tblGrid>
        <w:gridCol w:w="653"/>
        <w:gridCol w:w="2098"/>
        <w:gridCol w:w="7682"/>
      </w:tblGrid>
      <w:tr w14:paraId="75FE2A3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2A6E4F">
            <w:pPr>
              <w:autoSpaceDE w:val="0"/>
              <w:autoSpaceDN w:val="0"/>
              <w:spacing w:line="360" w:lineRule="auto"/>
              <w:jc w:val="center"/>
              <w:rPr>
                <w:rFonts w:ascii="宋体" w:hAnsi="宋体" w:cs="宋体"/>
                <w:kern w:val="0"/>
                <w:sz w:val="24"/>
                <w:lang w:val="zh-CN"/>
              </w:rPr>
            </w:pPr>
            <w:r>
              <w:rPr>
                <w:rFonts w:hint="eastAsia" w:ascii="宋体" w:hAnsi="宋体" w:cs="宋体"/>
                <w:bCs/>
                <w:kern w:val="0"/>
                <w:sz w:val="24"/>
                <w:lang w:val="zh-CN"/>
              </w:rPr>
              <w:t>序号</w:t>
            </w:r>
          </w:p>
        </w:tc>
        <w:tc>
          <w:tcPr>
            <w:tcW w:w="978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5F2D9573">
            <w:pPr>
              <w:autoSpaceDE w:val="0"/>
              <w:autoSpaceDN w:val="0"/>
              <w:spacing w:line="360" w:lineRule="auto"/>
              <w:jc w:val="center"/>
              <w:rPr>
                <w:rFonts w:ascii="宋体" w:hAnsi="宋体" w:cs="宋体"/>
                <w:kern w:val="0"/>
                <w:sz w:val="24"/>
                <w:lang w:val="zh-CN"/>
              </w:rPr>
            </w:pPr>
            <w:r>
              <w:rPr>
                <w:rFonts w:hint="eastAsia" w:ascii="宋体" w:hAnsi="宋体" w:cs="宋体"/>
                <w:bCs/>
                <w:kern w:val="0"/>
                <w:sz w:val="24"/>
                <w:lang w:val="zh-CN"/>
              </w:rPr>
              <w:t>内容</w:t>
            </w:r>
          </w:p>
        </w:tc>
      </w:tr>
      <w:tr w14:paraId="5B11425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A1AB29">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tcPr>
          <w:p w14:paraId="45997799">
            <w:pPr>
              <w:pStyle w:val="124"/>
              <w:spacing w:before="2" w:line="360" w:lineRule="auto"/>
              <w:jc w:val="left"/>
              <w:rPr>
                <w:bCs/>
                <w:kern w:val="0"/>
                <w:sz w:val="24"/>
              </w:rPr>
            </w:pPr>
            <w:r>
              <w:rPr>
                <w:sz w:val="24"/>
              </w:rPr>
              <w:t>采购项目名称</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CB9C07">
            <w:pPr>
              <w:spacing w:line="360" w:lineRule="auto"/>
              <w:ind w:left="20"/>
              <w:jc w:val="left"/>
              <w:rPr>
                <w:rFonts w:ascii="宋体" w:hAnsi="宋体" w:cs="宋体"/>
                <w:kern w:val="0"/>
                <w:sz w:val="24"/>
                <w:lang w:val="zh-CN"/>
              </w:rPr>
            </w:pPr>
            <w:r>
              <w:rPr>
                <w:rFonts w:hint="eastAsia" w:ascii="宋体" w:hAnsi="宋体" w:cs="宋体"/>
                <w:sz w:val="24"/>
                <w:szCs w:val="22"/>
                <w:lang w:val="zh-CN" w:bidi="zh-CN"/>
              </w:rPr>
              <w:t>全民健身场地器材补短板工程乡镇（街道）项目</w:t>
            </w:r>
          </w:p>
        </w:tc>
      </w:tr>
      <w:tr w14:paraId="39544EC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67C208">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131507">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采购项目编号</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07A8682C">
            <w:pPr>
              <w:autoSpaceDE w:val="0"/>
              <w:autoSpaceDN w:val="0"/>
              <w:spacing w:line="360" w:lineRule="auto"/>
              <w:jc w:val="left"/>
              <w:rPr>
                <w:rFonts w:ascii="宋体" w:hAnsi="宋体" w:cs="宋体"/>
                <w:bCs/>
                <w:kern w:val="0"/>
                <w:sz w:val="24"/>
              </w:rPr>
            </w:pPr>
            <w:r>
              <w:rPr>
                <w:rFonts w:hint="eastAsia" w:ascii="宋体" w:hAnsi="宋体" w:cs="宋体"/>
                <w:bCs/>
                <w:kern w:val="0"/>
                <w:sz w:val="24"/>
                <w:lang w:val="zh-CN"/>
              </w:rPr>
              <w:t>青海奕帆竞磋（货物）2024-038</w:t>
            </w:r>
          </w:p>
        </w:tc>
      </w:tr>
      <w:tr w14:paraId="366CB4C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0DCB9B3">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DD35D4E">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采购单位</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66C547BA">
            <w:pPr>
              <w:autoSpaceDE w:val="0"/>
              <w:autoSpaceDN w:val="0"/>
              <w:spacing w:line="360" w:lineRule="auto"/>
              <w:jc w:val="left"/>
              <w:rPr>
                <w:rFonts w:hint="eastAsia" w:ascii="宋体" w:hAnsi="宋体" w:eastAsia="宋体" w:cs="宋体"/>
                <w:bCs/>
                <w:kern w:val="0"/>
                <w:sz w:val="24"/>
                <w:lang w:val="zh-CN" w:eastAsia="zh-CN"/>
              </w:rPr>
            </w:pPr>
            <w:r>
              <w:rPr>
                <w:rFonts w:hint="eastAsia"/>
                <w:sz w:val="24"/>
                <w:lang w:eastAsia="zh-CN"/>
              </w:rPr>
              <w:t>西宁市城东区文体旅游科技局</w:t>
            </w:r>
          </w:p>
        </w:tc>
      </w:tr>
      <w:tr w14:paraId="777170E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0C338B">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39C69A">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采购代理机构</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6A38DDE3">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青海奕帆工程项目管理有限公司</w:t>
            </w:r>
          </w:p>
        </w:tc>
      </w:tr>
      <w:tr w14:paraId="4A46CFF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350B0D">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6670A4">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采购方式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5665DD21">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竞争性磋商</w:t>
            </w:r>
          </w:p>
        </w:tc>
      </w:tr>
      <w:tr w14:paraId="7DC4B3E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EBA209">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0C2638">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评分办法</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396DDF99">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综合评分法</w:t>
            </w:r>
          </w:p>
        </w:tc>
      </w:tr>
      <w:tr w14:paraId="070C3BE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D76FE37">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5F5AA3">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采购预算控制额度</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8D07557">
            <w:pPr>
              <w:spacing w:line="360" w:lineRule="auto"/>
              <w:rPr>
                <w:rFonts w:ascii="宋体" w:hAnsi="宋体" w:cs="宋体"/>
                <w:kern w:val="0"/>
                <w:sz w:val="24"/>
                <w:lang w:val="zh-CN"/>
              </w:rPr>
            </w:pPr>
            <w:r>
              <w:rPr>
                <w:rFonts w:hint="eastAsia" w:ascii="宋体" w:hAnsi="宋体"/>
                <w:kern w:val="0"/>
                <w:sz w:val="24"/>
              </w:rPr>
              <w:t>人民币</w:t>
            </w:r>
            <w:r>
              <w:rPr>
                <w:rFonts w:hint="eastAsia" w:ascii="宋体" w:hAnsi="宋体"/>
                <w:kern w:val="0"/>
                <w:sz w:val="24"/>
                <w:lang w:val="en-US" w:eastAsia="zh-CN"/>
              </w:rPr>
              <w:t>600000.00</w:t>
            </w:r>
            <w:r>
              <w:rPr>
                <w:rFonts w:hint="eastAsia" w:ascii="宋体" w:hAnsi="宋体"/>
                <w:kern w:val="0"/>
                <w:sz w:val="24"/>
                <w:lang w:eastAsia="zh-CN"/>
              </w:rPr>
              <w:t>元</w:t>
            </w:r>
          </w:p>
        </w:tc>
      </w:tr>
      <w:tr w14:paraId="51578B8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3F5115">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CA3B341">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项目分包个数</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A07B04">
            <w:pPr>
              <w:spacing w:line="360" w:lineRule="auto"/>
              <w:rPr>
                <w:rFonts w:hint="default" w:ascii="宋体" w:hAnsi="宋体" w:eastAsia="宋体" w:cs="宋体"/>
                <w:kern w:val="0"/>
                <w:sz w:val="24"/>
                <w:lang w:val="en-US" w:eastAsia="zh-CN"/>
              </w:rPr>
            </w:pPr>
            <w:r>
              <w:rPr>
                <w:rFonts w:hint="eastAsia" w:ascii="宋体" w:hAnsi="宋体"/>
                <w:kern w:val="0"/>
                <w:sz w:val="24"/>
                <w:lang w:val="en-US" w:eastAsia="zh-CN"/>
              </w:rPr>
              <w:t>无。</w:t>
            </w:r>
          </w:p>
        </w:tc>
      </w:tr>
      <w:tr w14:paraId="17F7501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7D0A6E">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A436A8">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采购要求</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1F135D">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详见磋商文件“第六部分 采购项目要求及技术参数”</w:t>
            </w:r>
          </w:p>
        </w:tc>
      </w:tr>
      <w:tr w14:paraId="22ABA75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65D9A5">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4C2A955">
            <w:pPr>
              <w:autoSpaceDE w:val="0"/>
              <w:autoSpaceDN w:val="0"/>
              <w:spacing w:line="360" w:lineRule="auto"/>
              <w:jc w:val="left"/>
              <w:rPr>
                <w:rFonts w:ascii="宋体" w:hAnsi="宋体" w:cs="宋体"/>
                <w:bCs/>
                <w:kern w:val="0"/>
                <w:sz w:val="24"/>
                <w:lang w:val="zh-CN"/>
              </w:rPr>
            </w:pPr>
            <w:r>
              <w:rPr>
                <w:rFonts w:hint="eastAsia" w:ascii="宋体" w:hAnsi="宋体" w:cs="宋体"/>
                <w:sz w:val="24"/>
              </w:rPr>
              <w:t>磋商供应商</w:t>
            </w:r>
            <w:r>
              <w:rPr>
                <w:rFonts w:hint="eastAsia" w:ascii="宋体" w:hAnsi="宋体" w:cs="宋体"/>
                <w:bCs/>
                <w:kern w:val="0"/>
                <w:sz w:val="24"/>
                <w:lang w:val="zh-CN"/>
              </w:rPr>
              <w:t>资格条件</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4AC95EAD">
            <w:pPr>
              <w:pStyle w:val="70"/>
              <w:autoSpaceDE w:val="0"/>
              <w:autoSpaceDN w:val="0"/>
              <w:adjustRightInd w:val="0"/>
              <w:spacing w:line="360" w:lineRule="auto"/>
              <w:ind w:left="0" w:leftChars="0" w:firstLine="0" w:firstLineChars="0"/>
              <w:contextualSpacing/>
              <w:rPr>
                <w:rFonts w:ascii="宋体" w:hAnsi="Cambria" w:cs="宋体"/>
                <w:kern w:val="0"/>
                <w:sz w:val="24"/>
                <w:lang w:val="zh-CN"/>
              </w:rPr>
            </w:pPr>
            <w:r>
              <w:rPr>
                <w:rFonts w:hint="eastAsia" w:ascii="宋体" w:hAnsi="Cambria" w:cs="宋体"/>
                <w:kern w:val="0"/>
                <w:sz w:val="24"/>
                <w:lang w:val="en-US" w:eastAsia="zh-CN"/>
              </w:rPr>
              <w:t>1、</w:t>
            </w:r>
            <w:r>
              <w:rPr>
                <w:rFonts w:hint="eastAsia" w:ascii="宋体" w:hAnsi="Cambria" w:cs="宋体"/>
                <w:kern w:val="0"/>
                <w:sz w:val="24"/>
                <w:lang w:val="zh-CN"/>
              </w:rPr>
              <w:t>符合《政府采购法》第22条规定，并提供下列材料：</w:t>
            </w:r>
          </w:p>
          <w:p w14:paraId="1340F3CA">
            <w:pPr>
              <w:pStyle w:val="70"/>
              <w:autoSpaceDE w:val="0"/>
              <w:autoSpaceDN w:val="0"/>
              <w:adjustRightInd w:val="0"/>
              <w:spacing w:line="360" w:lineRule="auto"/>
              <w:ind w:left="0" w:leftChars="0" w:firstLine="0" w:firstLineChars="0"/>
              <w:contextualSpacing/>
              <w:rPr>
                <w:rFonts w:ascii="宋体" w:hAnsi="Cambria" w:cs="宋体"/>
                <w:kern w:val="0"/>
                <w:sz w:val="24"/>
                <w:lang w:val="zh-CN"/>
              </w:rPr>
            </w:pPr>
            <w:r>
              <w:rPr>
                <w:rFonts w:hint="eastAsia" w:ascii="宋体" w:hAnsi="Cambria" w:cs="宋体"/>
                <w:kern w:val="0"/>
                <w:sz w:val="24"/>
                <w:lang w:val="zh-CN"/>
              </w:rPr>
              <w:t>1）供应商的营业执照等证明文件，自然人的身份证明。</w:t>
            </w:r>
          </w:p>
          <w:p w14:paraId="2B749CF8">
            <w:pPr>
              <w:pStyle w:val="70"/>
              <w:autoSpaceDE w:val="0"/>
              <w:autoSpaceDN w:val="0"/>
              <w:adjustRightInd w:val="0"/>
              <w:spacing w:line="360" w:lineRule="auto"/>
              <w:ind w:left="0" w:leftChars="0" w:firstLine="0" w:firstLineChars="0"/>
              <w:contextualSpacing/>
              <w:rPr>
                <w:rFonts w:ascii="宋体" w:hAnsi="Cambria" w:cs="宋体"/>
                <w:kern w:val="0"/>
                <w:sz w:val="24"/>
                <w:lang w:val="zh-CN"/>
              </w:rPr>
            </w:pPr>
            <w:r>
              <w:rPr>
                <w:rFonts w:hint="eastAsia" w:ascii="宋体" w:hAnsi="Cambria" w:cs="宋体"/>
                <w:kern w:val="0"/>
                <w:sz w:val="24"/>
                <w:lang w:val="zh-CN"/>
              </w:rPr>
              <w:t>2）财务状况报告，依法缴纳税收和社会保障资金的相关材料。</w:t>
            </w:r>
          </w:p>
          <w:p w14:paraId="1406E674">
            <w:pPr>
              <w:pStyle w:val="70"/>
              <w:autoSpaceDE w:val="0"/>
              <w:autoSpaceDN w:val="0"/>
              <w:adjustRightInd w:val="0"/>
              <w:spacing w:line="360" w:lineRule="auto"/>
              <w:ind w:left="0" w:leftChars="0" w:firstLine="0" w:firstLineChars="0"/>
              <w:contextualSpacing/>
              <w:rPr>
                <w:rFonts w:ascii="宋体" w:hAnsi="Cambria" w:cs="宋体"/>
                <w:kern w:val="0"/>
                <w:sz w:val="24"/>
                <w:lang w:val="zh-CN"/>
              </w:rPr>
            </w:pPr>
            <w:r>
              <w:rPr>
                <w:rFonts w:hint="eastAsia" w:ascii="宋体" w:hAnsi="Cambria" w:cs="宋体"/>
                <w:kern w:val="0"/>
                <w:sz w:val="24"/>
                <w:lang w:val="zh-CN"/>
              </w:rPr>
              <w:t>3）具备履行合同所必需的设备和专业技术能力的证明材料。</w:t>
            </w:r>
          </w:p>
          <w:p w14:paraId="5B384591">
            <w:pPr>
              <w:pStyle w:val="70"/>
              <w:autoSpaceDE w:val="0"/>
              <w:autoSpaceDN w:val="0"/>
              <w:adjustRightInd w:val="0"/>
              <w:spacing w:line="360" w:lineRule="auto"/>
              <w:ind w:left="0" w:leftChars="0" w:firstLine="0" w:firstLineChars="0"/>
              <w:contextualSpacing/>
              <w:rPr>
                <w:rFonts w:ascii="宋体" w:hAnsi="Cambria" w:cs="宋体"/>
                <w:kern w:val="0"/>
                <w:sz w:val="24"/>
                <w:lang w:val="zh-CN"/>
              </w:rPr>
            </w:pPr>
            <w:r>
              <w:rPr>
                <w:rFonts w:hint="eastAsia" w:ascii="宋体" w:hAnsi="Cambria" w:cs="宋体"/>
                <w:kern w:val="0"/>
                <w:sz w:val="24"/>
                <w:lang w:val="zh-CN"/>
              </w:rPr>
              <w:t>4）参加政府采购活动前3年内在经营活动中没有重大违法记录的书面声明。</w:t>
            </w:r>
          </w:p>
          <w:p w14:paraId="636BEFF7">
            <w:pPr>
              <w:pStyle w:val="70"/>
              <w:autoSpaceDE w:val="0"/>
              <w:autoSpaceDN w:val="0"/>
              <w:adjustRightInd w:val="0"/>
              <w:spacing w:line="360" w:lineRule="auto"/>
              <w:ind w:left="0" w:leftChars="0" w:firstLine="0" w:firstLineChars="0"/>
              <w:contextualSpacing/>
              <w:rPr>
                <w:rFonts w:hint="eastAsia" w:ascii="宋体" w:hAnsi="Cambria" w:cs="宋体"/>
                <w:kern w:val="0"/>
                <w:sz w:val="24"/>
                <w:lang w:val="zh-CN"/>
              </w:rPr>
            </w:pPr>
            <w:r>
              <w:rPr>
                <w:rFonts w:hint="eastAsia" w:ascii="宋体" w:hAnsi="Cambria" w:cs="宋体"/>
                <w:kern w:val="0"/>
                <w:sz w:val="24"/>
                <w:lang w:val="zh-CN"/>
              </w:rPr>
              <w:t>5）具备法律、行政法规规定的其他条件的证明材料。</w:t>
            </w:r>
          </w:p>
          <w:p w14:paraId="612EC0F1">
            <w:pPr>
              <w:pStyle w:val="70"/>
              <w:autoSpaceDE w:val="0"/>
              <w:autoSpaceDN w:val="0"/>
              <w:adjustRightInd w:val="0"/>
              <w:spacing w:line="360" w:lineRule="auto"/>
              <w:ind w:left="0" w:leftChars="0" w:firstLine="0" w:firstLineChars="0"/>
              <w:contextualSpacing/>
              <w:rPr>
                <w:rFonts w:ascii="宋体" w:hAnsi="Cambria" w:cs="宋体"/>
                <w:kern w:val="0"/>
                <w:sz w:val="24"/>
                <w:lang w:val="zh-CN"/>
              </w:rPr>
            </w:pPr>
            <w:r>
              <w:rPr>
                <w:rFonts w:hint="eastAsia" w:ascii="宋体" w:hAnsi="Cambria" w:cs="宋体"/>
                <w:kern w:val="0"/>
                <w:sz w:val="24"/>
                <w:lang w:val="en-US" w:eastAsia="zh-CN"/>
              </w:rPr>
              <w:t>2、</w:t>
            </w:r>
            <w:r>
              <w:rPr>
                <w:rFonts w:hint="eastAsia" w:ascii="宋体" w:hAnsi="Cambria" w:cs="宋体"/>
                <w:kern w:val="0"/>
                <w:sz w:val="24"/>
                <w:lang w:val="zh-CN"/>
              </w:rPr>
              <w:t>单位负责人为同一人或者存在直接控股、管理关系的不同供应商，不得参加同一合同项下的政府采购活动。否则，皆取消磋商资格。</w:t>
            </w:r>
          </w:p>
          <w:p w14:paraId="39CFC987">
            <w:pPr>
              <w:pStyle w:val="70"/>
              <w:autoSpaceDE w:val="0"/>
              <w:autoSpaceDN w:val="0"/>
              <w:adjustRightInd w:val="0"/>
              <w:spacing w:line="360" w:lineRule="auto"/>
              <w:ind w:left="0" w:leftChars="0" w:firstLine="0" w:firstLineChars="0"/>
              <w:contextualSpacing/>
              <w:rPr>
                <w:rFonts w:ascii="宋体" w:hAnsi="Cambria" w:cs="宋体"/>
                <w:kern w:val="0"/>
                <w:sz w:val="24"/>
                <w:lang w:val="zh-CN"/>
              </w:rPr>
            </w:pPr>
            <w:r>
              <w:rPr>
                <w:rFonts w:hint="eastAsia" w:ascii="宋体" w:hAnsi="Cambria" w:cs="宋体"/>
                <w:kern w:val="0"/>
                <w:sz w:val="24"/>
                <w:lang w:val="en-US" w:eastAsia="zh-CN"/>
              </w:rPr>
              <w:t>3、</w:t>
            </w:r>
            <w:r>
              <w:rPr>
                <w:rFonts w:hint="eastAsia" w:ascii="宋体" w:hAnsi="Cambria" w:cs="宋体"/>
                <w:kern w:val="0"/>
                <w:sz w:val="24"/>
                <w:lang w:val="zh-CN"/>
              </w:rPr>
              <w:t>为本采购项目提供整体设计、规范编制或者项目管理、监理、检测等服务的供应商，不得再参加该采购项目的其他采购活动。</w:t>
            </w:r>
          </w:p>
          <w:p w14:paraId="13451070">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Cambria" w:eastAsia="宋体" w:cs="宋体"/>
                <w:kern w:val="0"/>
                <w:sz w:val="24"/>
                <w:szCs w:val="22"/>
                <w:lang w:val="zh-CN" w:eastAsia="zh-CN" w:bidi="ar-SA"/>
              </w:rPr>
            </w:pPr>
            <w:r>
              <w:rPr>
                <w:rFonts w:hint="eastAsia" w:ascii="宋体" w:hAnsi="Cambria" w:cs="宋体"/>
                <w:kern w:val="0"/>
                <w:sz w:val="24"/>
                <w:lang w:val="en-US" w:eastAsia="zh-CN"/>
              </w:rPr>
              <w:t>4、</w:t>
            </w:r>
            <w:r>
              <w:rPr>
                <w:rFonts w:hint="eastAsia" w:ascii="宋体" w:hAnsi="Cambria" w:eastAsia="宋体" w:cs="宋体"/>
                <w:kern w:val="0"/>
                <w:sz w:val="24"/>
                <w:szCs w:val="22"/>
                <w:lang w:val="zh-CN" w:eastAsia="zh-CN" w:bidi="ar-SA"/>
              </w:rPr>
              <w:t>经信用中国（www.creditchina.gov.cn）、中国政府采购网（www.ccgp.gov.cn）渠道查询后，列入失信被执行人、重大税收违法案件当事人名单、政府采购严重违法失信行为记录名单的，取消投标资格。（提供“信用中国”、“中国政府采购网”网站查询截图，时间为投标截止时间前</w:t>
            </w:r>
            <w:r>
              <w:rPr>
                <w:rFonts w:hint="eastAsia" w:ascii="宋体" w:hAnsi="Cambria" w:cs="宋体"/>
                <w:kern w:val="0"/>
                <w:sz w:val="24"/>
                <w:szCs w:val="22"/>
                <w:lang w:val="en-US" w:eastAsia="zh-CN" w:bidi="ar-SA"/>
              </w:rPr>
              <w:t>1</w:t>
            </w:r>
            <w:r>
              <w:rPr>
                <w:rFonts w:hint="eastAsia" w:ascii="宋体" w:hAnsi="Cambria" w:eastAsia="宋体" w:cs="宋体"/>
                <w:kern w:val="0"/>
                <w:sz w:val="24"/>
                <w:szCs w:val="22"/>
                <w:lang w:val="en-US" w:eastAsia="zh-CN" w:bidi="ar-SA"/>
              </w:rPr>
              <w:t>0</w:t>
            </w:r>
            <w:r>
              <w:rPr>
                <w:rFonts w:hint="eastAsia" w:ascii="宋体" w:hAnsi="Cambria" w:eastAsia="宋体" w:cs="宋体"/>
                <w:kern w:val="0"/>
                <w:sz w:val="24"/>
                <w:szCs w:val="22"/>
                <w:lang w:val="zh-CN" w:eastAsia="zh-CN" w:bidi="ar-SA"/>
              </w:rPr>
              <w:t>天内）。</w:t>
            </w:r>
          </w:p>
          <w:p w14:paraId="11CD32CB">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Cambria" w:cs="宋体"/>
                <w:kern w:val="0"/>
                <w:sz w:val="24"/>
                <w:lang w:val="zh-CN"/>
              </w:rPr>
            </w:pPr>
            <w:r>
              <w:rPr>
                <w:rFonts w:hint="eastAsia" w:ascii="宋体" w:hAnsi="Cambria" w:cs="宋体"/>
                <w:kern w:val="0"/>
                <w:sz w:val="24"/>
                <w:lang w:val="en-US" w:eastAsia="zh-CN"/>
              </w:rPr>
              <w:t>5、</w:t>
            </w:r>
            <w:r>
              <w:rPr>
                <w:rFonts w:hint="eastAsia" w:ascii="宋体" w:hAnsi="Cambria" w:cs="宋体"/>
                <w:kern w:val="0"/>
                <w:sz w:val="24"/>
                <w:lang w:val="zh-CN"/>
              </w:rPr>
              <w:t>本项目不接受以联合体方式进行投标。</w:t>
            </w:r>
          </w:p>
          <w:p w14:paraId="07ED32B8">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宋体" w:hAnsi="宋体"/>
                <w:kern w:val="0"/>
                <w:sz w:val="24"/>
              </w:rPr>
            </w:pPr>
            <w:r>
              <w:rPr>
                <w:rFonts w:hint="eastAsia" w:ascii="宋体" w:hAnsi="Cambria" w:cs="宋体"/>
                <w:kern w:val="0"/>
                <w:sz w:val="24"/>
                <w:szCs w:val="22"/>
                <w:highlight w:val="none"/>
                <w:lang w:val="en-US" w:eastAsia="zh-CN" w:bidi="ar-SA"/>
              </w:rPr>
              <w:t>6、</w:t>
            </w:r>
            <w:r>
              <w:rPr>
                <w:rFonts w:hint="eastAsia" w:ascii="宋体" w:hAnsi="Cambria" w:eastAsia="宋体" w:cs="宋体"/>
                <w:kern w:val="0"/>
                <w:sz w:val="24"/>
                <w:szCs w:val="22"/>
                <w:highlight w:val="none"/>
                <w:lang w:val="zh-CN" w:eastAsia="zh-CN" w:bidi="ar-SA"/>
              </w:rPr>
              <w:t>本项目落实政府采购需满足的资格条件：</w:t>
            </w:r>
            <w:r>
              <w:rPr>
                <w:rFonts w:hint="eastAsia" w:ascii="宋体" w:hAnsi="Cambria" w:cs="宋体"/>
                <w:kern w:val="0"/>
                <w:sz w:val="24"/>
                <w:szCs w:val="22"/>
                <w:highlight w:val="none"/>
                <w:lang w:val="en-US" w:eastAsia="zh-CN" w:bidi="ar-SA"/>
              </w:rPr>
              <w:t>本项目全部面向中小企业采购。</w:t>
            </w:r>
          </w:p>
        </w:tc>
      </w:tr>
      <w:tr w14:paraId="0D872F7C">
        <w:tblPrEx>
          <w:tblCellMar>
            <w:top w:w="0" w:type="dxa"/>
            <w:left w:w="57" w:type="dxa"/>
            <w:bottom w:w="0" w:type="dxa"/>
            <w:right w:w="57" w:type="dxa"/>
          </w:tblCellMar>
        </w:tblPrEx>
        <w:trPr>
          <w:trHeight w:val="552" w:hRule="atLeast"/>
          <w:jc w:val="center"/>
        </w:trPr>
        <w:tc>
          <w:tcPr>
            <w:tcW w:w="653" w:type="dxa"/>
            <w:tcBorders>
              <w:top w:val="single" w:color="000000" w:sz="6" w:space="0"/>
              <w:left w:val="single" w:color="000000" w:sz="6" w:space="0"/>
              <w:right w:val="single" w:color="000000" w:sz="6" w:space="0"/>
            </w:tcBorders>
            <w:shd w:val="clear" w:color="000000" w:fill="FFFFFF"/>
            <w:vAlign w:val="center"/>
          </w:tcPr>
          <w:p w14:paraId="09D1B3E0">
            <w:pPr>
              <w:numPr>
                <w:ilvl w:val="0"/>
                <w:numId w:val="2"/>
              </w:numPr>
              <w:autoSpaceDE w:val="0"/>
              <w:autoSpaceDN w:val="0"/>
              <w:spacing w:line="360" w:lineRule="auto"/>
              <w:jc w:val="center"/>
              <w:rPr>
                <w:rFonts w:ascii="宋体" w:hAnsi="宋体" w:cs="宋体"/>
                <w:bCs/>
                <w:kern w:val="0"/>
                <w:sz w:val="24"/>
              </w:rPr>
            </w:pPr>
          </w:p>
        </w:tc>
        <w:tc>
          <w:tcPr>
            <w:tcW w:w="2098" w:type="dxa"/>
            <w:tcBorders>
              <w:top w:val="single" w:color="000000" w:sz="6" w:space="0"/>
              <w:left w:val="single" w:color="000000" w:sz="6" w:space="0"/>
              <w:right w:val="single" w:color="000000" w:sz="6" w:space="0"/>
            </w:tcBorders>
            <w:shd w:val="clear" w:color="000000" w:fill="FFFFFF"/>
            <w:vAlign w:val="center"/>
          </w:tcPr>
          <w:p w14:paraId="516FF43F">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磋商保证金</w:t>
            </w:r>
          </w:p>
        </w:tc>
        <w:tc>
          <w:tcPr>
            <w:tcW w:w="7682" w:type="dxa"/>
            <w:tcBorders>
              <w:top w:val="single" w:color="000000" w:sz="6" w:space="0"/>
              <w:left w:val="single" w:color="000000" w:sz="6" w:space="0"/>
              <w:right w:val="single" w:color="000000" w:sz="6" w:space="0"/>
            </w:tcBorders>
            <w:shd w:val="clear" w:color="000000" w:fill="FFFFFF"/>
          </w:tcPr>
          <w:p w14:paraId="792789F5">
            <w:pPr>
              <w:pStyle w:val="61"/>
              <w:spacing w:line="360" w:lineRule="auto"/>
              <w:rPr>
                <w:rFonts w:ascii="宋体" w:hAnsi="宋体" w:cs="宋体"/>
                <w:kern w:val="0"/>
                <w:lang w:val="zh-CN"/>
              </w:rPr>
            </w:pPr>
            <w:r>
              <w:rPr>
                <w:rFonts w:hint="eastAsia" w:ascii="宋体" w:hAnsi="宋体" w:eastAsia="宋体" w:cs="宋体"/>
                <w:bCs/>
                <w:kern w:val="0"/>
                <w:sz w:val="24"/>
                <w:szCs w:val="24"/>
                <w:lang w:val="zh-CN" w:eastAsia="zh-CN" w:bidi="ar-SA"/>
              </w:rPr>
              <w:t>此项目不要求缴纳磋商保证金</w:t>
            </w:r>
          </w:p>
        </w:tc>
      </w:tr>
      <w:tr w14:paraId="2562D60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EB0323E">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5CBA3F">
            <w:pPr>
              <w:autoSpaceDE w:val="0"/>
              <w:autoSpaceDN w:val="0"/>
              <w:spacing w:line="360" w:lineRule="auto"/>
              <w:jc w:val="left"/>
              <w:rPr>
                <w:rFonts w:ascii="宋体" w:hAnsi="宋体" w:cs="宋体"/>
                <w:bCs/>
                <w:kern w:val="0"/>
                <w:sz w:val="24"/>
                <w:lang w:val="zh-CN"/>
              </w:rPr>
            </w:pPr>
            <w:r>
              <w:rPr>
                <w:rFonts w:hint="eastAsia" w:ascii="宋体" w:hAnsi="宋体"/>
                <w:kern w:val="0"/>
                <w:sz w:val="24"/>
              </w:rPr>
              <w:t>磋商</w:t>
            </w:r>
            <w:r>
              <w:rPr>
                <w:rFonts w:hint="eastAsia" w:ascii="宋体" w:hAnsi="宋体" w:cs="宋体"/>
                <w:bCs/>
                <w:kern w:val="0"/>
                <w:sz w:val="24"/>
                <w:lang w:val="zh-CN"/>
              </w:rPr>
              <w:t>保证金缴纳方式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7AE72131">
            <w:pPr>
              <w:autoSpaceDE w:val="0"/>
              <w:autoSpaceDN w:val="0"/>
              <w:spacing w:line="360" w:lineRule="auto"/>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w:t>
            </w:r>
          </w:p>
        </w:tc>
      </w:tr>
      <w:tr w14:paraId="7BCC694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4ED3019">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2786D01">
            <w:pPr>
              <w:autoSpaceDE w:val="0"/>
              <w:autoSpaceDN w:val="0"/>
              <w:spacing w:line="360" w:lineRule="auto"/>
              <w:jc w:val="left"/>
              <w:rPr>
                <w:rFonts w:ascii="宋体" w:hAnsi="宋体" w:cs="宋体"/>
                <w:bCs/>
                <w:kern w:val="0"/>
                <w:sz w:val="24"/>
                <w:lang w:val="zh-CN"/>
              </w:rPr>
            </w:pPr>
            <w:r>
              <w:rPr>
                <w:rFonts w:hint="eastAsia" w:ascii="宋体" w:hAnsi="宋体"/>
                <w:kern w:val="0"/>
                <w:sz w:val="24"/>
              </w:rPr>
              <w:t>磋商</w:t>
            </w:r>
            <w:r>
              <w:rPr>
                <w:rFonts w:hint="eastAsia" w:ascii="宋体" w:hAnsi="宋体" w:cs="宋体"/>
                <w:bCs/>
                <w:kern w:val="0"/>
                <w:sz w:val="24"/>
                <w:lang w:val="zh-CN"/>
              </w:rPr>
              <w:t>保证金退还</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3B3A3D2E">
            <w:pPr>
              <w:spacing w:line="360" w:lineRule="auto"/>
              <w:rPr>
                <w:rFonts w:hint="eastAsia" w:ascii="宋体" w:hAnsi="宋体" w:eastAsia="宋体" w:cs="宋体"/>
                <w:kern w:val="0"/>
                <w:sz w:val="24"/>
                <w:lang w:val="en-US" w:eastAsia="zh-CN"/>
              </w:rPr>
            </w:pPr>
            <w:r>
              <w:rPr>
                <w:rFonts w:hint="eastAsia" w:ascii="宋体" w:hAnsi="宋体" w:cs="宋体"/>
                <w:kern w:val="0"/>
                <w:sz w:val="24"/>
                <w:lang w:val="en-US" w:eastAsia="zh-CN"/>
              </w:rPr>
              <w:t>/</w:t>
            </w:r>
          </w:p>
        </w:tc>
      </w:tr>
      <w:tr w14:paraId="71A9AF7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78C99C">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722A54">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lang w:val="zh-CN"/>
              </w:rPr>
              <w:t>递交响应文件方式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C2D891">
            <w:pPr>
              <w:keepNext w:val="0"/>
              <w:keepLines w:val="0"/>
              <w:pageBreakBefore w:val="0"/>
              <w:widowControl w:val="0"/>
              <w:kinsoku/>
              <w:wordWrap/>
              <w:overflowPunct/>
              <w:topLinePunct w:val="0"/>
              <w:bidi w:val="0"/>
              <w:snapToGrid/>
              <w:spacing w:line="440" w:lineRule="exact"/>
              <w:textAlignment w:val="auto"/>
              <w:rPr>
                <w:rFonts w:hint="eastAsia" w:ascii="宋体" w:hAnsi="宋体" w:cs="宋体"/>
                <w:b w:val="0"/>
                <w:bCs w:val="0"/>
                <w:color w:val="auto"/>
                <w:sz w:val="24"/>
                <w:lang w:val="zh-CN"/>
              </w:rPr>
            </w:pPr>
            <w:r>
              <w:rPr>
                <w:rFonts w:hint="eastAsia" w:ascii="宋体" w:hAnsi="宋体" w:cs="宋体"/>
                <w:b w:val="0"/>
                <w:bCs w:val="0"/>
                <w:color w:val="auto"/>
                <w:sz w:val="24"/>
                <w:lang w:val="zh-CN"/>
              </w:rPr>
              <w:t>线上递交</w:t>
            </w:r>
          </w:p>
          <w:p w14:paraId="19BCFEAF">
            <w:pPr>
              <w:keepNext w:val="0"/>
              <w:keepLines w:val="0"/>
              <w:pageBreakBefore w:val="0"/>
              <w:widowControl w:val="0"/>
              <w:kinsoku/>
              <w:wordWrap/>
              <w:overflowPunct/>
              <w:topLinePunct w:val="0"/>
              <w:bidi w:val="0"/>
              <w:snapToGrid/>
              <w:spacing w:line="440" w:lineRule="exact"/>
              <w:textAlignment w:val="auto"/>
              <w:rPr>
                <w:rFonts w:hAnsi="宋体" w:cs="宋体"/>
                <w:b w:val="0"/>
                <w:bCs w:val="0"/>
                <w:color w:val="auto"/>
                <w:sz w:val="24"/>
                <w:lang w:val="zh-CN"/>
              </w:rPr>
            </w:pPr>
            <w:r>
              <w:rPr>
                <w:rFonts w:hint="eastAsia" w:ascii="宋体" w:hAnsi="宋体" w:cs="宋体"/>
                <w:b w:val="0"/>
                <w:bCs w:val="0"/>
                <w:color w:val="auto"/>
                <w:sz w:val="24"/>
                <w:lang w:val="zh-CN"/>
              </w:rPr>
              <w:t>本项目在政采云平台（https://www.zcygov.cn/）上提交电子响应文件，逾期未完成提交的，将视为放弃此次投标活动。</w:t>
            </w:r>
          </w:p>
        </w:tc>
      </w:tr>
      <w:tr w14:paraId="35377996">
        <w:tblPrEx>
          <w:tblCellMar>
            <w:top w:w="0" w:type="dxa"/>
            <w:left w:w="57" w:type="dxa"/>
            <w:bottom w:w="0" w:type="dxa"/>
            <w:right w:w="57" w:type="dxa"/>
          </w:tblCellMar>
        </w:tblPrEx>
        <w:trPr>
          <w:trHeight w:val="892"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C3AA800">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EB5E58">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rPr>
              <w:t>提交响应文件截止时间</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7D01486">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lang w:eastAsia="zh-CN"/>
              </w:rPr>
              <w:t>2024年12月12日上午09时30分（北京时间）</w:t>
            </w:r>
          </w:p>
        </w:tc>
      </w:tr>
      <w:tr w14:paraId="525587D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D753C12">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88C781">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rPr>
              <w:t>响应文件开启时间</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8D122A">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lang w:eastAsia="zh-CN"/>
              </w:rPr>
              <w:t>2024年12月12日上午09时30分（北京时间）</w:t>
            </w:r>
          </w:p>
        </w:tc>
      </w:tr>
      <w:tr w14:paraId="4A5EC31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3925F2">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325331">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rPr>
              <w:t>提交响应文件地点</w:t>
            </w:r>
          </w:p>
        </w:tc>
        <w:tc>
          <w:tcPr>
            <w:tcW w:w="7682" w:type="dxa"/>
            <w:tcBorders>
              <w:top w:val="outset" w:color="000000" w:sz="6" w:space="0"/>
              <w:left w:val="outset" w:color="000000" w:sz="6" w:space="0"/>
              <w:bottom w:val="outset" w:color="000000" w:sz="6" w:space="0"/>
              <w:right w:val="outset" w:color="000000" w:sz="6" w:space="0"/>
            </w:tcBorders>
            <w:vAlign w:val="center"/>
          </w:tcPr>
          <w:p w14:paraId="6819BFB5">
            <w:pPr>
              <w:keepNext w:val="0"/>
              <w:keepLines w:val="0"/>
              <w:pageBreakBefore w:val="0"/>
              <w:widowControl w:val="0"/>
              <w:kinsoku/>
              <w:wordWrap/>
              <w:overflowPunct/>
              <w:topLinePunct w:val="0"/>
              <w:bidi w:val="0"/>
              <w:snapToGrid/>
              <w:spacing w:line="440" w:lineRule="exact"/>
              <w:jc w:val="left"/>
              <w:textAlignment w:val="auto"/>
              <w:rPr>
                <w:rFonts w:hint="eastAsia" w:ascii="宋体" w:hAnsi="宋体" w:eastAsia="宋体"/>
                <w:b w:val="0"/>
                <w:bCs w:val="0"/>
                <w:color w:val="auto"/>
                <w:kern w:val="0"/>
                <w:sz w:val="24"/>
                <w:lang w:eastAsia="zh-CN"/>
              </w:rPr>
            </w:pPr>
            <w:r>
              <w:rPr>
                <w:rFonts w:hint="eastAsia" w:ascii="宋体" w:hAnsi="宋体" w:cs="宋体"/>
                <w:b w:val="0"/>
                <w:bCs w:val="0"/>
                <w:color w:val="auto"/>
                <w:sz w:val="24"/>
                <w:lang w:val="zh-CN"/>
              </w:rPr>
              <w:t>政采云平台</w:t>
            </w:r>
            <w:r>
              <w:rPr>
                <w:rFonts w:hint="eastAsia" w:ascii="宋体" w:hAnsi="宋体" w:cs="宋体"/>
                <w:b w:val="0"/>
                <w:bCs w:val="0"/>
                <w:color w:val="auto"/>
                <w:sz w:val="24"/>
              </w:rPr>
              <w:t>（https://www.zcygov.cn/）</w:t>
            </w:r>
          </w:p>
        </w:tc>
      </w:tr>
      <w:tr w14:paraId="47DEA0F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C9F0119">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C8037E">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lang w:val="zh-CN"/>
              </w:rPr>
              <w:t>答疑澄清方式</w:t>
            </w:r>
          </w:p>
        </w:tc>
        <w:tc>
          <w:tcPr>
            <w:tcW w:w="7682" w:type="dxa"/>
            <w:tcBorders>
              <w:top w:val="outset" w:color="000000" w:sz="6" w:space="0"/>
              <w:left w:val="outset" w:color="000000" w:sz="6" w:space="0"/>
              <w:bottom w:val="outset" w:color="000000" w:sz="6" w:space="0"/>
              <w:right w:val="outset" w:color="000000" w:sz="6" w:space="0"/>
            </w:tcBorders>
            <w:vAlign w:val="top"/>
          </w:tcPr>
          <w:p w14:paraId="564686AA">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b w:val="0"/>
                <w:bCs w:val="0"/>
                <w:color w:val="auto"/>
                <w:sz w:val="24"/>
              </w:rPr>
            </w:pPr>
            <w:r>
              <w:rPr>
                <w:rFonts w:hint="eastAsia"/>
                <w:b w:val="0"/>
                <w:bCs w:val="0"/>
                <w:color w:val="auto"/>
                <w:sz w:val="24"/>
              </w:rPr>
              <w:t>线上答疑</w:t>
            </w:r>
          </w:p>
          <w:p w14:paraId="2CB9E7F9">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ascii="宋体" w:hAnsi="宋体" w:eastAsia="宋体"/>
                <w:b w:val="0"/>
                <w:bCs w:val="0"/>
                <w:color w:val="auto"/>
                <w:kern w:val="0"/>
                <w:sz w:val="24"/>
                <w:lang w:eastAsia="zh-CN"/>
              </w:rPr>
            </w:pPr>
            <w:r>
              <w:rPr>
                <w:rFonts w:hint="eastAsia" w:ascii="宋体" w:hAnsi="宋体" w:eastAsia="宋体" w:cs="宋体"/>
                <w:b w:val="0"/>
                <w:bCs w:val="0"/>
                <w:color w:val="auto"/>
                <w:sz w:val="24"/>
                <w:highlight w:val="none"/>
              </w:rPr>
              <w:t>磋商小组根据投标情况确定答疑时间，答疑或澄清在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上进行，供应商可在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w:t>
            </w:r>
            <w:r>
              <w:rPr>
                <w:rFonts w:hint="eastAsia" w:ascii="宋体" w:hAnsi="宋体" w:eastAsia="宋体" w:cs="宋体"/>
                <w:b w:val="0"/>
                <w:bCs w:val="0"/>
                <w:color w:val="auto"/>
                <w:sz w:val="24"/>
                <w:highlight w:val="none"/>
                <w:lang w:val="en-US" w:eastAsia="zh-CN"/>
              </w:rPr>
              <w:t>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上答疑者，视同放弃答疑。</w:t>
            </w:r>
          </w:p>
        </w:tc>
      </w:tr>
      <w:tr w14:paraId="6B5E2B6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5F36F3">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305741F">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lang w:val="zh-CN"/>
              </w:rPr>
              <w:t>代理服务费收取</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1CD6D873">
            <w:pPr>
              <w:keepNext w:val="0"/>
              <w:keepLines w:val="0"/>
              <w:pageBreakBefore w:val="0"/>
              <w:widowControl w:val="0"/>
              <w:kinsoku/>
              <w:wordWrap/>
              <w:overflowPunct/>
              <w:topLinePunct w:val="0"/>
              <w:autoSpaceDE w:val="0"/>
              <w:autoSpaceDN w:val="0"/>
              <w:bidi w:val="0"/>
              <w:snapToGrid/>
              <w:spacing w:line="440" w:lineRule="exact"/>
              <w:textAlignment w:val="auto"/>
              <w:rPr>
                <w:rFonts w:hint="default" w:ascii="宋体" w:hAnsi="宋体" w:eastAsia="宋体" w:cs="宋体"/>
                <w:b w:val="0"/>
                <w:bCs w:val="0"/>
                <w:color w:val="auto"/>
                <w:sz w:val="24"/>
                <w:lang w:val="en-US" w:eastAsia="zh-CN"/>
              </w:rPr>
            </w:pPr>
            <w:r>
              <w:rPr>
                <w:rFonts w:hint="eastAsia" w:ascii="宋体" w:hAnsi="宋体" w:cs="宋体"/>
                <w:b w:val="0"/>
                <w:bCs w:val="0"/>
                <w:color w:val="auto"/>
                <w:sz w:val="24"/>
              </w:rPr>
              <w:t>采购代理服务费：</w:t>
            </w:r>
            <w:r>
              <w:rPr>
                <w:rFonts w:hint="eastAsia" w:ascii="宋体" w:hAnsi="宋体" w:cs="宋体"/>
                <w:b w:val="0"/>
                <w:bCs w:val="0"/>
                <w:color w:val="auto"/>
                <w:sz w:val="24"/>
                <w:lang w:val="en-US" w:eastAsia="zh-CN"/>
              </w:rPr>
              <w:t>供应商支付。</w:t>
            </w:r>
          </w:p>
          <w:p w14:paraId="775A7F32">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ascii="宋体" w:hAnsi="宋体" w:eastAsia="宋体" w:cs="宋体"/>
                <w:b w:val="0"/>
                <w:bCs w:val="0"/>
                <w:color w:val="auto"/>
                <w:sz w:val="24"/>
                <w:lang w:eastAsia="zh-CN"/>
              </w:rPr>
            </w:pPr>
            <w:r>
              <w:rPr>
                <w:rFonts w:ascii="宋体" w:hAnsi="宋体" w:cs="宋体"/>
                <w:b w:val="0"/>
                <w:bCs w:val="0"/>
                <w:color w:val="auto"/>
                <w:sz w:val="24"/>
              </w:rPr>
              <w:t>（</w:t>
            </w:r>
            <w:r>
              <w:rPr>
                <w:rFonts w:hint="eastAsia" w:ascii="宋体" w:hAnsi="宋体" w:cs="宋体"/>
                <w:b w:val="0"/>
                <w:bCs w:val="0"/>
                <w:color w:val="auto"/>
                <w:sz w:val="24"/>
              </w:rPr>
              <w:t>1）根据国家发改委《关于进一步放开建设项目专业服务价格的通知》（发改价格[2015]299号）规定</w:t>
            </w:r>
            <w:r>
              <w:rPr>
                <w:rFonts w:hint="eastAsia" w:ascii="宋体" w:hAnsi="宋体" w:cs="宋体"/>
                <w:b w:val="0"/>
                <w:bCs w:val="0"/>
                <w:color w:val="auto"/>
                <w:sz w:val="24"/>
                <w:lang w:val="en-US" w:eastAsia="zh-CN"/>
              </w:rPr>
              <w:t>支付</w:t>
            </w:r>
            <w:r>
              <w:rPr>
                <w:rFonts w:hint="eastAsia" w:ascii="宋体" w:hAnsi="宋体" w:eastAsia="宋体" w:cs="宋体"/>
                <w:b w:val="0"/>
                <w:bCs w:val="0"/>
                <w:color w:val="auto"/>
                <w:sz w:val="24"/>
              </w:rPr>
              <w:t>。</w:t>
            </w:r>
          </w:p>
          <w:p w14:paraId="431DBEAA">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rPr>
            </w:pPr>
            <w:r>
              <w:rPr>
                <w:rFonts w:hint="eastAsia" w:ascii="宋体" w:hAnsi="宋体" w:cs="宋体"/>
                <w:b w:val="0"/>
                <w:bCs w:val="0"/>
                <w:color w:val="auto"/>
                <w:sz w:val="24"/>
              </w:rPr>
              <w:t>（2）本项目招标代理费</w:t>
            </w:r>
            <w:r>
              <w:rPr>
                <w:rFonts w:hint="eastAsia" w:ascii="宋体" w:hAnsi="宋体" w:cs="宋体"/>
                <w:b w:val="0"/>
                <w:bCs w:val="0"/>
                <w:color w:val="auto"/>
                <w:sz w:val="24"/>
                <w:lang w:val="en-US" w:eastAsia="zh-CN"/>
              </w:rPr>
              <w:t>按委托代理协议签订金额支付</w:t>
            </w:r>
            <w:r>
              <w:rPr>
                <w:rFonts w:hint="eastAsia" w:ascii="宋体" w:hAnsi="宋体" w:cs="宋体"/>
                <w:b w:val="0"/>
                <w:bCs w:val="0"/>
                <w:color w:val="auto"/>
                <w:sz w:val="24"/>
              </w:rPr>
              <w:t>。</w:t>
            </w:r>
          </w:p>
        </w:tc>
      </w:tr>
      <w:tr w14:paraId="1F58173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EFC7FDB">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B5FB87B">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lang w:val="zh-CN"/>
              </w:rPr>
              <w:t>合同签订有效期</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3716E2B9">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lang w:val="zh-CN"/>
              </w:rPr>
              <w:t>自成交通知书发出之日起</w:t>
            </w:r>
            <w:r>
              <w:rPr>
                <w:rFonts w:hint="eastAsia" w:ascii="宋体" w:hAnsi="宋体" w:cs="宋体"/>
                <w:b w:val="0"/>
                <w:bCs w:val="0"/>
                <w:color w:val="auto"/>
                <w:sz w:val="24"/>
              </w:rPr>
              <w:t>30</w:t>
            </w:r>
            <w:r>
              <w:rPr>
                <w:rFonts w:hint="eastAsia" w:ascii="宋体" w:hAnsi="宋体" w:cs="宋体"/>
                <w:b w:val="0"/>
                <w:bCs w:val="0"/>
                <w:color w:val="auto"/>
                <w:sz w:val="24"/>
                <w:lang w:val="zh-CN"/>
              </w:rPr>
              <w:t>日内与采购人签订服务合同</w:t>
            </w:r>
          </w:p>
        </w:tc>
      </w:tr>
      <w:tr w14:paraId="715224B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A7047C">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4EFFBC">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lang w:val="zh-CN"/>
              </w:rPr>
              <w:t>政府采购合同备案</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0B4559FF">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ascii="宋体" w:hAnsi="宋体" w:cs="宋体"/>
                <w:b w:val="0"/>
                <w:bCs w:val="0"/>
                <w:color w:val="auto"/>
                <w:sz w:val="24"/>
                <w:lang w:val="zh-CN"/>
              </w:rPr>
            </w:pPr>
            <w:r>
              <w:rPr>
                <w:rFonts w:hint="eastAsia" w:ascii="宋体" w:hAnsi="宋体" w:cs="宋体"/>
                <w:b w:val="0"/>
                <w:bCs w:val="0"/>
                <w:color w:val="auto"/>
                <w:sz w:val="24"/>
                <w:lang w:val="zh-CN"/>
              </w:rPr>
              <w:t>采购合同全数返回采购代理机构鉴证，盖章。</w:t>
            </w:r>
          </w:p>
          <w:p w14:paraId="6CB338E0">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lang w:val="zh-CN"/>
              </w:rPr>
              <w:t>采购代理机构留存</w:t>
            </w:r>
            <w:r>
              <w:rPr>
                <w:rFonts w:hint="eastAsia" w:ascii="宋体" w:hAnsi="宋体" w:cs="宋体"/>
                <w:b w:val="0"/>
                <w:bCs w:val="0"/>
                <w:color w:val="auto"/>
                <w:sz w:val="24"/>
                <w:lang w:val="en-US" w:eastAsia="zh-CN"/>
              </w:rPr>
              <w:t>一</w:t>
            </w:r>
            <w:r>
              <w:rPr>
                <w:rFonts w:hint="eastAsia" w:ascii="宋体" w:hAnsi="宋体" w:cs="宋体"/>
                <w:b w:val="0"/>
                <w:bCs w:val="0"/>
                <w:color w:val="auto"/>
                <w:sz w:val="24"/>
                <w:lang w:val="zh-CN"/>
              </w:rPr>
              <w:t>份原件备案。</w:t>
            </w:r>
          </w:p>
        </w:tc>
      </w:tr>
      <w:tr w14:paraId="14CEECC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56BCE94">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35C32A">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rPr>
              <w:t>磋商有效期</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3C126EE6">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rPr>
              <w:t>磋商有效期为自磋商开始之日起60天</w:t>
            </w:r>
          </w:p>
        </w:tc>
      </w:tr>
      <w:tr w14:paraId="4047D7B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10961A9">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6A094F">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lang w:val="zh-CN"/>
              </w:rPr>
              <w:t>其他事项</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3FBE3CD9">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rPr>
            </w:pPr>
            <w:r>
              <w:rPr>
                <w:rFonts w:hint="eastAsia" w:ascii="宋体" w:hAnsi="宋体" w:cs="宋体"/>
                <w:b w:val="0"/>
                <w:bCs w:val="0"/>
                <w:color w:val="auto"/>
                <w:kern w:val="0"/>
                <w:sz w:val="24"/>
                <w:lang w:val="en-US" w:eastAsia="zh-CN"/>
              </w:rPr>
              <w:t>1、</w:t>
            </w:r>
            <w:r>
              <w:rPr>
                <w:rFonts w:hint="eastAsia" w:ascii="宋体" w:hAnsi="宋体" w:cs="宋体"/>
                <w:b w:val="0"/>
                <w:bCs w:val="0"/>
                <w:color w:val="auto"/>
                <w:kern w:val="0"/>
                <w:sz w:val="24"/>
                <w:lang w:val="zh-CN"/>
              </w:rPr>
              <w:t>本公告在《青海政府采购网》上发布；</w:t>
            </w:r>
          </w:p>
          <w:p w14:paraId="6231BD20">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lang w:val="zh-CN"/>
              </w:rPr>
            </w:pPr>
            <w:r>
              <w:rPr>
                <w:rFonts w:hint="eastAsia" w:ascii="宋体" w:hAnsi="宋体" w:cs="宋体"/>
                <w:b w:val="0"/>
                <w:bCs w:val="0"/>
                <w:color w:val="auto"/>
                <w:kern w:val="0"/>
                <w:sz w:val="24"/>
                <w:lang w:val="en-US" w:eastAsia="zh-CN"/>
              </w:rPr>
              <w:t>2</w:t>
            </w:r>
            <w:r>
              <w:rPr>
                <w:rFonts w:hint="eastAsia" w:ascii="宋体" w:hAnsi="宋体" w:cs="宋体"/>
                <w:b w:val="0"/>
                <w:bCs w:val="0"/>
                <w:color w:val="auto"/>
                <w:kern w:val="0"/>
                <w:sz w:val="24"/>
              </w:rPr>
              <w:t>、</w:t>
            </w:r>
            <w:r>
              <w:rPr>
                <w:rFonts w:hint="eastAsia" w:ascii="宋体" w:hAnsi="宋体" w:cs="宋体"/>
                <w:b w:val="0"/>
                <w:bCs w:val="0"/>
                <w:color w:val="auto"/>
                <w:kern w:val="0"/>
                <w:sz w:val="24"/>
                <w:lang w:val="zh-CN"/>
              </w:rPr>
              <w:t>本次</w:t>
            </w:r>
            <w:r>
              <w:rPr>
                <w:rFonts w:hint="eastAsia" w:ascii="宋体" w:hAnsi="宋体" w:cs="宋体"/>
                <w:b w:val="0"/>
                <w:bCs w:val="0"/>
                <w:color w:val="auto"/>
                <w:kern w:val="0"/>
                <w:sz w:val="24"/>
              </w:rPr>
              <w:t>采购</w:t>
            </w:r>
            <w:r>
              <w:rPr>
                <w:rFonts w:hint="eastAsia" w:ascii="宋体" w:hAnsi="宋体" w:cs="宋体"/>
                <w:b w:val="0"/>
                <w:bCs w:val="0"/>
                <w:color w:val="auto"/>
                <w:kern w:val="0"/>
                <w:sz w:val="24"/>
                <w:lang w:val="zh-CN"/>
              </w:rPr>
              <w:t>采用线上提交响应文件的方式进行采购，线上</w:t>
            </w:r>
            <w:r>
              <w:rPr>
                <w:rFonts w:hint="eastAsia" w:ascii="宋体" w:hAnsi="宋体" w:cs="宋体"/>
                <w:b w:val="0"/>
                <w:bCs w:val="0"/>
                <w:color w:val="auto"/>
                <w:kern w:val="0"/>
                <w:sz w:val="24"/>
              </w:rPr>
              <w:t>电子版响应</w:t>
            </w:r>
            <w:r>
              <w:rPr>
                <w:rFonts w:hint="eastAsia" w:ascii="宋体" w:hAnsi="宋体" w:cs="宋体"/>
                <w:b w:val="0"/>
                <w:bCs w:val="0"/>
                <w:color w:val="auto"/>
                <w:kern w:val="0"/>
                <w:sz w:val="24"/>
                <w:lang w:val="zh-CN"/>
              </w:rPr>
              <w:t>文件须在</w:t>
            </w:r>
            <w:r>
              <w:rPr>
                <w:rFonts w:hint="eastAsia" w:ascii="宋体" w:hAnsi="宋体" w:cs="宋体"/>
                <w:b w:val="0"/>
                <w:bCs w:val="0"/>
                <w:color w:val="auto"/>
                <w:kern w:val="0"/>
                <w:sz w:val="24"/>
              </w:rPr>
              <w:t>响应</w:t>
            </w:r>
            <w:r>
              <w:rPr>
                <w:rFonts w:hint="eastAsia" w:ascii="宋体" w:hAnsi="宋体" w:cs="宋体"/>
                <w:b w:val="0"/>
                <w:bCs w:val="0"/>
                <w:color w:val="auto"/>
                <w:kern w:val="0"/>
                <w:sz w:val="24"/>
                <w:lang w:val="zh-CN"/>
              </w:rPr>
              <w:t>文件递交截止时间前上传政采云平台；</w:t>
            </w:r>
          </w:p>
          <w:p w14:paraId="4E76B8E3">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rPr>
            </w:pPr>
            <w:r>
              <w:rPr>
                <w:rFonts w:hint="eastAsia" w:ascii="宋体" w:hAnsi="宋体" w:cs="宋体"/>
                <w:b w:val="0"/>
                <w:bCs w:val="0"/>
                <w:color w:val="auto"/>
                <w:kern w:val="0"/>
                <w:sz w:val="24"/>
                <w:lang w:val="en-US" w:eastAsia="zh-CN"/>
              </w:rPr>
              <w:t>3</w:t>
            </w:r>
            <w:r>
              <w:rPr>
                <w:rFonts w:hint="eastAsia" w:ascii="宋体" w:hAnsi="宋体" w:cs="宋体"/>
                <w:b w:val="0"/>
                <w:bCs w:val="0"/>
                <w:color w:val="auto"/>
                <w:kern w:val="0"/>
                <w:sz w:val="24"/>
              </w:rPr>
              <w:t>、</w:t>
            </w:r>
            <w:r>
              <w:rPr>
                <w:rFonts w:hint="eastAsia" w:ascii="宋体" w:hAnsi="宋体" w:cs="宋体"/>
                <w:b w:val="0"/>
                <w:bCs w:val="0"/>
                <w:color w:val="auto"/>
                <w:kern w:val="0"/>
                <w:sz w:val="24"/>
                <w:lang w:val="zh-CN"/>
              </w:rPr>
              <w:t>若对项目采购电子交易系统操作有疑问，可登录政采云（https://www.zcygov.cn/），点击右侧咨询小采，获取采小蜜智能服务管家帮助，或拨打政采云服务</w:t>
            </w:r>
            <w:r>
              <w:rPr>
                <w:rFonts w:hint="eastAsia" w:ascii="宋体" w:hAnsi="宋体" w:cs="宋体"/>
                <w:b w:val="0"/>
                <w:bCs w:val="0"/>
                <w:color w:val="auto"/>
                <w:kern w:val="0"/>
                <w:sz w:val="24"/>
              </w:rPr>
              <w:t>热线</w:t>
            </w:r>
            <w:r>
              <w:rPr>
                <w:rFonts w:hint="eastAsia" w:ascii="宋体" w:hAnsi="宋体" w:cs="宋体"/>
                <w:b w:val="0"/>
                <w:bCs w:val="0"/>
                <w:color w:val="auto"/>
                <w:kern w:val="0"/>
                <w:sz w:val="24"/>
                <w:lang w:val="en-US" w:eastAsia="zh-CN"/>
              </w:rPr>
              <w:t>95763</w:t>
            </w:r>
            <w:r>
              <w:rPr>
                <w:rFonts w:hint="eastAsia" w:ascii="宋体" w:hAnsi="宋体" w:cs="宋体"/>
                <w:b w:val="0"/>
                <w:bCs w:val="0"/>
                <w:color w:val="auto"/>
                <w:kern w:val="0"/>
                <w:sz w:val="24"/>
                <w:lang w:val="zh-CN"/>
              </w:rPr>
              <w:t>获取热线服务帮助。 CA问题联系电话（人工）；400-087-8198。</w:t>
            </w:r>
          </w:p>
          <w:p w14:paraId="4B1DDD7C">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cs="Arial"/>
                <w:b w:val="0"/>
                <w:bCs w:val="0"/>
                <w:color w:val="auto"/>
                <w:sz w:val="24"/>
              </w:rPr>
            </w:pPr>
            <w:r>
              <w:rPr>
                <w:rFonts w:hint="eastAsia" w:ascii="宋体" w:hAnsi="宋体" w:cs="宋体"/>
                <w:b w:val="0"/>
                <w:bCs w:val="0"/>
                <w:color w:val="auto"/>
                <w:kern w:val="0"/>
                <w:sz w:val="24"/>
                <w:lang w:val="en-US" w:eastAsia="zh-CN"/>
              </w:rPr>
              <w:t>4</w:t>
            </w:r>
            <w:r>
              <w:rPr>
                <w:rFonts w:hint="eastAsia" w:ascii="宋体" w:hAnsi="宋体" w:cs="宋体"/>
                <w:b w:val="0"/>
                <w:bCs w:val="0"/>
                <w:color w:val="auto"/>
                <w:kern w:val="0"/>
                <w:sz w:val="24"/>
                <w:lang w:val="zh-CN"/>
              </w:rPr>
              <w:t>、磋商供应商解密和磋商报价时必须由e签宝注册人办理，在固定电脑设备前登陆等待解密和磋商最终报价。</w:t>
            </w:r>
          </w:p>
        </w:tc>
      </w:tr>
    </w:tbl>
    <w:p w14:paraId="4E8CE043">
      <w:pPr>
        <w:pStyle w:val="25"/>
        <w:spacing w:before="0" w:after="0" w:line="360" w:lineRule="auto"/>
        <w:rPr>
          <w:rFonts w:ascii="宋体" w:hAnsi="宋体"/>
          <w:sz w:val="36"/>
          <w:szCs w:val="36"/>
          <w:lang w:val="zh-CN"/>
        </w:rPr>
      </w:pPr>
      <w:r>
        <w:rPr>
          <w:rFonts w:ascii="宋体" w:hAnsi="宋体"/>
          <w:b w:val="0"/>
          <w:sz w:val="44"/>
        </w:rPr>
        <w:br w:type="page"/>
      </w:r>
      <w:bookmarkStart w:id="69" w:name="_Toc444715734"/>
      <w:bookmarkStart w:id="70" w:name="_Toc1575295"/>
      <w:r>
        <w:rPr>
          <w:rFonts w:hint="eastAsia" w:ascii="宋体" w:hAnsi="宋体"/>
          <w:sz w:val="36"/>
          <w:szCs w:val="36"/>
        </w:rPr>
        <w:t>第三部分磋商供应商须知</w:t>
      </w:r>
      <w:bookmarkEnd w:id="69"/>
      <w:bookmarkEnd w:id="70"/>
    </w:p>
    <w:p w14:paraId="46E48AE9">
      <w:pPr>
        <w:pStyle w:val="4"/>
        <w:jc w:val="center"/>
        <w:rPr>
          <w:rFonts w:hAnsi="宋体"/>
          <w:b/>
          <w:sz w:val="32"/>
          <w:szCs w:val="21"/>
        </w:rPr>
      </w:pPr>
      <w:bookmarkStart w:id="71" w:name="_Toc1575296"/>
      <w:r>
        <w:rPr>
          <w:rFonts w:hint="eastAsia" w:hAnsi="宋体"/>
          <w:b/>
          <w:sz w:val="32"/>
          <w:szCs w:val="21"/>
        </w:rPr>
        <w:t>说明</w:t>
      </w:r>
      <w:bookmarkEnd w:id="71"/>
    </w:p>
    <w:p w14:paraId="7A0B15A2">
      <w:pPr>
        <w:pStyle w:val="5"/>
        <w:numPr>
          <w:ilvl w:val="0"/>
          <w:numId w:val="3"/>
        </w:numPr>
        <w:spacing w:before="0" w:after="0" w:line="360" w:lineRule="auto"/>
        <w:rPr>
          <w:rFonts w:ascii="宋体" w:hAnsi="宋体"/>
          <w:b w:val="0"/>
        </w:rPr>
      </w:pPr>
      <w:bookmarkStart w:id="72" w:name="_Toc1575297"/>
      <w:bookmarkStart w:id="73" w:name="_Toc459377860"/>
      <w:bookmarkStart w:id="74" w:name="_Toc446427794"/>
      <w:bookmarkStart w:id="75" w:name="_Toc488691479"/>
      <w:bookmarkStart w:id="76" w:name="_Toc495570969"/>
      <w:r>
        <w:rPr>
          <w:rFonts w:ascii="宋体" w:hAnsi="宋体"/>
          <w:b w:val="0"/>
        </w:rPr>
        <w:t>磋商内容及要求</w:t>
      </w:r>
      <w:bookmarkEnd w:id="72"/>
      <w:bookmarkEnd w:id="73"/>
      <w:bookmarkEnd w:id="74"/>
      <w:bookmarkEnd w:id="75"/>
      <w:bookmarkEnd w:id="76"/>
    </w:p>
    <w:p w14:paraId="3A5AD5E6">
      <w:pPr>
        <w:pStyle w:val="18"/>
        <w:spacing w:line="360" w:lineRule="auto"/>
        <w:ind w:firstLine="480" w:firstLineChars="200"/>
        <w:rPr>
          <w:rFonts w:hAnsi="宋体"/>
          <w:sz w:val="24"/>
          <w:szCs w:val="28"/>
        </w:rPr>
      </w:pPr>
      <w:r>
        <w:rPr>
          <w:rFonts w:hint="eastAsia" w:hAnsi="宋体"/>
          <w:sz w:val="24"/>
          <w:szCs w:val="28"/>
        </w:rPr>
        <w:t>本次采购依据采购单位的采购计划，仅适用于本竞争性磋商文件（以下简称“磋商文件”）中所叙述的项目。</w:t>
      </w:r>
    </w:p>
    <w:p w14:paraId="42A68EEC">
      <w:pPr>
        <w:pStyle w:val="5"/>
        <w:numPr>
          <w:ilvl w:val="0"/>
          <w:numId w:val="3"/>
        </w:numPr>
        <w:spacing w:before="0" w:after="0" w:line="360" w:lineRule="auto"/>
        <w:rPr>
          <w:rFonts w:ascii="宋体" w:hAnsi="宋体"/>
          <w:b w:val="0"/>
        </w:rPr>
      </w:pPr>
      <w:bookmarkStart w:id="77" w:name="_Toc488673614"/>
      <w:bookmarkStart w:id="78" w:name="_Toc1575298"/>
      <w:r>
        <w:rPr>
          <w:rFonts w:hint="eastAsia" w:ascii="宋体" w:hAnsi="宋体"/>
          <w:b w:val="0"/>
        </w:rPr>
        <w:t>采购方式、合格的磋商供应商</w:t>
      </w:r>
      <w:bookmarkEnd w:id="77"/>
      <w:bookmarkEnd w:id="78"/>
    </w:p>
    <w:p w14:paraId="101F2371">
      <w:pPr>
        <w:pStyle w:val="18"/>
        <w:numPr>
          <w:ilvl w:val="1"/>
          <w:numId w:val="4"/>
        </w:numPr>
        <w:spacing w:line="360" w:lineRule="auto"/>
        <w:rPr>
          <w:rFonts w:hAnsi="宋体"/>
          <w:sz w:val="24"/>
          <w:szCs w:val="28"/>
        </w:rPr>
      </w:pPr>
      <w:r>
        <w:rPr>
          <w:rFonts w:hint="eastAsia" w:hAnsi="宋体"/>
          <w:sz w:val="24"/>
          <w:szCs w:val="28"/>
        </w:rPr>
        <w:t>本次磋商采取竞争性磋商方式；</w:t>
      </w:r>
    </w:p>
    <w:p w14:paraId="0EE6F4AF">
      <w:pPr>
        <w:pStyle w:val="18"/>
        <w:numPr>
          <w:ilvl w:val="1"/>
          <w:numId w:val="4"/>
        </w:numPr>
        <w:spacing w:line="360" w:lineRule="auto"/>
        <w:rPr>
          <w:rFonts w:hAnsi="宋体"/>
          <w:sz w:val="24"/>
          <w:szCs w:val="28"/>
        </w:rPr>
      </w:pPr>
      <w:r>
        <w:rPr>
          <w:rFonts w:hAnsi="宋体" w:cs="Arial"/>
          <w:sz w:val="24"/>
          <w:szCs w:val="24"/>
        </w:rPr>
        <w:t>合格的磋商供应商：</w:t>
      </w:r>
    </w:p>
    <w:p w14:paraId="1A3ACE53">
      <w:pPr>
        <w:pStyle w:val="70"/>
        <w:autoSpaceDE w:val="0"/>
        <w:autoSpaceDN w:val="0"/>
        <w:adjustRightInd w:val="0"/>
        <w:spacing w:line="360" w:lineRule="auto"/>
        <w:ind w:firstLine="240" w:firstLineChars="100"/>
        <w:contextualSpacing/>
        <w:rPr>
          <w:rFonts w:ascii="宋体" w:hAnsi="Cambria" w:cs="宋体"/>
          <w:kern w:val="0"/>
          <w:sz w:val="24"/>
          <w:lang w:val="zh-CN"/>
        </w:rPr>
      </w:pPr>
      <w:bookmarkStart w:id="79" w:name="_Toc488673615"/>
      <w:bookmarkStart w:id="80" w:name="_Toc1575299"/>
      <w:r>
        <w:rPr>
          <w:rFonts w:hint="eastAsia" w:ascii="宋体" w:hAnsi="Cambria" w:cs="宋体"/>
          <w:kern w:val="0"/>
          <w:sz w:val="24"/>
          <w:lang w:val="en-US" w:eastAsia="zh-CN"/>
        </w:rPr>
        <w:t>1、</w:t>
      </w:r>
      <w:r>
        <w:rPr>
          <w:rFonts w:hint="eastAsia" w:ascii="宋体" w:hAnsi="Cambria" w:cs="宋体"/>
          <w:kern w:val="0"/>
          <w:sz w:val="24"/>
          <w:lang w:val="zh-CN"/>
        </w:rPr>
        <w:t>符合《政府采购法》第22条规定，并提供下列材料：</w:t>
      </w:r>
    </w:p>
    <w:p w14:paraId="05E0D963">
      <w:pPr>
        <w:pStyle w:val="70"/>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1）供应商的营业执照等证明文件，自然人的身份证明。</w:t>
      </w:r>
    </w:p>
    <w:p w14:paraId="7CFC7D04">
      <w:pPr>
        <w:pStyle w:val="70"/>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2）财务状况报告，依法缴纳税收和社会保障资金的相关材料。</w:t>
      </w:r>
    </w:p>
    <w:p w14:paraId="56DE56D6">
      <w:pPr>
        <w:pStyle w:val="70"/>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3）具备履行合同所必需的设备和专业技术能力的证明材料。</w:t>
      </w:r>
    </w:p>
    <w:p w14:paraId="332E5091">
      <w:pPr>
        <w:pStyle w:val="70"/>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4）参加政府采购活动前3年内在经营活动中没有重大违法记录的书面声明。</w:t>
      </w:r>
    </w:p>
    <w:p w14:paraId="662B7DA4">
      <w:pPr>
        <w:pStyle w:val="70"/>
        <w:autoSpaceDE w:val="0"/>
        <w:autoSpaceDN w:val="0"/>
        <w:adjustRightInd w:val="0"/>
        <w:spacing w:line="360" w:lineRule="auto"/>
        <w:ind w:firstLine="480" w:firstLineChars="200"/>
        <w:contextualSpacing/>
        <w:rPr>
          <w:rFonts w:hint="eastAsia" w:ascii="宋体" w:hAnsi="Cambria" w:cs="宋体"/>
          <w:kern w:val="0"/>
          <w:sz w:val="24"/>
          <w:lang w:val="zh-CN"/>
        </w:rPr>
      </w:pPr>
      <w:r>
        <w:rPr>
          <w:rFonts w:hint="eastAsia" w:ascii="宋体" w:hAnsi="Cambria" w:cs="宋体"/>
          <w:kern w:val="0"/>
          <w:sz w:val="24"/>
          <w:lang w:val="zh-CN"/>
        </w:rPr>
        <w:t>5）具备法律、行政法规规定的其他条件的证明材料。</w:t>
      </w:r>
    </w:p>
    <w:p w14:paraId="4D6735FD">
      <w:pPr>
        <w:pStyle w:val="70"/>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en-US" w:eastAsia="zh-CN"/>
        </w:rPr>
        <w:t>2、</w:t>
      </w:r>
      <w:r>
        <w:rPr>
          <w:rFonts w:hint="eastAsia" w:ascii="宋体" w:hAnsi="Cambria" w:cs="宋体"/>
          <w:kern w:val="0"/>
          <w:sz w:val="24"/>
          <w:lang w:val="zh-CN"/>
        </w:rPr>
        <w:t>单位负责人为同一人或者存在直接控股、管理关系的不同供应商，不得参加同一合同项下的政府采购活动。否则，皆取消磋商资格。</w:t>
      </w:r>
    </w:p>
    <w:p w14:paraId="56202A58">
      <w:pPr>
        <w:pStyle w:val="70"/>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en-US" w:eastAsia="zh-CN"/>
        </w:rPr>
        <w:t>3、</w:t>
      </w:r>
      <w:r>
        <w:rPr>
          <w:rFonts w:hint="eastAsia" w:ascii="宋体" w:hAnsi="Cambria" w:cs="宋体"/>
          <w:kern w:val="0"/>
          <w:sz w:val="24"/>
          <w:lang w:val="zh-CN"/>
        </w:rPr>
        <w:t>为本采购项目提供整体设计、规范编制或者项目管理、监理、检测等服务的供应商，不得再参加该采购项目的其他采购活动。</w:t>
      </w:r>
    </w:p>
    <w:p w14:paraId="3F89CD2A">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outlineLvl w:val="1"/>
        <w:rPr>
          <w:rFonts w:hint="eastAsia" w:ascii="宋体" w:hAnsi="Cambria" w:eastAsia="宋体" w:cs="宋体"/>
          <w:kern w:val="0"/>
          <w:sz w:val="24"/>
          <w:szCs w:val="22"/>
          <w:lang w:val="zh-CN" w:eastAsia="zh-CN" w:bidi="ar-SA"/>
        </w:rPr>
      </w:pPr>
      <w:r>
        <w:rPr>
          <w:rFonts w:hint="eastAsia" w:ascii="宋体" w:hAnsi="Cambria" w:cs="宋体"/>
          <w:kern w:val="0"/>
          <w:sz w:val="24"/>
          <w:lang w:val="en-US" w:eastAsia="zh-CN"/>
        </w:rPr>
        <w:t>4、</w:t>
      </w:r>
      <w:r>
        <w:rPr>
          <w:rFonts w:hint="eastAsia" w:ascii="宋体" w:hAnsi="Cambria" w:eastAsia="宋体" w:cs="宋体"/>
          <w:kern w:val="0"/>
          <w:sz w:val="24"/>
          <w:szCs w:val="22"/>
          <w:lang w:val="zh-CN" w:eastAsia="zh-CN" w:bidi="ar-SA"/>
        </w:rPr>
        <w:t>经信用中国（www.creditchina.gov.cn）、中国政府采购网（www.ccgp.gov.cn）渠道查询后，列入失信被执行人、重大税收违法案件当事人名单、政府采购严重违法失信行为记录名单的，取消投标资格。（提供“信用中国”、“中国政府采购网”网站查询截图，时间为投标截止时间前</w:t>
      </w:r>
      <w:r>
        <w:rPr>
          <w:rFonts w:hint="eastAsia" w:ascii="宋体" w:hAnsi="Cambria" w:cs="宋体"/>
          <w:kern w:val="0"/>
          <w:sz w:val="24"/>
          <w:szCs w:val="22"/>
          <w:lang w:val="en-US" w:eastAsia="zh-CN" w:bidi="ar-SA"/>
        </w:rPr>
        <w:t>1</w:t>
      </w:r>
      <w:r>
        <w:rPr>
          <w:rFonts w:hint="eastAsia" w:ascii="宋体" w:hAnsi="Cambria" w:eastAsia="宋体" w:cs="宋体"/>
          <w:kern w:val="0"/>
          <w:sz w:val="24"/>
          <w:szCs w:val="22"/>
          <w:lang w:val="en-US" w:eastAsia="zh-CN" w:bidi="ar-SA"/>
        </w:rPr>
        <w:t>0</w:t>
      </w:r>
      <w:r>
        <w:rPr>
          <w:rFonts w:hint="eastAsia" w:ascii="宋体" w:hAnsi="Cambria" w:eastAsia="宋体" w:cs="宋体"/>
          <w:kern w:val="0"/>
          <w:sz w:val="24"/>
          <w:szCs w:val="22"/>
          <w:lang w:val="zh-CN" w:eastAsia="zh-CN" w:bidi="ar-SA"/>
        </w:rPr>
        <w:t>天内）。</w:t>
      </w:r>
    </w:p>
    <w:p w14:paraId="42FEDD73">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outlineLvl w:val="1"/>
        <w:rPr>
          <w:rFonts w:hint="eastAsia" w:ascii="宋体" w:hAnsi="Cambria" w:cs="宋体"/>
          <w:kern w:val="0"/>
          <w:sz w:val="24"/>
          <w:lang w:val="zh-CN"/>
        </w:rPr>
      </w:pPr>
      <w:r>
        <w:rPr>
          <w:rFonts w:hint="eastAsia" w:ascii="宋体" w:hAnsi="Cambria" w:cs="宋体"/>
          <w:kern w:val="0"/>
          <w:sz w:val="24"/>
          <w:lang w:val="en-US" w:eastAsia="zh-CN"/>
        </w:rPr>
        <w:t>5、</w:t>
      </w:r>
      <w:r>
        <w:rPr>
          <w:rFonts w:hint="eastAsia" w:ascii="宋体" w:hAnsi="Cambria" w:cs="宋体"/>
          <w:kern w:val="0"/>
          <w:sz w:val="24"/>
          <w:lang w:val="zh-CN"/>
        </w:rPr>
        <w:t>本项目不接受以联合体方式进行投标。</w:t>
      </w:r>
    </w:p>
    <w:p w14:paraId="2F40FED3">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outlineLvl w:val="1"/>
        <w:rPr>
          <w:rFonts w:ascii="宋体" w:hAnsi="Cambria" w:cs="宋体"/>
          <w:kern w:val="0"/>
          <w:sz w:val="24"/>
          <w:lang w:val="zh-CN"/>
        </w:rPr>
      </w:pPr>
      <w:r>
        <w:rPr>
          <w:rFonts w:hint="eastAsia" w:ascii="宋体" w:hAnsi="Cambria" w:cs="宋体"/>
          <w:kern w:val="0"/>
          <w:sz w:val="24"/>
          <w:szCs w:val="22"/>
          <w:highlight w:val="none"/>
          <w:lang w:val="en-US" w:eastAsia="zh-CN" w:bidi="ar-SA"/>
        </w:rPr>
        <w:t>6、</w:t>
      </w:r>
      <w:r>
        <w:rPr>
          <w:rFonts w:hint="eastAsia" w:ascii="宋体" w:hAnsi="Cambria" w:eastAsia="宋体" w:cs="宋体"/>
          <w:kern w:val="0"/>
          <w:sz w:val="24"/>
          <w:szCs w:val="22"/>
          <w:highlight w:val="none"/>
          <w:lang w:val="zh-CN" w:eastAsia="zh-CN" w:bidi="ar-SA"/>
        </w:rPr>
        <w:t>本项目落实政府采购需满足的资格条件：</w:t>
      </w:r>
      <w:r>
        <w:rPr>
          <w:rFonts w:hint="eastAsia" w:ascii="宋体" w:hAnsi="Cambria" w:cs="宋体"/>
          <w:kern w:val="0"/>
          <w:sz w:val="24"/>
          <w:szCs w:val="22"/>
          <w:highlight w:val="none"/>
          <w:lang w:val="en-US" w:eastAsia="zh-CN" w:bidi="ar-SA"/>
        </w:rPr>
        <w:t>本项目全部面向中小企业采购。</w:t>
      </w:r>
    </w:p>
    <w:p w14:paraId="049B79CD">
      <w:pPr>
        <w:pStyle w:val="5"/>
        <w:numPr>
          <w:ilvl w:val="0"/>
          <w:numId w:val="3"/>
        </w:numPr>
        <w:spacing w:before="0" w:after="0" w:line="360" w:lineRule="auto"/>
        <w:rPr>
          <w:rFonts w:ascii="宋体" w:hAnsi="宋体"/>
          <w:b w:val="0"/>
        </w:rPr>
      </w:pPr>
      <w:r>
        <w:rPr>
          <w:rFonts w:hint="eastAsia" w:ascii="宋体" w:hAnsi="宋体"/>
          <w:b w:val="0"/>
        </w:rPr>
        <w:t>磋商费用</w:t>
      </w:r>
      <w:bookmarkEnd w:id="79"/>
      <w:bookmarkEnd w:id="80"/>
    </w:p>
    <w:p w14:paraId="304CBDCD">
      <w:pPr>
        <w:pStyle w:val="18"/>
        <w:spacing w:line="360" w:lineRule="auto"/>
        <w:ind w:firstLine="480" w:firstLineChars="200"/>
        <w:rPr>
          <w:rFonts w:hAnsi="宋体"/>
          <w:b/>
          <w:sz w:val="24"/>
          <w:szCs w:val="28"/>
        </w:rPr>
      </w:pPr>
      <w:r>
        <w:rPr>
          <w:rFonts w:hint="eastAsia" w:hAnsi="宋体"/>
          <w:sz w:val="24"/>
          <w:szCs w:val="28"/>
        </w:rPr>
        <w:t>磋商供应商应自愿承担与参加本次磋商有关的费用。采购代理机构对磋商供应商发生的费用不承担任何责任。</w:t>
      </w:r>
    </w:p>
    <w:p w14:paraId="47D47199">
      <w:pPr>
        <w:pStyle w:val="4"/>
        <w:pBdr>
          <w:top w:val="none" w:color="auto" w:sz="0" w:space="1"/>
          <w:left w:val="none" w:color="auto" w:sz="0" w:space="4"/>
          <w:bottom w:val="none" w:color="auto" w:sz="0" w:space="1"/>
          <w:right w:val="none" w:color="auto" w:sz="0" w:space="4"/>
        </w:pBdr>
        <w:jc w:val="center"/>
        <w:rPr>
          <w:rFonts w:hAnsi="宋体"/>
          <w:b/>
          <w:sz w:val="32"/>
          <w:szCs w:val="21"/>
        </w:rPr>
      </w:pPr>
      <w:bookmarkStart w:id="81" w:name="_Toc1575300"/>
      <w:r>
        <w:rPr>
          <w:rFonts w:hint="eastAsia" w:hAnsi="宋体"/>
          <w:b/>
          <w:sz w:val="32"/>
          <w:szCs w:val="21"/>
        </w:rPr>
        <w:t>磋商文件说明</w:t>
      </w:r>
      <w:bookmarkEnd w:id="81"/>
    </w:p>
    <w:p w14:paraId="6618814A">
      <w:pPr>
        <w:pStyle w:val="5"/>
        <w:numPr>
          <w:ilvl w:val="0"/>
          <w:numId w:val="3"/>
        </w:numPr>
        <w:spacing w:before="0" w:after="0" w:line="360" w:lineRule="auto"/>
        <w:rPr>
          <w:rFonts w:ascii="宋体" w:hAnsi="宋体"/>
          <w:b w:val="0"/>
        </w:rPr>
      </w:pPr>
      <w:bookmarkStart w:id="82" w:name="_Toc488673617"/>
      <w:bookmarkStart w:id="83" w:name="_Toc1575301"/>
      <w:r>
        <w:rPr>
          <w:rFonts w:hint="eastAsia" w:ascii="宋体" w:hAnsi="宋体"/>
          <w:b w:val="0"/>
        </w:rPr>
        <w:t>磋商文件的构成</w:t>
      </w:r>
      <w:bookmarkEnd w:id="82"/>
      <w:bookmarkEnd w:id="83"/>
    </w:p>
    <w:p w14:paraId="01926A6F">
      <w:pPr>
        <w:pStyle w:val="18"/>
        <w:numPr>
          <w:ilvl w:val="1"/>
          <w:numId w:val="5"/>
        </w:numPr>
        <w:spacing w:line="360" w:lineRule="auto"/>
        <w:rPr>
          <w:rFonts w:hAnsi="宋体"/>
          <w:sz w:val="24"/>
          <w:szCs w:val="28"/>
        </w:rPr>
      </w:pPr>
      <w:r>
        <w:rPr>
          <w:rFonts w:hint="eastAsia" w:hAnsi="宋体"/>
          <w:sz w:val="24"/>
          <w:szCs w:val="28"/>
        </w:rPr>
        <w:t>磋商文件包括：</w:t>
      </w:r>
    </w:p>
    <w:p w14:paraId="765F76BB">
      <w:pPr>
        <w:pStyle w:val="18"/>
        <w:numPr>
          <w:ilvl w:val="0"/>
          <w:numId w:val="6"/>
        </w:numPr>
        <w:spacing w:line="360" w:lineRule="auto"/>
        <w:rPr>
          <w:rFonts w:hAnsi="宋体" w:cs="Arial"/>
          <w:sz w:val="24"/>
          <w:szCs w:val="24"/>
        </w:rPr>
      </w:pPr>
      <w:r>
        <w:rPr>
          <w:rFonts w:hint="eastAsia" w:hAnsi="宋体" w:cs="Arial"/>
          <w:sz w:val="24"/>
          <w:szCs w:val="24"/>
        </w:rPr>
        <w:t>磋商邀请；</w:t>
      </w:r>
    </w:p>
    <w:p w14:paraId="2E669F20">
      <w:pPr>
        <w:pStyle w:val="18"/>
        <w:numPr>
          <w:ilvl w:val="0"/>
          <w:numId w:val="6"/>
        </w:numPr>
        <w:spacing w:line="360" w:lineRule="auto"/>
        <w:rPr>
          <w:rFonts w:hAnsi="宋体" w:cs="Arial"/>
          <w:sz w:val="24"/>
          <w:szCs w:val="24"/>
        </w:rPr>
      </w:pPr>
      <w:r>
        <w:rPr>
          <w:rFonts w:hint="eastAsia" w:hAnsi="宋体" w:cs="Arial"/>
          <w:sz w:val="24"/>
          <w:szCs w:val="24"/>
        </w:rPr>
        <w:t>磋商供应商须知前附表；</w:t>
      </w:r>
    </w:p>
    <w:p w14:paraId="412985D2">
      <w:pPr>
        <w:pStyle w:val="18"/>
        <w:numPr>
          <w:ilvl w:val="0"/>
          <w:numId w:val="6"/>
        </w:numPr>
        <w:spacing w:line="360" w:lineRule="auto"/>
        <w:rPr>
          <w:rFonts w:hAnsi="宋体" w:cs="Arial"/>
          <w:sz w:val="24"/>
          <w:szCs w:val="24"/>
        </w:rPr>
      </w:pPr>
      <w:r>
        <w:rPr>
          <w:rFonts w:hint="eastAsia" w:hAnsi="宋体" w:cs="Arial"/>
          <w:sz w:val="24"/>
          <w:szCs w:val="24"/>
        </w:rPr>
        <w:t>磋商供应商须知；</w:t>
      </w:r>
    </w:p>
    <w:p w14:paraId="6748742C">
      <w:pPr>
        <w:pStyle w:val="18"/>
        <w:numPr>
          <w:ilvl w:val="0"/>
          <w:numId w:val="6"/>
        </w:numPr>
        <w:spacing w:line="360" w:lineRule="auto"/>
        <w:rPr>
          <w:rFonts w:hAnsi="宋体" w:cs="Arial"/>
          <w:sz w:val="24"/>
          <w:szCs w:val="24"/>
        </w:rPr>
      </w:pPr>
      <w:r>
        <w:rPr>
          <w:rFonts w:hint="eastAsia" w:hAnsi="宋体" w:cs="Arial"/>
          <w:sz w:val="24"/>
          <w:szCs w:val="24"/>
        </w:rPr>
        <w:t>青海省政府采购合同文本样式；</w:t>
      </w:r>
    </w:p>
    <w:p w14:paraId="02C78E8D">
      <w:pPr>
        <w:pStyle w:val="18"/>
        <w:numPr>
          <w:ilvl w:val="0"/>
          <w:numId w:val="6"/>
        </w:numPr>
        <w:spacing w:line="360" w:lineRule="auto"/>
        <w:rPr>
          <w:rFonts w:hAnsi="宋体" w:cs="Arial"/>
          <w:sz w:val="24"/>
          <w:szCs w:val="24"/>
        </w:rPr>
      </w:pPr>
      <w:r>
        <w:rPr>
          <w:rFonts w:hint="eastAsia" w:hAnsi="宋体" w:cs="Arial"/>
          <w:sz w:val="24"/>
          <w:szCs w:val="24"/>
        </w:rPr>
        <w:t>磋商响应文件格式；</w:t>
      </w:r>
    </w:p>
    <w:p w14:paraId="35C78C26">
      <w:pPr>
        <w:pStyle w:val="18"/>
        <w:numPr>
          <w:ilvl w:val="0"/>
          <w:numId w:val="6"/>
        </w:numPr>
        <w:spacing w:line="360" w:lineRule="auto"/>
        <w:rPr>
          <w:rFonts w:hAnsi="宋体" w:cs="Arial"/>
          <w:sz w:val="24"/>
          <w:szCs w:val="24"/>
        </w:rPr>
      </w:pPr>
      <w:r>
        <w:rPr>
          <w:rFonts w:hint="eastAsia" w:hAnsi="宋体" w:cs="Arial"/>
          <w:sz w:val="24"/>
          <w:szCs w:val="24"/>
        </w:rPr>
        <w:t>采购项目要求及技术参数；</w:t>
      </w:r>
    </w:p>
    <w:p w14:paraId="1A7A2DF5">
      <w:pPr>
        <w:pStyle w:val="18"/>
        <w:numPr>
          <w:ilvl w:val="0"/>
          <w:numId w:val="6"/>
        </w:numPr>
        <w:spacing w:line="360" w:lineRule="auto"/>
        <w:rPr>
          <w:rFonts w:hAnsi="宋体" w:cs="Arial"/>
          <w:sz w:val="24"/>
          <w:szCs w:val="24"/>
        </w:rPr>
      </w:pPr>
      <w:r>
        <w:rPr>
          <w:rFonts w:hint="eastAsia" w:hAnsi="宋体" w:cs="Arial"/>
          <w:sz w:val="24"/>
          <w:szCs w:val="24"/>
        </w:rPr>
        <w:t>采购过程中发生的澄清、变更和补充文件；</w:t>
      </w:r>
    </w:p>
    <w:p w14:paraId="544E2478">
      <w:pPr>
        <w:pStyle w:val="18"/>
        <w:numPr>
          <w:ilvl w:val="1"/>
          <w:numId w:val="5"/>
        </w:numPr>
        <w:spacing w:line="360" w:lineRule="auto"/>
        <w:rPr>
          <w:rFonts w:hAnsi="宋体"/>
          <w:sz w:val="24"/>
          <w:szCs w:val="28"/>
        </w:rPr>
      </w:pPr>
      <w:r>
        <w:rPr>
          <w:rFonts w:hint="eastAsia" w:hAnsi="宋体"/>
          <w:sz w:val="24"/>
          <w:szCs w:val="28"/>
        </w:rPr>
        <w:t>磋商供应商应认真阅读磋商文件中列示的事项、格式、条款和要求等内容。如果磋商供应商未按磋商文件要求提交全部资料，或者对磋商文件未作出实质性响应的，根据相关法规要求，此类磋商将被拒绝（视为无效磋商）。</w:t>
      </w:r>
    </w:p>
    <w:p w14:paraId="2BE4274E">
      <w:pPr>
        <w:pStyle w:val="5"/>
        <w:numPr>
          <w:ilvl w:val="0"/>
          <w:numId w:val="3"/>
        </w:numPr>
        <w:spacing w:before="0" w:after="0" w:line="360" w:lineRule="auto"/>
        <w:rPr>
          <w:rFonts w:ascii="宋体" w:hAnsi="宋体"/>
          <w:b w:val="0"/>
        </w:rPr>
      </w:pPr>
      <w:bookmarkStart w:id="84" w:name="_Toc1575302"/>
      <w:bookmarkStart w:id="85" w:name="_Toc488673618"/>
      <w:r>
        <w:rPr>
          <w:rFonts w:hint="eastAsia" w:ascii="宋体" w:hAnsi="宋体"/>
          <w:b w:val="0"/>
        </w:rPr>
        <w:t>磋商文件、磋商活动和中标结果的质疑</w:t>
      </w:r>
      <w:bookmarkEnd w:id="84"/>
      <w:bookmarkEnd w:id="85"/>
    </w:p>
    <w:p w14:paraId="651EA9BF">
      <w:pPr>
        <w:pStyle w:val="18"/>
        <w:numPr>
          <w:ilvl w:val="1"/>
          <w:numId w:val="7"/>
        </w:numPr>
        <w:spacing w:line="360" w:lineRule="auto"/>
        <w:rPr>
          <w:rFonts w:hAnsi="宋体"/>
          <w:sz w:val="24"/>
          <w:szCs w:val="28"/>
        </w:rPr>
      </w:pPr>
      <w:r>
        <w:rPr>
          <w:rFonts w:hint="eastAsia" w:hAnsi="宋体"/>
          <w:sz w:val="24"/>
          <w:szCs w:val="28"/>
        </w:rPr>
        <w:t>参加磋商的磋商供应商认为磋商文件、磋商活动和中标、成交结果使自己的权益受到损害的，可以在知道或者应知其权益受到损害之日起7个工作日内以书面形式（如信件、传真等）向采购单位或者采购代理机构提出质疑，不接受匿名质疑。潜在供应商已依法获取其可质疑的磋商文件的，可以对该文件提出质疑，对磋商文件提出质疑的，应当在获取磋商文件或者磋商文件公告期限届满之日起7个工作日内提出。供应商须在法定质疑期内一次性提出针对同一采购程序环节的质疑。采购人或采购代理机构在收到书面质疑函后7个工作日内作出答复。</w:t>
      </w:r>
    </w:p>
    <w:p w14:paraId="3D023A6C">
      <w:pPr>
        <w:pStyle w:val="18"/>
        <w:numPr>
          <w:ilvl w:val="1"/>
          <w:numId w:val="7"/>
        </w:numPr>
        <w:spacing w:line="360" w:lineRule="auto"/>
        <w:rPr>
          <w:rFonts w:hAnsi="宋体"/>
          <w:sz w:val="24"/>
          <w:szCs w:val="28"/>
        </w:rPr>
      </w:pPr>
      <w:r>
        <w:rPr>
          <w:rFonts w:hint="eastAsia" w:hAnsi="宋体"/>
          <w:sz w:val="24"/>
          <w:szCs w:val="28"/>
        </w:rPr>
        <w:t>参与采购活动的磋商人对评审过程或者结果提出质疑的，采购人或采购代理机构可以组织原评审委员会协助处理质疑事项，并依据评审委员会出具的意见进行答复。质疑事项处理完成后，采购人或采购代理机构应按照规定填写《青海省政府采购磋商人质疑处理情况表》，并在15日内报同级政府采购监督管理部门备案。</w:t>
      </w:r>
    </w:p>
    <w:p w14:paraId="3D7C7DA7">
      <w:pPr>
        <w:pStyle w:val="18"/>
        <w:numPr>
          <w:ilvl w:val="1"/>
          <w:numId w:val="7"/>
        </w:numPr>
        <w:spacing w:line="360" w:lineRule="auto"/>
        <w:rPr>
          <w:rFonts w:hAnsi="宋体"/>
          <w:sz w:val="24"/>
          <w:szCs w:val="28"/>
        </w:rPr>
      </w:pPr>
      <w:r>
        <w:rPr>
          <w:rFonts w:hint="eastAsia" w:hAnsi="宋体"/>
          <w:sz w:val="24"/>
          <w:szCs w:val="28"/>
        </w:rPr>
        <w:t>质疑时效期间的计算</w:t>
      </w:r>
    </w:p>
    <w:p w14:paraId="0714566A">
      <w:pPr>
        <w:pStyle w:val="18"/>
        <w:numPr>
          <w:ilvl w:val="0"/>
          <w:numId w:val="8"/>
        </w:numPr>
        <w:spacing w:line="360" w:lineRule="auto"/>
        <w:rPr>
          <w:rFonts w:hAnsi="宋体" w:cs="Arial"/>
          <w:sz w:val="24"/>
          <w:szCs w:val="24"/>
        </w:rPr>
      </w:pPr>
      <w:r>
        <w:rPr>
          <w:rFonts w:hint="eastAsia" w:hAnsi="宋体" w:cs="Arial"/>
          <w:sz w:val="24"/>
          <w:szCs w:val="24"/>
        </w:rPr>
        <w:t>对可以质疑的磋商文件提出质疑的，为收到磋商文件之日或磋商文件公告期限届满之日；</w:t>
      </w:r>
    </w:p>
    <w:p w14:paraId="57B0BE32">
      <w:pPr>
        <w:pStyle w:val="18"/>
        <w:numPr>
          <w:ilvl w:val="0"/>
          <w:numId w:val="8"/>
        </w:numPr>
        <w:spacing w:line="360" w:lineRule="auto"/>
        <w:rPr>
          <w:rFonts w:hAnsi="宋体" w:cs="Arial"/>
          <w:sz w:val="24"/>
          <w:szCs w:val="24"/>
        </w:rPr>
      </w:pPr>
      <w:r>
        <w:rPr>
          <w:rFonts w:hint="eastAsia" w:hAnsi="宋体" w:cs="Arial"/>
          <w:sz w:val="24"/>
          <w:szCs w:val="24"/>
        </w:rPr>
        <w:t>对磋商过程提出质疑的，为磋商程序各环节结束之日；</w:t>
      </w:r>
    </w:p>
    <w:p w14:paraId="164EE096">
      <w:pPr>
        <w:pStyle w:val="18"/>
        <w:numPr>
          <w:ilvl w:val="0"/>
          <w:numId w:val="8"/>
        </w:numPr>
        <w:spacing w:line="360" w:lineRule="auto"/>
        <w:rPr>
          <w:rFonts w:hAnsi="宋体" w:cs="Arial"/>
          <w:sz w:val="24"/>
          <w:szCs w:val="24"/>
        </w:rPr>
      </w:pPr>
      <w:r>
        <w:rPr>
          <w:rFonts w:hint="eastAsia" w:hAnsi="宋体" w:cs="Arial"/>
          <w:sz w:val="24"/>
          <w:szCs w:val="24"/>
        </w:rPr>
        <w:t>对中标结果提出质疑的，为中标公告期限届满之日。</w:t>
      </w:r>
    </w:p>
    <w:p w14:paraId="7F7937F8">
      <w:pPr>
        <w:pStyle w:val="5"/>
        <w:numPr>
          <w:ilvl w:val="0"/>
          <w:numId w:val="3"/>
        </w:numPr>
        <w:spacing w:before="0" w:after="0" w:line="360" w:lineRule="auto"/>
        <w:rPr>
          <w:rFonts w:ascii="宋体" w:hAnsi="宋体"/>
          <w:b w:val="0"/>
        </w:rPr>
      </w:pPr>
      <w:bookmarkStart w:id="86" w:name="_Toc1575303"/>
      <w:bookmarkStart w:id="87" w:name="_Toc488673619"/>
      <w:r>
        <w:rPr>
          <w:rFonts w:hint="eastAsia" w:ascii="宋体" w:hAnsi="宋体"/>
          <w:b w:val="0"/>
        </w:rPr>
        <w:t>磋商文件的修改</w:t>
      </w:r>
      <w:bookmarkEnd w:id="86"/>
      <w:bookmarkEnd w:id="87"/>
    </w:p>
    <w:p w14:paraId="3C665826">
      <w:pPr>
        <w:pStyle w:val="18"/>
        <w:numPr>
          <w:ilvl w:val="1"/>
          <w:numId w:val="9"/>
        </w:numPr>
        <w:spacing w:line="360" w:lineRule="auto"/>
        <w:rPr>
          <w:rFonts w:hAnsi="宋体"/>
          <w:sz w:val="24"/>
          <w:szCs w:val="28"/>
        </w:rPr>
      </w:pPr>
      <w:r>
        <w:rPr>
          <w:rFonts w:hint="eastAsia" w:hAnsi="宋体"/>
          <w:sz w:val="24"/>
          <w:szCs w:val="28"/>
        </w:rPr>
        <w:t>在磋商截止期前，采购单位或采购代理机构可对磋商文件进行必要的修改或者澄清；</w:t>
      </w:r>
    </w:p>
    <w:p w14:paraId="7139D968">
      <w:pPr>
        <w:pStyle w:val="18"/>
        <w:numPr>
          <w:ilvl w:val="1"/>
          <w:numId w:val="9"/>
        </w:numPr>
        <w:spacing w:line="360" w:lineRule="auto"/>
        <w:rPr>
          <w:rFonts w:hAnsi="宋体"/>
          <w:sz w:val="24"/>
          <w:szCs w:val="28"/>
        </w:rPr>
      </w:pPr>
      <w:r>
        <w:rPr>
          <w:rFonts w:hint="eastAsia" w:hAnsi="宋体"/>
          <w:sz w:val="24"/>
          <w:szCs w:val="28"/>
        </w:rPr>
        <w:t>采购代理机构对已发出的磋商文件进行必要的澄清或者修改的，澄清或者修改的内容可能影响磋商响应文件编制的，在磋商文件要求提交磋商响应文件截止时间</w:t>
      </w:r>
      <w:r>
        <w:rPr>
          <w:rFonts w:hAnsi="宋体"/>
          <w:sz w:val="24"/>
          <w:szCs w:val="28"/>
        </w:rPr>
        <w:t>5</w:t>
      </w:r>
      <w:r>
        <w:rPr>
          <w:rFonts w:hint="eastAsia" w:hAnsi="宋体"/>
          <w:sz w:val="24"/>
          <w:szCs w:val="28"/>
        </w:rPr>
        <w:t>日前，发布本次磋商公告的网站上发布变更公告。不足</w:t>
      </w:r>
      <w:r>
        <w:rPr>
          <w:rFonts w:hAnsi="宋体"/>
          <w:sz w:val="24"/>
          <w:szCs w:val="28"/>
        </w:rPr>
        <w:t>5</w:t>
      </w:r>
      <w:r>
        <w:rPr>
          <w:rFonts w:hint="eastAsia" w:hAnsi="宋体"/>
          <w:sz w:val="24"/>
          <w:szCs w:val="28"/>
        </w:rPr>
        <w:t>日的，顺延提交磋商响应文件的截止时间。该澄清或者修改的内容为磋商文件的组成部分；</w:t>
      </w:r>
    </w:p>
    <w:p w14:paraId="47DA7A1D">
      <w:pPr>
        <w:pStyle w:val="18"/>
        <w:numPr>
          <w:ilvl w:val="1"/>
          <w:numId w:val="9"/>
        </w:numPr>
        <w:spacing w:line="360" w:lineRule="auto"/>
        <w:rPr>
          <w:rFonts w:hAnsi="宋体"/>
          <w:sz w:val="24"/>
          <w:szCs w:val="28"/>
        </w:rPr>
      </w:pPr>
      <w:r>
        <w:rPr>
          <w:rFonts w:hint="eastAsia" w:hAnsi="宋体"/>
          <w:sz w:val="24"/>
          <w:szCs w:val="28"/>
        </w:rPr>
        <w:t>在磋商截止时间前，采购单位或采购代理机构可以视采购具体情况，延长磋商截止时间和磋商时间，并在磋商文件要求提交磋商响应文件的截止时间3日前，将变更时间以书面形式通知所有购买了磋商文件的潜在磋商供应商，同时在发布本次磋商公告的网站发布变更公告。</w:t>
      </w:r>
    </w:p>
    <w:p w14:paraId="03381FEA">
      <w:pPr>
        <w:pStyle w:val="4"/>
        <w:jc w:val="center"/>
        <w:rPr>
          <w:rFonts w:hAnsi="宋体"/>
          <w:b/>
          <w:sz w:val="32"/>
          <w:szCs w:val="21"/>
        </w:rPr>
      </w:pPr>
      <w:bookmarkStart w:id="88" w:name="_Toc1575304"/>
      <w:r>
        <w:rPr>
          <w:rFonts w:hint="eastAsia" w:hAnsi="宋体"/>
          <w:b/>
          <w:sz w:val="32"/>
          <w:szCs w:val="21"/>
        </w:rPr>
        <w:t>磋商响应文件的编写</w:t>
      </w:r>
      <w:bookmarkEnd w:id="88"/>
    </w:p>
    <w:p w14:paraId="2193CA37">
      <w:pPr>
        <w:pStyle w:val="5"/>
        <w:numPr>
          <w:ilvl w:val="0"/>
          <w:numId w:val="3"/>
        </w:numPr>
        <w:spacing w:before="0" w:after="0" w:line="360" w:lineRule="auto"/>
        <w:rPr>
          <w:rFonts w:ascii="宋体" w:hAnsi="宋体"/>
          <w:b w:val="0"/>
        </w:rPr>
      </w:pPr>
      <w:bookmarkStart w:id="89" w:name="_Toc1575305"/>
      <w:bookmarkStart w:id="90" w:name="_Toc488673621"/>
      <w:r>
        <w:rPr>
          <w:rFonts w:hint="eastAsia" w:ascii="宋体" w:hAnsi="宋体"/>
          <w:b w:val="0"/>
        </w:rPr>
        <w:t>磋商响应文件的语言及度量衡单位</w:t>
      </w:r>
      <w:bookmarkEnd w:id="89"/>
      <w:bookmarkEnd w:id="90"/>
    </w:p>
    <w:p w14:paraId="38B9FDCE">
      <w:pPr>
        <w:pStyle w:val="18"/>
        <w:numPr>
          <w:ilvl w:val="1"/>
          <w:numId w:val="10"/>
        </w:numPr>
        <w:spacing w:line="360" w:lineRule="auto"/>
        <w:rPr>
          <w:rFonts w:hAnsi="宋体"/>
          <w:sz w:val="24"/>
          <w:szCs w:val="28"/>
        </w:rPr>
      </w:pPr>
      <w:r>
        <w:rPr>
          <w:rFonts w:hint="eastAsia" w:hAnsi="宋体"/>
          <w:sz w:val="24"/>
          <w:szCs w:val="28"/>
        </w:rPr>
        <w:t>磋商供应商提交的磋商响应文件以及磋商供应商与采购代理机构就此磋商发生的所有来往函电均应使用简体中文；</w:t>
      </w:r>
    </w:p>
    <w:p w14:paraId="05F812BF">
      <w:pPr>
        <w:pStyle w:val="18"/>
        <w:numPr>
          <w:ilvl w:val="1"/>
          <w:numId w:val="10"/>
        </w:numPr>
        <w:spacing w:line="360" w:lineRule="auto"/>
        <w:rPr>
          <w:rFonts w:hAnsi="宋体"/>
          <w:sz w:val="24"/>
          <w:szCs w:val="28"/>
        </w:rPr>
      </w:pPr>
      <w:r>
        <w:rPr>
          <w:rFonts w:hint="eastAsia" w:hAnsi="宋体"/>
          <w:sz w:val="24"/>
          <w:szCs w:val="28"/>
        </w:rPr>
        <w:t>除磋商文件中另有规定外，磋商文件所使用的度量衡单位，均须采用国家法定计量单位；</w:t>
      </w:r>
    </w:p>
    <w:p w14:paraId="0054C940">
      <w:pPr>
        <w:pStyle w:val="18"/>
        <w:numPr>
          <w:ilvl w:val="1"/>
          <w:numId w:val="10"/>
        </w:numPr>
        <w:spacing w:line="360" w:lineRule="auto"/>
        <w:rPr>
          <w:rFonts w:hAnsi="宋体"/>
          <w:sz w:val="24"/>
          <w:szCs w:val="28"/>
        </w:rPr>
      </w:pPr>
      <w:r>
        <w:rPr>
          <w:rFonts w:hint="eastAsia" w:hAnsi="宋体"/>
          <w:sz w:val="24"/>
          <w:szCs w:val="28"/>
        </w:rPr>
        <w:t>附有外文资料的须翻译成中文，并加盖磋商供应商公章，如果翻译的中文资料与外文资料出现差异与矛盾时，以中文为准，其准确性由磋商供应商负责。</w:t>
      </w:r>
    </w:p>
    <w:p w14:paraId="4F87B620">
      <w:pPr>
        <w:pStyle w:val="5"/>
        <w:numPr>
          <w:ilvl w:val="0"/>
          <w:numId w:val="3"/>
        </w:numPr>
        <w:spacing w:before="0" w:after="0" w:line="360" w:lineRule="auto"/>
        <w:rPr>
          <w:rFonts w:ascii="宋体" w:hAnsi="宋体"/>
          <w:b w:val="0"/>
        </w:rPr>
      </w:pPr>
      <w:bookmarkStart w:id="91" w:name="_Toc1575306"/>
      <w:bookmarkStart w:id="92" w:name="_Toc488673622"/>
      <w:r>
        <w:rPr>
          <w:rFonts w:hint="eastAsia" w:ascii="宋体" w:hAnsi="宋体"/>
          <w:b w:val="0"/>
        </w:rPr>
        <w:t>磋商报价及币种</w:t>
      </w:r>
      <w:bookmarkEnd w:id="91"/>
      <w:bookmarkEnd w:id="92"/>
    </w:p>
    <w:p w14:paraId="097D2D0F">
      <w:pPr>
        <w:pStyle w:val="18"/>
        <w:numPr>
          <w:ilvl w:val="1"/>
          <w:numId w:val="11"/>
        </w:numPr>
        <w:spacing w:line="360" w:lineRule="auto"/>
        <w:rPr>
          <w:rFonts w:hAnsi="宋体"/>
          <w:sz w:val="24"/>
          <w:szCs w:val="28"/>
        </w:rPr>
      </w:pPr>
      <w:r>
        <w:rPr>
          <w:rFonts w:hint="eastAsia" w:hAnsi="宋体"/>
          <w:sz w:val="24"/>
          <w:szCs w:val="28"/>
        </w:rPr>
        <w:t>磋商报价为磋商总价。磋商报价必须包括：</w:t>
      </w:r>
      <w:bookmarkStart w:id="93" w:name="_Hlk497466989"/>
      <w:r>
        <w:rPr>
          <w:rFonts w:hint="eastAsia" w:hAnsi="宋体"/>
          <w:sz w:val="24"/>
          <w:szCs w:val="28"/>
          <w:lang w:val="zh-CN"/>
        </w:rPr>
        <w:t>产品费、验收费、手续费、包装费、运输费、售前、售中、售后服务费、招标代理费、税金及不可预见费等全部费用。</w:t>
      </w:r>
      <w:r>
        <w:rPr>
          <w:rFonts w:hint="eastAsia" w:hAnsi="宋体"/>
          <w:sz w:val="24"/>
          <w:szCs w:val="28"/>
        </w:rPr>
        <w:t>（说明：具体内容应根据项目特点实事求是的填写）</w:t>
      </w:r>
      <w:bookmarkEnd w:id="93"/>
    </w:p>
    <w:p w14:paraId="7F1848D2">
      <w:pPr>
        <w:pStyle w:val="18"/>
        <w:numPr>
          <w:ilvl w:val="1"/>
          <w:numId w:val="11"/>
        </w:numPr>
        <w:spacing w:line="360" w:lineRule="auto"/>
        <w:rPr>
          <w:rFonts w:hAnsi="宋体"/>
          <w:sz w:val="24"/>
          <w:szCs w:val="28"/>
        </w:rPr>
      </w:pPr>
      <w:r>
        <w:rPr>
          <w:rFonts w:hint="eastAsia" w:hAnsi="宋体"/>
          <w:sz w:val="24"/>
          <w:szCs w:val="28"/>
        </w:rPr>
        <w:t>磋商报价应注明有效期，有效期应与磋商有效期一致；</w:t>
      </w:r>
    </w:p>
    <w:p w14:paraId="5E09A7AA">
      <w:pPr>
        <w:pStyle w:val="18"/>
        <w:numPr>
          <w:ilvl w:val="1"/>
          <w:numId w:val="11"/>
        </w:numPr>
        <w:spacing w:line="360" w:lineRule="auto"/>
        <w:rPr>
          <w:rFonts w:hAnsi="宋体"/>
          <w:sz w:val="24"/>
          <w:szCs w:val="28"/>
        </w:rPr>
      </w:pPr>
      <w:r>
        <w:rPr>
          <w:rFonts w:hint="eastAsia" w:hAnsi="宋体"/>
          <w:sz w:val="24"/>
          <w:szCs w:val="28"/>
        </w:rPr>
        <w:t>磋商供应商应根据磋商文件规定的格式完整填写所有内容，并保证所提供的全部资料真实可靠，自愿承担相应责任；</w:t>
      </w:r>
    </w:p>
    <w:p w14:paraId="69C7861A">
      <w:pPr>
        <w:pStyle w:val="18"/>
        <w:numPr>
          <w:ilvl w:val="1"/>
          <w:numId w:val="11"/>
        </w:numPr>
        <w:spacing w:line="360" w:lineRule="auto"/>
        <w:rPr>
          <w:rFonts w:hAnsi="宋体"/>
          <w:sz w:val="24"/>
          <w:szCs w:val="28"/>
        </w:rPr>
      </w:pPr>
      <w:r>
        <w:rPr>
          <w:rFonts w:hint="eastAsia" w:hAnsi="宋体"/>
          <w:sz w:val="24"/>
          <w:szCs w:val="28"/>
        </w:rPr>
        <w:t>磋商报价为闭口价，即中标后在合同有效期内价格不变；</w:t>
      </w:r>
    </w:p>
    <w:p w14:paraId="7E8B409C">
      <w:pPr>
        <w:pStyle w:val="18"/>
        <w:numPr>
          <w:ilvl w:val="1"/>
          <w:numId w:val="11"/>
        </w:numPr>
        <w:spacing w:line="360" w:lineRule="auto"/>
        <w:rPr>
          <w:rFonts w:hAnsi="宋体"/>
          <w:sz w:val="24"/>
          <w:szCs w:val="28"/>
        </w:rPr>
      </w:pPr>
      <w:r>
        <w:rPr>
          <w:rFonts w:hint="eastAsia" w:hAnsi="宋体"/>
          <w:sz w:val="24"/>
          <w:szCs w:val="28"/>
        </w:rPr>
        <w:t>磋商币种为人民币。</w:t>
      </w:r>
    </w:p>
    <w:p w14:paraId="6EBC5319">
      <w:pPr>
        <w:pStyle w:val="5"/>
        <w:numPr>
          <w:ilvl w:val="0"/>
          <w:numId w:val="3"/>
        </w:numPr>
        <w:spacing w:before="0" w:after="0" w:line="360" w:lineRule="auto"/>
        <w:rPr>
          <w:rFonts w:ascii="宋体" w:hAnsi="宋体"/>
          <w:b w:val="0"/>
        </w:rPr>
      </w:pPr>
      <w:bookmarkStart w:id="94" w:name="_Toc1575307"/>
      <w:bookmarkStart w:id="95" w:name="_Toc488673623"/>
      <w:r>
        <w:rPr>
          <w:rFonts w:hint="eastAsia" w:ascii="宋体" w:hAnsi="宋体"/>
          <w:b w:val="0"/>
        </w:rPr>
        <w:t>磋商保证金</w:t>
      </w:r>
      <w:bookmarkEnd w:id="94"/>
      <w:bookmarkEnd w:id="95"/>
    </w:p>
    <w:p w14:paraId="08C8333B">
      <w:pPr>
        <w:pStyle w:val="18"/>
        <w:numPr>
          <w:ilvl w:val="1"/>
          <w:numId w:val="12"/>
        </w:numPr>
        <w:spacing w:line="360" w:lineRule="auto"/>
        <w:rPr>
          <w:rFonts w:hAnsi="宋体"/>
          <w:sz w:val="24"/>
          <w:szCs w:val="28"/>
        </w:rPr>
      </w:pPr>
      <w:r>
        <w:rPr>
          <w:rFonts w:hint="eastAsia" w:hAnsi="宋体"/>
          <w:sz w:val="24"/>
          <w:szCs w:val="28"/>
        </w:rPr>
        <w:t>磋商供应商应将磋商保证金缴纳证明作为磋商响应文件的内容一并提供。缴纳的磋商保证金用于因磋商供应商的行为使本次磋商活动受到损失的抵项；</w:t>
      </w:r>
    </w:p>
    <w:p w14:paraId="6785E79E">
      <w:pPr>
        <w:pStyle w:val="18"/>
        <w:numPr>
          <w:ilvl w:val="1"/>
          <w:numId w:val="12"/>
        </w:numPr>
        <w:spacing w:line="360" w:lineRule="auto"/>
        <w:rPr>
          <w:rFonts w:hAnsi="宋体"/>
          <w:sz w:val="24"/>
          <w:szCs w:val="24"/>
        </w:rPr>
      </w:pPr>
      <w:r>
        <w:rPr>
          <w:rFonts w:hint="eastAsia" w:hAnsi="宋体"/>
          <w:sz w:val="24"/>
          <w:szCs w:val="28"/>
        </w:rPr>
        <w:t>磋商人须在投标截止期前按以下要求交纳投标保证金：</w:t>
      </w:r>
      <w:r>
        <w:rPr>
          <w:rFonts w:hint="eastAsia" w:hAnsi="宋体"/>
          <w:sz w:val="24"/>
          <w:szCs w:val="24"/>
          <w:lang w:val="zh-CN" w:eastAsia="zh-CN"/>
        </w:rPr>
        <w:t>此项目不要求缴纳磋商保证金。</w:t>
      </w:r>
    </w:p>
    <w:p w14:paraId="746D8EEF">
      <w:pPr>
        <w:pStyle w:val="18"/>
        <w:numPr>
          <w:ilvl w:val="1"/>
          <w:numId w:val="12"/>
        </w:numPr>
        <w:spacing w:line="360" w:lineRule="auto"/>
        <w:rPr>
          <w:rFonts w:hAnsi="宋体"/>
          <w:sz w:val="24"/>
          <w:szCs w:val="28"/>
        </w:rPr>
      </w:pPr>
      <w:r>
        <w:rPr>
          <w:rFonts w:hint="eastAsia" w:hAnsi="宋体"/>
          <w:sz w:val="24"/>
          <w:szCs w:val="28"/>
        </w:rPr>
        <w:t>磋商供应商应在磋商截止时间前将磋商保证金缴纳到采购代理机构账户，以银行到账时间为准；</w:t>
      </w:r>
    </w:p>
    <w:p w14:paraId="3E5739C5">
      <w:pPr>
        <w:pStyle w:val="18"/>
        <w:numPr>
          <w:ilvl w:val="1"/>
          <w:numId w:val="12"/>
        </w:numPr>
        <w:spacing w:line="360" w:lineRule="auto"/>
        <w:rPr>
          <w:rFonts w:hAnsi="宋体"/>
          <w:sz w:val="24"/>
          <w:szCs w:val="28"/>
        </w:rPr>
      </w:pPr>
      <w:r>
        <w:rPr>
          <w:rFonts w:hint="eastAsia" w:hAnsi="宋体"/>
          <w:sz w:val="24"/>
          <w:szCs w:val="28"/>
        </w:rPr>
        <w:t>磋商保证金应当以电汇、支票、汇票、本票或者金融机构、担保机构出具的保函等非现金形式提交，通过银行转账的，必须从磋商供应商基本账户直接汇（转）入采购代理机构指定账户；</w:t>
      </w:r>
    </w:p>
    <w:p w14:paraId="6976B247">
      <w:pPr>
        <w:pStyle w:val="18"/>
        <w:numPr>
          <w:ilvl w:val="1"/>
          <w:numId w:val="12"/>
        </w:numPr>
        <w:spacing w:line="360" w:lineRule="auto"/>
        <w:rPr>
          <w:rFonts w:hAnsi="宋体"/>
          <w:sz w:val="24"/>
          <w:szCs w:val="28"/>
        </w:rPr>
      </w:pPr>
      <w:r>
        <w:rPr>
          <w:rFonts w:hint="eastAsia" w:hAnsi="宋体"/>
          <w:sz w:val="24"/>
          <w:szCs w:val="28"/>
        </w:rPr>
        <w:t>未按磋商文件要求在规定时间前交纳规定数额磋商保证金的磋商将被拒绝；</w:t>
      </w:r>
    </w:p>
    <w:p w14:paraId="780E543E">
      <w:pPr>
        <w:pStyle w:val="18"/>
        <w:numPr>
          <w:ilvl w:val="1"/>
          <w:numId w:val="12"/>
        </w:numPr>
        <w:spacing w:line="360" w:lineRule="auto"/>
        <w:rPr>
          <w:rFonts w:hAnsi="宋体"/>
          <w:sz w:val="24"/>
          <w:szCs w:val="28"/>
        </w:rPr>
      </w:pPr>
      <w:r>
        <w:rPr>
          <w:rFonts w:hint="eastAsia" w:hAnsi="宋体"/>
          <w:sz w:val="24"/>
          <w:szCs w:val="28"/>
        </w:rPr>
        <w:t>未中标磋商供应商的磋商保证金自中标通知书发出之日起5个工作日内全额无息退还（不退现金）；中标磋商供应商的磋商保证金，自政府采购合同签订之日起5个工作日内全额无息退还（不退现金）；</w:t>
      </w:r>
    </w:p>
    <w:p w14:paraId="57049DAB">
      <w:pPr>
        <w:pStyle w:val="18"/>
        <w:numPr>
          <w:ilvl w:val="1"/>
          <w:numId w:val="12"/>
        </w:numPr>
        <w:spacing w:line="360" w:lineRule="auto"/>
        <w:rPr>
          <w:rFonts w:hAnsi="宋体"/>
          <w:sz w:val="24"/>
          <w:szCs w:val="28"/>
        </w:rPr>
      </w:pPr>
      <w:r>
        <w:rPr>
          <w:rFonts w:hint="eastAsia" w:hAnsi="宋体"/>
          <w:sz w:val="24"/>
          <w:szCs w:val="28"/>
        </w:rPr>
        <w:t>下列任何情况发生时，磋商保证金将不予退还：</w:t>
      </w:r>
    </w:p>
    <w:p w14:paraId="30E9B23D">
      <w:pPr>
        <w:pStyle w:val="18"/>
        <w:numPr>
          <w:ilvl w:val="0"/>
          <w:numId w:val="13"/>
        </w:numPr>
        <w:spacing w:line="360" w:lineRule="auto"/>
        <w:rPr>
          <w:rFonts w:hAnsi="宋体" w:cs="Arial"/>
          <w:sz w:val="24"/>
          <w:szCs w:val="24"/>
        </w:rPr>
      </w:pPr>
      <w:r>
        <w:rPr>
          <w:rFonts w:hint="eastAsia" w:hAnsi="宋体" w:cs="Arial"/>
          <w:sz w:val="24"/>
          <w:szCs w:val="24"/>
        </w:rPr>
        <w:t>磋商供应商在递交磋商响应文件的截止时间前未到达现场并且没有以书面形式如信函、传真等告知采购代理机构要撤其磋商的；</w:t>
      </w:r>
    </w:p>
    <w:p w14:paraId="1ACE7DDD">
      <w:pPr>
        <w:pStyle w:val="18"/>
        <w:numPr>
          <w:ilvl w:val="0"/>
          <w:numId w:val="13"/>
        </w:numPr>
        <w:spacing w:line="360" w:lineRule="auto"/>
        <w:rPr>
          <w:rFonts w:hAnsi="宋体" w:cs="Arial"/>
          <w:sz w:val="24"/>
          <w:szCs w:val="24"/>
        </w:rPr>
      </w:pPr>
      <w:r>
        <w:rPr>
          <w:rFonts w:hint="eastAsia" w:hAnsi="宋体" w:cs="Arial"/>
          <w:sz w:val="24"/>
          <w:szCs w:val="24"/>
        </w:rPr>
        <w:t>中标磋商供应商在规定期限内未能按规定签订合同或未按规定缴纳中标服务费；</w:t>
      </w:r>
    </w:p>
    <w:p w14:paraId="780CBD35">
      <w:pPr>
        <w:pStyle w:val="18"/>
        <w:numPr>
          <w:ilvl w:val="0"/>
          <w:numId w:val="13"/>
        </w:numPr>
        <w:spacing w:line="360" w:lineRule="auto"/>
        <w:rPr>
          <w:rFonts w:hAnsi="宋体" w:cs="Arial"/>
          <w:sz w:val="24"/>
          <w:szCs w:val="24"/>
        </w:rPr>
      </w:pPr>
      <w:r>
        <w:rPr>
          <w:rFonts w:hint="eastAsia" w:hAnsi="宋体" w:cs="Arial"/>
          <w:sz w:val="24"/>
          <w:szCs w:val="24"/>
        </w:rPr>
        <w:t>提供虚假材料谋取中标的；</w:t>
      </w:r>
    </w:p>
    <w:p w14:paraId="3FE4E668">
      <w:pPr>
        <w:pStyle w:val="18"/>
        <w:numPr>
          <w:ilvl w:val="0"/>
          <w:numId w:val="13"/>
        </w:numPr>
        <w:spacing w:line="360" w:lineRule="auto"/>
        <w:rPr>
          <w:rFonts w:hAnsi="宋体" w:cs="Arial"/>
          <w:sz w:val="24"/>
          <w:szCs w:val="24"/>
        </w:rPr>
      </w:pPr>
      <w:r>
        <w:rPr>
          <w:rFonts w:hint="eastAsia" w:hAnsi="宋体" w:cs="Arial"/>
          <w:sz w:val="24"/>
          <w:szCs w:val="24"/>
        </w:rPr>
        <w:t>将中标项目转让给他人，或者在磋商响应文件中未说明，将中标项目分包给他人的；</w:t>
      </w:r>
    </w:p>
    <w:p w14:paraId="6ACBDF60">
      <w:pPr>
        <w:pStyle w:val="18"/>
        <w:numPr>
          <w:ilvl w:val="0"/>
          <w:numId w:val="13"/>
        </w:numPr>
        <w:spacing w:line="360" w:lineRule="auto"/>
        <w:rPr>
          <w:rFonts w:hAnsi="宋体" w:cs="Arial"/>
          <w:sz w:val="24"/>
          <w:szCs w:val="24"/>
        </w:rPr>
      </w:pPr>
      <w:r>
        <w:rPr>
          <w:rFonts w:hint="eastAsia" w:hAnsi="宋体" w:cs="Arial"/>
          <w:sz w:val="24"/>
          <w:szCs w:val="24"/>
        </w:rPr>
        <w:t>拒绝履行合同义务的；</w:t>
      </w:r>
    </w:p>
    <w:p w14:paraId="7AAE2FEB">
      <w:pPr>
        <w:pStyle w:val="18"/>
        <w:numPr>
          <w:ilvl w:val="0"/>
          <w:numId w:val="13"/>
        </w:numPr>
        <w:spacing w:line="360" w:lineRule="auto"/>
        <w:rPr>
          <w:rFonts w:hAnsi="宋体" w:cs="Arial"/>
          <w:sz w:val="24"/>
          <w:szCs w:val="24"/>
        </w:rPr>
      </w:pPr>
      <w:r>
        <w:rPr>
          <w:rFonts w:hint="eastAsia" w:hAnsi="宋体" w:cs="Arial"/>
          <w:sz w:val="24"/>
          <w:szCs w:val="24"/>
        </w:rPr>
        <w:t>法律、法规规定的其他情形。</w:t>
      </w:r>
    </w:p>
    <w:p w14:paraId="1BE8B454">
      <w:pPr>
        <w:pStyle w:val="5"/>
        <w:numPr>
          <w:ilvl w:val="0"/>
          <w:numId w:val="3"/>
        </w:numPr>
        <w:spacing w:before="0" w:after="0" w:line="360" w:lineRule="auto"/>
        <w:rPr>
          <w:rFonts w:ascii="宋体" w:hAnsi="宋体"/>
          <w:b w:val="0"/>
        </w:rPr>
      </w:pPr>
      <w:bookmarkStart w:id="96" w:name="_Toc1575308"/>
      <w:bookmarkStart w:id="97" w:name="_Toc488673624"/>
      <w:r>
        <w:rPr>
          <w:rFonts w:ascii="宋体" w:hAnsi="宋体"/>
          <w:b w:val="0"/>
        </w:rPr>
        <w:t>磋商有效期</w:t>
      </w:r>
      <w:bookmarkEnd w:id="96"/>
      <w:bookmarkEnd w:id="97"/>
    </w:p>
    <w:p w14:paraId="5ECD7031">
      <w:pPr>
        <w:pStyle w:val="18"/>
        <w:spacing w:line="360" w:lineRule="auto"/>
        <w:ind w:firstLine="480" w:firstLineChars="200"/>
        <w:rPr>
          <w:rFonts w:hAnsi="宋体"/>
          <w:b/>
          <w:sz w:val="24"/>
          <w:szCs w:val="28"/>
        </w:rPr>
      </w:pPr>
      <w:r>
        <w:rPr>
          <w:rFonts w:hAnsi="宋体" w:cs="Arial"/>
          <w:sz w:val="24"/>
          <w:szCs w:val="24"/>
        </w:rPr>
        <w:t>本次磋商有效期为自</w:t>
      </w:r>
      <w:r>
        <w:rPr>
          <w:rFonts w:hint="eastAsia" w:hAnsi="宋体" w:cs="Arial"/>
          <w:sz w:val="24"/>
          <w:szCs w:val="24"/>
        </w:rPr>
        <w:t>磋商</w:t>
      </w:r>
      <w:r>
        <w:rPr>
          <w:rFonts w:hAnsi="宋体" w:cs="Arial"/>
          <w:sz w:val="24"/>
          <w:szCs w:val="24"/>
        </w:rPr>
        <w:t>之日起</w:t>
      </w:r>
      <w:r>
        <w:rPr>
          <w:rFonts w:hint="eastAsia" w:hAnsi="宋体" w:cs="Arial"/>
          <w:sz w:val="24"/>
          <w:szCs w:val="24"/>
        </w:rPr>
        <w:t>60</w:t>
      </w:r>
      <w:r>
        <w:rPr>
          <w:rFonts w:hAnsi="宋体" w:cs="Arial"/>
          <w:sz w:val="24"/>
          <w:szCs w:val="24"/>
        </w:rPr>
        <w:t>个日历日</w:t>
      </w:r>
      <w:r>
        <w:rPr>
          <w:rFonts w:hint="eastAsia" w:hAnsi="宋体" w:cs="Arial"/>
          <w:sz w:val="24"/>
          <w:szCs w:val="24"/>
        </w:rPr>
        <w:t>。</w:t>
      </w:r>
    </w:p>
    <w:p w14:paraId="0CD5DE72">
      <w:pPr>
        <w:pStyle w:val="5"/>
        <w:numPr>
          <w:ilvl w:val="0"/>
          <w:numId w:val="3"/>
        </w:numPr>
        <w:spacing w:before="0" w:after="0" w:line="360" w:lineRule="auto"/>
        <w:rPr>
          <w:rFonts w:ascii="宋体" w:hAnsi="宋体"/>
          <w:b w:val="0"/>
        </w:rPr>
      </w:pPr>
      <w:bookmarkStart w:id="98" w:name="_Toc488673625"/>
      <w:bookmarkStart w:id="99" w:name="_Toc1575309"/>
      <w:r>
        <w:rPr>
          <w:rFonts w:hint="eastAsia" w:ascii="宋体" w:hAnsi="宋体"/>
          <w:b w:val="0"/>
        </w:rPr>
        <w:t>磋商响应文件的构成</w:t>
      </w:r>
      <w:bookmarkEnd w:id="98"/>
      <w:bookmarkEnd w:id="99"/>
    </w:p>
    <w:p w14:paraId="42517C2B">
      <w:pPr>
        <w:pStyle w:val="18"/>
        <w:spacing w:line="360" w:lineRule="auto"/>
        <w:ind w:firstLine="600" w:firstLineChars="250"/>
        <w:rPr>
          <w:rFonts w:hAnsi="宋体"/>
          <w:sz w:val="24"/>
          <w:szCs w:val="28"/>
        </w:rPr>
      </w:pPr>
      <w:r>
        <w:rPr>
          <w:rFonts w:hint="eastAsia" w:hAnsi="宋体"/>
          <w:sz w:val="24"/>
          <w:szCs w:val="28"/>
        </w:rPr>
        <w:t>磋商供应商应提交相关证明材料，作为其参加磋商和中标后有能力履行合同的证明。编写的磋商响应文件须包括以下内容（格式见磋商文件“第五部分 磋商响应文件格式”）：</w:t>
      </w:r>
    </w:p>
    <w:p w14:paraId="5FD637B9">
      <w:pPr>
        <w:autoSpaceDE w:val="0"/>
        <w:autoSpaceDN w:val="0"/>
        <w:spacing w:line="360" w:lineRule="auto"/>
        <w:ind w:left="426"/>
        <w:rPr>
          <w:kern w:val="0"/>
          <w:sz w:val="24"/>
          <w:lang w:val="zh-CN"/>
        </w:rPr>
      </w:pPr>
      <w:r>
        <w:rPr>
          <w:rFonts w:hint="eastAsia"/>
          <w:kern w:val="0"/>
          <w:sz w:val="24"/>
          <w:lang w:val="zh-CN"/>
        </w:rPr>
        <w:t>11.1 磋商响应</w:t>
      </w:r>
      <w:r>
        <w:rPr>
          <w:kern w:val="0"/>
          <w:sz w:val="24"/>
          <w:lang w:val="zh-CN"/>
        </w:rPr>
        <w:t>文件（上册）（资格审查）</w:t>
      </w:r>
    </w:p>
    <w:p w14:paraId="39EB9E17">
      <w:pPr>
        <w:autoSpaceDE w:val="0"/>
        <w:autoSpaceDN w:val="0"/>
        <w:spacing w:line="360" w:lineRule="auto"/>
        <w:ind w:firstLine="480" w:firstLineChars="200"/>
        <w:rPr>
          <w:kern w:val="0"/>
          <w:sz w:val="24"/>
          <w:lang w:val="zh-CN"/>
        </w:rPr>
      </w:pPr>
      <w:r>
        <w:rPr>
          <w:kern w:val="0"/>
          <w:sz w:val="24"/>
          <w:lang w:val="zh-CN"/>
        </w:rPr>
        <w:t>一、</w:t>
      </w:r>
      <w:r>
        <w:rPr>
          <w:rFonts w:hint="eastAsia"/>
          <w:kern w:val="0"/>
          <w:sz w:val="24"/>
          <w:lang w:val="zh-CN"/>
        </w:rPr>
        <w:t>磋商响应</w:t>
      </w:r>
      <w:r>
        <w:rPr>
          <w:kern w:val="0"/>
          <w:sz w:val="24"/>
          <w:lang w:val="zh-CN"/>
        </w:rPr>
        <w:t>文件封面（上册）</w:t>
      </w:r>
    </w:p>
    <w:p w14:paraId="3858DE49">
      <w:pPr>
        <w:autoSpaceDE w:val="0"/>
        <w:autoSpaceDN w:val="0"/>
        <w:spacing w:line="360" w:lineRule="auto"/>
        <w:ind w:firstLine="480" w:firstLineChars="200"/>
        <w:rPr>
          <w:sz w:val="24"/>
        </w:rPr>
      </w:pPr>
      <w:r>
        <w:rPr>
          <w:kern w:val="0"/>
          <w:sz w:val="24"/>
          <w:lang w:val="zh-CN"/>
        </w:rPr>
        <w:t>二、</w:t>
      </w:r>
      <w:r>
        <w:rPr>
          <w:rFonts w:hint="eastAsia"/>
          <w:kern w:val="0"/>
          <w:sz w:val="24"/>
          <w:lang w:val="zh-CN"/>
        </w:rPr>
        <w:t>磋商响应</w:t>
      </w:r>
      <w:r>
        <w:rPr>
          <w:kern w:val="0"/>
          <w:sz w:val="24"/>
          <w:lang w:val="zh-CN"/>
        </w:rPr>
        <w:t>文件目录（上册）</w:t>
      </w:r>
    </w:p>
    <w:p w14:paraId="5F1702B5">
      <w:pPr>
        <w:pStyle w:val="18"/>
        <w:numPr>
          <w:ilvl w:val="0"/>
          <w:numId w:val="14"/>
        </w:numPr>
        <w:spacing w:line="360" w:lineRule="auto"/>
        <w:rPr>
          <w:rFonts w:hAnsi="宋体" w:cs="Arial"/>
          <w:sz w:val="24"/>
          <w:szCs w:val="24"/>
        </w:rPr>
      </w:pPr>
      <w:r>
        <w:rPr>
          <w:rFonts w:hint="eastAsia" w:hAnsi="宋体" w:cs="Arial"/>
          <w:sz w:val="24"/>
          <w:szCs w:val="24"/>
        </w:rPr>
        <w:t>磋商函；</w:t>
      </w:r>
    </w:p>
    <w:p w14:paraId="5049DCA1">
      <w:pPr>
        <w:pStyle w:val="18"/>
        <w:numPr>
          <w:ilvl w:val="0"/>
          <w:numId w:val="14"/>
        </w:numPr>
        <w:spacing w:line="360" w:lineRule="auto"/>
        <w:rPr>
          <w:rFonts w:hAnsi="宋体" w:cs="Arial"/>
          <w:sz w:val="24"/>
          <w:szCs w:val="24"/>
        </w:rPr>
      </w:pPr>
      <w:r>
        <w:rPr>
          <w:rFonts w:hint="eastAsia" w:hAnsi="宋体" w:cs="Arial"/>
          <w:sz w:val="24"/>
          <w:szCs w:val="24"/>
        </w:rPr>
        <w:t>法定代表人证明书；</w:t>
      </w:r>
    </w:p>
    <w:p w14:paraId="752C85ED">
      <w:pPr>
        <w:pStyle w:val="18"/>
        <w:numPr>
          <w:ilvl w:val="0"/>
          <w:numId w:val="14"/>
        </w:numPr>
        <w:spacing w:line="360" w:lineRule="auto"/>
        <w:rPr>
          <w:rFonts w:hAnsi="宋体" w:cs="Arial"/>
          <w:sz w:val="24"/>
          <w:szCs w:val="24"/>
        </w:rPr>
      </w:pPr>
      <w:r>
        <w:rPr>
          <w:rFonts w:hint="eastAsia" w:hAnsi="宋体" w:cs="Arial"/>
          <w:sz w:val="24"/>
          <w:szCs w:val="24"/>
        </w:rPr>
        <w:t>法定代表人授权书；</w:t>
      </w:r>
    </w:p>
    <w:p w14:paraId="5020FDE2">
      <w:pPr>
        <w:pStyle w:val="18"/>
        <w:numPr>
          <w:ilvl w:val="0"/>
          <w:numId w:val="14"/>
        </w:numPr>
        <w:spacing w:line="360" w:lineRule="auto"/>
        <w:rPr>
          <w:rFonts w:hAnsi="宋体" w:cs="Arial"/>
          <w:sz w:val="24"/>
          <w:szCs w:val="24"/>
        </w:rPr>
      </w:pPr>
      <w:r>
        <w:rPr>
          <w:rFonts w:hint="eastAsia" w:hAnsi="宋体" w:cs="Arial"/>
          <w:sz w:val="24"/>
          <w:szCs w:val="24"/>
        </w:rPr>
        <w:t>磋商供应商承诺书；</w:t>
      </w:r>
    </w:p>
    <w:p w14:paraId="42B792CD">
      <w:pPr>
        <w:pStyle w:val="18"/>
        <w:numPr>
          <w:ilvl w:val="0"/>
          <w:numId w:val="14"/>
        </w:numPr>
        <w:spacing w:line="360" w:lineRule="auto"/>
        <w:rPr>
          <w:rFonts w:hAnsi="宋体" w:cs="Arial"/>
          <w:sz w:val="24"/>
          <w:szCs w:val="24"/>
        </w:rPr>
      </w:pPr>
      <w:r>
        <w:rPr>
          <w:rFonts w:hint="eastAsia" w:hAnsi="宋体" w:cs="Arial"/>
          <w:sz w:val="24"/>
          <w:szCs w:val="24"/>
        </w:rPr>
        <w:t>供应商诚信承诺书；</w:t>
      </w:r>
    </w:p>
    <w:p w14:paraId="389BDEA5">
      <w:pPr>
        <w:pStyle w:val="18"/>
        <w:numPr>
          <w:ilvl w:val="0"/>
          <w:numId w:val="14"/>
        </w:numPr>
        <w:spacing w:line="360" w:lineRule="auto"/>
        <w:rPr>
          <w:rFonts w:hAnsi="宋体" w:cs="Arial"/>
          <w:sz w:val="24"/>
          <w:szCs w:val="24"/>
        </w:rPr>
      </w:pPr>
      <w:r>
        <w:rPr>
          <w:rFonts w:hint="eastAsia" w:hAnsi="宋体" w:cs="Arial"/>
          <w:sz w:val="24"/>
          <w:szCs w:val="24"/>
        </w:rPr>
        <w:t>资格证明材料；</w:t>
      </w:r>
    </w:p>
    <w:p w14:paraId="45D609C2">
      <w:pPr>
        <w:pStyle w:val="18"/>
        <w:numPr>
          <w:ilvl w:val="0"/>
          <w:numId w:val="14"/>
        </w:numPr>
        <w:spacing w:line="360" w:lineRule="auto"/>
        <w:rPr>
          <w:rFonts w:hAnsi="宋体" w:cs="Arial"/>
          <w:sz w:val="24"/>
          <w:szCs w:val="24"/>
        </w:rPr>
      </w:pPr>
      <w:r>
        <w:rPr>
          <w:rFonts w:hint="eastAsia" w:hAnsi="宋体" w:cs="Arial"/>
          <w:sz w:val="24"/>
          <w:szCs w:val="24"/>
        </w:rPr>
        <w:t>财务状况、缴纳税收和社会保障资金证明；</w:t>
      </w:r>
    </w:p>
    <w:p w14:paraId="5A8C160D">
      <w:pPr>
        <w:pStyle w:val="18"/>
        <w:numPr>
          <w:ilvl w:val="0"/>
          <w:numId w:val="14"/>
        </w:numPr>
        <w:spacing w:line="360" w:lineRule="auto"/>
        <w:rPr>
          <w:rFonts w:hAnsi="宋体" w:cs="Arial"/>
          <w:sz w:val="24"/>
          <w:szCs w:val="24"/>
        </w:rPr>
      </w:pPr>
      <w:r>
        <w:rPr>
          <w:rFonts w:hint="eastAsia" w:hAnsi="宋体" w:cs="Arial"/>
          <w:sz w:val="24"/>
          <w:szCs w:val="24"/>
        </w:rPr>
        <w:t>具备履行合同所必须的设备和专业技术能力证明；</w:t>
      </w:r>
    </w:p>
    <w:p w14:paraId="0B7266C7">
      <w:pPr>
        <w:pStyle w:val="18"/>
        <w:numPr>
          <w:ilvl w:val="0"/>
          <w:numId w:val="14"/>
        </w:numPr>
        <w:spacing w:line="360" w:lineRule="auto"/>
        <w:rPr>
          <w:rFonts w:hAnsi="宋体" w:cs="Arial"/>
          <w:sz w:val="24"/>
          <w:szCs w:val="24"/>
        </w:rPr>
      </w:pPr>
      <w:r>
        <w:rPr>
          <w:rFonts w:hint="eastAsia" w:hAnsi="宋体" w:cs="Arial"/>
          <w:sz w:val="24"/>
          <w:szCs w:val="24"/>
        </w:rPr>
        <w:t>磋商保证金证明；</w:t>
      </w:r>
    </w:p>
    <w:p w14:paraId="05FB4A84">
      <w:pPr>
        <w:pStyle w:val="18"/>
        <w:numPr>
          <w:ilvl w:val="0"/>
          <w:numId w:val="14"/>
        </w:numPr>
        <w:spacing w:line="360" w:lineRule="auto"/>
        <w:rPr>
          <w:rFonts w:hAnsi="宋体" w:cs="Arial"/>
          <w:sz w:val="24"/>
          <w:szCs w:val="24"/>
        </w:rPr>
      </w:pPr>
      <w:r>
        <w:rPr>
          <w:rFonts w:hint="eastAsia" w:hAnsi="宋体" w:cs="Arial"/>
          <w:sz w:val="24"/>
          <w:szCs w:val="24"/>
        </w:rPr>
        <w:t>无重大违法记录声明；</w:t>
      </w:r>
    </w:p>
    <w:p w14:paraId="77FF6B4B">
      <w:pPr>
        <w:autoSpaceDE w:val="0"/>
        <w:autoSpaceDN w:val="0"/>
        <w:spacing w:line="360" w:lineRule="auto"/>
        <w:ind w:left="425"/>
        <w:rPr>
          <w:kern w:val="0"/>
          <w:sz w:val="24"/>
          <w:lang w:val="zh-CN"/>
        </w:rPr>
      </w:pPr>
      <w:r>
        <w:rPr>
          <w:rFonts w:hint="eastAsia"/>
          <w:kern w:val="0"/>
          <w:sz w:val="24"/>
          <w:lang w:val="zh-CN"/>
        </w:rPr>
        <w:t>11.2磋商响应</w:t>
      </w:r>
      <w:r>
        <w:rPr>
          <w:kern w:val="0"/>
          <w:sz w:val="24"/>
          <w:lang w:val="zh-CN"/>
        </w:rPr>
        <w:t>文件（下册）</w:t>
      </w:r>
    </w:p>
    <w:p w14:paraId="6A473B0A">
      <w:pPr>
        <w:autoSpaceDE w:val="0"/>
        <w:autoSpaceDN w:val="0"/>
        <w:spacing w:line="360" w:lineRule="auto"/>
        <w:ind w:firstLine="480" w:firstLineChars="200"/>
        <w:rPr>
          <w:kern w:val="0"/>
          <w:sz w:val="24"/>
          <w:lang w:val="zh-CN"/>
        </w:rPr>
      </w:pPr>
      <w:r>
        <w:rPr>
          <w:kern w:val="0"/>
          <w:sz w:val="24"/>
          <w:lang w:val="zh-CN"/>
        </w:rPr>
        <w:t>三、</w:t>
      </w:r>
      <w:r>
        <w:rPr>
          <w:rFonts w:hint="eastAsia"/>
          <w:kern w:val="0"/>
          <w:sz w:val="24"/>
          <w:lang w:val="zh-CN"/>
        </w:rPr>
        <w:t>磋商响应</w:t>
      </w:r>
      <w:r>
        <w:rPr>
          <w:kern w:val="0"/>
          <w:sz w:val="24"/>
          <w:lang w:val="zh-CN"/>
        </w:rPr>
        <w:t>文件封面（</w:t>
      </w:r>
      <w:r>
        <w:rPr>
          <w:kern w:val="0"/>
          <w:sz w:val="24"/>
        </w:rPr>
        <w:t>下</w:t>
      </w:r>
      <w:r>
        <w:rPr>
          <w:kern w:val="0"/>
          <w:sz w:val="24"/>
          <w:lang w:val="zh-CN"/>
        </w:rPr>
        <w:t>册）</w:t>
      </w:r>
    </w:p>
    <w:p w14:paraId="551EACD0">
      <w:pPr>
        <w:autoSpaceDE w:val="0"/>
        <w:autoSpaceDN w:val="0"/>
        <w:spacing w:line="360" w:lineRule="auto"/>
        <w:ind w:firstLine="480" w:firstLineChars="200"/>
        <w:rPr>
          <w:kern w:val="0"/>
          <w:sz w:val="24"/>
          <w:lang w:val="zh-CN"/>
        </w:rPr>
      </w:pPr>
      <w:r>
        <w:rPr>
          <w:kern w:val="0"/>
          <w:sz w:val="24"/>
          <w:lang w:val="zh-CN"/>
        </w:rPr>
        <w:t>四、</w:t>
      </w:r>
      <w:r>
        <w:rPr>
          <w:rFonts w:hint="eastAsia"/>
          <w:kern w:val="0"/>
          <w:sz w:val="24"/>
          <w:lang w:val="zh-CN"/>
        </w:rPr>
        <w:t>磋商响应</w:t>
      </w:r>
      <w:r>
        <w:rPr>
          <w:kern w:val="0"/>
          <w:sz w:val="24"/>
          <w:lang w:val="zh-CN"/>
        </w:rPr>
        <w:t>文件目录（</w:t>
      </w:r>
      <w:r>
        <w:rPr>
          <w:kern w:val="0"/>
          <w:sz w:val="24"/>
        </w:rPr>
        <w:t>下</w:t>
      </w:r>
      <w:r>
        <w:rPr>
          <w:kern w:val="0"/>
          <w:sz w:val="24"/>
          <w:lang w:val="zh-CN"/>
        </w:rPr>
        <w:t>册）</w:t>
      </w:r>
    </w:p>
    <w:p w14:paraId="47596212">
      <w:pPr>
        <w:pStyle w:val="18"/>
        <w:numPr>
          <w:ilvl w:val="0"/>
          <w:numId w:val="14"/>
        </w:numPr>
        <w:spacing w:line="360" w:lineRule="auto"/>
        <w:rPr>
          <w:rFonts w:hAnsi="宋体" w:cs="Arial"/>
          <w:sz w:val="24"/>
          <w:szCs w:val="24"/>
        </w:rPr>
      </w:pPr>
      <w:r>
        <w:rPr>
          <w:rFonts w:hint="eastAsia" w:hAnsi="宋体" w:cs="Arial"/>
          <w:sz w:val="24"/>
          <w:szCs w:val="24"/>
        </w:rPr>
        <w:t>评分对照表</w:t>
      </w:r>
    </w:p>
    <w:p w14:paraId="2B7A0B29">
      <w:pPr>
        <w:pStyle w:val="18"/>
        <w:numPr>
          <w:ilvl w:val="0"/>
          <w:numId w:val="14"/>
        </w:numPr>
        <w:spacing w:line="360" w:lineRule="auto"/>
        <w:rPr>
          <w:rFonts w:hAnsi="宋体" w:cs="Arial"/>
          <w:sz w:val="24"/>
          <w:szCs w:val="24"/>
        </w:rPr>
      </w:pPr>
      <w:r>
        <w:rPr>
          <w:rFonts w:hint="eastAsia" w:hAnsi="宋体" w:cs="Arial"/>
          <w:sz w:val="24"/>
          <w:szCs w:val="24"/>
        </w:rPr>
        <w:t>竞争性磋商首次报价表；</w:t>
      </w:r>
    </w:p>
    <w:p w14:paraId="475F3A23">
      <w:pPr>
        <w:pStyle w:val="18"/>
        <w:numPr>
          <w:ilvl w:val="0"/>
          <w:numId w:val="14"/>
        </w:numPr>
        <w:spacing w:line="360" w:lineRule="auto"/>
        <w:rPr>
          <w:rFonts w:hAnsi="宋体" w:cs="Arial"/>
          <w:sz w:val="24"/>
          <w:szCs w:val="24"/>
        </w:rPr>
      </w:pPr>
      <w:r>
        <w:rPr>
          <w:rFonts w:hAnsi="宋体" w:cs="Arial"/>
          <w:sz w:val="24"/>
          <w:szCs w:val="24"/>
        </w:rPr>
        <w:t>分项报价表</w:t>
      </w:r>
      <w:r>
        <w:rPr>
          <w:rFonts w:hint="eastAsia" w:hAnsi="宋体" w:cs="Arial"/>
          <w:sz w:val="24"/>
          <w:szCs w:val="24"/>
        </w:rPr>
        <w:t>；</w:t>
      </w:r>
    </w:p>
    <w:p w14:paraId="1BD7225F">
      <w:pPr>
        <w:pStyle w:val="18"/>
        <w:numPr>
          <w:ilvl w:val="0"/>
          <w:numId w:val="14"/>
        </w:numPr>
        <w:spacing w:line="360" w:lineRule="auto"/>
        <w:rPr>
          <w:rFonts w:hAnsi="宋体" w:cs="Arial"/>
          <w:sz w:val="24"/>
          <w:szCs w:val="24"/>
        </w:rPr>
      </w:pPr>
      <w:r>
        <w:rPr>
          <w:rFonts w:hint="eastAsia" w:hAnsi="宋体" w:cs="Arial"/>
          <w:sz w:val="24"/>
          <w:szCs w:val="24"/>
        </w:rPr>
        <w:t>技术规格响应表；</w:t>
      </w:r>
    </w:p>
    <w:p w14:paraId="61DB2A8D">
      <w:pPr>
        <w:pStyle w:val="18"/>
        <w:numPr>
          <w:ilvl w:val="0"/>
          <w:numId w:val="14"/>
        </w:numPr>
        <w:spacing w:line="360" w:lineRule="auto"/>
        <w:rPr>
          <w:rFonts w:hAnsi="宋体" w:cs="Arial"/>
          <w:sz w:val="24"/>
          <w:szCs w:val="24"/>
        </w:rPr>
      </w:pPr>
      <w:r>
        <w:rPr>
          <w:rFonts w:hint="eastAsia" w:hAnsi="宋体" w:cs="Arial"/>
          <w:sz w:val="24"/>
          <w:szCs w:val="24"/>
        </w:rPr>
        <w:t>磋商产品相关资料；</w:t>
      </w:r>
    </w:p>
    <w:p w14:paraId="36944A2B">
      <w:pPr>
        <w:pStyle w:val="18"/>
        <w:numPr>
          <w:ilvl w:val="0"/>
          <w:numId w:val="14"/>
        </w:numPr>
        <w:spacing w:line="360" w:lineRule="auto"/>
        <w:rPr>
          <w:rFonts w:hAnsi="宋体" w:cs="Arial"/>
          <w:sz w:val="24"/>
          <w:szCs w:val="24"/>
        </w:rPr>
      </w:pPr>
      <w:r>
        <w:rPr>
          <w:rFonts w:hint="eastAsia" w:hAnsi="宋体" w:cs="Arial"/>
          <w:sz w:val="24"/>
          <w:szCs w:val="24"/>
        </w:rPr>
        <w:t>磋商供应商的类似业绩证明材料；</w:t>
      </w:r>
    </w:p>
    <w:p w14:paraId="134D5F7D">
      <w:pPr>
        <w:pStyle w:val="18"/>
        <w:numPr>
          <w:ilvl w:val="0"/>
          <w:numId w:val="14"/>
        </w:numPr>
        <w:spacing w:line="360" w:lineRule="auto"/>
        <w:rPr>
          <w:rFonts w:hAnsi="宋体" w:cs="Arial"/>
          <w:sz w:val="24"/>
          <w:szCs w:val="24"/>
        </w:rPr>
      </w:pPr>
      <w:r>
        <w:rPr>
          <w:rFonts w:hint="eastAsia" w:hAnsi="宋体" w:cs="Arial"/>
          <w:sz w:val="24"/>
          <w:szCs w:val="24"/>
          <w:lang w:val="en-US" w:eastAsia="zh-CN"/>
        </w:rPr>
        <w:t>中小</w:t>
      </w:r>
      <w:r>
        <w:rPr>
          <w:rFonts w:hint="eastAsia" w:hAnsi="宋体" w:cs="Arial"/>
          <w:sz w:val="24"/>
          <w:szCs w:val="24"/>
        </w:rPr>
        <w:t>企业声明函；</w:t>
      </w:r>
    </w:p>
    <w:p w14:paraId="12D3F5B7">
      <w:pPr>
        <w:pStyle w:val="18"/>
        <w:numPr>
          <w:ilvl w:val="0"/>
          <w:numId w:val="14"/>
        </w:numPr>
        <w:spacing w:line="360" w:lineRule="auto"/>
        <w:rPr>
          <w:rFonts w:hAnsi="宋体" w:cs="Arial"/>
          <w:sz w:val="24"/>
          <w:szCs w:val="24"/>
        </w:rPr>
      </w:pPr>
      <w:r>
        <w:rPr>
          <w:rFonts w:hint="eastAsia" w:hAnsi="宋体" w:cs="Arial"/>
          <w:sz w:val="24"/>
          <w:szCs w:val="24"/>
        </w:rPr>
        <w:t>残疾人福利性单位声明函</w:t>
      </w:r>
    </w:p>
    <w:p w14:paraId="584519EF">
      <w:pPr>
        <w:pStyle w:val="18"/>
        <w:numPr>
          <w:ilvl w:val="0"/>
          <w:numId w:val="14"/>
        </w:numPr>
        <w:spacing w:line="360" w:lineRule="auto"/>
        <w:rPr>
          <w:rFonts w:hAnsi="宋体" w:cs="Arial"/>
          <w:sz w:val="24"/>
          <w:szCs w:val="24"/>
        </w:rPr>
      </w:pPr>
      <w:r>
        <w:rPr>
          <w:rFonts w:hint="eastAsia" w:hAnsi="宋体" w:cs="Arial"/>
          <w:sz w:val="24"/>
          <w:szCs w:val="24"/>
        </w:rPr>
        <w:t>磋商供应商认为在其他方面有必要说明的事项；</w:t>
      </w:r>
    </w:p>
    <w:p w14:paraId="26CD9AC7">
      <w:pPr>
        <w:pStyle w:val="18"/>
        <w:numPr>
          <w:ilvl w:val="0"/>
          <w:numId w:val="14"/>
        </w:numPr>
        <w:spacing w:line="360" w:lineRule="auto"/>
        <w:rPr>
          <w:rFonts w:hAnsi="宋体" w:cs="Arial"/>
          <w:sz w:val="24"/>
          <w:szCs w:val="24"/>
        </w:rPr>
      </w:pPr>
      <w:r>
        <w:rPr>
          <w:rFonts w:hAnsi="宋体" w:cs="Arial"/>
          <w:sz w:val="24"/>
          <w:szCs w:val="24"/>
        </w:rPr>
        <w:t>磋商最终报价表</w:t>
      </w:r>
      <w:r>
        <w:rPr>
          <w:rFonts w:hint="eastAsia" w:hAnsi="宋体" w:cs="Arial"/>
          <w:sz w:val="24"/>
          <w:szCs w:val="24"/>
        </w:rPr>
        <w:t>。</w:t>
      </w:r>
    </w:p>
    <w:p w14:paraId="59D6741F">
      <w:pPr>
        <w:pStyle w:val="18"/>
        <w:spacing w:line="360" w:lineRule="auto"/>
        <w:ind w:left="845"/>
        <w:rPr>
          <w:rFonts w:hint="eastAsia" w:hAnsi="宋体" w:cs="Arial"/>
          <w:sz w:val="24"/>
          <w:szCs w:val="24"/>
        </w:rPr>
      </w:pPr>
      <w:r>
        <w:rPr>
          <w:rFonts w:hint="eastAsia" w:hAnsi="宋体" w:cs="Arial"/>
          <w:sz w:val="24"/>
          <w:szCs w:val="24"/>
        </w:rPr>
        <w:t>注：磋商人须按上述内容、顺序和第11项“磋商响应文件格式及编制要求”格式编制磋商响应文件</w:t>
      </w:r>
      <w:r>
        <w:rPr>
          <w:rFonts w:hint="eastAsia" w:hAnsi="宋体" w:cs="Arial"/>
          <w:sz w:val="24"/>
          <w:szCs w:val="24"/>
          <w:lang w:val="zh-CN"/>
        </w:rPr>
        <w:t>并上传至政采云平台（https://www.zcygov.cn/）</w:t>
      </w:r>
      <w:r>
        <w:rPr>
          <w:rFonts w:hint="eastAsia" w:hAnsi="宋体" w:cs="Arial"/>
          <w:sz w:val="24"/>
          <w:szCs w:val="24"/>
        </w:rPr>
        <w:t>。</w:t>
      </w:r>
    </w:p>
    <w:p w14:paraId="6F538AC6">
      <w:pPr>
        <w:pStyle w:val="5"/>
        <w:numPr>
          <w:ilvl w:val="0"/>
          <w:numId w:val="3"/>
        </w:numPr>
        <w:spacing w:before="0" w:after="0" w:line="360" w:lineRule="auto"/>
        <w:rPr>
          <w:rFonts w:ascii="宋体" w:hAnsi="宋体"/>
          <w:b w:val="0"/>
        </w:rPr>
      </w:pPr>
      <w:bookmarkStart w:id="100" w:name="_Toc1575310"/>
      <w:bookmarkStart w:id="101" w:name="_Toc488673626"/>
      <w:r>
        <w:rPr>
          <w:rFonts w:hint="eastAsia" w:ascii="宋体" w:hAnsi="宋体"/>
          <w:b w:val="0"/>
        </w:rPr>
        <w:t>磋商响应文件</w:t>
      </w:r>
      <w:r>
        <w:rPr>
          <w:rFonts w:hint="eastAsia" w:ascii="宋体" w:hAnsi="宋体"/>
          <w:b w:val="0"/>
          <w:lang w:val="en-US" w:eastAsia="zh-CN"/>
        </w:rPr>
        <w:t>的格式及</w:t>
      </w:r>
      <w:r>
        <w:rPr>
          <w:rFonts w:hint="eastAsia" w:ascii="宋体" w:hAnsi="宋体"/>
          <w:b w:val="0"/>
        </w:rPr>
        <w:t>编制要求</w:t>
      </w:r>
      <w:bookmarkEnd w:id="100"/>
      <w:bookmarkEnd w:id="101"/>
    </w:p>
    <w:p w14:paraId="56AA7289">
      <w:pPr>
        <w:spacing w:line="360" w:lineRule="auto"/>
        <w:ind w:firstLine="240" w:firstLineChars="100"/>
        <w:rPr>
          <w:rFonts w:hint="eastAsia" w:ascii="宋体" w:hAnsi="宋体" w:cs="宋体"/>
          <w:color w:val="auto"/>
          <w:sz w:val="24"/>
        </w:rPr>
      </w:pPr>
      <w:r>
        <w:rPr>
          <w:rFonts w:hint="eastAsia" w:ascii="宋体" w:hAnsi="宋体" w:cs="宋体"/>
          <w:color w:val="auto"/>
          <w:sz w:val="24"/>
        </w:rPr>
        <w:t>12.1磋商响应文件格式及编制要求：</w:t>
      </w:r>
    </w:p>
    <w:p w14:paraId="4DC5FD64">
      <w:pPr>
        <w:spacing w:line="360" w:lineRule="auto"/>
        <w:ind w:firstLine="480" w:firstLineChars="200"/>
        <w:rPr>
          <w:rFonts w:hint="eastAsia" w:ascii="宋体" w:hAnsi="宋体" w:cs="宋体"/>
          <w:color w:val="auto"/>
          <w:sz w:val="24"/>
        </w:rPr>
      </w:pPr>
      <w:r>
        <w:rPr>
          <w:rFonts w:hint="eastAsia" w:ascii="宋体" w:hAnsi="宋体" w:cs="宋体"/>
          <w:color w:val="auto"/>
          <w:sz w:val="24"/>
        </w:rPr>
        <w:t>12.1.1磋商响应文件编制格式为word系统签章保存后转换为pdf格式上传，格式须按磋商响应文件第</w:t>
      </w:r>
      <w:r>
        <w:rPr>
          <w:rFonts w:hint="eastAsia" w:ascii="宋体" w:hAnsi="宋体" w:cs="宋体"/>
          <w:color w:val="auto"/>
          <w:sz w:val="24"/>
          <w:lang w:val="en-US" w:eastAsia="zh-CN"/>
        </w:rPr>
        <w:t>五</w:t>
      </w:r>
      <w:r>
        <w:rPr>
          <w:rFonts w:hint="eastAsia" w:ascii="宋体" w:hAnsi="宋体" w:cs="宋体"/>
          <w:color w:val="auto"/>
          <w:sz w:val="24"/>
        </w:rPr>
        <w:t>部分“磋商响应文件格式”要求制作。</w:t>
      </w:r>
    </w:p>
    <w:p w14:paraId="2D80DC47">
      <w:pPr>
        <w:spacing w:line="360" w:lineRule="auto"/>
        <w:ind w:firstLine="480" w:firstLineChars="200"/>
        <w:rPr>
          <w:rFonts w:hint="eastAsia" w:ascii="宋体" w:hAnsi="宋体" w:cs="宋体"/>
          <w:color w:val="auto"/>
          <w:sz w:val="24"/>
        </w:rPr>
      </w:pPr>
      <w:r>
        <w:rPr>
          <w:rFonts w:hint="eastAsia" w:ascii="宋体" w:hAnsi="宋体" w:cs="宋体"/>
          <w:color w:val="auto"/>
          <w:sz w:val="24"/>
        </w:rPr>
        <w:t>12.1.2磋商响应文件中的扫描或复印件内容应清晰可辨，且要求正向放置。</w:t>
      </w:r>
    </w:p>
    <w:p w14:paraId="27025025">
      <w:pPr>
        <w:spacing w:line="360" w:lineRule="auto"/>
        <w:ind w:firstLine="480" w:firstLineChars="200"/>
        <w:rPr>
          <w:rFonts w:hint="eastAsia" w:ascii="宋体" w:hAnsi="宋体" w:cs="宋体"/>
          <w:color w:val="auto"/>
          <w:sz w:val="24"/>
        </w:rPr>
      </w:pPr>
      <w:r>
        <w:rPr>
          <w:rFonts w:hint="eastAsia" w:ascii="宋体" w:hAnsi="宋体" w:cs="宋体"/>
          <w:color w:val="auto"/>
          <w:sz w:val="24"/>
        </w:rPr>
        <w:t>12.1.3磋商响应文件要求签字、盖章的地方必须由供应商的法定代表人或委托代理人按要求签字、盖章。</w:t>
      </w:r>
    </w:p>
    <w:p w14:paraId="52F85696">
      <w:pPr>
        <w:spacing w:line="360" w:lineRule="auto"/>
        <w:ind w:firstLine="480" w:firstLineChars="200"/>
        <w:rPr>
          <w:rFonts w:hint="eastAsia" w:ascii="宋体" w:hAnsi="宋体" w:cs="宋体"/>
          <w:color w:val="auto"/>
          <w:sz w:val="24"/>
        </w:rPr>
      </w:pPr>
      <w:r>
        <w:rPr>
          <w:rFonts w:hint="eastAsia" w:ascii="宋体" w:hAnsi="宋体" w:cs="宋体"/>
          <w:color w:val="auto"/>
          <w:sz w:val="24"/>
        </w:rPr>
        <w:t>12.1.4上传的磋商响应文件不得超过</w:t>
      </w:r>
      <w:r>
        <w:rPr>
          <w:rFonts w:hint="eastAsia" w:ascii="宋体" w:hAnsi="宋体" w:cs="宋体"/>
          <w:color w:val="auto"/>
          <w:sz w:val="24"/>
          <w:lang w:val="en-US" w:eastAsia="zh-CN"/>
        </w:rPr>
        <w:t>政采云平台要求的大小</w:t>
      </w:r>
      <w:r>
        <w:rPr>
          <w:rFonts w:hint="eastAsia" w:ascii="宋体" w:hAnsi="宋体" w:cs="宋体"/>
          <w:color w:val="auto"/>
          <w:sz w:val="24"/>
        </w:rPr>
        <w:t>。</w:t>
      </w:r>
    </w:p>
    <w:p w14:paraId="745D4709">
      <w:pPr>
        <w:spacing w:line="360" w:lineRule="auto"/>
        <w:ind w:firstLine="480" w:firstLineChars="200"/>
        <w:rPr>
          <w:rFonts w:hint="eastAsia" w:ascii="宋体" w:hAnsi="宋体" w:cs="宋体"/>
          <w:color w:val="auto"/>
          <w:sz w:val="24"/>
        </w:rPr>
      </w:pPr>
      <w:r>
        <w:rPr>
          <w:rFonts w:hint="eastAsia" w:ascii="宋体" w:hAnsi="宋体" w:cs="宋体"/>
          <w:color w:val="auto"/>
          <w:sz w:val="24"/>
        </w:rPr>
        <w:t>12.1.5供应商应在提交磋商响应文件截止时间前上传磋商响应文件。因目录格式不准确、不能索引定位到内容、文件过大、未提交全部文件内容或文件内容错误、上传效果差等原因导致无法评审的，有可能判定为无效投标。</w:t>
      </w:r>
    </w:p>
    <w:p w14:paraId="395D4E74">
      <w:pPr>
        <w:spacing w:line="360" w:lineRule="auto"/>
        <w:ind w:firstLine="480" w:firstLineChars="200"/>
        <w:rPr>
          <w:rFonts w:hint="eastAsia" w:ascii="宋体" w:hAnsi="宋体" w:cs="宋体"/>
          <w:color w:val="auto"/>
          <w:sz w:val="24"/>
        </w:rPr>
      </w:pPr>
      <w:r>
        <w:rPr>
          <w:rFonts w:hint="eastAsia" w:ascii="宋体" w:hAnsi="宋体" w:cs="宋体"/>
          <w:color w:val="auto"/>
          <w:sz w:val="24"/>
        </w:rPr>
        <w:t>12.2磋商响应文件编制要求：按照投标人须知11.1项规定的磋商响应文件构成及格式</w:t>
      </w:r>
      <w:r>
        <w:rPr>
          <w:rFonts w:hint="eastAsia" w:ascii="宋体" w:hAnsi="宋体" w:cs="宋体"/>
          <w:color w:val="auto"/>
          <w:sz w:val="24"/>
          <w:lang w:val="en-US" w:eastAsia="zh-CN"/>
        </w:rPr>
        <w:t>编制，并</w:t>
      </w:r>
      <w:r>
        <w:rPr>
          <w:rFonts w:hint="eastAsia" w:ascii="宋体" w:hAnsi="宋体" w:cs="宋体"/>
          <w:color w:val="auto"/>
          <w:sz w:val="24"/>
        </w:rPr>
        <w:t>上传至</w:t>
      </w:r>
      <w:r>
        <w:rPr>
          <w:rFonts w:hint="eastAsia" w:ascii="宋体" w:hAnsi="宋体" w:cs="宋体"/>
          <w:color w:val="auto"/>
          <w:sz w:val="24"/>
          <w:lang w:eastAsia="zh-CN"/>
        </w:rPr>
        <w:t>政采云平台（https://www.zcygov.cn/）</w:t>
      </w:r>
      <w:r>
        <w:rPr>
          <w:rFonts w:hint="eastAsia" w:ascii="宋体" w:hAnsi="宋体" w:cs="宋体"/>
          <w:color w:val="auto"/>
          <w:sz w:val="24"/>
        </w:rPr>
        <w:t>上。</w:t>
      </w:r>
    </w:p>
    <w:p w14:paraId="4621F518">
      <w:pPr>
        <w:spacing w:line="360" w:lineRule="auto"/>
        <w:ind w:firstLine="480" w:firstLineChars="200"/>
        <w:rPr>
          <w:rFonts w:hint="eastAsia"/>
          <w:color w:val="auto"/>
        </w:rPr>
      </w:pPr>
      <w:r>
        <w:rPr>
          <w:rFonts w:hint="eastAsia" w:ascii="宋体" w:hAnsi="宋体" w:cs="宋体"/>
          <w:color w:val="auto"/>
          <w:sz w:val="24"/>
        </w:rPr>
        <w:t>12.3供应商须在“法定代表人授权书”中提供被授权人（委托代理人）准确的联系方式</w:t>
      </w:r>
      <w:r>
        <w:rPr>
          <w:rFonts w:hint="eastAsia" w:ascii="宋体" w:hAnsi="宋体" w:cs="宋体"/>
          <w:color w:val="auto"/>
          <w:sz w:val="24"/>
          <w:lang w:val="zh-CN"/>
        </w:rPr>
        <w:t>（手机或固定电话）</w:t>
      </w:r>
      <w:r>
        <w:rPr>
          <w:rFonts w:hint="eastAsia" w:ascii="宋体" w:hAnsi="宋体" w:cs="宋体"/>
          <w:color w:val="auto"/>
          <w:sz w:val="24"/>
        </w:rPr>
        <w:t>。</w:t>
      </w:r>
    </w:p>
    <w:p w14:paraId="52F5A731">
      <w:pPr>
        <w:widowControl/>
        <w:jc w:val="center"/>
        <w:outlineLvl w:val="1"/>
        <w:rPr>
          <w:rFonts w:ascii="宋体" w:hAnsi="宋体"/>
          <w:b/>
          <w:bCs/>
          <w:color w:val="auto"/>
          <w:kern w:val="0"/>
          <w:sz w:val="32"/>
          <w:szCs w:val="32"/>
        </w:rPr>
      </w:pPr>
      <w:bookmarkStart w:id="102" w:name="_Toc21349"/>
      <w:bookmarkStart w:id="103" w:name="_Toc28078162"/>
      <w:bookmarkStart w:id="104" w:name="_Toc27211"/>
      <w:bookmarkStart w:id="105" w:name="_Toc14261"/>
      <w:bookmarkStart w:id="106" w:name="_Toc5644"/>
      <w:bookmarkStart w:id="107" w:name="_Toc9147"/>
      <w:bookmarkStart w:id="108" w:name="_Toc325726019"/>
      <w:bookmarkStart w:id="109" w:name="_Toc376936750"/>
      <w:r>
        <w:rPr>
          <w:rFonts w:hint="eastAsia" w:ascii="宋体" w:hAnsi="宋体"/>
          <w:b/>
          <w:bCs/>
          <w:color w:val="auto"/>
          <w:kern w:val="0"/>
          <w:sz w:val="32"/>
          <w:szCs w:val="32"/>
        </w:rPr>
        <w:t>四、网上投标</w:t>
      </w:r>
      <w:bookmarkEnd w:id="102"/>
      <w:bookmarkEnd w:id="103"/>
    </w:p>
    <w:p w14:paraId="06D649C6">
      <w:pPr>
        <w:spacing w:line="360" w:lineRule="auto"/>
        <w:rPr>
          <w:rFonts w:hint="eastAsia" w:ascii="宋体" w:hAnsi="宋体" w:cs="宋体"/>
          <w:b/>
          <w:bCs/>
          <w:color w:val="auto"/>
          <w:sz w:val="24"/>
        </w:rPr>
      </w:pPr>
      <w:bookmarkStart w:id="110" w:name="_Toc373392582"/>
      <w:bookmarkStart w:id="111" w:name="_Toc325726016"/>
      <w:bookmarkStart w:id="112" w:name="_Toc412617731"/>
      <w:bookmarkStart w:id="113" w:name="_Toc28078163"/>
      <w:r>
        <w:rPr>
          <w:rFonts w:hint="eastAsia" w:ascii="宋体" w:hAnsi="宋体" w:cs="宋体"/>
          <w:b/>
          <w:bCs/>
          <w:color w:val="auto"/>
          <w:sz w:val="24"/>
        </w:rPr>
        <w:t>13.</w:t>
      </w:r>
      <w:bookmarkEnd w:id="110"/>
      <w:bookmarkEnd w:id="111"/>
      <w:bookmarkEnd w:id="112"/>
      <w:r>
        <w:rPr>
          <w:rFonts w:hint="eastAsia" w:ascii="宋体" w:hAnsi="宋体" w:cs="宋体"/>
          <w:b/>
          <w:bCs/>
          <w:color w:val="auto"/>
          <w:sz w:val="24"/>
        </w:rPr>
        <w:t>网上投标</w:t>
      </w:r>
      <w:bookmarkEnd w:id="113"/>
    </w:p>
    <w:p w14:paraId="5CB1EDD1">
      <w:pPr>
        <w:spacing w:line="360" w:lineRule="auto"/>
        <w:rPr>
          <w:rFonts w:hint="eastAsia" w:ascii="宋体" w:hAnsi="宋体" w:cs="宋体"/>
          <w:color w:val="auto"/>
          <w:sz w:val="24"/>
        </w:rPr>
      </w:pPr>
      <w:r>
        <w:rPr>
          <w:rFonts w:hint="eastAsia" w:ascii="宋体" w:hAnsi="宋体" w:cs="宋体"/>
          <w:color w:val="auto"/>
          <w:sz w:val="24"/>
        </w:rPr>
        <w:t>13.1供应商应在</w:t>
      </w:r>
      <w:r>
        <w:rPr>
          <w:rFonts w:hint="eastAsia" w:ascii="宋体" w:hAnsi="宋体" w:cs="宋体"/>
          <w:color w:val="auto"/>
          <w:sz w:val="24"/>
          <w:lang w:eastAsia="zh-CN"/>
        </w:rPr>
        <w:t>政采云平台（https://www.zcygov.cn/）</w:t>
      </w:r>
      <w:r>
        <w:rPr>
          <w:rFonts w:hint="eastAsia" w:ascii="宋体" w:hAnsi="宋体" w:cs="宋体"/>
          <w:color w:val="auto"/>
          <w:sz w:val="24"/>
        </w:rPr>
        <w:t>上报价并上传电子磋商响应文件。</w:t>
      </w:r>
    </w:p>
    <w:p w14:paraId="63068728">
      <w:pPr>
        <w:spacing w:line="360" w:lineRule="auto"/>
        <w:rPr>
          <w:rFonts w:hint="eastAsia" w:ascii="宋体" w:hAnsi="宋体" w:cs="宋体"/>
          <w:color w:val="auto"/>
          <w:sz w:val="24"/>
        </w:rPr>
      </w:pPr>
      <w:r>
        <w:rPr>
          <w:rFonts w:hint="eastAsia" w:ascii="宋体" w:hAnsi="宋体" w:cs="宋体"/>
          <w:color w:val="auto"/>
          <w:sz w:val="24"/>
        </w:rPr>
        <w:t>13.2供应商应按包报价。</w:t>
      </w:r>
    </w:p>
    <w:p w14:paraId="39F6567D">
      <w:pPr>
        <w:spacing w:line="360" w:lineRule="auto"/>
        <w:rPr>
          <w:rFonts w:hint="eastAsia" w:ascii="宋体" w:hAnsi="宋体" w:cs="宋体"/>
          <w:color w:val="auto"/>
          <w:sz w:val="24"/>
          <w:lang w:val="zh-CN"/>
        </w:rPr>
      </w:pPr>
      <w:r>
        <w:rPr>
          <w:rFonts w:hint="eastAsia" w:ascii="宋体" w:hAnsi="宋体" w:cs="宋体"/>
          <w:color w:val="auto"/>
          <w:sz w:val="24"/>
        </w:rPr>
        <w:t>13.3 开标时的“竞争性磋商首次报价表”由各供应商网上报价生成。</w:t>
      </w:r>
    </w:p>
    <w:bookmarkEnd w:id="104"/>
    <w:bookmarkEnd w:id="105"/>
    <w:p w14:paraId="047809E3">
      <w:pPr>
        <w:widowControl/>
        <w:spacing w:before="100" w:beforeAutospacing="1" w:after="100" w:afterAutospacing="1"/>
        <w:jc w:val="left"/>
        <w:outlineLvl w:val="2"/>
        <w:rPr>
          <w:rFonts w:ascii="宋体" w:hAnsi="宋体"/>
          <w:b/>
          <w:bCs/>
          <w:color w:val="auto"/>
          <w:kern w:val="0"/>
          <w:sz w:val="27"/>
          <w:szCs w:val="27"/>
        </w:rPr>
      </w:pPr>
      <w:bookmarkStart w:id="114" w:name="_Toc26106"/>
      <w:bookmarkStart w:id="115" w:name="_Toc28078164"/>
      <w:bookmarkStart w:id="116" w:name="_Toc6310"/>
      <w:bookmarkStart w:id="117" w:name="_Toc1747"/>
      <w:r>
        <w:rPr>
          <w:rFonts w:hint="eastAsia" w:ascii="宋体" w:hAnsi="宋体"/>
          <w:b/>
          <w:bCs/>
          <w:color w:val="auto"/>
          <w:kern w:val="0"/>
          <w:sz w:val="27"/>
          <w:szCs w:val="27"/>
        </w:rPr>
        <w:t>14.</w:t>
      </w:r>
      <w:r>
        <w:rPr>
          <w:rFonts w:hint="eastAsia"/>
          <w:color w:val="auto"/>
        </w:rPr>
        <w:t xml:space="preserve"> </w:t>
      </w:r>
      <w:r>
        <w:rPr>
          <w:rFonts w:hint="eastAsia" w:ascii="宋体" w:hAnsi="宋体"/>
          <w:b/>
          <w:bCs/>
          <w:color w:val="auto"/>
          <w:kern w:val="0"/>
          <w:sz w:val="27"/>
          <w:szCs w:val="27"/>
        </w:rPr>
        <w:t>提交首次磋商响应文件截止时间</w:t>
      </w:r>
      <w:bookmarkEnd w:id="114"/>
      <w:bookmarkEnd w:id="115"/>
    </w:p>
    <w:p w14:paraId="3D7A962F">
      <w:pPr>
        <w:spacing w:line="360" w:lineRule="auto"/>
        <w:rPr>
          <w:rFonts w:hint="eastAsia" w:ascii="宋体" w:hAnsi="宋体" w:cs="宋体"/>
          <w:color w:val="auto"/>
          <w:sz w:val="24"/>
        </w:rPr>
      </w:pPr>
      <w:r>
        <w:rPr>
          <w:rFonts w:hint="eastAsia" w:ascii="宋体" w:hAnsi="宋体" w:cs="宋体"/>
          <w:color w:val="auto"/>
          <w:sz w:val="24"/>
        </w:rPr>
        <w:t>14.1若采购代理机构推迟提交首次磋商响应文件截止时间，采购人、采购代理机构和供应商受提交首次磋商响应文件截止时间约束的所有权利和义务均延长至新的提交首次磋商响应文件截止时间。</w:t>
      </w:r>
    </w:p>
    <w:p w14:paraId="088036C7">
      <w:pPr>
        <w:spacing w:line="360" w:lineRule="auto"/>
        <w:rPr>
          <w:rFonts w:hint="eastAsia" w:ascii="宋体" w:hAnsi="宋体" w:cs="宋体"/>
          <w:color w:val="auto"/>
          <w:sz w:val="24"/>
        </w:rPr>
      </w:pPr>
      <w:r>
        <w:rPr>
          <w:rFonts w:hint="eastAsia" w:ascii="宋体" w:hAnsi="宋体" w:cs="宋体"/>
          <w:color w:val="auto"/>
          <w:sz w:val="24"/>
        </w:rPr>
        <w:t>14.2采购人、采购代理机构按照“供应商须知”第6条规定，通过修改磋商文件延长提交首次磋商响应文件截止时间，在此情况下，采购人、采购代理机构、供应商受提交首次磋商响应文件截止时间制约的所有权利和义务均延长至新的截止日期。</w:t>
      </w:r>
    </w:p>
    <w:p w14:paraId="2DA1526D">
      <w:pPr>
        <w:widowControl/>
        <w:spacing w:line="360" w:lineRule="auto"/>
        <w:jc w:val="left"/>
        <w:outlineLvl w:val="2"/>
        <w:rPr>
          <w:rFonts w:hint="eastAsia" w:ascii="宋体" w:hAnsi="宋体" w:cs="宋体"/>
          <w:b/>
          <w:bCs/>
          <w:color w:val="auto"/>
          <w:sz w:val="24"/>
        </w:rPr>
      </w:pPr>
      <w:bookmarkStart w:id="118" w:name="_Toc23054"/>
      <w:r>
        <w:rPr>
          <w:rFonts w:hint="eastAsia" w:ascii="宋体" w:hAnsi="宋体" w:cs="宋体"/>
          <w:b/>
          <w:bCs/>
          <w:color w:val="auto"/>
          <w:sz w:val="24"/>
        </w:rPr>
        <w:t>15.响应文件的撤回</w:t>
      </w:r>
      <w:bookmarkEnd w:id="116"/>
      <w:bookmarkEnd w:id="117"/>
      <w:bookmarkEnd w:id="118"/>
    </w:p>
    <w:p w14:paraId="3A7F3931">
      <w:pPr>
        <w:pStyle w:val="18"/>
        <w:spacing w:line="360" w:lineRule="auto"/>
        <w:ind w:firstLine="480" w:firstLineChars="200"/>
        <w:rPr>
          <w:rFonts w:hint="eastAsia" w:hAnsi="宋体" w:cs="宋体"/>
          <w:color w:val="auto"/>
          <w:sz w:val="24"/>
          <w:szCs w:val="24"/>
          <w:lang w:val="zh-CN"/>
        </w:rPr>
      </w:pPr>
      <w:r>
        <w:rPr>
          <w:rFonts w:hint="eastAsia" w:hAnsi="宋体" w:cs="宋体"/>
          <w:color w:val="auto"/>
          <w:sz w:val="24"/>
          <w:szCs w:val="24"/>
          <w:lang w:val="zh-CN"/>
        </w:rPr>
        <w:t>允许供应商在提交最后报价之前声明撤回响应文件，但提交最后报价之后不得撤回其磋商，否则其磋商保证金将不予退还。</w:t>
      </w:r>
    </w:p>
    <w:bookmarkEnd w:id="106"/>
    <w:bookmarkEnd w:id="107"/>
    <w:bookmarkEnd w:id="108"/>
    <w:bookmarkEnd w:id="109"/>
    <w:p w14:paraId="1C4215C2">
      <w:pPr>
        <w:widowControl/>
        <w:spacing w:line="360" w:lineRule="auto"/>
        <w:jc w:val="center"/>
        <w:outlineLvl w:val="1"/>
        <w:rPr>
          <w:rFonts w:hint="eastAsia" w:ascii="宋体" w:hAnsi="宋体"/>
          <w:b/>
          <w:bCs/>
          <w:color w:val="auto"/>
          <w:kern w:val="0"/>
          <w:sz w:val="32"/>
          <w:szCs w:val="32"/>
        </w:rPr>
      </w:pPr>
      <w:bookmarkStart w:id="119" w:name="_Toc28362"/>
      <w:bookmarkStart w:id="120" w:name="_Toc28078165"/>
      <w:bookmarkStart w:id="121" w:name="_Toc416183208"/>
      <w:bookmarkStart w:id="122" w:name="_Toc510171138"/>
      <w:bookmarkStart w:id="123" w:name="_Toc376936752"/>
      <w:bookmarkStart w:id="124" w:name="_Toc19030"/>
      <w:bookmarkStart w:id="125" w:name="_Toc325726021"/>
      <w:bookmarkStart w:id="126" w:name="_Toc30309"/>
      <w:bookmarkStart w:id="127" w:name="_Toc18107"/>
      <w:r>
        <w:rPr>
          <w:rFonts w:hint="eastAsia" w:ascii="宋体" w:hAnsi="宋体"/>
          <w:b/>
          <w:bCs/>
          <w:color w:val="auto"/>
          <w:kern w:val="0"/>
          <w:sz w:val="32"/>
          <w:szCs w:val="32"/>
        </w:rPr>
        <w:t>五、开标</w:t>
      </w:r>
      <w:bookmarkEnd w:id="119"/>
      <w:bookmarkEnd w:id="120"/>
      <w:bookmarkEnd w:id="121"/>
      <w:bookmarkEnd w:id="122"/>
    </w:p>
    <w:p w14:paraId="2E537239">
      <w:pPr>
        <w:widowControl/>
        <w:spacing w:line="360" w:lineRule="auto"/>
        <w:jc w:val="left"/>
        <w:outlineLvl w:val="2"/>
        <w:rPr>
          <w:rFonts w:hint="eastAsia" w:ascii="宋体" w:hAnsi="宋体"/>
          <w:b/>
          <w:bCs/>
          <w:color w:val="auto"/>
          <w:kern w:val="0"/>
          <w:sz w:val="27"/>
          <w:szCs w:val="27"/>
        </w:rPr>
      </w:pPr>
      <w:bookmarkStart w:id="128" w:name="_Toc325726020"/>
      <w:bookmarkStart w:id="129" w:name="_Toc16475"/>
      <w:bookmarkStart w:id="130" w:name="_Toc376936751"/>
      <w:bookmarkStart w:id="131" w:name="_Toc416183209"/>
      <w:bookmarkStart w:id="132" w:name="_Toc28078166"/>
      <w:bookmarkStart w:id="133" w:name="_Toc510171139"/>
      <w:r>
        <w:rPr>
          <w:rFonts w:hint="eastAsia" w:ascii="宋体" w:hAnsi="宋体"/>
          <w:b/>
          <w:bCs/>
          <w:color w:val="auto"/>
          <w:kern w:val="0"/>
          <w:sz w:val="27"/>
          <w:szCs w:val="27"/>
        </w:rPr>
        <w:t>16.开标</w:t>
      </w:r>
      <w:bookmarkEnd w:id="128"/>
      <w:bookmarkEnd w:id="129"/>
      <w:bookmarkEnd w:id="130"/>
      <w:bookmarkEnd w:id="131"/>
      <w:bookmarkEnd w:id="132"/>
      <w:bookmarkEnd w:id="133"/>
    </w:p>
    <w:p w14:paraId="01B5E9A1">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.1采购人、采购代理机构在政采云平台（https://www.zcygov.cn/）上组织磋商活动，时间和地点以本磋商文件中确定的为准。</w:t>
      </w:r>
    </w:p>
    <w:p w14:paraId="255969A1">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.2开标后，供应商在政采云平台（https://www.zcygov.cn/）上报价与磋商响应文件内容不一致的，以网上报价为准。若拒绝接受，其投标无效。</w:t>
      </w:r>
    </w:p>
    <w:p w14:paraId="65E81861">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.3磋商工作由采购代理机构组织，采购人、采购管理、纪检监察等有关方面代表可根据采购项目的具体情况列席，并对开标过程签字确认。</w:t>
      </w:r>
    </w:p>
    <w:p w14:paraId="55930DB3">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cs="宋体"/>
          <w:color w:val="auto"/>
          <w:sz w:val="24"/>
          <w:lang w:val="zh-CN"/>
        </w:rPr>
      </w:pPr>
      <w:r>
        <w:rPr>
          <w:rFonts w:hint="eastAsia" w:ascii="宋体" w:hAnsi="宋体" w:eastAsia="宋体" w:cs="宋体"/>
          <w:b w:val="0"/>
          <w:bCs w:val="0"/>
          <w:color w:val="auto"/>
          <w:kern w:val="2"/>
          <w:sz w:val="24"/>
          <w:szCs w:val="24"/>
          <w:lang w:val="zh-CN" w:eastAsia="zh-CN" w:bidi="ar-SA"/>
        </w:rPr>
        <w:t>1</w:t>
      </w:r>
      <w:r>
        <w:rPr>
          <w:rFonts w:hint="eastAsia" w:ascii="宋体" w:hAnsi="宋体" w:eastAsia="宋体" w:cs="宋体"/>
          <w:b w:val="0"/>
          <w:bCs w:val="0"/>
          <w:color w:val="auto"/>
          <w:kern w:val="2"/>
          <w:sz w:val="24"/>
          <w:szCs w:val="24"/>
          <w:lang w:val="en-US" w:eastAsia="zh-CN" w:bidi="ar-SA"/>
        </w:rPr>
        <w:t>6</w:t>
      </w:r>
      <w:r>
        <w:rPr>
          <w:rFonts w:hint="eastAsia" w:ascii="宋体" w:hAnsi="宋体" w:eastAsia="宋体" w:cs="宋体"/>
          <w:b w:val="0"/>
          <w:bCs w:val="0"/>
          <w:color w:val="auto"/>
          <w:kern w:val="2"/>
          <w:sz w:val="24"/>
          <w:szCs w:val="24"/>
          <w:lang w:val="zh-CN" w:eastAsia="zh-CN" w:bidi="ar-SA"/>
        </w:rPr>
        <w:t>.4 开标后供应商必须在规定的时间内解密文件；因供应商输入密码错误、未及时更新系统、未能按时完成解密、</w:t>
      </w:r>
      <w:r>
        <w:rPr>
          <w:rFonts w:hint="eastAsia" w:ascii="宋体" w:hAnsi="宋体" w:eastAsia="宋体" w:cs="宋体"/>
          <w:b w:val="0"/>
          <w:bCs w:val="0"/>
          <w:color w:val="auto"/>
          <w:kern w:val="2"/>
          <w:sz w:val="24"/>
          <w:szCs w:val="24"/>
          <w:lang w:val="en-US" w:eastAsia="zh-CN" w:bidi="ar-SA"/>
        </w:rPr>
        <w:t>因</w:t>
      </w:r>
      <w:r>
        <w:rPr>
          <w:rFonts w:hint="eastAsia" w:ascii="宋体" w:hAnsi="宋体" w:eastAsia="宋体" w:cs="宋体"/>
          <w:b w:val="0"/>
          <w:bCs w:val="0"/>
          <w:color w:val="auto"/>
          <w:kern w:val="2"/>
          <w:sz w:val="24"/>
          <w:szCs w:val="24"/>
          <w:lang w:val="zh-CN" w:eastAsia="zh-CN" w:bidi="ar-SA"/>
        </w:rPr>
        <w:t>填写，盖章不规范</w:t>
      </w:r>
      <w:r>
        <w:rPr>
          <w:rFonts w:hint="eastAsia" w:ascii="宋体" w:hAnsi="宋体" w:eastAsia="宋体" w:cs="宋体"/>
          <w:b w:val="0"/>
          <w:bCs w:val="0"/>
          <w:color w:val="auto"/>
          <w:kern w:val="2"/>
          <w:sz w:val="24"/>
          <w:szCs w:val="24"/>
          <w:lang w:val="en-US" w:eastAsia="zh-CN" w:bidi="ar-SA"/>
        </w:rPr>
        <w:t>等</w:t>
      </w:r>
      <w:r>
        <w:rPr>
          <w:rFonts w:hint="eastAsia" w:ascii="宋体" w:hAnsi="宋体" w:eastAsia="宋体" w:cs="宋体"/>
          <w:b w:val="0"/>
          <w:bCs w:val="0"/>
          <w:color w:val="auto"/>
          <w:kern w:val="2"/>
          <w:sz w:val="24"/>
          <w:szCs w:val="24"/>
          <w:lang w:val="zh-CN" w:eastAsia="zh-CN" w:bidi="ar-SA"/>
        </w:rPr>
        <w:t>导致无法</w:t>
      </w:r>
      <w:r>
        <w:rPr>
          <w:rFonts w:hint="eastAsia" w:ascii="宋体" w:hAnsi="宋体" w:eastAsia="宋体" w:cs="宋体"/>
          <w:b w:val="0"/>
          <w:bCs w:val="0"/>
          <w:color w:val="auto"/>
          <w:kern w:val="2"/>
          <w:sz w:val="24"/>
          <w:szCs w:val="24"/>
          <w:lang w:val="en-US" w:eastAsia="zh-CN" w:bidi="ar-SA"/>
        </w:rPr>
        <w:t>解密</w:t>
      </w:r>
      <w:r>
        <w:rPr>
          <w:rFonts w:hint="eastAsia" w:ascii="宋体" w:hAnsi="宋体" w:eastAsia="宋体" w:cs="宋体"/>
          <w:b w:val="0"/>
          <w:bCs w:val="0"/>
          <w:color w:val="auto"/>
          <w:kern w:val="2"/>
          <w:sz w:val="24"/>
          <w:szCs w:val="24"/>
          <w:lang w:val="zh-CN" w:eastAsia="zh-CN" w:bidi="ar-SA"/>
        </w:rPr>
        <w:t>、或上传的磋商响应文件损坏无法正常打开的，将会被视为</w:t>
      </w:r>
      <w:r>
        <w:rPr>
          <w:rFonts w:hint="eastAsia" w:ascii="宋体" w:hAnsi="宋体" w:eastAsia="宋体" w:cs="宋体"/>
          <w:b w:val="0"/>
          <w:bCs w:val="0"/>
          <w:color w:val="auto"/>
          <w:kern w:val="2"/>
          <w:sz w:val="24"/>
          <w:szCs w:val="24"/>
          <w:lang w:val="en-US" w:eastAsia="zh-CN" w:bidi="ar-SA"/>
        </w:rPr>
        <w:t>无效</w:t>
      </w:r>
      <w:r>
        <w:rPr>
          <w:rFonts w:hint="eastAsia" w:ascii="宋体" w:hAnsi="宋体" w:eastAsia="宋体" w:cs="宋体"/>
          <w:b w:val="0"/>
          <w:bCs w:val="0"/>
          <w:color w:val="auto"/>
          <w:kern w:val="2"/>
          <w:sz w:val="24"/>
          <w:szCs w:val="24"/>
          <w:lang w:val="zh-CN" w:eastAsia="zh-CN" w:bidi="ar-SA"/>
        </w:rPr>
        <w:t>投标。</w:t>
      </w:r>
    </w:p>
    <w:p w14:paraId="4FBFBE1A">
      <w:pPr>
        <w:widowControl/>
        <w:spacing w:line="360" w:lineRule="auto"/>
        <w:jc w:val="center"/>
        <w:outlineLvl w:val="1"/>
        <w:rPr>
          <w:rFonts w:hint="eastAsia" w:ascii="宋体" w:hAnsi="宋体" w:eastAsia="宋体" w:cs="Times New Roman"/>
          <w:b/>
          <w:bCs/>
          <w:color w:val="auto"/>
          <w:kern w:val="0"/>
          <w:sz w:val="32"/>
          <w:szCs w:val="32"/>
        </w:rPr>
      </w:pPr>
      <w:bookmarkStart w:id="134" w:name="_Toc28078167"/>
      <w:bookmarkStart w:id="135" w:name="_Toc13386"/>
      <w:r>
        <w:rPr>
          <w:rFonts w:hint="eastAsia" w:ascii="宋体" w:hAnsi="宋体" w:eastAsia="宋体" w:cs="Times New Roman"/>
          <w:b/>
          <w:bCs/>
          <w:color w:val="auto"/>
          <w:kern w:val="0"/>
          <w:sz w:val="32"/>
          <w:szCs w:val="32"/>
        </w:rPr>
        <w:t>六、资格审查程序及方法</w:t>
      </w:r>
      <w:bookmarkEnd w:id="134"/>
      <w:bookmarkEnd w:id="135"/>
    </w:p>
    <w:p w14:paraId="71AA4A37">
      <w:pPr>
        <w:spacing w:line="360" w:lineRule="auto"/>
        <w:rPr>
          <w:rFonts w:hint="eastAsia" w:ascii="宋体" w:hAnsi="宋体" w:cs="宋体"/>
          <w:b/>
          <w:bCs/>
          <w:color w:val="auto"/>
          <w:sz w:val="24"/>
          <w:lang w:val="zh-CN"/>
        </w:rPr>
      </w:pPr>
      <w:bookmarkStart w:id="136" w:name="_Toc496004007"/>
      <w:bookmarkStart w:id="137" w:name="_Toc28078168"/>
      <w:bookmarkStart w:id="138" w:name="_Toc496189551"/>
      <w:r>
        <w:rPr>
          <w:rFonts w:hint="eastAsia" w:ascii="宋体" w:hAnsi="宋体" w:cs="宋体"/>
          <w:b/>
          <w:bCs/>
          <w:color w:val="auto"/>
          <w:sz w:val="24"/>
          <w:lang w:val="zh-CN"/>
        </w:rPr>
        <w:t>1</w:t>
      </w:r>
      <w:r>
        <w:rPr>
          <w:rFonts w:hint="eastAsia" w:ascii="宋体" w:hAnsi="宋体" w:cs="宋体"/>
          <w:b/>
          <w:bCs/>
          <w:color w:val="auto"/>
          <w:sz w:val="24"/>
        </w:rPr>
        <w:t>7</w:t>
      </w:r>
      <w:r>
        <w:rPr>
          <w:rFonts w:hint="eastAsia" w:ascii="宋体" w:hAnsi="宋体" w:cs="宋体"/>
          <w:b/>
          <w:bCs/>
          <w:color w:val="auto"/>
          <w:sz w:val="24"/>
          <w:lang w:val="zh-CN"/>
        </w:rPr>
        <w:t>. 资格审查程序</w:t>
      </w:r>
      <w:bookmarkEnd w:id="136"/>
      <w:bookmarkEnd w:id="137"/>
      <w:bookmarkEnd w:id="138"/>
    </w:p>
    <w:p w14:paraId="6B5FD2E5">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7</w:t>
      </w:r>
      <w:r>
        <w:rPr>
          <w:rFonts w:hint="eastAsia" w:ascii="宋体" w:hAnsi="宋体" w:cs="宋体"/>
          <w:color w:val="auto"/>
          <w:sz w:val="24"/>
          <w:lang w:val="zh-CN"/>
        </w:rPr>
        <w:t>.1提交首次磋商响应文件截止时间后，由磋商小组依法对供应商的资格进行审查。</w:t>
      </w:r>
    </w:p>
    <w:p w14:paraId="69D5C274">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7</w:t>
      </w:r>
      <w:r>
        <w:rPr>
          <w:rFonts w:hint="eastAsia" w:ascii="宋体" w:hAnsi="宋体" w:cs="宋体"/>
          <w:color w:val="auto"/>
          <w:sz w:val="24"/>
          <w:lang w:val="zh-CN"/>
        </w:rPr>
        <w:t>.2 供应商数量不满足相关规定的，不得评审。</w:t>
      </w:r>
    </w:p>
    <w:p w14:paraId="5DA6D0E1">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default" w:ascii="宋体" w:hAnsi="宋体" w:cs="宋体"/>
          <w:b/>
          <w:bCs/>
          <w:color w:val="auto"/>
          <w:kern w:val="2"/>
          <w:sz w:val="24"/>
          <w:szCs w:val="24"/>
          <w:lang w:val="en-US" w:eastAsia="zh-CN" w:bidi="ar-SA"/>
        </w:rPr>
      </w:pPr>
      <w:bookmarkStart w:id="139" w:name="_Toc496189552"/>
      <w:bookmarkStart w:id="140" w:name="_Toc496004008"/>
      <w:bookmarkStart w:id="141" w:name="_Toc28078169"/>
      <w:r>
        <w:rPr>
          <w:rFonts w:hint="eastAsia" w:ascii="宋体" w:hAnsi="宋体" w:cs="宋体"/>
          <w:b/>
          <w:bCs/>
          <w:color w:val="auto"/>
          <w:kern w:val="2"/>
          <w:sz w:val="24"/>
          <w:szCs w:val="24"/>
          <w:lang w:val="zh-CN" w:eastAsia="zh-CN" w:bidi="ar-SA"/>
        </w:rPr>
        <w:t>1</w:t>
      </w:r>
      <w:r>
        <w:rPr>
          <w:rFonts w:hint="eastAsia" w:ascii="宋体" w:hAnsi="宋体" w:cs="宋体"/>
          <w:b/>
          <w:bCs/>
          <w:color w:val="auto"/>
          <w:kern w:val="2"/>
          <w:sz w:val="24"/>
          <w:szCs w:val="24"/>
          <w:lang w:val="en-US" w:eastAsia="zh-CN" w:bidi="ar-SA"/>
        </w:rPr>
        <w:t>8</w:t>
      </w:r>
      <w:r>
        <w:rPr>
          <w:rFonts w:hint="eastAsia" w:ascii="宋体" w:hAnsi="宋体" w:cs="宋体"/>
          <w:b/>
          <w:bCs/>
          <w:color w:val="auto"/>
          <w:kern w:val="2"/>
          <w:sz w:val="24"/>
          <w:szCs w:val="24"/>
          <w:lang w:val="zh-CN" w:eastAsia="zh-CN" w:bidi="ar-SA"/>
        </w:rPr>
        <w:t>.资格审查</w:t>
      </w:r>
      <w:bookmarkEnd w:id="139"/>
      <w:bookmarkEnd w:id="140"/>
      <w:bookmarkEnd w:id="141"/>
      <w:r>
        <w:rPr>
          <w:rFonts w:hint="eastAsia" w:ascii="宋体" w:hAnsi="宋体" w:cs="宋体"/>
          <w:b/>
          <w:bCs/>
          <w:color w:val="auto"/>
          <w:kern w:val="2"/>
          <w:sz w:val="24"/>
          <w:szCs w:val="24"/>
          <w:lang w:val="zh-CN" w:eastAsia="zh-CN" w:bidi="ar-SA"/>
        </w:rPr>
        <w:t>内容。</w:t>
      </w:r>
      <w:r>
        <w:rPr>
          <w:rFonts w:hint="eastAsia" w:ascii="宋体" w:hAnsi="宋体" w:cs="宋体"/>
          <w:b/>
          <w:bCs/>
          <w:color w:val="auto"/>
          <w:kern w:val="2"/>
          <w:sz w:val="24"/>
          <w:szCs w:val="24"/>
          <w:lang w:val="en-US" w:eastAsia="zh-CN" w:bidi="ar-SA"/>
        </w:rPr>
        <w:t>资格审查时，存在下列情况之一的，按无效投标处理：</w:t>
      </w:r>
    </w:p>
    <w:p w14:paraId="78FAEBFC">
      <w:pPr>
        <w:keepNext w:val="0"/>
        <w:keepLines w:val="0"/>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cs="宋体"/>
          <w:b w:val="0"/>
          <w:bCs w:val="0"/>
          <w:color w:val="auto"/>
          <w:kern w:val="2"/>
          <w:sz w:val="24"/>
          <w:szCs w:val="24"/>
          <w:lang w:val="zh-CN" w:eastAsia="zh-CN" w:bidi="ar-SA"/>
        </w:rPr>
      </w:pPr>
      <w:r>
        <w:rPr>
          <w:rFonts w:hint="eastAsia" w:ascii="宋体" w:hAnsi="宋体" w:cs="宋体"/>
          <w:b w:val="0"/>
          <w:bCs w:val="0"/>
          <w:color w:val="auto"/>
          <w:kern w:val="2"/>
          <w:sz w:val="24"/>
          <w:szCs w:val="24"/>
          <w:lang w:val="zh-CN" w:eastAsia="zh-CN" w:bidi="ar-SA"/>
        </w:rPr>
        <w:t>1</w:t>
      </w:r>
      <w:r>
        <w:rPr>
          <w:rFonts w:hint="eastAsia" w:ascii="宋体" w:hAnsi="宋体" w:cs="宋体"/>
          <w:b w:val="0"/>
          <w:bCs w:val="0"/>
          <w:color w:val="auto"/>
          <w:kern w:val="2"/>
          <w:sz w:val="24"/>
          <w:szCs w:val="24"/>
          <w:lang w:val="en-US" w:eastAsia="zh-CN" w:bidi="ar-SA"/>
        </w:rPr>
        <w:t>8</w:t>
      </w:r>
      <w:r>
        <w:rPr>
          <w:rFonts w:hint="eastAsia" w:ascii="宋体" w:hAnsi="宋体" w:cs="宋体"/>
          <w:b w:val="0"/>
          <w:bCs w:val="0"/>
          <w:color w:val="auto"/>
          <w:kern w:val="2"/>
          <w:sz w:val="24"/>
          <w:szCs w:val="24"/>
          <w:lang w:val="zh-CN" w:eastAsia="zh-CN" w:bidi="ar-SA"/>
        </w:rPr>
        <w:t xml:space="preserve">.1 </w:t>
      </w:r>
      <w:r>
        <w:rPr>
          <w:rFonts w:hint="eastAsia" w:ascii="宋体" w:hAnsi="宋体" w:cs="宋体"/>
          <w:b w:val="0"/>
          <w:bCs w:val="0"/>
          <w:color w:val="auto"/>
          <w:kern w:val="2"/>
          <w:sz w:val="24"/>
          <w:szCs w:val="24"/>
          <w:lang w:val="en-US" w:eastAsia="zh-CN" w:bidi="ar-SA"/>
        </w:rPr>
        <w:t>不</w:t>
      </w:r>
      <w:r>
        <w:rPr>
          <w:rFonts w:hint="eastAsia" w:ascii="宋体" w:hAnsi="宋体" w:cs="宋体"/>
          <w:b w:val="0"/>
          <w:bCs w:val="0"/>
          <w:color w:val="auto"/>
          <w:kern w:val="2"/>
          <w:sz w:val="24"/>
          <w:szCs w:val="24"/>
          <w:lang w:val="zh-CN" w:eastAsia="zh-CN" w:bidi="ar-SA"/>
        </w:rPr>
        <w:t>符合磋商文件第二部分投标人须知前附表“供应商资格条件”的；</w:t>
      </w:r>
    </w:p>
    <w:p w14:paraId="53EA3CDD">
      <w:pPr>
        <w:keepNext w:val="0"/>
        <w:keepLines w:val="0"/>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cs="宋体"/>
          <w:b w:val="0"/>
          <w:bCs w:val="0"/>
          <w:color w:val="auto"/>
          <w:kern w:val="2"/>
          <w:sz w:val="24"/>
          <w:szCs w:val="24"/>
          <w:lang w:val="zh-CN" w:eastAsia="zh-CN" w:bidi="ar-SA"/>
        </w:rPr>
      </w:pPr>
      <w:r>
        <w:rPr>
          <w:rFonts w:hint="eastAsia" w:ascii="宋体" w:hAnsi="宋体" w:cs="宋体"/>
          <w:b w:val="0"/>
          <w:bCs w:val="0"/>
          <w:color w:val="auto"/>
          <w:kern w:val="2"/>
          <w:sz w:val="24"/>
          <w:szCs w:val="24"/>
          <w:lang w:val="zh-CN" w:eastAsia="zh-CN" w:bidi="ar-SA"/>
        </w:rPr>
        <w:t>1</w:t>
      </w:r>
      <w:r>
        <w:rPr>
          <w:rFonts w:hint="eastAsia" w:ascii="宋体" w:hAnsi="宋体" w:cs="宋体"/>
          <w:b w:val="0"/>
          <w:bCs w:val="0"/>
          <w:color w:val="auto"/>
          <w:kern w:val="2"/>
          <w:sz w:val="24"/>
          <w:szCs w:val="24"/>
          <w:lang w:val="en-US" w:eastAsia="zh-CN" w:bidi="ar-SA"/>
        </w:rPr>
        <w:t>8</w:t>
      </w:r>
      <w:r>
        <w:rPr>
          <w:rFonts w:hint="eastAsia" w:ascii="宋体" w:hAnsi="宋体" w:cs="宋体"/>
          <w:b w:val="0"/>
          <w:bCs w:val="0"/>
          <w:color w:val="auto"/>
          <w:kern w:val="2"/>
          <w:sz w:val="24"/>
          <w:szCs w:val="24"/>
          <w:lang w:val="zh-CN" w:eastAsia="zh-CN" w:bidi="ar-SA"/>
        </w:rPr>
        <w:t xml:space="preserve">.2 </w:t>
      </w:r>
      <w:r>
        <w:rPr>
          <w:rFonts w:hint="eastAsia" w:ascii="宋体" w:hAnsi="宋体" w:cs="宋体"/>
          <w:b w:val="0"/>
          <w:bCs w:val="0"/>
          <w:color w:val="auto"/>
          <w:kern w:val="2"/>
          <w:sz w:val="24"/>
          <w:szCs w:val="24"/>
          <w:lang w:val="en-US" w:eastAsia="zh-CN" w:bidi="ar-SA"/>
        </w:rPr>
        <w:t>未</w:t>
      </w:r>
      <w:r>
        <w:rPr>
          <w:rFonts w:hint="eastAsia" w:ascii="宋体" w:hAnsi="宋体" w:cs="宋体"/>
          <w:b w:val="0"/>
          <w:bCs w:val="0"/>
          <w:color w:val="auto"/>
          <w:kern w:val="2"/>
          <w:sz w:val="24"/>
          <w:szCs w:val="24"/>
          <w:lang w:val="zh-CN" w:eastAsia="zh-CN" w:bidi="ar-SA"/>
        </w:rPr>
        <w:t>按第1</w:t>
      </w:r>
      <w:r>
        <w:rPr>
          <w:rFonts w:hint="eastAsia" w:ascii="宋体" w:hAnsi="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zh-CN" w:eastAsia="zh-CN" w:bidi="ar-SA"/>
        </w:rPr>
        <w:t>.1款（1）-（</w:t>
      </w:r>
      <w:r>
        <w:rPr>
          <w:rFonts w:hint="eastAsia" w:ascii="宋体" w:hAnsi="宋体" w:cs="宋体"/>
          <w:b w:val="0"/>
          <w:bCs w:val="0"/>
          <w:color w:val="auto"/>
          <w:kern w:val="2"/>
          <w:sz w:val="24"/>
          <w:szCs w:val="24"/>
          <w:lang w:val="en-US" w:eastAsia="zh-CN" w:bidi="ar-SA"/>
        </w:rPr>
        <w:t>10</w:t>
      </w:r>
      <w:r>
        <w:rPr>
          <w:rFonts w:hint="eastAsia" w:ascii="宋体" w:hAnsi="宋体" w:cs="宋体"/>
          <w:b w:val="0"/>
          <w:bCs w:val="0"/>
          <w:color w:val="auto"/>
          <w:kern w:val="2"/>
          <w:sz w:val="24"/>
          <w:szCs w:val="24"/>
          <w:lang w:val="zh-CN" w:eastAsia="zh-CN" w:bidi="ar-SA"/>
        </w:rPr>
        <w:t>）要求提供相关资料的；</w:t>
      </w:r>
    </w:p>
    <w:p w14:paraId="70850740">
      <w:pPr>
        <w:keepNext w:val="0"/>
        <w:keepLines w:val="0"/>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cs="宋体"/>
          <w:b w:val="0"/>
          <w:bCs w:val="0"/>
          <w:color w:val="auto"/>
          <w:kern w:val="2"/>
          <w:sz w:val="24"/>
          <w:szCs w:val="24"/>
          <w:lang w:val="zh-CN" w:eastAsia="zh-CN" w:bidi="ar-SA"/>
        </w:rPr>
      </w:pPr>
      <w:r>
        <w:rPr>
          <w:rFonts w:hint="eastAsia" w:ascii="宋体" w:hAnsi="宋体" w:cs="宋体"/>
          <w:b w:val="0"/>
          <w:bCs w:val="0"/>
          <w:color w:val="auto"/>
          <w:kern w:val="2"/>
          <w:sz w:val="24"/>
          <w:szCs w:val="24"/>
          <w:lang w:val="zh-CN" w:eastAsia="zh-CN" w:bidi="ar-SA"/>
        </w:rPr>
        <w:t>1</w:t>
      </w:r>
      <w:r>
        <w:rPr>
          <w:rFonts w:hint="eastAsia" w:ascii="宋体" w:hAnsi="宋体" w:cs="宋体"/>
          <w:b w:val="0"/>
          <w:bCs w:val="0"/>
          <w:color w:val="auto"/>
          <w:kern w:val="2"/>
          <w:sz w:val="24"/>
          <w:szCs w:val="24"/>
          <w:lang w:val="en-US" w:eastAsia="zh-CN" w:bidi="ar-SA"/>
        </w:rPr>
        <w:t>8</w:t>
      </w:r>
      <w:r>
        <w:rPr>
          <w:rFonts w:hint="eastAsia" w:ascii="宋体" w:hAnsi="宋体" w:cs="宋体"/>
          <w:b w:val="0"/>
          <w:bCs w:val="0"/>
          <w:color w:val="auto"/>
          <w:kern w:val="2"/>
          <w:sz w:val="24"/>
          <w:szCs w:val="24"/>
          <w:lang w:val="zh-CN" w:eastAsia="zh-CN" w:bidi="ar-SA"/>
        </w:rPr>
        <w:t xml:space="preserve">.3 </w:t>
      </w:r>
      <w:r>
        <w:rPr>
          <w:rFonts w:hint="eastAsia" w:ascii="宋体" w:hAnsi="宋体" w:cs="宋体"/>
          <w:b w:val="0"/>
          <w:bCs w:val="0"/>
          <w:color w:val="auto"/>
          <w:kern w:val="2"/>
          <w:sz w:val="24"/>
          <w:szCs w:val="24"/>
          <w:lang w:val="en-US" w:eastAsia="zh-CN" w:bidi="ar-SA"/>
        </w:rPr>
        <w:t>未</w:t>
      </w:r>
      <w:r>
        <w:rPr>
          <w:rFonts w:hint="eastAsia" w:ascii="宋体" w:hAnsi="宋体" w:cs="宋体"/>
          <w:b w:val="0"/>
          <w:bCs w:val="0"/>
          <w:color w:val="auto"/>
          <w:kern w:val="2"/>
          <w:sz w:val="24"/>
          <w:szCs w:val="24"/>
          <w:lang w:val="zh-CN" w:eastAsia="zh-CN" w:bidi="ar-SA"/>
        </w:rPr>
        <w:t>按磋商文件规定和要求签字、盖章的；</w:t>
      </w:r>
    </w:p>
    <w:p w14:paraId="6ED7A7D3">
      <w:pPr>
        <w:spacing w:line="360" w:lineRule="auto"/>
        <w:ind w:firstLine="480"/>
        <w:rPr>
          <w:rFonts w:hint="eastAsia" w:ascii="宋体" w:hAnsi="宋体" w:cs="宋体"/>
          <w:b w:val="0"/>
          <w:bCs w:val="0"/>
          <w:color w:val="auto"/>
          <w:sz w:val="24"/>
          <w:lang w:val="zh-CN"/>
        </w:rPr>
      </w:pPr>
      <w:r>
        <w:rPr>
          <w:rFonts w:hint="eastAsia" w:ascii="宋体" w:hAnsi="宋体" w:cs="宋体"/>
          <w:b w:val="0"/>
          <w:bCs w:val="0"/>
          <w:color w:val="auto"/>
          <w:kern w:val="2"/>
          <w:sz w:val="24"/>
          <w:szCs w:val="24"/>
          <w:lang w:val="zh-CN" w:eastAsia="zh-CN" w:bidi="ar-SA"/>
        </w:rPr>
        <w:t>1</w:t>
      </w:r>
      <w:r>
        <w:rPr>
          <w:rFonts w:hint="eastAsia" w:ascii="宋体" w:hAnsi="宋体" w:cs="宋体"/>
          <w:b w:val="0"/>
          <w:bCs w:val="0"/>
          <w:color w:val="auto"/>
          <w:kern w:val="2"/>
          <w:sz w:val="24"/>
          <w:szCs w:val="24"/>
          <w:lang w:val="en-US" w:eastAsia="zh-CN" w:bidi="ar-SA"/>
        </w:rPr>
        <w:t>8</w:t>
      </w:r>
      <w:r>
        <w:rPr>
          <w:rFonts w:hint="eastAsia" w:ascii="宋体" w:hAnsi="宋体" w:cs="宋体"/>
          <w:b w:val="0"/>
          <w:bCs w:val="0"/>
          <w:color w:val="auto"/>
          <w:kern w:val="2"/>
          <w:sz w:val="24"/>
          <w:szCs w:val="24"/>
          <w:lang w:val="zh-CN" w:eastAsia="zh-CN" w:bidi="ar-SA"/>
        </w:rPr>
        <w:t>.4 擅自修改磋商文件规定的磋商响应文件格式以及编制要求的</w:t>
      </w:r>
      <w:r>
        <w:rPr>
          <w:rFonts w:hint="eastAsia" w:ascii="宋体" w:hAnsi="宋体" w:cs="宋体"/>
          <w:b w:val="0"/>
          <w:bCs w:val="0"/>
          <w:color w:val="auto"/>
          <w:sz w:val="24"/>
          <w:lang w:val="zh-CN"/>
        </w:rPr>
        <w:t>。</w:t>
      </w:r>
    </w:p>
    <w:bookmarkEnd w:id="123"/>
    <w:bookmarkEnd w:id="124"/>
    <w:bookmarkEnd w:id="125"/>
    <w:bookmarkEnd w:id="126"/>
    <w:bookmarkEnd w:id="127"/>
    <w:p w14:paraId="35C9D0E3">
      <w:pPr>
        <w:widowControl/>
        <w:jc w:val="center"/>
        <w:outlineLvl w:val="1"/>
        <w:rPr>
          <w:rFonts w:hint="eastAsia" w:ascii="宋体" w:hAnsi="宋体"/>
          <w:b/>
          <w:bCs/>
          <w:color w:val="auto"/>
          <w:kern w:val="0"/>
          <w:sz w:val="32"/>
          <w:szCs w:val="32"/>
        </w:rPr>
      </w:pPr>
      <w:bookmarkStart w:id="142" w:name="_Toc28078170"/>
      <w:bookmarkStart w:id="143" w:name="_Toc5834"/>
      <w:bookmarkStart w:id="144" w:name="_Toc14694"/>
      <w:bookmarkStart w:id="145" w:name="_Toc27086"/>
      <w:bookmarkStart w:id="146" w:name="_Toc376936754"/>
      <w:bookmarkStart w:id="147" w:name="_Toc325726023"/>
      <w:bookmarkStart w:id="148" w:name="_Toc10790"/>
      <w:r>
        <w:rPr>
          <w:rFonts w:hint="eastAsia" w:ascii="宋体" w:hAnsi="宋体"/>
          <w:b/>
          <w:bCs/>
          <w:color w:val="auto"/>
          <w:kern w:val="0"/>
          <w:sz w:val="32"/>
          <w:szCs w:val="32"/>
        </w:rPr>
        <w:t>七、磋商程序及方法</w:t>
      </w:r>
      <w:bookmarkEnd w:id="142"/>
      <w:bookmarkEnd w:id="143"/>
    </w:p>
    <w:p w14:paraId="12E66AD3">
      <w:pPr>
        <w:widowControl/>
        <w:spacing w:line="360" w:lineRule="auto"/>
        <w:jc w:val="left"/>
        <w:outlineLvl w:val="2"/>
        <w:rPr>
          <w:rFonts w:hint="eastAsia" w:ascii="宋体" w:hAnsi="宋体"/>
          <w:b/>
          <w:bCs/>
          <w:color w:val="auto"/>
          <w:kern w:val="0"/>
          <w:sz w:val="24"/>
        </w:rPr>
      </w:pPr>
      <w:bookmarkStart w:id="149" w:name="_Toc3021"/>
      <w:bookmarkStart w:id="150" w:name="_Toc376936753"/>
      <w:bookmarkStart w:id="151" w:name="_Toc325726022"/>
      <w:bookmarkStart w:id="152" w:name="_Toc28078171"/>
      <w:r>
        <w:rPr>
          <w:rFonts w:hint="eastAsia" w:ascii="宋体" w:hAnsi="宋体"/>
          <w:b/>
          <w:bCs/>
          <w:color w:val="auto"/>
          <w:kern w:val="0"/>
          <w:sz w:val="24"/>
        </w:rPr>
        <w:t>19.磋商小组</w:t>
      </w:r>
      <w:bookmarkEnd w:id="149"/>
      <w:bookmarkEnd w:id="150"/>
      <w:bookmarkEnd w:id="151"/>
      <w:bookmarkEnd w:id="152"/>
    </w:p>
    <w:p w14:paraId="1FDCB911">
      <w:pPr>
        <w:spacing w:line="360" w:lineRule="auto"/>
        <w:ind w:firstLine="480"/>
        <w:jc w:val="left"/>
        <w:rPr>
          <w:rFonts w:hint="eastAsia" w:ascii="宋体" w:hAnsi="宋体"/>
          <w:color w:val="auto"/>
          <w:sz w:val="24"/>
        </w:rPr>
      </w:pPr>
      <w:r>
        <w:rPr>
          <w:rFonts w:hint="eastAsia" w:ascii="宋体" w:hAnsi="宋体"/>
          <w:color w:val="auto"/>
          <w:sz w:val="24"/>
        </w:rPr>
        <w:t>19.1 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281F09B3">
      <w:pPr>
        <w:spacing w:line="360" w:lineRule="auto"/>
        <w:ind w:firstLine="480"/>
        <w:jc w:val="left"/>
        <w:rPr>
          <w:rFonts w:hint="eastAsia" w:ascii="宋体" w:hAnsi="宋体"/>
          <w:color w:val="auto"/>
          <w:sz w:val="24"/>
        </w:rPr>
      </w:pPr>
      <w:r>
        <w:rPr>
          <w:rFonts w:hint="eastAsia" w:ascii="宋体" w:hAnsi="宋体"/>
          <w:color w:val="auto"/>
          <w:sz w:val="24"/>
        </w:rPr>
        <w:t>19.2磋商由采购代理机构负责组织，具体磋商事务由依法组建的磋商小组负责，并独立履行下列职责：</w:t>
      </w:r>
    </w:p>
    <w:p w14:paraId="6FAC7972">
      <w:pPr>
        <w:spacing w:line="360" w:lineRule="auto"/>
        <w:ind w:firstLine="480"/>
        <w:jc w:val="left"/>
        <w:rPr>
          <w:rFonts w:hint="eastAsia" w:ascii="宋体" w:hAnsi="宋体"/>
          <w:color w:val="auto"/>
          <w:sz w:val="24"/>
        </w:rPr>
      </w:pPr>
      <w:r>
        <w:rPr>
          <w:rFonts w:hint="eastAsia" w:ascii="宋体" w:hAnsi="宋体"/>
          <w:color w:val="auto"/>
          <w:sz w:val="24"/>
        </w:rPr>
        <w:t>（1）审查通过资格条件供应商的磋商响应文件，并作出评价；</w:t>
      </w:r>
    </w:p>
    <w:p w14:paraId="6D387227">
      <w:pPr>
        <w:spacing w:line="360" w:lineRule="auto"/>
        <w:ind w:firstLine="480"/>
        <w:jc w:val="left"/>
        <w:rPr>
          <w:rFonts w:hint="eastAsia" w:ascii="宋体" w:hAnsi="宋体"/>
          <w:color w:val="auto"/>
          <w:sz w:val="24"/>
        </w:rPr>
      </w:pPr>
      <w:r>
        <w:rPr>
          <w:rFonts w:hint="eastAsia" w:ascii="宋体" w:hAnsi="宋体"/>
          <w:color w:val="auto"/>
          <w:sz w:val="24"/>
        </w:rPr>
        <w:t>（2）要求供应商对解释或澄清其磋商响应文件；</w:t>
      </w:r>
    </w:p>
    <w:p w14:paraId="0FF8E7CF">
      <w:pPr>
        <w:spacing w:line="360" w:lineRule="auto"/>
        <w:ind w:firstLine="480"/>
        <w:jc w:val="left"/>
        <w:rPr>
          <w:rFonts w:hint="eastAsia" w:ascii="宋体" w:hAnsi="宋体"/>
          <w:color w:val="auto"/>
          <w:sz w:val="24"/>
        </w:rPr>
      </w:pPr>
      <w:r>
        <w:rPr>
          <w:rFonts w:hint="eastAsia" w:ascii="宋体" w:hAnsi="宋体"/>
          <w:color w:val="auto"/>
          <w:sz w:val="24"/>
        </w:rPr>
        <w:t>（3）推荐预成交候选供应商；</w:t>
      </w:r>
    </w:p>
    <w:p w14:paraId="55151226">
      <w:pPr>
        <w:spacing w:line="360" w:lineRule="auto"/>
        <w:ind w:firstLine="480"/>
        <w:jc w:val="left"/>
        <w:rPr>
          <w:rFonts w:hint="eastAsia" w:ascii="宋体" w:hAnsi="宋体"/>
          <w:color w:val="auto"/>
          <w:sz w:val="24"/>
        </w:rPr>
      </w:pPr>
      <w:r>
        <w:rPr>
          <w:rFonts w:hint="eastAsia" w:ascii="宋体" w:hAnsi="宋体"/>
          <w:color w:val="auto"/>
          <w:sz w:val="24"/>
        </w:rPr>
        <w:t>（4）对非法干预评标工作的人员和机构进行举报或投诉。</w:t>
      </w:r>
    </w:p>
    <w:p w14:paraId="66507520">
      <w:pPr>
        <w:spacing w:line="360" w:lineRule="auto"/>
        <w:ind w:firstLine="480"/>
        <w:jc w:val="left"/>
        <w:rPr>
          <w:rFonts w:hint="eastAsia" w:ascii="宋体" w:hAnsi="宋体"/>
          <w:color w:val="auto"/>
          <w:sz w:val="24"/>
        </w:rPr>
      </w:pPr>
      <w:r>
        <w:rPr>
          <w:rFonts w:hint="eastAsia" w:ascii="宋体" w:hAnsi="宋体"/>
          <w:color w:val="auto"/>
          <w:sz w:val="24"/>
        </w:rPr>
        <w:t>17.3磋商小组应遵守并履行下列义务：</w:t>
      </w:r>
    </w:p>
    <w:p w14:paraId="70499136">
      <w:pPr>
        <w:spacing w:line="360" w:lineRule="auto"/>
        <w:ind w:firstLine="480"/>
        <w:jc w:val="left"/>
        <w:rPr>
          <w:rFonts w:hint="eastAsia" w:ascii="宋体" w:hAnsi="宋体"/>
          <w:color w:val="auto"/>
          <w:sz w:val="24"/>
        </w:rPr>
      </w:pPr>
      <w:r>
        <w:rPr>
          <w:rFonts w:hint="eastAsia" w:ascii="宋体" w:hAnsi="宋体"/>
          <w:color w:val="auto"/>
          <w:sz w:val="24"/>
        </w:rPr>
        <w:t>（1）遵纪守法，客观、公正、廉洁地履行职责；</w:t>
      </w:r>
    </w:p>
    <w:p w14:paraId="5F587AC9">
      <w:pPr>
        <w:spacing w:line="360" w:lineRule="auto"/>
        <w:ind w:firstLine="480"/>
        <w:jc w:val="left"/>
        <w:rPr>
          <w:rFonts w:hint="eastAsia" w:ascii="宋体" w:hAnsi="宋体"/>
          <w:color w:val="auto"/>
          <w:sz w:val="24"/>
        </w:rPr>
      </w:pPr>
      <w:r>
        <w:rPr>
          <w:rFonts w:hint="eastAsia" w:ascii="宋体" w:hAnsi="宋体"/>
          <w:color w:val="auto"/>
          <w:sz w:val="24"/>
        </w:rPr>
        <w:t>（2）按照磋商文件规定的评审方法和评审标准进行评审，对评审意见承担磋商小组成员责任；</w:t>
      </w:r>
    </w:p>
    <w:p w14:paraId="647BD17D">
      <w:pPr>
        <w:spacing w:line="360" w:lineRule="auto"/>
        <w:ind w:firstLine="480"/>
        <w:jc w:val="left"/>
        <w:rPr>
          <w:rFonts w:hint="eastAsia" w:ascii="宋体" w:hAnsi="宋体"/>
          <w:color w:val="auto"/>
          <w:sz w:val="24"/>
        </w:rPr>
      </w:pPr>
      <w:r>
        <w:rPr>
          <w:rFonts w:hint="eastAsia" w:ascii="宋体" w:hAnsi="宋体"/>
          <w:color w:val="auto"/>
          <w:sz w:val="24"/>
        </w:rPr>
        <w:t>（3）对磋商响应文件、磋商情况和磋商中获悉的商业秘密保密；</w:t>
      </w:r>
    </w:p>
    <w:p w14:paraId="2CD29939">
      <w:pPr>
        <w:spacing w:line="360" w:lineRule="auto"/>
        <w:ind w:firstLine="480"/>
        <w:jc w:val="left"/>
        <w:rPr>
          <w:rFonts w:hint="eastAsia" w:ascii="宋体" w:hAnsi="宋体"/>
          <w:color w:val="auto"/>
          <w:sz w:val="24"/>
        </w:rPr>
      </w:pPr>
      <w:r>
        <w:rPr>
          <w:rFonts w:hint="eastAsia" w:ascii="宋体" w:hAnsi="宋体"/>
          <w:color w:val="auto"/>
          <w:sz w:val="24"/>
        </w:rPr>
        <w:t>（4）参与磋商报告的起草；</w:t>
      </w:r>
    </w:p>
    <w:p w14:paraId="3F051C8D">
      <w:pPr>
        <w:spacing w:line="360" w:lineRule="auto"/>
        <w:ind w:firstLine="480"/>
        <w:jc w:val="left"/>
        <w:rPr>
          <w:rFonts w:hint="eastAsia" w:ascii="宋体" w:hAnsi="宋体"/>
          <w:color w:val="auto"/>
          <w:sz w:val="24"/>
        </w:rPr>
      </w:pPr>
      <w:r>
        <w:rPr>
          <w:rFonts w:hint="eastAsia" w:ascii="宋体" w:hAnsi="宋体"/>
          <w:color w:val="auto"/>
          <w:sz w:val="24"/>
        </w:rPr>
        <w:t>（5）解答供应商及有关方面的质疑；</w:t>
      </w:r>
    </w:p>
    <w:p w14:paraId="046B49C9">
      <w:pPr>
        <w:spacing w:line="360" w:lineRule="auto"/>
        <w:ind w:firstLine="480"/>
        <w:jc w:val="left"/>
        <w:rPr>
          <w:rFonts w:hint="eastAsia" w:ascii="宋体" w:hAnsi="宋体"/>
          <w:color w:val="auto"/>
          <w:sz w:val="24"/>
        </w:rPr>
      </w:pPr>
      <w:r>
        <w:rPr>
          <w:rFonts w:hint="eastAsia" w:ascii="宋体" w:hAnsi="宋体"/>
          <w:color w:val="auto"/>
          <w:sz w:val="24"/>
        </w:rPr>
        <w:t>（6）配合监管部门进行投诉处理工作。</w:t>
      </w:r>
    </w:p>
    <w:p w14:paraId="258269A7">
      <w:pPr>
        <w:spacing w:line="360" w:lineRule="auto"/>
        <w:ind w:firstLine="480"/>
        <w:jc w:val="left"/>
        <w:rPr>
          <w:rFonts w:hint="eastAsia" w:ascii="宋体" w:hAnsi="宋体"/>
          <w:color w:val="auto"/>
          <w:sz w:val="24"/>
        </w:rPr>
      </w:pPr>
      <w:r>
        <w:rPr>
          <w:rFonts w:hint="eastAsia" w:ascii="宋体" w:hAnsi="宋体"/>
          <w:color w:val="auto"/>
          <w:sz w:val="24"/>
        </w:rPr>
        <w:t>19.4磋商工作在有关部门的监督和严格保密的情况下依法进行，任何单位和个人不得非法干预、影响磋商工作和磋商结果。</w:t>
      </w:r>
    </w:p>
    <w:p w14:paraId="6BFDC680">
      <w:pPr>
        <w:spacing w:line="360" w:lineRule="auto"/>
        <w:ind w:firstLine="480"/>
        <w:jc w:val="left"/>
        <w:rPr>
          <w:rFonts w:hint="eastAsia" w:ascii="宋体" w:hAnsi="宋体"/>
          <w:color w:val="auto"/>
          <w:sz w:val="24"/>
        </w:rPr>
      </w:pPr>
      <w:r>
        <w:rPr>
          <w:rFonts w:hint="eastAsia" w:ascii="宋体" w:hAnsi="宋体"/>
          <w:color w:val="auto"/>
          <w:sz w:val="24"/>
        </w:rPr>
        <w:t>19.5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30518F1">
      <w:pPr>
        <w:autoSpaceDE w:val="0"/>
        <w:autoSpaceDN w:val="0"/>
        <w:adjustRightInd w:val="0"/>
        <w:spacing w:line="360" w:lineRule="auto"/>
        <w:ind w:firstLine="480"/>
        <w:jc w:val="left"/>
        <w:rPr>
          <w:rFonts w:hint="eastAsia" w:ascii="宋体" w:hAnsi="宋体"/>
          <w:color w:val="auto"/>
          <w:sz w:val="24"/>
        </w:rPr>
      </w:pPr>
      <w:r>
        <w:rPr>
          <w:rFonts w:hint="eastAsia" w:ascii="宋体" w:hAnsi="宋体" w:cs="宋体"/>
          <w:color w:val="auto"/>
          <w:sz w:val="24"/>
        </w:rPr>
        <w:t>19.6 磋商小组发现磋商文件存在歧义、重大缺陷导致评标工作无法进行，或者磋商文件内容违反国家有关强制性规定的，应当停止评标工作，与采购人、采购代理机构沟通并作书面记录。采购人、采购代理机构确认后，应当修改磋商文件，重新组织采购活动。</w:t>
      </w:r>
    </w:p>
    <w:p w14:paraId="2AFBB04C">
      <w:pPr>
        <w:widowControl/>
        <w:spacing w:line="360" w:lineRule="auto"/>
        <w:jc w:val="left"/>
        <w:outlineLvl w:val="2"/>
        <w:rPr>
          <w:rFonts w:hint="eastAsia" w:ascii="宋体" w:hAnsi="宋体"/>
          <w:b/>
          <w:bCs/>
          <w:color w:val="auto"/>
          <w:kern w:val="0"/>
          <w:sz w:val="24"/>
        </w:rPr>
      </w:pPr>
      <w:bookmarkStart w:id="153" w:name="_Toc4333"/>
      <w:bookmarkStart w:id="154" w:name="_Toc28078172"/>
      <w:r>
        <w:rPr>
          <w:rFonts w:hint="eastAsia" w:ascii="宋体" w:hAnsi="宋体"/>
          <w:b/>
          <w:bCs/>
          <w:color w:val="auto"/>
          <w:kern w:val="0"/>
          <w:sz w:val="24"/>
        </w:rPr>
        <w:t>20.磋商工作程序</w:t>
      </w:r>
      <w:bookmarkEnd w:id="153"/>
      <w:bookmarkEnd w:id="154"/>
    </w:p>
    <w:p w14:paraId="2F6BB3E6">
      <w:pPr>
        <w:spacing w:line="360" w:lineRule="auto"/>
        <w:ind w:firstLine="480"/>
        <w:jc w:val="left"/>
        <w:rPr>
          <w:rFonts w:hint="eastAsia" w:ascii="宋体" w:hAnsi="宋体"/>
          <w:color w:val="auto"/>
          <w:sz w:val="24"/>
        </w:rPr>
      </w:pPr>
      <w:r>
        <w:rPr>
          <w:rFonts w:hint="eastAsia" w:ascii="宋体" w:hAnsi="Courier New"/>
          <w:color w:val="auto"/>
          <w:sz w:val="24"/>
        </w:rPr>
        <w:t>20.1</w:t>
      </w:r>
      <w:r>
        <w:rPr>
          <w:rFonts w:hint="eastAsia" w:ascii="宋体" w:hAnsi="宋体"/>
          <w:color w:val="auto"/>
          <w:sz w:val="24"/>
        </w:rPr>
        <w:t>进入磋商阶段后，由磋商小组独立开展评审工作，负责审议所有通过资格条件供应商的磋商响应文件，并对磋商文件进行评审、评分。</w:t>
      </w:r>
    </w:p>
    <w:p w14:paraId="5B69E45E">
      <w:pPr>
        <w:spacing w:line="360" w:lineRule="auto"/>
        <w:ind w:firstLine="241" w:firstLineChars="100"/>
        <w:jc w:val="left"/>
        <w:rPr>
          <w:rFonts w:hint="eastAsia" w:ascii="宋体" w:hAnsi="宋体"/>
          <w:b/>
          <w:bCs/>
          <w:color w:val="auto"/>
          <w:sz w:val="24"/>
        </w:rPr>
      </w:pPr>
      <w:r>
        <w:rPr>
          <w:rFonts w:hint="eastAsia" w:ascii="宋体" w:hAnsi="宋体"/>
          <w:b/>
          <w:bCs/>
          <w:color w:val="auto"/>
          <w:sz w:val="24"/>
        </w:rPr>
        <w:t>20.2符合性审查时，存在下列情况之一的，按无效投标处理：</w:t>
      </w:r>
    </w:p>
    <w:p w14:paraId="448CDEE1">
      <w:pPr>
        <w:spacing w:line="360" w:lineRule="auto"/>
        <w:jc w:val="left"/>
        <w:rPr>
          <w:rFonts w:hint="eastAsia" w:ascii="宋体" w:hAnsi="宋体"/>
          <w:b w:val="0"/>
          <w:bCs w:val="0"/>
          <w:color w:val="auto"/>
          <w:sz w:val="24"/>
        </w:rPr>
      </w:pPr>
      <w:r>
        <w:rPr>
          <w:rFonts w:hint="eastAsia" w:ascii="宋体" w:hAnsi="宋体"/>
          <w:b w:val="0"/>
          <w:bCs w:val="0"/>
          <w:color w:val="auto"/>
          <w:sz w:val="24"/>
        </w:rPr>
        <w:t>（1）</w:t>
      </w:r>
      <w:r>
        <w:rPr>
          <w:rFonts w:hint="eastAsia" w:ascii="宋体" w:hAnsi="宋体"/>
          <w:b w:val="0"/>
          <w:bCs w:val="0"/>
          <w:color w:val="auto"/>
          <w:sz w:val="24"/>
          <w:lang w:val="en-US" w:eastAsia="zh-CN"/>
        </w:rPr>
        <w:t>交货</w:t>
      </w:r>
      <w:r>
        <w:rPr>
          <w:rFonts w:hint="eastAsia" w:ascii="宋体" w:hAnsi="宋体"/>
          <w:b w:val="0"/>
          <w:bCs w:val="0"/>
          <w:color w:val="auto"/>
          <w:sz w:val="24"/>
        </w:rPr>
        <w:t>期</w:t>
      </w:r>
      <w:r>
        <w:rPr>
          <w:rFonts w:hint="eastAsia" w:ascii="宋体" w:hAnsi="宋体"/>
          <w:b w:val="0"/>
          <w:bCs w:val="0"/>
          <w:color w:val="auto"/>
          <w:sz w:val="24"/>
          <w:lang w:eastAsia="zh-CN"/>
        </w:rPr>
        <w:t>、磋商</w:t>
      </w:r>
      <w:r>
        <w:rPr>
          <w:rFonts w:hint="eastAsia" w:ascii="宋体" w:hAnsi="宋体"/>
          <w:b w:val="0"/>
          <w:bCs w:val="0"/>
          <w:color w:val="auto"/>
          <w:sz w:val="24"/>
        </w:rPr>
        <w:t>有效期不能满足磋商文件要求的；</w:t>
      </w:r>
    </w:p>
    <w:p w14:paraId="6961EDD0">
      <w:pPr>
        <w:spacing w:line="360" w:lineRule="auto"/>
        <w:jc w:val="left"/>
        <w:rPr>
          <w:rFonts w:hint="eastAsia" w:ascii="宋体" w:hAnsi="宋体"/>
          <w:b w:val="0"/>
          <w:bCs w:val="0"/>
          <w:color w:val="auto"/>
          <w:sz w:val="24"/>
        </w:rPr>
      </w:pPr>
      <w:r>
        <w:rPr>
          <w:rFonts w:hint="eastAsia" w:ascii="宋体" w:hAnsi="宋体"/>
          <w:b w:val="0"/>
          <w:bCs w:val="0"/>
          <w:color w:val="auto"/>
          <w:sz w:val="24"/>
        </w:rPr>
        <w:t>（2）</w:t>
      </w:r>
      <w:r>
        <w:rPr>
          <w:rFonts w:hint="eastAsia" w:ascii="宋体" w:hAnsi="宋体" w:cs="宋体"/>
          <w:b w:val="0"/>
          <w:bCs w:val="0"/>
          <w:color w:val="auto"/>
          <w:kern w:val="2"/>
          <w:sz w:val="24"/>
          <w:szCs w:val="24"/>
          <w:lang w:val="en-US" w:eastAsia="zh-CN" w:bidi="ar-SA"/>
        </w:rPr>
        <w:t>未</w:t>
      </w:r>
      <w:r>
        <w:rPr>
          <w:rFonts w:hint="eastAsia" w:ascii="宋体" w:hAnsi="宋体" w:cs="宋体"/>
          <w:b w:val="0"/>
          <w:bCs w:val="0"/>
          <w:color w:val="auto"/>
          <w:kern w:val="2"/>
          <w:sz w:val="24"/>
          <w:szCs w:val="24"/>
          <w:lang w:val="zh-CN" w:eastAsia="zh-CN" w:bidi="ar-SA"/>
        </w:rPr>
        <w:t>按第1</w:t>
      </w:r>
      <w:r>
        <w:rPr>
          <w:rFonts w:hint="eastAsia" w:ascii="宋体" w:hAnsi="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zh-CN" w:eastAsia="zh-CN" w:bidi="ar-SA"/>
        </w:rPr>
        <w:t>.</w:t>
      </w:r>
      <w:r>
        <w:rPr>
          <w:rFonts w:hint="eastAsia" w:ascii="宋体" w:hAnsi="宋体" w:cs="宋体"/>
          <w:b w:val="0"/>
          <w:bCs w:val="0"/>
          <w:color w:val="auto"/>
          <w:kern w:val="2"/>
          <w:sz w:val="24"/>
          <w:szCs w:val="24"/>
          <w:lang w:val="en-US" w:eastAsia="zh-CN" w:bidi="ar-SA"/>
        </w:rPr>
        <w:t>2</w:t>
      </w:r>
      <w:r>
        <w:rPr>
          <w:rFonts w:hint="eastAsia" w:ascii="宋体" w:hAnsi="宋体" w:cs="宋体"/>
          <w:b w:val="0"/>
          <w:bCs w:val="0"/>
          <w:color w:val="auto"/>
          <w:kern w:val="2"/>
          <w:sz w:val="24"/>
          <w:szCs w:val="24"/>
          <w:lang w:val="zh-CN" w:eastAsia="zh-CN" w:bidi="ar-SA"/>
        </w:rPr>
        <w:t>款（1</w:t>
      </w:r>
      <w:r>
        <w:rPr>
          <w:rFonts w:hint="eastAsia" w:ascii="宋体" w:hAnsi="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zh-CN" w:eastAsia="zh-CN" w:bidi="ar-SA"/>
        </w:rPr>
        <w:t>）-（</w:t>
      </w:r>
      <w:r>
        <w:rPr>
          <w:rFonts w:hint="eastAsia" w:ascii="宋体" w:hAnsi="宋体" w:cs="宋体"/>
          <w:b w:val="0"/>
          <w:bCs w:val="0"/>
          <w:color w:val="auto"/>
          <w:kern w:val="2"/>
          <w:sz w:val="24"/>
          <w:szCs w:val="24"/>
          <w:lang w:val="en-US" w:eastAsia="zh-CN" w:bidi="ar-SA"/>
        </w:rPr>
        <w:t>15</w:t>
      </w:r>
      <w:r>
        <w:rPr>
          <w:rFonts w:hint="eastAsia" w:ascii="宋体" w:hAnsi="宋体" w:cs="宋体"/>
          <w:b w:val="0"/>
          <w:bCs w:val="0"/>
          <w:color w:val="auto"/>
          <w:kern w:val="2"/>
          <w:sz w:val="24"/>
          <w:szCs w:val="24"/>
          <w:lang w:val="zh-CN" w:eastAsia="zh-CN" w:bidi="ar-SA"/>
        </w:rPr>
        <w:t>）要求提供相关资料的；</w:t>
      </w:r>
    </w:p>
    <w:p w14:paraId="0434FCD7">
      <w:pPr>
        <w:spacing w:line="360" w:lineRule="auto"/>
        <w:jc w:val="left"/>
        <w:rPr>
          <w:rFonts w:hint="eastAsia" w:ascii="宋体" w:hAnsi="宋体"/>
          <w:b w:val="0"/>
          <w:bCs w:val="0"/>
          <w:color w:val="auto"/>
          <w:sz w:val="24"/>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rPr>
        <w:t>磋商</w:t>
      </w:r>
      <w:r>
        <w:rPr>
          <w:sz w:val="24"/>
        </w:rPr>
        <w:t>项目的技术规格、技术标准明显不符合采购项目要求的</w:t>
      </w:r>
      <w:r>
        <w:rPr>
          <w:rFonts w:hint="eastAsia" w:ascii="宋体" w:hAnsi="宋体"/>
          <w:b w:val="0"/>
          <w:bCs w:val="0"/>
          <w:color w:val="auto"/>
          <w:sz w:val="24"/>
        </w:rPr>
        <w:t>；</w:t>
      </w:r>
    </w:p>
    <w:p w14:paraId="28FB8426">
      <w:pPr>
        <w:spacing w:line="360" w:lineRule="auto"/>
        <w:jc w:val="left"/>
        <w:rPr>
          <w:rFonts w:hint="eastAsia" w:ascii="宋体" w:hAnsi="宋体"/>
          <w:b w:val="0"/>
          <w:bCs w:val="0"/>
          <w:color w:val="auto"/>
          <w:sz w:val="24"/>
        </w:rPr>
      </w:pPr>
      <w:r>
        <w:rPr>
          <w:rFonts w:hint="eastAsia" w:ascii="宋体" w:hAnsi="宋体"/>
          <w:b w:val="0"/>
          <w:bCs w:val="0"/>
          <w:color w:val="auto"/>
          <w:sz w:val="24"/>
        </w:rPr>
        <w:t>（</w:t>
      </w:r>
      <w:r>
        <w:rPr>
          <w:rFonts w:hint="eastAsia" w:ascii="宋体" w:hAnsi="宋体"/>
          <w:b w:val="0"/>
          <w:bCs w:val="0"/>
          <w:color w:val="auto"/>
          <w:sz w:val="24"/>
          <w:lang w:val="en-US" w:eastAsia="zh-CN"/>
        </w:rPr>
        <w:t>4</w:t>
      </w:r>
      <w:r>
        <w:rPr>
          <w:rFonts w:hint="eastAsia" w:ascii="宋体" w:hAnsi="宋体"/>
          <w:b w:val="0"/>
          <w:bCs w:val="0"/>
          <w:color w:val="auto"/>
          <w:sz w:val="24"/>
        </w:rPr>
        <w:t>）供应商网上最后磋商报价出现两个或两个以上报价方案的；</w:t>
      </w:r>
    </w:p>
    <w:p w14:paraId="7B6F4C97">
      <w:pPr>
        <w:keepNext w:val="0"/>
        <w:keepLines w:val="0"/>
        <w:pageBreakBefore w:val="0"/>
        <w:kinsoku/>
        <w:wordWrap/>
        <w:overflowPunct/>
        <w:topLinePunct w:val="0"/>
        <w:bidi w:val="0"/>
        <w:snapToGrid/>
        <w:spacing w:beforeAutospacing="0" w:afterAutospacing="0" w:line="36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磋商</w:t>
      </w:r>
      <w:r>
        <w:rPr>
          <w:rFonts w:hint="eastAsia" w:ascii="宋体" w:hAnsi="宋体" w:eastAsia="宋体" w:cs="宋体"/>
          <w:b w:val="0"/>
          <w:bCs w:val="0"/>
          <w:color w:val="auto"/>
          <w:sz w:val="24"/>
          <w:szCs w:val="24"/>
        </w:rPr>
        <w:t>报价超过磋商文件规定的采购预算额度</w:t>
      </w:r>
      <w:r>
        <w:rPr>
          <w:rFonts w:hint="eastAsia" w:ascii="宋体" w:hAnsi="宋体" w:eastAsia="宋体" w:cs="宋体"/>
          <w:b w:val="0"/>
          <w:bCs w:val="0"/>
          <w:color w:val="auto"/>
          <w:sz w:val="24"/>
          <w:szCs w:val="24"/>
          <w:lang w:val="en-US" w:eastAsia="zh-CN"/>
        </w:rPr>
        <w:t>或最高投标限价或存在20.3的情形的</w:t>
      </w:r>
      <w:r>
        <w:rPr>
          <w:rFonts w:hint="eastAsia" w:ascii="宋体" w:hAnsi="宋体" w:eastAsia="宋体" w:cs="宋体"/>
          <w:b w:val="0"/>
          <w:bCs w:val="0"/>
          <w:color w:val="auto"/>
          <w:sz w:val="24"/>
          <w:szCs w:val="24"/>
        </w:rPr>
        <w:t>；</w:t>
      </w:r>
    </w:p>
    <w:p w14:paraId="562949D0">
      <w:pPr>
        <w:spacing w:line="360" w:lineRule="auto"/>
        <w:jc w:val="left"/>
        <w:rPr>
          <w:rFonts w:hint="eastAsia" w:ascii="宋体" w:hAnsi="宋体"/>
          <w:b w:val="0"/>
          <w:bCs w:val="0"/>
          <w:color w:val="auto"/>
          <w:sz w:val="24"/>
        </w:rPr>
      </w:pPr>
      <w:r>
        <w:rPr>
          <w:rFonts w:hint="eastAsia" w:ascii="宋体" w:hAnsi="宋体"/>
          <w:b w:val="0"/>
          <w:bCs w:val="0"/>
          <w:color w:val="auto"/>
          <w:sz w:val="24"/>
        </w:rPr>
        <w:t>（</w:t>
      </w:r>
      <w:r>
        <w:rPr>
          <w:rFonts w:hint="eastAsia" w:ascii="宋体" w:hAnsi="宋体"/>
          <w:b w:val="0"/>
          <w:bCs w:val="0"/>
          <w:color w:val="auto"/>
          <w:sz w:val="24"/>
          <w:lang w:val="en-US" w:eastAsia="zh-CN"/>
        </w:rPr>
        <w:t>6</w:t>
      </w:r>
      <w:r>
        <w:rPr>
          <w:rFonts w:hint="eastAsia" w:ascii="宋体" w:hAnsi="宋体"/>
          <w:b w:val="0"/>
          <w:bCs w:val="0"/>
          <w:color w:val="auto"/>
          <w:sz w:val="24"/>
        </w:rPr>
        <w:t>）磋商响应文件含有采购人不能接受的附加条件的；</w:t>
      </w:r>
    </w:p>
    <w:p w14:paraId="03DC56B0">
      <w:pPr>
        <w:spacing w:line="360" w:lineRule="auto"/>
        <w:jc w:val="left"/>
        <w:rPr>
          <w:rFonts w:hint="eastAsia" w:ascii="宋体" w:hAnsi="宋体"/>
          <w:b w:val="0"/>
          <w:bCs w:val="0"/>
          <w:color w:val="auto"/>
          <w:sz w:val="24"/>
        </w:rPr>
      </w:pPr>
      <w:r>
        <w:rPr>
          <w:rFonts w:hint="eastAsia" w:ascii="宋体" w:hAnsi="宋体"/>
          <w:b w:val="0"/>
          <w:bCs w:val="0"/>
          <w:color w:val="auto"/>
          <w:sz w:val="24"/>
        </w:rPr>
        <w:t>（</w:t>
      </w:r>
      <w:r>
        <w:rPr>
          <w:rFonts w:hint="eastAsia" w:ascii="宋体" w:hAnsi="宋体"/>
          <w:b w:val="0"/>
          <w:bCs w:val="0"/>
          <w:color w:val="auto"/>
          <w:sz w:val="24"/>
          <w:lang w:val="en-US" w:eastAsia="zh-CN"/>
        </w:rPr>
        <w:t>7</w:t>
      </w:r>
      <w:r>
        <w:rPr>
          <w:rFonts w:hint="eastAsia" w:ascii="宋体" w:hAnsi="宋体"/>
          <w:b w:val="0"/>
          <w:bCs w:val="0"/>
          <w:color w:val="auto"/>
          <w:sz w:val="24"/>
        </w:rPr>
        <w:t>）磋商小组认为应按无效投标处理的其他情况；</w:t>
      </w:r>
    </w:p>
    <w:p w14:paraId="57BE433A">
      <w:pPr>
        <w:spacing w:line="360" w:lineRule="auto"/>
        <w:jc w:val="left"/>
        <w:rPr>
          <w:rFonts w:hint="eastAsia" w:ascii="宋体" w:hAnsi="宋体"/>
          <w:b w:val="0"/>
          <w:bCs w:val="0"/>
          <w:color w:val="auto"/>
          <w:sz w:val="24"/>
        </w:rPr>
      </w:pPr>
      <w:r>
        <w:rPr>
          <w:rFonts w:hint="eastAsia" w:ascii="宋体" w:hAnsi="宋体"/>
          <w:b w:val="0"/>
          <w:bCs w:val="0"/>
          <w:color w:val="auto"/>
          <w:sz w:val="24"/>
        </w:rPr>
        <w:t>（</w:t>
      </w:r>
      <w:r>
        <w:rPr>
          <w:rFonts w:hint="eastAsia" w:ascii="宋体" w:hAnsi="宋体"/>
          <w:b w:val="0"/>
          <w:bCs w:val="0"/>
          <w:color w:val="auto"/>
          <w:sz w:val="24"/>
          <w:lang w:val="en-US" w:eastAsia="zh-CN"/>
        </w:rPr>
        <w:t>8</w:t>
      </w:r>
      <w:r>
        <w:rPr>
          <w:rFonts w:hint="eastAsia" w:ascii="宋体" w:hAnsi="宋体"/>
          <w:b w:val="0"/>
          <w:bCs w:val="0"/>
          <w:color w:val="auto"/>
          <w:sz w:val="24"/>
        </w:rPr>
        <w:t>）法律、法规规定的其他情形。</w:t>
      </w:r>
    </w:p>
    <w:p w14:paraId="775ED78E">
      <w:pPr>
        <w:spacing w:line="360" w:lineRule="auto"/>
        <w:ind w:firstLine="480"/>
        <w:jc w:val="left"/>
        <w:rPr>
          <w:rFonts w:hint="eastAsia" w:ascii="宋体" w:hAnsi="宋体"/>
          <w:color w:val="auto"/>
          <w:sz w:val="24"/>
        </w:rPr>
      </w:pPr>
      <w:r>
        <w:rPr>
          <w:rFonts w:hint="eastAsia" w:ascii="宋体" w:hAnsi="宋体"/>
          <w:color w:val="auto"/>
          <w:sz w:val="24"/>
        </w:rPr>
        <w:t>20.3 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投标处理。</w:t>
      </w:r>
    </w:p>
    <w:p w14:paraId="5FEF1360">
      <w:pPr>
        <w:spacing w:line="360" w:lineRule="auto"/>
        <w:ind w:firstLine="480"/>
        <w:jc w:val="left"/>
        <w:rPr>
          <w:rFonts w:hint="eastAsia" w:ascii="宋体" w:hAnsi="宋体"/>
          <w:color w:val="auto"/>
          <w:sz w:val="24"/>
        </w:rPr>
      </w:pPr>
      <w:r>
        <w:rPr>
          <w:rFonts w:hint="eastAsia" w:ascii="宋体" w:hAnsi="宋体"/>
          <w:color w:val="auto"/>
          <w:sz w:val="24"/>
        </w:rPr>
        <w:t xml:space="preserve">20.4 </w:t>
      </w:r>
      <w:r>
        <w:rPr>
          <w:rFonts w:hint="eastAsia" w:ascii="宋体" w:hAnsi="宋体" w:cs="宋体"/>
          <w:color w:val="auto"/>
          <w:sz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通知所有参加磋商的供应商，并在</w:t>
      </w:r>
      <w:r>
        <w:rPr>
          <w:rFonts w:hint="eastAsia" w:ascii="宋体" w:hAnsi="宋体" w:cs="宋体"/>
          <w:color w:val="auto"/>
          <w:sz w:val="24"/>
          <w:lang w:eastAsia="zh-CN"/>
        </w:rPr>
        <w:t>政采云平台（https://www.zcygov.cn/）</w:t>
      </w:r>
      <w:r>
        <w:rPr>
          <w:rFonts w:hint="eastAsia" w:ascii="宋体" w:hAnsi="宋体" w:cs="宋体"/>
          <w:color w:val="auto"/>
          <w:sz w:val="24"/>
        </w:rPr>
        <w:t>以“评审问题澄清函”形式发布。供应商应当按照磋商文件的变动情况和磋商小组的要求在</w:t>
      </w:r>
      <w:r>
        <w:rPr>
          <w:rFonts w:hint="eastAsia" w:ascii="宋体" w:hAnsi="宋体" w:cs="宋体"/>
          <w:color w:val="auto"/>
          <w:sz w:val="24"/>
          <w:lang w:eastAsia="zh-CN"/>
        </w:rPr>
        <w:t>政采云平台（https://www.zcygov.cn/）</w:t>
      </w:r>
      <w:r>
        <w:rPr>
          <w:rFonts w:hint="eastAsia" w:ascii="宋体" w:hAnsi="宋体" w:cs="宋体"/>
          <w:color w:val="auto"/>
          <w:sz w:val="24"/>
        </w:rPr>
        <w:t xml:space="preserve">上按规定时间作出响应。                                                                                                                                                                                                                                                                                                                                                                                                                                                                                                                                                                                                                                                                                                                                                                                                                                                                                                                                                                                                                                                                                                                                                                                                                                                                                                                                                                                                                                                                                                                                                                                                                                                                                                                                                                                                                                                                                                                                                                                                                                                                                                                                                                                                                                                                                                                                                                                                                                                                                                                                                                                                                                                                                                                                                                                                                                                                                                                                                                                                                                                                                                                                                                                                                                                                                                                                                                                                                                                                                                                                                                                                                                                                                                                                                                                                                                                                                                                                                                                                                                                                                                                                                                                                     </w:t>
      </w:r>
      <w:r>
        <w:rPr>
          <w:rFonts w:hint="eastAsia" w:ascii="宋体" w:hAnsi="宋体" w:cs="宋体"/>
          <w:color w:val="auto"/>
          <w:sz w:val="24"/>
        </w:rPr>
        <w:t xml:space="preserve">                                                                                                                                                                                                                                                                                                                                                                                                                                                                                                                                                                                                                                                                                                                                                                                                                                                                                                                                                                                                                                                                                                                                                                                                                                                                                                                                                                                                                                                                                                                                                                                                                                                                                                                                                                                                                                                                                                                                                                                                                                                                                                                                                                                                                                                                                                                                                                                                                                                                        </w:t>
      </w:r>
    </w:p>
    <w:p w14:paraId="0AB3360A">
      <w:pPr>
        <w:widowControl/>
        <w:spacing w:line="360" w:lineRule="auto"/>
        <w:jc w:val="left"/>
        <w:outlineLvl w:val="2"/>
        <w:rPr>
          <w:rFonts w:hint="eastAsia" w:ascii="宋体" w:hAnsi="宋体"/>
          <w:b/>
          <w:bCs/>
          <w:color w:val="auto"/>
          <w:kern w:val="0"/>
          <w:sz w:val="24"/>
        </w:rPr>
      </w:pPr>
      <w:bookmarkStart w:id="155" w:name="_Toc496004012"/>
      <w:bookmarkStart w:id="156" w:name="_Toc28078173"/>
      <w:bookmarkStart w:id="157" w:name="_Toc26628"/>
      <w:r>
        <w:rPr>
          <w:rFonts w:hint="eastAsia" w:ascii="宋体" w:hAnsi="宋体"/>
          <w:b/>
          <w:bCs/>
          <w:color w:val="auto"/>
          <w:kern w:val="0"/>
          <w:sz w:val="24"/>
        </w:rPr>
        <w:t>21.答疑的方式和情形</w:t>
      </w:r>
      <w:bookmarkEnd w:id="155"/>
      <w:bookmarkEnd w:id="156"/>
      <w:bookmarkEnd w:id="157"/>
    </w:p>
    <w:p w14:paraId="410B870E">
      <w:pPr>
        <w:spacing w:line="360" w:lineRule="auto"/>
        <w:ind w:firstLine="480"/>
        <w:jc w:val="left"/>
        <w:rPr>
          <w:rFonts w:hint="eastAsia" w:ascii="宋体" w:hAnsi="宋体"/>
          <w:color w:val="auto"/>
          <w:sz w:val="24"/>
        </w:rPr>
      </w:pPr>
      <w:r>
        <w:rPr>
          <w:rFonts w:hint="eastAsia" w:ascii="宋体" w:hAnsi="宋体"/>
          <w:color w:val="auto"/>
          <w:sz w:val="24"/>
        </w:rPr>
        <w:t>21.1答疑方式：详见第一部分投标人须知前附表“答疑方式”。</w:t>
      </w:r>
    </w:p>
    <w:p w14:paraId="02320313">
      <w:pPr>
        <w:spacing w:line="360" w:lineRule="auto"/>
        <w:ind w:firstLine="480"/>
        <w:jc w:val="left"/>
        <w:rPr>
          <w:rFonts w:hint="eastAsia" w:ascii="宋体" w:hAnsi="宋体"/>
          <w:color w:val="auto"/>
          <w:sz w:val="24"/>
        </w:rPr>
      </w:pPr>
      <w:r>
        <w:rPr>
          <w:rFonts w:hint="eastAsia" w:ascii="宋体" w:hAnsi="宋体"/>
          <w:color w:val="auto"/>
          <w:sz w:val="24"/>
        </w:rPr>
        <w:t>21.2 磋商小组在对磋商响应文件的有效性、完整性和响应程度进行审查时，可以要求供应商对响应文件中含义不明确、同类问题表述不一致</w:t>
      </w:r>
      <w:r>
        <w:rPr>
          <w:color w:val="auto"/>
          <w:sz w:val="24"/>
        </w:rPr>
        <w:t>、大写金额与小写金额不一致、总价金额与单价汇总金额不一致</w:t>
      </w:r>
      <w:r>
        <w:rPr>
          <w:rFonts w:hint="eastAsia" w:ascii="宋体" w:hAnsi="宋体"/>
          <w:color w:val="auto"/>
          <w:sz w:val="24"/>
        </w:rPr>
        <w:t>或者有明显文字和计算错误的内容等作出必要的澄清、说明或者更正。供应商的澄清、说明或者更正不得超出磋商响应文件的范围或者改变响应文件的实质性内容，并作为磋商响应文件的组成部分。</w:t>
      </w:r>
    </w:p>
    <w:p w14:paraId="30128D3E">
      <w:pPr>
        <w:spacing w:line="360" w:lineRule="auto"/>
        <w:ind w:firstLine="480"/>
        <w:jc w:val="left"/>
        <w:rPr>
          <w:rFonts w:hint="eastAsia" w:ascii="宋体" w:hAnsi="宋体"/>
          <w:color w:val="auto"/>
          <w:sz w:val="24"/>
        </w:rPr>
      </w:pPr>
      <w:r>
        <w:rPr>
          <w:rFonts w:hint="eastAsia" w:ascii="宋体" w:hAnsi="宋体"/>
          <w:color w:val="auto"/>
          <w:sz w:val="24"/>
        </w:rPr>
        <w:t>21.3 答疑期间，供应商存在以下情况的，澄清、说明或者更正的内容将不予接受，磋商小组将按照磋商文件的要求对现有的资料做出评审意见：</w:t>
      </w:r>
    </w:p>
    <w:p w14:paraId="0EEE1525">
      <w:pPr>
        <w:spacing w:line="360" w:lineRule="auto"/>
        <w:ind w:firstLine="480"/>
        <w:jc w:val="left"/>
        <w:rPr>
          <w:rFonts w:hint="eastAsia" w:ascii="宋体" w:hAnsi="宋体"/>
          <w:color w:val="auto"/>
          <w:sz w:val="24"/>
        </w:rPr>
      </w:pPr>
      <w:r>
        <w:rPr>
          <w:rFonts w:hint="eastAsia" w:ascii="宋体" w:hAnsi="宋体"/>
          <w:color w:val="auto"/>
          <w:sz w:val="24"/>
        </w:rPr>
        <w:t>（1）拒绝或在规定的时间内未做出澄清、说明或者更正；</w:t>
      </w:r>
    </w:p>
    <w:p w14:paraId="616E7C8D">
      <w:pPr>
        <w:spacing w:line="360" w:lineRule="auto"/>
        <w:ind w:firstLine="480"/>
        <w:jc w:val="left"/>
        <w:rPr>
          <w:rFonts w:hint="eastAsia" w:ascii="宋体" w:hAnsi="宋体"/>
          <w:color w:val="auto"/>
          <w:sz w:val="24"/>
        </w:rPr>
      </w:pPr>
      <w:r>
        <w:rPr>
          <w:rFonts w:hint="eastAsia" w:ascii="宋体" w:hAnsi="宋体"/>
          <w:color w:val="auto"/>
          <w:sz w:val="24"/>
        </w:rPr>
        <w:t>（2）</w:t>
      </w:r>
      <w:r>
        <w:rPr>
          <w:rFonts w:hint="eastAsia" w:ascii="Arial" w:hAnsi="Arial" w:cs="Arial"/>
          <w:color w:val="auto"/>
          <w:kern w:val="0"/>
          <w:sz w:val="24"/>
        </w:rPr>
        <w:t>供应商</w:t>
      </w:r>
      <w:r>
        <w:rPr>
          <w:rFonts w:ascii="Arial" w:hAnsi="Arial" w:cs="Arial"/>
          <w:color w:val="auto"/>
          <w:kern w:val="0"/>
          <w:sz w:val="24"/>
        </w:rPr>
        <w:t>的澄清、说明或者</w:t>
      </w:r>
      <w:r>
        <w:rPr>
          <w:rFonts w:hint="eastAsia" w:ascii="Arial" w:hAnsi="Arial" w:cs="Arial"/>
          <w:color w:val="auto"/>
          <w:kern w:val="0"/>
          <w:sz w:val="24"/>
        </w:rPr>
        <w:t>更正</w:t>
      </w:r>
      <w:r>
        <w:rPr>
          <w:rFonts w:hint="eastAsia" w:ascii="宋体" w:hAnsi="宋体"/>
          <w:color w:val="auto"/>
          <w:sz w:val="24"/>
        </w:rPr>
        <w:t>超出磋商响应文件的范围或者改变磋商响应文件的实质性内容；</w:t>
      </w:r>
    </w:p>
    <w:p w14:paraId="1020133D">
      <w:pPr>
        <w:spacing w:line="360" w:lineRule="auto"/>
        <w:ind w:firstLine="480"/>
        <w:jc w:val="left"/>
        <w:rPr>
          <w:rFonts w:hint="eastAsia" w:ascii="宋体" w:hAnsi="宋体"/>
          <w:color w:val="auto"/>
          <w:sz w:val="24"/>
        </w:rPr>
      </w:pPr>
      <w:r>
        <w:rPr>
          <w:rFonts w:hint="eastAsia" w:ascii="宋体" w:hAnsi="宋体"/>
          <w:color w:val="auto"/>
          <w:sz w:val="24"/>
        </w:rPr>
        <w:t>（3）澄清、说明或者更正的内容仍不能说明问题的；</w:t>
      </w:r>
    </w:p>
    <w:p w14:paraId="13025296">
      <w:pPr>
        <w:spacing w:line="360" w:lineRule="auto"/>
        <w:ind w:firstLine="480"/>
        <w:jc w:val="left"/>
        <w:rPr>
          <w:rFonts w:hint="eastAsia" w:ascii="宋体" w:hAnsi="宋体"/>
          <w:color w:val="auto"/>
          <w:sz w:val="24"/>
        </w:rPr>
      </w:pPr>
      <w:r>
        <w:rPr>
          <w:rFonts w:hint="eastAsia" w:ascii="宋体" w:hAnsi="宋体"/>
          <w:color w:val="auto"/>
          <w:sz w:val="24"/>
        </w:rPr>
        <w:t>（4）供应商</w:t>
      </w:r>
      <w:r>
        <w:rPr>
          <w:rFonts w:ascii="宋体" w:hAnsi="宋体"/>
          <w:color w:val="auto"/>
          <w:sz w:val="24"/>
        </w:rPr>
        <w:t>主动提出的</w:t>
      </w:r>
      <w:r>
        <w:rPr>
          <w:rFonts w:hint="eastAsia" w:ascii="宋体" w:hAnsi="宋体"/>
          <w:color w:val="auto"/>
          <w:sz w:val="24"/>
        </w:rPr>
        <w:t>澄清、说明或者更正的内容；</w:t>
      </w:r>
    </w:p>
    <w:p w14:paraId="0EB86D00">
      <w:pPr>
        <w:tabs>
          <w:tab w:val="left" w:pos="8787"/>
        </w:tabs>
        <w:spacing w:line="360" w:lineRule="auto"/>
        <w:ind w:firstLine="480"/>
        <w:jc w:val="left"/>
        <w:rPr>
          <w:rFonts w:hint="eastAsia" w:ascii="宋体" w:hAnsi="宋体"/>
          <w:color w:val="auto"/>
          <w:sz w:val="24"/>
        </w:rPr>
      </w:pPr>
      <w:r>
        <w:rPr>
          <w:rFonts w:hint="eastAsia" w:ascii="宋体" w:hAnsi="宋体"/>
          <w:color w:val="auto"/>
          <w:sz w:val="24"/>
        </w:rPr>
        <w:t>（5）磋商小组认为应不予接受的其他情况</w:t>
      </w:r>
    </w:p>
    <w:bookmarkEnd w:id="144"/>
    <w:bookmarkEnd w:id="145"/>
    <w:bookmarkEnd w:id="146"/>
    <w:bookmarkEnd w:id="147"/>
    <w:bookmarkEnd w:id="148"/>
    <w:p w14:paraId="72E6FAD0">
      <w:pPr>
        <w:keepNext w:val="0"/>
        <w:keepLines w:val="0"/>
        <w:pageBreakBefore w:val="0"/>
        <w:kinsoku/>
        <w:wordWrap/>
        <w:overflowPunct/>
        <w:topLinePunct w:val="0"/>
        <w:bidi w:val="0"/>
        <w:snapToGrid/>
        <w:spacing w:beforeAutospacing="0" w:afterAutospacing="0" w:line="360" w:lineRule="auto"/>
        <w:ind w:firstLine="480"/>
        <w:textAlignment w:val="auto"/>
        <w:rPr>
          <w:rFonts w:hint="default" w:ascii="宋体" w:hAnsi="宋体"/>
          <w:color w:val="auto"/>
          <w:sz w:val="24"/>
          <w:szCs w:val="24"/>
          <w:lang w:val="en-US"/>
        </w:rPr>
      </w:pPr>
      <w:bookmarkStart w:id="158" w:name="_Toc7083446"/>
      <w:r>
        <w:rPr>
          <w:rFonts w:hint="eastAsia" w:ascii="宋体" w:hAnsi="宋体"/>
          <w:color w:val="auto"/>
          <w:sz w:val="24"/>
          <w:szCs w:val="24"/>
          <w:lang w:val="en-US" w:eastAsia="zh-CN"/>
        </w:rPr>
        <w:t>21</w:t>
      </w:r>
      <w:r>
        <w:rPr>
          <w:rFonts w:hint="eastAsia" w:ascii="宋体" w:hAnsi="宋体"/>
          <w:color w:val="auto"/>
          <w:sz w:val="24"/>
          <w:szCs w:val="24"/>
        </w:rPr>
        <w:t>.4答疑结束后，磋商小组确定满足相关规定数量的合格供应商，在</w:t>
      </w:r>
      <w:r>
        <w:rPr>
          <w:rFonts w:hint="eastAsia" w:ascii="宋体" w:hAnsi="宋体"/>
          <w:color w:val="auto"/>
          <w:sz w:val="24"/>
          <w:szCs w:val="24"/>
          <w:lang w:eastAsia="zh-CN"/>
        </w:rPr>
        <w:t>政采云平台（https://www.zcygov.cn/）</w:t>
      </w:r>
      <w:r>
        <w:rPr>
          <w:rFonts w:hint="eastAsia" w:ascii="宋体" w:hAnsi="宋体"/>
          <w:color w:val="auto"/>
          <w:sz w:val="24"/>
          <w:szCs w:val="24"/>
        </w:rPr>
        <w:t>上按规定的时间</w:t>
      </w:r>
      <w:r>
        <w:rPr>
          <w:rFonts w:hint="eastAsia" w:ascii="宋体" w:hAnsi="宋体"/>
          <w:color w:val="auto"/>
          <w:sz w:val="24"/>
          <w:szCs w:val="24"/>
          <w:lang w:eastAsia="zh-CN"/>
        </w:rPr>
        <w:t>（</w:t>
      </w:r>
      <w:r>
        <w:rPr>
          <w:rFonts w:hint="eastAsia" w:ascii="宋体" w:hAnsi="宋体"/>
          <w:color w:val="auto"/>
          <w:sz w:val="24"/>
          <w:szCs w:val="24"/>
          <w:lang w:val="en-US" w:eastAsia="zh-CN"/>
        </w:rPr>
        <w:t>30分钟</w:t>
      </w:r>
      <w:r>
        <w:rPr>
          <w:rFonts w:hint="eastAsia" w:ascii="宋体" w:hAnsi="宋体"/>
          <w:color w:val="auto"/>
          <w:sz w:val="24"/>
          <w:szCs w:val="24"/>
          <w:lang w:eastAsia="zh-CN"/>
        </w:rPr>
        <w:t>）</w:t>
      </w:r>
      <w:r>
        <w:rPr>
          <w:rFonts w:hint="eastAsia" w:ascii="宋体" w:hAnsi="宋体"/>
          <w:color w:val="auto"/>
          <w:sz w:val="24"/>
          <w:szCs w:val="24"/>
        </w:rPr>
        <w:t>填写最后报价。如果在规定的时间内</w:t>
      </w:r>
      <w:r>
        <w:rPr>
          <w:rFonts w:hint="eastAsia" w:ascii="宋体" w:hAnsi="宋体"/>
          <w:color w:val="auto"/>
          <w:sz w:val="24"/>
          <w:szCs w:val="24"/>
          <w:lang w:eastAsia="zh-CN"/>
        </w:rPr>
        <w:t>未提交的视为放弃最终报价</w:t>
      </w:r>
      <w:bookmarkEnd w:id="158"/>
      <w:r>
        <w:rPr>
          <w:rFonts w:hint="eastAsia" w:ascii="宋体" w:hAnsi="宋体"/>
          <w:color w:val="auto"/>
          <w:sz w:val="24"/>
          <w:szCs w:val="24"/>
          <w:lang w:val="en-US" w:eastAsia="zh-CN"/>
        </w:rPr>
        <w:t>,系统将不再对其进行最终评审。</w:t>
      </w:r>
    </w:p>
    <w:p w14:paraId="59BB3141">
      <w:pPr>
        <w:widowControl/>
        <w:spacing w:line="360" w:lineRule="auto"/>
        <w:ind w:firstLine="480" w:firstLineChars="200"/>
        <w:jc w:val="left"/>
        <w:outlineLvl w:val="2"/>
        <w:rPr>
          <w:rFonts w:hint="eastAsia" w:ascii="宋体" w:hAnsi="宋体"/>
          <w:color w:val="auto"/>
          <w:kern w:val="2"/>
          <w:sz w:val="24"/>
          <w:szCs w:val="24"/>
          <w:highlight w:val="yellow"/>
          <w:lang w:val="en-US" w:eastAsia="zh-CN" w:bidi="ar-SA"/>
        </w:rPr>
      </w:pPr>
      <w:bookmarkStart w:id="159" w:name="_Toc13959"/>
      <w:r>
        <w:rPr>
          <w:rFonts w:hint="eastAsia" w:ascii="宋体" w:hAnsi="宋体"/>
          <w:color w:val="auto"/>
          <w:kern w:val="2"/>
          <w:sz w:val="24"/>
          <w:szCs w:val="24"/>
          <w:highlight w:val="none"/>
          <w:lang w:val="en-US" w:eastAsia="zh-CN" w:bidi="ar-SA"/>
        </w:rPr>
        <w:t>21.5最终报价结束后，由代理机构在政采云平台（https://www.zcygov.cn/）上开启报价签字，各供应商签字完毕后方可退出政采云平台（https://www.zcygov.cn/）。</w:t>
      </w:r>
      <w:bookmarkEnd w:id="159"/>
    </w:p>
    <w:p w14:paraId="7E4F0219">
      <w:pPr>
        <w:widowControl/>
        <w:spacing w:line="360" w:lineRule="auto"/>
        <w:jc w:val="left"/>
        <w:outlineLvl w:val="2"/>
      </w:pPr>
      <w:bookmarkStart w:id="160" w:name="_Toc31256"/>
      <w:r>
        <w:rPr>
          <w:rFonts w:hint="eastAsia" w:ascii="宋体" w:hAnsi="宋体"/>
          <w:b/>
          <w:bCs/>
          <w:color w:val="auto"/>
          <w:kern w:val="0"/>
          <w:sz w:val="24"/>
        </w:rPr>
        <w:t>22.评审办法</w:t>
      </w:r>
      <w:bookmarkEnd w:id="160"/>
    </w:p>
    <w:p w14:paraId="106BBFD9">
      <w:pPr>
        <w:spacing w:line="360" w:lineRule="auto"/>
        <w:ind w:firstLine="480"/>
        <w:rPr>
          <w:rFonts w:ascii="宋体" w:hAnsi="宋体" w:cs="宋体"/>
          <w:color w:val="000000"/>
          <w:sz w:val="24"/>
          <w:szCs w:val="24"/>
          <w:lang w:val="zh-CN"/>
        </w:rPr>
      </w:pPr>
      <w:r>
        <w:rPr>
          <w:rFonts w:hint="eastAsia" w:ascii="宋体" w:hAnsi="宋体"/>
          <w:color w:val="auto"/>
          <w:sz w:val="24"/>
        </w:rPr>
        <w:t>22.1</w:t>
      </w:r>
      <w:r>
        <w:rPr>
          <w:rFonts w:hint="eastAsia" w:ascii="宋体" w:hAnsi="宋体"/>
          <w:color w:val="000000"/>
          <w:kern w:val="2"/>
          <w:sz w:val="24"/>
          <w:szCs w:val="24"/>
          <w:lang w:val="zh-CN"/>
        </w:rPr>
        <w:t>本次综合评分的主要因素是：投标报价、</w:t>
      </w:r>
      <w:r>
        <w:rPr>
          <w:rFonts w:hint="eastAsia" w:ascii="宋体" w:hAnsi="宋体"/>
          <w:color w:val="000000"/>
          <w:kern w:val="2"/>
          <w:sz w:val="24"/>
          <w:szCs w:val="24"/>
          <w:lang w:val="en-US" w:eastAsia="zh-CN"/>
        </w:rPr>
        <w:t>技术水平</w:t>
      </w:r>
      <w:r>
        <w:rPr>
          <w:rFonts w:hint="eastAsia" w:ascii="宋体" w:hAnsi="宋体"/>
          <w:color w:val="000000"/>
          <w:kern w:val="2"/>
          <w:sz w:val="24"/>
          <w:szCs w:val="24"/>
          <w:lang w:val="zh-CN"/>
        </w:rPr>
        <w:t>、</w:t>
      </w:r>
      <w:r>
        <w:rPr>
          <w:rFonts w:hint="eastAsia" w:ascii="宋体" w:hAnsi="宋体"/>
          <w:color w:val="000000"/>
          <w:kern w:val="2"/>
          <w:sz w:val="24"/>
          <w:szCs w:val="24"/>
          <w:lang w:val="en-US" w:eastAsia="zh-CN"/>
        </w:rPr>
        <w:t>履约能力</w:t>
      </w:r>
      <w:r>
        <w:rPr>
          <w:rFonts w:hint="eastAsia" w:ascii="宋体" w:hAnsi="宋体"/>
          <w:color w:val="000000"/>
          <w:kern w:val="2"/>
          <w:sz w:val="24"/>
          <w:szCs w:val="24"/>
          <w:lang w:val="zh-CN"/>
        </w:rPr>
        <w:t>、</w:t>
      </w:r>
      <w:r>
        <w:rPr>
          <w:rFonts w:hint="eastAsia" w:ascii="宋体" w:hAnsi="宋体"/>
          <w:color w:val="000000"/>
          <w:kern w:val="2"/>
          <w:sz w:val="24"/>
          <w:szCs w:val="24"/>
          <w:lang w:val="en-US" w:eastAsia="zh-CN"/>
        </w:rPr>
        <w:t>售后服务</w:t>
      </w:r>
      <w:r>
        <w:rPr>
          <w:rFonts w:hint="eastAsia" w:ascii="宋体" w:hAnsi="宋体"/>
          <w:color w:val="000000"/>
          <w:kern w:val="2"/>
          <w:sz w:val="24"/>
          <w:szCs w:val="24"/>
          <w:lang w:val="zh-CN"/>
        </w:rPr>
        <w:t>。</w:t>
      </w:r>
    </w:p>
    <w:p w14:paraId="5FF9B3CB">
      <w:pPr>
        <w:spacing w:line="360" w:lineRule="auto"/>
        <w:ind w:firstLine="480"/>
        <w:rPr>
          <w:rFonts w:ascii="宋体" w:hAnsi="宋体" w:cs="宋体"/>
          <w:color w:val="000000"/>
          <w:sz w:val="24"/>
          <w:szCs w:val="24"/>
          <w:lang w:val="zh-CN"/>
        </w:rPr>
      </w:pPr>
      <w:r>
        <w:rPr>
          <w:rFonts w:hint="eastAsia" w:ascii="宋体" w:hAnsi="宋体" w:cs="宋体"/>
          <w:color w:val="000000"/>
          <w:sz w:val="24"/>
          <w:szCs w:val="24"/>
          <w:lang w:val="zh-CN"/>
        </w:rPr>
        <w:t>根据《政府采购促进中小企业发展暂行办法》，属小型、微型企业制造的货物（产品），投标人须提供该制造（生产）企业出具的《小型、微型企业声明函》，并由投标人加盖公章，其划型标准严格按照国家工信部、国家统计局、国家发改委、财政部出台的《中小企业划型标准规定》（工信部联企业[2011]300号）执行。投标人提供的《小型、微型企业声明函》资料必须真实，否则，按照有关规定予以处理。</w:t>
      </w:r>
    </w:p>
    <w:p w14:paraId="4B0D5E39">
      <w:pPr>
        <w:spacing w:line="360" w:lineRule="auto"/>
        <w:ind w:firstLine="480"/>
        <w:rPr>
          <w:rFonts w:hint="eastAsia" w:ascii="宋体" w:hAnsi="宋体" w:cs="宋体"/>
          <w:color w:val="auto"/>
          <w:sz w:val="24"/>
          <w:szCs w:val="24"/>
        </w:rPr>
      </w:pPr>
      <w:r>
        <w:rPr>
          <w:rFonts w:hint="eastAsia" w:ascii="宋体" w:hAnsi="宋体" w:cs="宋体"/>
          <w:color w:val="000000"/>
          <w:sz w:val="24"/>
          <w:szCs w:val="24"/>
        </w:rPr>
        <w:t>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满分为100分。</w:t>
      </w:r>
    </w:p>
    <w:p w14:paraId="07185E33">
      <w:pPr>
        <w:pStyle w:val="18"/>
        <w:numPr>
          <w:ilvl w:val="0"/>
          <w:numId w:val="0"/>
        </w:numPr>
        <w:spacing w:line="360" w:lineRule="auto"/>
        <w:ind w:left="141" w:leftChars="0" w:firstLine="240" w:firstLineChars="100"/>
        <w:jc w:val="left"/>
        <w:rPr>
          <w:rFonts w:hAnsi="宋体"/>
          <w:sz w:val="24"/>
        </w:rPr>
      </w:pPr>
      <w:r>
        <w:rPr>
          <w:rFonts w:hint="eastAsia" w:hAnsi="宋体" w:cs="Arial"/>
          <w:sz w:val="24"/>
          <w:szCs w:val="24"/>
          <w:lang w:val="en-US" w:eastAsia="zh-CN"/>
        </w:rPr>
        <w:t>22.2</w:t>
      </w:r>
      <w:r>
        <w:rPr>
          <w:rFonts w:hAnsi="宋体" w:cs="Arial"/>
          <w:sz w:val="24"/>
          <w:szCs w:val="24"/>
        </w:rPr>
        <w:t>评审标准和分值分配</w:t>
      </w:r>
      <w:r>
        <w:rPr>
          <w:rFonts w:hint="eastAsia" w:hAnsi="宋体" w:cs="Arial"/>
          <w:sz w:val="24"/>
          <w:szCs w:val="24"/>
        </w:rPr>
        <w:t>：</w:t>
      </w:r>
    </w:p>
    <w:tbl>
      <w:tblPr>
        <w:tblStyle w:val="34"/>
        <w:tblW w:w="0" w:type="auto"/>
        <w:jc w:val="center"/>
        <w:tblLayout w:type="fixed"/>
        <w:tblCellMar>
          <w:top w:w="0" w:type="dxa"/>
          <w:left w:w="108" w:type="dxa"/>
          <w:bottom w:w="0" w:type="dxa"/>
          <w:right w:w="108" w:type="dxa"/>
        </w:tblCellMar>
      </w:tblPr>
      <w:tblGrid>
        <w:gridCol w:w="740"/>
        <w:gridCol w:w="1366"/>
        <w:gridCol w:w="6933"/>
      </w:tblGrid>
      <w:tr w14:paraId="326F2500">
        <w:tblPrEx>
          <w:tblCellMar>
            <w:top w:w="0" w:type="dxa"/>
            <w:left w:w="108" w:type="dxa"/>
            <w:bottom w:w="0" w:type="dxa"/>
            <w:right w:w="108" w:type="dxa"/>
          </w:tblCellMar>
        </w:tblPrEx>
        <w:trPr>
          <w:trHeight w:val="415" w:hRule="atLeast"/>
          <w:jc w:val="center"/>
        </w:trPr>
        <w:tc>
          <w:tcPr>
            <w:tcW w:w="740" w:type="dxa"/>
            <w:tcBorders>
              <w:top w:val="single" w:color="000000" w:sz="6" w:space="0"/>
              <w:left w:val="single" w:color="000000" w:sz="6" w:space="0"/>
              <w:bottom w:val="single" w:color="000000" w:sz="6" w:space="0"/>
              <w:right w:val="single" w:color="000000" w:sz="6" w:space="0"/>
            </w:tcBorders>
            <w:vAlign w:val="center"/>
          </w:tcPr>
          <w:p w14:paraId="288F1EB9">
            <w:pPr>
              <w:pStyle w:val="18"/>
              <w:spacing w:line="360" w:lineRule="auto"/>
              <w:jc w:val="center"/>
              <w:rPr>
                <w:rFonts w:hAnsi="宋体"/>
                <w:b/>
                <w:bCs w:val="0"/>
                <w:sz w:val="24"/>
                <w:lang w:val="zh-CN"/>
              </w:rPr>
            </w:pPr>
            <w:bookmarkStart w:id="161" w:name="_Hlk497723873"/>
            <w:r>
              <w:rPr>
                <w:rFonts w:hint="eastAsia" w:hAnsi="宋体"/>
                <w:b/>
                <w:bCs w:val="0"/>
                <w:sz w:val="24"/>
                <w:lang w:val="zh-CN"/>
              </w:rPr>
              <w:t>序号</w:t>
            </w:r>
          </w:p>
        </w:tc>
        <w:tc>
          <w:tcPr>
            <w:tcW w:w="1366" w:type="dxa"/>
            <w:tcBorders>
              <w:top w:val="single" w:color="000000" w:sz="6" w:space="0"/>
              <w:left w:val="single" w:color="000000" w:sz="6" w:space="0"/>
              <w:bottom w:val="single" w:color="000000" w:sz="6" w:space="0"/>
              <w:right w:val="single" w:color="000000" w:sz="6" w:space="0"/>
            </w:tcBorders>
            <w:vAlign w:val="center"/>
          </w:tcPr>
          <w:p w14:paraId="72AD7680">
            <w:pPr>
              <w:pStyle w:val="18"/>
              <w:spacing w:line="360" w:lineRule="auto"/>
              <w:jc w:val="center"/>
              <w:rPr>
                <w:rFonts w:hAnsi="宋体"/>
                <w:b/>
                <w:bCs w:val="0"/>
                <w:sz w:val="24"/>
              </w:rPr>
            </w:pPr>
            <w:r>
              <w:rPr>
                <w:rFonts w:hint="eastAsia" w:hAnsi="宋体"/>
                <w:b/>
                <w:bCs w:val="0"/>
                <w:sz w:val="24"/>
                <w:lang w:val="zh-CN"/>
              </w:rPr>
              <w:t>评审</w:t>
            </w:r>
            <w:r>
              <w:rPr>
                <w:rFonts w:hint="eastAsia" w:hAnsi="宋体"/>
                <w:b/>
                <w:bCs w:val="0"/>
                <w:sz w:val="24"/>
              </w:rPr>
              <w:t>因素</w:t>
            </w:r>
          </w:p>
        </w:tc>
        <w:tc>
          <w:tcPr>
            <w:tcW w:w="6933" w:type="dxa"/>
            <w:tcBorders>
              <w:top w:val="single" w:color="000000" w:sz="6" w:space="0"/>
              <w:left w:val="single" w:color="000000" w:sz="6" w:space="0"/>
              <w:bottom w:val="single" w:color="000000" w:sz="6" w:space="0"/>
              <w:right w:val="single" w:color="000000" w:sz="6" w:space="0"/>
            </w:tcBorders>
            <w:vAlign w:val="center"/>
          </w:tcPr>
          <w:p w14:paraId="7A29C93D">
            <w:pPr>
              <w:pStyle w:val="18"/>
              <w:spacing w:line="360" w:lineRule="auto"/>
              <w:jc w:val="center"/>
              <w:rPr>
                <w:rFonts w:hAnsi="宋体"/>
                <w:b/>
                <w:bCs w:val="0"/>
                <w:sz w:val="24"/>
                <w:lang w:val="zh-CN"/>
              </w:rPr>
            </w:pPr>
            <w:r>
              <w:rPr>
                <w:rFonts w:hint="eastAsia" w:hAnsi="宋体"/>
                <w:b/>
                <w:bCs w:val="0"/>
                <w:sz w:val="24"/>
              </w:rPr>
              <w:t>评审标准</w:t>
            </w:r>
          </w:p>
        </w:tc>
      </w:tr>
      <w:tr w14:paraId="0D4410BA">
        <w:tblPrEx>
          <w:tblCellMar>
            <w:top w:w="0" w:type="dxa"/>
            <w:left w:w="108" w:type="dxa"/>
            <w:bottom w:w="0" w:type="dxa"/>
            <w:right w:w="108" w:type="dxa"/>
          </w:tblCellMar>
        </w:tblPrEx>
        <w:trPr>
          <w:trHeight w:val="333" w:hRule="atLeast"/>
          <w:jc w:val="center"/>
        </w:trPr>
        <w:tc>
          <w:tcPr>
            <w:tcW w:w="740" w:type="dxa"/>
            <w:tcBorders>
              <w:top w:val="single" w:color="000000" w:sz="6" w:space="0"/>
              <w:left w:val="single" w:color="000000" w:sz="6" w:space="0"/>
              <w:bottom w:val="single" w:color="000000" w:sz="6" w:space="0"/>
              <w:right w:val="single" w:color="000000" w:sz="6" w:space="0"/>
            </w:tcBorders>
            <w:vAlign w:val="center"/>
          </w:tcPr>
          <w:p w14:paraId="07C98943">
            <w:pPr>
              <w:pStyle w:val="18"/>
              <w:spacing w:line="360" w:lineRule="auto"/>
              <w:jc w:val="left"/>
              <w:rPr>
                <w:rFonts w:hAnsi="宋体"/>
                <w:b w:val="0"/>
                <w:bCs/>
                <w:sz w:val="24"/>
              </w:rPr>
            </w:pPr>
            <w:r>
              <w:rPr>
                <w:rFonts w:hint="eastAsia" w:hAnsi="宋体"/>
                <w:b w:val="0"/>
                <w:bCs/>
                <w:sz w:val="24"/>
              </w:rPr>
              <w:t>1</w:t>
            </w:r>
          </w:p>
        </w:tc>
        <w:tc>
          <w:tcPr>
            <w:tcW w:w="1366" w:type="dxa"/>
            <w:tcBorders>
              <w:top w:val="single" w:color="000000" w:sz="6" w:space="0"/>
              <w:left w:val="single" w:color="000000" w:sz="6" w:space="0"/>
              <w:bottom w:val="single" w:color="000000" w:sz="6" w:space="0"/>
              <w:right w:val="single" w:color="000000" w:sz="6" w:space="0"/>
            </w:tcBorders>
            <w:vAlign w:val="center"/>
          </w:tcPr>
          <w:p w14:paraId="796662F3">
            <w:pPr>
              <w:pStyle w:val="18"/>
              <w:spacing w:line="360" w:lineRule="auto"/>
              <w:jc w:val="center"/>
              <w:rPr>
                <w:rFonts w:hAnsi="宋体"/>
                <w:b w:val="0"/>
                <w:bCs/>
                <w:sz w:val="24"/>
              </w:rPr>
            </w:pPr>
            <w:r>
              <w:rPr>
                <w:rFonts w:hint="eastAsia" w:hAnsi="宋体"/>
                <w:b w:val="0"/>
                <w:bCs/>
                <w:sz w:val="24"/>
              </w:rPr>
              <w:t>投标报价</w:t>
            </w:r>
          </w:p>
          <w:p w14:paraId="64F7B3B1">
            <w:pPr>
              <w:pStyle w:val="18"/>
              <w:spacing w:line="360" w:lineRule="auto"/>
              <w:jc w:val="center"/>
              <w:rPr>
                <w:rFonts w:hAnsi="宋体"/>
                <w:b w:val="0"/>
                <w:bCs/>
                <w:sz w:val="24"/>
                <w:lang w:val="zh-CN"/>
              </w:rPr>
            </w:pPr>
            <w:r>
              <w:rPr>
                <w:rFonts w:hint="eastAsia" w:hAnsi="宋体"/>
                <w:b w:val="0"/>
                <w:bCs/>
                <w:sz w:val="24"/>
              </w:rPr>
              <w:t>(30分)</w:t>
            </w:r>
          </w:p>
        </w:tc>
        <w:tc>
          <w:tcPr>
            <w:tcW w:w="6933" w:type="dxa"/>
            <w:tcBorders>
              <w:top w:val="single" w:color="000000" w:sz="6" w:space="0"/>
              <w:left w:val="single" w:color="000000" w:sz="6" w:space="0"/>
              <w:bottom w:val="single" w:color="000000" w:sz="6" w:space="0"/>
              <w:right w:val="single" w:color="000000" w:sz="6" w:space="0"/>
            </w:tcBorders>
            <w:vAlign w:val="center"/>
          </w:tcPr>
          <w:p w14:paraId="69286BEF">
            <w:pPr>
              <w:pStyle w:val="18"/>
              <w:spacing w:line="360" w:lineRule="auto"/>
              <w:jc w:val="left"/>
              <w:rPr>
                <w:rFonts w:hAnsi="宋体"/>
                <w:b w:val="0"/>
                <w:bCs/>
                <w:sz w:val="24"/>
                <w:lang w:val="zh-CN"/>
              </w:rPr>
            </w:pPr>
            <w:r>
              <w:rPr>
                <w:rFonts w:hint="eastAsia" w:hAnsi="宋体"/>
                <w:b w:val="0"/>
                <w:bCs/>
                <w:sz w:val="24"/>
                <w:lang w:val="zh-CN"/>
              </w:rPr>
              <w:t>在所有的有效投标报价中，以最低投标报价为基准价，其价格分为满分。其他投标人的报价分统一按下列公式计算：投标报价得分=(评标基准价／</w:t>
            </w:r>
            <w:r>
              <w:rPr>
                <w:rFonts w:hint="eastAsia" w:hAnsi="宋体"/>
                <w:b w:val="0"/>
                <w:bCs/>
                <w:sz w:val="24"/>
              </w:rPr>
              <w:t>最终</w:t>
            </w:r>
            <w:r>
              <w:rPr>
                <w:rFonts w:hint="eastAsia" w:hAnsi="宋体"/>
                <w:b w:val="0"/>
                <w:bCs/>
                <w:sz w:val="24"/>
                <w:lang w:val="zh-CN"/>
              </w:rPr>
              <w:t>投标报价)×价格权值（</w:t>
            </w:r>
            <w:r>
              <w:rPr>
                <w:rFonts w:hint="eastAsia" w:hAnsi="宋体"/>
                <w:b w:val="0"/>
                <w:bCs/>
                <w:sz w:val="24"/>
              </w:rPr>
              <w:t>30</w:t>
            </w:r>
            <w:r>
              <w:rPr>
                <w:rFonts w:hint="eastAsia" w:hAnsi="宋体"/>
                <w:b w:val="0"/>
                <w:bCs/>
                <w:sz w:val="24"/>
                <w:lang w:val="zh-CN"/>
              </w:rPr>
              <w:t>%）×100（四舍五入后保留小数点后两位）。</w:t>
            </w:r>
          </w:p>
          <w:p w14:paraId="0EF312EB">
            <w:pPr>
              <w:pStyle w:val="18"/>
              <w:spacing w:line="360" w:lineRule="auto"/>
              <w:jc w:val="left"/>
              <w:rPr>
                <w:rFonts w:hAnsi="宋体"/>
                <w:b w:val="0"/>
                <w:bCs/>
                <w:sz w:val="24"/>
                <w:lang w:val="zh-CN"/>
              </w:rPr>
            </w:pPr>
            <w:r>
              <w:rPr>
                <w:rFonts w:hint="eastAsia" w:hAnsi="宋体"/>
                <w:b w:val="0"/>
                <w:bCs/>
                <w:sz w:val="24"/>
                <w:lang w:val="zh-CN"/>
              </w:rPr>
              <w:t>注：1.根据《政府采购促进中小企业发展暂行办法》的相关规定，对小型和微型企业的价格给予</w:t>
            </w:r>
            <w:r>
              <w:rPr>
                <w:rFonts w:hint="eastAsia" w:hAnsi="宋体"/>
                <w:b w:val="0"/>
                <w:bCs/>
                <w:sz w:val="24"/>
              </w:rPr>
              <w:t>10</w:t>
            </w:r>
            <w:r>
              <w:rPr>
                <w:rFonts w:hint="eastAsia" w:hAnsi="宋体"/>
                <w:b w:val="0"/>
                <w:bCs/>
                <w:sz w:val="24"/>
                <w:lang w:val="zh-CN"/>
              </w:rPr>
              <w:t>%的扣除，用扣除后的价格参与评审。</w:t>
            </w:r>
            <w:r>
              <w:rPr>
                <w:rFonts w:hint="eastAsia" w:ascii="宋体" w:hAnsi="宋体" w:eastAsia="宋体" w:cs="宋体"/>
                <w:b/>
                <w:bCs/>
                <w:sz w:val="24"/>
                <w:lang w:val="zh-CN"/>
              </w:rPr>
              <w:t>（注：</w:t>
            </w:r>
            <w:r>
              <w:rPr>
                <w:rFonts w:hint="eastAsia" w:ascii="宋体" w:hAnsi="宋体" w:eastAsia="宋体" w:cs="宋体"/>
                <w:b/>
                <w:bCs/>
                <w:sz w:val="24"/>
                <w:lang w:val="en-US" w:eastAsia="zh-CN"/>
              </w:rPr>
              <w:t>本项目全部</w:t>
            </w:r>
            <w:r>
              <w:rPr>
                <w:rFonts w:hint="eastAsia" w:ascii="宋体" w:hAnsi="宋体" w:eastAsia="宋体" w:cs="宋体"/>
                <w:b/>
                <w:bCs/>
                <w:sz w:val="24"/>
                <w:lang w:val="zh-CN"/>
              </w:rPr>
              <w:t>面向中小企业采购，不适用本条。</w:t>
            </w:r>
            <w:r>
              <w:rPr>
                <w:rFonts w:hint="eastAsia" w:ascii="宋体" w:hAnsi="宋体" w:eastAsia="宋体" w:cs="宋体"/>
                <w:b/>
                <w:bCs/>
                <w:sz w:val="24"/>
                <w:lang w:val="en-US" w:eastAsia="zh-CN"/>
              </w:rPr>
              <w:t>）</w:t>
            </w:r>
          </w:p>
          <w:p w14:paraId="7F9C8A4E">
            <w:pPr>
              <w:pStyle w:val="18"/>
              <w:spacing w:line="360" w:lineRule="auto"/>
              <w:jc w:val="left"/>
              <w:rPr>
                <w:rFonts w:hAnsi="宋体"/>
                <w:b w:val="0"/>
                <w:bCs/>
                <w:sz w:val="24"/>
                <w:lang w:val="zh-CN"/>
              </w:rPr>
            </w:pPr>
            <w:r>
              <w:rPr>
                <w:rFonts w:hint="eastAsia" w:hAnsi="宋体"/>
                <w:b w:val="0"/>
                <w:bCs/>
                <w:sz w:val="24"/>
                <w:lang w:val="zh-CN"/>
              </w:rPr>
              <w:t>2.残疾人福利性单位属于小型、微型企业的，不重复享受政策。</w:t>
            </w:r>
          </w:p>
          <w:p w14:paraId="2FB91799">
            <w:pPr>
              <w:pStyle w:val="18"/>
              <w:spacing w:line="360" w:lineRule="auto"/>
              <w:jc w:val="left"/>
              <w:rPr>
                <w:rFonts w:hAnsi="宋体"/>
                <w:b w:val="0"/>
                <w:bCs/>
                <w:sz w:val="24"/>
              </w:rPr>
            </w:pPr>
            <w:r>
              <w:rPr>
                <w:rFonts w:hint="eastAsia" w:hAnsi="宋体"/>
                <w:b w:val="0"/>
                <w:bCs/>
                <w:sz w:val="24"/>
                <w:lang w:val="zh-CN"/>
              </w:rPr>
              <w:t>3.根据《关于促进残疾人就业政府采购政策的通知》（财库（2017）141号），残疾人福利性单位视同小型、微型企业。</w:t>
            </w:r>
          </w:p>
        </w:tc>
      </w:tr>
      <w:tr w14:paraId="32D57772">
        <w:tblPrEx>
          <w:tblCellMar>
            <w:top w:w="0" w:type="dxa"/>
            <w:left w:w="108" w:type="dxa"/>
            <w:bottom w:w="0" w:type="dxa"/>
            <w:right w:w="108" w:type="dxa"/>
          </w:tblCellMar>
        </w:tblPrEx>
        <w:trPr>
          <w:trHeight w:val="474" w:hRule="atLeast"/>
          <w:jc w:val="center"/>
        </w:trPr>
        <w:tc>
          <w:tcPr>
            <w:tcW w:w="740" w:type="dxa"/>
            <w:tcBorders>
              <w:top w:val="single" w:color="000000" w:sz="6" w:space="0"/>
              <w:left w:val="single" w:color="000000" w:sz="6" w:space="0"/>
              <w:bottom w:val="single" w:color="000000" w:sz="6" w:space="0"/>
              <w:right w:val="single" w:color="000000" w:sz="6" w:space="0"/>
            </w:tcBorders>
            <w:vAlign w:val="center"/>
          </w:tcPr>
          <w:p w14:paraId="2762F5D6">
            <w:pPr>
              <w:pStyle w:val="18"/>
              <w:spacing w:line="360" w:lineRule="auto"/>
              <w:jc w:val="left"/>
              <w:rPr>
                <w:rFonts w:hAnsi="宋体"/>
                <w:b w:val="0"/>
                <w:bCs/>
                <w:sz w:val="24"/>
              </w:rPr>
            </w:pPr>
            <w:r>
              <w:rPr>
                <w:rFonts w:hint="eastAsia" w:hAnsi="宋体"/>
                <w:b w:val="0"/>
                <w:bCs/>
                <w:sz w:val="24"/>
              </w:rPr>
              <w:t>2</w:t>
            </w:r>
          </w:p>
        </w:tc>
        <w:tc>
          <w:tcPr>
            <w:tcW w:w="1366" w:type="dxa"/>
            <w:tcBorders>
              <w:top w:val="single" w:color="000000" w:sz="6" w:space="0"/>
              <w:left w:val="single" w:color="000000" w:sz="6" w:space="0"/>
              <w:bottom w:val="single" w:color="000000" w:sz="6" w:space="0"/>
              <w:right w:val="single" w:color="000000" w:sz="6" w:space="0"/>
            </w:tcBorders>
            <w:vAlign w:val="center"/>
          </w:tcPr>
          <w:p w14:paraId="3AE70579">
            <w:pPr>
              <w:pStyle w:val="18"/>
              <w:spacing w:line="360" w:lineRule="auto"/>
              <w:jc w:val="left"/>
              <w:rPr>
                <w:rFonts w:hAnsi="宋体"/>
                <w:b w:val="0"/>
                <w:bCs/>
                <w:sz w:val="24"/>
                <w:lang w:val="zh-CN"/>
              </w:rPr>
            </w:pPr>
            <w:r>
              <w:rPr>
                <w:rFonts w:hint="eastAsia" w:hAnsi="宋体"/>
                <w:b w:val="0"/>
                <w:bCs/>
                <w:sz w:val="24"/>
                <w:lang w:val="zh-CN"/>
              </w:rPr>
              <w:t>技术水平</w:t>
            </w:r>
          </w:p>
          <w:p w14:paraId="420A320A">
            <w:pPr>
              <w:pStyle w:val="18"/>
              <w:spacing w:line="360" w:lineRule="auto"/>
              <w:jc w:val="left"/>
              <w:rPr>
                <w:rFonts w:hAnsi="宋体"/>
                <w:b w:val="0"/>
                <w:bCs/>
                <w:sz w:val="24"/>
              </w:rPr>
            </w:pPr>
            <w:r>
              <w:rPr>
                <w:rFonts w:hint="eastAsia" w:hAnsi="宋体"/>
                <w:b w:val="0"/>
                <w:bCs/>
                <w:sz w:val="24"/>
              </w:rPr>
              <w:t>（</w:t>
            </w:r>
            <w:r>
              <w:rPr>
                <w:rFonts w:hint="eastAsia" w:hAnsi="宋体"/>
                <w:b w:val="0"/>
                <w:bCs/>
                <w:sz w:val="24"/>
                <w:lang w:val="en-US" w:eastAsia="zh-CN"/>
              </w:rPr>
              <w:t>59</w:t>
            </w:r>
            <w:r>
              <w:rPr>
                <w:rFonts w:hint="eastAsia" w:hAnsi="宋体"/>
                <w:b w:val="0"/>
                <w:bCs/>
                <w:sz w:val="24"/>
              </w:rPr>
              <w:t>分）</w:t>
            </w:r>
          </w:p>
        </w:tc>
        <w:tc>
          <w:tcPr>
            <w:tcW w:w="6933" w:type="dxa"/>
            <w:tcBorders>
              <w:top w:val="single" w:color="000000" w:sz="6" w:space="0"/>
              <w:left w:val="single" w:color="000000" w:sz="6" w:space="0"/>
              <w:bottom w:val="single" w:color="000000" w:sz="6" w:space="0"/>
              <w:right w:val="single" w:color="000000" w:sz="6" w:space="0"/>
            </w:tcBorders>
            <w:vAlign w:val="center"/>
          </w:tcPr>
          <w:p w14:paraId="1941A6FF">
            <w:pPr>
              <w:spacing w:line="400" w:lineRule="exact"/>
              <w:jc w:val="left"/>
              <w:rPr>
                <w:rFonts w:ascii="宋体" w:hAnsi="宋体" w:cs="宋体"/>
                <w:sz w:val="24"/>
                <w:lang w:val="zh-CN"/>
              </w:rPr>
            </w:pPr>
            <w:r>
              <w:rPr>
                <w:rFonts w:hint="eastAsia" w:ascii="宋体" w:hAnsi="宋体" w:cs="宋体"/>
                <w:b/>
                <w:bCs/>
                <w:sz w:val="24"/>
              </w:rPr>
              <w:t>1、技术参数</w:t>
            </w:r>
            <w:r>
              <w:rPr>
                <w:rFonts w:hint="eastAsia" w:ascii="宋体" w:hAnsi="宋体" w:cs="宋体"/>
                <w:b/>
                <w:bCs/>
                <w:sz w:val="24"/>
                <w:lang w:eastAsia="zh-CN"/>
              </w:rPr>
              <w:t>（</w:t>
            </w:r>
            <w:r>
              <w:rPr>
                <w:rFonts w:hint="eastAsia" w:ascii="宋体" w:hAnsi="宋体" w:cs="宋体"/>
                <w:b/>
                <w:bCs/>
                <w:sz w:val="24"/>
                <w:lang w:val="en-US" w:eastAsia="zh-CN"/>
              </w:rPr>
              <w:t>30分</w:t>
            </w:r>
            <w:r>
              <w:rPr>
                <w:rFonts w:hint="eastAsia" w:ascii="宋体" w:hAnsi="宋体" w:cs="宋体"/>
                <w:b/>
                <w:bCs/>
                <w:sz w:val="24"/>
                <w:lang w:eastAsia="zh-CN"/>
              </w:rPr>
              <w:t>）</w:t>
            </w:r>
            <w:r>
              <w:rPr>
                <w:rFonts w:hint="eastAsia" w:ascii="宋体" w:hAnsi="宋体" w:cs="宋体"/>
                <w:b/>
                <w:bCs/>
                <w:sz w:val="24"/>
              </w:rPr>
              <w:t>：</w:t>
            </w:r>
            <w:r>
              <w:rPr>
                <w:rFonts w:hint="eastAsia" w:ascii="宋体" w:hAnsi="宋体" w:eastAsia="宋体" w:cs="宋体"/>
                <w:color w:val="auto"/>
                <w:sz w:val="24"/>
                <w:szCs w:val="24"/>
                <w:lang w:val="zh-CN" w:eastAsia="zh-CN"/>
              </w:rPr>
              <w:t>投标产品技术参数和配置完全满足或高于</w:t>
            </w:r>
            <w:r>
              <w:rPr>
                <w:rFonts w:hint="eastAsia" w:ascii="宋体" w:hAnsi="宋体" w:eastAsia="宋体" w:cs="宋体"/>
                <w:color w:val="auto"/>
                <w:sz w:val="24"/>
                <w:szCs w:val="24"/>
                <w:lang w:val="en-US" w:eastAsia="zh-CN"/>
              </w:rPr>
              <w:t>竞争性磋商</w:t>
            </w:r>
            <w:r>
              <w:rPr>
                <w:rFonts w:hint="eastAsia" w:ascii="宋体" w:hAnsi="宋体" w:eastAsia="宋体" w:cs="宋体"/>
                <w:color w:val="auto"/>
                <w:sz w:val="24"/>
                <w:szCs w:val="24"/>
                <w:lang w:val="zh-CN" w:eastAsia="zh-CN"/>
              </w:rPr>
              <w:t>文件要求的，得</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val="zh-CN" w:eastAsia="zh-CN"/>
              </w:rPr>
              <w:t>分；每有一项负偏离扣</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zh-CN" w:eastAsia="zh-CN"/>
              </w:rPr>
              <w:t>分，扣完该项得分为止。</w:t>
            </w:r>
          </w:p>
          <w:p w14:paraId="6F8C9093">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cs="宋体"/>
                <w:sz w:val="24"/>
              </w:rPr>
            </w:pPr>
            <w:r>
              <w:rPr>
                <w:rFonts w:hint="eastAsia" w:ascii="宋体" w:hAnsi="宋体" w:cs="宋体"/>
                <w:b/>
                <w:bCs/>
                <w:sz w:val="24"/>
              </w:rPr>
              <w:t>2、节能和环保</w:t>
            </w:r>
            <w:r>
              <w:rPr>
                <w:rFonts w:hint="eastAsia" w:ascii="宋体" w:hAnsi="宋体" w:cs="宋体"/>
                <w:b/>
                <w:bCs/>
                <w:sz w:val="24"/>
                <w:lang w:eastAsia="zh-CN"/>
              </w:rPr>
              <w:t>（</w:t>
            </w:r>
            <w:r>
              <w:rPr>
                <w:rFonts w:hint="eastAsia" w:ascii="宋体" w:hAnsi="宋体" w:cs="宋体"/>
                <w:b/>
                <w:bCs/>
                <w:sz w:val="24"/>
                <w:lang w:val="en-US" w:eastAsia="zh-CN"/>
              </w:rPr>
              <w:t>2分</w:t>
            </w:r>
            <w:r>
              <w:rPr>
                <w:rFonts w:hint="eastAsia" w:ascii="宋体" w:hAnsi="宋体" w:cs="宋体"/>
                <w:b/>
                <w:bCs/>
                <w:sz w:val="24"/>
                <w:lang w:eastAsia="zh-CN"/>
              </w:rPr>
              <w:t>）</w:t>
            </w:r>
            <w:r>
              <w:rPr>
                <w:rFonts w:hint="eastAsia" w:ascii="宋体" w:hAnsi="宋体" w:cs="宋体"/>
                <w:b/>
                <w:bCs/>
                <w:sz w:val="24"/>
              </w:rPr>
              <w:t>：</w:t>
            </w:r>
            <w:r>
              <w:rPr>
                <w:rFonts w:hint="eastAsia" w:ascii="宋体" w:hAnsi="宋体" w:cs="宋体"/>
                <w:sz w:val="24"/>
              </w:rPr>
              <w:t>所投产品为节能产品，得1分，所投产品为环保产品，得1分，共2分；未提供不得分。该项得分的认定以《国家节能产品认证证书》、《中国环境标志产品认证证书》复印件。</w:t>
            </w:r>
          </w:p>
          <w:p w14:paraId="3842AD3F">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Times New Roman"/>
                <w:b w:val="0"/>
                <w:bCs/>
                <w:color w:val="auto"/>
                <w:kern w:val="0"/>
                <w:sz w:val="24"/>
                <w:szCs w:val="20"/>
                <w:lang w:val="en-US" w:eastAsia="zh-CN" w:bidi="ar-SA"/>
              </w:rPr>
            </w:pPr>
            <w:r>
              <w:rPr>
                <w:rFonts w:hint="eastAsia" w:ascii="宋体" w:hAnsi="宋体" w:cs="宋体"/>
                <w:b/>
                <w:bCs/>
                <w:color w:val="auto"/>
                <w:sz w:val="24"/>
                <w:szCs w:val="24"/>
                <w:lang w:val="en-US" w:eastAsia="zh-CN"/>
              </w:rPr>
              <w:t>3、</w:t>
            </w:r>
            <w:r>
              <w:rPr>
                <w:rFonts w:hint="eastAsia" w:ascii="宋体" w:hAnsi="宋体" w:cs="宋体"/>
                <w:b/>
                <w:bCs/>
                <w:color w:val="auto"/>
                <w:sz w:val="24"/>
                <w:szCs w:val="24"/>
              </w:rPr>
              <w:t>项目管理及实施方案</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12分</w:t>
            </w:r>
            <w:r>
              <w:rPr>
                <w:rFonts w:hint="eastAsia" w:ascii="宋体" w:hAnsi="宋体" w:cs="宋体"/>
                <w:b/>
                <w:bCs/>
                <w:color w:val="auto"/>
                <w:sz w:val="24"/>
                <w:szCs w:val="24"/>
                <w:lang w:eastAsia="zh-CN"/>
              </w:rPr>
              <w:t>）</w:t>
            </w:r>
            <w:r>
              <w:rPr>
                <w:rFonts w:hint="eastAsia" w:ascii="宋体" w:hAnsi="宋体" w:cs="宋体"/>
                <w:b/>
                <w:bCs/>
                <w:color w:val="auto"/>
                <w:sz w:val="24"/>
                <w:szCs w:val="24"/>
              </w:rPr>
              <w:t>：</w:t>
            </w:r>
            <w:r>
              <w:rPr>
                <w:rFonts w:hint="eastAsia" w:ascii="宋体" w:hAnsi="宋体" w:cs="宋体"/>
                <w:b w:val="0"/>
                <w:bCs w:val="0"/>
                <w:color w:val="auto"/>
                <w:sz w:val="24"/>
                <w:szCs w:val="24"/>
                <w:lang w:val="en-US" w:eastAsia="zh-CN"/>
              </w:rPr>
              <w:t>投标人制定方案须体现科学合理性、条理性、可行性、完善性、针对性。包含：①项目管理机构②项目管理措施③</w:t>
            </w:r>
            <w:r>
              <w:rPr>
                <w:rFonts w:hint="eastAsia" w:ascii="宋体" w:hAnsi="宋体" w:eastAsia="宋体" w:cs="Times New Roman"/>
                <w:b w:val="0"/>
                <w:bCs/>
                <w:color w:val="auto"/>
                <w:kern w:val="0"/>
                <w:sz w:val="24"/>
                <w:szCs w:val="20"/>
                <w:lang w:val="en-US" w:eastAsia="zh-CN" w:bidi="ar-SA"/>
              </w:rPr>
              <w:t>项目组织机构设置及人员职责分工</w:t>
            </w:r>
            <w:r>
              <w:rPr>
                <w:rFonts w:hint="eastAsia" w:ascii="宋体" w:hAnsi="宋体" w:eastAsia="宋体" w:cs="宋体"/>
                <w:b w:val="0"/>
                <w:bCs w:val="0"/>
                <w:color w:val="auto"/>
                <w:sz w:val="24"/>
                <w:szCs w:val="24"/>
                <w:lang w:val="en-US" w:eastAsia="zh-CN"/>
              </w:rPr>
              <w:t>④实施方案等</w:t>
            </w:r>
            <w:r>
              <w:rPr>
                <w:rFonts w:hint="eastAsia" w:ascii="宋体" w:hAnsi="宋体" w:cs="宋体"/>
                <w:b w:val="0"/>
                <w:bCs w:val="0"/>
                <w:color w:val="auto"/>
                <w:sz w:val="24"/>
                <w:szCs w:val="24"/>
                <w:lang w:val="en-US" w:eastAsia="zh-CN"/>
              </w:rPr>
              <w:t>。以上因素实质性响应并详尽合理的每一项得3分，满分12分；每有一项存在缺陷或不足的扣1分，未提供的不得分。</w:t>
            </w:r>
          </w:p>
          <w:p w14:paraId="47844E8D">
            <w:pPr>
              <w:spacing w:line="360" w:lineRule="auto"/>
              <w:rPr>
                <w:rFonts w:hint="eastAsia" w:ascii="宋体" w:hAnsi="宋体" w:eastAsia="宋体" w:cs="Times New Roman"/>
                <w:b w:val="0"/>
                <w:bCs/>
                <w:color w:val="auto"/>
                <w:kern w:val="0"/>
                <w:sz w:val="24"/>
                <w:szCs w:val="20"/>
                <w:lang w:val="en-US" w:eastAsia="zh-CN" w:bidi="ar-SA"/>
              </w:rPr>
            </w:pPr>
            <w:r>
              <w:rPr>
                <w:rFonts w:hint="eastAsia" w:ascii="宋体" w:hAnsi="宋体" w:cs="Times New Roman"/>
                <w:b/>
                <w:bCs w:val="0"/>
                <w:color w:val="auto"/>
                <w:kern w:val="0"/>
                <w:sz w:val="24"/>
                <w:szCs w:val="20"/>
                <w:lang w:val="en-US" w:eastAsia="zh-CN" w:bidi="ar-SA"/>
              </w:rPr>
              <w:t>4</w:t>
            </w:r>
            <w:r>
              <w:rPr>
                <w:rFonts w:hint="eastAsia" w:ascii="宋体" w:hAnsi="宋体" w:eastAsia="宋体" w:cs="Times New Roman"/>
                <w:b/>
                <w:bCs w:val="0"/>
                <w:color w:val="auto"/>
                <w:kern w:val="0"/>
                <w:sz w:val="24"/>
                <w:szCs w:val="20"/>
                <w:lang w:val="en-US" w:eastAsia="zh-CN" w:bidi="ar-SA"/>
              </w:rPr>
              <w:t>、质量</w:t>
            </w:r>
            <w:r>
              <w:rPr>
                <w:rFonts w:hint="eastAsia" w:ascii="宋体" w:hAnsi="宋体" w:cs="Times New Roman"/>
                <w:b/>
                <w:bCs w:val="0"/>
                <w:color w:val="auto"/>
                <w:kern w:val="0"/>
                <w:sz w:val="24"/>
                <w:szCs w:val="20"/>
                <w:lang w:val="en-US" w:eastAsia="zh-CN" w:bidi="ar-SA"/>
              </w:rPr>
              <w:t>保障</w:t>
            </w:r>
            <w:r>
              <w:rPr>
                <w:rFonts w:hint="eastAsia" w:ascii="宋体" w:hAnsi="宋体" w:eastAsia="宋体" w:cs="Times New Roman"/>
                <w:b/>
                <w:bCs w:val="0"/>
                <w:color w:val="auto"/>
                <w:kern w:val="0"/>
                <w:sz w:val="24"/>
                <w:szCs w:val="20"/>
                <w:lang w:val="en-US" w:eastAsia="zh-CN" w:bidi="ar-SA"/>
              </w:rPr>
              <w:t>方案（6分）：</w:t>
            </w:r>
            <w:r>
              <w:rPr>
                <w:rFonts w:hint="eastAsia" w:ascii="宋体" w:hAnsi="宋体" w:eastAsia="宋体" w:cs="Times New Roman"/>
                <w:b w:val="0"/>
                <w:bCs/>
                <w:color w:val="auto"/>
                <w:kern w:val="0"/>
                <w:sz w:val="24"/>
                <w:szCs w:val="20"/>
                <w:lang w:val="en-US" w:eastAsia="zh-CN" w:bidi="ar-SA"/>
              </w:rPr>
              <w:t>提供能够针对产品特点制定质量保障方案及详尽、具体的质量保证措施，质量保障体系健全且完全满足招标文件的得 6分，内容完整，方案合理，可以满足采购需求的得 4分；内容不全，方案相对简单，基本满足采购需求的得2分；方案内容不完整，部分满足项目需求的得1分；不提供不得分。</w:t>
            </w:r>
          </w:p>
          <w:p w14:paraId="0058F746">
            <w:pPr>
              <w:spacing w:line="360" w:lineRule="auto"/>
              <w:rPr>
                <w:rFonts w:hint="default" w:hAnsi="宋体"/>
                <w:b w:val="0"/>
                <w:bCs/>
                <w:sz w:val="24"/>
                <w:lang w:val="en-US" w:eastAsia="zh-CN"/>
              </w:rPr>
            </w:pPr>
            <w:r>
              <w:rPr>
                <w:rFonts w:hint="eastAsia" w:hAnsi="宋体" w:cs="Times New Roman"/>
                <w:b/>
                <w:bCs w:val="0"/>
                <w:color w:val="auto"/>
                <w:kern w:val="0"/>
                <w:sz w:val="24"/>
                <w:szCs w:val="20"/>
                <w:lang w:val="en-US" w:eastAsia="zh-CN" w:bidi="ar-SA"/>
              </w:rPr>
              <w:t>5</w:t>
            </w:r>
            <w:r>
              <w:rPr>
                <w:rFonts w:hint="eastAsia" w:ascii="宋体" w:hAnsi="宋体" w:eastAsia="宋体" w:cs="Times New Roman"/>
                <w:b/>
                <w:bCs w:val="0"/>
                <w:color w:val="auto"/>
                <w:kern w:val="0"/>
                <w:sz w:val="24"/>
                <w:szCs w:val="20"/>
                <w:lang w:val="en-US" w:eastAsia="zh-CN" w:bidi="ar-SA"/>
              </w:rPr>
              <w:t>、</w:t>
            </w:r>
            <w:r>
              <w:rPr>
                <w:rFonts w:hint="eastAsia" w:ascii="宋体" w:hAnsi="宋体" w:eastAsia="宋体" w:cs="宋体"/>
                <w:b/>
                <w:bCs/>
                <w:color w:val="auto"/>
                <w:sz w:val="24"/>
                <w:szCs w:val="24"/>
                <w:lang w:val="en-US" w:eastAsia="zh-CN"/>
              </w:rPr>
              <w:t>供货及</w:t>
            </w:r>
            <w:r>
              <w:rPr>
                <w:rFonts w:hint="eastAsia" w:ascii="宋体" w:hAnsi="宋体" w:cs="宋体"/>
                <w:b/>
                <w:bCs/>
                <w:color w:val="auto"/>
                <w:sz w:val="24"/>
                <w:szCs w:val="24"/>
                <w:lang w:val="en-US" w:eastAsia="zh-CN"/>
              </w:rPr>
              <w:t>运输</w:t>
            </w:r>
            <w:r>
              <w:rPr>
                <w:rFonts w:hint="eastAsia" w:ascii="宋体" w:hAnsi="宋体" w:eastAsia="宋体" w:cs="宋体"/>
                <w:b/>
                <w:bCs/>
                <w:color w:val="auto"/>
                <w:sz w:val="24"/>
                <w:szCs w:val="24"/>
                <w:lang w:val="en-US" w:eastAsia="zh-CN"/>
              </w:rPr>
              <w:t>方案（9分）：</w:t>
            </w:r>
            <w:r>
              <w:rPr>
                <w:rFonts w:hint="eastAsia" w:ascii="宋体" w:hAnsi="宋体" w:eastAsia="宋体" w:cs="宋体"/>
                <w:b w:val="0"/>
                <w:bCs w:val="0"/>
                <w:color w:val="auto"/>
                <w:sz w:val="24"/>
                <w:szCs w:val="24"/>
                <w:lang w:val="en-US" w:eastAsia="zh-CN"/>
              </w:rPr>
              <w:t>投标人针对本项目特点制定详细的货物供货及配送方案。包含：①完善的供货计划②完善的运输计划及运输配置③完善的供货保证措施等。以上因素实质性响应并详尽合理的每一项得3分，满分9分；每有一项存在缺陷或不足的扣1分，未提供的不得分。</w:t>
            </w:r>
          </w:p>
        </w:tc>
      </w:tr>
      <w:tr w14:paraId="1B8AB51B">
        <w:tblPrEx>
          <w:tblCellMar>
            <w:top w:w="0" w:type="dxa"/>
            <w:left w:w="108" w:type="dxa"/>
            <w:bottom w:w="0" w:type="dxa"/>
            <w:right w:w="108" w:type="dxa"/>
          </w:tblCellMar>
        </w:tblPrEx>
        <w:trPr>
          <w:trHeight w:val="414" w:hRule="atLeast"/>
          <w:jc w:val="center"/>
        </w:trPr>
        <w:tc>
          <w:tcPr>
            <w:tcW w:w="740" w:type="dxa"/>
            <w:tcBorders>
              <w:top w:val="single" w:color="000000" w:sz="6" w:space="0"/>
              <w:left w:val="single" w:color="000000" w:sz="6" w:space="0"/>
              <w:bottom w:val="single" w:color="000000" w:sz="6" w:space="0"/>
              <w:right w:val="single" w:color="000000" w:sz="6" w:space="0"/>
            </w:tcBorders>
            <w:vAlign w:val="center"/>
          </w:tcPr>
          <w:p w14:paraId="66CA83A6">
            <w:pPr>
              <w:pStyle w:val="18"/>
              <w:spacing w:line="360" w:lineRule="auto"/>
              <w:jc w:val="left"/>
              <w:rPr>
                <w:rFonts w:hAnsi="宋体"/>
                <w:b w:val="0"/>
                <w:bCs/>
                <w:sz w:val="24"/>
              </w:rPr>
            </w:pPr>
            <w:r>
              <w:rPr>
                <w:rFonts w:hint="eastAsia" w:hAnsi="宋体"/>
                <w:b w:val="0"/>
                <w:bCs/>
                <w:sz w:val="24"/>
              </w:rPr>
              <w:t>3</w:t>
            </w:r>
          </w:p>
        </w:tc>
        <w:tc>
          <w:tcPr>
            <w:tcW w:w="1366" w:type="dxa"/>
            <w:tcBorders>
              <w:top w:val="single" w:color="000000" w:sz="6" w:space="0"/>
              <w:left w:val="single" w:color="000000" w:sz="6" w:space="0"/>
              <w:bottom w:val="single" w:color="000000" w:sz="6" w:space="0"/>
              <w:right w:val="single" w:color="000000" w:sz="6" w:space="0"/>
            </w:tcBorders>
            <w:vAlign w:val="center"/>
          </w:tcPr>
          <w:p w14:paraId="4F97E1EC">
            <w:pPr>
              <w:pStyle w:val="18"/>
              <w:spacing w:line="360" w:lineRule="auto"/>
              <w:jc w:val="left"/>
              <w:rPr>
                <w:rFonts w:hAnsi="宋体"/>
                <w:b w:val="0"/>
                <w:bCs/>
                <w:sz w:val="24"/>
                <w:lang w:val="zh-CN"/>
              </w:rPr>
            </w:pPr>
            <w:r>
              <w:rPr>
                <w:rFonts w:hint="eastAsia" w:hAnsi="宋体"/>
                <w:b w:val="0"/>
                <w:bCs/>
                <w:sz w:val="24"/>
                <w:lang w:val="zh-CN"/>
              </w:rPr>
              <w:t>履约能力</w:t>
            </w:r>
          </w:p>
          <w:p w14:paraId="7EF3ACC2">
            <w:pPr>
              <w:pStyle w:val="18"/>
              <w:spacing w:line="360" w:lineRule="auto"/>
              <w:jc w:val="left"/>
              <w:rPr>
                <w:rFonts w:hAnsi="宋体"/>
                <w:b w:val="0"/>
                <w:bCs/>
                <w:sz w:val="24"/>
                <w:lang w:val="zh-CN"/>
              </w:rPr>
            </w:pPr>
            <w:r>
              <w:rPr>
                <w:rFonts w:hint="eastAsia" w:hAnsi="宋体"/>
                <w:b w:val="0"/>
                <w:bCs/>
                <w:sz w:val="24"/>
              </w:rPr>
              <w:t>（</w:t>
            </w:r>
            <w:r>
              <w:rPr>
                <w:rFonts w:hint="eastAsia" w:hAnsi="宋体"/>
                <w:b w:val="0"/>
                <w:bCs/>
                <w:sz w:val="24"/>
                <w:lang w:val="en-US" w:eastAsia="zh-CN"/>
              </w:rPr>
              <w:t>5</w:t>
            </w:r>
            <w:r>
              <w:rPr>
                <w:rFonts w:hint="eastAsia" w:hAnsi="宋体"/>
                <w:b w:val="0"/>
                <w:bCs/>
                <w:sz w:val="24"/>
              </w:rPr>
              <w:t>分）</w:t>
            </w:r>
          </w:p>
        </w:tc>
        <w:tc>
          <w:tcPr>
            <w:tcW w:w="6933" w:type="dxa"/>
            <w:tcBorders>
              <w:top w:val="single" w:color="000000" w:sz="6" w:space="0"/>
              <w:left w:val="single" w:color="000000" w:sz="6" w:space="0"/>
              <w:bottom w:val="single" w:color="000000" w:sz="6" w:space="0"/>
              <w:right w:val="single" w:color="000000" w:sz="6" w:space="0"/>
            </w:tcBorders>
            <w:vAlign w:val="center"/>
          </w:tcPr>
          <w:p w14:paraId="05CC1FE1">
            <w:pPr>
              <w:spacing w:line="400" w:lineRule="exact"/>
              <w:jc w:val="left"/>
            </w:pPr>
            <w:r>
              <w:rPr>
                <w:rFonts w:hint="eastAsia" w:ascii="宋体" w:hAnsi="宋体" w:cs="宋体"/>
                <w:b/>
                <w:bCs/>
                <w:sz w:val="24"/>
              </w:rPr>
              <w:t>类似业绩</w:t>
            </w:r>
            <w:r>
              <w:rPr>
                <w:rFonts w:hint="eastAsia" w:ascii="宋体" w:hAnsi="宋体" w:cs="宋体"/>
                <w:b/>
                <w:bCs/>
                <w:sz w:val="24"/>
                <w:lang w:eastAsia="zh-CN"/>
              </w:rPr>
              <w:t>（</w:t>
            </w:r>
            <w:r>
              <w:rPr>
                <w:rFonts w:hint="eastAsia" w:ascii="宋体" w:hAnsi="宋体" w:cs="宋体"/>
                <w:b/>
                <w:bCs/>
                <w:sz w:val="24"/>
                <w:lang w:val="en-US" w:eastAsia="zh-CN"/>
              </w:rPr>
              <w:t>5分</w:t>
            </w:r>
            <w:r>
              <w:rPr>
                <w:rFonts w:hint="eastAsia" w:ascii="宋体" w:hAnsi="宋体" w:cs="宋体"/>
                <w:b/>
                <w:bCs/>
                <w:sz w:val="24"/>
                <w:lang w:eastAsia="zh-CN"/>
              </w:rPr>
              <w:t>）</w:t>
            </w:r>
            <w:r>
              <w:rPr>
                <w:rFonts w:hint="eastAsia" w:ascii="宋体" w:hAnsi="宋体" w:cs="宋体"/>
                <w:b/>
                <w:bCs/>
                <w:sz w:val="24"/>
              </w:rPr>
              <w:t>：</w:t>
            </w:r>
            <w:r>
              <w:rPr>
                <w:rFonts w:hint="eastAsia" w:ascii="宋体" w:hAnsi="宋体" w:cs="宋体"/>
                <w:sz w:val="24"/>
              </w:rPr>
              <w:t>提供20</w:t>
            </w:r>
            <w:r>
              <w:rPr>
                <w:rFonts w:hint="eastAsia" w:ascii="宋体" w:hAnsi="宋体" w:cs="宋体"/>
                <w:sz w:val="24"/>
                <w:lang w:val="en-US" w:eastAsia="zh-CN"/>
              </w:rPr>
              <w:t>21</w:t>
            </w:r>
            <w:r>
              <w:rPr>
                <w:rFonts w:hint="eastAsia" w:ascii="宋体" w:hAnsi="宋体" w:cs="宋体"/>
                <w:sz w:val="24"/>
              </w:rPr>
              <w:t>年</w:t>
            </w:r>
            <w:r>
              <w:rPr>
                <w:rFonts w:hint="eastAsia" w:ascii="宋体" w:hAnsi="宋体" w:cs="宋体"/>
                <w:sz w:val="24"/>
                <w:lang w:val="en-US" w:eastAsia="zh-CN"/>
              </w:rPr>
              <w:t>1月1日</w:t>
            </w:r>
            <w:r>
              <w:rPr>
                <w:rFonts w:hint="eastAsia" w:ascii="宋体" w:hAnsi="宋体" w:cs="宋体"/>
                <w:sz w:val="24"/>
              </w:rPr>
              <w:t>以来的投标人类似业绩证明材料（提供合同协议书复印（扫描）件），每提供1项得</w:t>
            </w:r>
            <w:r>
              <w:rPr>
                <w:rFonts w:hint="eastAsia" w:ascii="宋体" w:hAnsi="宋体" w:cs="宋体"/>
                <w:sz w:val="24"/>
                <w:lang w:val="en-US" w:eastAsia="zh-CN"/>
              </w:rPr>
              <w:t>1</w:t>
            </w:r>
            <w:r>
              <w:rPr>
                <w:rFonts w:hint="eastAsia" w:ascii="宋体" w:hAnsi="宋体" w:cs="宋体"/>
                <w:sz w:val="24"/>
              </w:rPr>
              <w:t>分,满分</w:t>
            </w:r>
            <w:r>
              <w:rPr>
                <w:rFonts w:hint="eastAsia" w:ascii="宋体" w:hAnsi="宋体" w:cs="宋体"/>
                <w:sz w:val="24"/>
                <w:lang w:val="en-US" w:eastAsia="zh-CN"/>
              </w:rPr>
              <w:t>5</w:t>
            </w:r>
            <w:r>
              <w:rPr>
                <w:rFonts w:hint="eastAsia" w:ascii="宋体" w:hAnsi="宋体" w:cs="宋体"/>
                <w:sz w:val="24"/>
              </w:rPr>
              <w:t>分；不提供不得分。</w:t>
            </w:r>
          </w:p>
        </w:tc>
      </w:tr>
      <w:tr w14:paraId="6280D6D2">
        <w:tblPrEx>
          <w:tblCellMar>
            <w:top w:w="0" w:type="dxa"/>
            <w:left w:w="108" w:type="dxa"/>
            <w:bottom w:w="0" w:type="dxa"/>
            <w:right w:w="108" w:type="dxa"/>
          </w:tblCellMar>
        </w:tblPrEx>
        <w:trPr>
          <w:trHeight w:val="415" w:hRule="atLeast"/>
          <w:jc w:val="center"/>
        </w:trPr>
        <w:tc>
          <w:tcPr>
            <w:tcW w:w="740" w:type="dxa"/>
            <w:tcBorders>
              <w:top w:val="single" w:color="000000" w:sz="6" w:space="0"/>
              <w:left w:val="single" w:color="000000" w:sz="6" w:space="0"/>
              <w:bottom w:val="single" w:color="000000" w:sz="6" w:space="0"/>
              <w:right w:val="single" w:color="000000" w:sz="6" w:space="0"/>
            </w:tcBorders>
            <w:vAlign w:val="center"/>
          </w:tcPr>
          <w:p w14:paraId="706B22DB">
            <w:pPr>
              <w:pStyle w:val="18"/>
              <w:spacing w:line="360" w:lineRule="auto"/>
              <w:jc w:val="left"/>
              <w:rPr>
                <w:rFonts w:hAnsi="宋体"/>
                <w:b w:val="0"/>
                <w:bCs/>
                <w:sz w:val="24"/>
              </w:rPr>
            </w:pPr>
            <w:r>
              <w:rPr>
                <w:rFonts w:hint="eastAsia" w:hAnsi="宋体"/>
                <w:b w:val="0"/>
                <w:bCs/>
                <w:sz w:val="24"/>
              </w:rPr>
              <w:t>4</w:t>
            </w:r>
          </w:p>
        </w:tc>
        <w:tc>
          <w:tcPr>
            <w:tcW w:w="1366" w:type="dxa"/>
            <w:tcBorders>
              <w:top w:val="single" w:color="000000" w:sz="6" w:space="0"/>
              <w:left w:val="single" w:color="000000" w:sz="6" w:space="0"/>
              <w:bottom w:val="single" w:color="000000" w:sz="6" w:space="0"/>
              <w:right w:val="single" w:color="000000" w:sz="6" w:space="0"/>
            </w:tcBorders>
            <w:vAlign w:val="center"/>
          </w:tcPr>
          <w:p w14:paraId="5FD919F6">
            <w:pPr>
              <w:pStyle w:val="18"/>
              <w:spacing w:line="360" w:lineRule="auto"/>
              <w:jc w:val="left"/>
              <w:rPr>
                <w:rFonts w:hAnsi="宋体"/>
                <w:b w:val="0"/>
                <w:bCs/>
                <w:sz w:val="24"/>
                <w:lang w:val="zh-CN"/>
              </w:rPr>
            </w:pPr>
            <w:r>
              <w:rPr>
                <w:rFonts w:hint="eastAsia" w:hAnsi="宋体"/>
                <w:b w:val="0"/>
                <w:bCs/>
                <w:sz w:val="24"/>
                <w:lang w:val="zh-CN"/>
              </w:rPr>
              <w:t>售后服务</w:t>
            </w:r>
          </w:p>
          <w:p w14:paraId="6413A73B">
            <w:pPr>
              <w:pStyle w:val="18"/>
              <w:spacing w:line="360" w:lineRule="auto"/>
              <w:jc w:val="left"/>
              <w:rPr>
                <w:rFonts w:hAnsi="宋体"/>
                <w:b w:val="0"/>
                <w:bCs/>
                <w:sz w:val="24"/>
                <w:lang w:val="zh-CN"/>
              </w:rPr>
            </w:pPr>
            <w:r>
              <w:rPr>
                <w:rFonts w:hint="eastAsia" w:hAnsi="宋体"/>
                <w:b w:val="0"/>
                <w:bCs/>
                <w:sz w:val="24"/>
              </w:rPr>
              <w:t>（</w:t>
            </w:r>
            <w:r>
              <w:rPr>
                <w:rFonts w:hint="eastAsia" w:hAnsi="宋体"/>
                <w:b w:val="0"/>
                <w:bCs/>
                <w:sz w:val="24"/>
                <w:lang w:val="en-US" w:eastAsia="zh-CN"/>
              </w:rPr>
              <w:t>6</w:t>
            </w:r>
            <w:r>
              <w:rPr>
                <w:rFonts w:hint="eastAsia" w:hAnsi="宋体"/>
                <w:b w:val="0"/>
                <w:bCs/>
                <w:sz w:val="24"/>
              </w:rPr>
              <w:t>分）</w:t>
            </w:r>
          </w:p>
        </w:tc>
        <w:tc>
          <w:tcPr>
            <w:tcW w:w="6933" w:type="dxa"/>
            <w:tcBorders>
              <w:top w:val="single" w:color="000000" w:sz="6" w:space="0"/>
              <w:left w:val="single" w:color="000000" w:sz="6" w:space="0"/>
              <w:bottom w:val="single" w:color="000000" w:sz="6" w:space="0"/>
              <w:right w:val="single" w:color="000000" w:sz="6" w:space="0"/>
            </w:tcBorders>
            <w:vAlign w:val="center"/>
          </w:tcPr>
          <w:p w14:paraId="184E51A0">
            <w:pPr>
              <w:numPr>
                <w:ilvl w:val="0"/>
                <w:numId w:val="0"/>
              </w:numPr>
              <w:spacing w:line="360" w:lineRule="auto"/>
              <w:ind w:left="0" w:leftChars="0" w:firstLine="0" w:firstLineChars="0"/>
              <w:rPr>
                <w:rFonts w:hAnsi="宋体"/>
                <w:b w:val="0"/>
                <w:bCs/>
                <w:sz w:val="24"/>
              </w:rPr>
            </w:pPr>
            <w:r>
              <w:rPr>
                <w:rFonts w:hint="eastAsia" w:ascii="宋体" w:hAnsi="宋体" w:cs="宋体"/>
                <w:b/>
                <w:bCs/>
                <w:color w:val="auto"/>
                <w:sz w:val="24"/>
                <w:szCs w:val="24"/>
              </w:rPr>
              <w:t>售后服务</w:t>
            </w:r>
            <w:r>
              <w:rPr>
                <w:rFonts w:hint="eastAsia" w:hAnsi="宋体" w:cs="宋体"/>
                <w:b/>
                <w:bCs/>
                <w:color w:val="auto"/>
                <w:sz w:val="24"/>
                <w:szCs w:val="24"/>
                <w:lang w:eastAsia="zh-CN"/>
              </w:rPr>
              <w:t>（</w:t>
            </w:r>
            <w:r>
              <w:rPr>
                <w:rFonts w:hint="eastAsia" w:hAnsi="宋体" w:cs="宋体"/>
                <w:b/>
                <w:bCs/>
                <w:color w:val="auto"/>
                <w:sz w:val="24"/>
                <w:szCs w:val="24"/>
                <w:lang w:val="en-US" w:eastAsia="zh-CN"/>
              </w:rPr>
              <w:t>6分</w:t>
            </w:r>
            <w:r>
              <w:rPr>
                <w:rFonts w:hint="eastAsia" w:hAnsi="宋体" w:cs="宋体"/>
                <w:b/>
                <w:bCs/>
                <w:color w:val="auto"/>
                <w:sz w:val="24"/>
                <w:szCs w:val="24"/>
                <w:lang w:eastAsia="zh-CN"/>
              </w:rPr>
              <w:t>）</w:t>
            </w:r>
            <w:r>
              <w:rPr>
                <w:rFonts w:hint="eastAsia" w:ascii="宋体" w:hAnsi="宋体" w:cs="宋体"/>
                <w:b/>
                <w:bCs/>
                <w:color w:val="auto"/>
                <w:sz w:val="24"/>
                <w:szCs w:val="24"/>
              </w:rPr>
              <w:t>：</w:t>
            </w:r>
            <w:r>
              <w:rPr>
                <w:rFonts w:hint="eastAsia" w:ascii="宋体" w:hAnsi="宋体" w:eastAsia="宋体" w:cs="宋体"/>
                <w:b w:val="0"/>
                <w:bCs w:val="0"/>
                <w:color w:val="auto"/>
                <w:kern w:val="0"/>
                <w:sz w:val="24"/>
                <w:szCs w:val="24"/>
                <w:highlight w:val="none"/>
                <w:lang w:val="zh-CN"/>
              </w:rPr>
              <w:t>针对该项目须有完善的售后服务体系。</w:t>
            </w:r>
            <w:r>
              <w:rPr>
                <w:rFonts w:hint="eastAsia" w:ascii="宋体" w:hAnsi="宋体" w:cs="宋体"/>
                <w:b w:val="0"/>
                <w:bCs w:val="0"/>
                <w:color w:val="auto"/>
                <w:sz w:val="24"/>
                <w:szCs w:val="24"/>
                <w:lang w:val="en-US" w:eastAsia="zh-CN"/>
              </w:rPr>
              <w:t>包含：①售后服务流程和内容②售后服务机构和人员</w:t>
            </w:r>
            <w:r>
              <w:rPr>
                <w:rFonts w:hint="eastAsia" w:ascii="宋体" w:hAnsi="宋体" w:eastAsia="宋体" w:cs="宋体"/>
                <w:b w:val="0"/>
                <w:bCs w:val="0"/>
                <w:color w:val="auto"/>
                <w:kern w:val="0"/>
                <w:sz w:val="24"/>
                <w:szCs w:val="24"/>
                <w:highlight w:val="none"/>
                <w:lang w:val="en-US" w:eastAsia="zh-CN" w:bidi="ar"/>
              </w:rPr>
              <w:t>（须提供售后服务人员</w:t>
            </w:r>
            <w:r>
              <w:rPr>
                <w:rFonts w:hint="eastAsia" w:ascii="宋体" w:hAnsi="宋体" w:eastAsia="宋体" w:cs="宋体"/>
                <w:b w:val="0"/>
                <w:bCs w:val="0"/>
                <w:color w:val="auto"/>
                <w:kern w:val="0"/>
                <w:sz w:val="24"/>
                <w:szCs w:val="24"/>
                <w:highlight w:val="none"/>
                <w:lang w:val="en-US" w:eastAsia="zh-CN"/>
              </w:rPr>
              <w:t>列表、联系电话等）</w:t>
            </w:r>
            <w:r>
              <w:rPr>
                <w:rFonts w:hint="eastAsia" w:ascii="宋体" w:hAnsi="宋体" w:cs="宋体"/>
                <w:b w:val="0"/>
                <w:bCs w:val="0"/>
                <w:color w:val="auto"/>
                <w:sz w:val="24"/>
                <w:szCs w:val="24"/>
                <w:lang w:val="en-US" w:eastAsia="zh-CN"/>
              </w:rPr>
              <w:t>③售</w:t>
            </w:r>
            <w:r>
              <w:rPr>
                <w:rFonts w:hint="eastAsia" w:ascii="宋体" w:hAnsi="宋体" w:cs="宋体"/>
                <w:color w:val="auto"/>
                <w:sz w:val="24"/>
                <w:szCs w:val="24"/>
                <w:lang w:val="en-US" w:eastAsia="zh-CN"/>
              </w:rPr>
              <w:t>后服务响应时间和承诺</w:t>
            </w:r>
            <w:r>
              <w:rPr>
                <w:rFonts w:hint="eastAsia" w:ascii="宋体" w:hAnsi="宋体" w:cs="宋体"/>
                <w:color w:val="auto"/>
                <w:sz w:val="24"/>
                <w:szCs w:val="24"/>
                <w:lang w:eastAsia="zh-CN"/>
              </w:rPr>
              <w:t>。</w:t>
            </w:r>
            <w:r>
              <w:rPr>
                <w:rFonts w:hint="eastAsia" w:ascii="宋体" w:hAnsi="宋体" w:eastAsia="宋体" w:cs="宋体"/>
                <w:b w:val="0"/>
                <w:bCs w:val="0"/>
                <w:color w:val="auto"/>
                <w:sz w:val="24"/>
                <w:szCs w:val="24"/>
                <w:lang w:val="en-US" w:eastAsia="zh-CN"/>
              </w:rPr>
              <w:t>以上因素实质性响应并详尽合理的每一项得2分，满分6分；每有一项存在缺陷或不足的扣0.5分，未提供的不得分。</w:t>
            </w:r>
          </w:p>
        </w:tc>
      </w:tr>
      <w:tr w14:paraId="38975345">
        <w:tblPrEx>
          <w:tblCellMar>
            <w:top w:w="0" w:type="dxa"/>
            <w:left w:w="108" w:type="dxa"/>
            <w:bottom w:w="0" w:type="dxa"/>
            <w:right w:w="108" w:type="dxa"/>
          </w:tblCellMar>
        </w:tblPrEx>
        <w:trPr>
          <w:trHeight w:val="415" w:hRule="atLeast"/>
          <w:jc w:val="center"/>
        </w:trPr>
        <w:tc>
          <w:tcPr>
            <w:tcW w:w="9039" w:type="dxa"/>
            <w:gridSpan w:val="3"/>
            <w:tcBorders>
              <w:top w:val="single" w:color="000000" w:sz="6" w:space="0"/>
              <w:left w:val="single" w:color="000000" w:sz="6" w:space="0"/>
              <w:bottom w:val="single" w:color="000000" w:sz="6" w:space="0"/>
              <w:right w:val="single" w:color="000000" w:sz="6" w:space="0"/>
            </w:tcBorders>
            <w:vAlign w:val="center"/>
          </w:tcPr>
          <w:p w14:paraId="6BD18235">
            <w:pPr>
              <w:keepNext w:val="0"/>
              <w:keepLines w:val="0"/>
              <w:pageBreakBefore w:val="0"/>
              <w:numPr>
                <w:ilvl w:val="0"/>
                <w:numId w:val="0"/>
              </w:numPr>
              <w:kinsoku/>
              <w:wordWrap/>
              <w:overflowPunct/>
              <w:topLinePunct w:val="0"/>
              <w:autoSpaceDE/>
              <w:autoSpaceDN/>
              <w:bidi w:val="0"/>
              <w:adjustRightInd/>
              <w:snapToGrid/>
              <w:spacing w:line="400" w:lineRule="exac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内容存在缺陷或不足是指：方案内容不切合行业实际、不符合行业政策；或存在项目 </w:t>
            </w:r>
          </w:p>
          <w:p w14:paraId="653D9E08">
            <w:pPr>
              <w:keepNext w:val="0"/>
              <w:keepLines w:val="0"/>
              <w:pageBreakBefore w:val="0"/>
              <w:numPr>
                <w:ilvl w:val="0"/>
                <w:numId w:val="0"/>
              </w:numPr>
              <w:kinsoku/>
              <w:wordWrap/>
              <w:overflowPunct/>
              <w:topLinePunct w:val="0"/>
              <w:autoSpaceDE/>
              <w:autoSpaceDN/>
              <w:bidi w:val="0"/>
              <w:adjustRightInd/>
              <w:snapToGrid/>
              <w:spacing w:line="400" w:lineRule="exac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名称错误、地点区域错误、内容与本项目需求无关、方案内容矛盾或表述前后不一致、 </w:t>
            </w:r>
          </w:p>
          <w:p w14:paraId="594DA40F">
            <w:pPr>
              <w:keepNext w:val="0"/>
              <w:keepLines w:val="0"/>
              <w:pageBreakBefore w:val="0"/>
              <w:numPr>
                <w:ilvl w:val="0"/>
                <w:numId w:val="0"/>
              </w:numPr>
              <w:kinsoku/>
              <w:wordWrap/>
              <w:overflowPunct/>
              <w:topLinePunct w:val="0"/>
              <w:autoSpaceDE/>
              <w:autoSpaceDN/>
              <w:bidi w:val="0"/>
              <w:adjustRightInd/>
              <w:snapToGrid/>
              <w:spacing w:line="400" w:lineRule="exac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仅有框架或标题、适用的标准（方法）错误、明显复制其他项目内容；或内容不适用 </w:t>
            </w:r>
          </w:p>
          <w:p w14:paraId="1E9B7233">
            <w:pPr>
              <w:pStyle w:val="18"/>
              <w:spacing w:line="360" w:lineRule="auto"/>
              <w:jc w:val="left"/>
              <w:rPr>
                <w:rFonts w:hint="eastAsia" w:ascii="宋体" w:hAnsi="宋体" w:cs="宋体"/>
                <w:color w:val="auto"/>
                <w:sz w:val="24"/>
                <w:szCs w:val="24"/>
              </w:rPr>
            </w:pPr>
            <w:r>
              <w:rPr>
                <w:rFonts w:hint="eastAsia" w:ascii="宋体" w:hAnsi="宋体" w:eastAsia="宋体" w:cs="宋体"/>
                <w:b w:val="0"/>
                <w:bCs w:val="0"/>
                <w:color w:val="auto"/>
                <w:sz w:val="24"/>
                <w:szCs w:val="24"/>
                <w:lang w:val="en-US" w:eastAsia="zh-CN"/>
              </w:rPr>
              <w:t>项目实际情况；或内容逻辑漏洞或原理错误。</w:t>
            </w:r>
          </w:p>
        </w:tc>
      </w:tr>
    </w:tbl>
    <w:p w14:paraId="686352A6">
      <w:pPr>
        <w:pStyle w:val="18"/>
        <w:spacing w:line="360" w:lineRule="auto"/>
        <w:jc w:val="left"/>
        <w:rPr>
          <w:rFonts w:hAnsi="宋体"/>
          <w:b/>
          <w:sz w:val="24"/>
        </w:rPr>
      </w:pPr>
    </w:p>
    <w:p w14:paraId="3C4C1380">
      <w:pPr>
        <w:pStyle w:val="15"/>
        <w:ind w:left="0" w:leftChars="0" w:firstLine="0" w:firstLineChars="0"/>
        <w:rPr>
          <w:rFonts w:hint="eastAsia"/>
          <w:lang w:val="en-US" w:eastAsia="zh-CN"/>
        </w:rPr>
      </w:pPr>
    </w:p>
    <w:bookmarkEnd w:id="161"/>
    <w:p w14:paraId="6679D2AC">
      <w:pPr>
        <w:keepNext/>
        <w:pageBreakBefore/>
        <w:widowControl/>
        <w:spacing w:line="360" w:lineRule="auto"/>
        <w:jc w:val="center"/>
        <w:outlineLvl w:val="1"/>
        <w:rPr>
          <w:rFonts w:hAnsi="宋体"/>
          <w:b/>
          <w:sz w:val="32"/>
          <w:szCs w:val="32"/>
        </w:rPr>
      </w:pPr>
      <w:bookmarkStart w:id="162" w:name="_Toc376936756"/>
      <w:bookmarkStart w:id="163" w:name="_Toc325726025"/>
      <w:bookmarkStart w:id="164" w:name="_Toc7357"/>
      <w:bookmarkStart w:id="165" w:name="_Toc25290"/>
      <w:bookmarkStart w:id="166" w:name="_Toc2506"/>
      <w:bookmarkStart w:id="167" w:name="_Toc6689"/>
      <w:r>
        <w:rPr>
          <w:rFonts w:hint="eastAsia" w:ascii="宋体" w:hAnsi="宋体" w:cs="宋体"/>
          <w:b/>
          <w:bCs/>
          <w:color w:val="auto"/>
          <w:sz w:val="32"/>
          <w:szCs w:val="32"/>
          <w:lang w:val="en-US" w:eastAsia="zh-CN"/>
        </w:rPr>
        <w:t>八</w:t>
      </w:r>
      <w:r>
        <w:rPr>
          <w:rFonts w:hint="eastAsia" w:ascii="宋体" w:hAnsi="宋体" w:cs="宋体"/>
          <w:b/>
          <w:bCs/>
          <w:color w:val="auto"/>
          <w:sz w:val="32"/>
          <w:szCs w:val="32"/>
        </w:rPr>
        <w:t>、</w:t>
      </w:r>
      <w:bookmarkEnd w:id="162"/>
      <w:bookmarkEnd w:id="163"/>
      <w:r>
        <w:rPr>
          <w:rFonts w:hint="eastAsia" w:ascii="宋体" w:hAnsi="宋体" w:cs="宋体"/>
          <w:b/>
          <w:bCs/>
          <w:color w:val="auto"/>
          <w:sz w:val="32"/>
          <w:szCs w:val="32"/>
        </w:rPr>
        <w:t>确定成交供应商</w:t>
      </w:r>
      <w:bookmarkEnd w:id="164"/>
      <w:bookmarkEnd w:id="165"/>
      <w:bookmarkEnd w:id="166"/>
      <w:bookmarkEnd w:id="167"/>
    </w:p>
    <w:p w14:paraId="7EBA51CC">
      <w:pPr>
        <w:pStyle w:val="5"/>
        <w:numPr>
          <w:ilvl w:val="0"/>
          <w:numId w:val="0"/>
        </w:numPr>
        <w:spacing w:before="0" w:after="0" w:line="360" w:lineRule="auto"/>
        <w:ind w:leftChars="0"/>
        <w:rPr>
          <w:rFonts w:ascii="宋体" w:hAnsi="宋体"/>
          <w:b w:val="0"/>
        </w:rPr>
      </w:pPr>
      <w:bookmarkStart w:id="168" w:name="_Toc488673637"/>
      <w:bookmarkStart w:id="169" w:name="_Toc1575322"/>
      <w:r>
        <w:rPr>
          <w:rFonts w:hint="eastAsia" w:ascii="宋体" w:hAnsi="宋体"/>
          <w:b w:val="0"/>
          <w:lang w:val="en-US" w:eastAsia="zh-CN"/>
        </w:rPr>
        <w:t>23.</w:t>
      </w:r>
      <w:r>
        <w:rPr>
          <w:rFonts w:hint="eastAsia" w:ascii="宋体" w:hAnsi="宋体"/>
          <w:b w:val="0"/>
        </w:rPr>
        <w:t>推荐并确定中标磋商供应商</w:t>
      </w:r>
      <w:bookmarkEnd w:id="168"/>
      <w:bookmarkEnd w:id="169"/>
    </w:p>
    <w:p w14:paraId="346B2E0A">
      <w:pPr>
        <w:pStyle w:val="18"/>
        <w:numPr>
          <w:ilvl w:val="0"/>
          <w:numId w:val="0"/>
        </w:numPr>
        <w:spacing w:line="360" w:lineRule="auto"/>
        <w:ind w:left="141" w:leftChars="0" w:firstLine="241" w:firstLineChars="100"/>
        <w:jc w:val="left"/>
        <w:rPr>
          <w:rFonts w:hAnsi="宋体"/>
          <w:sz w:val="24"/>
          <w:szCs w:val="24"/>
        </w:rPr>
      </w:pPr>
      <w:r>
        <w:rPr>
          <w:rFonts w:hint="eastAsia" w:hAnsi="宋体" w:cs="宋体"/>
          <w:b/>
          <w:bCs/>
          <w:sz w:val="24"/>
          <w:szCs w:val="24"/>
          <w:lang w:val="en-US" w:eastAsia="zh-CN"/>
        </w:rPr>
        <w:t>23.1</w:t>
      </w:r>
      <w:r>
        <w:rPr>
          <w:rFonts w:hint="eastAsia" w:hAnsi="宋体" w:cs="宋体"/>
          <w:b/>
          <w:bCs/>
          <w:sz w:val="24"/>
          <w:szCs w:val="24"/>
        </w:rPr>
        <w:t>采用综合评分法的，</w:t>
      </w:r>
      <w:r>
        <w:rPr>
          <w:rFonts w:hint="eastAsia" w:hAnsi="宋体" w:cs="宋体"/>
          <w:sz w:val="24"/>
          <w:szCs w:val="24"/>
          <w:shd w:val="clear" w:color="auto" w:fill="FFFFFF"/>
        </w:rPr>
        <w:t>评标结果按评审后得分由高到低顺序排列。得分相同的，按投标报价由低到高顺序排列。得分且投标报价相同的并列。磋商响应文件满足磋商文件全部实质性要求，且按照评审因素的量化指标评审得分最高的磋商人为排名第一的中标候选人。</w:t>
      </w:r>
    </w:p>
    <w:p w14:paraId="1BB7E441">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23.2</w:t>
      </w:r>
      <w:r>
        <w:rPr>
          <w:rFonts w:hint="eastAsia" w:hAnsi="宋体"/>
          <w:sz w:val="24"/>
          <w:szCs w:val="28"/>
        </w:rPr>
        <w:t>中标磋商供应商因不可抗力或自身原因不能履行合同时，采购单位可以按照评审报告推荐的预中标候选磋商供应商名单排序，确定下一候选磋商供应商为中标磋商供应商，也可重新开展政府采购活动。</w:t>
      </w:r>
    </w:p>
    <w:p w14:paraId="51C6E098">
      <w:pPr>
        <w:pStyle w:val="18"/>
        <w:numPr>
          <w:ilvl w:val="0"/>
          <w:numId w:val="0"/>
        </w:numPr>
        <w:spacing w:line="360" w:lineRule="auto"/>
        <w:ind w:left="141" w:leftChars="0" w:firstLine="240" w:firstLineChars="100"/>
        <w:jc w:val="left"/>
        <w:rPr>
          <w:rFonts w:hAnsi="宋体"/>
          <w:sz w:val="24"/>
          <w:szCs w:val="24"/>
        </w:rPr>
      </w:pPr>
      <w:r>
        <w:rPr>
          <w:rFonts w:hint="eastAsia" w:hAnsi="宋体" w:cs="宋体"/>
          <w:sz w:val="24"/>
          <w:szCs w:val="24"/>
          <w:shd w:val="clear" w:color="auto" w:fill="FFFFFF"/>
          <w:lang w:val="en-US" w:eastAsia="zh-CN"/>
        </w:rPr>
        <w:t>23.3</w:t>
      </w:r>
      <w:r>
        <w:rPr>
          <w:rFonts w:hint="eastAsia" w:hAnsi="宋体" w:cs="宋体"/>
          <w:sz w:val="24"/>
          <w:szCs w:val="24"/>
          <w:shd w:val="clear" w:color="auto" w:fill="FFFFFF"/>
        </w:rPr>
        <w:t>评标结果汇总完成后，除下列情形外，任何人不得修改评标结果：</w:t>
      </w:r>
    </w:p>
    <w:p w14:paraId="77C3ADF4">
      <w:pPr>
        <w:pStyle w:val="18"/>
        <w:numPr>
          <w:ilvl w:val="0"/>
          <w:numId w:val="15"/>
        </w:numPr>
        <w:spacing w:line="360" w:lineRule="auto"/>
        <w:jc w:val="left"/>
        <w:rPr>
          <w:rFonts w:hAnsi="宋体"/>
          <w:sz w:val="24"/>
          <w:szCs w:val="24"/>
        </w:rPr>
      </w:pPr>
      <w:r>
        <w:rPr>
          <w:rFonts w:hint="eastAsia" w:hAnsi="宋体" w:cs="宋体"/>
          <w:sz w:val="24"/>
          <w:szCs w:val="24"/>
          <w:shd w:val="clear" w:color="auto" w:fill="FFFFFF"/>
        </w:rPr>
        <w:t>分值汇总计算错误的；</w:t>
      </w:r>
    </w:p>
    <w:p w14:paraId="5E93CAE2">
      <w:pPr>
        <w:pStyle w:val="18"/>
        <w:numPr>
          <w:ilvl w:val="0"/>
          <w:numId w:val="15"/>
        </w:numPr>
        <w:spacing w:line="360" w:lineRule="auto"/>
        <w:jc w:val="left"/>
        <w:rPr>
          <w:rFonts w:hAnsi="宋体"/>
          <w:sz w:val="24"/>
          <w:szCs w:val="24"/>
        </w:rPr>
      </w:pPr>
      <w:r>
        <w:rPr>
          <w:rFonts w:hint="eastAsia" w:hAnsi="宋体" w:cs="宋体"/>
          <w:sz w:val="24"/>
          <w:szCs w:val="24"/>
          <w:shd w:val="clear" w:color="auto" w:fill="FFFFFF"/>
        </w:rPr>
        <w:t>分项评分超出评分标准范围的；</w:t>
      </w:r>
    </w:p>
    <w:p w14:paraId="54A3F90F">
      <w:pPr>
        <w:pStyle w:val="18"/>
        <w:numPr>
          <w:ilvl w:val="0"/>
          <w:numId w:val="15"/>
        </w:numPr>
        <w:spacing w:line="360" w:lineRule="auto"/>
        <w:jc w:val="left"/>
        <w:rPr>
          <w:rFonts w:hAnsi="宋体"/>
          <w:sz w:val="24"/>
          <w:szCs w:val="24"/>
        </w:rPr>
      </w:pPr>
      <w:r>
        <w:rPr>
          <w:rFonts w:hint="eastAsia" w:hAnsi="宋体" w:cs="宋体"/>
          <w:sz w:val="24"/>
          <w:szCs w:val="24"/>
          <w:shd w:val="clear" w:color="auto" w:fill="FFFFFF"/>
        </w:rPr>
        <w:t>评标委员会成员对客观评审因素评分不一致的；</w:t>
      </w:r>
    </w:p>
    <w:p w14:paraId="4CA16DEC">
      <w:pPr>
        <w:pStyle w:val="18"/>
        <w:numPr>
          <w:ilvl w:val="0"/>
          <w:numId w:val="15"/>
        </w:numPr>
        <w:spacing w:line="360" w:lineRule="auto"/>
        <w:jc w:val="left"/>
        <w:rPr>
          <w:rFonts w:hAnsi="宋体"/>
          <w:sz w:val="24"/>
          <w:szCs w:val="24"/>
        </w:rPr>
      </w:pPr>
      <w:r>
        <w:rPr>
          <w:rFonts w:hint="eastAsia" w:hAnsi="宋体" w:cs="宋体"/>
          <w:sz w:val="24"/>
          <w:szCs w:val="24"/>
          <w:shd w:val="clear" w:color="auto" w:fill="FFFFFF"/>
        </w:rPr>
        <w:t>经评标委员会认定评分畸高、畸低的。</w:t>
      </w:r>
    </w:p>
    <w:p w14:paraId="2D3CFD0B">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3D8AD18">
      <w:pPr>
        <w:pStyle w:val="18"/>
        <w:spacing w:line="360" w:lineRule="auto"/>
        <w:ind w:firstLine="480" w:firstLineChars="200"/>
        <w:jc w:val="left"/>
        <w:rPr>
          <w:rFonts w:hAnsi="宋体"/>
          <w:sz w:val="24"/>
          <w:szCs w:val="24"/>
        </w:rPr>
      </w:pPr>
      <w:r>
        <w:rPr>
          <w:rFonts w:hint="eastAsia" w:hAnsi="宋体" w:cs="宋体"/>
          <w:sz w:val="24"/>
          <w:szCs w:val="24"/>
          <w:shd w:val="clear" w:color="auto" w:fill="FFFFFF"/>
        </w:rPr>
        <w:t>磋商人对以上情形提出质疑的，采购人或者采购代理机构可以组织原评标委员会进行重新评审，重新评审改变评标结果的，应当书面报告本级财政部门。</w:t>
      </w:r>
    </w:p>
    <w:p w14:paraId="028723DF">
      <w:pPr>
        <w:pStyle w:val="5"/>
        <w:numPr>
          <w:ilvl w:val="0"/>
          <w:numId w:val="0"/>
        </w:numPr>
        <w:spacing w:before="0" w:after="0" w:line="360" w:lineRule="auto"/>
        <w:ind w:leftChars="0"/>
        <w:rPr>
          <w:rFonts w:ascii="宋体" w:hAnsi="宋体"/>
          <w:b w:val="0"/>
        </w:rPr>
      </w:pPr>
      <w:bookmarkStart w:id="170" w:name="_Toc1575323"/>
      <w:bookmarkStart w:id="171" w:name="_Toc488673638"/>
      <w:r>
        <w:rPr>
          <w:rFonts w:hint="eastAsia" w:ascii="宋体" w:hAnsi="宋体"/>
          <w:b w:val="0"/>
          <w:lang w:val="en-US" w:eastAsia="zh-CN"/>
        </w:rPr>
        <w:t>24.</w:t>
      </w:r>
      <w:r>
        <w:rPr>
          <w:rFonts w:hint="eastAsia" w:ascii="宋体" w:hAnsi="宋体"/>
          <w:b w:val="0"/>
        </w:rPr>
        <w:t>中标通知</w:t>
      </w:r>
      <w:bookmarkEnd w:id="170"/>
      <w:bookmarkEnd w:id="171"/>
    </w:p>
    <w:p w14:paraId="49E63419">
      <w:pPr>
        <w:pStyle w:val="18"/>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24.1</w:t>
      </w:r>
      <w:r>
        <w:rPr>
          <w:rFonts w:hint="eastAsia" w:hAnsi="宋体" w:cs="宋体"/>
          <w:sz w:val="24"/>
          <w:szCs w:val="24"/>
        </w:rPr>
        <w:t>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磋商文件规定的方式确定中标人；磋商文件未规定的，采取随机抽取的方式确定。</w:t>
      </w:r>
    </w:p>
    <w:p w14:paraId="40673EB7">
      <w:pPr>
        <w:pStyle w:val="18"/>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24.2</w:t>
      </w:r>
      <w:r>
        <w:rPr>
          <w:rFonts w:hint="eastAsia" w:hAnsi="宋体" w:cs="宋体"/>
          <w:sz w:val="24"/>
          <w:szCs w:val="24"/>
        </w:rPr>
        <w:t>采购人在收到评标报告5个工作日内未按评标报告推荐的中标候选人顺序确定中标人，又不能说明合法理由的，视同按评标报告推荐的顺序确定排名第一的中标候选人为中标人。</w:t>
      </w:r>
    </w:p>
    <w:p w14:paraId="042E84EC">
      <w:pPr>
        <w:pStyle w:val="18"/>
        <w:numPr>
          <w:ilvl w:val="0"/>
          <w:numId w:val="0"/>
        </w:numPr>
        <w:spacing w:line="360" w:lineRule="auto"/>
        <w:ind w:left="141" w:leftChars="0" w:firstLine="240" w:firstLineChars="100"/>
        <w:jc w:val="left"/>
        <w:rPr>
          <w:rFonts w:hAnsi="宋体"/>
          <w:b/>
          <w:bCs/>
          <w:sz w:val="32"/>
        </w:rPr>
      </w:pPr>
      <w:r>
        <w:rPr>
          <w:rFonts w:hint="eastAsia" w:hAnsi="宋体"/>
          <w:sz w:val="24"/>
          <w:szCs w:val="28"/>
          <w:lang w:val="en-US" w:eastAsia="zh-CN"/>
        </w:rPr>
        <w:t>24.3</w:t>
      </w:r>
      <w:r>
        <w:rPr>
          <w:rFonts w:hint="eastAsia" w:hAnsi="宋体"/>
          <w:sz w:val="24"/>
          <w:szCs w:val="28"/>
        </w:rPr>
        <w:t>采购代理机构自中标磋商供应商确定之日起2个工作日内发出《中标通知书》，并在发布本次磋商公告的网站上发布中标结果公告。</w:t>
      </w:r>
    </w:p>
    <w:p w14:paraId="59AD990F">
      <w:pPr>
        <w:pStyle w:val="18"/>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24.4</w:t>
      </w:r>
      <w:r>
        <w:rPr>
          <w:rFonts w:hint="eastAsia" w:hAnsi="宋体" w:cs="宋体"/>
          <w:sz w:val="24"/>
          <w:szCs w:val="24"/>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576B6BB7">
      <w:pPr>
        <w:pStyle w:val="18"/>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24.5</w:t>
      </w:r>
      <w:r>
        <w:rPr>
          <w:rFonts w:hint="eastAsia" w:hAnsi="宋体" w:cs="宋体"/>
          <w:sz w:val="24"/>
          <w:szCs w:val="24"/>
        </w:rPr>
        <w:t>中标公告期限为1个工作日。</w:t>
      </w:r>
    </w:p>
    <w:p w14:paraId="26432010">
      <w:pPr>
        <w:pStyle w:val="18"/>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24.6</w:t>
      </w:r>
      <w:r>
        <w:rPr>
          <w:rFonts w:hint="eastAsia" w:hAnsi="宋体" w:cs="宋体"/>
          <w:sz w:val="24"/>
          <w:szCs w:val="24"/>
        </w:rPr>
        <w:t>在公告中标结果的同时，</w:t>
      </w:r>
      <w:r>
        <w:rPr>
          <w:rFonts w:hint="eastAsia" w:hAnsi="宋体" w:cs="宋体"/>
          <w:sz w:val="24"/>
          <w:szCs w:val="24"/>
          <w:shd w:val="clear" w:color="auto" w:fill="FFFFFF"/>
        </w:rPr>
        <w:t>采购人或者采购代理机构</w:t>
      </w:r>
      <w:r>
        <w:rPr>
          <w:rFonts w:hint="eastAsia" w:hAnsi="宋体" w:cs="宋体"/>
          <w:sz w:val="24"/>
          <w:szCs w:val="24"/>
        </w:rPr>
        <w:t>应当向中标人发出中标通知书；采用综合评分法评审的，还应当告知未中标人本人的评审得分与排序。</w:t>
      </w:r>
    </w:p>
    <w:p w14:paraId="30092983">
      <w:pPr>
        <w:pStyle w:val="18"/>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24.7</w:t>
      </w:r>
      <w:r>
        <w:rPr>
          <w:rFonts w:hint="eastAsia" w:hAnsi="宋体" w:cs="宋体"/>
          <w:sz w:val="24"/>
          <w:szCs w:val="24"/>
        </w:rPr>
        <w:t>中标通知书发出后，采购人不得违法改变中标结果，中标人无正当理由不得放弃中标。</w:t>
      </w:r>
    </w:p>
    <w:p w14:paraId="5D856DF5">
      <w:pPr>
        <w:pStyle w:val="18"/>
        <w:numPr>
          <w:ilvl w:val="0"/>
          <w:numId w:val="0"/>
        </w:numPr>
        <w:spacing w:line="360" w:lineRule="auto"/>
        <w:ind w:left="141" w:leftChars="0" w:firstLine="240" w:firstLineChars="100"/>
        <w:jc w:val="left"/>
        <w:rPr>
          <w:rFonts w:hAnsi="宋体"/>
          <w:b/>
          <w:bCs/>
          <w:sz w:val="32"/>
        </w:rPr>
      </w:pPr>
      <w:r>
        <w:rPr>
          <w:rFonts w:hint="eastAsia" w:hAnsi="宋体"/>
          <w:sz w:val="24"/>
          <w:szCs w:val="28"/>
          <w:lang w:val="en-US" w:eastAsia="zh-CN"/>
        </w:rPr>
        <w:t>24.8</w:t>
      </w:r>
      <w:r>
        <w:rPr>
          <w:rFonts w:hint="eastAsia" w:hAnsi="宋体"/>
          <w:sz w:val="24"/>
          <w:szCs w:val="28"/>
        </w:rPr>
        <w:t>《中标通知书》对采购单位和中标磋商供应商具有同等效力，《中标通知书》发出后，采购单位改变中标结果的，或者中标磋商供应商无正当理由放弃中标项目的，依法承担法律责任。</w:t>
      </w:r>
    </w:p>
    <w:p w14:paraId="1DB04EAC">
      <w:pPr>
        <w:pStyle w:val="4"/>
        <w:numPr>
          <w:ilvl w:val="2"/>
          <w:numId w:val="0"/>
        </w:numPr>
        <w:ind w:leftChars="0"/>
        <w:jc w:val="center"/>
        <w:rPr>
          <w:rFonts w:hint="eastAsia" w:ascii="宋体" w:hAnsi="宋体" w:eastAsia="宋体" w:cs="宋体"/>
          <w:b/>
          <w:bCs/>
          <w:color w:val="auto"/>
          <w:kern w:val="2"/>
          <w:sz w:val="32"/>
          <w:szCs w:val="32"/>
          <w:lang w:val="en-US" w:eastAsia="zh-CN" w:bidi="ar-SA"/>
        </w:rPr>
      </w:pPr>
      <w:bookmarkStart w:id="172" w:name="_Toc1575324"/>
      <w:r>
        <w:rPr>
          <w:rFonts w:hint="eastAsia" w:ascii="宋体" w:hAnsi="宋体" w:eastAsia="宋体" w:cs="宋体"/>
          <w:b/>
          <w:bCs/>
          <w:color w:val="auto"/>
          <w:kern w:val="2"/>
          <w:sz w:val="32"/>
          <w:szCs w:val="32"/>
          <w:lang w:val="en-US" w:eastAsia="zh-CN" w:bidi="ar-SA"/>
        </w:rPr>
        <w:t>九、授予合同</w:t>
      </w:r>
      <w:bookmarkEnd w:id="172"/>
    </w:p>
    <w:p w14:paraId="68E52C1F">
      <w:pPr>
        <w:pStyle w:val="5"/>
        <w:numPr>
          <w:ilvl w:val="0"/>
          <w:numId w:val="0"/>
        </w:numPr>
        <w:spacing w:before="0" w:after="0" w:line="360" w:lineRule="auto"/>
        <w:ind w:leftChars="0"/>
        <w:rPr>
          <w:rFonts w:ascii="宋体" w:hAnsi="宋体"/>
          <w:b w:val="0"/>
        </w:rPr>
      </w:pPr>
      <w:bookmarkStart w:id="173" w:name="_Toc488673640"/>
      <w:bookmarkStart w:id="174" w:name="_Toc1575325"/>
      <w:r>
        <w:rPr>
          <w:rFonts w:hint="eastAsia" w:ascii="宋体" w:hAnsi="宋体"/>
          <w:b w:val="0"/>
          <w:lang w:val="en-US" w:eastAsia="zh-CN"/>
        </w:rPr>
        <w:t>25.</w:t>
      </w:r>
      <w:r>
        <w:rPr>
          <w:rFonts w:hint="eastAsia" w:ascii="宋体" w:hAnsi="宋体"/>
          <w:b w:val="0"/>
        </w:rPr>
        <w:t>签订合同</w:t>
      </w:r>
      <w:bookmarkEnd w:id="173"/>
      <w:bookmarkEnd w:id="174"/>
    </w:p>
    <w:p w14:paraId="058D47F1">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25.1</w:t>
      </w:r>
      <w:r>
        <w:rPr>
          <w:rFonts w:hint="eastAsia" w:hAnsi="宋体"/>
          <w:sz w:val="24"/>
          <w:szCs w:val="28"/>
        </w:rPr>
        <w:t>采购单位与中标磋商供应商双方应当自《中标通知书》发出之日起30日内，签订采购合同，送采购代理机构审核并备案；</w:t>
      </w:r>
    </w:p>
    <w:p w14:paraId="2EB9110E">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25.2</w:t>
      </w:r>
      <w:r>
        <w:rPr>
          <w:rFonts w:hint="eastAsia" w:hAnsi="宋体"/>
          <w:sz w:val="24"/>
          <w:szCs w:val="28"/>
        </w:rPr>
        <w:t>中标磋商供应商在法定期限内无正当理由拒签合同的，按违约处理。同时，采购代理机构和采购单位可依评标排序重新确定中标磋商供应商，并协调双方签订采购合同，或重新组织采购活动；</w:t>
      </w:r>
    </w:p>
    <w:p w14:paraId="37C95108">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25.3</w:t>
      </w:r>
      <w:r>
        <w:rPr>
          <w:rFonts w:hint="eastAsia" w:hAnsi="宋体"/>
          <w:sz w:val="24"/>
          <w:szCs w:val="28"/>
        </w:rPr>
        <w:t>采购单位不得向中标供应商提出任何不合理的要求作为订立合同的条件，采购单位和中标供应商不得私下订立背离合同实质性内容的协议；</w:t>
      </w:r>
    </w:p>
    <w:p w14:paraId="6A6A2122">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25.4</w:t>
      </w:r>
      <w:r>
        <w:rPr>
          <w:rFonts w:hint="eastAsia" w:hAnsi="宋体"/>
          <w:sz w:val="24"/>
          <w:szCs w:val="28"/>
        </w:rPr>
        <w:t>磋商文件、中标磋商供应商的磋商响应文件、《中标通知书》及其澄清、说明文件、承诺等，均为签订采购合同的依据，作为采购合同的组成部分；</w:t>
      </w:r>
    </w:p>
    <w:p w14:paraId="1FAF1598">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25.5</w:t>
      </w:r>
      <w:r>
        <w:rPr>
          <w:rFonts w:hint="eastAsia" w:hAnsi="宋体"/>
          <w:sz w:val="24"/>
          <w:szCs w:val="28"/>
        </w:rPr>
        <w:t>采购人与中标人应当根据合同的约定依法履行合同义务。政府采购合同的履行、违约责任和解决争议的方法等适用《中华人民共和国合同法》。</w:t>
      </w:r>
    </w:p>
    <w:p w14:paraId="6D12AC0D">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25.6</w:t>
      </w:r>
      <w:r>
        <w:rPr>
          <w:rFonts w:hint="eastAsia" w:hAnsi="宋体"/>
          <w:sz w:val="24"/>
          <w:szCs w:val="28"/>
        </w:rPr>
        <w:t>采购人应当及时对采购项目进行验收。采购人可以邀请参加本项目的其他磋商人或者第三方机构参与验收。参与验收的磋商人或者第三方机构的意见作为验收书的参考资料一并存档。</w:t>
      </w:r>
    </w:p>
    <w:p w14:paraId="7A174AE9">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25.7</w:t>
      </w:r>
      <w:r>
        <w:rPr>
          <w:rFonts w:hint="eastAsia" w:hAnsi="宋体"/>
          <w:sz w:val="24"/>
          <w:szCs w:val="28"/>
        </w:rPr>
        <w:t>采购人应当加强对中标人的履约管理，并按照采购合同约定，及时向中标人支付采购资金。对于中标人违反采购合同约定的行为，采购人应当及时处理，依法追究其违约责任。</w:t>
      </w:r>
    </w:p>
    <w:p w14:paraId="12051456">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25.8</w:t>
      </w:r>
      <w:r>
        <w:rPr>
          <w:rFonts w:hint="eastAsia" w:hAnsi="宋体"/>
          <w:sz w:val="24"/>
          <w:szCs w:val="28"/>
        </w:rPr>
        <w:t>采购合同签订之日起2个工作日内，由采购单位将采购合同在青海政府采购网上公告，但采购合同中涉及国家秘密、商业秘密的内容除外。</w:t>
      </w:r>
    </w:p>
    <w:p w14:paraId="5F1174A3">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28.9</w:t>
      </w:r>
      <w:r>
        <w:rPr>
          <w:rFonts w:hint="eastAsia" w:hAnsi="宋体"/>
          <w:sz w:val="24"/>
          <w:szCs w:val="28"/>
        </w:rPr>
        <w:t>采购人、采购代理机构应当建立真实完整的招标采购档案，妥善保存每项采购活动的磋商文件。</w:t>
      </w:r>
    </w:p>
    <w:p w14:paraId="45609920">
      <w:pPr>
        <w:pStyle w:val="4"/>
        <w:numPr>
          <w:ilvl w:val="2"/>
          <w:numId w:val="0"/>
        </w:numPr>
        <w:ind w:leftChars="0"/>
        <w:jc w:val="center"/>
        <w:rPr>
          <w:rFonts w:hint="eastAsia" w:ascii="宋体" w:hAnsi="宋体" w:eastAsia="宋体" w:cs="宋体"/>
          <w:b/>
          <w:bCs/>
          <w:color w:val="auto"/>
          <w:kern w:val="2"/>
          <w:sz w:val="32"/>
          <w:szCs w:val="32"/>
          <w:lang w:val="en-US" w:eastAsia="zh-CN" w:bidi="ar-SA"/>
        </w:rPr>
      </w:pPr>
      <w:bookmarkStart w:id="175" w:name="_Toc1575326"/>
      <w:r>
        <w:rPr>
          <w:rFonts w:hint="eastAsia" w:ascii="宋体" w:hAnsi="宋体" w:eastAsia="宋体" w:cs="宋体"/>
          <w:b/>
          <w:bCs/>
          <w:color w:val="auto"/>
          <w:kern w:val="2"/>
          <w:sz w:val="32"/>
          <w:szCs w:val="32"/>
          <w:lang w:val="en-US" w:eastAsia="zh-CN" w:bidi="ar-SA"/>
        </w:rPr>
        <w:t>十、废标条款</w:t>
      </w:r>
      <w:bookmarkEnd w:id="175"/>
    </w:p>
    <w:p w14:paraId="64753191">
      <w:pPr>
        <w:pStyle w:val="5"/>
        <w:numPr>
          <w:ilvl w:val="0"/>
          <w:numId w:val="0"/>
        </w:numPr>
        <w:spacing w:before="0" w:after="0" w:line="360" w:lineRule="auto"/>
        <w:ind w:leftChars="0"/>
        <w:rPr>
          <w:rFonts w:ascii="宋体" w:hAnsi="宋体"/>
          <w:b w:val="0"/>
        </w:rPr>
      </w:pPr>
      <w:bookmarkStart w:id="176" w:name="_Toc488673642"/>
      <w:bookmarkStart w:id="177" w:name="_Toc1575327"/>
      <w:r>
        <w:rPr>
          <w:rFonts w:hint="eastAsia" w:ascii="宋体" w:hAnsi="宋体"/>
          <w:b w:val="0"/>
          <w:lang w:val="en-US" w:eastAsia="zh-CN"/>
        </w:rPr>
        <w:t>29.</w:t>
      </w:r>
      <w:r>
        <w:rPr>
          <w:rFonts w:hint="eastAsia" w:ascii="宋体" w:hAnsi="宋体"/>
          <w:b w:val="0"/>
        </w:rPr>
        <w:t>废标情形</w:t>
      </w:r>
      <w:bookmarkEnd w:id="176"/>
      <w:bookmarkEnd w:id="177"/>
    </w:p>
    <w:p w14:paraId="1F7DAD0C">
      <w:pPr>
        <w:pStyle w:val="18"/>
        <w:numPr>
          <w:ilvl w:val="0"/>
          <w:numId w:val="0"/>
        </w:numPr>
        <w:spacing w:line="360" w:lineRule="auto"/>
        <w:ind w:firstLine="240" w:firstLineChars="100"/>
        <w:jc w:val="left"/>
        <w:rPr>
          <w:rFonts w:hAnsi="宋体"/>
          <w:sz w:val="24"/>
          <w:szCs w:val="28"/>
        </w:rPr>
      </w:pPr>
      <w:r>
        <w:rPr>
          <w:rFonts w:hint="eastAsia" w:hAnsi="宋体" w:cs="Arial"/>
          <w:sz w:val="24"/>
          <w:szCs w:val="24"/>
          <w:lang w:val="en-US" w:eastAsia="zh-CN"/>
        </w:rPr>
        <w:t>29.1</w:t>
      </w:r>
      <w:r>
        <w:rPr>
          <w:rFonts w:hAnsi="宋体" w:cs="Arial"/>
          <w:sz w:val="24"/>
          <w:szCs w:val="24"/>
        </w:rPr>
        <w:t>在磋商采购中，出现下列情形之一的，应予废标</w:t>
      </w:r>
      <w:r>
        <w:rPr>
          <w:rFonts w:hint="eastAsia" w:hAnsi="宋体" w:cs="Arial"/>
          <w:sz w:val="24"/>
          <w:szCs w:val="24"/>
        </w:rPr>
        <w:t>：</w:t>
      </w:r>
    </w:p>
    <w:p w14:paraId="09F63E3E">
      <w:pPr>
        <w:pStyle w:val="18"/>
        <w:numPr>
          <w:ilvl w:val="0"/>
          <w:numId w:val="16"/>
        </w:numPr>
        <w:spacing w:line="360" w:lineRule="auto"/>
        <w:rPr>
          <w:rFonts w:hAnsi="宋体" w:cs="Arial"/>
          <w:sz w:val="24"/>
          <w:szCs w:val="24"/>
        </w:rPr>
      </w:pPr>
      <w:r>
        <w:rPr>
          <w:rFonts w:hint="eastAsia" w:hAnsi="宋体" w:cs="Arial"/>
          <w:sz w:val="24"/>
          <w:szCs w:val="24"/>
        </w:rPr>
        <w:t>符合磋商条件的磋商供应商或者对磋商文件作出实质性响应的磋商供应商不足三家的；</w:t>
      </w:r>
    </w:p>
    <w:p w14:paraId="77F00DE4">
      <w:pPr>
        <w:pStyle w:val="18"/>
        <w:numPr>
          <w:ilvl w:val="0"/>
          <w:numId w:val="16"/>
        </w:numPr>
        <w:spacing w:line="360" w:lineRule="auto"/>
        <w:rPr>
          <w:rFonts w:hAnsi="宋体" w:cs="Arial"/>
          <w:sz w:val="24"/>
          <w:szCs w:val="24"/>
        </w:rPr>
      </w:pPr>
      <w:r>
        <w:rPr>
          <w:rFonts w:hint="eastAsia" w:hAnsi="宋体" w:cs="Arial"/>
          <w:sz w:val="24"/>
          <w:szCs w:val="24"/>
        </w:rPr>
        <w:t>出现影响采购活动正常推进的违法、违规行为的；</w:t>
      </w:r>
    </w:p>
    <w:p w14:paraId="46A3813D">
      <w:pPr>
        <w:pStyle w:val="18"/>
        <w:numPr>
          <w:ilvl w:val="0"/>
          <w:numId w:val="16"/>
        </w:numPr>
        <w:spacing w:line="360" w:lineRule="auto"/>
        <w:rPr>
          <w:rFonts w:hAnsi="宋体" w:cs="Arial"/>
          <w:sz w:val="24"/>
          <w:szCs w:val="24"/>
        </w:rPr>
      </w:pPr>
      <w:r>
        <w:rPr>
          <w:rFonts w:hint="eastAsia" w:hAnsi="宋体" w:cs="Arial"/>
          <w:sz w:val="24"/>
          <w:szCs w:val="24"/>
        </w:rPr>
        <w:t>磋商供应商的报价均超出采购预算额度，采购单位不能支付的；</w:t>
      </w:r>
    </w:p>
    <w:p w14:paraId="6F128902">
      <w:pPr>
        <w:pStyle w:val="18"/>
        <w:numPr>
          <w:ilvl w:val="0"/>
          <w:numId w:val="16"/>
        </w:numPr>
        <w:spacing w:line="360" w:lineRule="auto"/>
        <w:rPr>
          <w:rFonts w:hAnsi="宋体" w:cs="Arial"/>
          <w:sz w:val="24"/>
          <w:szCs w:val="24"/>
        </w:rPr>
      </w:pPr>
      <w:r>
        <w:rPr>
          <w:rFonts w:hint="eastAsia" w:hAnsi="宋体" w:cs="Arial"/>
          <w:sz w:val="24"/>
          <w:szCs w:val="24"/>
        </w:rPr>
        <w:t>因重大变故，采购任务取消的。</w:t>
      </w:r>
    </w:p>
    <w:p w14:paraId="4C171A93">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29.2</w:t>
      </w:r>
      <w:r>
        <w:rPr>
          <w:rFonts w:hint="eastAsia" w:hAnsi="宋体"/>
          <w:sz w:val="24"/>
          <w:szCs w:val="28"/>
        </w:rPr>
        <w:t>废标后，由采购代理机构发布废标公告。</w:t>
      </w:r>
    </w:p>
    <w:p w14:paraId="39CB5FD3">
      <w:pPr>
        <w:pStyle w:val="4"/>
        <w:numPr>
          <w:ilvl w:val="2"/>
          <w:numId w:val="0"/>
        </w:numPr>
        <w:ind w:leftChars="0"/>
        <w:jc w:val="center"/>
        <w:rPr>
          <w:rFonts w:hint="eastAsia" w:ascii="宋体" w:hAnsi="宋体" w:eastAsia="宋体" w:cs="宋体"/>
          <w:b/>
          <w:bCs/>
          <w:color w:val="auto"/>
          <w:kern w:val="2"/>
          <w:sz w:val="32"/>
          <w:szCs w:val="32"/>
          <w:lang w:val="en-US" w:eastAsia="zh-CN" w:bidi="ar-SA"/>
        </w:rPr>
      </w:pPr>
      <w:bookmarkStart w:id="178" w:name="_Toc1575328"/>
      <w:r>
        <w:rPr>
          <w:rFonts w:hint="eastAsia" w:ascii="宋体" w:hAnsi="宋体" w:eastAsia="宋体" w:cs="宋体"/>
          <w:b/>
          <w:bCs/>
          <w:color w:val="auto"/>
          <w:kern w:val="2"/>
          <w:sz w:val="32"/>
          <w:szCs w:val="32"/>
          <w:lang w:val="en-US" w:eastAsia="zh-CN" w:bidi="ar-SA"/>
        </w:rPr>
        <w:t>十一、其他</w:t>
      </w:r>
      <w:bookmarkEnd w:id="178"/>
    </w:p>
    <w:p w14:paraId="6087B4D5">
      <w:pPr>
        <w:pStyle w:val="5"/>
        <w:numPr>
          <w:ilvl w:val="0"/>
          <w:numId w:val="0"/>
        </w:numPr>
        <w:spacing w:before="0" w:after="0" w:line="360" w:lineRule="auto"/>
        <w:ind w:leftChars="0"/>
        <w:rPr>
          <w:rFonts w:ascii="宋体" w:hAnsi="宋体"/>
          <w:b w:val="0"/>
        </w:rPr>
      </w:pPr>
      <w:bookmarkStart w:id="179" w:name="_Toc1575329"/>
      <w:bookmarkStart w:id="180" w:name="_Toc488673644"/>
      <w:r>
        <w:rPr>
          <w:rFonts w:hint="eastAsia" w:ascii="宋体" w:hAnsi="宋体"/>
          <w:b w:val="0"/>
          <w:lang w:val="en-US" w:eastAsia="zh-CN"/>
        </w:rPr>
        <w:t>30.</w:t>
      </w:r>
      <w:r>
        <w:rPr>
          <w:rFonts w:hint="eastAsia" w:ascii="宋体" w:hAnsi="宋体"/>
          <w:b w:val="0"/>
        </w:rPr>
        <w:t>串标情形</w:t>
      </w:r>
      <w:bookmarkEnd w:id="179"/>
      <w:bookmarkEnd w:id="180"/>
    </w:p>
    <w:p w14:paraId="7C93373B">
      <w:pPr>
        <w:pStyle w:val="18"/>
        <w:numPr>
          <w:ilvl w:val="0"/>
          <w:numId w:val="0"/>
        </w:numPr>
        <w:spacing w:line="360" w:lineRule="auto"/>
        <w:ind w:firstLine="240" w:firstLineChars="100"/>
        <w:jc w:val="left"/>
        <w:rPr>
          <w:rFonts w:hAnsi="宋体"/>
          <w:sz w:val="24"/>
          <w:szCs w:val="28"/>
        </w:rPr>
      </w:pPr>
      <w:r>
        <w:rPr>
          <w:rFonts w:hint="eastAsia" w:hAnsi="宋体"/>
          <w:sz w:val="24"/>
          <w:szCs w:val="28"/>
          <w:lang w:val="en-US" w:eastAsia="zh-CN"/>
        </w:rPr>
        <w:t>30.1</w:t>
      </w:r>
      <w:r>
        <w:rPr>
          <w:rFonts w:hint="eastAsia" w:hAnsi="宋体"/>
          <w:sz w:val="24"/>
          <w:szCs w:val="28"/>
        </w:rPr>
        <w:t>磋商人应当遵循公平竞争的原则，不得恶意串通，不得妨碍其他磋商人的竞争行为，不得损害采购人或者其他磋商人的合法权益</w:t>
      </w:r>
      <w:r>
        <w:rPr>
          <w:rFonts w:hint="eastAsia" w:hAnsi="宋体" w:cs="宋体"/>
        </w:rPr>
        <w:t>。</w:t>
      </w:r>
    </w:p>
    <w:p w14:paraId="699E977B">
      <w:pPr>
        <w:pStyle w:val="18"/>
        <w:spacing w:line="360" w:lineRule="auto"/>
        <w:ind w:firstLine="480" w:firstLineChars="200"/>
        <w:jc w:val="left"/>
        <w:rPr>
          <w:rFonts w:hAnsi="宋体" w:cs="宋体"/>
        </w:rPr>
      </w:pPr>
      <w:r>
        <w:rPr>
          <w:rFonts w:hint="eastAsia" w:hAnsi="宋体"/>
          <w:sz w:val="24"/>
          <w:szCs w:val="28"/>
        </w:rPr>
        <w:t>在评标过程中发现磋商人有上述情形的，评标委员会应当认定其投标无效，并书面报告本级财政部门</w:t>
      </w:r>
      <w:r>
        <w:rPr>
          <w:rFonts w:hint="eastAsia" w:hAnsi="宋体" w:cs="宋体"/>
        </w:rPr>
        <w:t>。</w:t>
      </w:r>
    </w:p>
    <w:p w14:paraId="135BEF08">
      <w:pPr>
        <w:pStyle w:val="18"/>
        <w:numPr>
          <w:ilvl w:val="0"/>
          <w:numId w:val="0"/>
        </w:numPr>
        <w:spacing w:line="360" w:lineRule="auto"/>
        <w:ind w:firstLine="240" w:firstLineChars="100"/>
        <w:jc w:val="left"/>
        <w:rPr>
          <w:rFonts w:hAnsi="宋体"/>
          <w:sz w:val="24"/>
          <w:szCs w:val="28"/>
        </w:rPr>
      </w:pPr>
      <w:r>
        <w:rPr>
          <w:rFonts w:hint="eastAsia" w:hAnsi="宋体"/>
          <w:sz w:val="24"/>
          <w:szCs w:val="28"/>
          <w:lang w:val="en-US" w:eastAsia="zh-CN"/>
        </w:rPr>
        <w:t>30.2</w:t>
      </w:r>
      <w:r>
        <w:rPr>
          <w:rFonts w:hint="eastAsia" w:hAnsi="宋体"/>
          <w:sz w:val="24"/>
          <w:szCs w:val="28"/>
        </w:rPr>
        <w:t>有下列情形之一的，视为磋商人串通投标，其投标无效：</w:t>
      </w:r>
    </w:p>
    <w:p w14:paraId="43AACD1E">
      <w:pPr>
        <w:pStyle w:val="18"/>
        <w:numPr>
          <w:ilvl w:val="0"/>
          <w:numId w:val="17"/>
        </w:numPr>
        <w:spacing w:line="360" w:lineRule="auto"/>
        <w:jc w:val="left"/>
        <w:rPr>
          <w:rFonts w:hAnsi="宋体"/>
          <w:sz w:val="24"/>
          <w:szCs w:val="24"/>
        </w:rPr>
      </w:pPr>
      <w:r>
        <w:rPr>
          <w:rFonts w:hint="eastAsia" w:hAnsi="宋体" w:cs="宋体"/>
          <w:sz w:val="24"/>
          <w:szCs w:val="24"/>
        </w:rPr>
        <w:t>不同磋商人的磋商响应文件由同一单位或者个人编制；</w:t>
      </w:r>
    </w:p>
    <w:p w14:paraId="76342266">
      <w:pPr>
        <w:pStyle w:val="18"/>
        <w:numPr>
          <w:ilvl w:val="0"/>
          <w:numId w:val="17"/>
        </w:numPr>
        <w:spacing w:line="360" w:lineRule="auto"/>
        <w:jc w:val="left"/>
        <w:rPr>
          <w:rFonts w:hAnsi="宋体"/>
          <w:sz w:val="24"/>
          <w:szCs w:val="24"/>
        </w:rPr>
      </w:pPr>
      <w:r>
        <w:rPr>
          <w:rFonts w:hint="eastAsia" w:hAnsi="宋体" w:cs="宋体"/>
          <w:sz w:val="24"/>
          <w:szCs w:val="24"/>
        </w:rPr>
        <w:t>不同磋商人委托同一单位或者个人办理投标事宜；</w:t>
      </w:r>
    </w:p>
    <w:p w14:paraId="38B823A2">
      <w:pPr>
        <w:pStyle w:val="18"/>
        <w:numPr>
          <w:ilvl w:val="0"/>
          <w:numId w:val="17"/>
        </w:numPr>
        <w:spacing w:line="360" w:lineRule="auto"/>
        <w:jc w:val="left"/>
        <w:rPr>
          <w:rFonts w:hAnsi="宋体"/>
          <w:sz w:val="24"/>
          <w:szCs w:val="24"/>
        </w:rPr>
      </w:pPr>
      <w:r>
        <w:rPr>
          <w:rFonts w:hint="eastAsia" w:hAnsi="宋体" w:cs="宋体"/>
          <w:sz w:val="24"/>
          <w:szCs w:val="24"/>
        </w:rPr>
        <w:t>不同磋商人的磋商响应文件载明的项目管理成员或者联系人员为同一人；</w:t>
      </w:r>
    </w:p>
    <w:p w14:paraId="551F0188">
      <w:pPr>
        <w:pStyle w:val="18"/>
        <w:numPr>
          <w:ilvl w:val="0"/>
          <w:numId w:val="17"/>
        </w:numPr>
        <w:spacing w:line="360" w:lineRule="auto"/>
        <w:jc w:val="left"/>
        <w:rPr>
          <w:rFonts w:hAnsi="宋体"/>
          <w:sz w:val="24"/>
          <w:szCs w:val="24"/>
        </w:rPr>
      </w:pPr>
      <w:r>
        <w:rPr>
          <w:rFonts w:hint="eastAsia" w:hAnsi="宋体" w:cs="宋体"/>
          <w:sz w:val="24"/>
          <w:szCs w:val="24"/>
        </w:rPr>
        <w:t>不同磋商人的磋商响应文件异常一致或者投标报价呈规律性差异；</w:t>
      </w:r>
    </w:p>
    <w:p w14:paraId="7BBEF39C">
      <w:pPr>
        <w:pStyle w:val="18"/>
        <w:numPr>
          <w:ilvl w:val="0"/>
          <w:numId w:val="17"/>
        </w:numPr>
        <w:spacing w:line="360" w:lineRule="auto"/>
        <w:jc w:val="left"/>
        <w:rPr>
          <w:rFonts w:hAnsi="宋体"/>
          <w:sz w:val="24"/>
          <w:szCs w:val="24"/>
        </w:rPr>
      </w:pPr>
      <w:r>
        <w:rPr>
          <w:rFonts w:hint="eastAsia" w:hAnsi="宋体" w:cs="宋体"/>
          <w:sz w:val="24"/>
          <w:szCs w:val="24"/>
        </w:rPr>
        <w:t>不同磋商人的磋商响应文件相互混装；</w:t>
      </w:r>
    </w:p>
    <w:p w14:paraId="522C8E2B">
      <w:pPr>
        <w:pStyle w:val="18"/>
        <w:numPr>
          <w:ilvl w:val="0"/>
          <w:numId w:val="17"/>
        </w:numPr>
        <w:spacing w:line="360" w:lineRule="auto"/>
        <w:jc w:val="left"/>
        <w:rPr>
          <w:rFonts w:hAnsi="宋体"/>
          <w:sz w:val="24"/>
          <w:szCs w:val="24"/>
        </w:rPr>
      </w:pPr>
      <w:r>
        <w:rPr>
          <w:rFonts w:hint="eastAsia" w:hAnsi="宋体" w:cs="宋体"/>
          <w:sz w:val="24"/>
          <w:szCs w:val="24"/>
        </w:rPr>
        <w:t>不同磋商人的投标保证金从同一单位或者个人的账户转出。</w:t>
      </w:r>
    </w:p>
    <w:p w14:paraId="278A8E26">
      <w:pPr>
        <w:pStyle w:val="18"/>
        <w:numPr>
          <w:ilvl w:val="0"/>
          <w:numId w:val="0"/>
        </w:numPr>
        <w:spacing w:line="360" w:lineRule="auto"/>
        <w:ind w:firstLine="240" w:firstLineChars="100"/>
        <w:jc w:val="left"/>
        <w:rPr>
          <w:rFonts w:hAnsi="宋体"/>
          <w:sz w:val="24"/>
          <w:szCs w:val="28"/>
        </w:rPr>
      </w:pPr>
      <w:r>
        <w:rPr>
          <w:rFonts w:hint="eastAsia" w:hAnsi="宋体"/>
          <w:sz w:val="24"/>
          <w:szCs w:val="28"/>
          <w:lang w:val="en-US" w:eastAsia="zh-CN"/>
        </w:rPr>
        <w:t>30.3</w:t>
      </w:r>
      <w:r>
        <w:rPr>
          <w:rFonts w:hint="eastAsia" w:hAnsi="宋体"/>
          <w:sz w:val="24"/>
          <w:szCs w:val="28"/>
        </w:rPr>
        <w:t>其他未尽事宜，按照《中华人民共和国政府采购法》、《中华人民共和国合同法》、《中华人民共和国政府采购法实施条例》、《政府采购竞争性磋商采购方式管理暂行办法》等法律法规的有关条款执行。</w:t>
      </w:r>
    </w:p>
    <w:p w14:paraId="7FC150F9">
      <w:pPr>
        <w:pStyle w:val="25"/>
        <w:spacing w:before="0" w:after="0" w:line="360" w:lineRule="auto"/>
        <w:rPr>
          <w:rFonts w:ascii="宋体" w:hAnsi="宋体"/>
          <w:sz w:val="36"/>
          <w:szCs w:val="36"/>
        </w:rPr>
      </w:pPr>
      <w:r>
        <w:rPr>
          <w:rFonts w:hAnsi="宋体"/>
          <w:sz w:val="24"/>
          <w:szCs w:val="28"/>
        </w:rPr>
        <w:br w:type="page"/>
      </w:r>
      <w:bookmarkStart w:id="181" w:name="_Toc1575330"/>
      <w:r>
        <w:rPr>
          <w:rFonts w:hint="eastAsia" w:ascii="宋体" w:hAnsi="宋体"/>
          <w:sz w:val="36"/>
          <w:szCs w:val="36"/>
        </w:rPr>
        <w:t>第四部分青海省政府采购合同文本样式</w:t>
      </w:r>
      <w:bookmarkEnd w:id="181"/>
    </w:p>
    <w:p w14:paraId="5EFBC921">
      <w:pPr>
        <w:pStyle w:val="18"/>
        <w:spacing w:line="360" w:lineRule="auto"/>
        <w:ind w:firstLine="1124" w:firstLineChars="200"/>
        <w:jc w:val="left"/>
        <w:rPr>
          <w:rFonts w:hAnsi="宋体"/>
          <w:b/>
          <w:sz w:val="56"/>
          <w:szCs w:val="72"/>
        </w:rPr>
      </w:pPr>
    </w:p>
    <w:p w14:paraId="4F716572">
      <w:pPr>
        <w:spacing w:line="360" w:lineRule="auto"/>
        <w:jc w:val="center"/>
        <w:rPr>
          <w:rFonts w:ascii="宋体" w:hAnsi="宋体"/>
          <w:b/>
          <w:spacing w:val="120"/>
          <w:sz w:val="56"/>
          <w:szCs w:val="72"/>
        </w:rPr>
      </w:pPr>
    </w:p>
    <w:p w14:paraId="40E3EDCA">
      <w:pPr>
        <w:spacing w:line="360" w:lineRule="auto"/>
        <w:jc w:val="center"/>
        <w:rPr>
          <w:rFonts w:ascii="宋体" w:hAnsi="宋体"/>
          <w:b/>
          <w:spacing w:val="120"/>
          <w:sz w:val="56"/>
          <w:szCs w:val="72"/>
        </w:rPr>
      </w:pPr>
    </w:p>
    <w:p w14:paraId="47FC61A5">
      <w:pPr>
        <w:spacing w:line="360" w:lineRule="auto"/>
        <w:jc w:val="center"/>
        <w:rPr>
          <w:rFonts w:ascii="宋体" w:hAnsi="宋体"/>
          <w:b/>
          <w:spacing w:val="120"/>
          <w:sz w:val="56"/>
          <w:szCs w:val="72"/>
        </w:rPr>
      </w:pPr>
    </w:p>
    <w:p w14:paraId="0BCB50B0">
      <w:pPr>
        <w:spacing w:line="360" w:lineRule="auto"/>
        <w:jc w:val="center"/>
        <w:rPr>
          <w:rFonts w:ascii="宋体" w:hAnsi="宋体"/>
          <w:b/>
          <w:bCs/>
          <w:sz w:val="72"/>
          <w:szCs w:val="50"/>
          <w:lang w:val="zh-CN"/>
        </w:rPr>
      </w:pPr>
      <w:r>
        <w:rPr>
          <w:rFonts w:hint="eastAsia" w:ascii="宋体" w:hAnsi="宋体"/>
          <w:b/>
          <w:bCs/>
          <w:sz w:val="72"/>
          <w:szCs w:val="50"/>
          <w:lang w:val="zh-CN"/>
        </w:rPr>
        <w:t>青海省政府采购合同书</w:t>
      </w:r>
    </w:p>
    <w:p w14:paraId="0FB5C3A9">
      <w:pPr>
        <w:spacing w:line="360" w:lineRule="auto"/>
        <w:rPr>
          <w:rFonts w:ascii="宋体" w:hAnsi="宋体"/>
          <w:b/>
          <w:sz w:val="56"/>
          <w:szCs w:val="72"/>
        </w:rPr>
      </w:pPr>
    </w:p>
    <w:p w14:paraId="34EE4B2E">
      <w:pPr>
        <w:spacing w:line="360" w:lineRule="auto"/>
        <w:rPr>
          <w:rFonts w:ascii="宋体" w:hAnsi="宋体"/>
          <w:b/>
          <w:sz w:val="56"/>
          <w:szCs w:val="72"/>
        </w:rPr>
      </w:pPr>
    </w:p>
    <w:p w14:paraId="570E4F6F">
      <w:pPr>
        <w:spacing w:line="360" w:lineRule="auto"/>
        <w:rPr>
          <w:rFonts w:ascii="宋体" w:hAnsi="宋体"/>
          <w:b/>
          <w:sz w:val="24"/>
          <w:szCs w:val="28"/>
        </w:rPr>
      </w:pPr>
    </w:p>
    <w:p w14:paraId="3A2BE882">
      <w:pPr>
        <w:spacing w:line="360" w:lineRule="auto"/>
        <w:ind w:left="2316" w:leftChars="357" w:hanging="1566" w:hangingChars="650"/>
        <w:rPr>
          <w:rFonts w:hint="eastAsia" w:ascii="宋体" w:hAnsi="宋体" w:eastAsia="宋体"/>
          <w:b/>
          <w:sz w:val="24"/>
          <w:szCs w:val="28"/>
          <w:u w:val="single"/>
          <w:lang w:eastAsia="zh-CN"/>
        </w:rPr>
      </w:pPr>
      <w:r>
        <w:rPr>
          <w:rFonts w:hint="eastAsia" w:ascii="宋体" w:hAnsi="宋体"/>
          <w:b/>
          <w:sz w:val="24"/>
          <w:szCs w:val="28"/>
        </w:rPr>
        <w:t>采购项目名称：</w:t>
      </w:r>
      <w:r>
        <w:rPr>
          <w:rFonts w:hint="eastAsia" w:ascii="宋体" w:hAnsi="宋体"/>
          <w:b/>
          <w:sz w:val="24"/>
          <w:szCs w:val="28"/>
          <w:u w:val="single"/>
          <w:lang w:eastAsia="zh-CN"/>
        </w:rPr>
        <w:t>全民健身场地器材补短板工程乡镇（街道）项目</w:t>
      </w:r>
    </w:p>
    <w:p w14:paraId="2D19E25D">
      <w:pPr>
        <w:spacing w:line="360" w:lineRule="auto"/>
        <w:ind w:firstLine="723" w:firstLineChars="300"/>
        <w:rPr>
          <w:rFonts w:ascii="宋体" w:hAnsi="宋体"/>
          <w:b/>
          <w:sz w:val="24"/>
          <w:szCs w:val="28"/>
          <w:u w:val="single"/>
        </w:rPr>
      </w:pPr>
      <w:r>
        <w:rPr>
          <w:rFonts w:ascii="宋体" w:hAnsi="宋体"/>
          <w:b/>
          <w:sz w:val="24"/>
          <w:szCs w:val="28"/>
        </w:rPr>
        <w:t>采购项目编号</w:t>
      </w:r>
      <w:r>
        <w:rPr>
          <w:rFonts w:hint="eastAsia" w:ascii="宋体" w:hAnsi="宋体"/>
          <w:b/>
          <w:sz w:val="24"/>
          <w:szCs w:val="28"/>
        </w:rPr>
        <w:t>：</w:t>
      </w:r>
      <w:r>
        <w:rPr>
          <w:rFonts w:hint="eastAsia" w:ascii="宋体" w:hAnsi="宋体"/>
          <w:b/>
          <w:sz w:val="24"/>
          <w:szCs w:val="28"/>
          <w:u w:val="single"/>
          <w:lang w:eastAsia="zh-CN"/>
        </w:rPr>
        <w:t>青海奕帆竞磋（货物）2024-038</w:t>
      </w:r>
      <w:r>
        <w:rPr>
          <w:rFonts w:hint="eastAsia" w:ascii="宋体" w:hAnsi="宋体"/>
          <w:b/>
          <w:sz w:val="24"/>
          <w:szCs w:val="28"/>
          <w:u w:val="single"/>
        </w:rPr>
        <w:t xml:space="preserve">                   </w:t>
      </w:r>
    </w:p>
    <w:p w14:paraId="61F913B5">
      <w:pPr>
        <w:spacing w:line="360" w:lineRule="auto"/>
        <w:ind w:firstLine="723" w:firstLineChars="300"/>
        <w:rPr>
          <w:rFonts w:ascii="宋体" w:hAnsi="宋体"/>
          <w:b/>
          <w:sz w:val="24"/>
          <w:szCs w:val="28"/>
          <w:u w:val="single"/>
        </w:rPr>
      </w:pPr>
      <w:r>
        <w:rPr>
          <w:rFonts w:ascii="宋体" w:hAnsi="宋体"/>
          <w:b/>
          <w:sz w:val="24"/>
          <w:szCs w:val="28"/>
        </w:rPr>
        <w:t>采购合同编号</w:t>
      </w:r>
      <w:r>
        <w:rPr>
          <w:rFonts w:hint="eastAsia" w:ascii="宋体" w:hAnsi="宋体"/>
          <w:b/>
          <w:sz w:val="24"/>
          <w:szCs w:val="28"/>
        </w:rPr>
        <w:t>：</w:t>
      </w:r>
      <w:r>
        <w:rPr>
          <w:rFonts w:hint="eastAsia" w:ascii="宋体" w:hAnsi="宋体"/>
          <w:b/>
          <w:sz w:val="24"/>
          <w:szCs w:val="28"/>
          <w:u w:val="single"/>
          <w:lang w:val="en-US" w:eastAsia="zh-CN"/>
        </w:rPr>
        <w:t>QHYF</w:t>
      </w:r>
      <w:r>
        <w:rPr>
          <w:rFonts w:hint="eastAsia" w:ascii="宋体" w:hAnsi="宋体"/>
          <w:b/>
          <w:sz w:val="24"/>
          <w:szCs w:val="28"/>
          <w:u w:val="single"/>
        </w:rPr>
        <w:t>-20</w:t>
      </w:r>
      <w:r>
        <w:rPr>
          <w:rFonts w:hint="eastAsia" w:ascii="宋体" w:hAnsi="宋体" w:eastAsia="宋体" w:cs="Times New Roman"/>
          <w:b/>
          <w:sz w:val="24"/>
          <w:szCs w:val="28"/>
          <w:u w:val="single"/>
          <w:lang w:eastAsia="zh-CN"/>
        </w:rPr>
        <w:t>2</w:t>
      </w:r>
      <w:r>
        <w:rPr>
          <w:rFonts w:hint="eastAsia" w:ascii="宋体" w:hAnsi="宋体" w:cs="Times New Roman"/>
          <w:b/>
          <w:sz w:val="24"/>
          <w:szCs w:val="28"/>
          <w:u w:val="single"/>
          <w:lang w:val="en-US" w:eastAsia="zh-CN"/>
        </w:rPr>
        <w:t>4</w:t>
      </w:r>
      <w:r>
        <w:rPr>
          <w:rFonts w:hint="eastAsia" w:ascii="宋体" w:hAnsi="宋体" w:eastAsia="宋体" w:cs="Times New Roman"/>
          <w:b/>
          <w:sz w:val="24"/>
          <w:szCs w:val="28"/>
          <w:u w:val="single"/>
          <w:lang w:eastAsia="zh-CN"/>
        </w:rPr>
        <w:t>-0</w:t>
      </w:r>
      <w:r>
        <w:rPr>
          <w:rFonts w:hint="eastAsia" w:ascii="宋体" w:hAnsi="宋体" w:cs="Times New Roman"/>
          <w:b/>
          <w:sz w:val="24"/>
          <w:szCs w:val="28"/>
          <w:u w:val="single"/>
          <w:lang w:val="en-US" w:eastAsia="zh-CN"/>
        </w:rPr>
        <w:t>38</w:t>
      </w:r>
      <w:r>
        <w:rPr>
          <w:rFonts w:hint="eastAsia" w:ascii="宋体" w:hAnsi="宋体"/>
          <w:b/>
          <w:sz w:val="24"/>
          <w:szCs w:val="28"/>
          <w:u w:val="single"/>
        </w:rPr>
        <w:t xml:space="preserve">                            </w:t>
      </w:r>
    </w:p>
    <w:p w14:paraId="50631B5D">
      <w:pPr>
        <w:spacing w:line="360" w:lineRule="auto"/>
        <w:ind w:firstLine="723" w:firstLineChars="300"/>
        <w:rPr>
          <w:rFonts w:ascii="宋体" w:hAnsi="宋体"/>
          <w:b/>
          <w:sz w:val="24"/>
          <w:szCs w:val="28"/>
          <w:u w:val="single"/>
        </w:rPr>
      </w:pPr>
      <w:r>
        <w:rPr>
          <w:rFonts w:ascii="宋体" w:hAnsi="宋体"/>
          <w:b/>
          <w:sz w:val="24"/>
          <w:szCs w:val="28"/>
        </w:rPr>
        <w:t>合同金额</w:t>
      </w:r>
      <w:r>
        <w:rPr>
          <w:rFonts w:hint="eastAsia" w:ascii="宋体" w:hAnsi="宋体"/>
          <w:b/>
          <w:sz w:val="24"/>
          <w:szCs w:val="28"/>
        </w:rPr>
        <w:t>（</w:t>
      </w:r>
      <w:r>
        <w:rPr>
          <w:rFonts w:ascii="宋体" w:hAnsi="宋体"/>
          <w:b/>
          <w:sz w:val="24"/>
          <w:szCs w:val="28"/>
        </w:rPr>
        <w:t>人民币</w:t>
      </w:r>
      <w:r>
        <w:rPr>
          <w:rFonts w:hint="eastAsia" w:ascii="宋体" w:hAnsi="宋体"/>
          <w:b/>
          <w:sz w:val="24"/>
          <w:szCs w:val="28"/>
        </w:rPr>
        <w:t>）：</w:t>
      </w:r>
      <w:r>
        <w:rPr>
          <w:rFonts w:hint="eastAsia" w:ascii="宋体" w:hAnsi="宋体"/>
          <w:b/>
          <w:sz w:val="24"/>
          <w:szCs w:val="28"/>
          <w:u w:val="single"/>
        </w:rPr>
        <w:t xml:space="preserve">                                              </w:t>
      </w:r>
    </w:p>
    <w:p w14:paraId="1EA7132B">
      <w:pPr>
        <w:spacing w:line="360" w:lineRule="auto"/>
        <w:ind w:firstLine="723" w:firstLineChars="300"/>
        <w:rPr>
          <w:rFonts w:ascii="宋体" w:hAnsi="宋体"/>
          <w:b/>
          <w:sz w:val="24"/>
          <w:szCs w:val="28"/>
          <w:u w:val="single"/>
        </w:rPr>
      </w:pPr>
      <w:r>
        <w:rPr>
          <w:rFonts w:hint="eastAsia" w:ascii="宋体" w:hAnsi="宋体"/>
          <w:b/>
          <w:sz w:val="24"/>
          <w:szCs w:val="28"/>
        </w:rPr>
        <w:t>采购单位（</w:t>
      </w:r>
      <w:r>
        <w:rPr>
          <w:rFonts w:ascii="宋体" w:hAnsi="宋体"/>
          <w:b/>
          <w:sz w:val="24"/>
          <w:szCs w:val="28"/>
        </w:rPr>
        <w:t>甲方</w:t>
      </w:r>
      <w:r>
        <w:rPr>
          <w:rFonts w:hint="eastAsia" w:ascii="宋体" w:hAnsi="宋体"/>
          <w:b/>
          <w:sz w:val="24"/>
          <w:szCs w:val="28"/>
        </w:rPr>
        <w:t>）：</w:t>
      </w:r>
      <w:r>
        <w:rPr>
          <w:rFonts w:hint="eastAsia" w:ascii="宋体" w:hAnsi="宋体"/>
          <w:b/>
          <w:sz w:val="24"/>
          <w:szCs w:val="28"/>
          <w:u w:val="single"/>
        </w:rPr>
        <w:t xml:space="preserve">                                        （盖章）</w:t>
      </w:r>
    </w:p>
    <w:p w14:paraId="56E15C64">
      <w:pPr>
        <w:spacing w:line="360" w:lineRule="auto"/>
        <w:ind w:firstLine="723" w:firstLineChars="300"/>
        <w:rPr>
          <w:rFonts w:ascii="宋体" w:hAnsi="宋体"/>
          <w:b/>
          <w:sz w:val="24"/>
          <w:szCs w:val="28"/>
          <w:u w:val="single"/>
        </w:rPr>
      </w:pPr>
      <w:r>
        <w:rPr>
          <w:rFonts w:hint="eastAsia" w:ascii="宋体" w:hAnsi="宋体"/>
          <w:b/>
          <w:sz w:val="24"/>
          <w:szCs w:val="28"/>
        </w:rPr>
        <w:t>成交</w:t>
      </w:r>
      <w:r>
        <w:rPr>
          <w:rFonts w:ascii="宋体" w:hAnsi="宋体"/>
          <w:b/>
          <w:sz w:val="24"/>
          <w:szCs w:val="28"/>
        </w:rPr>
        <w:t>供应商</w:t>
      </w:r>
      <w:r>
        <w:rPr>
          <w:rFonts w:hint="eastAsia" w:ascii="宋体" w:hAnsi="宋体"/>
          <w:b/>
          <w:sz w:val="24"/>
          <w:szCs w:val="28"/>
        </w:rPr>
        <w:t>（</w:t>
      </w:r>
      <w:r>
        <w:rPr>
          <w:rFonts w:ascii="宋体" w:hAnsi="宋体"/>
          <w:b/>
          <w:sz w:val="24"/>
          <w:szCs w:val="28"/>
        </w:rPr>
        <w:t>乙方</w:t>
      </w:r>
      <w:r>
        <w:rPr>
          <w:rFonts w:hint="eastAsia" w:ascii="宋体" w:hAnsi="宋体"/>
          <w:b/>
          <w:sz w:val="24"/>
          <w:szCs w:val="28"/>
        </w:rPr>
        <w:t xml:space="preserve">）： </w:t>
      </w:r>
      <w:r>
        <w:rPr>
          <w:rFonts w:hint="eastAsia" w:ascii="宋体" w:hAnsi="宋体"/>
          <w:b/>
          <w:sz w:val="24"/>
          <w:szCs w:val="28"/>
          <w:u w:val="single"/>
        </w:rPr>
        <w:t xml:space="preserve">                                 （盖章）</w:t>
      </w:r>
    </w:p>
    <w:p w14:paraId="0B8A1A87">
      <w:pPr>
        <w:spacing w:line="360" w:lineRule="auto"/>
        <w:ind w:firstLine="723" w:firstLineChars="300"/>
        <w:rPr>
          <w:rFonts w:ascii="宋体" w:hAnsi="宋体"/>
          <w:b/>
          <w:sz w:val="24"/>
          <w:szCs w:val="28"/>
          <w:u w:val="single"/>
        </w:rPr>
      </w:pPr>
      <w:r>
        <w:rPr>
          <w:rFonts w:ascii="宋体" w:hAnsi="宋体"/>
          <w:b/>
          <w:sz w:val="24"/>
          <w:szCs w:val="28"/>
        </w:rPr>
        <w:t>采购日期</w:t>
      </w:r>
      <w:r>
        <w:rPr>
          <w:rFonts w:hint="eastAsia" w:ascii="宋体" w:hAnsi="宋体"/>
          <w:b/>
          <w:sz w:val="24"/>
          <w:szCs w:val="28"/>
        </w:rPr>
        <w:t>：</w:t>
      </w:r>
      <w:r>
        <w:rPr>
          <w:rFonts w:hint="eastAsia" w:ascii="宋体" w:hAnsi="宋体"/>
          <w:b/>
          <w:sz w:val="24"/>
          <w:szCs w:val="28"/>
          <w:u w:val="single"/>
        </w:rPr>
        <w:t xml:space="preserve">                                                        </w:t>
      </w:r>
    </w:p>
    <w:p w14:paraId="5AA876DF">
      <w:pPr>
        <w:spacing w:line="360" w:lineRule="auto"/>
        <w:rPr>
          <w:rFonts w:ascii="宋体" w:hAnsi="宋体" w:cs="宋体"/>
          <w:b/>
          <w:sz w:val="24"/>
        </w:rPr>
      </w:pPr>
      <w:r>
        <w:rPr>
          <w:rFonts w:ascii="宋体" w:hAnsi="宋体"/>
          <w:sz w:val="28"/>
          <w:szCs w:val="28"/>
          <w:u w:val="single"/>
        </w:rPr>
        <w:br w:type="page"/>
      </w:r>
      <w:r>
        <w:rPr>
          <w:rFonts w:hint="eastAsia" w:ascii="宋体" w:hAnsi="宋体" w:cs="宋体"/>
          <w:b/>
          <w:sz w:val="24"/>
        </w:rPr>
        <w:t>采购单位（以下简称甲方）：</w:t>
      </w:r>
    </w:p>
    <w:p w14:paraId="3301ECB4">
      <w:pPr>
        <w:spacing w:line="360" w:lineRule="auto"/>
        <w:rPr>
          <w:rFonts w:ascii="宋体" w:hAnsi="宋体" w:cs="宋体"/>
          <w:b/>
          <w:sz w:val="24"/>
        </w:rPr>
      </w:pPr>
      <w:r>
        <w:rPr>
          <w:rFonts w:hint="eastAsia" w:ascii="宋体" w:hAnsi="宋体" w:cs="宋体"/>
          <w:b/>
          <w:sz w:val="24"/>
        </w:rPr>
        <w:t>成交</w:t>
      </w:r>
      <w:r>
        <w:rPr>
          <w:rFonts w:ascii="宋体" w:hAnsi="宋体" w:cs="宋体"/>
          <w:b/>
          <w:sz w:val="24"/>
        </w:rPr>
        <w:t>供应商</w:t>
      </w:r>
      <w:r>
        <w:rPr>
          <w:rFonts w:hint="eastAsia" w:ascii="宋体" w:hAnsi="宋体" w:cs="宋体"/>
          <w:b/>
          <w:sz w:val="24"/>
        </w:rPr>
        <w:t>（</w:t>
      </w:r>
      <w:r>
        <w:rPr>
          <w:rFonts w:ascii="宋体" w:hAnsi="宋体" w:cs="宋体"/>
          <w:b/>
          <w:sz w:val="24"/>
        </w:rPr>
        <w:t>以下简称乙方</w:t>
      </w:r>
      <w:r>
        <w:rPr>
          <w:rFonts w:hint="eastAsia" w:ascii="宋体" w:hAnsi="宋体" w:cs="宋体"/>
          <w:b/>
          <w:sz w:val="24"/>
        </w:rPr>
        <w:t>）：</w:t>
      </w:r>
    </w:p>
    <w:p w14:paraId="3A15C77C">
      <w:pPr>
        <w:spacing w:line="360" w:lineRule="auto"/>
        <w:ind w:firstLine="480" w:firstLineChars="200"/>
        <w:rPr>
          <w:rFonts w:ascii="宋体" w:hAnsi="宋体" w:cs="宋体"/>
          <w:sz w:val="24"/>
        </w:rPr>
      </w:pPr>
      <w:r>
        <w:rPr>
          <w:rFonts w:hint="eastAsia" w:ascii="宋体" w:hAnsi="宋体" w:cs="宋体"/>
          <w:sz w:val="24"/>
        </w:rPr>
        <w:t>甲、乙双方根据</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lang w:val="zh-CN"/>
        </w:rPr>
        <w:t>全民健身场地器材补短板工程乡镇（街道）项目</w:t>
      </w:r>
      <w:r>
        <w:rPr>
          <w:rFonts w:hint="eastAsia" w:ascii="宋体" w:hAnsi="宋体" w:cs="宋体"/>
          <w:sz w:val="24"/>
        </w:rPr>
        <w:t>（</w:t>
      </w:r>
      <w:r>
        <w:rPr>
          <w:rFonts w:hint="eastAsia" w:ascii="宋体" w:hAnsi="宋体" w:cs="宋体"/>
          <w:sz w:val="24"/>
          <w:lang w:eastAsia="zh-CN"/>
        </w:rPr>
        <w:t>青海奕帆竞磋（货物）2024-038</w:t>
      </w:r>
      <w:r>
        <w:rPr>
          <w:rFonts w:hint="eastAsia" w:ascii="宋体" w:hAnsi="宋体" w:cs="宋体"/>
          <w:sz w:val="24"/>
        </w:rPr>
        <w:t>）的磋商文件要求和采购代理机构出具的《成交通知书》，并经双方协商一致，签订本合同协议书。</w:t>
      </w:r>
    </w:p>
    <w:p w14:paraId="0A003C6A">
      <w:pPr>
        <w:spacing w:line="360" w:lineRule="auto"/>
        <w:rPr>
          <w:rFonts w:ascii="宋体" w:hAnsi="宋体" w:cs="宋体"/>
          <w:b/>
          <w:sz w:val="24"/>
        </w:rPr>
      </w:pPr>
      <w:r>
        <w:rPr>
          <w:rFonts w:ascii="宋体" w:hAnsi="宋体" w:cs="宋体"/>
          <w:b/>
          <w:sz w:val="24"/>
        </w:rPr>
        <w:t>一</w:t>
      </w:r>
      <w:r>
        <w:rPr>
          <w:rFonts w:hint="eastAsia" w:ascii="宋体" w:hAnsi="宋体" w:cs="宋体"/>
          <w:b/>
          <w:sz w:val="24"/>
        </w:rPr>
        <w:t>、签订本政府采购合同的依据</w:t>
      </w:r>
    </w:p>
    <w:p w14:paraId="3EDFD30B">
      <w:pPr>
        <w:spacing w:line="360" w:lineRule="auto"/>
        <w:ind w:firstLine="480" w:firstLineChars="200"/>
        <w:rPr>
          <w:rFonts w:ascii="宋体" w:hAnsi="宋体" w:cs="宋体"/>
          <w:sz w:val="24"/>
        </w:rPr>
      </w:pPr>
      <w:r>
        <w:rPr>
          <w:rFonts w:hint="eastAsia" w:ascii="宋体" w:hAnsi="宋体" w:cs="宋体"/>
          <w:sz w:val="24"/>
        </w:rPr>
        <w:t>本政府采购合同所附下列文件是构成本政府采购合同不可分割的部分：</w:t>
      </w:r>
    </w:p>
    <w:p w14:paraId="75D94819">
      <w:pPr>
        <w:spacing w:line="360" w:lineRule="auto"/>
        <w:rPr>
          <w:rFonts w:ascii="宋体" w:hAnsi="宋体" w:cs="宋体"/>
          <w:sz w:val="24"/>
        </w:rPr>
      </w:pPr>
      <w:r>
        <w:rPr>
          <w:rFonts w:hint="eastAsia" w:ascii="宋体" w:hAnsi="宋体" w:cs="宋体"/>
          <w:sz w:val="24"/>
        </w:rPr>
        <w:t>1．磋商文件；</w:t>
      </w:r>
    </w:p>
    <w:p w14:paraId="74202C3D">
      <w:pPr>
        <w:spacing w:line="360" w:lineRule="auto"/>
        <w:rPr>
          <w:rFonts w:ascii="宋体" w:hAnsi="宋体" w:cs="宋体"/>
          <w:sz w:val="24"/>
        </w:rPr>
      </w:pPr>
      <w:r>
        <w:rPr>
          <w:rFonts w:hint="eastAsia" w:ascii="宋体" w:hAnsi="宋体" w:cs="宋体"/>
          <w:sz w:val="24"/>
        </w:rPr>
        <w:t>2．磋商文件的更正、变更公告；</w:t>
      </w:r>
    </w:p>
    <w:p w14:paraId="64018424">
      <w:pPr>
        <w:spacing w:line="360" w:lineRule="auto"/>
        <w:rPr>
          <w:rFonts w:ascii="宋体" w:hAnsi="宋体" w:cs="宋体"/>
          <w:sz w:val="24"/>
        </w:rPr>
      </w:pPr>
      <w:r>
        <w:rPr>
          <w:rFonts w:hint="eastAsia" w:ascii="宋体" w:hAnsi="宋体" w:cs="宋体"/>
          <w:sz w:val="24"/>
        </w:rPr>
        <w:t>3．中标磋商供应商提交的磋商响应文件；</w:t>
      </w:r>
    </w:p>
    <w:p w14:paraId="455CEBBB">
      <w:pPr>
        <w:spacing w:line="360" w:lineRule="auto"/>
        <w:rPr>
          <w:rFonts w:ascii="宋体" w:hAnsi="宋体" w:cs="宋体"/>
          <w:sz w:val="24"/>
        </w:rPr>
      </w:pPr>
      <w:r>
        <w:rPr>
          <w:rFonts w:hint="eastAsia" w:ascii="宋体" w:hAnsi="宋体" w:cs="宋体"/>
          <w:sz w:val="24"/>
        </w:rPr>
        <w:t>4．磋商文件中规定的政府采购合同通用条款；</w:t>
      </w:r>
    </w:p>
    <w:p w14:paraId="334DA367">
      <w:pPr>
        <w:spacing w:line="360" w:lineRule="auto"/>
        <w:rPr>
          <w:rFonts w:ascii="宋体" w:hAnsi="宋体" w:cs="宋体"/>
          <w:sz w:val="24"/>
        </w:rPr>
      </w:pPr>
      <w:r>
        <w:rPr>
          <w:rFonts w:hint="eastAsia" w:ascii="宋体" w:hAnsi="宋体" w:cs="宋体"/>
          <w:sz w:val="24"/>
        </w:rPr>
        <w:t>5．成交通知书；</w:t>
      </w:r>
    </w:p>
    <w:p w14:paraId="0B7351A4">
      <w:pPr>
        <w:spacing w:line="360" w:lineRule="auto"/>
        <w:rPr>
          <w:rFonts w:ascii="宋体" w:hAnsi="宋体" w:cs="宋体"/>
          <w:sz w:val="24"/>
        </w:rPr>
      </w:pPr>
      <w:r>
        <w:rPr>
          <w:rFonts w:hint="eastAsia" w:ascii="宋体" w:hAnsi="宋体" w:cs="宋体"/>
          <w:sz w:val="24"/>
        </w:rPr>
        <w:t>6. 履约保证金缴纳证明。</w:t>
      </w:r>
    </w:p>
    <w:p w14:paraId="329B8BD5">
      <w:pPr>
        <w:spacing w:line="360" w:lineRule="auto"/>
        <w:rPr>
          <w:rFonts w:ascii="宋体" w:hAnsi="宋体"/>
          <w:b/>
          <w:sz w:val="24"/>
        </w:rPr>
      </w:pPr>
      <w:r>
        <w:rPr>
          <w:rFonts w:hint="eastAsia" w:ascii="宋体" w:hAnsi="宋体"/>
          <w:b/>
          <w:sz w:val="24"/>
        </w:rPr>
        <w:t xml:space="preserve">二、合同标的及金额                                          </w:t>
      </w:r>
      <w:r>
        <w:rPr>
          <w:rFonts w:hint="eastAsia" w:ascii="宋体" w:hAnsi="宋体"/>
          <w:sz w:val="24"/>
        </w:rPr>
        <w:t>单位：    元</w:t>
      </w:r>
    </w:p>
    <w:tbl>
      <w:tblPr>
        <w:tblStyle w:val="34"/>
        <w:tblW w:w="9644" w:type="dxa"/>
        <w:tblInd w:w="103" w:type="dxa"/>
        <w:tblLayout w:type="fixed"/>
        <w:tblCellMar>
          <w:top w:w="0" w:type="dxa"/>
          <w:left w:w="108" w:type="dxa"/>
          <w:bottom w:w="0" w:type="dxa"/>
          <w:right w:w="108" w:type="dxa"/>
        </w:tblCellMar>
      </w:tblPr>
      <w:tblGrid>
        <w:gridCol w:w="1265"/>
        <w:gridCol w:w="1260"/>
        <w:gridCol w:w="1308"/>
        <w:gridCol w:w="1583"/>
        <w:gridCol w:w="1350"/>
        <w:gridCol w:w="1590"/>
        <w:gridCol w:w="1288"/>
      </w:tblGrid>
      <w:tr w14:paraId="109E0B0C">
        <w:tblPrEx>
          <w:tblCellMar>
            <w:top w:w="0" w:type="dxa"/>
            <w:left w:w="108" w:type="dxa"/>
            <w:bottom w:w="0" w:type="dxa"/>
            <w:right w:w="108" w:type="dxa"/>
          </w:tblCellMar>
        </w:tblPrEx>
        <w:trPr>
          <w:trHeight w:val="757" w:hRule="atLeast"/>
        </w:trPr>
        <w:tc>
          <w:tcPr>
            <w:tcW w:w="1265" w:type="dxa"/>
            <w:tcBorders>
              <w:top w:val="single" w:color="auto" w:sz="4" w:space="0"/>
              <w:left w:val="single" w:color="auto" w:sz="4" w:space="0"/>
              <w:bottom w:val="single" w:color="auto" w:sz="4" w:space="0"/>
              <w:right w:val="single" w:color="auto" w:sz="4" w:space="0"/>
            </w:tcBorders>
            <w:shd w:val="clear" w:color="auto" w:fill="FFFFFF"/>
            <w:vAlign w:val="center"/>
          </w:tcPr>
          <w:p w14:paraId="71A0A30D">
            <w:pPr>
              <w:spacing w:line="360" w:lineRule="auto"/>
              <w:jc w:val="center"/>
              <w:rPr>
                <w:rFonts w:ascii="宋体" w:hAnsi="宋体"/>
                <w:sz w:val="24"/>
              </w:rPr>
            </w:pPr>
            <w:r>
              <w:rPr>
                <w:rFonts w:hint="eastAsia" w:ascii="宋体" w:hAnsi="宋体"/>
                <w:sz w:val="24"/>
              </w:rPr>
              <w:t>序号</w:t>
            </w:r>
          </w:p>
        </w:tc>
        <w:tc>
          <w:tcPr>
            <w:tcW w:w="1260" w:type="dxa"/>
            <w:tcBorders>
              <w:top w:val="single" w:color="auto" w:sz="4" w:space="0"/>
              <w:left w:val="nil"/>
              <w:bottom w:val="single" w:color="auto" w:sz="4" w:space="0"/>
              <w:right w:val="single" w:color="auto" w:sz="4" w:space="0"/>
            </w:tcBorders>
            <w:shd w:val="clear" w:color="auto" w:fill="FFFFFF"/>
            <w:vAlign w:val="center"/>
          </w:tcPr>
          <w:p w14:paraId="33F332C0">
            <w:pPr>
              <w:spacing w:line="360" w:lineRule="auto"/>
              <w:jc w:val="center"/>
              <w:rPr>
                <w:rFonts w:ascii="宋体" w:hAnsi="宋体"/>
                <w:sz w:val="24"/>
              </w:rPr>
            </w:pPr>
            <w:r>
              <w:rPr>
                <w:rFonts w:hint="eastAsia" w:ascii="宋体" w:hAnsi="宋体"/>
                <w:sz w:val="24"/>
              </w:rPr>
              <w:t>标的名称</w:t>
            </w:r>
          </w:p>
        </w:tc>
        <w:tc>
          <w:tcPr>
            <w:tcW w:w="1308" w:type="dxa"/>
            <w:tcBorders>
              <w:top w:val="single" w:color="auto" w:sz="4" w:space="0"/>
              <w:left w:val="nil"/>
              <w:bottom w:val="single" w:color="auto" w:sz="4" w:space="0"/>
              <w:right w:val="single" w:color="auto" w:sz="4" w:space="0"/>
            </w:tcBorders>
            <w:shd w:val="clear" w:color="auto" w:fill="FFFFFF"/>
            <w:vAlign w:val="center"/>
          </w:tcPr>
          <w:p w14:paraId="0CBF3071">
            <w:pPr>
              <w:spacing w:line="360" w:lineRule="auto"/>
              <w:jc w:val="center"/>
              <w:rPr>
                <w:rFonts w:ascii="宋体" w:hAnsi="宋体"/>
                <w:sz w:val="24"/>
              </w:rPr>
            </w:pPr>
            <w:r>
              <w:rPr>
                <w:rFonts w:hint="eastAsia" w:ascii="宋体" w:hAnsi="宋体"/>
                <w:sz w:val="24"/>
              </w:rPr>
              <w:t>型号规格</w:t>
            </w:r>
          </w:p>
        </w:tc>
        <w:tc>
          <w:tcPr>
            <w:tcW w:w="1583" w:type="dxa"/>
            <w:tcBorders>
              <w:top w:val="single" w:color="auto" w:sz="4" w:space="0"/>
              <w:left w:val="nil"/>
              <w:bottom w:val="single" w:color="auto" w:sz="4" w:space="0"/>
              <w:right w:val="single" w:color="auto" w:sz="4" w:space="0"/>
            </w:tcBorders>
            <w:shd w:val="clear" w:color="auto" w:fill="FFFFFF"/>
            <w:vAlign w:val="center"/>
          </w:tcPr>
          <w:p w14:paraId="2EA02A1B">
            <w:pPr>
              <w:spacing w:line="360" w:lineRule="auto"/>
              <w:jc w:val="center"/>
              <w:rPr>
                <w:rFonts w:hint="default" w:ascii="宋体" w:hAnsi="宋体" w:eastAsia="宋体"/>
                <w:sz w:val="24"/>
                <w:lang w:val="en-US" w:eastAsia="zh-CN"/>
              </w:rPr>
            </w:pPr>
            <w:r>
              <w:rPr>
                <w:rFonts w:hint="eastAsia" w:ascii="宋体" w:hAnsi="宋体"/>
                <w:sz w:val="24"/>
              </w:rPr>
              <w:t>数量</w:t>
            </w:r>
            <w:r>
              <w:rPr>
                <w:rFonts w:hint="eastAsia" w:ascii="宋体" w:hAnsi="宋体"/>
                <w:sz w:val="24"/>
                <w:lang w:val="en-US" w:eastAsia="zh-CN"/>
              </w:rPr>
              <w:t>及单位</w:t>
            </w:r>
          </w:p>
        </w:tc>
        <w:tc>
          <w:tcPr>
            <w:tcW w:w="1350" w:type="dxa"/>
            <w:tcBorders>
              <w:top w:val="single" w:color="auto" w:sz="4" w:space="0"/>
              <w:left w:val="nil"/>
              <w:bottom w:val="single" w:color="auto" w:sz="4" w:space="0"/>
              <w:right w:val="single" w:color="auto" w:sz="4" w:space="0"/>
            </w:tcBorders>
            <w:shd w:val="clear" w:color="auto" w:fill="FFFFFF"/>
            <w:vAlign w:val="center"/>
          </w:tcPr>
          <w:p w14:paraId="6D17C13F">
            <w:pPr>
              <w:spacing w:line="360" w:lineRule="auto"/>
              <w:jc w:val="center"/>
              <w:rPr>
                <w:rFonts w:ascii="宋体" w:hAnsi="宋体"/>
                <w:sz w:val="24"/>
              </w:rPr>
            </w:pPr>
            <w:r>
              <w:rPr>
                <w:rFonts w:hint="eastAsia" w:ascii="宋体" w:hAnsi="宋体"/>
                <w:sz w:val="24"/>
              </w:rPr>
              <w:t>单价</w:t>
            </w:r>
          </w:p>
        </w:tc>
        <w:tc>
          <w:tcPr>
            <w:tcW w:w="1590" w:type="dxa"/>
            <w:tcBorders>
              <w:top w:val="single" w:color="auto" w:sz="4" w:space="0"/>
              <w:left w:val="nil"/>
              <w:bottom w:val="single" w:color="auto" w:sz="4" w:space="0"/>
              <w:right w:val="single" w:color="auto" w:sz="4" w:space="0"/>
            </w:tcBorders>
            <w:shd w:val="clear" w:color="auto" w:fill="FFFFFF"/>
            <w:vAlign w:val="center"/>
          </w:tcPr>
          <w:p w14:paraId="0BBCD170">
            <w:pPr>
              <w:spacing w:line="360" w:lineRule="auto"/>
              <w:jc w:val="center"/>
              <w:rPr>
                <w:rFonts w:ascii="宋体" w:hAnsi="宋体"/>
                <w:sz w:val="24"/>
              </w:rPr>
            </w:pPr>
            <w:r>
              <w:rPr>
                <w:rFonts w:hint="eastAsia" w:ascii="宋体" w:hAnsi="宋体"/>
                <w:sz w:val="24"/>
              </w:rPr>
              <w:t>总价</w:t>
            </w:r>
          </w:p>
        </w:tc>
        <w:tc>
          <w:tcPr>
            <w:tcW w:w="1288" w:type="dxa"/>
            <w:tcBorders>
              <w:top w:val="single" w:color="auto" w:sz="4" w:space="0"/>
              <w:left w:val="nil"/>
              <w:bottom w:val="single" w:color="auto" w:sz="4" w:space="0"/>
              <w:right w:val="single" w:color="auto" w:sz="4" w:space="0"/>
            </w:tcBorders>
            <w:shd w:val="clear" w:color="auto" w:fill="FFFFFF"/>
            <w:vAlign w:val="center"/>
          </w:tcPr>
          <w:p w14:paraId="2C323254">
            <w:pPr>
              <w:spacing w:line="360" w:lineRule="auto"/>
              <w:jc w:val="center"/>
              <w:rPr>
                <w:rFonts w:ascii="宋体" w:hAnsi="宋体"/>
                <w:sz w:val="24"/>
              </w:rPr>
            </w:pPr>
            <w:r>
              <w:rPr>
                <w:rFonts w:hint="eastAsia" w:ascii="宋体" w:hAnsi="宋体"/>
                <w:sz w:val="24"/>
              </w:rPr>
              <w:t>备注</w:t>
            </w:r>
          </w:p>
        </w:tc>
      </w:tr>
      <w:tr w14:paraId="01BE5B6E">
        <w:tblPrEx>
          <w:tblCellMar>
            <w:top w:w="0" w:type="dxa"/>
            <w:left w:w="108" w:type="dxa"/>
            <w:bottom w:w="0" w:type="dxa"/>
            <w:right w:w="108" w:type="dxa"/>
          </w:tblCellMar>
        </w:tblPrEx>
        <w:trPr>
          <w:trHeight w:val="564" w:hRule="atLeast"/>
        </w:trPr>
        <w:tc>
          <w:tcPr>
            <w:tcW w:w="1265" w:type="dxa"/>
            <w:tcBorders>
              <w:top w:val="nil"/>
              <w:left w:val="single" w:color="auto" w:sz="4" w:space="0"/>
              <w:bottom w:val="single" w:color="auto" w:sz="4" w:space="0"/>
              <w:right w:val="single" w:color="auto" w:sz="4" w:space="0"/>
            </w:tcBorders>
            <w:shd w:val="clear" w:color="auto" w:fill="FFFFFF"/>
            <w:vAlign w:val="center"/>
          </w:tcPr>
          <w:p w14:paraId="36363C42">
            <w:pPr>
              <w:spacing w:line="360" w:lineRule="auto"/>
              <w:jc w:val="center"/>
              <w:rPr>
                <w:rFonts w:ascii="宋体" w:hAnsi="宋体"/>
                <w:sz w:val="24"/>
              </w:rPr>
            </w:pPr>
            <w:r>
              <w:rPr>
                <w:rFonts w:hint="eastAsia" w:ascii="宋体" w:hAnsi="宋体"/>
                <w:sz w:val="24"/>
              </w:rPr>
              <w:t>1</w:t>
            </w:r>
          </w:p>
        </w:tc>
        <w:tc>
          <w:tcPr>
            <w:tcW w:w="1260" w:type="dxa"/>
            <w:tcBorders>
              <w:top w:val="nil"/>
              <w:left w:val="nil"/>
              <w:bottom w:val="single" w:color="auto" w:sz="4" w:space="0"/>
              <w:right w:val="single" w:color="auto" w:sz="4" w:space="0"/>
            </w:tcBorders>
            <w:shd w:val="clear" w:color="auto" w:fill="FFFFFF"/>
            <w:vAlign w:val="center"/>
          </w:tcPr>
          <w:p w14:paraId="3F453F39">
            <w:pPr>
              <w:spacing w:line="360" w:lineRule="auto"/>
              <w:jc w:val="center"/>
              <w:rPr>
                <w:rFonts w:ascii="宋体" w:hAnsi="宋体"/>
                <w:sz w:val="24"/>
              </w:rPr>
            </w:pPr>
          </w:p>
        </w:tc>
        <w:tc>
          <w:tcPr>
            <w:tcW w:w="1308" w:type="dxa"/>
            <w:tcBorders>
              <w:top w:val="nil"/>
              <w:left w:val="nil"/>
              <w:bottom w:val="single" w:color="auto" w:sz="4" w:space="0"/>
              <w:right w:val="single" w:color="auto" w:sz="4" w:space="0"/>
            </w:tcBorders>
            <w:shd w:val="clear" w:color="auto" w:fill="FFFFFF"/>
            <w:vAlign w:val="center"/>
          </w:tcPr>
          <w:p w14:paraId="4425D21B">
            <w:pPr>
              <w:spacing w:line="360" w:lineRule="auto"/>
              <w:jc w:val="center"/>
              <w:rPr>
                <w:rFonts w:ascii="宋体" w:hAnsi="宋体"/>
                <w:sz w:val="24"/>
              </w:rPr>
            </w:pPr>
          </w:p>
        </w:tc>
        <w:tc>
          <w:tcPr>
            <w:tcW w:w="1583" w:type="dxa"/>
            <w:tcBorders>
              <w:top w:val="nil"/>
              <w:left w:val="nil"/>
              <w:bottom w:val="single" w:color="auto" w:sz="4" w:space="0"/>
              <w:right w:val="single" w:color="auto" w:sz="4" w:space="0"/>
            </w:tcBorders>
            <w:shd w:val="clear" w:color="auto" w:fill="FFFFFF"/>
            <w:vAlign w:val="center"/>
          </w:tcPr>
          <w:p w14:paraId="746FE86B">
            <w:pPr>
              <w:spacing w:line="360" w:lineRule="auto"/>
              <w:jc w:val="center"/>
              <w:rPr>
                <w:rFonts w:ascii="宋体" w:hAnsi="宋体"/>
                <w:sz w:val="24"/>
              </w:rPr>
            </w:pPr>
          </w:p>
        </w:tc>
        <w:tc>
          <w:tcPr>
            <w:tcW w:w="1350" w:type="dxa"/>
            <w:tcBorders>
              <w:top w:val="nil"/>
              <w:left w:val="nil"/>
              <w:bottom w:val="single" w:color="auto" w:sz="4" w:space="0"/>
              <w:right w:val="single" w:color="auto" w:sz="4" w:space="0"/>
            </w:tcBorders>
            <w:shd w:val="clear" w:color="auto" w:fill="FFFFFF"/>
            <w:vAlign w:val="center"/>
          </w:tcPr>
          <w:p w14:paraId="07C2BD3B">
            <w:pPr>
              <w:spacing w:line="360" w:lineRule="auto"/>
              <w:jc w:val="center"/>
              <w:rPr>
                <w:rFonts w:ascii="宋体" w:hAnsi="宋体"/>
                <w:sz w:val="24"/>
              </w:rPr>
            </w:pPr>
          </w:p>
        </w:tc>
        <w:tc>
          <w:tcPr>
            <w:tcW w:w="1590" w:type="dxa"/>
            <w:tcBorders>
              <w:top w:val="nil"/>
              <w:left w:val="nil"/>
              <w:bottom w:val="single" w:color="auto" w:sz="4" w:space="0"/>
              <w:right w:val="nil"/>
            </w:tcBorders>
            <w:shd w:val="clear" w:color="auto" w:fill="FFFFFF"/>
            <w:vAlign w:val="center"/>
          </w:tcPr>
          <w:p w14:paraId="2D18A37B">
            <w:pPr>
              <w:spacing w:line="360" w:lineRule="auto"/>
              <w:jc w:val="center"/>
              <w:rPr>
                <w:rFonts w:ascii="宋体" w:hAnsi="宋体"/>
                <w:sz w:val="24"/>
              </w:rPr>
            </w:pPr>
          </w:p>
        </w:tc>
        <w:tc>
          <w:tcPr>
            <w:tcW w:w="1288" w:type="dxa"/>
            <w:tcBorders>
              <w:top w:val="nil"/>
              <w:left w:val="single" w:color="auto" w:sz="4" w:space="0"/>
              <w:bottom w:val="single" w:color="auto" w:sz="4" w:space="0"/>
              <w:right w:val="single" w:color="auto" w:sz="4" w:space="0"/>
            </w:tcBorders>
            <w:shd w:val="clear" w:color="auto" w:fill="FFFFFF"/>
            <w:vAlign w:val="center"/>
          </w:tcPr>
          <w:p w14:paraId="2A4F934E">
            <w:pPr>
              <w:spacing w:line="360" w:lineRule="auto"/>
              <w:jc w:val="center"/>
              <w:rPr>
                <w:rFonts w:ascii="宋体" w:hAnsi="宋体"/>
                <w:sz w:val="24"/>
              </w:rPr>
            </w:pPr>
          </w:p>
        </w:tc>
      </w:tr>
      <w:tr w14:paraId="5E3203DA">
        <w:tblPrEx>
          <w:tblCellMar>
            <w:top w:w="0" w:type="dxa"/>
            <w:left w:w="108" w:type="dxa"/>
            <w:bottom w:w="0" w:type="dxa"/>
            <w:right w:w="108" w:type="dxa"/>
          </w:tblCellMar>
        </w:tblPrEx>
        <w:trPr>
          <w:trHeight w:val="702" w:hRule="atLeast"/>
        </w:trPr>
        <w:tc>
          <w:tcPr>
            <w:tcW w:w="1265" w:type="dxa"/>
            <w:tcBorders>
              <w:top w:val="nil"/>
              <w:left w:val="single" w:color="auto" w:sz="4" w:space="0"/>
              <w:bottom w:val="single" w:color="auto" w:sz="4" w:space="0"/>
              <w:right w:val="single" w:color="auto" w:sz="4" w:space="0"/>
            </w:tcBorders>
            <w:shd w:val="clear" w:color="auto" w:fill="FFFFFF"/>
            <w:vAlign w:val="center"/>
          </w:tcPr>
          <w:p w14:paraId="31DCB05E">
            <w:pPr>
              <w:spacing w:line="360" w:lineRule="auto"/>
              <w:jc w:val="center"/>
              <w:rPr>
                <w:rFonts w:ascii="宋体" w:hAnsi="宋体"/>
                <w:sz w:val="24"/>
              </w:rPr>
            </w:pPr>
            <w:r>
              <w:rPr>
                <w:rFonts w:hint="eastAsia" w:ascii="宋体" w:hAnsi="宋体"/>
                <w:sz w:val="24"/>
              </w:rPr>
              <w:t>2</w:t>
            </w:r>
          </w:p>
        </w:tc>
        <w:tc>
          <w:tcPr>
            <w:tcW w:w="1260" w:type="dxa"/>
            <w:tcBorders>
              <w:top w:val="nil"/>
              <w:left w:val="nil"/>
              <w:bottom w:val="single" w:color="auto" w:sz="4" w:space="0"/>
              <w:right w:val="single" w:color="auto" w:sz="4" w:space="0"/>
            </w:tcBorders>
            <w:shd w:val="clear" w:color="auto" w:fill="FFFFFF"/>
            <w:vAlign w:val="center"/>
          </w:tcPr>
          <w:p w14:paraId="408D225E">
            <w:pPr>
              <w:spacing w:line="360" w:lineRule="auto"/>
              <w:jc w:val="center"/>
              <w:rPr>
                <w:rFonts w:ascii="宋体" w:hAnsi="宋体"/>
                <w:sz w:val="24"/>
              </w:rPr>
            </w:pPr>
          </w:p>
        </w:tc>
        <w:tc>
          <w:tcPr>
            <w:tcW w:w="1308" w:type="dxa"/>
            <w:tcBorders>
              <w:top w:val="nil"/>
              <w:left w:val="nil"/>
              <w:bottom w:val="single" w:color="auto" w:sz="4" w:space="0"/>
              <w:right w:val="single" w:color="auto" w:sz="4" w:space="0"/>
            </w:tcBorders>
            <w:shd w:val="clear" w:color="auto" w:fill="FFFFFF"/>
            <w:vAlign w:val="center"/>
          </w:tcPr>
          <w:p w14:paraId="77FF3EDE">
            <w:pPr>
              <w:spacing w:line="360" w:lineRule="auto"/>
              <w:jc w:val="center"/>
              <w:rPr>
                <w:rFonts w:ascii="宋体" w:hAnsi="宋体"/>
                <w:sz w:val="24"/>
              </w:rPr>
            </w:pPr>
          </w:p>
        </w:tc>
        <w:tc>
          <w:tcPr>
            <w:tcW w:w="1583" w:type="dxa"/>
            <w:tcBorders>
              <w:top w:val="single" w:color="auto" w:sz="4" w:space="0"/>
              <w:left w:val="nil"/>
              <w:bottom w:val="single" w:color="auto" w:sz="4" w:space="0"/>
              <w:right w:val="single" w:color="auto" w:sz="4" w:space="0"/>
            </w:tcBorders>
            <w:shd w:val="clear" w:color="auto" w:fill="FFFFFF"/>
            <w:vAlign w:val="center"/>
          </w:tcPr>
          <w:p w14:paraId="5D327E4C">
            <w:pPr>
              <w:spacing w:line="360" w:lineRule="auto"/>
              <w:jc w:val="center"/>
              <w:rPr>
                <w:rFonts w:ascii="宋体" w:hAnsi="宋体"/>
                <w:sz w:val="24"/>
              </w:rPr>
            </w:pPr>
          </w:p>
        </w:tc>
        <w:tc>
          <w:tcPr>
            <w:tcW w:w="1350" w:type="dxa"/>
            <w:tcBorders>
              <w:top w:val="nil"/>
              <w:left w:val="nil"/>
              <w:bottom w:val="single" w:color="auto" w:sz="4" w:space="0"/>
              <w:right w:val="single" w:color="auto" w:sz="4" w:space="0"/>
            </w:tcBorders>
            <w:shd w:val="clear" w:color="auto" w:fill="FFFFFF"/>
            <w:vAlign w:val="center"/>
          </w:tcPr>
          <w:p w14:paraId="793E5CFD">
            <w:pPr>
              <w:spacing w:line="360" w:lineRule="auto"/>
              <w:jc w:val="center"/>
              <w:rPr>
                <w:rFonts w:ascii="宋体" w:hAnsi="宋体"/>
                <w:sz w:val="24"/>
              </w:rPr>
            </w:pPr>
          </w:p>
        </w:tc>
        <w:tc>
          <w:tcPr>
            <w:tcW w:w="1590" w:type="dxa"/>
            <w:tcBorders>
              <w:top w:val="nil"/>
              <w:left w:val="nil"/>
              <w:bottom w:val="single" w:color="auto" w:sz="4" w:space="0"/>
              <w:right w:val="nil"/>
            </w:tcBorders>
            <w:shd w:val="clear" w:color="auto" w:fill="FFFFFF"/>
            <w:vAlign w:val="center"/>
          </w:tcPr>
          <w:p w14:paraId="067CE909">
            <w:pPr>
              <w:spacing w:line="360" w:lineRule="auto"/>
              <w:jc w:val="center"/>
              <w:rPr>
                <w:rFonts w:ascii="宋体" w:hAnsi="宋体"/>
                <w:sz w:val="24"/>
              </w:rPr>
            </w:pPr>
          </w:p>
        </w:tc>
        <w:tc>
          <w:tcPr>
            <w:tcW w:w="1288" w:type="dxa"/>
            <w:tcBorders>
              <w:top w:val="nil"/>
              <w:left w:val="single" w:color="auto" w:sz="4" w:space="0"/>
              <w:bottom w:val="single" w:color="auto" w:sz="4" w:space="0"/>
              <w:right w:val="single" w:color="auto" w:sz="4" w:space="0"/>
            </w:tcBorders>
            <w:shd w:val="clear" w:color="auto" w:fill="FFFFFF"/>
            <w:vAlign w:val="center"/>
          </w:tcPr>
          <w:p w14:paraId="5D3A9ECF">
            <w:pPr>
              <w:spacing w:line="360" w:lineRule="auto"/>
              <w:jc w:val="center"/>
              <w:rPr>
                <w:rFonts w:ascii="宋体" w:hAnsi="宋体"/>
                <w:sz w:val="24"/>
              </w:rPr>
            </w:pPr>
          </w:p>
        </w:tc>
      </w:tr>
      <w:tr w14:paraId="2A1F70C9">
        <w:tblPrEx>
          <w:tblCellMar>
            <w:top w:w="0" w:type="dxa"/>
            <w:left w:w="108" w:type="dxa"/>
            <w:bottom w:w="0" w:type="dxa"/>
            <w:right w:w="108" w:type="dxa"/>
          </w:tblCellMar>
        </w:tblPrEx>
        <w:trPr>
          <w:trHeight w:val="702" w:hRule="atLeast"/>
        </w:trPr>
        <w:tc>
          <w:tcPr>
            <w:tcW w:w="1265" w:type="dxa"/>
            <w:tcBorders>
              <w:top w:val="single" w:color="auto" w:sz="4" w:space="0"/>
              <w:left w:val="single" w:color="auto" w:sz="4" w:space="0"/>
              <w:bottom w:val="single" w:color="auto" w:sz="4" w:space="0"/>
              <w:right w:val="single" w:color="auto" w:sz="4" w:space="0"/>
            </w:tcBorders>
            <w:shd w:val="clear" w:color="auto" w:fill="FFFFFF"/>
            <w:vAlign w:val="center"/>
          </w:tcPr>
          <w:p w14:paraId="6E0D2022">
            <w:pPr>
              <w:spacing w:line="360" w:lineRule="auto"/>
              <w:jc w:val="center"/>
              <w:rPr>
                <w:rFonts w:ascii="宋体" w:hAnsi="宋体"/>
                <w:sz w:val="24"/>
              </w:rPr>
            </w:pPr>
            <w:r>
              <w:rPr>
                <w:rFonts w:hint="eastAsia" w:ascii="宋体" w:hAnsi="宋体"/>
                <w:sz w:val="24"/>
              </w:rPr>
              <w:t>…</w:t>
            </w:r>
          </w:p>
        </w:tc>
        <w:tc>
          <w:tcPr>
            <w:tcW w:w="1260" w:type="dxa"/>
            <w:tcBorders>
              <w:top w:val="single" w:color="auto" w:sz="4" w:space="0"/>
              <w:left w:val="nil"/>
              <w:bottom w:val="single" w:color="auto" w:sz="4" w:space="0"/>
              <w:right w:val="single" w:color="auto" w:sz="4" w:space="0"/>
            </w:tcBorders>
            <w:shd w:val="clear" w:color="auto" w:fill="FFFFFF"/>
            <w:vAlign w:val="center"/>
          </w:tcPr>
          <w:p w14:paraId="48414F43">
            <w:pPr>
              <w:spacing w:line="360" w:lineRule="auto"/>
              <w:jc w:val="center"/>
              <w:rPr>
                <w:rFonts w:ascii="宋体" w:hAnsi="宋体"/>
                <w:sz w:val="24"/>
              </w:rPr>
            </w:pPr>
          </w:p>
        </w:tc>
        <w:tc>
          <w:tcPr>
            <w:tcW w:w="1308" w:type="dxa"/>
            <w:tcBorders>
              <w:top w:val="single" w:color="auto" w:sz="4" w:space="0"/>
              <w:left w:val="nil"/>
              <w:bottom w:val="single" w:color="auto" w:sz="4" w:space="0"/>
              <w:right w:val="single" w:color="auto" w:sz="4" w:space="0"/>
            </w:tcBorders>
            <w:shd w:val="clear" w:color="auto" w:fill="FFFFFF"/>
            <w:vAlign w:val="center"/>
          </w:tcPr>
          <w:p w14:paraId="6A311D23">
            <w:pPr>
              <w:spacing w:line="360" w:lineRule="auto"/>
              <w:jc w:val="center"/>
              <w:rPr>
                <w:rFonts w:ascii="宋体" w:hAnsi="宋体"/>
                <w:sz w:val="24"/>
              </w:rPr>
            </w:pPr>
          </w:p>
        </w:tc>
        <w:tc>
          <w:tcPr>
            <w:tcW w:w="1583" w:type="dxa"/>
            <w:tcBorders>
              <w:top w:val="single" w:color="auto" w:sz="4" w:space="0"/>
              <w:left w:val="nil"/>
              <w:bottom w:val="single" w:color="auto" w:sz="4" w:space="0"/>
              <w:right w:val="single" w:color="auto" w:sz="4" w:space="0"/>
            </w:tcBorders>
            <w:shd w:val="clear" w:color="auto" w:fill="FFFFFF"/>
            <w:vAlign w:val="center"/>
          </w:tcPr>
          <w:p w14:paraId="70643B27">
            <w:pPr>
              <w:spacing w:line="360" w:lineRule="auto"/>
              <w:jc w:val="center"/>
              <w:rPr>
                <w:rFonts w:ascii="宋体" w:hAnsi="宋体"/>
                <w:sz w:val="24"/>
              </w:rPr>
            </w:pPr>
          </w:p>
        </w:tc>
        <w:tc>
          <w:tcPr>
            <w:tcW w:w="1350" w:type="dxa"/>
            <w:tcBorders>
              <w:top w:val="single" w:color="auto" w:sz="4" w:space="0"/>
              <w:left w:val="nil"/>
              <w:bottom w:val="single" w:color="auto" w:sz="4" w:space="0"/>
              <w:right w:val="single" w:color="auto" w:sz="4" w:space="0"/>
            </w:tcBorders>
            <w:shd w:val="clear" w:color="auto" w:fill="FFFFFF"/>
            <w:vAlign w:val="center"/>
          </w:tcPr>
          <w:p w14:paraId="3442B10E">
            <w:pPr>
              <w:spacing w:line="360" w:lineRule="auto"/>
              <w:jc w:val="center"/>
              <w:rPr>
                <w:rFonts w:ascii="宋体" w:hAnsi="宋体"/>
                <w:sz w:val="24"/>
              </w:rPr>
            </w:pPr>
          </w:p>
        </w:tc>
        <w:tc>
          <w:tcPr>
            <w:tcW w:w="1590" w:type="dxa"/>
            <w:tcBorders>
              <w:top w:val="single" w:color="auto" w:sz="4" w:space="0"/>
              <w:left w:val="nil"/>
              <w:bottom w:val="single" w:color="auto" w:sz="4" w:space="0"/>
              <w:right w:val="nil"/>
            </w:tcBorders>
            <w:shd w:val="clear" w:color="auto" w:fill="FFFFFF"/>
            <w:vAlign w:val="center"/>
          </w:tcPr>
          <w:p w14:paraId="38CE27FB">
            <w:pPr>
              <w:spacing w:line="360" w:lineRule="auto"/>
              <w:jc w:val="center"/>
              <w:rPr>
                <w:rFonts w:ascii="宋体" w:hAnsi="宋体"/>
                <w:sz w:val="24"/>
              </w:rPr>
            </w:pPr>
          </w:p>
        </w:tc>
        <w:tc>
          <w:tcPr>
            <w:tcW w:w="1288" w:type="dxa"/>
            <w:tcBorders>
              <w:top w:val="single" w:color="auto" w:sz="4" w:space="0"/>
              <w:left w:val="single" w:color="auto" w:sz="4" w:space="0"/>
              <w:bottom w:val="single" w:color="auto" w:sz="4" w:space="0"/>
              <w:right w:val="single" w:color="auto" w:sz="4" w:space="0"/>
            </w:tcBorders>
            <w:shd w:val="clear" w:color="auto" w:fill="FFFFFF"/>
            <w:vAlign w:val="center"/>
          </w:tcPr>
          <w:p w14:paraId="320D9F36">
            <w:pPr>
              <w:spacing w:line="360" w:lineRule="auto"/>
              <w:jc w:val="center"/>
              <w:rPr>
                <w:rFonts w:ascii="宋体" w:hAnsi="宋体"/>
                <w:sz w:val="24"/>
              </w:rPr>
            </w:pPr>
          </w:p>
        </w:tc>
      </w:tr>
    </w:tbl>
    <w:p w14:paraId="5EA78C3B">
      <w:pPr>
        <w:spacing w:line="360" w:lineRule="auto"/>
        <w:ind w:firstLine="480" w:firstLineChars="200"/>
        <w:rPr>
          <w:rFonts w:ascii="宋体" w:hAnsi="宋体"/>
          <w:sz w:val="24"/>
        </w:rPr>
      </w:pPr>
      <w:r>
        <w:rPr>
          <w:rFonts w:hint="eastAsia" w:ascii="宋体" w:hAnsi="宋体"/>
          <w:sz w:val="24"/>
        </w:rPr>
        <w:t>根据上述政府采购合同文件要求，本政府采购合同的总金额为人民币（大写</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元。</w:t>
      </w:r>
    </w:p>
    <w:p w14:paraId="1E8383F6">
      <w:pPr>
        <w:spacing w:line="360" w:lineRule="auto"/>
        <w:ind w:firstLine="480" w:firstLineChars="200"/>
        <w:rPr>
          <w:rFonts w:ascii="宋体" w:hAnsi="宋体"/>
          <w:sz w:val="24"/>
        </w:rPr>
      </w:pPr>
      <w:r>
        <w:rPr>
          <w:rFonts w:hint="eastAsia" w:ascii="宋体" w:hAnsi="宋体"/>
          <w:sz w:val="24"/>
        </w:rPr>
        <w:t>本合同以人民币进行结算，合同总价包括：</w:t>
      </w:r>
      <w:r>
        <w:rPr>
          <w:rFonts w:hint="eastAsia" w:hAnsi="宋体"/>
          <w:sz w:val="24"/>
          <w:szCs w:val="28"/>
          <w:lang w:val="zh-CN"/>
        </w:rPr>
        <w:t>产品费、验收费、手续费、包装费、运输费、售前、售中、售后服务费、招标代理费、税金及不可预见费等全部费用。</w:t>
      </w:r>
    </w:p>
    <w:p w14:paraId="28ED1AF3">
      <w:pPr>
        <w:spacing w:line="360" w:lineRule="auto"/>
        <w:ind w:firstLine="480" w:firstLineChars="200"/>
        <w:rPr>
          <w:rFonts w:ascii="宋体" w:hAnsi="宋体"/>
          <w:sz w:val="24"/>
        </w:rPr>
      </w:pPr>
      <w:r>
        <w:rPr>
          <w:rFonts w:hint="eastAsia" w:ascii="宋体" w:hAnsi="宋体"/>
          <w:sz w:val="24"/>
        </w:rPr>
        <w:t>（说明：具体内容应根据项目特点实事求是的填写）</w:t>
      </w:r>
    </w:p>
    <w:p w14:paraId="22E4488D">
      <w:pPr>
        <w:spacing w:line="360" w:lineRule="auto"/>
        <w:rPr>
          <w:rFonts w:ascii="宋体" w:hAnsi="宋体"/>
          <w:b/>
          <w:sz w:val="24"/>
        </w:rPr>
      </w:pPr>
      <w:r>
        <w:rPr>
          <w:rFonts w:hint="eastAsia" w:ascii="宋体" w:hAnsi="宋体"/>
          <w:b/>
          <w:sz w:val="24"/>
        </w:rPr>
        <w:t>三、交付时间、地点和要求</w:t>
      </w:r>
    </w:p>
    <w:p w14:paraId="12BF3904">
      <w:pPr>
        <w:spacing w:line="360" w:lineRule="auto"/>
        <w:rPr>
          <w:rFonts w:ascii="宋体" w:hAnsi="宋体"/>
          <w:sz w:val="24"/>
        </w:rPr>
      </w:pPr>
      <w:r>
        <w:rPr>
          <w:rFonts w:hint="eastAsia" w:ascii="宋体" w:hAnsi="宋体"/>
          <w:sz w:val="24"/>
        </w:rPr>
        <w:t>1.交货期：</w:t>
      </w:r>
      <w:r>
        <w:rPr>
          <w:rFonts w:hint="eastAsia" w:ascii="宋体" w:hAnsi="宋体"/>
          <w:sz w:val="24"/>
          <w:u w:val="single"/>
          <w:lang w:val="en-US" w:eastAsia="zh-CN"/>
        </w:rPr>
        <w:t xml:space="preserve">                     </w:t>
      </w:r>
      <w:r>
        <w:rPr>
          <w:rFonts w:hint="eastAsia" w:ascii="宋体" w:hAnsi="宋体"/>
          <w:sz w:val="24"/>
        </w:rPr>
        <w:t>；</w:t>
      </w:r>
    </w:p>
    <w:p w14:paraId="54D9CCD4">
      <w:pPr>
        <w:spacing w:line="360" w:lineRule="auto"/>
        <w:ind w:firstLine="240" w:firstLineChars="100"/>
        <w:rPr>
          <w:rFonts w:ascii="宋体" w:hAnsi="宋体"/>
          <w:sz w:val="24"/>
        </w:rPr>
      </w:pPr>
      <w:r>
        <w:rPr>
          <w:rFonts w:hint="eastAsia" w:ascii="宋体" w:hAnsi="宋体"/>
          <w:sz w:val="24"/>
        </w:rPr>
        <w:t>交货地点：</w:t>
      </w:r>
      <w:bookmarkStart w:id="182" w:name="_Hlk497746416"/>
      <w:r>
        <w:rPr>
          <w:rFonts w:hint="eastAsia" w:ascii="宋体" w:hAnsi="宋体"/>
          <w:sz w:val="24"/>
          <w:u w:val="single"/>
          <w:lang w:val="en-US" w:eastAsia="zh-CN"/>
        </w:rPr>
        <w:t xml:space="preserve">                   </w:t>
      </w:r>
      <w:r>
        <w:rPr>
          <w:rFonts w:hint="eastAsia" w:ascii="宋体" w:hAnsi="宋体"/>
          <w:sz w:val="24"/>
        </w:rPr>
        <w:t>；</w:t>
      </w:r>
    </w:p>
    <w:p w14:paraId="7FF35BA9">
      <w:pPr>
        <w:spacing w:line="360" w:lineRule="auto"/>
        <w:ind w:firstLine="240" w:firstLineChars="100"/>
        <w:rPr>
          <w:rFonts w:ascii="宋体" w:hAnsi="宋体"/>
          <w:sz w:val="24"/>
        </w:rPr>
      </w:pPr>
      <w:r>
        <w:rPr>
          <w:rFonts w:hint="eastAsia" w:ascii="宋体" w:hAnsi="宋体"/>
          <w:sz w:val="24"/>
        </w:rPr>
        <w:t>质保期：</w:t>
      </w:r>
      <w:r>
        <w:rPr>
          <w:rFonts w:hint="eastAsia" w:ascii="宋体" w:hAnsi="宋体"/>
          <w:sz w:val="24"/>
          <w:u w:val="single"/>
          <w:lang w:val="en-US" w:eastAsia="zh-CN"/>
        </w:rPr>
        <w:t xml:space="preserve">                     </w:t>
      </w:r>
      <w:r>
        <w:rPr>
          <w:rFonts w:hint="eastAsia" w:ascii="宋体" w:hAnsi="宋体"/>
          <w:sz w:val="24"/>
        </w:rPr>
        <w:t>；</w:t>
      </w:r>
    </w:p>
    <w:bookmarkEnd w:id="182"/>
    <w:p w14:paraId="4AD61B42">
      <w:pPr>
        <w:spacing w:line="360" w:lineRule="auto"/>
        <w:rPr>
          <w:rFonts w:ascii="宋体" w:hAnsi="宋体"/>
          <w:sz w:val="24"/>
        </w:rPr>
      </w:pPr>
      <w:r>
        <w:rPr>
          <w:rFonts w:hint="eastAsia" w:ascii="宋体" w:hAnsi="宋体"/>
          <w:sz w:val="24"/>
        </w:rPr>
        <w:t>2.乙方提供不符合磋商响应文件和本合同规定的产品，甲方有权拒绝接受；</w:t>
      </w:r>
    </w:p>
    <w:p w14:paraId="0F6F7810">
      <w:pPr>
        <w:spacing w:line="360" w:lineRule="auto"/>
        <w:rPr>
          <w:rFonts w:ascii="宋体" w:hAnsi="宋体"/>
          <w:sz w:val="24"/>
        </w:rPr>
      </w:pPr>
      <w:r>
        <w:rPr>
          <w:rFonts w:hint="eastAsia" w:ascii="宋体" w:hAnsi="宋体"/>
          <w:sz w:val="24"/>
        </w:rPr>
        <w:t>3.乙方应将提供产品的装箱清单、用户手册、原厂保修卡、随机资料、工具和备品、备件等（如有）交付给甲方，如有缺失应及时补齐，否则视为逾期交货；</w:t>
      </w:r>
    </w:p>
    <w:p w14:paraId="0B847553">
      <w:pPr>
        <w:spacing w:line="360" w:lineRule="auto"/>
        <w:rPr>
          <w:rFonts w:ascii="宋体" w:hAnsi="宋体"/>
          <w:sz w:val="24"/>
        </w:rPr>
      </w:pPr>
      <w:r>
        <w:rPr>
          <w:rFonts w:hint="eastAsia" w:ascii="宋体" w:hAnsi="宋体"/>
          <w:sz w:val="24"/>
        </w:rPr>
        <w:t>4.甲方应当在到货（安装、调试完）后10个工作日内进行验收，逾期不验收的，乙方可视为验收合格。验收合格后，由甲乙双方签署产品验收单并加盖采购单位公章，甲乙双方各执一份；</w:t>
      </w:r>
    </w:p>
    <w:p w14:paraId="2B7C2710">
      <w:pPr>
        <w:spacing w:line="360" w:lineRule="auto"/>
        <w:rPr>
          <w:rFonts w:ascii="宋体" w:hAnsi="宋体"/>
          <w:sz w:val="24"/>
        </w:rPr>
      </w:pPr>
      <w:r>
        <w:rPr>
          <w:rFonts w:hint="eastAsia" w:ascii="宋体" w:hAnsi="宋体"/>
          <w:sz w:val="24"/>
        </w:rPr>
        <w:t>5.甲方应提供该项目验收报告交同级财政监管部门，由财政部门按规定程序抽验后办理资金拨付；</w:t>
      </w:r>
    </w:p>
    <w:p w14:paraId="4FC40BD9">
      <w:pPr>
        <w:spacing w:line="360" w:lineRule="auto"/>
        <w:rPr>
          <w:rFonts w:ascii="宋体" w:hAnsi="宋体"/>
          <w:sz w:val="24"/>
        </w:rPr>
      </w:pPr>
      <w:r>
        <w:rPr>
          <w:rFonts w:hint="eastAsia" w:ascii="宋体" w:hAnsi="宋体"/>
          <w:sz w:val="24"/>
        </w:rPr>
        <w:t>6.甲方在验收过程中发现乙方有违约问题，可按磋商响应文件的规定要求乙方及时予以解决；</w:t>
      </w:r>
    </w:p>
    <w:p w14:paraId="213126B4">
      <w:pPr>
        <w:spacing w:line="360" w:lineRule="auto"/>
        <w:rPr>
          <w:rFonts w:ascii="宋体" w:hAnsi="宋体"/>
          <w:sz w:val="24"/>
        </w:rPr>
      </w:pPr>
      <w:r>
        <w:rPr>
          <w:rFonts w:hint="eastAsia" w:ascii="宋体" w:hAnsi="宋体"/>
          <w:sz w:val="24"/>
        </w:rPr>
        <w:t>7.乙方向甲方提供产品相关完税销售发票。</w:t>
      </w:r>
    </w:p>
    <w:p w14:paraId="57E8AD23">
      <w:pPr>
        <w:spacing w:line="360" w:lineRule="auto"/>
        <w:rPr>
          <w:rFonts w:ascii="宋体" w:hAnsi="宋体"/>
          <w:b/>
          <w:sz w:val="24"/>
        </w:rPr>
      </w:pPr>
      <w:r>
        <w:rPr>
          <w:rFonts w:hint="eastAsia" w:ascii="宋体" w:hAnsi="宋体"/>
          <w:b/>
          <w:sz w:val="24"/>
        </w:rPr>
        <w:t>四、付款方式</w:t>
      </w:r>
    </w:p>
    <w:p w14:paraId="4DCD7BD7">
      <w:pPr>
        <w:spacing w:line="360" w:lineRule="auto"/>
        <w:ind w:firstLine="480" w:firstLineChars="200"/>
        <w:rPr>
          <w:rFonts w:ascii="宋体" w:hAnsi="宋体"/>
          <w:sz w:val="24"/>
        </w:rPr>
      </w:pPr>
      <w:r>
        <w:rPr>
          <w:rFonts w:hint="eastAsia" w:ascii="宋体" w:hAnsi="宋体"/>
          <w:sz w:val="24"/>
        </w:rPr>
        <w:t>1．本项目是否支付预付款；</w:t>
      </w:r>
    </w:p>
    <w:p w14:paraId="30191EE0">
      <w:pPr>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乙方所交付的产品由甲方验收合格，验收合格后由甲方报同级财政监管部门，申请资金拨付,按合同金额向乙方支付合同总价款的</w:t>
      </w:r>
      <w:r>
        <w:rPr>
          <w:rFonts w:hint="eastAsia" w:ascii="宋体" w:hAnsi="宋体"/>
          <w:sz w:val="24"/>
          <w:u w:val="single"/>
        </w:rPr>
        <w:t xml:space="preserve">     </w:t>
      </w:r>
      <w:r>
        <w:rPr>
          <w:rFonts w:ascii="宋体" w:hAnsi="宋体"/>
          <w:sz w:val="24"/>
        </w:rPr>
        <w:t>%，即人民币（大写）：</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元。</w:t>
      </w:r>
      <w:r>
        <w:rPr>
          <w:rFonts w:hint="eastAsia" w:ascii="宋体" w:hAnsi="宋体"/>
          <w:sz w:val="24"/>
        </w:rPr>
        <w:t>合同签订前乙方向甲方提交</w:t>
      </w:r>
      <w:r>
        <w:rPr>
          <w:rFonts w:hint="eastAsia" w:ascii="宋体" w:hAnsi="宋体"/>
          <w:sz w:val="24"/>
          <w:u w:val="single"/>
        </w:rPr>
        <w:t xml:space="preserve">    </w:t>
      </w:r>
      <w:r>
        <w:rPr>
          <w:rFonts w:ascii="宋体" w:hAnsi="宋体"/>
          <w:sz w:val="24"/>
        </w:rPr>
        <w:t>%</w:t>
      </w:r>
      <w:r>
        <w:rPr>
          <w:rFonts w:hint="eastAsia" w:ascii="宋体" w:hAnsi="宋体"/>
          <w:sz w:val="24"/>
        </w:rPr>
        <w:t>履约保证金计（大写）</w:t>
      </w:r>
      <w:r>
        <w:rPr>
          <w:rFonts w:hint="eastAsia" w:ascii="宋体" w:hAnsi="宋体"/>
          <w:sz w:val="24"/>
          <w:u w:val="single"/>
        </w:rPr>
        <w:t xml:space="preserve">              </w:t>
      </w:r>
      <w:r>
        <w:rPr>
          <w:rFonts w:hint="eastAsia" w:ascii="宋体" w:hAnsi="宋体"/>
          <w:sz w:val="24"/>
        </w:rPr>
        <w:t>元转为质量保证金。质量保证金待约定的质保期满</w:t>
      </w:r>
      <w:r>
        <w:rPr>
          <w:rFonts w:hint="eastAsia" w:ascii="宋体" w:hAnsi="宋体"/>
          <w:sz w:val="24"/>
          <w:u w:val="single"/>
        </w:rPr>
        <w:t xml:space="preserve">     </w:t>
      </w:r>
      <w:r>
        <w:rPr>
          <w:rFonts w:hint="eastAsia" w:ascii="宋体" w:hAnsi="宋体"/>
          <w:sz w:val="24"/>
        </w:rPr>
        <w:t>（年）且产品无质量问题后，由乙方提出书面申请，甲方以转账方式予以退还。</w:t>
      </w:r>
    </w:p>
    <w:p w14:paraId="375BCDDD">
      <w:pPr>
        <w:spacing w:line="360" w:lineRule="auto"/>
        <w:ind w:firstLine="480" w:firstLineChars="200"/>
        <w:jc w:val="left"/>
        <w:rPr>
          <w:rFonts w:ascii="宋体" w:hAnsi="宋体"/>
          <w:sz w:val="24"/>
        </w:rPr>
      </w:pPr>
      <w:r>
        <w:rPr>
          <w:rFonts w:hint="eastAsia" w:ascii="宋体" w:hAnsi="宋体"/>
          <w:sz w:val="24"/>
        </w:rPr>
        <w:t>注：付款方式甲乙双方签订合同时约定。</w:t>
      </w:r>
    </w:p>
    <w:p w14:paraId="5D22D7E1">
      <w:pPr>
        <w:autoSpaceDE w:val="0"/>
        <w:autoSpaceDN w:val="0"/>
        <w:spacing w:line="360" w:lineRule="auto"/>
        <w:rPr>
          <w:rFonts w:ascii="宋体" w:hAnsi="宋体"/>
          <w:b/>
          <w:sz w:val="24"/>
        </w:rPr>
      </w:pPr>
      <w:r>
        <w:rPr>
          <w:rFonts w:hint="eastAsia" w:ascii="宋体" w:hAnsi="宋体"/>
          <w:b/>
          <w:sz w:val="24"/>
        </w:rPr>
        <w:t>五、合同的变更、终止与转让</w:t>
      </w:r>
    </w:p>
    <w:p w14:paraId="652A4164">
      <w:pPr>
        <w:spacing w:line="360" w:lineRule="auto"/>
        <w:rPr>
          <w:rFonts w:ascii="宋体" w:hAnsi="宋体"/>
          <w:sz w:val="24"/>
        </w:rPr>
      </w:pPr>
      <w:r>
        <w:rPr>
          <w:rFonts w:hint="eastAsia" w:ascii="宋体" w:hAnsi="宋体"/>
          <w:sz w:val="24"/>
        </w:rPr>
        <w:t>1．除《中华人民共和国政府采购法》第50条规定的情形外，本合同一经签订，甲乙双方不得擅自变更、中止或终止；</w:t>
      </w:r>
    </w:p>
    <w:p w14:paraId="2EED3CA7">
      <w:pPr>
        <w:spacing w:line="360" w:lineRule="auto"/>
        <w:rPr>
          <w:rFonts w:ascii="宋体" w:hAnsi="宋体"/>
          <w:sz w:val="24"/>
        </w:rPr>
      </w:pPr>
      <w:r>
        <w:rPr>
          <w:rFonts w:hint="eastAsia" w:ascii="宋体" w:hAnsi="宋体"/>
          <w:sz w:val="24"/>
        </w:rPr>
        <w:t>2．乙方不得擅自转让其应履行的合同义务。</w:t>
      </w:r>
    </w:p>
    <w:p w14:paraId="2BE72933">
      <w:pPr>
        <w:spacing w:line="360" w:lineRule="auto"/>
        <w:rPr>
          <w:rFonts w:ascii="宋体" w:hAnsi="宋体"/>
          <w:b/>
          <w:sz w:val="24"/>
        </w:rPr>
      </w:pPr>
      <w:r>
        <w:rPr>
          <w:rFonts w:hint="eastAsia" w:ascii="宋体" w:hAnsi="宋体"/>
          <w:b/>
          <w:sz w:val="24"/>
        </w:rPr>
        <w:t>六、违约责任</w:t>
      </w:r>
    </w:p>
    <w:p w14:paraId="57877A26">
      <w:pPr>
        <w:spacing w:line="360" w:lineRule="auto"/>
        <w:rPr>
          <w:rFonts w:ascii="宋体" w:hAnsi="宋体"/>
          <w:sz w:val="24"/>
        </w:rPr>
      </w:pPr>
      <w:r>
        <w:rPr>
          <w:rFonts w:hint="eastAsia" w:ascii="宋体" w:hAnsi="宋体"/>
          <w:sz w:val="24"/>
        </w:rPr>
        <w:t>1．乙方所提供的产品规格、技术标准、材料等质量不合格的，应及时更换；更换不及时的，按逾期交货处罚；因质量问题甲方不同意接收的，质保金全额扣除，并由乙方赔偿由此引起的甲方的一切经济损失；</w:t>
      </w:r>
    </w:p>
    <w:p w14:paraId="2E66F2B4">
      <w:pPr>
        <w:spacing w:line="360" w:lineRule="auto"/>
        <w:rPr>
          <w:rFonts w:ascii="宋体" w:hAnsi="宋体"/>
          <w:sz w:val="24"/>
        </w:rPr>
      </w:pPr>
      <w:r>
        <w:rPr>
          <w:rFonts w:hint="eastAsia" w:ascii="宋体" w:hAnsi="宋体"/>
          <w:sz w:val="24"/>
        </w:rPr>
        <w:t>2．乙方提供的货物如侵犯了第三方权益而引发纠纷或诉讼的，均由乙方负责交涉并承担全部责任；</w:t>
      </w:r>
    </w:p>
    <w:p w14:paraId="557E721A">
      <w:pPr>
        <w:spacing w:line="360" w:lineRule="auto"/>
        <w:rPr>
          <w:rFonts w:ascii="宋体" w:hAnsi="宋体"/>
          <w:sz w:val="24"/>
        </w:rPr>
      </w:pPr>
      <w:r>
        <w:rPr>
          <w:rFonts w:hint="eastAsia" w:ascii="宋体" w:hAnsi="宋体"/>
          <w:sz w:val="24"/>
        </w:rPr>
        <w:t>3．因包装、运输引起的货物损坏，按质量不合格处罚；</w:t>
      </w:r>
    </w:p>
    <w:p w14:paraId="06271773">
      <w:pPr>
        <w:spacing w:line="360" w:lineRule="auto"/>
        <w:rPr>
          <w:rFonts w:ascii="宋体" w:hAnsi="宋体"/>
          <w:sz w:val="24"/>
        </w:rPr>
      </w:pPr>
      <w:r>
        <w:rPr>
          <w:rFonts w:hint="eastAsia" w:ascii="宋体" w:hAnsi="宋体"/>
          <w:sz w:val="24"/>
        </w:rPr>
        <w:t>4．甲方无故延期接受货物和乙方逾期交货的，每天应向对方偿付未交货物的货款3‰的违约金，但违约金累计不得超过违约货款的5%，超过10天对方有权解除合同，违约方承担因此给对方造成的经济损失；</w:t>
      </w:r>
    </w:p>
    <w:p w14:paraId="41CDEDF4">
      <w:pPr>
        <w:spacing w:line="360" w:lineRule="auto"/>
        <w:rPr>
          <w:rFonts w:ascii="宋体" w:hAnsi="宋体"/>
          <w:sz w:val="24"/>
        </w:rPr>
      </w:pPr>
      <w:r>
        <w:rPr>
          <w:rFonts w:hint="eastAsia" w:ascii="宋体" w:hAnsi="宋体"/>
          <w:sz w:val="24"/>
        </w:rPr>
        <w:t>5．乙方未按本合同和磋商文件中规定的服务承诺提供售后服务的，乙方应按本合同合计金额的5%向甲方支付违约金；</w:t>
      </w:r>
    </w:p>
    <w:p w14:paraId="6826638C">
      <w:pPr>
        <w:spacing w:line="360" w:lineRule="auto"/>
        <w:rPr>
          <w:rFonts w:ascii="宋体" w:hAnsi="宋体"/>
          <w:sz w:val="24"/>
        </w:rPr>
      </w:pPr>
      <w:r>
        <w:rPr>
          <w:rFonts w:hint="eastAsia" w:ascii="宋体" w:hAnsi="宋体"/>
          <w:sz w:val="24"/>
        </w:rPr>
        <w:t>6．乙方提供的货物在质量保证期内，因设计、工艺或材料的缺陷和其它质量原因造成的问题，由乙方负责，费用从履约保证金中扣除，不足另补；</w:t>
      </w:r>
    </w:p>
    <w:p w14:paraId="3B760C24">
      <w:pPr>
        <w:spacing w:line="360" w:lineRule="auto"/>
        <w:rPr>
          <w:rFonts w:ascii="宋体" w:hAnsi="宋体"/>
          <w:sz w:val="24"/>
        </w:rPr>
      </w:pPr>
      <w:r>
        <w:rPr>
          <w:rFonts w:hint="eastAsia" w:ascii="宋体" w:hAnsi="宋体"/>
          <w:sz w:val="24"/>
        </w:rPr>
        <w:t>7．其它违约行为按违约货款额5%收取违约金并赔偿经济损失。</w:t>
      </w:r>
    </w:p>
    <w:p w14:paraId="2EC84199">
      <w:pPr>
        <w:spacing w:line="360" w:lineRule="auto"/>
        <w:rPr>
          <w:rFonts w:ascii="宋体" w:hAnsi="宋体"/>
          <w:b/>
          <w:sz w:val="24"/>
        </w:rPr>
      </w:pPr>
      <w:r>
        <w:rPr>
          <w:rFonts w:hint="eastAsia" w:ascii="宋体" w:hAnsi="宋体"/>
          <w:b/>
          <w:sz w:val="24"/>
        </w:rPr>
        <w:t>七、不可抗力</w:t>
      </w:r>
    </w:p>
    <w:p w14:paraId="43D3F45C">
      <w:pPr>
        <w:spacing w:line="360" w:lineRule="auto"/>
        <w:rPr>
          <w:rFonts w:ascii="宋体" w:hAnsi="宋体"/>
          <w:sz w:val="24"/>
        </w:rPr>
      </w:pPr>
      <w:r>
        <w:rPr>
          <w:rFonts w:hint="eastAsia" w:ascii="宋体" w:hAnsi="宋体"/>
          <w:sz w:val="24"/>
        </w:rPr>
        <w:t>1．不可抗力使合同的某些内容有变更必要的，双方应通过协商在</w:t>
      </w:r>
      <w:r>
        <w:rPr>
          <w:rFonts w:ascii="宋体" w:hAnsi="宋体"/>
          <w:sz w:val="24"/>
          <w:u w:val="single"/>
        </w:rPr>
        <w:t>3</w:t>
      </w:r>
      <w:r>
        <w:rPr>
          <w:rFonts w:hint="eastAsia" w:ascii="宋体" w:hAnsi="宋体"/>
          <w:sz w:val="24"/>
        </w:rPr>
        <w:t>天内达成进一步履行合同的协议，因不可抗力致使合同不能履行的，合同终止；</w:t>
      </w:r>
    </w:p>
    <w:p w14:paraId="6DC115EE">
      <w:pPr>
        <w:spacing w:line="360" w:lineRule="auto"/>
        <w:rPr>
          <w:rFonts w:ascii="宋体" w:hAnsi="宋体"/>
          <w:sz w:val="24"/>
        </w:rPr>
      </w:pPr>
      <w:r>
        <w:rPr>
          <w:rFonts w:hint="eastAsia" w:ascii="宋体" w:hAnsi="宋体"/>
          <w:sz w:val="24"/>
        </w:rPr>
        <w:t>2．除法律、法规规定的不可抗力情形外，双方约定出现</w:t>
      </w:r>
      <w:r>
        <w:rPr>
          <w:rFonts w:hint="eastAsia" w:ascii="宋体" w:hAnsi="宋体"/>
          <w:sz w:val="24"/>
          <w:u w:val="single"/>
        </w:rPr>
        <w:t xml:space="preserve"> 自然灾害 </w:t>
      </w:r>
      <w:r>
        <w:rPr>
          <w:rFonts w:hint="eastAsia" w:ascii="宋体" w:hAnsi="宋体"/>
          <w:sz w:val="24"/>
        </w:rPr>
        <w:t>情况亦视为不可抗力。</w:t>
      </w:r>
    </w:p>
    <w:p w14:paraId="0F0B0161">
      <w:pPr>
        <w:spacing w:line="360" w:lineRule="auto"/>
        <w:rPr>
          <w:rFonts w:ascii="宋体" w:hAnsi="宋体"/>
          <w:b/>
          <w:sz w:val="24"/>
        </w:rPr>
      </w:pPr>
      <w:r>
        <w:rPr>
          <w:rFonts w:hint="eastAsia" w:ascii="宋体" w:hAnsi="宋体"/>
          <w:b/>
          <w:sz w:val="24"/>
        </w:rPr>
        <w:t>八、知识产权：</w:t>
      </w:r>
    </w:p>
    <w:p w14:paraId="36D5801B">
      <w:pPr>
        <w:spacing w:line="360" w:lineRule="auto"/>
        <w:rPr>
          <w:rFonts w:ascii="宋体" w:hAnsi="宋体"/>
          <w:b/>
          <w:sz w:val="24"/>
        </w:rPr>
      </w:pPr>
      <w:r>
        <w:rPr>
          <w:rFonts w:hint="eastAsia" w:ascii="宋体" w:hAnsi="宋体"/>
          <w:b/>
          <w:sz w:val="24"/>
        </w:rPr>
        <w:t>九、其他约定：</w:t>
      </w:r>
    </w:p>
    <w:p w14:paraId="79526F22">
      <w:pPr>
        <w:spacing w:line="360" w:lineRule="auto"/>
        <w:rPr>
          <w:rFonts w:ascii="宋体" w:hAnsi="宋体"/>
          <w:b/>
          <w:sz w:val="24"/>
        </w:rPr>
      </w:pPr>
      <w:r>
        <w:rPr>
          <w:rFonts w:hint="eastAsia" w:ascii="宋体" w:hAnsi="宋体"/>
          <w:b/>
          <w:sz w:val="24"/>
        </w:rPr>
        <w:t>十、合同争议解决</w:t>
      </w:r>
    </w:p>
    <w:p w14:paraId="1A821E04">
      <w:pPr>
        <w:spacing w:line="360" w:lineRule="auto"/>
        <w:rPr>
          <w:rFonts w:ascii="宋体" w:hAnsi="宋体"/>
          <w:sz w:val="24"/>
        </w:rPr>
      </w:pPr>
      <w:r>
        <w:rPr>
          <w:rFonts w:hint="eastAsia" w:ascii="宋体" w:hAnsi="宋体"/>
          <w:sz w:val="24"/>
        </w:rPr>
        <w:t>1．因产品质量问题发生争议的，应邀请国家认可的质量检测机构进行鉴定。产品符合标准的，鉴定费由甲方承担；产品不符合标准的，鉴定费由乙方承担；</w:t>
      </w:r>
    </w:p>
    <w:p w14:paraId="14BF2D87">
      <w:pPr>
        <w:spacing w:line="360" w:lineRule="auto"/>
        <w:rPr>
          <w:rFonts w:ascii="宋体" w:hAnsi="宋体"/>
          <w:sz w:val="24"/>
        </w:rPr>
      </w:pPr>
      <w:r>
        <w:rPr>
          <w:rFonts w:hint="eastAsia" w:ascii="宋体" w:hAnsi="宋体"/>
          <w:sz w:val="24"/>
        </w:rPr>
        <w:t>2．因履行本合同引起的或与本合同有关的争议，甲乙双方应首先通过友好协商解决，如果协商不能解决，可向甲方所在地仲裁委员会申请仲裁或向甲方所在地人民法院提起诉讼；</w:t>
      </w:r>
    </w:p>
    <w:p w14:paraId="40E05D3C">
      <w:pPr>
        <w:spacing w:line="360" w:lineRule="auto"/>
        <w:rPr>
          <w:rFonts w:ascii="宋体" w:hAnsi="宋体"/>
          <w:sz w:val="24"/>
        </w:rPr>
      </w:pPr>
      <w:r>
        <w:rPr>
          <w:rFonts w:hint="eastAsia" w:ascii="宋体" w:hAnsi="宋体"/>
          <w:sz w:val="24"/>
        </w:rPr>
        <w:t>3．诉讼期间，本合同继续履行。</w:t>
      </w:r>
    </w:p>
    <w:p w14:paraId="4EE1788B">
      <w:pPr>
        <w:spacing w:line="360" w:lineRule="auto"/>
        <w:rPr>
          <w:rFonts w:ascii="宋体" w:hAnsi="宋体"/>
          <w:b/>
          <w:sz w:val="24"/>
        </w:rPr>
      </w:pPr>
      <w:r>
        <w:rPr>
          <w:rFonts w:hint="eastAsia" w:ascii="宋体" w:hAnsi="宋体"/>
          <w:b/>
          <w:sz w:val="24"/>
        </w:rPr>
        <w:t>十一、合同生效及其它：</w:t>
      </w:r>
    </w:p>
    <w:p w14:paraId="08A3EB0C">
      <w:pPr>
        <w:spacing w:line="360" w:lineRule="auto"/>
        <w:rPr>
          <w:rFonts w:ascii="宋体" w:hAnsi="宋体"/>
          <w:sz w:val="24"/>
        </w:rPr>
      </w:pPr>
      <w:r>
        <w:rPr>
          <w:rFonts w:hint="eastAsia" w:ascii="宋体" w:hAnsi="宋体"/>
          <w:sz w:val="24"/>
        </w:rPr>
        <w:t>1．本合同一式八份，经双方签字，并加盖公章即为生效；</w:t>
      </w:r>
    </w:p>
    <w:p w14:paraId="5C22637E">
      <w:pPr>
        <w:spacing w:line="360" w:lineRule="auto"/>
        <w:rPr>
          <w:rFonts w:ascii="宋体" w:hAnsi="宋体"/>
          <w:sz w:val="24"/>
        </w:rPr>
      </w:pPr>
      <w:r>
        <w:rPr>
          <w:rFonts w:hint="eastAsia" w:ascii="宋体" w:hAnsi="宋体"/>
          <w:sz w:val="24"/>
        </w:rPr>
        <w:t>2．本合同未尽事宜，按经济合同法有关规定处理；</w:t>
      </w:r>
    </w:p>
    <w:p w14:paraId="631962E6">
      <w:pPr>
        <w:spacing w:line="360" w:lineRule="auto"/>
        <w:rPr>
          <w:rFonts w:ascii="宋体" w:hAnsi="宋体"/>
          <w:sz w:val="24"/>
        </w:rPr>
      </w:pPr>
      <w:r>
        <w:rPr>
          <w:rFonts w:hint="eastAsia" w:ascii="宋体" w:hAnsi="宋体"/>
          <w:sz w:val="24"/>
        </w:rPr>
        <w:t>3．本合同的组成包含《合同通用条款》，可自行在青海政府采购网下载《合同通用条款》</w:t>
      </w:r>
    </w:p>
    <w:p w14:paraId="1E1AA0BC">
      <w:pPr>
        <w:rPr>
          <w:rFonts w:ascii="宋体" w:hAnsi="宋体"/>
          <w:sz w:val="24"/>
        </w:rPr>
      </w:pPr>
      <w:r>
        <w:rPr>
          <w:rFonts w:hint="eastAsia" w:ascii="宋体" w:hAnsi="宋体"/>
          <w:sz w:val="24"/>
        </w:rPr>
        <w:t>甲方（盖章）：                                  乙方（盖章）：</w:t>
      </w:r>
    </w:p>
    <w:p w14:paraId="02E96ED0">
      <w:pPr>
        <w:rPr>
          <w:rFonts w:ascii="宋体" w:hAnsi="宋体"/>
          <w:sz w:val="24"/>
        </w:rPr>
      </w:pPr>
      <w:r>
        <w:rPr>
          <w:rFonts w:hint="eastAsia" w:ascii="宋体" w:hAnsi="宋体"/>
          <w:sz w:val="24"/>
        </w:rPr>
        <w:t>法人或委托人（签字）：                          法人或委托人（签字）：</w:t>
      </w:r>
    </w:p>
    <w:p w14:paraId="499EEBC6">
      <w:pPr>
        <w:rPr>
          <w:rFonts w:ascii="宋体" w:hAnsi="宋体"/>
          <w:sz w:val="24"/>
        </w:rPr>
      </w:pPr>
      <w:r>
        <w:rPr>
          <w:rFonts w:hint="eastAsia" w:ascii="宋体" w:hAnsi="宋体"/>
          <w:sz w:val="24"/>
        </w:rPr>
        <w:t>联系电话：                                      开户银行：</w:t>
      </w:r>
    </w:p>
    <w:p w14:paraId="1671C4FE">
      <w:pPr>
        <w:ind w:firstLine="4320" w:firstLineChars="1800"/>
        <w:rPr>
          <w:rFonts w:ascii="宋体" w:hAnsi="宋体"/>
          <w:sz w:val="24"/>
        </w:rPr>
      </w:pPr>
      <w:r>
        <w:rPr>
          <w:rFonts w:hint="eastAsia" w:ascii="宋体" w:hAnsi="宋体"/>
          <w:sz w:val="24"/>
        </w:rPr>
        <w:t xml:space="preserve">            账号：</w:t>
      </w:r>
    </w:p>
    <w:p w14:paraId="33C9D6A0">
      <w:pPr>
        <w:ind w:firstLine="4320" w:firstLineChars="1800"/>
        <w:rPr>
          <w:rFonts w:ascii="宋体" w:hAnsi="宋体"/>
          <w:sz w:val="24"/>
        </w:rPr>
      </w:pPr>
      <w:r>
        <w:rPr>
          <w:rFonts w:hint="eastAsia" w:ascii="宋体" w:hAnsi="宋体"/>
          <w:sz w:val="24"/>
        </w:rPr>
        <w:t xml:space="preserve">            联系电话：</w:t>
      </w:r>
    </w:p>
    <w:p w14:paraId="37521715">
      <w:pPr>
        <w:jc w:val="center"/>
        <w:rPr>
          <w:rFonts w:ascii="宋体" w:hAnsi="宋体" w:cs="宋体"/>
          <w:kern w:val="0"/>
          <w:sz w:val="24"/>
        </w:rPr>
      </w:pPr>
      <w:r>
        <w:rPr>
          <w:rFonts w:hint="eastAsia" w:ascii="宋体" w:hAnsi="宋体"/>
          <w:sz w:val="24"/>
        </w:rPr>
        <w:t xml:space="preserve">                                      签约时间：    年  月  日</w:t>
      </w:r>
    </w:p>
    <w:p w14:paraId="61F5013E">
      <w:pPr>
        <w:spacing w:line="360" w:lineRule="auto"/>
        <w:rPr>
          <w:rFonts w:ascii="宋体" w:hAnsi="宋体"/>
          <w:sz w:val="24"/>
        </w:rPr>
      </w:pPr>
    </w:p>
    <w:p w14:paraId="3BE1940A">
      <w:pPr>
        <w:spacing w:line="360" w:lineRule="auto"/>
        <w:rPr>
          <w:rFonts w:hint="eastAsia" w:ascii="宋体" w:hAnsi="宋体" w:eastAsia="宋体"/>
          <w:sz w:val="24"/>
          <w:lang w:eastAsia="zh-CN"/>
        </w:rPr>
      </w:pPr>
      <w:r>
        <w:rPr>
          <w:rFonts w:hint="eastAsia" w:ascii="宋体" w:hAnsi="宋体"/>
          <w:sz w:val="24"/>
        </w:rPr>
        <w:t>采购代理机构：</w:t>
      </w:r>
      <w:r>
        <w:rPr>
          <w:rFonts w:hint="eastAsia" w:ascii="宋体" w:hAnsi="宋体"/>
          <w:sz w:val="24"/>
          <w:lang w:eastAsia="zh-CN"/>
        </w:rPr>
        <w:t>青海奕帆工程项目管理有限公司</w:t>
      </w:r>
    </w:p>
    <w:p w14:paraId="0FFEBD93">
      <w:pPr>
        <w:spacing w:line="360" w:lineRule="auto"/>
        <w:rPr>
          <w:rFonts w:ascii="宋体" w:hAnsi="宋体"/>
          <w:sz w:val="24"/>
        </w:rPr>
      </w:pPr>
      <w:r>
        <w:rPr>
          <w:rFonts w:hint="eastAsia" w:ascii="宋体" w:hAnsi="宋体"/>
          <w:sz w:val="24"/>
        </w:rPr>
        <w:t>负责人或经办人：</w:t>
      </w:r>
    </w:p>
    <w:p w14:paraId="0345B7F2">
      <w:pPr>
        <w:spacing w:line="360" w:lineRule="auto"/>
        <w:rPr>
          <w:rFonts w:ascii="宋体" w:hAnsi="宋体"/>
          <w:sz w:val="24"/>
        </w:rPr>
      </w:pPr>
      <w:r>
        <w:rPr>
          <w:rFonts w:hint="eastAsia" w:ascii="宋体" w:hAnsi="宋体"/>
          <w:sz w:val="24"/>
        </w:rPr>
        <w:t>合同备案日期：    年   月   日</w:t>
      </w:r>
    </w:p>
    <w:p w14:paraId="3CDD4E0C">
      <w:pPr>
        <w:spacing w:line="360" w:lineRule="auto"/>
        <w:jc w:val="center"/>
        <w:rPr>
          <w:rFonts w:ascii="宋体" w:hAnsi="宋体" w:cs="宋体"/>
          <w:b/>
          <w:bCs/>
          <w:kern w:val="0"/>
          <w:sz w:val="28"/>
          <w:szCs w:val="28"/>
          <w:lang w:val="zh-CN"/>
        </w:rPr>
      </w:pPr>
      <w:r>
        <w:rPr>
          <w:rFonts w:ascii="宋体" w:hAnsi="宋体"/>
          <w:szCs w:val="28"/>
        </w:rPr>
        <w:br w:type="page"/>
      </w:r>
      <w:r>
        <w:rPr>
          <w:rFonts w:hint="eastAsia" w:ascii="宋体" w:hAnsi="宋体"/>
          <w:b/>
          <w:sz w:val="28"/>
          <w:szCs w:val="28"/>
        </w:rPr>
        <w:t>合同通用条款</w:t>
      </w:r>
    </w:p>
    <w:p w14:paraId="4F0A6899">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根据《中华人民共和国合同法》、《中华人民共和国政府采购法》的规定，合同双方经协商达成一致，自愿订立本合同，遵循公平原则明确双方的权利、义务，确保双方诚实守信地履行合同。</w:t>
      </w:r>
    </w:p>
    <w:p w14:paraId="295B118B">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定义</w:t>
      </w:r>
    </w:p>
    <w:p w14:paraId="5E804163">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本合同中的下列术语应解释为：</w:t>
      </w:r>
    </w:p>
    <w:p w14:paraId="282A5D11">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“合同”指甲乙双方签署的、载明的甲乙双方权利义务的协议，包括所有的附件、附录和上述文件所提到的构成合同的所有文件。</w:t>
      </w:r>
    </w:p>
    <w:p w14:paraId="2719DBA9">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“合同金额”指根据合同规定，乙方在正确地完全履行合同义务后甲方应付给乙方的价款。</w:t>
      </w:r>
    </w:p>
    <w:p w14:paraId="2C7965E4">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“合同条款”指本合同条款。</w:t>
      </w:r>
    </w:p>
    <w:p w14:paraId="181FB7CD">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“货物”指乙方根据合同约定须向甲方提供的一切产品、设备、机械、仪表、备件等，包括辅助工具、使用手册等相关资料。</w:t>
      </w:r>
    </w:p>
    <w:p w14:paraId="5F5982C8">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“服务”指根据本合同规定乙方承担与供货有关的辅助服务，如运输、保险及安装、调试、提供技术援助、培训和合同中规定乙方应承担的其它义务。</w:t>
      </w:r>
    </w:p>
    <w:p w14:paraId="5561E8A5">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“甲方”指购买货物和服务的单位。</w:t>
      </w:r>
    </w:p>
    <w:p w14:paraId="6A06DD86">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“乙方”指提供本合同条款下货物和服务的公司或其他实体。</w:t>
      </w:r>
    </w:p>
    <w:p w14:paraId="60FED19D">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“现场”指合同规定货物将要运至和安装的地点。</w:t>
      </w:r>
    </w:p>
    <w:p w14:paraId="361706D8">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“验收”指合同双方依据强制性的国家技术质量规范和合同约定，确认合同条款下的货物符合合同规定的活动。</w:t>
      </w:r>
    </w:p>
    <w:p w14:paraId="5B4B1CB0">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原厂商：产品制造商或其在中国境内设立的办事或技术服务机构。除另有说明外，本合同文件所述的制造商、产品制造商、制造厂家、产品制造厂家均为原厂商。</w:t>
      </w:r>
    </w:p>
    <w:p w14:paraId="5E778A39">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原产地：指产品的生产地，或提供服务的来源地。</w:t>
      </w:r>
    </w:p>
    <w:p w14:paraId="5D1FFECB">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“工作日”指国家法定工作日，“天”指日历天数。</w:t>
      </w:r>
    </w:p>
    <w:p w14:paraId="33E20A2F">
      <w:pPr>
        <w:numPr>
          <w:ilvl w:val="0"/>
          <w:numId w:val="18"/>
        </w:numPr>
        <w:autoSpaceDE w:val="0"/>
        <w:autoSpaceDN w:val="0"/>
        <w:spacing w:line="360" w:lineRule="auto"/>
        <w:rPr>
          <w:rFonts w:ascii="宋体" w:hAnsi="宋体" w:cs="宋体"/>
          <w:kern w:val="0"/>
          <w:sz w:val="24"/>
        </w:rPr>
      </w:pPr>
      <w:r>
        <w:rPr>
          <w:rFonts w:hint="eastAsia" w:ascii="宋体" w:hAnsi="宋体" w:cs="宋体"/>
          <w:b/>
          <w:bCs/>
          <w:kern w:val="0"/>
          <w:sz w:val="24"/>
          <w:lang w:val="zh-CN"/>
        </w:rPr>
        <w:t>技术规格要求</w:t>
      </w:r>
    </w:p>
    <w:p w14:paraId="558647EB">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本合同条款下提交货物的技术规格要求应等于或优于招磋商文件技术规格要求。若技术规格要求中无相应规定，则应符合相应的国家有关部门最新颁布的相应正式标准。</w:t>
      </w:r>
    </w:p>
    <w:p w14:paraId="6BD63E94">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乙方应向甲方提供货物及服务有关的标准的中文文本。</w:t>
      </w:r>
    </w:p>
    <w:p w14:paraId="563CF312">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除非技术规范中另有规定，计量单位均采用中华人民共和国法定计量单位。</w:t>
      </w:r>
    </w:p>
    <w:p w14:paraId="257AC9D1">
      <w:pPr>
        <w:numPr>
          <w:ilvl w:val="0"/>
          <w:numId w:val="18"/>
        </w:numPr>
        <w:autoSpaceDE w:val="0"/>
        <w:autoSpaceDN w:val="0"/>
        <w:spacing w:line="360" w:lineRule="auto"/>
        <w:rPr>
          <w:rFonts w:ascii="宋体" w:hAnsi="宋体" w:cs="宋体"/>
          <w:kern w:val="0"/>
          <w:sz w:val="24"/>
        </w:rPr>
      </w:pPr>
      <w:r>
        <w:rPr>
          <w:rFonts w:hint="eastAsia" w:ascii="宋体" w:hAnsi="宋体" w:cs="宋体"/>
          <w:b/>
          <w:bCs/>
          <w:kern w:val="0"/>
          <w:sz w:val="24"/>
          <w:lang w:val="zh-CN"/>
        </w:rPr>
        <w:t>合同范围</w:t>
      </w:r>
    </w:p>
    <w:p w14:paraId="623A2CDD">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07B85891">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乙方应负责培训甲方的技术人员。</w:t>
      </w:r>
    </w:p>
    <w:p w14:paraId="43E865E5">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14:paraId="3E5364AA">
      <w:pPr>
        <w:numPr>
          <w:ilvl w:val="0"/>
          <w:numId w:val="18"/>
        </w:numPr>
        <w:autoSpaceDE w:val="0"/>
        <w:autoSpaceDN w:val="0"/>
        <w:spacing w:line="360" w:lineRule="auto"/>
        <w:rPr>
          <w:rFonts w:ascii="宋体" w:hAnsi="宋体" w:cs="宋体"/>
          <w:kern w:val="0"/>
          <w:sz w:val="24"/>
        </w:rPr>
      </w:pPr>
      <w:r>
        <w:rPr>
          <w:rFonts w:hint="eastAsia" w:ascii="宋体" w:hAnsi="宋体" w:cs="宋体"/>
          <w:b/>
          <w:bCs/>
          <w:kern w:val="0"/>
          <w:sz w:val="24"/>
          <w:lang w:val="zh-CN"/>
        </w:rPr>
        <w:t>合同文件和资料</w:t>
      </w:r>
    </w:p>
    <w:p w14:paraId="6BB79A2B">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乙方在提供仪器设备时应同时提供中文版相关的技术资料，如目录索引、图纸、操作手册、使用指南、维修指南、服务手册等。</w:t>
      </w:r>
    </w:p>
    <w:p w14:paraId="27EC6D2E">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E3C4AE8">
      <w:pPr>
        <w:numPr>
          <w:ilvl w:val="0"/>
          <w:numId w:val="18"/>
        </w:numPr>
        <w:autoSpaceDE w:val="0"/>
        <w:autoSpaceDN w:val="0"/>
        <w:spacing w:line="360" w:lineRule="auto"/>
        <w:rPr>
          <w:rFonts w:ascii="宋体" w:hAnsi="宋体" w:cs="宋体"/>
          <w:kern w:val="0"/>
          <w:sz w:val="24"/>
        </w:rPr>
      </w:pPr>
      <w:r>
        <w:rPr>
          <w:rFonts w:hint="eastAsia" w:ascii="宋体" w:hAnsi="宋体" w:cs="宋体"/>
          <w:b/>
          <w:bCs/>
          <w:kern w:val="0"/>
          <w:sz w:val="24"/>
          <w:lang w:val="zh-CN"/>
        </w:rPr>
        <w:t>知识产权</w:t>
      </w:r>
    </w:p>
    <w:p w14:paraId="20500FD2">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乙方应保证甲方在使用该货物或其任何一部分时不受第三方提出的侵犯专利权、著作权、商标权和工业设计权等的起诉。</w:t>
      </w:r>
    </w:p>
    <w:p w14:paraId="07343B21">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任何第三方提出侵权指控，乙方须与第三方交涉并承担由此产生的一切责任、费用和经济赔偿。</w:t>
      </w:r>
    </w:p>
    <w:p w14:paraId="27F1C458">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0362F96D">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在本合同生效时已经存在并为各方合法拥有或使用的所有技术、资料和信息的知识产权，仍应属于其各自的原权利人所有或享有，另有约定的除外。</w:t>
      </w:r>
    </w:p>
    <w:p w14:paraId="529698F5">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4347A43">
      <w:pPr>
        <w:numPr>
          <w:ilvl w:val="0"/>
          <w:numId w:val="18"/>
        </w:numPr>
        <w:autoSpaceDE w:val="0"/>
        <w:autoSpaceDN w:val="0"/>
        <w:spacing w:line="360" w:lineRule="auto"/>
        <w:rPr>
          <w:rFonts w:ascii="宋体" w:hAnsi="宋体" w:cs="宋体"/>
          <w:kern w:val="0"/>
          <w:sz w:val="24"/>
        </w:rPr>
      </w:pPr>
      <w:r>
        <w:rPr>
          <w:rFonts w:hint="eastAsia" w:ascii="宋体" w:hAnsi="宋体" w:cs="宋体"/>
          <w:b/>
          <w:bCs/>
          <w:kern w:val="0"/>
          <w:sz w:val="24"/>
          <w:lang w:val="zh-CN"/>
        </w:rPr>
        <w:t>保密</w:t>
      </w:r>
    </w:p>
    <w:p w14:paraId="7A09C51B">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4A6EABA4">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保密信息指任何一方因履行本合同所知悉的任何以口头、书面、图表或电子形式存在的对方信息，具体包括：</w:t>
      </w:r>
    </w:p>
    <w:p w14:paraId="70EF80AB">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任何涉及对方过去、现在或将来的商业计划、规章制度、操作规程、处理手段、财务信息；</w:t>
      </w:r>
    </w:p>
    <w:p w14:paraId="4174D932">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任何对方的技术措施、技术方案、软件应用及开发，硬件设备的品种、质量、数量、品牌等；</w:t>
      </w:r>
    </w:p>
    <w:p w14:paraId="5F955C70">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任何对方的技术秘密或专有知识、文件、报告、数据、客户软件、流程图、数据库、发明、知识、贸易秘密。</w:t>
      </w:r>
    </w:p>
    <w:p w14:paraId="71D1B184">
      <w:pPr>
        <w:numPr>
          <w:ilvl w:val="1"/>
          <w:numId w:val="18"/>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乙方应根据甲方的要求签署相应的保密协议，保密协议与本条款存在不一致的，以保密协议为准。</w:t>
      </w:r>
    </w:p>
    <w:p w14:paraId="6E9AEED1">
      <w:pPr>
        <w:numPr>
          <w:ilvl w:val="0"/>
          <w:numId w:val="18"/>
        </w:numPr>
        <w:autoSpaceDE w:val="0"/>
        <w:autoSpaceDN w:val="0"/>
        <w:spacing w:line="360" w:lineRule="auto"/>
        <w:rPr>
          <w:rFonts w:ascii="宋体" w:hAnsi="宋体" w:cs="宋体"/>
          <w:kern w:val="0"/>
          <w:sz w:val="24"/>
        </w:rPr>
      </w:pPr>
      <w:r>
        <w:rPr>
          <w:rFonts w:hint="eastAsia" w:ascii="宋体" w:hAnsi="宋体" w:cs="宋体"/>
          <w:b/>
          <w:bCs/>
          <w:kern w:val="0"/>
          <w:sz w:val="24"/>
          <w:lang w:val="zh-CN"/>
        </w:rPr>
        <w:t>质量保证</w:t>
      </w:r>
    </w:p>
    <w:p w14:paraId="1480CFC2">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货物质量保证</w:t>
      </w:r>
    </w:p>
    <w:p w14:paraId="64A78DBB">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乙方必须保证货物是全新、未使用过的，并完全符合强制性的国家技术质量规范和合同规定的质量、规格、性能和技术规范等的要求。</w:t>
      </w:r>
    </w:p>
    <w:p w14:paraId="1BE57958">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14:paraId="2E50832C">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5BB3E204">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200D9137">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合同条款下货物的免费质保期自货物通过最终验收起算，合同另行规定除外。</w:t>
      </w:r>
    </w:p>
    <w:p w14:paraId="4AC256CA">
      <w:pPr>
        <w:numPr>
          <w:ilvl w:val="1"/>
          <w:numId w:val="18"/>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辅助服务质量保证</w:t>
      </w:r>
    </w:p>
    <w:p w14:paraId="2023782C">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647F4DD8">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乙方应保证合同条款下所提供的服务包括培训、安装指导、单机调试、系统联调和试验等，按合同规定方式进行，并保证不存在因乙方工作人员的过失、错误或疏忽而产生的缺陷。</w:t>
      </w:r>
    </w:p>
    <w:p w14:paraId="7CA40FAC">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包装要求</w:t>
      </w:r>
    </w:p>
    <w:p w14:paraId="100AA5E1">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除合同另有约定外</w:t>
      </w:r>
      <w:r>
        <w:rPr>
          <w:rFonts w:hint="eastAsia" w:ascii="宋体" w:hAnsi="宋体" w:cs="宋体"/>
          <w:kern w:val="0"/>
          <w:sz w:val="24"/>
        </w:rPr>
        <w:t>,</w:t>
      </w:r>
      <w:r>
        <w:rPr>
          <w:rFonts w:hint="eastAsia" w:ascii="宋体" w:hAnsi="宋体" w:cs="宋体"/>
          <w:kern w:val="0"/>
          <w:sz w:val="24"/>
          <w:lang w:val="zh-CN"/>
        </w:rPr>
        <w:t>乙方提供的全部货物</w:t>
      </w:r>
      <w:r>
        <w:rPr>
          <w:rFonts w:hint="eastAsia" w:ascii="宋体" w:hAnsi="宋体" w:cs="宋体"/>
          <w:kern w:val="0"/>
          <w:sz w:val="24"/>
        </w:rPr>
        <w:t>,</w:t>
      </w:r>
      <w:r>
        <w:rPr>
          <w:rFonts w:hint="eastAsia" w:ascii="宋体" w:hAnsi="宋体" w:cs="宋体"/>
          <w:kern w:val="0"/>
          <w:sz w:val="24"/>
          <w:lang w:val="zh-CN"/>
        </w:rPr>
        <w:t>均应采用本行业通用的方式进行包装，且该包装应符合国家有关包装的法律、法规的规定。</w:t>
      </w:r>
    </w:p>
    <w:p w14:paraId="706A1630">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包装应适应于远距离运输，并有良好的防潮、防震、防锈和防粗暴装卸等保护措施，以确保货物安全运抵现场。由于包装不善所引起的货物锈蚀、损坏和损失均由乙方承担。</w:t>
      </w:r>
    </w:p>
    <w:p w14:paraId="24C4E1E7">
      <w:pPr>
        <w:autoSpaceDE w:val="0"/>
        <w:autoSpaceDN w:val="0"/>
        <w:spacing w:line="360" w:lineRule="auto"/>
        <w:ind w:left="480"/>
        <w:rPr>
          <w:rFonts w:ascii="宋体" w:hAnsi="宋体" w:cs="宋体"/>
          <w:kern w:val="0"/>
          <w:sz w:val="24"/>
        </w:rPr>
      </w:pPr>
      <w:r>
        <w:rPr>
          <w:rFonts w:hint="eastAsia" w:ascii="宋体" w:hAnsi="宋体" w:cs="宋体"/>
          <w:kern w:val="0"/>
          <w:sz w:val="24"/>
          <w:lang w:val="zh-CN"/>
        </w:rPr>
        <w:t>乙方应提供货物运至合同规定的最终目的地所需要的包装，以防止货物在转运中损坏或变质。</w:t>
      </w:r>
    </w:p>
    <w:p w14:paraId="3B261F64">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乙方所提供的货物包装均为出厂时原包装。</w:t>
      </w:r>
    </w:p>
    <w:p w14:paraId="1DBC6A5F">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乙方所提供货物必须附有质量合格证，装箱清单，主机、附件、各种零部件和消耗品，有清楚的与装箱单相对应的名称和编号。</w:t>
      </w:r>
    </w:p>
    <w:p w14:paraId="777ED92A">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货物运输中的运输费用和保险费用均由乙方承担。运输过程中的一切损失、损坏均由乙方负责。</w:t>
      </w:r>
    </w:p>
    <w:p w14:paraId="21647722">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价格</w:t>
      </w:r>
    </w:p>
    <w:p w14:paraId="279EA686">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14:paraId="5F1344AB">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本合同价格为固定价格，包括了乙方履行合同全过程产生的所有成本和费用以及乙方应承担的一切税费。</w:t>
      </w:r>
    </w:p>
    <w:p w14:paraId="23CEACEF">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检验费用</w:t>
      </w:r>
    </w:p>
    <w:p w14:paraId="50064112">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乙方必须负担本条款下属于乙方负责的检验、测试、调试、试运行和验收的所有费用，并负责乙方派往买方组织的检验、测试和验收人员的所有费用。</w:t>
      </w:r>
    </w:p>
    <w:p w14:paraId="66F19F50">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甲方按合同计划参加在乙方工厂所在地检验、测试和验收的费用全部由乙方负责并已包含在合同总价中。</w:t>
      </w:r>
    </w:p>
    <w:p w14:paraId="5A6F7976">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甲方检验人员已到卖方所在地，测试无法依照合同进行，而引起甲方人员延长逗留时间，所有由此产生的包括甲方人员在内的直接费用及成本由乙方承担。</w:t>
      </w:r>
    </w:p>
    <w:p w14:paraId="0E0E4801">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交货方式及交货时间</w:t>
      </w:r>
    </w:p>
    <w:p w14:paraId="2A11CF21">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交货方式：现场交货，乙方负责办理运输和保险，将货物运抵现场。</w:t>
      </w:r>
    </w:p>
    <w:p w14:paraId="3FB91EB4">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交货期应根据产品的特点实事求是填写，进口产品90个工作日内，国产产品60个工作日内。特殊产品交货期需说明。</w:t>
      </w:r>
    </w:p>
    <w:p w14:paraId="0F3A5BBA">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交货时间：所有货物运抵现场并经双方开箱验收合格之日。</w:t>
      </w:r>
    </w:p>
    <w:p w14:paraId="4E769E14">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检验和验收</w:t>
      </w:r>
    </w:p>
    <w:p w14:paraId="096748DB">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开箱验收</w:t>
      </w:r>
    </w:p>
    <w:p w14:paraId="207EF493">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货物运抵现场后，双方应及时开箱验收，并制作验收记录，以确认与本合同约定的数量、型号等是否一致。</w:t>
      </w:r>
    </w:p>
    <w:p w14:paraId="7C49A898">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67DE03CE">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61A30C0C">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检验验收</w:t>
      </w:r>
    </w:p>
    <w:p w14:paraId="56B7C4AD">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交货完成后，乙方应及时组装、调试、试运行，按照合同专用条款规定的试运行完成后，双方及时组织对货物检验验收。合同双方均须派人参加合同要求双方参加的试验、检验。</w:t>
      </w:r>
    </w:p>
    <w:p w14:paraId="682D49A2">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在具体实施合同规定的检验验收之前，乙方需提前提交相应的测试计划（包括测试程序、测试内容和检验标准、试验时间安排等）供甲方确认。</w:t>
      </w:r>
    </w:p>
    <w:p w14:paraId="2DF97590">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除需甲方确认的试验验收外，乙方还应对所有检验验收测试的结果、步骤、原始数据等作妥善记录。如甲方要求，乙方应提供这些记录给买方。</w:t>
      </w:r>
    </w:p>
    <w:p w14:paraId="45DB46A7">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检验测试出现全部或部分未达到本合同所约定的技术指标，甲方有权选择下列任一处理方式：</w:t>
      </w:r>
    </w:p>
    <w:p w14:paraId="4C11E929">
      <w:pPr>
        <w:numPr>
          <w:ilvl w:val="0"/>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重新测试直至合格为止；</w:t>
      </w:r>
    </w:p>
    <w:p w14:paraId="2BE3E979">
      <w:pPr>
        <w:numPr>
          <w:ilvl w:val="0"/>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要求乙方对货物进行免费更换，然后重新测试直至合格为止；</w:t>
      </w:r>
    </w:p>
    <w:p w14:paraId="425460F7">
      <w:pPr>
        <w:autoSpaceDE w:val="0"/>
        <w:autoSpaceDN w:val="0"/>
        <w:spacing w:line="360" w:lineRule="auto"/>
        <w:rPr>
          <w:rFonts w:ascii="宋体" w:hAnsi="宋体" w:cs="宋体"/>
          <w:kern w:val="0"/>
          <w:sz w:val="24"/>
        </w:rPr>
      </w:pPr>
      <w:r>
        <w:rPr>
          <w:rFonts w:hint="eastAsia" w:ascii="宋体" w:hAnsi="宋体" w:cs="宋体"/>
          <w:kern w:val="0"/>
          <w:sz w:val="24"/>
          <w:lang w:val="zh-CN"/>
        </w:rPr>
        <w:t>无论选择何种方式，甲方因此而发生的因卖方原因引起的所有费用均由乙方负担。</w:t>
      </w:r>
    </w:p>
    <w:p w14:paraId="7EBFB2A5">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使用过程检验</w:t>
      </w:r>
    </w:p>
    <w:p w14:paraId="70AB1864">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1D42B056">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如果合同双方对乙方提供的上述试验结果报告的解释有分歧，双方须于出现分歧后</w:t>
      </w:r>
      <w:r>
        <w:rPr>
          <w:rFonts w:hint="eastAsia" w:ascii="宋体" w:hAnsi="宋体" w:cs="宋体"/>
          <w:kern w:val="0"/>
          <w:sz w:val="24"/>
        </w:rPr>
        <w:t>10</w:t>
      </w:r>
      <w:r>
        <w:rPr>
          <w:rFonts w:hint="eastAsia" w:ascii="宋体" w:hAnsi="宋体" w:cs="宋体"/>
          <w:kern w:val="0"/>
          <w:sz w:val="24"/>
          <w:lang w:val="zh-CN"/>
        </w:rPr>
        <w:t>天内给对方声明，以陈述己方的观点。声明须附有关证据。分歧应通过协商解决。</w:t>
      </w:r>
    </w:p>
    <w:p w14:paraId="3984F4CE">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付款条件</w:t>
      </w:r>
    </w:p>
    <w:p w14:paraId="7AEF65F6">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本合同条款下的付款方法和条件在“青海省政府采购合同书”中具体规定。</w:t>
      </w:r>
    </w:p>
    <w:p w14:paraId="463F3B7D">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履约保证金</w:t>
      </w:r>
    </w:p>
    <w:p w14:paraId="2DF87022">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乙方应在合同签订前，按要求提交履约保证金。</w:t>
      </w:r>
    </w:p>
    <w:p w14:paraId="2C574FD5">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履约保证金用于补偿甲方因乙方不能履行其合同义务而蒙受的损失。</w:t>
      </w:r>
    </w:p>
    <w:p w14:paraId="079BB96D">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履约保证金应使用本合同货币，按下述方式之一提交（磋商文件中另有约定的除外）：</w:t>
      </w:r>
    </w:p>
    <w:p w14:paraId="3B1DA424">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甲方可接受的在中华人民共和国注册和营业的银行出具的履约保函；</w:t>
      </w:r>
    </w:p>
    <w:p w14:paraId="08FC8CFC">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支票或汇票。</w:t>
      </w:r>
    </w:p>
    <w:p w14:paraId="65D6F6B6">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乙方未能按合同规定履行其义务，甲方有权从履约保证金中取得补偿。货物验收合格后，甲方将履约保证金退还乙方或转为质量保证金。</w:t>
      </w:r>
    </w:p>
    <w:p w14:paraId="4B6BE36F">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索赔</w:t>
      </w:r>
    </w:p>
    <w:p w14:paraId="18B9577A">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14:paraId="24694F0B">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在履约保证期和检验期内，乙方对甲方提出的索赔负有责任，乙方应按照甲方同意的下列一种或多种方式解决索赔事宜：</w:t>
      </w:r>
    </w:p>
    <w:p w14:paraId="268E4024">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5CD270E4">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根据货物低劣程度、损坏程度以及甲方所遭受损失的数额，经甲乙双方商定降低货物的价格，或由有资质的中介机构评估，以降低后的价格或评估价格为准。</w:t>
      </w:r>
    </w:p>
    <w:p w14:paraId="27DB1823">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49235AD7">
      <w:pPr>
        <w:numPr>
          <w:ilvl w:val="1"/>
          <w:numId w:val="18"/>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乙方收到甲方发出的索赔通知之日起</w:t>
      </w:r>
      <w:r>
        <w:rPr>
          <w:rFonts w:hint="eastAsia" w:ascii="宋体" w:hAnsi="宋体" w:cs="宋体"/>
          <w:kern w:val="0"/>
          <w:sz w:val="24"/>
        </w:rPr>
        <w:t>5</w:t>
      </w:r>
      <w:r>
        <w:rPr>
          <w:rFonts w:hint="eastAsia" w:ascii="宋体" w:hAnsi="宋体" w:cs="宋体"/>
          <w:kern w:val="0"/>
          <w:sz w:val="24"/>
          <w:lang w:val="zh-CN"/>
        </w:rPr>
        <w:t>个工作日内未作答复的，甲方可从合同款或履约保证金中扣回索赔金额，如金额不足以补偿索赔金额，乙方应补足差额部分。</w:t>
      </w:r>
    </w:p>
    <w:p w14:paraId="211211A9">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迟延交货</w:t>
      </w:r>
    </w:p>
    <w:p w14:paraId="40FD9193">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乙方应按照合同约定的时间交货和提供服务。</w:t>
      </w:r>
    </w:p>
    <w:p w14:paraId="72640B9C">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除不可抗力因素外，乙方迟延交货，甲方有权提出违约损失赔偿或解除合同。</w:t>
      </w:r>
    </w:p>
    <w:p w14:paraId="56A2AC68">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2D1A0AA2">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违约赔偿</w:t>
      </w:r>
    </w:p>
    <w:p w14:paraId="7110FA88">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除不可抗力因素外，乙方没有按照合同规定的时间交货和提供服务，甲方可要求乙方支付违约金。违约金每日按合同总价款的千分之五计收。</w:t>
      </w:r>
    </w:p>
    <w:p w14:paraId="67C1F759">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不可抗力</w:t>
      </w:r>
    </w:p>
    <w:p w14:paraId="456AEBDF">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双方中任何一方遭遇法律规定的不可抗力，致使合同履行受阻时，履行合同的期限应予延长，延长的期限应相当于不可抗力所影响的时间。</w:t>
      </w:r>
    </w:p>
    <w:p w14:paraId="097221CE">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受事故影响的一方应在不可抗力的事故发生后以书面形式通知另一方。</w:t>
      </w:r>
    </w:p>
    <w:p w14:paraId="281D601A">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不可抗力使合同的某些内容有变更必要的，双方应通过协商达成进一步履行合同的协议，因不可抗力致使合同不能履行的，合同终止。</w:t>
      </w:r>
    </w:p>
    <w:p w14:paraId="2801FB42">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税费</w:t>
      </w:r>
    </w:p>
    <w:p w14:paraId="3E86E15F">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与本合同有关的一切税费均由乙方承担。</w:t>
      </w:r>
    </w:p>
    <w:p w14:paraId="48757D1A">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合同争议的解决</w:t>
      </w:r>
    </w:p>
    <w:p w14:paraId="3A581564">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甲方和乙方由于本合同的履行而发生任何争议时，双方可先通过协商解决。</w:t>
      </w:r>
    </w:p>
    <w:p w14:paraId="1F09DF85">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任何一方不愿通过协商或通过协商仍不能解决争议，则双方中任何一方均应向甲方所在地人民法院起诉。</w:t>
      </w:r>
    </w:p>
    <w:p w14:paraId="7FD88506">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违约解除合同</w:t>
      </w:r>
    </w:p>
    <w:p w14:paraId="6F0B2099">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出现下列情形之一的，视为乙方违约。甲方可向乙方发出书面通知，部分或全部终止合同，同时保留向乙方索赔的权利。</w:t>
      </w:r>
    </w:p>
    <w:p w14:paraId="633CDE3E">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乙方未能在合同规定的限期或甲方同意延长的限期内，提供全部或部分货物的；</w:t>
      </w:r>
    </w:p>
    <w:p w14:paraId="029634C7">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乙方未能履行合同规定的其它主要义务的；</w:t>
      </w:r>
    </w:p>
    <w:p w14:paraId="72B7F082">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乙方在本合同履行过程中有欺诈行为的。</w:t>
      </w:r>
    </w:p>
    <w:p w14:paraId="3D36727C">
      <w:pPr>
        <w:numPr>
          <w:ilvl w:val="1"/>
          <w:numId w:val="18"/>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E463802">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破产终止合同</w:t>
      </w:r>
    </w:p>
    <w:p w14:paraId="04E5A1BE">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73720084">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转让和分包</w:t>
      </w:r>
    </w:p>
    <w:p w14:paraId="32984D52">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政府采购合同不能转让。</w:t>
      </w:r>
    </w:p>
    <w:p w14:paraId="4CAB1D1F">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A5989BB">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合同修改</w:t>
      </w:r>
    </w:p>
    <w:p w14:paraId="6D7BAE2F">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甲方和乙方都不得擅自变更本合同，但合同继续履行将损害国家和社会公共利益的除外。如必须对合同条款进行改动时，当事人双方须共同签署书面文件，做为合同的补充。</w:t>
      </w:r>
    </w:p>
    <w:p w14:paraId="35E3EF52">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通知</w:t>
      </w:r>
    </w:p>
    <w:p w14:paraId="15CA254B">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本合同任何一方给另一方的通知，都应以书面形式发送，而另一方也应以书面形式确认并发送到对方明确的地址。</w:t>
      </w:r>
    </w:p>
    <w:p w14:paraId="6A22E786">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计量单位</w:t>
      </w:r>
    </w:p>
    <w:p w14:paraId="511B64DD">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除技术规范中另有规定外</w:t>
      </w:r>
      <w:r>
        <w:rPr>
          <w:rFonts w:hint="eastAsia" w:ascii="宋体" w:hAnsi="宋体" w:cs="宋体"/>
          <w:kern w:val="0"/>
          <w:sz w:val="24"/>
        </w:rPr>
        <w:t>,</w:t>
      </w:r>
      <w:r>
        <w:rPr>
          <w:rFonts w:hint="eastAsia" w:ascii="宋体" w:hAnsi="宋体" w:cs="宋体"/>
          <w:kern w:val="0"/>
          <w:sz w:val="24"/>
          <w:lang w:val="zh-CN"/>
        </w:rPr>
        <w:t>计量单位均使用国家法定计量单位。</w:t>
      </w:r>
    </w:p>
    <w:p w14:paraId="1A2AE47B">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适用法律</w:t>
      </w:r>
    </w:p>
    <w:p w14:paraId="527B6D73">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本合同按照中华人民共和国的相关法律进行解释。</w:t>
      </w:r>
    </w:p>
    <w:p w14:paraId="0C4B0731">
      <w:pPr>
        <w:pStyle w:val="25"/>
        <w:spacing w:before="0" w:after="0" w:line="360" w:lineRule="auto"/>
        <w:rPr>
          <w:rFonts w:ascii="宋体" w:hAnsi="宋体"/>
        </w:rPr>
      </w:pPr>
      <w:r>
        <w:rPr>
          <w:rFonts w:ascii="宋体" w:hAnsi="宋体" w:cs="宋体"/>
          <w:kern w:val="0"/>
          <w:sz w:val="24"/>
          <w:lang w:val="zh-CN"/>
        </w:rPr>
        <w:br w:type="page"/>
      </w:r>
      <w:bookmarkStart w:id="183" w:name="_Toc1575331"/>
      <w:r>
        <w:rPr>
          <w:rFonts w:hint="eastAsia" w:ascii="宋体" w:hAnsi="宋体"/>
          <w:sz w:val="36"/>
          <w:szCs w:val="36"/>
        </w:rPr>
        <w:t>第五部分磋商响应文件格式</w:t>
      </w:r>
      <w:bookmarkEnd w:id="183"/>
    </w:p>
    <w:p w14:paraId="5791B614">
      <w:pPr>
        <w:spacing w:line="360" w:lineRule="auto"/>
        <w:rPr>
          <w:rFonts w:ascii="宋体" w:hAnsi="宋体"/>
          <w:sz w:val="32"/>
        </w:rPr>
      </w:pPr>
    </w:p>
    <w:p w14:paraId="6C2A1E01">
      <w:pPr>
        <w:widowControl/>
        <w:spacing w:line="360" w:lineRule="auto"/>
        <w:ind w:firstLine="630" w:firstLineChars="224"/>
        <w:rPr>
          <w:rFonts w:ascii="宋体" w:hAnsi="宋体" w:cs="宋体"/>
          <w:b/>
          <w:bCs/>
          <w:kern w:val="0"/>
          <w:sz w:val="28"/>
          <w:szCs w:val="28"/>
          <w:lang w:val="zh-CN"/>
        </w:rPr>
      </w:pPr>
      <w:r>
        <w:rPr>
          <w:rFonts w:hint="eastAsia" w:ascii="宋体" w:hAnsi="宋体" w:cs="宋体"/>
          <w:b/>
          <w:bCs/>
          <w:kern w:val="0"/>
          <w:sz w:val="28"/>
          <w:szCs w:val="28"/>
          <w:lang w:val="zh-CN"/>
        </w:rPr>
        <w:t>磋商供应商应严格按照本格式要求编制磋商响应文件，并编制相应页码。</w:t>
      </w:r>
    </w:p>
    <w:p w14:paraId="1832D729">
      <w:pPr>
        <w:rPr>
          <w:b/>
          <w:lang w:val="zh-CN"/>
        </w:rPr>
      </w:pPr>
      <w:r>
        <w:rPr>
          <w:rFonts w:cs="宋体"/>
          <w:kern w:val="0"/>
          <w:szCs w:val="28"/>
          <w:lang w:val="zh-CN"/>
        </w:rPr>
        <w:br w:type="page"/>
      </w:r>
    </w:p>
    <w:p w14:paraId="7402CCE0">
      <w:pPr>
        <w:pStyle w:val="4"/>
        <w:numPr>
          <w:ilvl w:val="0"/>
          <w:numId w:val="0"/>
        </w:numPr>
        <w:ind w:left="709" w:hanging="709"/>
        <w:rPr>
          <w:lang w:val="zh-CN"/>
        </w:rPr>
      </w:pPr>
      <w:bookmarkStart w:id="184" w:name="_Toc1575332"/>
      <w:r>
        <w:rPr>
          <w:rFonts w:hint="eastAsia" w:hAnsi="宋体"/>
          <w:b/>
          <w:sz w:val="32"/>
          <w:lang w:val="zh-CN"/>
        </w:rPr>
        <w:t>一、磋商响应文件封面(上册)</w:t>
      </w:r>
      <w:bookmarkEnd w:id="184"/>
    </w:p>
    <w:p w14:paraId="7D465FBD">
      <w:pPr>
        <w:spacing w:line="360" w:lineRule="auto"/>
        <w:rPr>
          <w:rFonts w:ascii="宋体" w:hAnsi="宋体"/>
          <w:sz w:val="32"/>
        </w:rPr>
      </w:pPr>
    </w:p>
    <w:p w14:paraId="7FD71F49">
      <w:pPr>
        <w:pStyle w:val="11"/>
        <w:rPr>
          <w:rFonts w:ascii="宋体" w:hAnsi="宋体"/>
          <w:sz w:val="32"/>
        </w:rPr>
      </w:pPr>
    </w:p>
    <w:p w14:paraId="4C1FAD9E">
      <w:pPr>
        <w:rPr>
          <w:rFonts w:ascii="宋体" w:hAnsi="宋体"/>
          <w:sz w:val="32"/>
        </w:rPr>
      </w:pPr>
    </w:p>
    <w:p w14:paraId="4966D5D0">
      <w:pPr>
        <w:pStyle w:val="11"/>
      </w:pPr>
    </w:p>
    <w:p w14:paraId="0671D79F">
      <w:pPr>
        <w:spacing w:line="360" w:lineRule="auto"/>
        <w:rPr>
          <w:rFonts w:ascii="宋体" w:hAnsi="宋体"/>
          <w:sz w:val="32"/>
        </w:rPr>
      </w:pPr>
    </w:p>
    <w:p w14:paraId="2AA00525">
      <w:pPr>
        <w:spacing w:line="360" w:lineRule="auto"/>
        <w:jc w:val="center"/>
        <w:rPr>
          <w:rFonts w:ascii="宋体" w:hAnsi="宋体"/>
          <w:b/>
          <w:sz w:val="96"/>
        </w:rPr>
      </w:pPr>
      <w:r>
        <w:rPr>
          <w:rFonts w:hint="eastAsia" w:ascii="宋体" w:hAnsi="宋体"/>
          <w:b/>
          <w:sz w:val="72"/>
        </w:rPr>
        <w:t>青海省政府采购项目</w:t>
      </w:r>
    </w:p>
    <w:p w14:paraId="2FD30310">
      <w:pPr>
        <w:spacing w:line="360" w:lineRule="auto"/>
        <w:jc w:val="center"/>
        <w:rPr>
          <w:rFonts w:ascii="宋体" w:hAnsi="宋体"/>
          <w:b/>
          <w:sz w:val="48"/>
        </w:rPr>
      </w:pPr>
    </w:p>
    <w:p w14:paraId="4853E2DC">
      <w:pPr>
        <w:spacing w:line="360" w:lineRule="auto"/>
        <w:jc w:val="center"/>
        <w:rPr>
          <w:rFonts w:ascii="宋体" w:hAnsi="宋体"/>
          <w:b/>
          <w:sz w:val="48"/>
        </w:rPr>
      </w:pPr>
    </w:p>
    <w:p w14:paraId="50D5C3F9">
      <w:pPr>
        <w:spacing w:line="360" w:lineRule="auto"/>
        <w:jc w:val="center"/>
        <w:rPr>
          <w:rFonts w:ascii="宋体" w:hAnsi="宋体"/>
          <w:b/>
          <w:sz w:val="56"/>
        </w:rPr>
      </w:pPr>
      <w:r>
        <w:rPr>
          <w:rFonts w:hint="eastAsia" w:ascii="宋体" w:hAnsi="宋体"/>
          <w:b/>
          <w:sz w:val="52"/>
        </w:rPr>
        <w:t>磋商响应文件</w:t>
      </w:r>
    </w:p>
    <w:p w14:paraId="5BAA1646">
      <w:pPr>
        <w:spacing w:line="360" w:lineRule="auto"/>
        <w:jc w:val="center"/>
        <w:rPr>
          <w:rFonts w:ascii="宋体" w:hAnsi="宋体"/>
          <w:b/>
          <w:bCs/>
          <w:sz w:val="32"/>
        </w:rPr>
      </w:pPr>
      <w:r>
        <w:rPr>
          <w:rFonts w:hint="eastAsia" w:ascii="宋体" w:hAnsi="宋体"/>
          <w:b/>
          <w:bCs/>
          <w:sz w:val="32"/>
        </w:rPr>
        <w:t>（上册）</w:t>
      </w:r>
    </w:p>
    <w:p w14:paraId="53C16B31">
      <w:pPr>
        <w:adjustRightInd w:val="0"/>
        <w:spacing w:line="360" w:lineRule="auto"/>
        <w:textAlignment w:val="baseline"/>
        <w:rPr>
          <w:rFonts w:ascii="宋体" w:hAnsi="宋体"/>
          <w:b/>
          <w:bCs/>
          <w:sz w:val="32"/>
        </w:rPr>
      </w:pPr>
    </w:p>
    <w:p w14:paraId="02C828D3">
      <w:pPr>
        <w:adjustRightInd w:val="0"/>
        <w:spacing w:line="360" w:lineRule="auto"/>
        <w:ind w:firstLine="964" w:firstLineChars="300"/>
        <w:textAlignment w:val="baseline"/>
        <w:rPr>
          <w:rFonts w:ascii="宋体" w:hAnsi="宋体"/>
          <w:b/>
          <w:bCs/>
          <w:sz w:val="32"/>
          <w:szCs w:val="32"/>
          <w:u w:val="single"/>
        </w:rPr>
      </w:pPr>
      <w:r>
        <w:rPr>
          <w:rFonts w:hint="eastAsia" w:ascii="宋体" w:hAnsi="宋体"/>
          <w:b/>
          <w:bCs/>
          <w:sz w:val="32"/>
          <w:szCs w:val="32"/>
        </w:rPr>
        <w:t>采购项目编号</w:t>
      </w:r>
      <w:r>
        <w:rPr>
          <w:rFonts w:hint="eastAsia" w:ascii="宋体" w:hAnsi="宋体"/>
          <w:sz w:val="32"/>
          <w:szCs w:val="32"/>
        </w:rPr>
        <w:t>：</w:t>
      </w:r>
      <w:r>
        <w:rPr>
          <w:rFonts w:hint="eastAsia" w:ascii="宋体" w:hAnsi="宋体"/>
          <w:b/>
          <w:bCs/>
          <w:sz w:val="32"/>
          <w:szCs w:val="32"/>
          <w:u w:val="single"/>
        </w:rPr>
        <w:t xml:space="preserve">                        </w:t>
      </w:r>
    </w:p>
    <w:p w14:paraId="1F934AC3">
      <w:pPr>
        <w:adjustRightInd w:val="0"/>
        <w:spacing w:line="360" w:lineRule="auto"/>
        <w:ind w:firstLine="964" w:firstLineChars="300"/>
        <w:textAlignment w:val="baseline"/>
        <w:rPr>
          <w:rFonts w:ascii="宋体" w:hAnsi="宋体"/>
          <w:b/>
          <w:bCs/>
          <w:sz w:val="32"/>
          <w:szCs w:val="32"/>
        </w:rPr>
      </w:pPr>
      <w:r>
        <w:rPr>
          <w:rFonts w:hint="eastAsia" w:ascii="宋体" w:hAnsi="宋体"/>
          <w:b/>
          <w:bCs/>
          <w:sz w:val="32"/>
          <w:szCs w:val="32"/>
        </w:rPr>
        <w:t>采购项目名称：</w:t>
      </w:r>
      <w:r>
        <w:rPr>
          <w:rFonts w:hint="eastAsia" w:ascii="宋体" w:hAnsi="宋体"/>
          <w:b/>
          <w:bCs/>
          <w:sz w:val="32"/>
          <w:szCs w:val="32"/>
          <w:u w:val="single"/>
        </w:rPr>
        <w:t xml:space="preserve">                        </w:t>
      </w:r>
    </w:p>
    <w:p w14:paraId="5870EFC3">
      <w:pPr>
        <w:adjustRightInd w:val="0"/>
        <w:spacing w:line="360" w:lineRule="auto"/>
        <w:ind w:firstLine="964" w:firstLineChars="300"/>
        <w:textAlignment w:val="baseline"/>
        <w:rPr>
          <w:rFonts w:ascii="宋体" w:hAnsi="宋体"/>
          <w:b/>
          <w:bCs/>
          <w:sz w:val="32"/>
          <w:szCs w:val="32"/>
        </w:rPr>
      </w:pPr>
    </w:p>
    <w:p w14:paraId="1363B5DD">
      <w:pPr>
        <w:adjustRightInd w:val="0"/>
        <w:spacing w:line="360" w:lineRule="auto"/>
        <w:ind w:firstLine="964" w:firstLineChars="300"/>
        <w:textAlignment w:val="baseline"/>
        <w:rPr>
          <w:rFonts w:ascii="宋体" w:hAnsi="宋体"/>
          <w:b/>
          <w:bCs/>
          <w:sz w:val="32"/>
          <w:szCs w:val="32"/>
        </w:rPr>
      </w:pPr>
    </w:p>
    <w:p w14:paraId="5D0C350E">
      <w:pPr>
        <w:adjustRightInd w:val="0"/>
        <w:spacing w:line="360" w:lineRule="auto"/>
        <w:ind w:firstLine="2249" w:firstLineChars="700"/>
        <w:textAlignment w:val="baseline"/>
        <w:rPr>
          <w:rFonts w:ascii="宋体" w:hAnsi="宋体"/>
          <w:b/>
          <w:bCs/>
          <w:sz w:val="32"/>
          <w:szCs w:val="32"/>
          <w:u w:val="single"/>
        </w:rPr>
      </w:pPr>
      <w:r>
        <w:rPr>
          <w:rFonts w:hint="eastAsia" w:ascii="宋体" w:hAnsi="宋体"/>
          <w:b/>
          <w:bCs/>
          <w:sz w:val="32"/>
          <w:szCs w:val="32"/>
        </w:rPr>
        <w:t>磋商供应商</w:t>
      </w:r>
      <w:r>
        <w:rPr>
          <w:rFonts w:hint="eastAsia" w:ascii="宋体" w:hAnsi="宋体"/>
          <w:b/>
          <w:sz w:val="32"/>
          <w:szCs w:val="32"/>
        </w:rPr>
        <w:t>：</w:t>
      </w:r>
      <w:r>
        <w:rPr>
          <w:rFonts w:hint="eastAsia" w:ascii="宋体" w:hAnsi="宋体"/>
          <w:b/>
          <w:sz w:val="32"/>
          <w:szCs w:val="32"/>
          <w:u w:val="single"/>
        </w:rPr>
        <w:t xml:space="preserve">                     （公章）</w:t>
      </w:r>
    </w:p>
    <w:p w14:paraId="43658AA3">
      <w:pPr>
        <w:adjustRightInd w:val="0"/>
        <w:spacing w:line="360" w:lineRule="auto"/>
        <w:ind w:firstLine="2249" w:firstLineChars="700"/>
        <w:textAlignment w:val="baseline"/>
        <w:rPr>
          <w:rFonts w:ascii="宋体" w:hAnsi="宋体"/>
          <w:b/>
          <w:sz w:val="32"/>
          <w:u w:val="single"/>
        </w:rPr>
      </w:pPr>
      <w:r>
        <w:rPr>
          <w:rFonts w:hint="eastAsia" w:ascii="宋体" w:hAnsi="宋体"/>
          <w:b/>
          <w:sz w:val="32"/>
        </w:rPr>
        <w:t>法定代表人或委托代理人：</w:t>
      </w:r>
      <w:r>
        <w:rPr>
          <w:rFonts w:hint="eastAsia" w:ascii="宋体" w:hAnsi="宋体"/>
          <w:b/>
          <w:sz w:val="32"/>
          <w:u w:val="single"/>
        </w:rPr>
        <w:t xml:space="preserve">         </w:t>
      </w:r>
      <w:r>
        <w:rPr>
          <w:rFonts w:hint="eastAsia" w:ascii="宋体" w:hAnsi="宋体"/>
          <w:b/>
          <w:sz w:val="32"/>
          <w:szCs w:val="32"/>
          <w:u w:val="single"/>
        </w:rPr>
        <w:t>（</w:t>
      </w:r>
      <w:r>
        <w:rPr>
          <w:rFonts w:hint="eastAsia" w:ascii="宋体" w:hAnsi="宋体"/>
          <w:b/>
          <w:sz w:val="32"/>
          <w:u w:val="single"/>
        </w:rPr>
        <w:t>签字</w:t>
      </w:r>
      <w:r>
        <w:rPr>
          <w:rFonts w:hint="eastAsia" w:ascii="宋体" w:hAnsi="宋体"/>
          <w:b/>
          <w:sz w:val="32"/>
          <w:u w:val="single"/>
          <w:lang w:val="en-US" w:eastAsia="zh-CN"/>
        </w:rPr>
        <w:t>或盖章</w:t>
      </w:r>
      <w:r>
        <w:rPr>
          <w:rFonts w:hint="eastAsia" w:ascii="宋体" w:hAnsi="宋体"/>
          <w:b/>
          <w:sz w:val="32"/>
          <w:u w:val="single"/>
        </w:rPr>
        <w:t>）</w:t>
      </w:r>
    </w:p>
    <w:p w14:paraId="35AE5C3C">
      <w:pPr>
        <w:spacing w:line="360" w:lineRule="auto"/>
        <w:ind w:firstLine="645"/>
        <w:jc w:val="center"/>
        <w:rPr>
          <w:rFonts w:ascii="宋体" w:hAnsi="宋体"/>
          <w:b/>
          <w:bCs/>
          <w:sz w:val="32"/>
        </w:rPr>
      </w:pPr>
      <w:r>
        <w:rPr>
          <w:rFonts w:hint="eastAsia" w:ascii="宋体" w:hAnsi="宋体"/>
          <w:sz w:val="32"/>
        </w:rPr>
        <w:t xml:space="preserve">                  </w:t>
      </w:r>
      <w:r>
        <w:rPr>
          <w:rFonts w:hint="eastAsia" w:ascii="宋体" w:hAnsi="宋体"/>
          <w:b/>
          <w:bCs/>
          <w:sz w:val="32"/>
        </w:rPr>
        <w:t>日期： 年   月   日</w:t>
      </w:r>
      <w:bookmarkStart w:id="185" w:name="_Toc444715735"/>
    </w:p>
    <w:p w14:paraId="4FC10866">
      <w:pPr>
        <w:pStyle w:val="4"/>
        <w:numPr>
          <w:ilvl w:val="0"/>
          <w:numId w:val="0"/>
        </w:numPr>
        <w:ind w:left="709" w:hanging="709"/>
        <w:rPr>
          <w:rFonts w:hAnsi="宋体"/>
          <w:b/>
          <w:sz w:val="32"/>
          <w:lang w:val="zh-CN"/>
        </w:rPr>
      </w:pPr>
      <w:r>
        <w:rPr>
          <w:rFonts w:hAnsi="宋体"/>
        </w:rPr>
        <w:br w:type="page"/>
      </w:r>
      <w:bookmarkStart w:id="186" w:name="_Toc1575333"/>
      <w:r>
        <w:rPr>
          <w:rFonts w:hint="eastAsia" w:hAnsi="宋体"/>
          <w:b/>
        </w:rPr>
        <w:t>二、</w:t>
      </w:r>
      <w:r>
        <w:rPr>
          <w:rFonts w:hint="eastAsia" w:hAnsi="宋体"/>
          <w:b/>
          <w:sz w:val="32"/>
          <w:lang w:val="zh-CN"/>
        </w:rPr>
        <w:t>磋商响应文件目录</w:t>
      </w:r>
      <w:bookmarkEnd w:id="185"/>
      <w:r>
        <w:rPr>
          <w:rFonts w:hint="eastAsia" w:hAnsi="宋体"/>
          <w:b/>
          <w:sz w:val="32"/>
          <w:lang w:val="zh-CN"/>
        </w:rPr>
        <w:t>（上册）</w:t>
      </w:r>
      <w:bookmarkEnd w:id="186"/>
    </w:p>
    <w:p w14:paraId="2DEA984B">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磋商</w:t>
      </w:r>
      <w:r>
        <w:rPr>
          <w:rFonts w:hint="eastAsia" w:ascii="宋体" w:hAnsi="宋体" w:cs="宋体"/>
          <w:kern w:val="0"/>
          <w:sz w:val="24"/>
          <w:lang w:val="zh-CN"/>
        </w:rPr>
        <w:t>函……………………………………………………………所在页码</w:t>
      </w:r>
    </w:p>
    <w:p w14:paraId="5701E0C1">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）法定代表人证明书………………………………………………所在页码</w:t>
      </w:r>
    </w:p>
    <w:p w14:paraId="3CA8AE77">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kern w:val="0"/>
          <w:sz w:val="24"/>
          <w:lang w:val="zh-CN"/>
        </w:rPr>
        <w:t>）法定代表人授权书………………………………………………所在页码</w:t>
      </w:r>
    </w:p>
    <w:p w14:paraId="0D1A3314">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（4）磋商供应商承诺书………………………………………………所在页码</w:t>
      </w:r>
    </w:p>
    <w:p w14:paraId="54D23453">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5</w:t>
      </w:r>
      <w:r>
        <w:rPr>
          <w:rFonts w:hint="eastAsia" w:ascii="宋体" w:hAnsi="宋体" w:cs="宋体"/>
          <w:kern w:val="0"/>
          <w:sz w:val="24"/>
          <w:lang w:val="zh-CN"/>
        </w:rPr>
        <w:t>）供应商诚信承诺书………………………………………………所在页码</w:t>
      </w:r>
    </w:p>
    <w:p w14:paraId="00330F1A">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6</w:t>
      </w:r>
      <w:r>
        <w:rPr>
          <w:rFonts w:hint="eastAsia" w:ascii="宋体" w:hAnsi="宋体" w:cs="宋体"/>
          <w:kern w:val="0"/>
          <w:sz w:val="24"/>
          <w:lang w:val="zh-CN"/>
        </w:rPr>
        <w:t>）资格证明材料……………………………………………………所在页码</w:t>
      </w:r>
    </w:p>
    <w:p w14:paraId="2725D3B9">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7</w:t>
      </w:r>
      <w:r>
        <w:rPr>
          <w:rFonts w:hint="eastAsia" w:ascii="宋体" w:hAnsi="宋体" w:cs="宋体"/>
          <w:kern w:val="0"/>
          <w:sz w:val="24"/>
          <w:lang w:val="zh-CN"/>
        </w:rPr>
        <w:t>）财务状况、缴纳税收和社会保障资金证明……………………所在页码</w:t>
      </w:r>
    </w:p>
    <w:p w14:paraId="517D7D47">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（8）具备履行合同所必须的设备和专业技术能力证明……………所在页码</w:t>
      </w:r>
    </w:p>
    <w:p w14:paraId="2FF8329C">
      <w:pPr>
        <w:autoSpaceDE w:val="0"/>
        <w:autoSpaceDN w:val="0"/>
        <w:spacing w:line="360" w:lineRule="auto"/>
        <w:ind w:firstLine="1080" w:firstLineChars="450"/>
        <w:rPr>
          <w:rFonts w:ascii="宋体" w:hAnsi="宋体" w:cs="宋体"/>
          <w:kern w:val="0"/>
          <w:sz w:val="24"/>
          <w:lang w:val="zh-CN"/>
        </w:rPr>
      </w:pPr>
      <w:r>
        <w:rPr>
          <w:rFonts w:hint="eastAsia" w:ascii="宋体" w:hAnsi="宋体" w:cs="宋体"/>
          <w:kern w:val="0"/>
          <w:sz w:val="24"/>
          <w:lang w:val="zh-CN"/>
        </w:rPr>
        <w:t>（9）</w:t>
      </w:r>
      <w:r>
        <w:rPr>
          <w:rFonts w:hint="eastAsia" w:ascii="宋体" w:hAnsi="宋体" w:cs="宋体"/>
          <w:sz w:val="24"/>
        </w:rPr>
        <w:t>磋商保证金证明</w:t>
      </w:r>
      <w:r>
        <w:rPr>
          <w:rFonts w:hint="eastAsia" w:ascii="宋体" w:hAnsi="宋体" w:cs="宋体"/>
          <w:kern w:val="0"/>
          <w:sz w:val="24"/>
          <w:lang w:val="zh-CN"/>
        </w:rPr>
        <w:t>…………………………………………………所在页码</w:t>
      </w:r>
    </w:p>
    <w:p w14:paraId="18F42E3F">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（10）无重大违法记录声明……………………………………………所在页码</w:t>
      </w:r>
    </w:p>
    <w:p w14:paraId="5B3CDC41">
      <w:pPr>
        <w:autoSpaceDE w:val="0"/>
        <w:autoSpaceDN w:val="0"/>
        <w:spacing w:line="360" w:lineRule="auto"/>
        <w:ind w:firstLine="240" w:firstLineChars="100"/>
        <w:rPr>
          <w:rFonts w:ascii="宋体" w:hAnsi="宋体" w:cs="宋体"/>
          <w:kern w:val="0"/>
          <w:sz w:val="24"/>
          <w:lang w:val="zh-CN"/>
        </w:rPr>
      </w:pPr>
    </w:p>
    <w:p w14:paraId="5CADC45E">
      <w:pPr>
        <w:pStyle w:val="4"/>
        <w:numPr>
          <w:ilvl w:val="0"/>
          <w:numId w:val="0"/>
        </w:numPr>
        <w:ind w:left="709" w:hanging="709"/>
        <w:rPr>
          <w:rFonts w:hAnsi="宋体"/>
        </w:rPr>
      </w:pPr>
      <w:r>
        <w:rPr>
          <w:rFonts w:hAnsi="宋体"/>
          <w:b/>
          <w:bCs/>
        </w:rPr>
        <w:br w:type="page"/>
      </w:r>
      <w:bookmarkStart w:id="187" w:name="_Toc1575334"/>
      <w:r>
        <w:rPr>
          <w:rFonts w:hint="eastAsia" w:hAnsi="宋体"/>
          <w:b/>
          <w:sz w:val="32"/>
          <w:lang w:val="zh-CN"/>
        </w:rPr>
        <w:t>格式1、磋商函</w:t>
      </w:r>
      <w:bookmarkEnd w:id="187"/>
    </w:p>
    <w:p w14:paraId="24697A69">
      <w:pPr>
        <w:adjustRightInd w:val="0"/>
        <w:spacing w:line="360" w:lineRule="auto"/>
        <w:jc w:val="center"/>
        <w:textAlignment w:val="baseline"/>
        <w:rPr>
          <w:rFonts w:ascii="宋体" w:hAnsi="宋体"/>
          <w:b/>
          <w:sz w:val="30"/>
          <w:szCs w:val="30"/>
        </w:rPr>
      </w:pPr>
      <w:r>
        <w:rPr>
          <w:rFonts w:hint="eastAsia" w:ascii="宋体" w:hAnsi="宋体"/>
          <w:b/>
          <w:sz w:val="30"/>
          <w:szCs w:val="30"/>
        </w:rPr>
        <w:t>磋 商 函</w:t>
      </w:r>
    </w:p>
    <w:p w14:paraId="7974549E">
      <w:pPr>
        <w:adjustRightInd w:val="0"/>
        <w:spacing w:line="360" w:lineRule="auto"/>
        <w:ind w:left="482" w:hanging="482" w:hangingChars="200"/>
        <w:textAlignment w:val="baseline"/>
        <w:rPr>
          <w:rFonts w:hint="eastAsia" w:ascii="宋体" w:hAnsi="宋体" w:eastAsia="宋体"/>
          <w:b/>
          <w:sz w:val="24"/>
          <w:lang w:eastAsia="zh-CN"/>
        </w:rPr>
      </w:pPr>
      <w:r>
        <w:rPr>
          <w:rFonts w:hint="eastAsia" w:ascii="宋体" w:hAnsi="宋体"/>
          <w:b/>
          <w:sz w:val="24"/>
        </w:rPr>
        <w:t>致：</w:t>
      </w:r>
      <w:r>
        <w:rPr>
          <w:rFonts w:hint="eastAsia" w:ascii="宋体" w:hAnsi="宋体"/>
          <w:b/>
          <w:sz w:val="24"/>
          <w:lang w:eastAsia="zh-CN"/>
        </w:rPr>
        <w:t>青海奕帆工程项目管理有限公司</w:t>
      </w:r>
    </w:p>
    <w:p w14:paraId="5B6FBBEC">
      <w:pPr>
        <w:adjustRightInd w:val="0"/>
        <w:spacing w:line="360" w:lineRule="auto"/>
        <w:ind w:firstLine="480" w:firstLineChars="200"/>
        <w:textAlignment w:val="baseline"/>
        <w:rPr>
          <w:rFonts w:ascii="宋体" w:hAnsi="宋体"/>
          <w:sz w:val="24"/>
        </w:rPr>
      </w:pPr>
      <w:r>
        <w:rPr>
          <w:rFonts w:hint="eastAsia" w:ascii="宋体" w:hAnsi="宋体"/>
          <w:sz w:val="24"/>
        </w:rPr>
        <w:t>我们收到</w:t>
      </w:r>
      <w:r>
        <w:rPr>
          <w:rFonts w:hint="eastAsia" w:ascii="宋体" w:hAnsi="宋体"/>
          <w:sz w:val="24"/>
          <w:u w:val="single"/>
          <w:lang w:eastAsia="zh-CN"/>
        </w:rPr>
        <w:t>全民健身场地器材补短板工程乡镇（街道）项目</w:t>
      </w:r>
      <w:r>
        <w:rPr>
          <w:rFonts w:hint="eastAsia" w:ascii="宋体" w:hAnsi="宋体"/>
          <w:sz w:val="24"/>
          <w:u w:val="single"/>
        </w:rPr>
        <w:t>（</w:t>
      </w:r>
      <w:r>
        <w:rPr>
          <w:rFonts w:hint="eastAsia" w:ascii="宋体" w:hAnsi="宋体"/>
          <w:sz w:val="24"/>
          <w:u w:val="single"/>
          <w:lang w:eastAsia="zh-CN"/>
        </w:rPr>
        <w:t>青海奕帆竞磋（货物）2024-038</w:t>
      </w:r>
      <w:r>
        <w:rPr>
          <w:rFonts w:hint="eastAsia" w:ascii="宋体" w:hAnsi="宋体"/>
          <w:sz w:val="24"/>
          <w:u w:val="single"/>
        </w:rPr>
        <w:t>）</w:t>
      </w:r>
      <w:r>
        <w:rPr>
          <w:rFonts w:hint="eastAsia" w:ascii="宋体" w:hAnsi="宋体"/>
          <w:sz w:val="24"/>
        </w:rPr>
        <w:t>磋商文件，经研究，法定代表人（姓名、职务）正式授权（委托代理人姓名、职务）代表磋商供应商（磋商供应商名称、地址）提交磋商响应文件。</w:t>
      </w:r>
    </w:p>
    <w:p w14:paraId="232B25FF">
      <w:pPr>
        <w:adjustRightInd w:val="0"/>
        <w:spacing w:line="360" w:lineRule="auto"/>
        <w:ind w:firstLine="480" w:firstLineChars="200"/>
        <w:textAlignment w:val="baseline"/>
        <w:rPr>
          <w:rFonts w:ascii="宋体" w:hAnsi="宋体"/>
          <w:sz w:val="24"/>
        </w:rPr>
      </w:pPr>
      <w:r>
        <w:rPr>
          <w:rFonts w:hint="eastAsia" w:ascii="宋体" w:hAnsi="宋体"/>
          <w:sz w:val="24"/>
        </w:rPr>
        <w:t>据此函，签字代表宣布同意如下：</w:t>
      </w:r>
    </w:p>
    <w:p w14:paraId="4674B30D">
      <w:pPr>
        <w:adjustRightInd w:val="0"/>
        <w:spacing w:line="360" w:lineRule="auto"/>
        <w:ind w:firstLine="480" w:firstLineChars="200"/>
        <w:textAlignment w:val="baseline"/>
        <w:rPr>
          <w:rFonts w:ascii="宋体" w:hAnsi="宋体"/>
          <w:sz w:val="24"/>
        </w:rPr>
      </w:pPr>
      <w:r>
        <w:rPr>
          <w:rFonts w:hint="eastAsia" w:ascii="宋体" w:hAnsi="宋体"/>
          <w:sz w:val="24"/>
        </w:rPr>
        <w:t>1.我方已详阅磋商文件的全部内容，包括澄清、修改条款等有关附件，承诺对其完全理解并接受。</w:t>
      </w:r>
    </w:p>
    <w:p w14:paraId="280A59DC">
      <w:pPr>
        <w:adjustRightInd w:val="0"/>
        <w:spacing w:line="360" w:lineRule="auto"/>
        <w:ind w:firstLine="480" w:firstLineChars="200"/>
        <w:textAlignment w:val="baseline"/>
        <w:rPr>
          <w:rFonts w:ascii="宋体" w:hAnsi="宋体"/>
          <w:sz w:val="24"/>
        </w:rPr>
      </w:pPr>
      <w:r>
        <w:rPr>
          <w:rFonts w:hint="eastAsia" w:ascii="宋体" w:hAnsi="宋体"/>
          <w:sz w:val="24"/>
        </w:rPr>
        <w:t>2.磋商有效期自磋商之日起</w:t>
      </w:r>
      <w:r>
        <w:rPr>
          <w:rFonts w:hint="eastAsia" w:ascii="宋体" w:hAnsi="宋体"/>
          <w:sz w:val="24"/>
          <w:u w:val="single"/>
        </w:rPr>
        <w:t xml:space="preserve">       </w:t>
      </w:r>
      <w:r>
        <w:rPr>
          <w:rFonts w:hint="eastAsia" w:ascii="宋体" w:hAnsi="宋体"/>
          <w:sz w:val="24"/>
        </w:rPr>
        <w:t>日历日内有效。如果在规定的开标时间后，我方在磋商有效期内撤回磋商或中标后不签约的，磋商保证金将被贵方没收。</w:t>
      </w:r>
    </w:p>
    <w:p w14:paraId="0CF146E9">
      <w:pPr>
        <w:adjustRightInd w:val="0"/>
        <w:spacing w:line="360" w:lineRule="auto"/>
        <w:ind w:firstLine="480" w:firstLineChars="200"/>
        <w:textAlignment w:val="baseline"/>
        <w:rPr>
          <w:rFonts w:ascii="宋体" w:hAnsi="宋体"/>
          <w:sz w:val="24"/>
        </w:rPr>
      </w:pPr>
      <w:r>
        <w:rPr>
          <w:rFonts w:hint="eastAsia" w:ascii="宋体" w:hAnsi="宋体"/>
          <w:sz w:val="24"/>
        </w:rPr>
        <w:t>3.我方同意按照贵方要求提供与磋商有关的一切数据或资料，理解并接受贵方制定的评标办法。</w:t>
      </w:r>
    </w:p>
    <w:p w14:paraId="7CD11E0B">
      <w:pPr>
        <w:adjustRightInd w:val="0"/>
        <w:spacing w:line="360" w:lineRule="auto"/>
        <w:ind w:firstLine="480" w:firstLineChars="200"/>
        <w:textAlignment w:val="baseline"/>
        <w:rPr>
          <w:rFonts w:ascii="宋体" w:hAnsi="宋体"/>
          <w:sz w:val="24"/>
        </w:rPr>
      </w:pPr>
      <w:r>
        <w:rPr>
          <w:rFonts w:hint="eastAsia" w:ascii="宋体" w:hAnsi="宋体"/>
          <w:sz w:val="24"/>
        </w:rPr>
        <w:t>4.与本磋商有关的一切正式往来通讯请寄：</w:t>
      </w:r>
    </w:p>
    <w:p w14:paraId="047B7524">
      <w:pPr>
        <w:adjustRightInd w:val="0"/>
        <w:spacing w:line="360" w:lineRule="auto"/>
        <w:ind w:firstLine="480" w:firstLineChars="200"/>
        <w:textAlignment w:val="baseline"/>
        <w:rPr>
          <w:rFonts w:ascii="宋体" w:hAnsi="宋体"/>
          <w:sz w:val="24"/>
        </w:rPr>
      </w:pPr>
    </w:p>
    <w:p w14:paraId="157867C7">
      <w:pPr>
        <w:adjustRightInd w:val="0"/>
        <w:spacing w:line="360" w:lineRule="auto"/>
        <w:textAlignment w:val="baseline"/>
        <w:rPr>
          <w:rFonts w:ascii="宋体" w:hAnsi="宋体"/>
          <w:sz w:val="24"/>
        </w:rPr>
      </w:pPr>
      <w:r>
        <w:rPr>
          <w:rFonts w:hint="eastAsia" w:ascii="宋体" w:hAnsi="宋体"/>
          <w:sz w:val="24"/>
        </w:rPr>
        <w:t>地址：                               邮编：</w:t>
      </w:r>
    </w:p>
    <w:p w14:paraId="3473F008">
      <w:pPr>
        <w:adjustRightInd w:val="0"/>
        <w:spacing w:line="360" w:lineRule="auto"/>
        <w:textAlignment w:val="baseline"/>
        <w:rPr>
          <w:rFonts w:ascii="宋体" w:hAnsi="宋体"/>
          <w:sz w:val="24"/>
        </w:rPr>
      </w:pPr>
    </w:p>
    <w:p w14:paraId="67D0CD01">
      <w:pPr>
        <w:adjustRightInd w:val="0"/>
        <w:spacing w:line="360" w:lineRule="auto"/>
        <w:textAlignment w:val="baseline"/>
        <w:rPr>
          <w:rFonts w:ascii="宋体" w:hAnsi="宋体"/>
          <w:sz w:val="24"/>
        </w:rPr>
      </w:pPr>
      <w:r>
        <w:rPr>
          <w:rFonts w:hint="eastAsia" w:ascii="宋体" w:hAnsi="宋体"/>
          <w:sz w:val="24"/>
        </w:rPr>
        <w:t>电话：                               传真：</w:t>
      </w:r>
    </w:p>
    <w:p w14:paraId="466EA317">
      <w:pPr>
        <w:adjustRightInd w:val="0"/>
        <w:spacing w:line="360" w:lineRule="auto"/>
        <w:textAlignment w:val="baseline"/>
        <w:rPr>
          <w:rFonts w:ascii="宋体" w:hAnsi="宋体"/>
          <w:sz w:val="24"/>
        </w:rPr>
      </w:pPr>
    </w:p>
    <w:p w14:paraId="2EADFCCC">
      <w:pPr>
        <w:adjustRightInd w:val="0"/>
        <w:spacing w:line="360" w:lineRule="auto"/>
        <w:textAlignment w:val="baseline"/>
        <w:rPr>
          <w:rFonts w:ascii="宋体" w:hAnsi="宋体"/>
          <w:sz w:val="24"/>
        </w:rPr>
      </w:pPr>
      <w:r>
        <w:rPr>
          <w:rFonts w:hint="eastAsia" w:ascii="宋体" w:hAnsi="宋体"/>
          <w:sz w:val="24"/>
        </w:rPr>
        <w:t>法定代表人姓名：                     职务：</w:t>
      </w:r>
      <w:bookmarkStart w:id="188" w:name="_Toc444715736"/>
    </w:p>
    <w:p w14:paraId="05090425">
      <w:pPr>
        <w:tabs>
          <w:tab w:val="left" w:pos="168"/>
        </w:tabs>
        <w:adjustRightInd w:val="0"/>
        <w:spacing w:line="360" w:lineRule="auto"/>
        <w:ind w:right="480"/>
        <w:jc w:val="right"/>
        <w:textAlignment w:val="baseline"/>
        <w:rPr>
          <w:rFonts w:ascii="宋体" w:hAnsi="宋体"/>
          <w:bCs/>
          <w:sz w:val="24"/>
          <w:szCs w:val="28"/>
        </w:rPr>
      </w:pPr>
    </w:p>
    <w:p w14:paraId="545C474F">
      <w:pPr>
        <w:tabs>
          <w:tab w:val="left" w:pos="168"/>
        </w:tabs>
        <w:adjustRightInd w:val="0"/>
        <w:spacing w:line="360" w:lineRule="auto"/>
        <w:jc w:val="right"/>
        <w:textAlignment w:val="baseline"/>
        <w:rPr>
          <w:rFonts w:ascii="宋体" w:hAnsi="宋体"/>
          <w:bCs/>
          <w:sz w:val="24"/>
          <w:szCs w:val="28"/>
        </w:rPr>
      </w:pPr>
    </w:p>
    <w:p w14:paraId="3621B55C">
      <w:pPr>
        <w:tabs>
          <w:tab w:val="left" w:pos="168"/>
        </w:tabs>
        <w:adjustRightInd w:val="0"/>
        <w:spacing w:line="360" w:lineRule="auto"/>
        <w:jc w:val="right"/>
        <w:textAlignment w:val="baseline"/>
        <w:rPr>
          <w:rFonts w:ascii="宋体" w:hAnsi="宋体"/>
          <w:bCs/>
          <w:sz w:val="24"/>
          <w:szCs w:val="28"/>
        </w:rPr>
      </w:pPr>
    </w:p>
    <w:p w14:paraId="1B6964DD">
      <w:pPr>
        <w:tabs>
          <w:tab w:val="left" w:pos="168"/>
        </w:tabs>
        <w:adjustRightInd w:val="0"/>
        <w:spacing w:line="360" w:lineRule="auto"/>
        <w:jc w:val="right"/>
        <w:textAlignment w:val="baseline"/>
        <w:rPr>
          <w:rFonts w:ascii="宋体" w:hAnsi="宋体"/>
          <w:bCs/>
          <w:sz w:val="24"/>
          <w:szCs w:val="28"/>
        </w:rPr>
      </w:pPr>
    </w:p>
    <w:p w14:paraId="2E8C1E1D">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（公章）</w:t>
      </w:r>
    </w:p>
    <w:p w14:paraId="314A500A">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262A4DD8">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bookmarkEnd w:id="188"/>
    <w:p w14:paraId="611E4F72">
      <w:pPr>
        <w:numPr>
          <w:ilvl w:val="0"/>
          <w:numId w:val="0"/>
        </w:numPr>
        <w:tabs>
          <w:tab w:val="left" w:pos="425"/>
          <w:tab w:val="left" w:pos="720"/>
        </w:tabs>
        <w:outlineLvl w:val="9"/>
        <w:rPr>
          <w:rFonts w:hAnsi="宋体"/>
          <w:bCs/>
          <w:sz w:val="24"/>
          <w:szCs w:val="28"/>
        </w:rPr>
      </w:pPr>
      <w:bookmarkStart w:id="189" w:name="_Toc25583"/>
      <w:bookmarkStart w:id="190" w:name="_Toc444715737"/>
    </w:p>
    <w:bookmarkEnd w:id="189"/>
    <w:bookmarkEnd w:id="190"/>
    <w:p w14:paraId="1FF00E44">
      <w:pPr>
        <w:numPr>
          <w:ilvl w:val="0"/>
          <w:numId w:val="0"/>
        </w:numPr>
        <w:tabs>
          <w:tab w:val="left" w:pos="425"/>
          <w:tab w:val="left" w:pos="720"/>
        </w:tabs>
        <w:outlineLvl w:val="9"/>
        <w:rPr>
          <w:rFonts w:hAnsi="宋体"/>
          <w:bCs/>
          <w:sz w:val="24"/>
          <w:szCs w:val="28"/>
        </w:rPr>
      </w:pPr>
    </w:p>
    <w:p w14:paraId="4C09E2F2">
      <w:pPr>
        <w:pStyle w:val="4"/>
        <w:numPr>
          <w:ilvl w:val="0"/>
          <w:numId w:val="0"/>
        </w:numPr>
        <w:ind w:left="709" w:hanging="709"/>
        <w:rPr>
          <w:rFonts w:hint="eastAsia" w:hAnsi="宋体"/>
          <w:b/>
          <w:sz w:val="32"/>
          <w:lang w:val="zh-CN"/>
        </w:rPr>
      </w:pPr>
      <w:bookmarkStart w:id="191" w:name="_Toc1575335"/>
    </w:p>
    <w:p w14:paraId="2C8D5D50">
      <w:pPr>
        <w:pStyle w:val="4"/>
        <w:numPr>
          <w:ilvl w:val="0"/>
          <w:numId w:val="0"/>
        </w:numPr>
        <w:ind w:left="709" w:hanging="709"/>
        <w:rPr>
          <w:rFonts w:hAnsi="宋体"/>
          <w:lang w:val="zh-CN"/>
        </w:rPr>
      </w:pPr>
      <w:r>
        <w:rPr>
          <w:rFonts w:hint="eastAsia" w:hAnsi="宋体"/>
          <w:b/>
          <w:sz w:val="32"/>
          <w:lang w:val="zh-CN"/>
        </w:rPr>
        <w:t>格式2、法定代表人证明书</w:t>
      </w:r>
      <w:bookmarkEnd w:id="191"/>
    </w:p>
    <w:p w14:paraId="0EABDF16">
      <w:pPr>
        <w:spacing w:line="360" w:lineRule="auto"/>
        <w:rPr>
          <w:rFonts w:ascii="宋体" w:hAnsi="宋体"/>
          <w:lang w:val="zh-CN"/>
        </w:rPr>
      </w:pPr>
    </w:p>
    <w:p w14:paraId="1BE14AAC">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0"/>
          <w:szCs w:val="30"/>
          <w:lang w:val="zh-CN"/>
        </w:rPr>
        <w:t>法定代表人证明书</w:t>
      </w:r>
    </w:p>
    <w:p w14:paraId="4416C08D">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致：青海奕帆工程项目管理有限公司</w:t>
      </w:r>
    </w:p>
    <w:p w14:paraId="50CABEC1">
      <w:pPr>
        <w:autoSpaceDE w:val="0"/>
        <w:autoSpaceDN w:val="0"/>
        <w:adjustRightInd w:val="0"/>
        <w:spacing w:line="360" w:lineRule="auto"/>
        <w:rPr>
          <w:rFonts w:ascii="宋体" w:hAnsi="宋体" w:cs="宋体"/>
          <w:kern w:val="0"/>
          <w:sz w:val="24"/>
          <w:lang w:val="zh-CN"/>
        </w:rPr>
      </w:pPr>
    </w:p>
    <w:p w14:paraId="4FF641D0">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u w:val="single"/>
          <w:lang w:val="zh-CN"/>
        </w:rPr>
        <w:t xml:space="preserve">（法定代表人姓名）  </w:t>
      </w:r>
      <w:r>
        <w:rPr>
          <w:rFonts w:hint="eastAsia" w:ascii="宋体" w:hAnsi="宋体" w:cs="宋体"/>
          <w:kern w:val="0"/>
          <w:sz w:val="24"/>
          <w:lang w:val="zh-CN"/>
        </w:rPr>
        <w:t>现任我单位</w:t>
      </w:r>
      <w:r>
        <w:rPr>
          <w:rFonts w:hint="eastAsia" w:ascii="宋体" w:hAnsi="宋体" w:cs="宋体"/>
          <w:kern w:val="0"/>
          <w:sz w:val="24"/>
          <w:u w:val="single"/>
        </w:rPr>
        <w:t xml:space="preserve">         </w:t>
      </w:r>
      <w:r>
        <w:rPr>
          <w:rFonts w:hint="eastAsia" w:ascii="宋体" w:hAnsi="宋体" w:cs="宋体"/>
          <w:kern w:val="0"/>
          <w:sz w:val="24"/>
          <w:lang w:val="zh-CN"/>
        </w:rPr>
        <w:t>职务，为法定代表人，特此证明。</w:t>
      </w:r>
    </w:p>
    <w:p w14:paraId="057A3EA6">
      <w:pPr>
        <w:autoSpaceDE w:val="0"/>
        <w:autoSpaceDN w:val="0"/>
        <w:adjustRightInd w:val="0"/>
        <w:spacing w:line="360" w:lineRule="auto"/>
        <w:rPr>
          <w:rFonts w:ascii="宋体" w:hAnsi="宋体" w:cs="宋体"/>
          <w:kern w:val="0"/>
          <w:sz w:val="24"/>
          <w:lang w:val="zh-CN"/>
        </w:rPr>
      </w:pPr>
    </w:p>
    <w:p w14:paraId="47901013">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法定代表人基本情况：</w:t>
      </w:r>
    </w:p>
    <w:p w14:paraId="1885EA8D">
      <w:pPr>
        <w:autoSpaceDE w:val="0"/>
        <w:autoSpaceDN w:val="0"/>
        <w:adjustRightInd w:val="0"/>
        <w:spacing w:line="360" w:lineRule="auto"/>
        <w:rPr>
          <w:rFonts w:ascii="宋体" w:hAnsi="宋体" w:cs="宋体"/>
          <w:kern w:val="0"/>
          <w:sz w:val="24"/>
          <w:lang w:val="zh-CN"/>
        </w:rPr>
      </w:pPr>
    </w:p>
    <w:p w14:paraId="17F74859">
      <w:pPr>
        <w:autoSpaceDE w:val="0"/>
        <w:autoSpaceDN w:val="0"/>
        <w:adjustRightInd w:val="0"/>
        <w:spacing w:line="360" w:lineRule="auto"/>
        <w:ind w:firstLine="480" w:firstLineChars="200"/>
        <w:rPr>
          <w:rFonts w:ascii="宋体" w:hAnsi="宋体" w:cs="宋体"/>
          <w:kern w:val="0"/>
          <w:sz w:val="24"/>
          <w:u w:val="single"/>
          <w:lang w:val="zh-CN"/>
        </w:rPr>
      </w:pPr>
      <w:r>
        <w:rPr>
          <w:rFonts w:hint="eastAsia" w:ascii="宋体" w:hAnsi="宋体" w:cs="宋体"/>
          <w:kern w:val="0"/>
          <w:sz w:val="24"/>
          <w:lang w:val="zh-CN"/>
        </w:rPr>
        <w:t>性别：                      年龄：                   民族：</w:t>
      </w:r>
    </w:p>
    <w:p w14:paraId="494D08ED">
      <w:pPr>
        <w:autoSpaceDE w:val="0"/>
        <w:autoSpaceDN w:val="0"/>
        <w:adjustRightInd w:val="0"/>
        <w:spacing w:line="360" w:lineRule="auto"/>
        <w:rPr>
          <w:rFonts w:ascii="宋体" w:hAnsi="宋体" w:cs="宋体"/>
          <w:kern w:val="0"/>
          <w:sz w:val="24"/>
          <w:lang w:val="zh-CN"/>
        </w:rPr>
      </w:pPr>
    </w:p>
    <w:p w14:paraId="5D3DA8E2">
      <w:pPr>
        <w:autoSpaceDE w:val="0"/>
        <w:autoSpaceDN w:val="0"/>
        <w:adjustRightInd w:val="0"/>
        <w:spacing w:line="360" w:lineRule="auto"/>
        <w:ind w:firstLine="480" w:firstLineChars="200"/>
        <w:rPr>
          <w:rFonts w:ascii="宋体" w:hAnsi="宋体" w:cs="宋体"/>
          <w:kern w:val="0"/>
          <w:sz w:val="24"/>
          <w:u w:val="single"/>
          <w:lang w:val="zh-CN"/>
        </w:rPr>
      </w:pPr>
      <w:r>
        <w:rPr>
          <w:rFonts w:hint="eastAsia" w:ascii="宋体" w:hAnsi="宋体" w:cs="宋体"/>
          <w:kern w:val="0"/>
          <w:sz w:val="24"/>
          <w:lang w:val="zh-CN"/>
        </w:rPr>
        <w:t>地址：</w:t>
      </w:r>
    </w:p>
    <w:p w14:paraId="071EB63B">
      <w:pPr>
        <w:autoSpaceDE w:val="0"/>
        <w:autoSpaceDN w:val="0"/>
        <w:adjustRightInd w:val="0"/>
        <w:spacing w:line="360" w:lineRule="auto"/>
        <w:rPr>
          <w:rFonts w:ascii="宋体" w:hAnsi="宋体" w:cs="宋体"/>
          <w:kern w:val="0"/>
          <w:sz w:val="24"/>
          <w:lang w:val="zh-CN"/>
        </w:rPr>
      </w:pPr>
    </w:p>
    <w:p w14:paraId="67F32E8B">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身份证号码：</w:t>
      </w:r>
    </w:p>
    <w:p w14:paraId="27CB43EF">
      <w:pPr>
        <w:autoSpaceDE w:val="0"/>
        <w:autoSpaceDN w:val="0"/>
        <w:adjustRightInd w:val="0"/>
        <w:spacing w:line="360" w:lineRule="auto"/>
        <w:rPr>
          <w:rFonts w:ascii="宋体" w:hAnsi="宋体" w:cs="宋体"/>
          <w:kern w:val="0"/>
          <w:sz w:val="24"/>
          <w:lang w:val="zh-CN"/>
        </w:rPr>
      </w:pPr>
    </w:p>
    <w:p w14:paraId="207A4E54">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附：法定代表人第二代身份证双面扫描（或复印）件</w:t>
      </w:r>
    </w:p>
    <w:p w14:paraId="2CF36BE1">
      <w:pPr>
        <w:autoSpaceDE w:val="0"/>
        <w:autoSpaceDN w:val="0"/>
        <w:adjustRightInd w:val="0"/>
        <w:spacing w:line="360" w:lineRule="auto"/>
        <w:rPr>
          <w:rFonts w:ascii="宋体" w:hAnsi="宋体" w:cs="宋体"/>
          <w:kern w:val="0"/>
          <w:sz w:val="24"/>
          <w:lang w:val="zh-CN"/>
        </w:rPr>
      </w:pPr>
    </w:p>
    <w:p w14:paraId="632B39FB">
      <w:pPr>
        <w:autoSpaceDE w:val="0"/>
        <w:autoSpaceDN w:val="0"/>
        <w:adjustRightInd w:val="0"/>
        <w:spacing w:line="360" w:lineRule="auto"/>
        <w:rPr>
          <w:rFonts w:ascii="宋体" w:hAnsi="宋体" w:cs="宋体"/>
          <w:kern w:val="0"/>
          <w:sz w:val="24"/>
          <w:lang w:val="zh-CN"/>
        </w:rPr>
      </w:pPr>
    </w:p>
    <w:p w14:paraId="0B6B2E1A">
      <w:pPr>
        <w:autoSpaceDE w:val="0"/>
        <w:autoSpaceDN w:val="0"/>
        <w:adjustRightInd w:val="0"/>
        <w:spacing w:line="360" w:lineRule="auto"/>
        <w:rPr>
          <w:rFonts w:ascii="宋体" w:hAnsi="宋体" w:cs="宋体"/>
          <w:kern w:val="0"/>
          <w:sz w:val="24"/>
          <w:lang w:val="zh-CN"/>
        </w:rPr>
      </w:pPr>
    </w:p>
    <w:p w14:paraId="7F8EE9F0">
      <w:pPr>
        <w:autoSpaceDE w:val="0"/>
        <w:autoSpaceDN w:val="0"/>
        <w:adjustRightInd w:val="0"/>
        <w:spacing w:line="360" w:lineRule="auto"/>
        <w:rPr>
          <w:rFonts w:ascii="宋体" w:hAnsi="宋体" w:cs="宋体"/>
          <w:kern w:val="0"/>
          <w:sz w:val="24"/>
          <w:lang w:val="zh-CN"/>
        </w:rPr>
      </w:pPr>
    </w:p>
    <w:p w14:paraId="19604109">
      <w:pPr>
        <w:autoSpaceDE w:val="0"/>
        <w:autoSpaceDN w:val="0"/>
        <w:adjustRightInd w:val="0"/>
        <w:spacing w:line="360" w:lineRule="auto"/>
        <w:rPr>
          <w:rFonts w:ascii="宋体" w:hAnsi="宋体" w:cs="宋体"/>
          <w:kern w:val="0"/>
          <w:sz w:val="24"/>
          <w:lang w:val="zh-CN"/>
        </w:rPr>
      </w:pPr>
    </w:p>
    <w:p w14:paraId="312E1F82">
      <w:pPr>
        <w:autoSpaceDE w:val="0"/>
        <w:autoSpaceDN w:val="0"/>
        <w:adjustRightInd w:val="0"/>
        <w:spacing w:line="360" w:lineRule="auto"/>
        <w:rPr>
          <w:rFonts w:ascii="宋体" w:hAnsi="宋体" w:cs="宋体"/>
          <w:kern w:val="0"/>
          <w:sz w:val="24"/>
          <w:lang w:val="zh-CN"/>
        </w:rPr>
      </w:pPr>
    </w:p>
    <w:p w14:paraId="791BD3A3">
      <w:pPr>
        <w:tabs>
          <w:tab w:val="left" w:pos="168"/>
        </w:tabs>
        <w:adjustRightInd w:val="0"/>
        <w:spacing w:line="360" w:lineRule="auto"/>
        <w:textAlignment w:val="baseline"/>
        <w:rPr>
          <w:rFonts w:ascii="宋体" w:hAnsi="宋体"/>
          <w:bCs/>
          <w:sz w:val="28"/>
          <w:szCs w:val="28"/>
        </w:rPr>
      </w:pPr>
      <w:bookmarkStart w:id="192" w:name="_Toc16858"/>
      <w:bookmarkStart w:id="193" w:name="_Toc444715738"/>
    </w:p>
    <w:p w14:paraId="1A4333F8">
      <w:pPr>
        <w:tabs>
          <w:tab w:val="left" w:pos="168"/>
        </w:tabs>
        <w:wordWrap w:val="0"/>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（公章）</w:t>
      </w:r>
    </w:p>
    <w:p w14:paraId="55F9F6C6">
      <w:pPr>
        <w:tabs>
          <w:tab w:val="left" w:pos="168"/>
        </w:tabs>
        <w:adjustRightInd w:val="0"/>
        <w:spacing w:line="360" w:lineRule="auto"/>
        <w:ind w:right="480" w:firstLine="5760" w:firstLineChars="2400"/>
        <w:textAlignment w:val="baseline"/>
        <w:rPr>
          <w:rFonts w:ascii="宋体" w:hAnsi="宋体"/>
          <w:bCs/>
          <w:sz w:val="24"/>
          <w:szCs w:val="28"/>
        </w:rPr>
      </w:pPr>
      <w:r>
        <w:rPr>
          <w:rFonts w:hint="eastAsia" w:ascii="宋体" w:hAnsi="宋体"/>
          <w:bCs/>
          <w:sz w:val="24"/>
          <w:szCs w:val="28"/>
        </w:rPr>
        <w:t>日期：   年   月   日</w:t>
      </w:r>
    </w:p>
    <w:p w14:paraId="1E1BA0B3">
      <w:pPr>
        <w:pStyle w:val="4"/>
        <w:numPr>
          <w:ilvl w:val="0"/>
          <w:numId w:val="0"/>
        </w:numPr>
        <w:ind w:left="709" w:hanging="709"/>
        <w:rPr>
          <w:rFonts w:hAnsi="宋体"/>
          <w:szCs w:val="28"/>
        </w:rPr>
      </w:pPr>
      <w:r>
        <w:rPr>
          <w:rFonts w:hAnsi="宋体"/>
          <w:bCs/>
          <w:szCs w:val="28"/>
        </w:rPr>
        <w:br w:type="page"/>
      </w:r>
      <w:bookmarkStart w:id="194" w:name="_Toc1575336"/>
      <w:r>
        <w:rPr>
          <w:rFonts w:hint="eastAsia" w:hAnsi="宋体"/>
          <w:b/>
          <w:sz w:val="32"/>
          <w:lang w:val="zh-CN"/>
        </w:rPr>
        <w:t>格式3、法定代表人授权书</w:t>
      </w:r>
      <w:bookmarkEnd w:id="192"/>
      <w:bookmarkEnd w:id="193"/>
      <w:bookmarkEnd w:id="194"/>
    </w:p>
    <w:p w14:paraId="26031998">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法定代表人授权书</w:t>
      </w:r>
    </w:p>
    <w:p w14:paraId="3015A60D">
      <w:pPr>
        <w:spacing w:line="360" w:lineRule="auto"/>
        <w:rPr>
          <w:rFonts w:hint="eastAsia" w:ascii="宋体" w:hAnsi="宋体" w:eastAsia="宋体"/>
          <w:b/>
          <w:bCs/>
          <w:sz w:val="24"/>
          <w:lang w:eastAsia="zh-CN"/>
        </w:rPr>
      </w:pPr>
      <w:r>
        <w:rPr>
          <w:rFonts w:hint="eastAsia" w:ascii="宋体" w:hAnsi="宋体"/>
          <w:b/>
          <w:bCs/>
          <w:sz w:val="24"/>
        </w:rPr>
        <w:t>致：</w:t>
      </w:r>
      <w:r>
        <w:rPr>
          <w:rFonts w:hint="eastAsia" w:ascii="宋体" w:hAnsi="宋体"/>
          <w:b/>
          <w:bCs/>
          <w:sz w:val="24"/>
          <w:lang w:eastAsia="zh-CN"/>
        </w:rPr>
        <w:t>青海奕帆工程项目管理有限公司</w:t>
      </w:r>
    </w:p>
    <w:p w14:paraId="1F242801">
      <w:pPr>
        <w:spacing w:line="360" w:lineRule="auto"/>
        <w:rPr>
          <w:rFonts w:ascii="宋体" w:hAnsi="宋体"/>
          <w:sz w:val="24"/>
          <w:u w:val="single"/>
        </w:rPr>
      </w:pPr>
    </w:p>
    <w:p w14:paraId="39D452A3">
      <w:pPr>
        <w:spacing w:line="360" w:lineRule="auto"/>
        <w:ind w:firstLine="480" w:firstLineChars="200"/>
        <w:rPr>
          <w:rFonts w:ascii="宋体" w:hAnsi="宋体"/>
          <w:sz w:val="24"/>
        </w:rPr>
      </w:pPr>
      <w:r>
        <w:rPr>
          <w:rFonts w:hint="eastAsia" w:ascii="宋体" w:hAnsi="宋体"/>
          <w:sz w:val="24"/>
          <w:u w:val="single"/>
        </w:rPr>
        <w:t>（磋商供应商名称）</w:t>
      </w:r>
      <w:r>
        <w:rPr>
          <w:rFonts w:hint="eastAsia" w:ascii="宋体" w:hAnsi="宋体"/>
          <w:sz w:val="24"/>
        </w:rPr>
        <w:t>系中华人民共和国合法企业，法定地址</w:t>
      </w:r>
      <w:r>
        <w:rPr>
          <w:rFonts w:hint="eastAsia" w:ascii="宋体" w:hAnsi="宋体"/>
          <w:sz w:val="24"/>
          <w:u w:val="single"/>
        </w:rPr>
        <w:t xml:space="preserve">               </w:t>
      </w:r>
      <w:r>
        <w:rPr>
          <w:rFonts w:hint="eastAsia" w:ascii="宋体" w:hAnsi="宋体"/>
          <w:sz w:val="24"/>
        </w:rPr>
        <w:t>。</w:t>
      </w:r>
    </w:p>
    <w:p w14:paraId="56A14E98">
      <w:pPr>
        <w:spacing w:line="360" w:lineRule="auto"/>
        <w:ind w:firstLine="480" w:firstLineChars="200"/>
        <w:rPr>
          <w:rFonts w:ascii="宋体" w:hAnsi="宋体"/>
          <w:sz w:val="24"/>
        </w:rPr>
      </w:pPr>
      <w:r>
        <w:rPr>
          <w:rFonts w:hint="eastAsia" w:ascii="宋体" w:hAnsi="宋体"/>
          <w:sz w:val="24"/>
          <w:u w:val="single"/>
        </w:rPr>
        <w:t>（法定代表人姓名）</w:t>
      </w:r>
      <w:r>
        <w:rPr>
          <w:rFonts w:hint="eastAsia" w:ascii="宋体" w:hAnsi="宋体"/>
          <w:sz w:val="24"/>
        </w:rPr>
        <w:t>特授权</w:t>
      </w:r>
      <w:r>
        <w:rPr>
          <w:rFonts w:hint="eastAsia" w:ascii="宋体" w:hAnsi="宋体"/>
          <w:sz w:val="24"/>
          <w:u w:val="single"/>
        </w:rPr>
        <w:t>（被授权人姓名）</w:t>
      </w:r>
      <w:r>
        <w:rPr>
          <w:rFonts w:hint="eastAsia" w:ascii="宋体" w:hAnsi="宋体"/>
          <w:sz w:val="24"/>
        </w:rPr>
        <w:t>代表我单位全权办理</w:t>
      </w:r>
      <w:r>
        <w:rPr>
          <w:rFonts w:hint="eastAsia" w:ascii="宋体" w:hAnsi="宋体"/>
          <w:sz w:val="24"/>
          <w:u w:val="single"/>
        </w:rPr>
        <w:t xml:space="preserve">                </w:t>
      </w:r>
      <w:r>
        <w:rPr>
          <w:rFonts w:hint="eastAsia" w:ascii="宋体" w:hAnsi="宋体"/>
          <w:sz w:val="24"/>
        </w:rPr>
        <w:t>项目的磋商、答疑等具体工作，并签署全部有关的文件、协议及合同。</w:t>
      </w:r>
    </w:p>
    <w:p w14:paraId="009BB665">
      <w:pPr>
        <w:spacing w:line="360" w:lineRule="auto"/>
        <w:ind w:firstLine="480" w:firstLineChars="200"/>
        <w:rPr>
          <w:rFonts w:ascii="宋体" w:hAnsi="宋体"/>
          <w:sz w:val="24"/>
        </w:rPr>
      </w:pPr>
      <w:r>
        <w:rPr>
          <w:rFonts w:hint="eastAsia" w:ascii="宋体" w:hAnsi="宋体"/>
          <w:sz w:val="24"/>
        </w:rPr>
        <w:t>我单位对被授权人的签名负全部责任。</w:t>
      </w:r>
    </w:p>
    <w:p w14:paraId="3CE77E3E">
      <w:pPr>
        <w:spacing w:line="360" w:lineRule="auto"/>
        <w:ind w:firstLine="480" w:firstLineChars="200"/>
        <w:rPr>
          <w:rFonts w:ascii="宋体" w:hAnsi="宋体"/>
          <w:sz w:val="24"/>
        </w:rPr>
      </w:pPr>
      <w:r>
        <w:rPr>
          <w:rFonts w:hint="eastAsia" w:ascii="宋体" w:hAnsi="宋体"/>
          <w:sz w:val="24"/>
        </w:rPr>
        <w:t>在撤销授权的书面通知以前，本授权书一直有效。被授权人签署的所有文件（在授权书有效期内签署的）不因授权的撤销而失效。</w:t>
      </w:r>
    </w:p>
    <w:p w14:paraId="0EBDCF57">
      <w:pPr>
        <w:spacing w:line="360" w:lineRule="auto"/>
        <w:rPr>
          <w:rFonts w:ascii="宋体" w:hAnsi="宋体"/>
          <w:sz w:val="24"/>
        </w:rPr>
      </w:pPr>
    </w:p>
    <w:p w14:paraId="36D13C45">
      <w:pPr>
        <w:spacing w:line="360" w:lineRule="auto"/>
        <w:rPr>
          <w:rFonts w:ascii="宋体" w:hAnsi="宋体"/>
          <w:sz w:val="24"/>
          <w:u w:val="single"/>
        </w:rPr>
      </w:pPr>
      <w:r>
        <w:rPr>
          <w:rFonts w:ascii="宋体" w:hAnsi="宋体"/>
          <w:sz w:val="24"/>
        </w:rPr>
        <w:t>被授权人联系电话</w:t>
      </w:r>
      <w:r>
        <w:rPr>
          <w:rFonts w:hint="eastAsia" w:ascii="宋体" w:hAnsi="宋体"/>
          <w:sz w:val="24"/>
        </w:rPr>
        <w:t>：</w:t>
      </w:r>
    </w:p>
    <w:p w14:paraId="0404FC6A">
      <w:pPr>
        <w:spacing w:line="360" w:lineRule="auto"/>
        <w:rPr>
          <w:rFonts w:ascii="宋体" w:hAnsi="宋体"/>
          <w:sz w:val="24"/>
          <w:u w:val="single"/>
        </w:rPr>
      </w:pPr>
      <w:r>
        <w:rPr>
          <w:rFonts w:hint="eastAsia" w:ascii="宋体" w:hAnsi="宋体"/>
          <w:sz w:val="24"/>
        </w:rPr>
        <w:t>被授权人（委托代理人）签字：                   授权人（法定代表人）签字：</w:t>
      </w:r>
    </w:p>
    <w:p w14:paraId="06701E45">
      <w:pPr>
        <w:spacing w:line="360" w:lineRule="auto"/>
        <w:rPr>
          <w:rFonts w:ascii="宋体" w:hAnsi="宋体"/>
          <w:sz w:val="24"/>
          <w:u w:val="single"/>
        </w:rPr>
      </w:pPr>
      <w:r>
        <w:rPr>
          <w:rFonts w:hint="eastAsia" w:ascii="宋体" w:hAnsi="宋体"/>
          <w:sz w:val="24"/>
        </w:rPr>
        <w:t>职务：                                         职务：</w:t>
      </w:r>
    </w:p>
    <w:p w14:paraId="61EE3CA7">
      <w:pPr>
        <w:spacing w:line="360" w:lineRule="auto"/>
        <w:rPr>
          <w:rFonts w:ascii="宋体" w:hAnsi="宋体"/>
          <w:sz w:val="24"/>
        </w:rPr>
      </w:pPr>
      <w:r>
        <w:rPr>
          <w:rFonts w:hint="eastAsia" w:ascii="宋体" w:hAnsi="宋体"/>
          <w:sz w:val="24"/>
        </w:rPr>
        <w:t>附：被授权人身份证正、反面扫描（或复印）件</w:t>
      </w:r>
    </w:p>
    <w:p w14:paraId="01FE4CC0">
      <w:pPr>
        <w:tabs>
          <w:tab w:val="left" w:pos="168"/>
        </w:tabs>
        <w:adjustRightInd w:val="0"/>
        <w:spacing w:line="360" w:lineRule="auto"/>
        <w:textAlignment w:val="baseline"/>
        <w:rPr>
          <w:rFonts w:ascii="宋体" w:hAnsi="宋体"/>
          <w:bCs/>
          <w:sz w:val="28"/>
          <w:szCs w:val="28"/>
        </w:rPr>
      </w:pPr>
    </w:p>
    <w:p w14:paraId="6EFA4992">
      <w:pPr>
        <w:tabs>
          <w:tab w:val="left" w:pos="168"/>
        </w:tabs>
        <w:adjustRightInd w:val="0"/>
        <w:spacing w:line="360" w:lineRule="auto"/>
        <w:textAlignment w:val="baseline"/>
        <w:rPr>
          <w:rFonts w:ascii="宋体" w:hAnsi="宋体"/>
          <w:bCs/>
          <w:sz w:val="28"/>
          <w:szCs w:val="28"/>
        </w:rPr>
      </w:pPr>
    </w:p>
    <w:p w14:paraId="25CEA355">
      <w:pPr>
        <w:tabs>
          <w:tab w:val="left" w:pos="168"/>
        </w:tabs>
        <w:adjustRightInd w:val="0"/>
        <w:spacing w:line="360" w:lineRule="auto"/>
        <w:textAlignment w:val="baseline"/>
        <w:rPr>
          <w:rFonts w:ascii="宋体" w:hAnsi="宋体"/>
          <w:bCs/>
          <w:sz w:val="28"/>
          <w:szCs w:val="28"/>
        </w:rPr>
      </w:pPr>
    </w:p>
    <w:p w14:paraId="0D37B3A2">
      <w:pPr>
        <w:tabs>
          <w:tab w:val="left" w:pos="168"/>
        </w:tabs>
        <w:adjustRightInd w:val="0"/>
        <w:spacing w:line="360" w:lineRule="auto"/>
        <w:textAlignment w:val="baseline"/>
        <w:rPr>
          <w:rFonts w:ascii="宋体" w:hAnsi="宋体"/>
          <w:bCs/>
          <w:sz w:val="28"/>
          <w:szCs w:val="28"/>
        </w:rPr>
      </w:pPr>
    </w:p>
    <w:p w14:paraId="447533B2">
      <w:pPr>
        <w:tabs>
          <w:tab w:val="left" w:pos="168"/>
        </w:tabs>
        <w:adjustRightInd w:val="0"/>
        <w:spacing w:line="360" w:lineRule="auto"/>
        <w:textAlignment w:val="baseline"/>
        <w:rPr>
          <w:rFonts w:ascii="宋体" w:hAnsi="宋体"/>
          <w:bCs/>
          <w:sz w:val="28"/>
          <w:szCs w:val="28"/>
        </w:rPr>
      </w:pPr>
    </w:p>
    <w:p w14:paraId="490EC3A7">
      <w:pPr>
        <w:tabs>
          <w:tab w:val="left" w:pos="168"/>
        </w:tabs>
        <w:adjustRightInd w:val="0"/>
        <w:spacing w:line="360" w:lineRule="auto"/>
        <w:textAlignment w:val="baseline"/>
        <w:rPr>
          <w:rFonts w:ascii="宋体" w:hAnsi="宋体"/>
          <w:bCs/>
          <w:sz w:val="28"/>
          <w:szCs w:val="28"/>
        </w:rPr>
      </w:pPr>
    </w:p>
    <w:p w14:paraId="4AA79EB8">
      <w:pPr>
        <w:tabs>
          <w:tab w:val="left" w:pos="168"/>
        </w:tabs>
        <w:adjustRightInd w:val="0"/>
        <w:spacing w:line="360" w:lineRule="auto"/>
        <w:textAlignment w:val="baseline"/>
        <w:rPr>
          <w:rFonts w:ascii="宋体" w:hAnsi="宋体"/>
          <w:bCs/>
          <w:sz w:val="28"/>
          <w:szCs w:val="28"/>
        </w:rPr>
      </w:pPr>
    </w:p>
    <w:p w14:paraId="425910D5">
      <w:pPr>
        <w:tabs>
          <w:tab w:val="left" w:pos="168"/>
        </w:tabs>
        <w:wordWrap w:val="0"/>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 xml:space="preserve">（公章） </w:t>
      </w:r>
    </w:p>
    <w:p w14:paraId="5B62E639">
      <w:pPr>
        <w:tabs>
          <w:tab w:val="left" w:pos="168"/>
        </w:tabs>
        <w:adjustRightInd w:val="0"/>
        <w:spacing w:line="360" w:lineRule="auto"/>
        <w:ind w:right="480" w:firstLine="5760" w:firstLineChars="2400"/>
        <w:textAlignment w:val="baseline"/>
        <w:rPr>
          <w:rFonts w:ascii="宋体" w:hAnsi="宋体"/>
          <w:bCs/>
          <w:sz w:val="24"/>
          <w:szCs w:val="28"/>
        </w:rPr>
      </w:pPr>
      <w:r>
        <w:rPr>
          <w:rFonts w:hint="eastAsia" w:ascii="宋体" w:hAnsi="宋体"/>
          <w:bCs/>
          <w:sz w:val="24"/>
          <w:szCs w:val="28"/>
        </w:rPr>
        <w:t>日期：   年   月   日</w:t>
      </w:r>
    </w:p>
    <w:p w14:paraId="26223AD5">
      <w:pPr>
        <w:pStyle w:val="4"/>
        <w:numPr>
          <w:ilvl w:val="0"/>
          <w:numId w:val="0"/>
        </w:numPr>
        <w:ind w:left="709" w:hanging="709"/>
        <w:rPr>
          <w:rFonts w:hAnsi="宋体"/>
          <w:lang w:val="zh-CN"/>
        </w:rPr>
      </w:pPr>
      <w:r>
        <w:rPr>
          <w:rFonts w:hAnsi="宋体"/>
          <w:bCs/>
          <w:sz w:val="24"/>
        </w:rPr>
        <w:br w:type="page"/>
      </w:r>
      <w:bookmarkStart w:id="195" w:name="_Toc1575337"/>
      <w:r>
        <w:rPr>
          <w:rFonts w:hint="eastAsia" w:hAnsi="宋体"/>
          <w:b/>
          <w:sz w:val="32"/>
          <w:lang w:val="zh-CN"/>
        </w:rPr>
        <w:t>格式4、磋商供应商承诺书</w:t>
      </w:r>
      <w:bookmarkEnd w:id="195"/>
    </w:p>
    <w:p w14:paraId="36886526">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磋商供应商承诺书</w:t>
      </w:r>
    </w:p>
    <w:p w14:paraId="1176E11D">
      <w:pPr>
        <w:spacing w:line="360" w:lineRule="auto"/>
        <w:rPr>
          <w:rFonts w:hint="eastAsia" w:ascii="宋体" w:hAnsi="宋体" w:eastAsia="宋体"/>
          <w:b/>
          <w:bCs/>
          <w:sz w:val="24"/>
          <w:szCs w:val="28"/>
          <w:lang w:eastAsia="zh-CN"/>
        </w:rPr>
      </w:pPr>
      <w:r>
        <w:rPr>
          <w:rFonts w:hint="eastAsia" w:ascii="宋体" w:hAnsi="宋体"/>
          <w:b/>
          <w:bCs/>
          <w:sz w:val="24"/>
          <w:szCs w:val="28"/>
        </w:rPr>
        <w:t>致：</w:t>
      </w:r>
      <w:r>
        <w:rPr>
          <w:rFonts w:hint="eastAsia" w:ascii="宋体" w:hAnsi="宋体"/>
          <w:b/>
          <w:bCs/>
          <w:sz w:val="24"/>
          <w:szCs w:val="28"/>
          <w:lang w:eastAsia="zh-CN"/>
        </w:rPr>
        <w:t>青海奕帆工程项目管理有限公司</w:t>
      </w:r>
    </w:p>
    <w:p w14:paraId="10ACB13E">
      <w:pPr>
        <w:spacing w:line="360" w:lineRule="auto"/>
        <w:rPr>
          <w:rFonts w:ascii="宋体" w:hAnsi="宋体"/>
          <w:sz w:val="24"/>
          <w:szCs w:val="28"/>
        </w:rPr>
      </w:pPr>
    </w:p>
    <w:p w14:paraId="031A8D71">
      <w:pPr>
        <w:spacing w:line="360" w:lineRule="auto"/>
        <w:ind w:firstLine="480" w:firstLineChars="200"/>
        <w:rPr>
          <w:rFonts w:ascii="宋体" w:hAnsi="宋体"/>
          <w:sz w:val="24"/>
          <w:szCs w:val="28"/>
        </w:rPr>
      </w:pPr>
      <w:r>
        <w:rPr>
          <w:rFonts w:hint="eastAsia" w:ascii="宋体" w:hAnsi="宋体"/>
          <w:sz w:val="24"/>
          <w:szCs w:val="28"/>
        </w:rPr>
        <w:t>关于贵方</w:t>
      </w:r>
      <w:r>
        <w:rPr>
          <w:rFonts w:hint="eastAsia" w:ascii="宋体" w:hAnsi="宋体"/>
          <w:sz w:val="24"/>
          <w:szCs w:val="28"/>
          <w:u w:val="single"/>
        </w:rPr>
        <w:t xml:space="preserve">     </w:t>
      </w:r>
      <w:r>
        <w:rPr>
          <w:rFonts w:hint="eastAsia" w:ascii="宋体" w:hAnsi="宋体"/>
          <w:sz w:val="24"/>
          <w:szCs w:val="28"/>
        </w:rPr>
        <w:t>年</w:t>
      </w:r>
      <w:r>
        <w:rPr>
          <w:rFonts w:hint="eastAsia" w:ascii="宋体" w:hAnsi="宋体"/>
          <w:sz w:val="24"/>
          <w:szCs w:val="28"/>
          <w:u w:val="single"/>
        </w:rPr>
        <w:t xml:space="preserve">     </w:t>
      </w:r>
      <w:r>
        <w:rPr>
          <w:rFonts w:hint="eastAsia" w:ascii="宋体" w:hAnsi="宋体"/>
          <w:sz w:val="24"/>
          <w:szCs w:val="28"/>
        </w:rPr>
        <w:t>月</w:t>
      </w:r>
      <w:r>
        <w:rPr>
          <w:rFonts w:hint="eastAsia" w:ascii="宋体" w:hAnsi="宋体"/>
          <w:sz w:val="24"/>
          <w:szCs w:val="28"/>
          <w:u w:val="single"/>
        </w:rPr>
        <w:t xml:space="preserve">     </w:t>
      </w:r>
      <w:r>
        <w:rPr>
          <w:rFonts w:hint="eastAsia" w:ascii="宋体" w:hAnsi="宋体"/>
          <w:sz w:val="24"/>
          <w:szCs w:val="28"/>
        </w:rPr>
        <w:t>日</w:t>
      </w:r>
      <w:r>
        <w:rPr>
          <w:rFonts w:hint="eastAsia" w:ascii="宋体" w:hAnsi="宋体"/>
          <w:sz w:val="24"/>
          <w:szCs w:val="28"/>
          <w:u w:val="single"/>
        </w:rPr>
        <w:t>(项目名称)</w:t>
      </w:r>
      <w:r>
        <w:rPr>
          <w:rFonts w:hint="eastAsia" w:ascii="宋体" w:hAnsi="宋体"/>
          <w:sz w:val="24"/>
          <w:szCs w:val="28"/>
        </w:rPr>
        <w:t>采购项目，本签字人愿意参加磋商，提供采购一览表中要求的所有产品，并证实提交的所有资料是准确的和真实的。同时，我代表</w:t>
      </w:r>
      <w:r>
        <w:rPr>
          <w:rFonts w:hint="eastAsia" w:ascii="宋体" w:hAnsi="宋体"/>
          <w:sz w:val="24"/>
          <w:szCs w:val="28"/>
          <w:u w:val="single"/>
        </w:rPr>
        <w:t>（磋商供应商名称）</w:t>
      </w:r>
      <w:r>
        <w:rPr>
          <w:rFonts w:hint="eastAsia" w:ascii="宋体" w:hAnsi="宋体"/>
          <w:sz w:val="24"/>
          <w:szCs w:val="28"/>
        </w:rPr>
        <w:t>，在此作如下承诺：</w:t>
      </w:r>
    </w:p>
    <w:p w14:paraId="7372595B">
      <w:pPr>
        <w:spacing w:line="360" w:lineRule="auto"/>
        <w:ind w:firstLine="480" w:firstLineChars="200"/>
        <w:rPr>
          <w:rFonts w:ascii="宋体" w:hAnsi="宋体"/>
          <w:sz w:val="24"/>
          <w:szCs w:val="28"/>
        </w:rPr>
      </w:pPr>
      <w:r>
        <w:rPr>
          <w:rFonts w:ascii="宋体" w:hAnsi="宋体"/>
          <w:sz w:val="24"/>
          <w:szCs w:val="28"/>
        </w:rPr>
        <w:t>1</w:t>
      </w:r>
      <w:r>
        <w:rPr>
          <w:rFonts w:hint="eastAsia" w:ascii="宋体" w:hAnsi="宋体"/>
          <w:sz w:val="24"/>
          <w:szCs w:val="28"/>
        </w:rPr>
        <w:t>、完全理解和接受磋商文件的一切规定和要求；</w:t>
      </w:r>
    </w:p>
    <w:p w14:paraId="0E69972C">
      <w:pPr>
        <w:spacing w:line="360" w:lineRule="auto"/>
        <w:ind w:firstLine="480" w:firstLineChars="200"/>
        <w:rPr>
          <w:rFonts w:ascii="宋体" w:hAnsi="宋体"/>
          <w:sz w:val="24"/>
          <w:szCs w:val="28"/>
        </w:rPr>
      </w:pPr>
      <w:r>
        <w:rPr>
          <w:rFonts w:ascii="宋体" w:hAnsi="宋体"/>
          <w:sz w:val="24"/>
          <w:szCs w:val="28"/>
        </w:rPr>
        <w:t>2</w:t>
      </w:r>
      <w:r>
        <w:rPr>
          <w:rFonts w:hint="eastAsia" w:ascii="宋体" w:hAnsi="宋体"/>
          <w:sz w:val="24"/>
          <w:szCs w:val="28"/>
        </w:rPr>
        <w:t>、若中标，我方将按照磋商文件的具体规定与采购单位签订合同，并且严格履行合同义务，按时交货，提供优质的产品和服务。如果在合同执行过程中，发现质量出现问题，我方一定尽快更换或保修，并承担相应的经济责任；</w:t>
      </w:r>
    </w:p>
    <w:p w14:paraId="0A9D1934">
      <w:pPr>
        <w:spacing w:line="360" w:lineRule="auto"/>
        <w:ind w:firstLine="480" w:firstLineChars="200"/>
        <w:rPr>
          <w:rFonts w:ascii="宋体" w:hAnsi="宋体"/>
          <w:sz w:val="24"/>
          <w:szCs w:val="28"/>
        </w:rPr>
      </w:pPr>
      <w:r>
        <w:rPr>
          <w:rFonts w:ascii="宋体" w:hAnsi="宋体"/>
          <w:sz w:val="24"/>
          <w:szCs w:val="28"/>
        </w:rPr>
        <w:t>3</w:t>
      </w:r>
      <w:r>
        <w:rPr>
          <w:rFonts w:hint="eastAsia" w:ascii="宋体" w:hAnsi="宋体"/>
          <w:sz w:val="24"/>
          <w:szCs w:val="28"/>
        </w:rPr>
        <w:t>、在整个磋商过程中我方若有违规行为，贵方可按磋商文件之规定给予惩罚，我方完全接受。</w:t>
      </w:r>
    </w:p>
    <w:p w14:paraId="0EFA657F">
      <w:pPr>
        <w:spacing w:line="360" w:lineRule="auto"/>
        <w:ind w:firstLine="480" w:firstLineChars="200"/>
        <w:rPr>
          <w:rFonts w:ascii="宋体" w:hAnsi="宋体"/>
          <w:sz w:val="24"/>
          <w:szCs w:val="28"/>
        </w:rPr>
      </w:pPr>
      <w:r>
        <w:rPr>
          <w:rFonts w:ascii="宋体" w:hAnsi="宋体"/>
          <w:sz w:val="24"/>
          <w:szCs w:val="28"/>
        </w:rPr>
        <w:t>4</w:t>
      </w:r>
      <w:r>
        <w:rPr>
          <w:rFonts w:hint="eastAsia" w:ascii="宋体" w:hAnsi="宋体"/>
          <w:sz w:val="24"/>
          <w:szCs w:val="28"/>
        </w:rPr>
        <w:t>、若中标，本承诺将成为合同不可分割的一部分，与合同具有同等的法律效力。</w:t>
      </w:r>
    </w:p>
    <w:p w14:paraId="5BA46FF3">
      <w:pPr>
        <w:tabs>
          <w:tab w:val="left" w:pos="168"/>
        </w:tabs>
        <w:adjustRightInd w:val="0"/>
        <w:spacing w:line="360" w:lineRule="auto"/>
        <w:ind w:firstLine="560" w:firstLineChars="200"/>
        <w:textAlignment w:val="baseline"/>
        <w:rPr>
          <w:rFonts w:ascii="宋体" w:hAnsi="宋体"/>
          <w:bCs/>
          <w:sz w:val="28"/>
          <w:szCs w:val="28"/>
        </w:rPr>
      </w:pPr>
    </w:p>
    <w:p w14:paraId="0BCD7145">
      <w:pPr>
        <w:tabs>
          <w:tab w:val="left" w:pos="168"/>
        </w:tabs>
        <w:adjustRightInd w:val="0"/>
        <w:spacing w:line="360" w:lineRule="auto"/>
        <w:ind w:firstLine="560" w:firstLineChars="200"/>
        <w:textAlignment w:val="baseline"/>
        <w:rPr>
          <w:rFonts w:ascii="宋体" w:hAnsi="宋体"/>
          <w:bCs/>
          <w:sz w:val="28"/>
          <w:szCs w:val="28"/>
        </w:rPr>
      </w:pPr>
    </w:p>
    <w:p w14:paraId="3703D3A3">
      <w:pPr>
        <w:tabs>
          <w:tab w:val="left" w:pos="168"/>
        </w:tabs>
        <w:adjustRightInd w:val="0"/>
        <w:spacing w:line="360" w:lineRule="auto"/>
        <w:ind w:firstLine="560" w:firstLineChars="200"/>
        <w:textAlignment w:val="baseline"/>
        <w:rPr>
          <w:rFonts w:ascii="宋体" w:hAnsi="宋体"/>
          <w:bCs/>
          <w:sz w:val="28"/>
          <w:szCs w:val="28"/>
        </w:rPr>
      </w:pPr>
    </w:p>
    <w:p w14:paraId="2C23EE80">
      <w:pPr>
        <w:tabs>
          <w:tab w:val="left" w:pos="168"/>
        </w:tabs>
        <w:adjustRightInd w:val="0"/>
        <w:spacing w:line="360" w:lineRule="auto"/>
        <w:ind w:firstLine="560" w:firstLineChars="200"/>
        <w:textAlignment w:val="baseline"/>
        <w:rPr>
          <w:rFonts w:ascii="宋体" w:hAnsi="宋体"/>
          <w:bCs/>
          <w:sz w:val="28"/>
          <w:szCs w:val="28"/>
        </w:rPr>
      </w:pPr>
    </w:p>
    <w:p w14:paraId="754FD59E">
      <w:pPr>
        <w:tabs>
          <w:tab w:val="left" w:pos="168"/>
        </w:tabs>
        <w:adjustRightInd w:val="0"/>
        <w:spacing w:line="360" w:lineRule="auto"/>
        <w:ind w:firstLine="560" w:firstLineChars="200"/>
        <w:textAlignment w:val="baseline"/>
        <w:rPr>
          <w:rFonts w:ascii="宋体" w:hAnsi="宋体"/>
          <w:bCs/>
          <w:sz w:val="28"/>
          <w:szCs w:val="28"/>
        </w:rPr>
      </w:pPr>
    </w:p>
    <w:p w14:paraId="39096772">
      <w:pPr>
        <w:tabs>
          <w:tab w:val="left" w:pos="168"/>
        </w:tabs>
        <w:adjustRightInd w:val="0"/>
        <w:spacing w:line="360" w:lineRule="auto"/>
        <w:ind w:firstLine="560" w:firstLineChars="200"/>
        <w:textAlignment w:val="baseline"/>
        <w:rPr>
          <w:rFonts w:ascii="宋体" w:hAnsi="宋体"/>
          <w:bCs/>
          <w:sz w:val="28"/>
          <w:szCs w:val="28"/>
        </w:rPr>
      </w:pPr>
    </w:p>
    <w:p w14:paraId="2F536180">
      <w:pPr>
        <w:tabs>
          <w:tab w:val="left" w:pos="168"/>
        </w:tabs>
        <w:adjustRightInd w:val="0"/>
        <w:spacing w:line="360" w:lineRule="auto"/>
        <w:ind w:firstLine="560" w:firstLineChars="200"/>
        <w:textAlignment w:val="baseline"/>
        <w:rPr>
          <w:rFonts w:ascii="宋体" w:hAnsi="宋体"/>
          <w:bCs/>
          <w:sz w:val="28"/>
          <w:szCs w:val="28"/>
        </w:rPr>
      </w:pPr>
    </w:p>
    <w:p w14:paraId="3D5BF776">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（公章）</w:t>
      </w:r>
    </w:p>
    <w:p w14:paraId="27798F0F">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271EC9DE">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5FFAFE74">
      <w:pPr>
        <w:pStyle w:val="4"/>
        <w:numPr>
          <w:ilvl w:val="0"/>
          <w:numId w:val="0"/>
        </w:numPr>
        <w:ind w:left="709" w:hanging="709"/>
        <w:rPr>
          <w:rFonts w:hAnsi="宋体"/>
          <w:lang w:val="zh-CN"/>
        </w:rPr>
      </w:pPr>
      <w:r>
        <w:rPr>
          <w:rFonts w:hAnsi="宋体"/>
          <w:bCs/>
          <w:sz w:val="24"/>
        </w:rPr>
        <w:br w:type="page"/>
      </w:r>
      <w:bookmarkStart w:id="196" w:name="_Toc1575338"/>
      <w:r>
        <w:rPr>
          <w:rFonts w:hint="eastAsia" w:hAnsi="宋体"/>
          <w:b/>
          <w:sz w:val="32"/>
          <w:lang w:val="zh-CN"/>
        </w:rPr>
        <w:t>格式5、供应商诚信承诺书</w:t>
      </w:r>
      <w:bookmarkEnd w:id="196"/>
    </w:p>
    <w:p w14:paraId="3E9C9803">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供应商诚信承诺书</w:t>
      </w:r>
    </w:p>
    <w:p w14:paraId="7AAF1D02">
      <w:pPr>
        <w:autoSpaceDE w:val="0"/>
        <w:autoSpaceDN w:val="0"/>
        <w:adjustRightInd w:val="0"/>
        <w:spacing w:line="360" w:lineRule="auto"/>
        <w:rPr>
          <w:rFonts w:ascii="宋体" w:hAnsi="宋体" w:cs="宋体"/>
          <w:kern w:val="0"/>
          <w:sz w:val="24"/>
          <w:lang w:val="zh-CN"/>
        </w:rPr>
      </w:pPr>
    </w:p>
    <w:p w14:paraId="466693D1">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致：青海奕帆工程项目管理有限公司</w:t>
      </w:r>
    </w:p>
    <w:p w14:paraId="10EAB1C4">
      <w:pPr>
        <w:autoSpaceDE w:val="0"/>
        <w:autoSpaceDN w:val="0"/>
        <w:adjustRightInd w:val="0"/>
        <w:spacing w:line="360" w:lineRule="auto"/>
        <w:rPr>
          <w:rFonts w:ascii="宋体" w:hAnsi="宋体" w:cs="宋体"/>
          <w:kern w:val="0"/>
          <w:sz w:val="24"/>
          <w:lang w:val="zh-CN"/>
        </w:rPr>
      </w:pPr>
    </w:p>
    <w:p w14:paraId="39F3C27D">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为了诚实、客观、有序地参与青海省政府采购活动，愿就以下内容做出承诺：</w:t>
      </w:r>
    </w:p>
    <w:p w14:paraId="283D3B61">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一、自觉遵守各项法律、法规、规章、制度以及社会公德，维护廉洁环境，与同场竞争的供应商平等参加政府采购活动。</w:t>
      </w:r>
    </w:p>
    <w:p w14:paraId="5A579E6B">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二、参加采购代理机构组织的政府采购活动时，严格按照磋商文件的规定和要求提供所需的相关材料，并对所提供的各类资料的真实性负责，不虚假应标，不虚列业绩。</w:t>
      </w:r>
    </w:p>
    <w:p w14:paraId="0CCDC48B">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三、尊重参与政府采购活动各相关方的合法行为，接受政府采购活动依法形成的意见、结果。</w:t>
      </w:r>
    </w:p>
    <w:p w14:paraId="4DBF3891">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四、依法参加政府采购活动，不围标、串标，维护市场秩序，不提供“三无”产品、以次充好。</w:t>
      </w:r>
    </w:p>
    <w:p w14:paraId="05EE32C2">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68C32F1D">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六、认真履行中标人应承担的责任和义务，全面执行采购合同规定的各项内容，保质保量地按时提供采购物品。</w:t>
      </w:r>
    </w:p>
    <w:p w14:paraId="70C93E0C">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若本企业（单位）发生有悖于上述承诺的行为，愿意接受《中华人民共和国政府采购法》和《政府采购法实施条例》中对供应商的相关处理。</w:t>
      </w:r>
    </w:p>
    <w:p w14:paraId="02D90237">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本承诺是采购项目磋商响应文件的组成部分。</w:t>
      </w:r>
    </w:p>
    <w:p w14:paraId="0BF1207C">
      <w:pPr>
        <w:autoSpaceDE w:val="0"/>
        <w:autoSpaceDN w:val="0"/>
        <w:adjustRightInd w:val="0"/>
        <w:spacing w:line="360" w:lineRule="auto"/>
        <w:rPr>
          <w:rFonts w:ascii="宋体" w:hAnsi="宋体" w:cs="宋体"/>
          <w:kern w:val="0"/>
          <w:sz w:val="24"/>
          <w:lang w:val="zh-CN"/>
        </w:rPr>
      </w:pPr>
    </w:p>
    <w:p w14:paraId="080CE5A0">
      <w:pPr>
        <w:autoSpaceDE w:val="0"/>
        <w:autoSpaceDN w:val="0"/>
        <w:adjustRightInd w:val="0"/>
        <w:spacing w:line="360" w:lineRule="auto"/>
        <w:rPr>
          <w:rFonts w:ascii="宋体" w:hAnsi="宋体" w:cs="宋体"/>
          <w:kern w:val="0"/>
          <w:sz w:val="24"/>
          <w:lang w:val="zh-CN"/>
        </w:rPr>
      </w:pPr>
    </w:p>
    <w:p w14:paraId="3822D2AE">
      <w:pPr>
        <w:tabs>
          <w:tab w:val="left" w:pos="168"/>
        </w:tabs>
        <w:adjustRightInd w:val="0"/>
        <w:spacing w:line="360" w:lineRule="auto"/>
        <w:textAlignment w:val="baseline"/>
        <w:rPr>
          <w:rFonts w:ascii="宋体" w:hAnsi="宋体"/>
          <w:bCs/>
          <w:sz w:val="28"/>
          <w:szCs w:val="28"/>
        </w:rPr>
      </w:pPr>
      <w:bookmarkStart w:id="197" w:name="_Toc17097"/>
      <w:bookmarkStart w:id="198" w:name="_Toc444715739"/>
    </w:p>
    <w:p w14:paraId="444E0898">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（公章）</w:t>
      </w:r>
    </w:p>
    <w:p w14:paraId="09451E44">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1C29DAA8">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0A0BDB3B">
      <w:pPr>
        <w:pStyle w:val="4"/>
        <w:numPr>
          <w:ilvl w:val="0"/>
          <w:numId w:val="0"/>
        </w:numPr>
        <w:ind w:left="709" w:hanging="709"/>
        <w:rPr>
          <w:rFonts w:hAnsi="宋体" w:cs="宋体"/>
          <w:lang w:val="zh-CN"/>
        </w:rPr>
      </w:pPr>
      <w:r>
        <w:rPr>
          <w:rFonts w:hAnsi="宋体"/>
          <w:bCs/>
          <w:sz w:val="24"/>
        </w:rPr>
        <w:br w:type="page"/>
      </w:r>
      <w:bookmarkStart w:id="199" w:name="_Toc1575339"/>
      <w:r>
        <w:rPr>
          <w:rFonts w:hint="eastAsia" w:hAnsi="宋体"/>
          <w:b/>
          <w:sz w:val="32"/>
          <w:lang w:val="zh-CN"/>
        </w:rPr>
        <w:t>格式6、资格证明材料</w:t>
      </w:r>
      <w:bookmarkEnd w:id="197"/>
      <w:bookmarkEnd w:id="198"/>
      <w:bookmarkEnd w:id="199"/>
    </w:p>
    <w:p w14:paraId="08312657">
      <w:pPr>
        <w:spacing w:line="360" w:lineRule="auto"/>
        <w:rPr>
          <w:rFonts w:ascii="宋体" w:hAnsi="宋体"/>
          <w:lang w:val="zh-CN"/>
        </w:rPr>
      </w:pPr>
    </w:p>
    <w:p w14:paraId="6B2EC5A4">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资格证明材料</w:t>
      </w:r>
    </w:p>
    <w:p w14:paraId="56D6FA6A">
      <w:pPr>
        <w:spacing w:line="360" w:lineRule="auto"/>
        <w:ind w:firstLine="424" w:firstLineChars="177"/>
        <w:rPr>
          <w:rFonts w:ascii="宋体" w:hAnsi="宋体" w:cs="Arial"/>
          <w:sz w:val="24"/>
        </w:rPr>
      </w:pPr>
      <w:r>
        <w:rPr>
          <w:rFonts w:ascii="宋体" w:hAnsi="宋体" w:cs="Arial"/>
          <w:sz w:val="24"/>
        </w:rPr>
        <w:t>资格证明材料包括：</w:t>
      </w:r>
    </w:p>
    <w:p w14:paraId="44B292A4">
      <w:pPr>
        <w:spacing w:line="360" w:lineRule="auto"/>
        <w:rPr>
          <w:rFonts w:ascii="宋体" w:hAnsi="宋体" w:cs="Arial"/>
          <w:sz w:val="24"/>
        </w:rPr>
      </w:pPr>
      <w:r>
        <w:rPr>
          <w:rFonts w:ascii="宋体" w:hAnsi="宋体" w:cs="Arial"/>
          <w:sz w:val="24"/>
        </w:rPr>
        <w:t>（1）单位法人营业执照、税务登记证、组织机构代码证；</w:t>
      </w:r>
    </w:p>
    <w:p w14:paraId="29741F55">
      <w:pPr>
        <w:spacing w:line="360" w:lineRule="auto"/>
        <w:rPr>
          <w:rFonts w:ascii="宋体" w:hAnsi="宋体" w:cs="Arial"/>
          <w:sz w:val="24"/>
        </w:rPr>
      </w:pPr>
      <w:r>
        <w:rPr>
          <w:rFonts w:ascii="宋体" w:hAnsi="宋体" w:cs="Arial"/>
          <w:sz w:val="24"/>
        </w:rPr>
        <w:t>（2）磋商文件规定的有关资格证书、许可证书、认证等；</w:t>
      </w:r>
    </w:p>
    <w:p w14:paraId="3D515AEA">
      <w:pPr>
        <w:spacing w:line="360" w:lineRule="auto"/>
        <w:rPr>
          <w:rFonts w:ascii="宋体" w:hAnsi="宋体" w:cs="Arial"/>
          <w:sz w:val="24"/>
        </w:rPr>
      </w:pPr>
      <w:r>
        <w:rPr>
          <w:rFonts w:ascii="宋体" w:hAnsi="宋体" w:cs="Arial"/>
          <w:sz w:val="24"/>
        </w:rPr>
        <w:t>（3）磋商供应商简介及获得相关证书证明文件；</w:t>
      </w:r>
    </w:p>
    <w:p w14:paraId="26438A30">
      <w:pPr>
        <w:spacing w:line="360" w:lineRule="auto"/>
        <w:rPr>
          <w:rFonts w:ascii="宋体" w:hAnsi="宋体" w:cs="Arial"/>
          <w:sz w:val="24"/>
        </w:rPr>
      </w:pPr>
      <w:r>
        <w:rPr>
          <w:rFonts w:ascii="宋体" w:hAnsi="宋体" w:cs="Arial"/>
          <w:sz w:val="24"/>
        </w:rPr>
        <w:t>（4）磋商供应商认为有必要提供的其他资格证明文件。</w:t>
      </w:r>
    </w:p>
    <w:p w14:paraId="6FDD115C">
      <w:pPr>
        <w:pStyle w:val="4"/>
        <w:numPr>
          <w:ilvl w:val="0"/>
          <w:numId w:val="0"/>
        </w:numPr>
        <w:ind w:left="709" w:hanging="709"/>
        <w:rPr>
          <w:rFonts w:hAnsi="宋体"/>
          <w:lang w:val="zh-CN"/>
        </w:rPr>
      </w:pPr>
      <w:r>
        <w:rPr>
          <w:rFonts w:hAnsi="宋体" w:cs="宋体"/>
          <w:kern w:val="0"/>
          <w:sz w:val="24"/>
          <w:lang w:val="zh-CN"/>
        </w:rPr>
        <w:br w:type="page"/>
      </w:r>
      <w:bookmarkStart w:id="200" w:name="_Toc1575340"/>
      <w:bookmarkStart w:id="201" w:name="_Toc444715740"/>
      <w:bookmarkStart w:id="202" w:name="_Toc20673"/>
      <w:r>
        <w:rPr>
          <w:rFonts w:hint="eastAsia" w:hAnsi="宋体"/>
          <w:b/>
          <w:sz w:val="32"/>
          <w:lang w:val="zh-CN"/>
        </w:rPr>
        <w:t>格式7、财务状况、缴纳税收和社会保障资金证明</w:t>
      </w:r>
      <w:bookmarkEnd w:id="200"/>
    </w:p>
    <w:p w14:paraId="218EE4E3">
      <w:pPr>
        <w:spacing w:line="360" w:lineRule="auto"/>
        <w:rPr>
          <w:rFonts w:ascii="宋体" w:hAnsi="宋体"/>
          <w:lang w:val="zh-CN"/>
        </w:rPr>
      </w:pPr>
    </w:p>
    <w:p w14:paraId="5A5EB9D0">
      <w:pPr>
        <w:autoSpaceDE w:val="0"/>
        <w:autoSpaceDN w:val="0"/>
        <w:adjustRightInd w:val="0"/>
        <w:spacing w:line="360" w:lineRule="auto"/>
        <w:jc w:val="center"/>
        <w:rPr>
          <w:rFonts w:ascii="宋体" w:hAnsi="宋体" w:cs="宋体"/>
          <w:b/>
          <w:bCs/>
          <w:kern w:val="0"/>
          <w:sz w:val="30"/>
          <w:szCs w:val="30"/>
          <w:lang w:val="zh-CN"/>
        </w:rPr>
      </w:pPr>
      <w:r>
        <w:rPr>
          <w:rFonts w:ascii="宋体" w:hAnsi="宋体" w:cs="宋体"/>
          <w:b/>
          <w:bCs/>
          <w:kern w:val="0"/>
          <w:sz w:val="30"/>
          <w:szCs w:val="30"/>
          <w:lang w:val="zh-CN"/>
        </w:rPr>
        <w:t>财务状况、缴纳税收和社会保障资金证明</w:t>
      </w:r>
    </w:p>
    <w:p w14:paraId="507071C4">
      <w:pPr>
        <w:autoSpaceDE w:val="0"/>
        <w:autoSpaceDN w:val="0"/>
        <w:spacing w:line="360" w:lineRule="auto"/>
        <w:rPr>
          <w:rFonts w:ascii="宋体" w:hAnsi="宋体" w:cs="Arial"/>
          <w:sz w:val="24"/>
          <w:lang w:val="zh-CN"/>
        </w:rPr>
      </w:pPr>
    </w:p>
    <w:p w14:paraId="17F7833C">
      <w:pPr>
        <w:spacing w:line="360" w:lineRule="auto"/>
        <w:ind w:firstLine="480" w:firstLineChars="200"/>
        <w:rPr>
          <w:rFonts w:ascii="宋体" w:hAnsi="宋体" w:cs="宋体"/>
          <w:sz w:val="24"/>
        </w:rPr>
      </w:pPr>
      <w:r>
        <w:rPr>
          <w:rFonts w:ascii="宋体" w:hAnsi="宋体" w:cs="宋体"/>
          <w:sz w:val="24"/>
        </w:rPr>
        <w:t>按照磋商文件第2.2款（1）中规定提供以下相关材料。</w:t>
      </w:r>
    </w:p>
    <w:p w14:paraId="10C86F7D">
      <w:pPr>
        <w:pStyle w:val="58"/>
        <w:numPr>
          <w:ilvl w:val="1"/>
          <w:numId w:val="20"/>
        </w:numPr>
        <w:spacing w:line="360" w:lineRule="auto"/>
        <w:ind w:left="851" w:hanging="360" w:firstLineChars="0"/>
        <w:rPr>
          <w:rFonts w:ascii="宋体" w:hAnsi="宋体" w:cs="宋体"/>
          <w:kern w:val="0"/>
          <w:sz w:val="24"/>
          <w:lang w:val="zh-CN"/>
        </w:rPr>
      </w:pPr>
      <w:r>
        <w:rPr>
          <w:rFonts w:hint="eastAsia" w:ascii="宋体" w:hAnsi="宋体" w:cs="宋体"/>
          <w:kern w:val="0"/>
          <w:sz w:val="24"/>
          <w:lang w:val="zh-CN"/>
        </w:rPr>
        <w:t>投标人是法人的，提供基本开户银行近三个月内出具的资信证明（同时提供基本存款账户开户许可证）或（</w:t>
      </w:r>
      <w:r>
        <w:rPr>
          <w:rFonts w:hint="eastAsia" w:ascii="宋体" w:hAnsi="宋体" w:cs="宋体"/>
          <w:kern w:val="0"/>
          <w:sz w:val="24"/>
          <w:lang w:val="en-US" w:eastAsia="zh-CN"/>
        </w:rPr>
        <w:t>2022年或2023年</w:t>
      </w:r>
      <w:r>
        <w:rPr>
          <w:rFonts w:hint="eastAsia" w:ascii="宋体" w:hAnsi="宋体" w:cs="宋体"/>
          <w:kern w:val="0"/>
          <w:sz w:val="24"/>
          <w:lang w:val="zh-CN"/>
        </w:rPr>
        <w:t>）经第三方审计的</w:t>
      </w:r>
      <w:r>
        <w:rPr>
          <w:rFonts w:hint="eastAsia" w:ascii="宋体" w:hAnsi="宋体" w:cs="宋体"/>
          <w:kern w:val="0"/>
          <w:sz w:val="24"/>
        </w:rPr>
        <w:t>完整</w:t>
      </w:r>
      <w:r>
        <w:rPr>
          <w:rFonts w:hint="eastAsia" w:ascii="宋体" w:hAnsi="宋体" w:cs="宋体"/>
          <w:kern w:val="0"/>
          <w:sz w:val="24"/>
          <w:lang w:val="zh-CN"/>
        </w:rPr>
        <w:t>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p>
    <w:p w14:paraId="7886DAA8">
      <w:pPr>
        <w:pStyle w:val="58"/>
        <w:numPr>
          <w:ilvl w:val="1"/>
          <w:numId w:val="20"/>
        </w:numPr>
        <w:spacing w:line="360" w:lineRule="auto"/>
        <w:ind w:left="851" w:hanging="360" w:firstLineChars="0"/>
        <w:rPr>
          <w:rFonts w:ascii="宋体" w:hAnsi="宋体" w:cs="宋体"/>
          <w:sz w:val="24"/>
        </w:rPr>
      </w:pPr>
      <w:r>
        <w:rPr>
          <w:rFonts w:hint="eastAsia" w:ascii="宋体" w:hAnsi="宋体" w:cs="宋体"/>
          <w:kern w:val="0"/>
          <w:sz w:val="24"/>
        </w:rPr>
        <w:t>近</w:t>
      </w:r>
      <w:r>
        <w:rPr>
          <w:rFonts w:hint="eastAsia" w:ascii="宋体" w:hAnsi="宋体" w:cs="宋体"/>
          <w:kern w:val="0"/>
          <w:sz w:val="24"/>
          <w:lang w:val="en-US" w:eastAsia="zh-CN"/>
        </w:rPr>
        <w:t>半年内任意</w:t>
      </w:r>
      <w:r>
        <w:rPr>
          <w:rFonts w:hint="eastAsia" w:ascii="宋体" w:hAnsi="宋体" w:cs="宋体"/>
          <w:kern w:val="0"/>
          <w:sz w:val="24"/>
        </w:rPr>
        <w:t>三个月的</w:t>
      </w:r>
      <w:r>
        <w:rPr>
          <w:rFonts w:hint="eastAsia" w:ascii="宋体" w:hAnsi="宋体" w:cs="宋体"/>
          <w:kern w:val="0"/>
          <w:sz w:val="24"/>
          <w:lang w:val="zh-CN"/>
        </w:rPr>
        <w:t>依法缴纳税收和社会保障资金记录的证明材料；依法免税或不需要缴纳社会保障资金的投标人须提供相应文件证明其依法免税或不需要缴纳社会保障资金。</w:t>
      </w:r>
    </w:p>
    <w:p w14:paraId="3C51C4ED">
      <w:pPr>
        <w:pStyle w:val="4"/>
        <w:numPr>
          <w:ilvl w:val="0"/>
          <w:numId w:val="0"/>
        </w:numPr>
        <w:ind w:left="709" w:hanging="709"/>
        <w:rPr>
          <w:rFonts w:hAnsi="宋体"/>
          <w:lang w:val="zh-CN"/>
        </w:rPr>
      </w:pPr>
      <w:r>
        <w:rPr>
          <w:rFonts w:hAnsi="宋体"/>
          <w:b/>
          <w:sz w:val="32"/>
          <w:lang w:val="zh-CN"/>
        </w:rPr>
        <w:br w:type="page"/>
      </w:r>
      <w:bookmarkStart w:id="203" w:name="_Toc1575341"/>
      <w:r>
        <w:rPr>
          <w:rFonts w:hint="eastAsia" w:hAnsi="宋体"/>
          <w:b/>
          <w:sz w:val="32"/>
          <w:lang w:val="zh-CN"/>
        </w:rPr>
        <w:t>格式8、具备履行合同所必须的设备和专业技术能力证明</w:t>
      </w:r>
      <w:bookmarkEnd w:id="203"/>
    </w:p>
    <w:p w14:paraId="7E83E176">
      <w:pPr>
        <w:autoSpaceDE w:val="0"/>
        <w:autoSpaceDN w:val="0"/>
        <w:adjustRightInd w:val="0"/>
        <w:spacing w:line="360" w:lineRule="auto"/>
        <w:rPr>
          <w:rFonts w:ascii="宋体" w:hAnsi="宋体" w:cs="宋体"/>
          <w:kern w:val="0"/>
          <w:sz w:val="24"/>
          <w:lang w:val="zh-CN"/>
        </w:rPr>
      </w:pPr>
    </w:p>
    <w:p w14:paraId="79A29C45">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具备履行合同所必须的设备和专业技术能力证明</w:t>
      </w:r>
    </w:p>
    <w:p w14:paraId="59D31E09">
      <w:pPr>
        <w:autoSpaceDE w:val="0"/>
        <w:autoSpaceDN w:val="0"/>
        <w:adjustRightInd w:val="0"/>
        <w:spacing w:line="360" w:lineRule="auto"/>
        <w:rPr>
          <w:rFonts w:ascii="宋体" w:hAnsi="宋体" w:cs="宋体"/>
          <w:kern w:val="0"/>
          <w:sz w:val="24"/>
          <w:lang w:val="zh-CN"/>
        </w:rPr>
      </w:pPr>
    </w:p>
    <w:p w14:paraId="6FE2132A">
      <w:pPr>
        <w:autoSpaceDE w:val="0"/>
        <w:autoSpaceDN w:val="0"/>
        <w:adjustRightInd w:val="0"/>
        <w:spacing w:line="360" w:lineRule="auto"/>
        <w:ind w:firstLine="480"/>
        <w:rPr>
          <w:rFonts w:ascii="宋体" w:hAnsi="宋体" w:cs="宋体"/>
          <w:kern w:val="0"/>
          <w:sz w:val="24"/>
          <w:lang w:val="zh-CN"/>
        </w:rPr>
      </w:pPr>
      <w:r>
        <w:rPr>
          <w:kern w:val="0"/>
          <w:sz w:val="24"/>
          <w:lang w:val="zh-CN"/>
        </w:rPr>
        <w:t>为保证本项目合同的顺利履行，投标人必须具备履行合同的设备和专业技术能力，</w:t>
      </w:r>
      <w:r>
        <w:rPr>
          <w:rFonts w:hint="eastAsia"/>
          <w:kern w:val="0"/>
          <w:sz w:val="24"/>
          <w:lang w:val="zh-CN"/>
        </w:rPr>
        <w:t>须提供履行合同的设备和专业技术能力的承诺函（格式自拟）</w:t>
      </w:r>
      <w:r>
        <w:rPr>
          <w:kern w:val="0"/>
          <w:sz w:val="24"/>
          <w:lang w:val="zh-CN"/>
        </w:rPr>
        <w:t>。</w:t>
      </w:r>
    </w:p>
    <w:p w14:paraId="5750008C">
      <w:pPr>
        <w:pStyle w:val="4"/>
        <w:numPr>
          <w:ilvl w:val="0"/>
          <w:numId w:val="0"/>
        </w:numPr>
        <w:ind w:left="709" w:hanging="709"/>
        <w:rPr>
          <w:rFonts w:hAnsi="宋体" w:cs="宋体"/>
          <w:lang w:val="zh-CN"/>
        </w:rPr>
      </w:pPr>
      <w:r>
        <w:rPr>
          <w:rFonts w:hAnsi="宋体" w:cs="宋体"/>
          <w:kern w:val="0"/>
          <w:sz w:val="24"/>
          <w:lang w:val="zh-CN"/>
        </w:rPr>
        <w:br w:type="page"/>
      </w:r>
      <w:bookmarkStart w:id="204" w:name="_Toc1575342"/>
      <w:r>
        <w:rPr>
          <w:rFonts w:hint="eastAsia" w:hAnsi="宋体"/>
          <w:b/>
          <w:sz w:val="32"/>
          <w:lang w:val="zh-CN"/>
        </w:rPr>
        <w:t>格式</w:t>
      </w:r>
      <w:bookmarkEnd w:id="201"/>
      <w:bookmarkEnd w:id="202"/>
      <w:r>
        <w:rPr>
          <w:rFonts w:hint="eastAsia" w:hAnsi="宋体"/>
          <w:b/>
          <w:sz w:val="32"/>
          <w:lang w:val="zh-CN"/>
        </w:rPr>
        <w:t>9、磋商保证金证明</w:t>
      </w:r>
      <w:bookmarkEnd w:id="204"/>
    </w:p>
    <w:p w14:paraId="4DB1682B">
      <w:pPr>
        <w:spacing w:line="360" w:lineRule="auto"/>
        <w:rPr>
          <w:rFonts w:ascii="宋体" w:hAnsi="宋体" w:cs="宋体"/>
          <w:lang w:val="zh-CN"/>
        </w:rPr>
      </w:pPr>
    </w:p>
    <w:p w14:paraId="6241AC71">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磋商保证金证明</w:t>
      </w:r>
    </w:p>
    <w:p w14:paraId="4B8A87C3">
      <w:pPr>
        <w:autoSpaceDE w:val="0"/>
        <w:autoSpaceDN w:val="0"/>
        <w:adjustRightInd w:val="0"/>
        <w:spacing w:line="360" w:lineRule="auto"/>
        <w:rPr>
          <w:rFonts w:ascii="宋体" w:hAnsi="宋体" w:cs="宋体"/>
          <w:b/>
          <w:bCs/>
          <w:kern w:val="0"/>
          <w:sz w:val="28"/>
          <w:szCs w:val="28"/>
          <w:lang w:val="zh-CN"/>
        </w:rPr>
      </w:pPr>
      <w:bookmarkStart w:id="205" w:name="_Toc325726048"/>
      <w:bookmarkEnd w:id="205"/>
    </w:p>
    <w:p w14:paraId="0408E52E">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8"/>
          <w:szCs w:val="28"/>
          <w:lang w:val="zh-CN"/>
        </w:rPr>
        <w:t>致：青海奕帆工程项目管理有限公司</w:t>
      </w:r>
    </w:p>
    <w:p w14:paraId="6D5BD000">
      <w:pPr>
        <w:autoSpaceDE w:val="0"/>
        <w:autoSpaceDN w:val="0"/>
        <w:adjustRightInd w:val="0"/>
        <w:spacing w:line="360" w:lineRule="auto"/>
        <w:rPr>
          <w:rFonts w:ascii="宋体" w:hAnsi="宋体" w:cs="宋体"/>
          <w:b/>
          <w:bCs/>
          <w:kern w:val="0"/>
          <w:sz w:val="24"/>
          <w:lang w:val="zh-CN"/>
        </w:rPr>
      </w:pPr>
    </w:p>
    <w:p w14:paraId="0706F8F0">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我方为（项目名称：</w:t>
      </w:r>
      <w:r>
        <w:rPr>
          <w:rFonts w:hint="eastAsia" w:ascii="宋体" w:hAnsi="宋体" w:cs="宋体"/>
          <w:kern w:val="0"/>
          <w:sz w:val="24"/>
          <w:u w:val="single"/>
          <w:lang w:val="zh-CN"/>
        </w:rPr>
        <w:t xml:space="preserve">                  </w:t>
      </w:r>
      <w:r>
        <w:rPr>
          <w:rFonts w:hint="eastAsia" w:ascii="宋体" w:hAnsi="宋体" w:cs="宋体"/>
          <w:kern w:val="0"/>
          <w:sz w:val="24"/>
          <w:lang w:val="zh-CN"/>
        </w:rPr>
        <w:t>）项目（采购编号为：</w:t>
      </w:r>
      <w:r>
        <w:rPr>
          <w:rFonts w:hint="eastAsia" w:ascii="宋体" w:hAnsi="宋体" w:cs="宋体"/>
          <w:kern w:val="0"/>
          <w:sz w:val="24"/>
          <w:u w:val="single"/>
          <w:lang w:val="zh-CN"/>
        </w:rPr>
        <w:t xml:space="preserve">                 </w:t>
      </w:r>
      <w:r>
        <w:rPr>
          <w:rFonts w:hint="eastAsia" w:ascii="宋体" w:hAnsi="宋体" w:cs="宋体"/>
          <w:kern w:val="0"/>
          <w:sz w:val="24"/>
          <w:lang w:val="zh-CN"/>
        </w:rPr>
        <w:t>）递交保证金人民币</w:t>
      </w:r>
      <w:r>
        <w:rPr>
          <w:rFonts w:hint="eastAsia" w:ascii="宋体" w:hAnsi="宋体" w:cs="宋体"/>
          <w:kern w:val="0"/>
          <w:sz w:val="24"/>
          <w:u w:val="single"/>
        </w:rPr>
        <w:t xml:space="preserve">         </w:t>
      </w:r>
      <w:r>
        <w:rPr>
          <w:rFonts w:hint="eastAsia" w:ascii="宋体" w:hAnsi="宋体" w:cs="宋体"/>
          <w:kern w:val="0"/>
          <w:sz w:val="24"/>
          <w:lang w:val="zh-CN"/>
        </w:rPr>
        <w:t>（大写：</w:t>
      </w:r>
      <w:r>
        <w:rPr>
          <w:rFonts w:hint="eastAsia" w:ascii="宋体" w:hAnsi="宋体" w:cs="宋体"/>
          <w:kern w:val="0"/>
          <w:sz w:val="24"/>
          <w:u w:val="single"/>
          <w:lang w:val="zh-CN"/>
        </w:rPr>
        <w:t xml:space="preserve">         </w:t>
      </w:r>
      <w:r>
        <w:rPr>
          <w:rFonts w:hint="eastAsia" w:ascii="宋体" w:hAnsi="宋体" w:cs="宋体"/>
          <w:kern w:val="0"/>
          <w:sz w:val="24"/>
          <w:lang w:val="zh-CN"/>
        </w:rPr>
        <w:t>元）已于</w:t>
      </w:r>
      <w:r>
        <w:rPr>
          <w:rFonts w:hint="eastAsia" w:ascii="宋体" w:hAnsi="宋体" w:cs="宋体"/>
          <w:kern w:val="0"/>
          <w:sz w:val="24"/>
          <w:u w:val="single"/>
        </w:rPr>
        <w:t xml:space="preserve">   </w:t>
      </w:r>
      <w:r>
        <w:rPr>
          <w:rFonts w:hint="eastAsia" w:ascii="宋体" w:hAnsi="宋体" w:cs="宋体"/>
          <w:kern w:val="0"/>
          <w:sz w:val="24"/>
          <w:lang w:val="zh-CN"/>
        </w:rPr>
        <w:t>年</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日以基本户转账方式汇入你方账户。</w:t>
      </w:r>
    </w:p>
    <w:p w14:paraId="676F791D">
      <w:pPr>
        <w:autoSpaceDE w:val="0"/>
        <w:autoSpaceDN w:val="0"/>
        <w:adjustRightInd w:val="0"/>
        <w:spacing w:line="360" w:lineRule="auto"/>
        <w:ind w:firstLine="360"/>
        <w:rPr>
          <w:rFonts w:ascii="宋体" w:hAnsi="宋体" w:cs="宋体"/>
          <w:bCs/>
          <w:kern w:val="0"/>
          <w:sz w:val="24"/>
          <w:lang w:val="zh-CN"/>
        </w:rPr>
      </w:pPr>
      <w:r>
        <w:rPr>
          <w:rFonts w:hint="eastAsia" w:ascii="宋体" w:hAnsi="宋体" w:cs="宋体"/>
          <w:bCs/>
          <w:kern w:val="0"/>
          <w:sz w:val="24"/>
          <w:lang w:val="zh-CN"/>
        </w:rPr>
        <w:t>附件：保证金交款证明及开户许可证复印件（加盖磋商供应商公章）</w:t>
      </w:r>
    </w:p>
    <w:p w14:paraId="41914EE7">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22CBA53C">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户    名：</w:t>
      </w:r>
    </w:p>
    <w:p w14:paraId="241812D2">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开户银行：</w:t>
      </w:r>
    </w:p>
    <w:p w14:paraId="35211B1D">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开户帐号：</w:t>
      </w:r>
    </w:p>
    <w:p w14:paraId="29DAA256">
      <w:pPr>
        <w:autoSpaceDE w:val="0"/>
        <w:autoSpaceDN w:val="0"/>
        <w:adjustRightInd w:val="0"/>
        <w:spacing w:line="360" w:lineRule="auto"/>
        <w:rPr>
          <w:rFonts w:ascii="宋体" w:hAnsi="宋体" w:cs="宋体"/>
          <w:kern w:val="0"/>
          <w:sz w:val="24"/>
          <w:lang w:val="zh-CN"/>
        </w:rPr>
      </w:pPr>
    </w:p>
    <w:p w14:paraId="051B887D">
      <w:pPr>
        <w:autoSpaceDE w:val="0"/>
        <w:autoSpaceDN w:val="0"/>
        <w:adjustRightInd w:val="0"/>
        <w:spacing w:line="360" w:lineRule="auto"/>
        <w:rPr>
          <w:rFonts w:ascii="宋体" w:hAnsi="宋体" w:cs="宋体"/>
          <w:kern w:val="0"/>
          <w:sz w:val="24"/>
          <w:lang w:val="zh-CN"/>
        </w:rPr>
      </w:pPr>
    </w:p>
    <w:p w14:paraId="2B013F14">
      <w:pPr>
        <w:autoSpaceDE w:val="0"/>
        <w:autoSpaceDN w:val="0"/>
        <w:adjustRightInd w:val="0"/>
        <w:spacing w:line="360" w:lineRule="auto"/>
        <w:rPr>
          <w:rFonts w:ascii="宋体" w:hAnsi="宋体" w:cs="宋体"/>
          <w:kern w:val="0"/>
          <w:sz w:val="24"/>
          <w:lang w:val="zh-CN"/>
        </w:rPr>
      </w:pPr>
    </w:p>
    <w:p w14:paraId="7EE10B5C">
      <w:pPr>
        <w:autoSpaceDE w:val="0"/>
        <w:autoSpaceDN w:val="0"/>
        <w:adjustRightInd w:val="0"/>
        <w:spacing w:line="360" w:lineRule="auto"/>
        <w:rPr>
          <w:rFonts w:ascii="宋体" w:hAnsi="宋体" w:cs="宋体"/>
          <w:kern w:val="0"/>
          <w:sz w:val="24"/>
          <w:lang w:val="zh-CN"/>
        </w:rPr>
      </w:pPr>
    </w:p>
    <w:p w14:paraId="5985F535">
      <w:pPr>
        <w:autoSpaceDE w:val="0"/>
        <w:autoSpaceDN w:val="0"/>
        <w:adjustRightInd w:val="0"/>
        <w:spacing w:line="360" w:lineRule="auto"/>
        <w:rPr>
          <w:rFonts w:ascii="宋体" w:hAnsi="宋体" w:cs="宋体"/>
          <w:kern w:val="0"/>
          <w:sz w:val="24"/>
          <w:lang w:val="zh-CN"/>
        </w:rPr>
      </w:pPr>
    </w:p>
    <w:p w14:paraId="34C4C3D2">
      <w:pPr>
        <w:autoSpaceDE w:val="0"/>
        <w:autoSpaceDN w:val="0"/>
        <w:adjustRightInd w:val="0"/>
        <w:spacing w:line="360" w:lineRule="auto"/>
        <w:rPr>
          <w:rFonts w:ascii="宋体" w:hAnsi="宋体" w:cs="宋体"/>
          <w:kern w:val="0"/>
          <w:sz w:val="24"/>
          <w:lang w:val="zh-CN"/>
        </w:rPr>
      </w:pPr>
    </w:p>
    <w:p w14:paraId="4EDDAB85">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（公章）</w:t>
      </w:r>
    </w:p>
    <w:p w14:paraId="20340885">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4619D802">
      <w:pPr>
        <w:tabs>
          <w:tab w:val="left" w:pos="168"/>
        </w:tabs>
        <w:adjustRightInd w:val="0"/>
        <w:spacing w:line="360" w:lineRule="auto"/>
        <w:ind w:firstLine="6480" w:firstLineChars="2700"/>
        <w:textAlignment w:val="baseline"/>
        <w:rPr>
          <w:rFonts w:ascii="宋体" w:hAnsi="宋体"/>
          <w:bCs/>
          <w:sz w:val="24"/>
          <w:szCs w:val="28"/>
        </w:rPr>
      </w:pPr>
      <w:r>
        <w:rPr>
          <w:rFonts w:hint="eastAsia" w:ascii="宋体" w:hAnsi="宋体"/>
          <w:bCs/>
          <w:sz w:val="24"/>
          <w:szCs w:val="28"/>
        </w:rPr>
        <w:t>日期：    年   月   日</w:t>
      </w:r>
    </w:p>
    <w:p w14:paraId="7782B134">
      <w:pPr>
        <w:spacing w:line="360" w:lineRule="auto"/>
        <w:rPr>
          <w:lang w:val="zh-CN"/>
        </w:rPr>
      </w:pPr>
    </w:p>
    <w:p w14:paraId="16224C73">
      <w:pPr>
        <w:pStyle w:val="4"/>
        <w:numPr>
          <w:ilvl w:val="0"/>
          <w:numId w:val="0"/>
        </w:numPr>
        <w:ind w:left="709" w:hanging="709"/>
        <w:rPr>
          <w:rFonts w:hAnsi="宋体" w:cs="宋体"/>
        </w:rPr>
      </w:pPr>
      <w:r>
        <w:rPr>
          <w:rFonts w:hAnsi="宋体" w:cs="宋体"/>
          <w:kern w:val="0"/>
          <w:sz w:val="24"/>
          <w:lang w:val="zh-CN"/>
        </w:rPr>
        <w:br w:type="page"/>
      </w:r>
      <w:bookmarkStart w:id="206" w:name="_Toc444715741"/>
      <w:bookmarkStart w:id="207" w:name="_Toc1575343"/>
      <w:bookmarkStart w:id="208" w:name="_Toc428180589"/>
      <w:bookmarkStart w:id="209" w:name="_Toc21450"/>
      <w:r>
        <w:rPr>
          <w:rFonts w:hint="eastAsia" w:hAnsi="宋体"/>
          <w:b/>
          <w:sz w:val="32"/>
          <w:lang w:val="zh-CN"/>
        </w:rPr>
        <w:t>格式10、无重大违法记录声明</w:t>
      </w:r>
      <w:bookmarkEnd w:id="206"/>
      <w:bookmarkEnd w:id="207"/>
      <w:bookmarkEnd w:id="208"/>
      <w:bookmarkEnd w:id="209"/>
    </w:p>
    <w:p w14:paraId="4BE9C022">
      <w:pPr>
        <w:autoSpaceDE w:val="0"/>
        <w:autoSpaceDN w:val="0"/>
        <w:adjustRightInd w:val="0"/>
        <w:spacing w:line="360" w:lineRule="auto"/>
        <w:rPr>
          <w:rFonts w:ascii="宋体" w:hAnsi="宋体" w:cs="宋体"/>
          <w:kern w:val="0"/>
          <w:sz w:val="24"/>
          <w:lang w:val="zh-CN"/>
        </w:rPr>
      </w:pPr>
    </w:p>
    <w:p w14:paraId="5E318F01">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无重大违法记录声明</w:t>
      </w:r>
    </w:p>
    <w:p w14:paraId="2B48130B">
      <w:pPr>
        <w:autoSpaceDE w:val="0"/>
        <w:autoSpaceDN w:val="0"/>
        <w:adjustRightInd w:val="0"/>
        <w:spacing w:line="360" w:lineRule="auto"/>
        <w:rPr>
          <w:rFonts w:ascii="宋体" w:hAnsi="宋体" w:cs="宋体"/>
          <w:kern w:val="0"/>
          <w:sz w:val="24"/>
          <w:lang w:val="zh-CN"/>
        </w:rPr>
      </w:pPr>
    </w:p>
    <w:p w14:paraId="58AB7E78">
      <w:pPr>
        <w:spacing w:line="360" w:lineRule="auto"/>
        <w:ind w:firstLine="498" w:firstLineChars="177"/>
        <w:rPr>
          <w:rFonts w:ascii="宋体" w:hAnsi="宋体" w:cs="Arial"/>
          <w:sz w:val="24"/>
        </w:rPr>
      </w:pPr>
      <w:r>
        <w:rPr>
          <w:rFonts w:hint="eastAsia" w:ascii="宋体" w:hAnsi="宋体" w:cs="宋体"/>
          <w:b/>
          <w:bCs/>
          <w:kern w:val="0"/>
          <w:sz w:val="28"/>
          <w:szCs w:val="28"/>
          <w:lang w:val="zh-CN"/>
        </w:rPr>
        <w:t>致：青海奕帆工程项目管理有限公司</w:t>
      </w:r>
    </w:p>
    <w:p w14:paraId="53E38E85">
      <w:pPr>
        <w:spacing w:line="360" w:lineRule="auto"/>
        <w:ind w:firstLine="662" w:firstLineChars="276"/>
        <w:rPr>
          <w:rFonts w:ascii="宋体" w:hAnsi="宋体" w:cs="Arial"/>
          <w:sz w:val="24"/>
        </w:rPr>
      </w:pPr>
      <w:r>
        <w:rPr>
          <w:rFonts w:ascii="宋体" w:hAnsi="宋体" w:cs="Arial"/>
          <w:sz w:val="24"/>
        </w:rPr>
        <w:t>（</w:t>
      </w:r>
      <w:r>
        <w:rPr>
          <w:rFonts w:hint="eastAsia" w:ascii="宋体" w:hAnsi="宋体" w:cs="Arial"/>
          <w:sz w:val="24"/>
        </w:rPr>
        <w:t>磋商</w:t>
      </w:r>
      <w:r>
        <w:rPr>
          <w:rFonts w:ascii="宋体" w:hAnsi="宋体" w:cs="Arial"/>
          <w:sz w:val="24"/>
        </w:rPr>
        <w:t>供应商名称）郑重声明，我方参加本项目</w:t>
      </w:r>
      <w:r>
        <w:rPr>
          <w:rFonts w:hint="eastAsia" w:ascii="宋体" w:hAnsi="宋体" w:cs="Arial"/>
          <w:sz w:val="24"/>
        </w:rPr>
        <w:t>竞磋</w:t>
      </w:r>
      <w:r>
        <w:rPr>
          <w:rFonts w:ascii="宋体" w:hAnsi="宋体" w:cs="Arial"/>
          <w:sz w:val="24"/>
        </w:rPr>
        <w:t>活动前三年内无重大违法活动记录，符合《中华人民共和国政府采购法》规定的供应商资格条件。我方对此声明负全部法律责任。</w:t>
      </w:r>
    </w:p>
    <w:p w14:paraId="79E6C75B">
      <w:pPr>
        <w:spacing w:line="360" w:lineRule="auto"/>
        <w:ind w:firstLine="424" w:firstLineChars="177"/>
        <w:rPr>
          <w:rFonts w:ascii="宋体" w:hAnsi="宋体" w:cs="Arial"/>
          <w:sz w:val="24"/>
        </w:rPr>
      </w:pPr>
    </w:p>
    <w:p w14:paraId="2EF1D6E3">
      <w:pPr>
        <w:spacing w:line="360" w:lineRule="auto"/>
        <w:ind w:firstLine="424" w:firstLineChars="177"/>
        <w:rPr>
          <w:rFonts w:ascii="宋体" w:hAnsi="宋体" w:cs="Arial"/>
          <w:sz w:val="24"/>
        </w:rPr>
      </w:pPr>
    </w:p>
    <w:p w14:paraId="0CF8C800">
      <w:pPr>
        <w:spacing w:line="360" w:lineRule="auto"/>
        <w:ind w:firstLine="662" w:firstLineChars="276"/>
        <w:rPr>
          <w:rFonts w:ascii="宋体" w:hAnsi="宋体" w:cs="Arial"/>
          <w:sz w:val="24"/>
        </w:rPr>
      </w:pPr>
      <w:r>
        <w:rPr>
          <w:rFonts w:ascii="宋体" w:hAnsi="宋体" w:cs="Arial"/>
          <w:sz w:val="24"/>
        </w:rPr>
        <w:t>特此声明。</w:t>
      </w:r>
    </w:p>
    <w:p w14:paraId="76F981EE">
      <w:pPr>
        <w:spacing w:line="360" w:lineRule="auto"/>
        <w:ind w:firstLine="424" w:firstLineChars="177"/>
        <w:rPr>
          <w:rFonts w:ascii="宋体" w:hAnsi="宋体" w:cs="Arial"/>
          <w:sz w:val="24"/>
        </w:rPr>
      </w:pPr>
    </w:p>
    <w:p w14:paraId="72D199DA">
      <w:pPr>
        <w:spacing w:line="360" w:lineRule="auto"/>
        <w:ind w:firstLine="424" w:firstLineChars="177"/>
        <w:rPr>
          <w:rFonts w:ascii="宋体" w:hAnsi="宋体" w:cs="Arial"/>
          <w:sz w:val="24"/>
        </w:rPr>
      </w:pPr>
    </w:p>
    <w:p w14:paraId="03EAF989">
      <w:pPr>
        <w:spacing w:line="360" w:lineRule="auto"/>
        <w:ind w:firstLine="424" w:firstLineChars="177"/>
        <w:rPr>
          <w:rFonts w:ascii="宋体" w:hAnsi="宋体" w:cs="Arial"/>
          <w:sz w:val="24"/>
        </w:rPr>
      </w:pPr>
    </w:p>
    <w:p w14:paraId="64B5E6A1">
      <w:pPr>
        <w:spacing w:line="360" w:lineRule="auto"/>
        <w:ind w:firstLine="662" w:firstLineChars="276"/>
        <w:rPr>
          <w:rFonts w:ascii="宋体" w:hAnsi="宋体" w:cs="Arial"/>
          <w:sz w:val="24"/>
        </w:rPr>
      </w:pPr>
      <w:r>
        <w:rPr>
          <w:rFonts w:hint="eastAsia" w:ascii="宋体" w:hAnsi="宋体" w:cs="Arial"/>
          <w:sz w:val="24"/>
          <w:lang w:val="zh-CN"/>
        </w:rPr>
        <w:t>附“信用中国、</w:t>
      </w:r>
      <w:r>
        <w:rPr>
          <w:rFonts w:hint="eastAsia" w:ascii="宋体" w:hAnsi="宋体" w:cs="Arial"/>
          <w:sz w:val="24"/>
        </w:rPr>
        <w:t>中国政府采购网</w:t>
      </w:r>
      <w:r>
        <w:rPr>
          <w:rFonts w:hint="eastAsia" w:ascii="宋体" w:hAnsi="宋体" w:cs="Arial"/>
          <w:sz w:val="24"/>
          <w:lang w:val="zh-CN"/>
        </w:rPr>
        <w:t>”网站查询截图。</w:t>
      </w:r>
    </w:p>
    <w:p w14:paraId="1337D604">
      <w:pPr>
        <w:spacing w:line="360" w:lineRule="auto"/>
        <w:ind w:firstLine="424" w:firstLineChars="177"/>
        <w:rPr>
          <w:rFonts w:ascii="宋体" w:hAnsi="宋体" w:cs="Arial"/>
          <w:sz w:val="24"/>
        </w:rPr>
      </w:pPr>
    </w:p>
    <w:p w14:paraId="1F1288B1">
      <w:pPr>
        <w:spacing w:line="360" w:lineRule="auto"/>
        <w:ind w:firstLine="424" w:firstLineChars="177"/>
        <w:rPr>
          <w:rFonts w:ascii="宋体" w:hAnsi="宋体" w:cs="Arial"/>
          <w:sz w:val="24"/>
        </w:rPr>
      </w:pPr>
    </w:p>
    <w:p w14:paraId="7EF83E87">
      <w:pPr>
        <w:spacing w:line="360" w:lineRule="auto"/>
        <w:ind w:firstLine="424" w:firstLineChars="177"/>
        <w:rPr>
          <w:rFonts w:ascii="宋体" w:hAnsi="宋体" w:cs="Arial"/>
          <w:sz w:val="24"/>
        </w:rPr>
      </w:pPr>
    </w:p>
    <w:p w14:paraId="209D5717">
      <w:pPr>
        <w:spacing w:line="360" w:lineRule="auto"/>
        <w:ind w:firstLine="424" w:firstLineChars="177"/>
        <w:rPr>
          <w:rFonts w:ascii="宋体" w:hAnsi="宋体" w:cs="Arial"/>
          <w:sz w:val="24"/>
        </w:rPr>
      </w:pPr>
    </w:p>
    <w:p w14:paraId="25E0F99E">
      <w:pPr>
        <w:spacing w:line="360" w:lineRule="auto"/>
        <w:ind w:firstLine="424" w:firstLineChars="177"/>
        <w:rPr>
          <w:rFonts w:ascii="宋体" w:hAnsi="宋体" w:cs="Arial"/>
          <w:sz w:val="24"/>
        </w:rPr>
      </w:pPr>
    </w:p>
    <w:p w14:paraId="2998B124">
      <w:pPr>
        <w:spacing w:line="360" w:lineRule="auto"/>
        <w:ind w:firstLine="424" w:firstLineChars="177"/>
        <w:rPr>
          <w:rFonts w:ascii="宋体" w:hAnsi="宋体" w:cs="Arial"/>
          <w:sz w:val="24"/>
        </w:rPr>
      </w:pPr>
    </w:p>
    <w:p w14:paraId="4899D1F0">
      <w:pPr>
        <w:spacing w:line="360" w:lineRule="auto"/>
        <w:ind w:firstLine="424" w:firstLineChars="177"/>
        <w:rPr>
          <w:rFonts w:ascii="宋体" w:hAnsi="宋体" w:cs="Arial"/>
          <w:sz w:val="24"/>
        </w:rPr>
      </w:pPr>
    </w:p>
    <w:p w14:paraId="5316F4F3">
      <w:pPr>
        <w:spacing w:line="360" w:lineRule="auto"/>
        <w:ind w:firstLine="424" w:firstLineChars="177"/>
        <w:rPr>
          <w:rFonts w:ascii="宋体" w:hAnsi="宋体" w:cs="Arial"/>
          <w:sz w:val="24"/>
        </w:rPr>
      </w:pPr>
    </w:p>
    <w:p w14:paraId="7EFB053C">
      <w:pPr>
        <w:spacing w:line="360" w:lineRule="auto"/>
        <w:ind w:firstLine="424" w:firstLineChars="177"/>
        <w:rPr>
          <w:rFonts w:ascii="宋体" w:hAnsi="宋体" w:cs="Arial"/>
          <w:sz w:val="24"/>
        </w:rPr>
      </w:pPr>
    </w:p>
    <w:p w14:paraId="05C34B5C">
      <w:pPr>
        <w:tabs>
          <w:tab w:val="left" w:pos="168"/>
        </w:tabs>
        <w:wordWrap w:val="0"/>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投标供应商：</w:t>
      </w:r>
      <w:r>
        <w:rPr>
          <w:rFonts w:hint="eastAsia" w:ascii="宋体" w:hAnsi="宋体"/>
          <w:bCs/>
          <w:sz w:val="24"/>
          <w:szCs w:val="28"/>
          <w:u w:val="single"/>
        </w:rPr>
        <w:t xml:space="preserve">             </w:t>
      </w:r>
      <w:r>
        <w:rPr>
          <w:rFonts w:hint="eastAsia" w:ascii="宋体" w:hAnsi="宋体"/>
          <w:bCs/>
          <w:sz w:val="24"/>
          <w:szCs w:val="28"/>
        </w:rPr>
        <w:t>（公章）</w:t>
      </w:r>
    </w:p>
    <w:p w14:paraId="4D1F82BC">
      <w:pPr>
        <w:tabs>
          <w:tab w:val="left" w:pos="168"/>
        </w:tabs>
        <w:wordWrap w:val="0"/>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384A1590">
      <w:pPr>
        <w:spacing w:line="360" w:lineRule="auto"/>
        <w:ind w:firstLine="424" w:firstLineChars="177"/>
        <w:rPr>
          <w:rFonts w:ascii="宋体" w:hAnsi="宋体" w:cs="Arial"/>
          <w:sz w:val="24"/>
        </w:rPr>
      </w:pPr>
      <w:r>
        <w:rPr>
          <w:rFonts w:hint="eastAsia" w:ascii="宋体" w:hAnsi="宋体"/>
          <w:bCs/>
          <w:sz w:val="24"/>
          <w:szCs w:val="28"/>
        </w:rPr>
        <w:t xml:space="preserve">                                            日期：   年   月   日</w:t>
      </w:r>
    </w:p>
    <w:p w14:paraId="45B84AE2">
      <w:pPr>
        <w:rPr>
          <w:b/>
          <w:lang w:val="zh-CN"/>
        </w:rPr>
      </w:pPr>
      <w:r>
        <w:rPr>
          <w:rFonts w:cs="宋体"/>
          <w:kern w:val="0"/>
          <w:sz w:val="24"/>
          <w:lang w:val="zh-CN"/>
        </w:rPr>
        <w:br w:type="page"/>
      </w:r>
    </w:p>
    <w:p w14:paraId="42BCCD8D">
      <w:pPr>
        <w:pStyle w:val="4"/>
        <w:numPr>
          <w:ilvl w:val="0"/>
          <w:numId w:val="0"/>
        </w:numPr>
        <w:ind w:left="709" w:hanging="709"/>
        <w:rPr>
          <w:rFonts w:hAnsi="宋体"/>
          <w:b/>
        </w:rPr>
      </w:pPr>
      <w:bookmarkStart w:id="210" w:name="_Toc1575344"/>
      <w:r>
        <w:rPr>
          <w:rFonts w:hint="eastAsia" w:hAnsi="宋体"/>
          <w:b/>
        </w:rPr>
        <w:t>三、磋商响应文件封面(下册)</w:t>
      </w:r>
      <w:bookmarkEnd w:id="210"/>
    </w:p>
    <w:p w14:paraId="5BA5725E">
      <w:pPr>
        <w:spacing w:line="360" w:lineRule="auto"/>
        <w:jc w:val="right"/>
        <w:rPr>
          <w:rFonts w:ascii="宋体" w:hAnsi="宋体"/>
          <w:sz w:val="32"/>
        </w:rPr>
      </w:pPr>
    </w:p>
    <w:p w14:paraId="68AF7833">
      <w:pPr>
        <w:pStyle w:val="11"/>
      </w:pPr>
    </w:p>
    <w:p w14:paraId="115B1162">
      <w:pPr>
        <w:spacing w:line="360" w:lineRule="auto"/>
        <w:rPr>
          <w:rFonts w:ascii="宋体" w:hAnsi="宋体"/>
          <w:sz w:val="32"/>
        </w:rPr>
      </w:pPr>
    </w:p>
    <w:p w14:paraId="6C3B29CC">
      <w:pPr>
        <w:spacing w:line="360" w:lineRule="auto"/>
        <w:rPr>
          <w:rFonts w:ascii="宋体" w:hAnsi="宋体"/>
          <w:sz w:val="32"/>
        </w:rPr>
      </w:pPr>
    </w:p>
    <w:p w14:paraId="1F33BB91">
      <w:pPr>
        <w:spacing w:line="360" w:lineRule="auto"/>
        <w:jc w:val="center"/>
        <w:rPr>
          <w:rFonts w:ascii="宋体" w:hAnsi="宋体"/>
          <w:b/>
          <w:sz w:val="96"/>
        </w:rPr>
      </w:pPr>
      <w:r>
        <w:rPr>
          <w:rFonts w:hint="eastAsia" w:ascii="宋体" w:hAnsi="宋体"/>
          <w:b/>
          <w:sz w:val="72"/>
        </w:rPr>
        <w:t>青海省政府采购项目</w:t>
      </w:r>
    </w:p>
    <w:p w14:paraId="17CE6452">
      <w:pPr>
        <w:spacing w:line="360" w:lineRule="auto"/>
        <w:jc w:val="center"/>
        <w:rPr>
          <w:rFonts w:ascii="宋体" w:hAnsi="宋体"/>
          <w:b/>
          <w:sz w:val="48"/>
        </w:rPr>
      </w:pPr>
    </w:p>
    <w:p w14:paraId="5E66FA47">
      <w:pPr>
        <w:spacing w:line="360" w:lineRule="auto"/>
        <w:jc w:val="center"/>
        <w:rPr>
          <w:rFonts w:ascii="宋体" w:hAnsi="宋体"/>
          <w:b/>
          <w:sz w:val="48"/>
        </w:rPr>
      </w:pPr>
    </w:p>
    <w:p w14:paraId="723F4CDE">
      <w:pPr>
        <w:spacing w:line="360" w:lineRule="auto"/>
        <w:jc w:val="center"/>
        <w:rPr>
          <w:rFonts w:ascii="宋体" w:hAnsi="宋体"/>
          <w:b/>
          <w:sz w:val="56"/>
        </w:rPr>
      </w:pPr>
      <w:r>
        <w:rPr>
          <w:rFonts w:hint="eastAsia" w:ascii="宋体" w:hAnsi="宋体"/>
          <w:b/>
          <w:sz w:val="52"/>
        </w:rPr>
        <w:t>磋商响应文件</w:t>
      </w:r>
    </w:p>
    <w:p w14:paraId="34B5A9C2">
      <w:pPr>
        <w:spacing w:line="360" w:lineRule="auto"/>
        <w:jc w:val="center"/>
        <w:rPr>
          <w:rFonts w:ascii="宋体" w:hAnsi="宋体"/>
          <w:b/>
          <w:bCs/>
          <w:sz w:val="32"/>
        </w:rPr>
      </w:pPr>
      <w:r>
        <w:rPr>
          <w:rFonts w:hint="eastAsia" w:ascii="宋体" w:hAnsi="宋体"/>
          <w:b/>
          <w:bCs/>
          <w:sz w:val="32"/>
        </w:rPr>
        <w:t>（下册）</w:t>
      </w:r>
    </w:p>
    <w:p w14:paraId="2804D59F">
      <w:pPr>
        <w:adjustRightInd w:val="0"/>
        <w:spacing w:line="360" w:lineRule="auto"/>
        <w:textAlignment w:val="baseline"/>
        <w:rPr>
          <w:rFonts w:ascii="宋体" w:hAnsi="宋体"/>
          <w:b/>
          <w:bCs/>
          <w:sz w:val="32"/>
        </w:rPr>
      </w:pPr>
    </w:p>
    <w:p w14:paraId="61C43A90">
      <w:pPr>
        <w:adjustRightInd w:val="0"/>
        <w:spacing w:line="360" w:lineRule="auto"/>
        <w:ind w:firstLine="643" w:firstLineChars="200"/>
        <w:textAlignment w:val="baseline"/>
        <w:rPr>
          <w:rFonts w:ascii="宋体" w:hAnsi="宋体"/>
          <w:b/>
          <w:bCs/>
          <w:sz w:val="32"/>
          <w:szCs w:val="32"/>
        </w:rPr>
      </w:pPr>
      <w:r>
        <w:rPr>
          <w:rFonts w:hint="eastAsia" w:ascii="宋体" w:hAnsi="宋体"/>
          <w:b/>
          <w:bCs/>
          <w:sz w:val="32"/>
          <w:szCs w:val="32"/>
        </w:rPr>
        <w:t>采购项目编号：</w:t>
      </w:r>
      <w:r>
        <w:rPr>
          <w:rFonts w:hint="eastAsia" w:ascii="宋体" w:hAnsi="宋体"/>
          <w:b/>
          <w:bCs/>
          <w:sz w:val="32"/>
          <w:szCs w:val="32"/>
          <w:u w:val="single"/>
        </w:rPr>
        <w:t xml:space="preserve">                        </w:t>
      </w:r>
      <w:r>
        <w:rPr>
          <w:rFonts w:hint="eastAsia" w:ascii="宋体" w:hAnsi="宋体"/>
          <w:b/>
          <w:bCs/>
          <w:sz w:val="32"/>
          <w:szCs w:val="32"/>
        </w:rPr>
        <w:t xml:space="preserve">        </w:t>
      </w:r>
    </w:p>
    <w:p w14:paraId="28BBFEDE">
      <w:pPr>
        <w:adjustRightInd w:val="0"/>
        <w:spacing w:line="360" w:lineRule="auto"/>
        <w:ind w:firstLine="643" w:firstLineChars="200"/>
        <w:textAlignment w:val="baseline"/>
        <w:rPr>
          <w:rFonts w:ascii="宋体" w:hAnsi="宋体"/>
          <w:b/>
          <w:bCs/>
          <w:sz w:val="32"/>
          <w:szCs w:val="32"/>
        </w:rPr>
      </w:pPr>
      <w:r>
        <w:rPr>
          <w:rFonts w:hint="eastAsia" w:ascii="宋体" w:hAnsi="宋体"/>
          <w:b/>
          <w:bCs/>
          <w:sz w:val="32"/>
          <w:szCs w:val="32"/>
        </w:rPr>
        <w:t>采购项目名称：</w:t>
      </w:r>
      <w:r>
        <w:rPr>
          <w:rFonts w:hint="eastAsia" w:ascii="宋体" w:hAnsi="宋体"/>
          <w:b/>
          <w:bCs/>
          <w:sz w:val="32"/>
          <w:szCs w:val="32"/>
          <w:u w:val="single"/>
        </w:rPr>
        <w:t xml:space="preserve">                        </w:t>
      </w:r>
      <w:r>
        <w:rPr>
          <w:rFonts w:hint="eastAsia" w:ascii="宋体" w:hAnsi="宋体"/>
          <w:b/>
          <w:bCs/>
          <w:sz w:val="32"/>
          <w:szCs w:val="32"/>
        </w:rPr>
        <w:t xml:space="preserve"> </w:t>
      </w:r>
    </w:p>
    <w:p w14:paraId="66B263CB">
      <w:pPr>
        <w:adjustRightInd w:val="0"/>
        <w:spacing w:line="360" w:lineRule="auto"/>
        <w:textAlignment w:val="baseline"/>
        <w:rPr>
          <w:rFonts w:ascii="宋体" w:hAnsi="宋体"/>
          <w:b/>
          <w:bCs/>
          <w:sz w:val="32"/>
          <w:szCs w:val="32"/>
        </w:rPr>
      </w:pPr>
    </w:p>
    <w:p w14:paraId="5797F2DE">
      <w:pPr>
        <w:adjustRightInd w:val="0"/>
        <w:spacing w:line="360" w:lineRule="auto"/>
        <w:ind w:firstLine="643" w:firstLineChars="200"/>
        <w:textAlignment w:val="baseline"/>
        <w:rPr>
          <w:rFonts w:ascii="宋体" w:hAnsi="宋体"/>
          <w:b/>
          <w:bCs/>
          <w:sz w:val="32"/>
          <w:szCs w:val="32"/>
        </w:rPr>
      </w:pPr>
      <w:r>
        <w:rPr>
          <w:rFonts w:hint="eastAsia" w:ascii="宋体" w:hAnsi="宋体"/>
          <w:b/>
          <w:bCs/>
          <w:sz w:val="32"/>
          <w:szCs w:val="32"/>
        </w:rPr>
        <w:t xml:space="preserve">          </w:t>
      </w:r>
    </w:p>
    <w:p w14:paraId="15DEDD7C">
      <w:pPr>
        <w:adjustRightInd w:val="0"/>
        <w:spacing w:line="360" w:lineRule="auto"/>
        <w:ind w:firstLine="2570" w:firstLineChars="800"/>
        <w:textAlignment w:val="baseline"/>
        <w:rPr>
          <w:rFonts w:ascii="宋体" w:hAnsi="宋体"/>
          <w:b/>
          <w:bCs/>
          <w:sz w:val="32"/>
          <w:szCs w:val="32"/>
          <w:u w:val="single"/>
        </w:rPr>
      </w:pPr>
      <w:r>
        <w:rPr>
          <w:rFonts w:hint="eastAsia" w:ascii="宋体" w:hAnsi="宋体"/>
          <w:b/>
          <w:bCs/>
          <w:sz w:val="32"/>
          <w:szCs w:val="32"/>
        </w:rPr>
        <w:t>磋商供应商</w:t>
      </w:r>
      <w:r>
        <w:rPr>
          <w:rFonts w:hint="eastAsia" w:ascii="宋体" w:hAnsi="宋体"/>
          <w:b/>
          <w:sz w:val="32"/>
          <w:szCs w:val="32"/>
        </w:rPr>
        <w:t>：</w:t>
      </w:r>
      <w:r>
        <w:rPr>
          <w:rFonts w:hint="eastAsia" w:ascii="宋体" w:hAnsi="宋体"/>
          <w:b/>
          <w:sz w:val="32"/>
          <w:szCs w:val="32"/>
          <w:u w:val="single"/>
        </w:rPr>
        <w:t xml:space="preserve">                   （公章）</w:t>
      </w:r>
    </w:p>
    <w:p w14:paraId="3F2B2A6F">
      <w:pPr>
        <w:adjustRightInd w:val="0"/>
        <w:spacing w:line="360" w:lineRule="auto"/>
        <w:ind w:firstLine="1928" w:firstLineChars="600"/>
        <w:textAlignment w:val="baseline"/>
        <w:rPr>
          <w:rFonts w:ascii="宋体" w:hAnsi="宋体"/>
          <w:b/>
          <w:sz w:val="32"/>
          <w:u w:val="single"/>
        </w:rPr>
      </w:pPr>
      <w:r>
        <w:rPr>
          <w:rFonts w:hint="eastAsia" w:ascii="宋体" w:hAnsi="宋体"/>
          <w:b/>
          <w:sz w:val="32"/>
        </w:rPr>
        <w:t>法定代表人或委托代理人：</w:t>
      </w:r>
      <w:r>
        <w:rPr>
          <w:rFonts w:hint="eastAsia" w:ascii="宋体" w:hAnsi="宋体"/>
          <w:b/>
          <w:sz w:val="32"/>
          <w:u w:val="single"/>
        </w:rPr>
        <w:t xml:space="preserve">           （签字</w:t>
      </w:r>
      <w:r>
        <w:rPr>
          <w:rFonts w:hint="eastAsia" w:ascii="宋体" w:hAnsi="宋体"/>
          <w:b/>
          <w:sz w:val="32"/>
          <w:u w:val="single"/>
          <w:lang w:val="en-US" w:eastAsia="zh-CN"/>
        </w:rPr>
        <w:t>或盖章</w:t>
      </w:r>
      <w:r>
        <w:rPr>
          <w:rFonts w:hint="eastAsia" w:ascii="宋体" w:hAnsi="宋体"/>
          <w:b/>
          <w:sz w:val="32"/>
          <w:u w:val="single"/>
        </w:rPr>
        <w:t>）</w:t>
      </w:r>
    </w:p>
    <w:p w14:paraId="70901B36">
      <w:pPr>
        <w:spacing w:line="360" w:lineRule="auto"/>
        <w:ind w:firstLine="645"/>
        <w:jc w:val="center"/>
        <w:rPr>
          <w:rFonts w:ascii="宋体" w:hAnsi="宋体"/>
          <w:sz w:val="32"/>
        </w:rPr>
      </w:pPr>
      <w:r>
        <w:rPr>
          <w:rFonts w:hint="eastAsia" w:ascii="宋体" w:hAnsi="宋体"/>
          <w:sz w:val="32"/>
        </w:rPr>
        <w:t xml:space="preserve">           </w:t>
      </w:r>
      <w:r>
        <w:rPr>
          <w:rFonts w:hint="eastAsia" w:ascii="宋体" w:hAnsi="宋体"/>
          <w:b/>
          <w:bCs/>
          <w:sz w:val="32"/>
        </w:rPr>
        <w:t xml:space="preserve"> 日期：年   月  日</w:t>
      </w:r>
    </w:p>
    <w:p w14:paraId="42EF48CE">
      <w:pPr>
        <w:pStyle w:val="4"/>
        <w:numPr>
          <w:ilvl w:val="0"/>
          <w:numId w:val="0"/>
        </w:numPr>
        <w:ind w:left="709" w:hanging="709"/>
        <w:rPr>
          <w:rFonts w:hAnsi="宋体"/>
          <w:b/>
          <w:sz w:val="32"/>
          <w:lang w:val="zh-CN"/>
        </w:rPr>
      </w:pPr>
      <w:r>
        <w:rPr>
          <w:rFonts w:hAnsi="宋体"/>
        </w:rPr>
        <w:br w:type="page"/>
      </w:r>
      <w:bookmarkStart w:id="211" w:name="_Toc1575345"/>
      <w:r>
        <w:rPr>
          <w:rFonts w:hint="eastAsia" w:hAnsi="宋体"/>
          <w:b/>
        </w:rPr>
        <w:t>四、</w:t>
      </w:r>
      <w:r>
        <w:rPr>
          <w:rFonts w:hint="eastAsia" w:hAnsi="宋体"/>
          <w:b/>
          <w:sz w:val="32"/>
          <w:lang w:val="zh-CN"/>
        </w:rPr>
        <w:t>磋商响应文件目录（下册）</w:t>
      </w:r>
      <w:bookmarkEnd w:id="211"/>
    </w:p>
    <w:p w14:paraId="360303D6">
      <w:pPr>
        <w:rPr>
          <w:lang w:val="zh-CN"/>
        </w:rPr>
      </w:pPr>
    </w:p>
    <w:p w14:paraId="7A94C4C7">
      <w:pPr>
        <w:rPr>
          <w:lang w:val="zh-CN"/>
        </w:rPr>
      </w:pPr>
    </w:p>
    <w:p w14:paraId="231BD221">
      <w:pPr>
        <w:spacing w:line="360" w:lineRule="auto"/>
        <w:ind w:left="420"/>
        <w:rPr>
          <w:rFonts w:ascii="宋体" w:hAnsi="宋体" w:cs="宋体"/>
          <w:kern w:val="0"/>
          <w:sz w:val="24"/>
          <w:lang w:val="zh-CN"/>
        </w:rPr>
      </w:pPr>
      <w:r>
        <w:rPr>
          <w:rFonts w:hint="eastAsia" w:ascii="宋体" w:hAnsi="宋体" w:cs="宋体"/>
          <w:kern w:val="0"/>
          <w:sz w:val="24"/>
          <w:lang w:val="zh-CN"/>
        </w:rPr>
        <w:t>（11）</w:t>
      </w:r>
      <w:bookmarkStart w:id="212" w:name="_Hlk503366915"/>
      <w:r>
        <w:rPr>
          <w:rFonts w:hint="eastAsia" w:ascii="宋体" w:hAnsi="宋体" w:cs="宋体"/>
          <w:kern w:val="0"/>
          <w:sz w:val="24"/>
          <w:lang w:val="zh-CN"/>
        </w:rPr>
        <w:t>评分对照表</w:t>
      </w:r>
      <w:bookmarkEnd w:id="212"/>
      <w:r>
        <w:rPr>
          <w:rFonts w:hint="eastAsia" w:ascii="宋体" w:hAnsi="宋体" w:cs="宋体"/>
          <w:kern w:val="0"/>
          <w:sz w:val="24"/>
          <w:lang w:val="zh-CN"/>
        </w:rPr>
        <w:t>………………………………………………………所在页码</w:t>
      </w:r>
    </w:p>
    <w:p w14:paraId="2C088151">
      <w:pPr>
        <w:spacing w:line="360" w:lineRule="auto"/>
        <w:ind w:left="420"/>
        <w:rPr>
          <w:rFonts w:ascii="宋体" w:hAnsi="宋体" w:cs="宋体"/>
          <w:kern w:val="0"/>
          <w:sz w:val="24"/>
          <w:lang w:val="zh-CN"/>
        </w:rPr>
      </w:pPr>
      <w:r>
        <w:rPr>
          <w:rFonts w:hint="eastAsia" w:ascii="宋体" w:hAnsi="宋体" w:cs="宋体"/>
          <w:kern w:val="0"/>
          <w:sz w:val="24"/>
          <w:lang w:val="zh-CN"/>
        </w:rPr>
        <w:t>（12）竞争性磋商首次报价表…………………………………………所在页码</w:t>
      </w:r>
    </w:p>
    <w:p w14:paraId="56C58524">
      <w:pPr>
        <w:spacing w:line="360" w:lineRule="auto"/>
        <w:ind w:left="420"/>
        <w:rPr>
          <w:rFonts w:ascii="宋体" w:hAnsi="宋体" w:cs="宋体"/>
          <w:kern w:val="0"/>
          <w:sz w:val="24"/>
          <w:lang w:val="zh-CN"/>
        </w:rPr>
      </w:pPr>
      <w:r>
        <w:rPr>
          <w:rFonts w:hint="eastAsia" w:ascii="宋体" w:hAnsi="宋体" w:cs="宋体"/>
          <w:kern w:val="0"/>
          <w:sz w:val="24"/>
          <w:lang w:val="zh-CN"/>
        </w:rPr>
        <w:t>（13）分项报价表………………………………………………………所在页码</w:t>
      </w:r>
    </w:p>
    <w:p w14:paraId="1E9C0DB0">
      <w:pPr>
        <w:spacing w:line="360" w:lineRule="auto"/>
        <w:ind w:left="420"/>
        <w:rPr>
          <w:rFonts w:ascii="宋体" w:hAnsi="宋体" w:cs="宋体"/>
          <w:kern w:val="0"/>
          <w:sz w:val="24"/>
          <w:lang w:val="zh-CN"/>
        </w:rPr>
      </w:pPr>
      <w:r>
        <w:rPr>
          <w:rFonts w:hint="eastAsia" w:ascii="宋体" w:hAnsi="宋体" w:cs="宋体"/>
          <w:kern w:val="0"/>
          <w:sz w:val="24"/>
          <w:lang w:val="zh-CN"/>
        </w:rPr>
        <w:t>（14）技术规格响应表…………………………………………………所在页码</w:t>
      </w:r>
    </w:p>
    <w:p w14:paraId="2745FA60">
      <w:pPr>
        <w:spacing w:line="360" w:lineRule="auto"/>
        <w:ind w:left="42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5</w:t>
      </w:r>
      <w:r>
        <w:rPr>
          <w:rFonts w:hint="eastAsia" w:ascii="宋体" w:hAnsi="宋体" w:cs="宋体"/>
          <w:kern w:val="0"/>
          <w:sz w:val="24"/>
          <w:lang w:val="zh-CN"/>
        </w:rPr>
        <w:t>）磋商产品相关资料………………………………………………所在页码</w:t>
      </w:r>
    </w:p>
    <w:p w14:paraId="5866BE26">
      <w:pPr>
        <w:spacing w:line="360" w:lineRule="auto"/>
        <w:ind w:left="42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6</w:t>
      </w:r>
      <w:r>
        <w:rPr>
          <w:rFonts w:hint="eastAsia" w:ascii="宋体" w:hAnsi="宋体" w:cs="宋体"/>
          <w:kern w:val="0"/>
          <w:sz w:val="24"/>
          <w:lang w:val="zh-CN"/>
        </w:rPr>
        <w:t>）磋商供应商的类似业绩证明材料………………………………所在页码</w:t>
      </w:r>
    </w:p>
    <w:p w14:paraId="1E0BF79C">
      <w:pPr>
        <w:spacing w:line="360" w:lineRule="auto"/>
        <w:ind w:left="42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7</w:t>
      </w:r>
      <w:r>
        <w:rPr>
          <w:rFonts w:hint="eastAsia" w:ascii="宋体" w:hAnsi="宋体" w:cs="宋体"/>
          <w:kern w:val="0"/>
          <w:sz w:val="24"/>
          <w:lang w:val="zh-CN"/>
        </w:rPr>
        <w:t>）</w:t>
      </w:r>
      <w:r>
        <w:rPr>
          <w:rFonts w:hint="eastAsia" w:ascii="宋体" w:hAnsi="宋体" w:cs="宋体"/>
          <w:kern w:val="0"/>
          <w:sz w:val="24"/>
          <w:lang w:val="en-US" w:eastAsia="zh-CN"/>
        </w:rPr>
        <w:t>中小</w:t>
      </w:r>
      <w:r>
        <w:rPr>
          <w:rFonts w:hint="eastAsia" w:ascii="宋体" w:hAnsi="宋体" w:cs="宋体"/>
          <w:kern w:val="0"/>
          <w:sz w:val="24"/>
          <w:lang w:val="zh-CN"/>
        </w:rPr>
        <w:t>企业声明函…………………………………………………所在页码</w:t>
      </w:r>
    </w:p>
    <w:p w14:paraId="003150E4">
      <w:pPr>
        <w:spacing w:line="360" w:lineRule="auto"/>
        <w:ind w:firstLine="424" w:firstLineChars="177"/>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8</w:t>
      </w:r>
      <w:r>
        <w:rPr>
          <w:rFonts w:hint="eastAsia" w:ascii="宋体" w:hAnsi="宋体" w:cs="宋体"/>
          <w:kern w:val="0"/>
          <w:sz w:val="24"/>
          <w:lang w:val="zh-CN"/>
        </w:rPr>
        <w:t>）残疾人福利性单位声明函………………………………………所在页码</w:t>
      </w:r>
    </w:p>
    <w:p w14:paraId="7E513E36">
      <w:pPr>
        <w:spacing w:line="360" w:lineRule="auto"/>
        <w:ind w:left="42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19</w:t>
      </w:r>
      <w:r>
        <w:rPr>
          <w:rFonts w:hint="eastAsia" w:ascii="宋体" w:hAnsi="宋体" w:cs="宋体"/>
          <w:kern w:val="0"/>
          <w:sz w:val="24"/>
          <w:lang w:val="zh-CN"/>
        </w:rPr>
        <w:t>）磋商供应商认为在其他方面有必要说明的事项………………所在页码</w:t>
      </w:r>
    </w:p>
    <w:p w14:paraId="735FE92A">
      <w:pPr>
        <w:spacing w:line="360" w:lineRule="auto"/>
        <w:ind w:left="420"/>
        <w:rPr>
          <w:rFonts w:ascii="宋体" w:hAnsi="宋体" w:cs="宋体"/>
          <w:kern w:val="0"/>
          <w:sz w:val="24"/>
          <w:lang w:val="zh-CN"/>
        </w:rPr>
      </w:pPr>
      <w:r>
        <w:rPr>
          <w:rFonts w:hint="eastAsia" w:ascii="宋体" w:hAnsi="宋体" w:cs="宋体"/>
          <w:kern w:val="0"/>
          <w:sz w:val="24"/>
          <w:lang w:val="zh-CN"/>
        </w:rPr>
        <w:t>（2</w:t>
      </w:r>
      <w:r>
        <w:rPr>
          <w:rFonts w:hint="eastAsia" w:ascii="宋体" w:hAnsi="宋体" w:cs="宋体"/>
          <w:kern w:val="0"/>
          <w:sz w:val="24"/>
        </w:rPr>
        <w:t>0</w:t>
      </w:r>
      <w:r>
        <w:rPr>
          <w:rFonts w:hint="eastAsia" w:ascii="宋体" w:hAnsi="宋体" w:cs="宋体"/>
          <w:kern w:val="0"/>
          <w:sz w:val="24"/>
          <w:lang w:val="zh-CN"/>
        </w:rPr>
        <w:t>）磋商最终报价表…………………………………………………所在页码</w:t>
      </w:r>
    </w:p>
    <w:p w14:paraId="4FEC01BB">
      <w:pPr>
        <w:pStyle w:val="4"/>
        <w:numPr>
          <w:ilvl w:val="0"/>
          <w:numId w:val="0"/>
        </w:numPr>
        <w:ind w:left="709" w:hanging="709"/>
        <w:rPr>
          <w:rFonts w:hAnsi="宋体"/>
          <w:b/>
          <w:sz w:val="32"/>
          <w:lang w:val="zh-CN"/>
        </w:rPr>
      </w:pPr>
      <w:r>
        <w:rPr>
          <w:rFonts w:hAnsi="宋体"/>
          <w:bCs/>
          <w:sz w:val="24"/>
          <w:szCs w:val="28"/>
        </w:rPr>
        <w:br w:type="page"/>
      </w:r>
      <w:bookmarkStart w:id="213" w:name="_Toc1575346"/>
      <w:r>
        <w:rPr>
          <w:rFonts w:hint="eastAsia" w:hAnsi="宋体"/>
          <w:b/>
          <w:sz w:val="32"/>
          <w:lang w:val="zh-CN"/>
        </w:rPr>
        <w:t>格式11、评分对照表</w:t>
      </w:r>
      <w:bookmarkEnd w:id="213"/>
    </w:p>
    <w:p w14:paraId="538B2DE8">
      <w:pPr>
        <w:spacing w:line="360" w:lineRule="auto"/>
        <w:rPr>
          <w:rFonts w:ascii="宋体" w:hAnsi="宋体"/>
          <w:bCs/>
          <w:sz w:val="24"/>
          <w:szCs w:val="28"/>
        </w:rPr>
      </w:pPr>
    </w:p>
    <w:p w14:paraId="22A9D3FC">
      <w:pPr>
        <w:spacing w:line="360" w:lineRule="auto"/>
        <w:jc w:val="center"/>
        <w:rPr>
          <w:rFonts w:ascii="宋体" w:hAnsi="宋体" w:cs="宋体"/>
          <w:b/>
          <w:bCs/>
          <w:sz w:val="28"/>
          <w:szCs w:val="28"/>
        </w:rPr>
      </w:pPr>
      <w:r>
        <w:rPr>
          <w:rFonts w:hint="eastAsia" w:ascii="宋体" w:hAnsi="宋体" w:cs="宋体"/>
          <w:b/>
          <w:bCs/>
          <w:sz w:val="28"/>
          <w:szCs w:val="28"/>
        </w:rPr>
        <w:t>评分对照表</w:t>
      </w:r>
    </w:p>
    <w:tbl>
      <w:tblPr>
        <w:tblStyle w:val="34"/>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4033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6DF2F94F">
            <w:pPr>
              <w:pStyle w:val="9"/>
              <w:spacing w:line="360" w:lineRule="auto"/>
              <w:ind w:firstLine="0" w:firstLineChars="0"/>
              <w:jc w:val="center"/>
              <w:rPr>
                <w:rFonts w:ascii="宋体" w:hAnsi="宋体" w:cs="宋体"/>
                <w:sz w:val="24"/>
              </w:rPr>
            </w:pPr>
            <w:r>
              <w:rPr>
                <w:rFonts w:hint="eastAsia" w:ascii="宋体" w:hAnsi="宋体" w:cs="宋体"/>
                <w:sz w:val="24"/>
              </w:rPr>
              <w:t>序号</w:t>
            </w:r>
          </w:p>
        </w:tc>
        <w:tc>
          <w:tcPr>
            <w:tcW w:w="2514" w:type="dxa"/>
            <w:vAlign w:val="center"/>
          </w:tcPr>
          <w:p w14:paraId="260BACF3">
            <w:pPr>
              <w:pStyle w:val="9"/>
              <w:spacing w:line="360" w:lineRule="auto"/>
              <w:ind w:firstLine="0" w:firstLineChars="0"/>
              <w:jc w:val="center"/>
              <w:rPr>
                <w:rFonts w:ascii="宋体" w:hAnsi="宋体" w:cs="宋体"/>
                <w:sz w:val="24"/>
              </w:rPr>
            </w:pPr>
            <w:r>
              <w:rPr>
                <w:rFonts w:hint="eastAsia" w:ascii="宋体" w:hAnsi="宋体" w:cs="宋体"/>
                <w:sz w:val="24"/>
              </w:rPr>
              <w:t>磋商文件评分标准</w:t>
            </w:r>
          </w:p>
        </w:tc>
        <w:tc>
          <w:tcPr>
            <w:tcW w:w="2266" w:type="dxa"/>
            <w:vAlign w:val="center"/>
          </w:tcPr>
          <w:p w14:paraId="421A6976">
            <w:pPr>
              <w:pStyle w:val="9"/>
              <w:spacing w:line="360" w:lineRule="auto"/>
              <w:ind w:firstLine="0" w:firstLineChars="0"/>
              <w:jc w:val="center"/>
              <w:rPr>
                <w:rFonts w:ascii="宋体" w:hAnsi="宋体" w:cs="宋体"/>
                <w:sz w:val="24"/>
              </w:rPr>
            </w:pPr>
            <w:r>
              <w:rPr>
                <w:rFonts w:hint="eastAsia" w:ascii="宋体" w:hAnsi="宋体" w:cs="宋体"/>
                <w:sz w:val="24"/>
              </w:rPr>
              <w:t>磋商响应部分</w:t>
            </w:r>
          </w:p>
        </w:tc>
        <w:tc>
          <w:tcPr>
            <w:tcW w:w="2966" w:type="dxa"/>
            <w:vAlign w:val="center"/>
          </w:tcPr>
          <w:p w14:paraId="5B9EC0C6">
            <w:pPr>
              <w:pStyle w:val="9"/>
              <w:spacing w:line="360" w:lineRule="auto"/>
              <w:ind w:firstLine="0" w:firstLineChars="0"/>
              <w:jc w:val="center"/>
              <w:rPr>
                <w:rFonts w:ascii="宋体" w:hAnsi="宋体" w:cs="宋体"/>
                <w:sz w:val="24"/>
              </w:rPr>
            </w:pPr>
            <w:r>
              <w:rPr>
                <w:rFonts w:hint="eastAsia" w:ascii="宋体" w:hAnsi="宋体" w:cs="宋体"/>
                <w:sz w:val="24"/>
              </w:rPr>
              <w:t>磋商响应文件中对应页码</w:t>
            </w:r>
          </w:p>
        </w:tc>
      </w:tr>
      <w:tr w14:paraId="0C51B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715687C6">
            <w:pPr>
              <w:pStyle w:val="9"/>
              <w:spacing w:line="360" w:lineRule="auto"/>
              <w:jc w:val="center"/>
              <w:rPr>
                <w:rFonts w:ascii="宋体" w:hAnsi="宋体" w:cs="宋体"/>
              </w:rPr>
            </w:pPr>
          </w:p>
        </w:tc>
        <w:tc>
          <w:tcPr>
            <w:tcW w:w="2514" w:type="dxa"/>
            <w:vAlign w:val="center"/>
          </w:tcPr>
          <w:p w14:paraId="0FF773B0">
            <w:pPr>
              <w:pStyle w:val="9"/>
              <w:spacing w:line="360" w:lineRule="auto"/>
              <w:jc w:val="center"/>
              <w:rPr>
                <w:rFonts w:ascii="宋体" w:hAnsi="宋体" w:cs="宋体"/>
              </w:rPr>
            </w:pPr>
          </w:p>
        </w:tc>
        <w:tc>
          <w:tcPr>
            <w:tcW w:w="2266" w:type="dxa"/>
            <w:vAlign w:val="center"/>
          </w:tcPr>
          <w:p w14:paraId="62A73CD6">
            <w:pPr>
              <w:pStyle w:val="9"/>
              <w:spacing w:line="360" w:lineRule="auto"/>
              <w:jc w:val="center"/>
              <w:rPr>
                <w:rFonts w:ascii="宋体" w:hAnsi="宋体" w:cs="宋体"/>
              </w:rPr>
            </w:pPr>
          </w:p>
        </w:tc>
        <w:tc>
          <w:tcPr>
            <w:tcW w:w="2966" w:type="dxa"/>
            <w:vAlign w:val="center"/>
          </w:tcPr>
          <w:p w14:paraId="01588C85">
            <w:pPr>
              <w:pStyle w:val="9"/>
              <w:spacing w:line="360" w:lineRule="auto"/>
              <w:jc w:val="center"/>
              <w:rPr>
                <w:rFonts w:ascii="宋体" w:hAnsi="宋体" w:cs="宋体"/>
              </w:rPr>
            </w:pPr>
          </w:p>
        </w:tc>
      </w:tr>
      <w:tr w14:paraId="1D31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3E0F38E4">
            <w:pPr>
              <w:pStyle w:val="9"/>
              <w:spacing w:line="360" w:lineRule="auto"/>
              <w:jc w:val="center"/>
              <w:rPr>
                <w:rFonts w:ascii="宋体" w:hAnsi="宋体" w:cs="宋体"/>
              </w:rPr>
            </w:pPr>
          </w:p>
        </w:tc>
        <w:tc>
          <w:tcPr>
            <w:tcW w:w="2514" w:type="dxa"/>
            <w:vAlign w:val="center"/>
          </w:tcPr>
          <w:p w14:paraId="50B28EC9">
            <w:pPr>
              <w:pStyle w:val="9"/>
              <w:spacing w:line="360" w:lineRule="auto"/>
              <w:jc w:val="center"/>
              <w:rPr>
                <w:rFonts w:ascii="宋体" w:hAnsi="宋体" w:cs="宋体"/>
              </w:rPr>
            </w:pPr>
          </w:p>
        </w:tc>
        <w:tc>
          <w:tcPr>
            <w:tcW w:w="2266" w:type="dxa"/>
            <w:vAlign w:val="center"/>
          </w:tcPr>
          <w:p w14:paraId="4D22B9D9">
            <w:pPr>
              <w:pStyle w:val="9"/>
              <w:spacing w:line="360" w:lineRule="auto"/>
              <w:jc w:val="center"/>
              <w:rPr>
                <w:rFonts w:ascii="宋体" w:hAnsi="宋体" w:cs="宋体"/>
              </w:rPr>
            </w:pPr>
          </w:p>
        </w:tc>
        <w:tc>
          <w:tcPr>
            <w:tcW w:w="2966" w:type="dxa"/>
            <w:vAlign w:val="center"/>
          </w:tcPr>
          <w:p w14:paraId="7BD8CD91">
            <w:pPr>
              <w:pStyle w:val="9"/>
              <w:spacing w:line="360" w:lineRule="auto"/>
              <w:jc w:val="center"/>
              <w:rPr>
                <w:rFonts w:ascii="宋体" w:hAnsi="宋体" w:cs="宋体"/>
              </w:rPr>
            </w:pPr>
          </w:p>
        </w:tc>
      </w:tr>
      <w:tr w14:paraId="324D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4F607FBE">
            <w:pPr>
              <w:pStyle w:val="9"/>
              <w:spacing w:line="360" w:lineRule="auto"/>
              <w:jc w:val="center"/>
              <w:rPr>
                <w:rFonts w:ascii="宋体" w:hAnsi="宋体" w:cs="宋体"/>
              </w:rPr>
            </w:pPr>
          </w:p>
        </w:tc>
        <w:tc>
          <w:tcPr>
            <w:tcW w:w="2514" w:type="dxa"/>
            <w:vAlign w:val="center"/>
          </w:tcPr>
          <w:p w14:paraId="1370AD2B">
            <w:pPr>
              <w:pStyle w:val="9"/>
              <w:spacing w:line="360" w:lineRule="auto"/>
              <w:jc w:val="center"/>
              <w:rPr>
                <w:rFonts w:ascii="宋体" w:hAnsi="宋体" w:cs="宋体"/>
              </w:rPr>
            </w:pPr>
          </w:p>
        </w:tc>
        <w:tc>
          <w:tcPr>
            <w:tcW w:w="2266" w:type="dxa"/>
            <w:vAlign w:val="center"/>
          </w:tcPr>
          <w:p w14:paraId="41846BC6">
            <w:pPr>
              <w:pStyle w:val="9"/>
              <w:spacing w:line="360" w:lineRule="auto"/>
              <w:jc w:val="center"/>
              <w:rPr>
                <w:rFonts w:ascii="宋体" w:hAnsi="宋体" w:cs="宋体"/>
              </w:rPr>
            </w:pPr>
          </w:p>
        </w:tc>
        <w:tc>
          <w:tcPr>
            <w:tcW w:w="2966" w:type="dxa"/>
            <w:vAlign w:val="center"/>
          </w:tcPr>
          <w:p w14:paraId="1B21BFC2">
            <w:pPr>
              <w:pStyle w:val="9"/>
              <w:spacing w:line="360" w:lineRule="auto"/>
              <w:jc w:val="center"/>
              <w:rPr>
                <w:rFonts w:ascii="宋体" w:hAnsi="宋体" w:cs="宋体"/>
              </w:rPr>
            </w:pPr>
          </w:p>
        </w:tc>
      </w:tr>
      <w:tr w14:paraId="6D765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18248B77">
            <w:pPr>
              <w:pStyle w:val="9"/>
              <w:spacing w:line="360" w:lineRule="auto"/>
              <w:jc w:val="center"/>
              <w:rPr>
                <w:rFonts w:ascii="宋体" w:hAnsi="宋体" w:cs="宋体"/>
              </w:rPr>
            </w:pPr>
          </w:p>
        </w:tc>
        <w:tc>
          <w:tcPr>
            <w:tcW w:w="2514" w:type="dxa"/>
            <w:vAlign w:val="center"/>
          </w:tcPr>
          <w:p w14:paraId="34B92B1E">
            <w:pPr>
              <w:pStyle w:val="9"/>
              <w:spacing w:line="360" w:lineRule="auto"/>
              <w:jc w:val="center"/>
              <w:rPr>
                <w:rFonts w:ascii="宋体" w:hAnsi="宋体" w:cs="宋体"/>
              </w:rPr>
            </w:pPr>
          </w:p>
        </w:tc>
        <w:tc>
          <w:tcPr>
            <w:tcW w:w="2266" w:type="dxa"/>
            <w:vAlign w:val="center"/>
          </w:tcPr>
          <w:p w14:paraId="15D58F49">
            <w:pPr>
              <w:pStyle w:val="9"/>
              <w:spacing w:line="360" w:lineRule="auto"/>
              <w:jc w:val="center"/>
              <w:rPr>
                <w:rFonts w:ascii="宋体" w:hAnsi="宋体" w:cs="宋体"/>
              </w:rPr>
            </w:pPr>
          </w:p>
        </w:tc>
        <w:tc>
          <w:tcPr>
            <w:tcW w:w="2966" w:type="dxa"/>
            <w:vAlign w:val="center"/>
          </w:tcPr>
          <w:p w14:paraId="1B99CCF8">
            <w:pPr>
              <w:pStyle w:val="9"/>
              <w:spacing w:line="360" w:lineRule="auto"/>
              <w:jc w:val="center"/>
              <w:rPr>
                <w:rFonts w:ascii="宋体" w:hAnsi="宋体" w:cs="宋体"/>
              </w:rPr>
            </w:pPr>
          </w:p>
        </w:tc>
      </w:tr>
      <w:tr w14:paraId="43F3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053C40E9">
            <w:pPr>
              <w:pStyle w:val="9"/>
              <w:spacing w:line="360" w:lineRule="auto"/>
              <w:jc w:val="center"/>
              <w:rPr>
                <w:rFonts w:ascii="宋体" w:hAnsi="宋体" w:cs="宋体"/>
              </w:rPr>
            </w:pPr>
          </w:p>
        </w:tc>
        <w:tc>
          <w:tcPr>
            <w:tcW w:w="2514" w:type="dxa"/>
            <w:vAlign w:val="center"/>
          </w:tcPr>
          <w:p w14:paraId="42C066FA">
            <w:pPr>
              <w:pStyle w:val="9"/>
              <w:spacing w:line="360" w:lineRule="auto"/>
              <w:jc w:val="center"/>
              <w:rPr>
                <w:rFonts w:ascii="宋体" w:hAnsi="宋体" w:cs="宋体"/>
              </w:rPr>
            </w:pPr>
          </w:p>
        </w:tc>
        <w:tc>
          <w:tcPr>
            <w:tcW w:w="2266" w:type="dxa"/>
            <w:vAlign w:val="center"/>
          </w:tcPr>
          <w:p w14:paraId="7677E8B7">
            <w:pPr>
              <w:pStyle w:val="9"/>
              <w:spacing w:line="360" w:lineRule="auto"/>
              <w:jc w:val="center"/>
              <w:rPr>
                <w:rFonts w:ascii="宋体" w:hAnsi="宋体" w:cs="宋体"/>
              </w:rPr>
            </w:pPr>
          </w:p>
        </w:tc>
        <w:tc>
          <w:tcPr>
            <w:tcW w:w="2966" w:type="dxa"/>
            <w:vAlign w:val="center"/>
          </w:tcPr>
          <w:p w14:paraId="34BB7AD4">
            <w:pPr>
              <w:pStyle w:val="9"/>
              <w:spacing w:line="360" w:lineRule="auto"/>
              <w:jc w:val="center"/>
              <w:rPr>
                <w:rFonts w:ascii="宋体" w:hAnsi="宋体" w:cs="宋体"/>
              </w:rPr>
            </w:pPr>
          </w:p>
        </w:tc>
      </w:tr>
      <w:tr w14:paraId="56E45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13CBC1C2">
            <w:pPr>
              <w:pStyle w:val="9"/>
              <w:spacing w:line="360" w:lineRule="auto"/>
              <w:jc w:val="center"/>
              <w:rPr>
                <w:rFonts w:ascii="宋体" w:hAnsi="宋体" w:cs="宋体"/>
              </w:rPr>
            </w:pPr>
          </w:p>
        </w:tc>
        <w:tc>
          <w:tcPr>
            <w:tcW w:w="2514" w:type="dxa"/>
            <w:vAlign w:val="center"/>
          </w:tcPr>
          <w:p w14:paraId="080D4E98">
            <w:pPr>
              <w:pStyle w:val="9"/>
              <w:spacing w:line="360" w:lineRule="auto"/>
              <w:jc w:val="center"/>
              <w:rPr>
                <w:rFonts w:ascii="宋体" w:hAnsi="宋体" w:cs="宋体"/>
              </w:rPr>
            </w:pPr>
          </w:p>
        </w:tc>
        <w:tc>
          <w:tcPr>
            <w:tcW w:w="2266" w:type="dxa"/>
            <w:vAlign w:val="center"/>
          </w:tcPr>
          <w:p w14:paraId="2063A32E">
            <w:pPr>
              <w:pStyle w:val="9"/>
              <w:spacing w:line="360" w:lineRule="auto"/>
              <w:jc w:val="center"/>
              <w:rPr>
                <w:rFonts w:ascii="宋体" w:hAnsi="宋体" w:cs="宋体"/>
              </w:rPr>
            </w:pPr>
          </w:p>
        </w:tc>
        <w:tc>
          <w:tcPr>
            <w:tcW w:w="2966" w:type="dxa"/>
            <w:vAlign w:val="center"/>
          </w:tcPr>
          <w:p w14:paraId="3E1EE83A">
            <w:pPr>
              <w:pStyle w:val="9"/>
              <w:spacing w:line="360" w:lineRule="auto"/>
              <w:jc w:val="center"/>
              <w:rPr>
                <w:rFonts w:ascii="宋体" w:hAnsi="宋体" w:cs="宋体"/>
              </w:rPr>
            </w:pPr>
          </w:p>
        </w:tc>
      </w:tr>
    </w:tbl>
    <w:p w14:paraId="287ADC46">
      <w:pPr>
        <w:spacing w:line="360" w:lineRule="auto"/>
        <w:jc w:val="center"/>
        <w:rPr>
          <w:rFonts w:ascii="宋体" w:hAnsi="宋体"/>
          <w:bCs/>
          <w:sz w:val="24"/>
          <w:szCs w:val="28"/>
        </w:rPr>
      </w:pPr>
    </w:p>
    <w:p w14:paraId="43D47337">
      <w:pPr>
        <w:pStyle w:val="4"/>
        <w:numPr>
          <w:ilvl w:val="0"/>
          <w:numId w:val="0"/>
        </w:numPr>
        <w:ind w:left="709" w:hanging="709"/>
        <w:rPr>
          <w:rFonts w:hAnsi="宋体"/>
          <w:lang w:val="zh-CN"/>
        </w:rPr>
      </w:pPr>
      <w:r>
        <w:rPr>
          <w:rFonts w:hAnsi="宋体"/>
          <w:bCs/>
          <w:sz w:val="24"/>
          <w:szCs w:val="28"/>
        </w:rPr>
        <w:br w:type="page"/>
      </w:r>
      <w:bookmarkStart w:id="214" w:name="_Toc1575347"/>
      <w:r>
        <w:rPr>
          <w:rFonts w:hint="eastAsia" w:hAnsi="宋体"/>
          <w:b/>
          <w:sz w:val="32"/>
          <w:lang w:val="zh-CN"/>
        </w:rPr>
        <w:t>格式12、</w:t>
      </w:r>
      <w:bookmarkStart w:id="215" w:name="_Toc487036155"/>
      <w:r>
        <w:rPr>
          <w:rFonts w:hint="eastAsia" w:hAnsi="宋体"/>
          <w:b/>
          <w:sz w:val="32"/>
          <w:szCs w:val="32"/>
        </w:rPr>
        <w:t>竞争性磋商首次报价表</w:t>
      </w:r>
      <w:bookmarkEnd w:id="214"/>
      <w:bookmarkEnd w:id="215"/>
    </w:p>
    <w:p w14:paraId="642FE85A">
      <w:pPr>
        <w:autoSpaceDE w:val="0"/>
        <w:autoSpaceDN w:val="0"/>
        <w:adjustRightInd w:val="0"/>
        <w:spacing w:line="360" w:lineRule="auto"/>
        <w:jc w:val="center"/>
        <w:rPr>
          <w:rFonts w:ascii="宋体" w:hAnsi="宋体"/>
          <w:b/>
          <w:sz w:val="32"/>
          <w:szCs w:val="32"/>
        </w:rPr>
      </w:pPr>
      <w:r>
        <w:rPr>
          <w:rFonts w:hint="eastAsia" w:ascii="宋体" w:hAnsi="宋体"/>
          <w:b/>
          <w:sz w:val="32"/>
          <w:szCs w:val="32"/>
        </w:rPr>
        <w:t>竞争性磋商首次报价表</w:t>
      </w:r>
    </w:p>
    <w:p w14:paraId="0836238F">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采购项目名称： </w:t>
      </w:r>
    </w:p>
    <w:p w14:paraId="070C17F6">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采购项目编号：</w:t>
      </w:r>
    </w:p>
    <w:p w14:paraId="62CEA70E">
      <w:pPr>
        <w:autoSpaceDE w:val="0"/>
        <w:autoSpaceDN w:val="0"/>
        <w:spacing w:line="360" w:lineRule="auto"/>
        <w:jc w:val="right"/>
        <w:rPr>
          <w:rFonts w:ascii="宋体" w:hAnsi="宋体" w:cs="宋体"/>
          <w:bCs/>
          <w:kern w:val="0"/>
          <w:sz w:val="24"/>
          <w:lang w:val="zh-CN"/>
        </w:rPr>
      </w:pPr>
      <w:r>
        <w:rPr>
          <w:rFonts w:hint="eastAsia" w:ascii="宋体" w:hAnsi="宋体" w:cs="宋体"/>
          <w:bCs/>
          <w:kern w:val="0"/>
          <w:sz w:val="24"/>
          <w:lang w:val="zh-CN"/>
        </w:rPr>
        <w:t>单位：人民币（元）</w:t>
      </w:r>
    </w:p>
    <w:p w14:paraId="39911266">
      <w:pPr>
        <w:autoSpaceDE w:val="0"/>
        <w:autoSpaceDN w:val="0"/>
        <w:spacing w:line="360" w:lineRule="auto"/>
        <w:rPr>
          <w:rFonts w:ascii="宋体" w:hAnsi="宋体" w:cs="宋体"/>
          <w:b/>
          <w:bCs/>
          <w:sz w:val="24"/>
          <w:lang w:val="zh-CN"/>
        </w:rPr>
      </w:pPr>
      <w:r>
        <w:rPr>
          <w:rFonts w:hint="eastAsia" w:ascii="宋体" w:hAnsi="宋体" w:cs="宋体"/>
          <w:b/>
          <w:bCs/>
          <w:sz w:val="24"/>
          <w:lang w:val="zh-CN"/>
        </w:rPr>
        <w:t>磋商供应商名称：</w:t>
      </w:r>
    </w:p>
    <w:tbl>
      <w:tblPr>
        <w:tblStyle w:val="34"/>
        <w:tblW w:w="9968" w:type="dxa"/>
        <w:jc w:val="center"/>
        <w:tblLayout w:type="fixed"/>
        <w:tblCellMar>
          <w:top w:w="0" w:type="dxa"/>
          <w:left w:w="108" w:type="dxa"/>
          <w:bottom w:w="0" w:type="dxa"/>
          <w:right w:w="108" w:type="dxa"/>
        </w:tblCellMar>
      </w:tblPr>
      <w:tblGrid>
        <w:gridCol w:w="3516"/>
        <w:gridCol w:w="2829"/>
        <w:gridCol w:w="2016"/>
        <w:gridCol w:w="1607"/>
      </w:tblGrid>
      <w:tr w14:paraId="7D32B630">
        <w:tblPrEx>
          <w:tblCellMar>
            <w:top w:w="0" w:type="dxa"/>
            <w:left w:w="108" w:type="dxa"/>
            <w:bottom w:w="0" w:type="dxa"/>
            <w:right w:w="108" w:type="dxa"/>
          </w:tblCellMar>
        </w:tblPrEx>
        <w:trPr>
          <w:trHeight w:val="699" w:hRule="atLeast"/>
          <w:jc w:val="center"/>
        </w:trPr>
        <w:tc>
          <w:tcPr>
            <w:tcW w:w="35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47E27E">
            <w:pPr>
              <w:autoSpaceDE w:val="0"/>
              <w:autoSpaceDN w:val="0"/>
              <w:spacing w:line="360" w:lineRule="auto"/>
              <w:jc w:val="center"/>
              <w:rPr>
                <w:rFonts w:ascii="Arial" w:hAnsi="Arial" w:cs="Arial"/>
                <w:sz w:val="24"/>
                <w:lang w:val="zh-CN"/>
              </w:rPr>
            </w:pPr>
            <w:r>
              <w:rPr>
                <w:rFonts w:ascii="Arial" w:hAnsi="Arial" w:cs="Arial"/>
                <w:bCs/>
                <w:sz w:val="24"/>
                <w:lang w:val="zh-CN"/>
              </w:rPr>
              <w:t>项目名称</w:t>
            </w:r>
          </w:p>
        </w:tc>
        <w:tc>
          <w:tcPr>
            <w:tcW w:w="28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D86687B">
            <w:pPr>
              <w:autoSpaceDE w:val="0"/>
              <w:autoSpaceDN w:val="0"/>
              <w:spacing w:line="360" w:lineRule="auto"/>
              <w:ind w:firstLine="482"/>
              <w:rPr>
                <w:rFonts w:ascii="Arial" w:hAnsi="Arial" w:cs="Arial"/>
                <w:lang w:val="zh-CN"/>
              </w:rPr>
            </w:pPr>
            <w:r>
              <w:rPr>
                <w:rFonts w:hint="eastAsia" w:ascii="Arial" w:hAnsi="Arial" w:cs="Arial"/>
                <w:bCs/>
                <w:sz w:val="24"/>
                <w:lang w:val="zh-CN"/>
              </w:rPr>
              <w:t>磋商首次</w:t>
            </w:r>
            <w:r>
              <w:rPr>
                <w:rFonts w:ascii="Arial" w:hAnsi="Arial" w:cs="Arial"/>
                <w:bCs/>
                <w:sz w:val="24"/>
                <w:lang w:val="zh-CN"/>
              </w:rPr>
              <w:t>报价</w:t>
            </w:r>
          </w:p>
        </w:tc>
        <w:tc>
          <w:tcPr>
            <w:tcW w:w="2016" w:type="dxa"/>
            <w:tcBorders>
              <w:top w:val="single" w:color="000000" w:sz="6" w:space="0"/>
              <w:left w:val="single" w:color="000000" w:sz="6" w:space="0"/>
              <w:bottom w:val="single" w:color="000000" w:sz="6" w:space="0"/>
              <w:right w:val="single" w:color="auto" w:sz="4" w:space="0"/>
            </w:tcBorders>
            <w:shd w:val="clear" w:color="000000" w:fill="FFFFFF"/>
            <w:vAlign w:val="center"/>
          </w:tcPr>
          <w:p w14:paraId="004701BB">
            <w:pPr>
              <w:autoSpaceDE w:val="0"/>
              <w:autoSpaceDN w:val="0"/>
              <w:spacing w:line="360" w:lineRule="auto"/>
              <w:jc w:val="center"/>
              <w:rPr>
                <w:rFonts w:ascii="Arial" w:hAnsi="Arial" w:cs="Arial"/>
                <w:sz w:val="24"/>
                <w:lang w:val="zh-CN"/>
              </w:rPr>
            </w:pPr>
            <w:r>
              <w:rPr>
                <w:rFonts w:ascii="Arial" w:hAnsi="Arial" w:cs="Arial"/>
                <w:bCs/>
                <w:sz w:val="24"/>
                <w:lang w:val="zh-CN"/>
              </w:rPr>
              <w:t>交货期</w:t>
            </w:r>
          </w:p>
        </w:tc>
        <w:tc>
          <w:tcPr>
            <w:tcW w:w="16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CBFB42">
            <w:pPr>
              <w:autoSpaceDE w:val="0"/>
              <w:autoSpaceDN w:val="0"/>
              <w:spacing w:line="360" w:lineRule="auto"/>
              <w:jc w:val="center"/>
              <w:rPr>
                <w:rFonts w:ascii="Arial" w:hAnsi="Arial" w:cs="Arial"/>
                <w:lang w:val="zh-CN"/>
              </w:rPr>
            </w:pPr>
            <w:r>
              <w:rPr>
                <w:rFonts w:ascii="Arial" w:hAnsi="Arial" w:cs="Arial"/>
                <w:bCs/>
                <w:sz w:val="24"/>
                <w:lang w:val="zh-CN"/>
              </w:rPr>
              <w:t>备注</w:t>
            </w:r>
          </w:p>
        </w:tc>
      </w:tr>
      <w:tr w14:paraId="71A1D9AC">
        <w:tblPrEx>
          <w:tblCellMar>
            <w:top w:w="0" w:type="dxa"/>
            <w:left w:w="108" w:type="dxa"/>
            <w:bottom w:w="0" w:type="dxa"/>
            <w:right w:w="108" w:type="dxa"/>
          </w:tblCellMar>
        </w:tblPrEx>
        <w:trPr>
          <w:trHeight w:val="993" w:hRule="atLeast"/>
          <w:jc w:val="center"/>
        </w:trPr>
        <w:tc>
          <w:tcPr>
            <w:tcW w:w="3516" w:type="dxa"/>
            <w:vMerge w:val="restart"/>
            <w:tcBorders>
              <w:top w:val="single" w:color="000000" w:sz="6" w:space="0"/>
              <w:left w:val="single" w:color="000000" w:sz="6" w:space="0"/>
              <w:right w:val="single" w:color="000000" w:sz="6" w:space="0"/>
            </w:tcBorders>
            <w:shd w:val="clear" w:color="000000" w:fill="FFFFFF"/>
            <w:vAlign w:val="center"/>
          </w:tcPr>
          <w:p w14:paraId="6E5643D9">
            <w:pPr>
              <w:autoSpaceDE w:val="0"/>
              <w:autoSpaceDN w:val="0"/>
              <w:spacing w:line="360" w:lineRule="auto"/>
              <w:jc w:val="center"/>
              <w:rPr>
                <w:rFonts w:ascii="Arial" w:hAnsi="Arial" w:cs="Arial"/>
                <w:lang w:val="zh-CN"/>
              </w:rPr>
            </w:pPr>
          </w:p>
        </w:tc>
        <w:tc>
          <w:tcPr>
            <w:tcW w:w="28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075173">
            <w:pPr>
              <w:autoSpaceDE w:val="0"/>
              <w:autoSpaceDN w:val="0"/>
              <w:spacing w:line="360" w:lineRule="auto"/>
              <w:rPr>
                <w:rFonts w:ascii="Arial" w:hAnsi="Arial" w:cs="Arial"/>
                <w:lang w:val="zh-CN"/>
              </w:rPr>
            </w:pPr>
            <w:r>
              <w:rPr>
                <w:rFonts w:ascii="Arial" w:hAnsi="Arial" w:cs="Arial"/>
                <w:bCs/>
                <w:sz w:val="24"/>
                <w:lang w:val="zh-CN"/>
              </w:rPr>
              <w:t>大写：</w:t>
            </w:r>
          </w:p>
        </w:tc>
        <w:tc>
          <w:tcPr>
            <w:tcW w:w="2016" w:type="dxa"/>
            <w:vMerge w:val="restart"/>
            <w:tcBorders>
              <w:top w:val="single" w:color="000000" w:sz="6" w:space="0"/>
              <w:left w:val="single" w:color="000000" w:sz="6" w:space="0"/>
              <w:bottom w:val="single" w:color="000000" w:sz="6" w:space="0"/>
              <w:right w:val="single" w:color="auto" w:sz="4" w:space="0"/>
            </w:tcBorders>
            <w:shd w:val="clear" w:color="000000" w:fill="FFFFFF"/>
            <w:vAlign w:val="center"/>
          </w:tcPr>
          <w:p w14:paraId="6270C971">
            <w:pPr>
              <w:autoSpaceDE w:val="0"/>
              <w:autoSpaceDN w:val="0"/>
              <w:spacing w:line="360" w:lineRule="auto"/>
              <w:ind w:firstLine="197"/>
              <w:jc w:val="center"/>
              <w:rPr>
                <w:rFonts w:ascii="Arial" w:hAnsi="Arial" w:cs="Arial"/>
                <w:lang w:val="zh-CN"/>
              </w:rPr>
            </w:pPr>
          </w:p>
        </w:tc>
        <w:tc>
          <w:tcPr>
            <w:tcW w:w="1607"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14:paraId="3A292FBF">
            <w:pPr>
              <w:autoSpaceDE w:val="0"/>
              <w:autoSpaceDN w:val="0"/>
              <w:spacing w:line="360" w:lineRule="auto"/>
              <w:jc w:val="center"/>
              <w:rPr>
                <w:rFonts w:ascii="Arial" w:hAnsi="Arial" w:cs="Arial"/>
                <w:lang w:val="zh-CN"/>
              </w:rPr>
            </w:pPr>
          </w:p>
        </w:tc>
      </w:tr>
      <w:tr w14:paraId="5255E8EC">
        <w:tblPrEx>
          <w:tblCellMar>
            <w:top w:w="0" w:type="dxa"/>
            <w:left w:w="108" w:type="dxa"/>
            <w:bottom w:w="0" w:type="dxa"/>
            <w:right w:w="108" w:type="dxa"/>
          </w:tblCellMar>
        </w:tblPrEx>
        <w:trPr>
          <w:trHeight w:val="845" w:hRule="atLeast"/>
          <w:jc w:val="center"/>
        </w:trPr>
        <w:tc>
          <w:tcPr>
            <w:tcW w:w="3516" w:type="dxa"/>
            <w:vMerge w:val="continue"/>
            <w:tcBorders>
              <w:left w:val="single" w:color="000000" w:sz="6" w:space="0"/>
              <w:bottom w:val="single" w:color="auto" w:sz="4" w:space="0"/>
              <w:right w:val="single" w:color="000000" w:sz="6" w:space="0"/>
            </w:tcBorders>
            <w:shd w:val="clear" w:color="000000" w:fill="FFFFFF"/>
            <w:vAlign w:val="center"/>
          </w:tcPr>
          <w:p w14:paraId="7E11D8DC">
            <w:pPr>
              <w:autoSpaceDE w:val="0"/>
              <w:autoSpaceDN w:val="0"/>
              <w:spacing w:line="360" w:lineRule="auto"/>
              <w:jc w:val="center"/>
              <w:rPr>
                <w:rFonts w:ascii="Arial" w:hAnsi="Arial" w:cs="Arial"/>
                <w:lang w:val="zh-CN"/>
              </w:rPr>
            </w:pPr>
          </w:p>
        </w:tc>
        <w:tc>
          <w:tcPr>
            <w:tcW w:w="2829"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4E599E65">
            <w:pPr>
              <w:autoSpaceDE w:val="0"/>
              <w:autoSpaceDN w:val="0"/>
              <w:spacing w:line="360" w:lineRule="auto"/>
              <w:rPr>
                <w:rFonts w:ascii="Arial" w:hAnsi="Arial" w:cs="Arial"/>
                <w:lang w:val="zh-CN"/>
              </w:rPr>
            </w:pPr>
            <w:r>
              <w:rPr>
                <w:rFonts w:ascii="Arial" w:hAnsi="Arial" w:cs="Arial"/>
                <w:bCs/>
                <w:sz w:val="24"/>
                <w:lang w:val="zh-CN"/>
              </w:rPr>
              <w:t>小写：</w:t>
            </w:r>
          </w:p>
        </w:tc>
        <w:tc>
          <w:tcPr>
            <w:tcW w:w="2016" w:type="dxa"/>
            <w:vMerge w:val="continue"/>
            <w:tcBorders>
              <w:top w:val="single" w:color="000000" w:sz="6" w:space="0"/>
              <w:left w:val="single" w:color="000000" w:sz="6" w:space="0"/>
              <w:bottom w:val="single" w:color="auto" w:sz="4" w:space="0"/>
              <w:right w:val="single" w:color="auto" w:sz="4" w:space="0"/>
            </w:tcBorders>
            <w:shd w:val="clear" w:color="000000" w:fill="FFFFFF"/>
            <w:vAlign w:val="center"/>
          </w:tcPr>
          <w:p w14:paraId="6B7FF251">
            <w:pPr>
              <w:autoSpaceDE w:val="0"/>
              <w:autoSpaceDN w:val="0"/>
              <w:spacing w:line="360" w:lineRule="auto"/>
              <w:jc w:val="center"/>
              <w:rPr>
                <w:rFonts w:ascii="Arial" w:hAnsi="Arial" w:cs="Arial"/>
                <w:lang w:val="zh-CN"/>
              </w:rPr>
            </w:pPr>
          </w:p>
        </w:tc>
        <w:tc>
          <w:tcPr>
            <w:tcW w:w="1607" w:type="dxa"/>
            <w:vMerge w:val="continue"/>
            <w:tcBorders>
              <w:top w:val="single" w:color="000000" w:sz="6" w:space="0"/>
              <w:left w:val="single" w:color="000000" w:sz="6" w:space="0"/>
              <w:bottom w:val="single" w:color="auto" w:sz="4" w:space="0"/>
              <w:right w:val="single" w:color="000000" w:sz="6" w:space="0"/>
            </w:tcBorders>
            <w:shd w:val="clear" w:color="000000" w:fill="FFFFFF"/>
            <w:vAlign w:val="center"/>
          </w:tcPr>
          <w:p w14:paraId="7CE4921E">
            <w:pPr>
              <w:autoSpaceDE w:val="0"/>
              <w:autoSpaceDN w:val="0"/>
              <w:spacing w:line="360" w:lineRule="auto"/>
              <w:jc w:val="center"/>
              <w:rPr>
                <w:rFonts w:ascii="Arial" w:hAnsi="Arial" w:cs="Arial"/>
                <w:lang w:val="zh-CN"/>
              </w:rPr>
            </w:pPr>
          </w:p>
        </w:tc>
      </w:tr>
      <w:tr w14:paraId="09A84C01">
        <w:tblPrEx>
          <w:tblCellMar>
            <w:top w:w="0" w:type="dxa"/>
            <w:left w:w="108" w:type="dxa"/>
            <w:bottom w:w="0" w:type="dxa"/>
            <w:right w:w="108" w:type="dxa"/>
          </w:tblCellMar>
        </w:tblPrEx>
        <w:trPr>
          <w:trHeight w:val="1782" w:hRule="atLeast"/>
          <w:jc w:val="center"/>
        </w:trPr>
        <w:tc>
          <w:tcPr>
            <w:tcW w:w="9968"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0D2AD592">
            <w:pPr>
              <w:autoSpaceDE w:val="0"/>
              <w:autoSpaceDN w:val="0"/>
              <w:spacing w:line="360" w:lineRule="auto"/>
              <w:rPr>
                <w:rFonts w:ascii="Arial" w:hAnsi="Arial" w:cs="Arial"/>
              </w:rPr>
            </w:pPr>
            <w:r>
              <w:rPr>
                <w:rFonts w:hint="eastAsia" w:ascii="Arial" w:hAnsi="Arial" w:cs="Arial"/>
                <w:bCs/>
                <w:sz w:val="24"/>
              </w:rPr>
              <w:t>优惠承诺及其他：</w:t>
            </w:r>
          </w:p>
        </w:tc>
      </w:tr>
    </w:tbl>
    <w:p w14:paraId="453214A3">
      <w:pPr>
        <w:autoSpaceDE w:val="0"/>
        <w:autoSpaceDN w:val="0"/>
        <w:spacing w:line="360" w:lineRule="auto"/>
        <w:rPr>
          <w:rFonts w:ascii="宋体" w:hAnsi="宋体" w:cs="Arial"/>
          <w:b/>
          <w:bCs/>
          <w:sz w:val="20"/>
          <w:lang w:val="zh-CN"/>
        </w:rPr>
      </w:pPr>
    </w:p>
    <w:p w14:paraId="73F9CAFC">
      <w:pPr>
        <w:autoSpaceDE w:val="0"/>
        <w:autoSpaceDN w:val="0"/>
        <w:spacing w:line="360" w:lineRule="auto"/>
        <w:rPr>
          <w:rFonts w:ascii="宋体" w:hAnsi="宋体" w:cs="Arial"/>
          <w:b/>
          <w:sz w:val="20"/>
          <w:lang w:val="zh-CN"/>
        </w:rPr>
      </w:pPr>
      <w:r>
        <w:rPr>
          <w:rFonts w:ascii="宋体" w:hAnsi="宋体" w:cs="Arial"/>
          <w:b/>
          <w:bCs/>
          <w:sz w:val="20"/>
          <w:lang w:val="zh-CN"/>
        </w:rPr>
        <w:t>注：</w:t>
      </w:r>
      <w:r>
        <w:rPr>
          <w:rFonts w:ascii="宋体" w:hAnsi="宋体" w:cs="Arial"/>
          <w:b/>
          <w:sz w:val="20"/>
          <w:lang w:val="zh-CN"/>
        </w:rPr>
        <w:t>1</w:t>
      </w:r>
      <w:r>
        <w:rPr>
          <w:rFonts w:hint="eastAsia" w:ascii="宋体" w:hAnsi="宋体" w:cs="Arial"/>
          <w:b/>
          <w:sz w:val="20"/>
          <w:lang w:val="zh-CN"/>
        </w:rPr>
        <w:t>、</w:t>
      </w:r>
      <w:r>
        <w:rPr>
          <w:rFonts w:ascii="宋体" w:hAnsi="宋体" w:cs="Arial"/>
          <w:b/>
          <w:sz w:val="20"/>
          <w:lang w:val="zh-CN"/>
        </w:rPr>
        <w:t>填写此表时不得改变表格形式（可按所投包增加行）。</w:t>
      </w:r>
    </w:p>
    <w:p w14:paraId="5A8DC05D">
      <w:pPr>
        <w:spacing w:line="360" w:lineRule="auto"/>
        <w:ind w:firstLine="388" w:firstLineChars="193"/>
        <w:rPr>
          <w:rFonts w:ascii="宋体" w:hAnsi="宋体" w:cs="Arial"/>
          <w:b/>
          <w:sz w:val="20"/>
          <w:lang w:val="zh-CN"/>
        </w:rPr>
      </w:pPr>
      <w:r>
        <w:rPr>
          <w:rFonts w:ascii="宋体" w:hAnsi="宋体" w:cs="Arial"/>
          <w:b/>
          <w:sz w:val="20"/>
          <w:lang w:val="zh-CN"/>
        </w:rPr>
        <w:t>2</w:t>
      </w:r>
      <w:r>
        <w:rPr>
          <w:rFonts w:hint="eastAsia" w:ascii="宋体" w:hAnsi="宋体" w:cs="Arial"/>
          <w:b/>
          <w:sz w:val="20"/>
          <w:lang w:val="zh-CN"/>
        </w:rPr>
        <w:t>、“</w:t>
      </w:r>
      <w:r>
        <w:rPr>
          <w:rFonts w:ascii="宋体" w:hAnsi="宋体" w:cs="Arial"/>
          <w:b/>
          <w:sz w:val="20"/>
          <w:lang w:val="zh-CN"/>
        </w:rPr>
        <w:t>磋商报价</w:t>
      </w:r>
      <w:r>
        <w:rPr>
          <w:rFonts w:hint="eastAsia" w:ascii="宋体" w:hAnsi="宋体" w:cs="Arial"/>
          <w:b/>
          <w:sz w:val="20"/>
          <w:lang w:val="zh-CN"/>
        </w:rPr>
        <w:t>”</w:t>
      </w:r>
      <w:r>
        <w:rPr>
          <w:rFonts w:ascii="宋体" w:hAnsi="宋体" w:cs="Arial"/>
          <w:b/>
          <w:sz w:val="20"/>
          <w:lang w:val="zh-CN"/>
        </w:rPr>
        <w:t>为磋商总价。</w:t>
      </w:r>
      <w:r>
        <w:rPr>
          <w:rFonts w:hint="eastAsia" w:ascii="宋体" w:hAnsi="宋体" w:cs="Arial"/>
          <w:b/>
          <w:sz w:val="20"/>
          <w:lang w:val="zh-CN"/>
        </w:rPr>
        <w:t>磋商报价必须包括：产品费、验收费、手续费、包装费、运输费、售前、售中、售后服务费、招标代理费、税金及不可预见费等全部费用。</w:t>
      </w:r>
    </w:p>
    <w:p w14:paraId="38CBAFE0">
      <w:pPr>
        <w:spacing w:line="360" w:lineRule="auto"/>
        <w:ind w:firstLine="388" w:firstLineChars="193"/>
        <w:rPr>
          <w:rFonts w:ascii="宋体" w:hAnsi="宋体" w:cs="宋体"/>
          <w:b/>
          <w:bCs/>
          <w:kern w:val="0"/>
          <w:sz w:val="20"/>
          <w:lang w:val="zh-CN"/>
        </w:rPr>
      </w:pPr>
      <w:r>
        <w:rPr>
          <w:rFonts w:ascii="宋体" w:hAnsi="宋体" w:cs="Arial"/>
          <w:b/>
          <w:sz w:val="20"/>
          <w:lang w:val="zh-CN"/>
        </w:rPr>
        <w:t>3</w:t>
      </w:r>
      <w:r>
        <w:rPr>
          <w:rFonts w:hint="eastAsia" w:ascii="宋体" w:hAnsi="宋体" w:cs="Arial"/>
          <w:b/>
          <w:sz w:val="20"/>
          <w:lang w:val="zh-CN"/>
        </w:rPr>
        <w:t>、“</w:t>
      </w:r>
      <w:r>
        <w:rPr>
          <w:rFonts w:ascii="宋体" w:hAnsi="宋体" w:cs="Arial"/>
          <w:b/>
          <w:sz w:val="20"/>
          <w:lang w:val="zh-CN"/>
        </w:rPr>
        <w:t>交货</w:t>
      </w:r>
      <w:r>
        <w:rPr>
          <w:rFonts w:hint="eastAsia" w:ascii="宋体" w:hAnsi="宋体" w:cs="Arial"/>
          <w:b/>
          <w:sz w:val="20"/>
          <w:lang w:val="zh-CN"/>
        </w:rPr>
        <w:t>时间”是指产品能够交付使用的具体时间。</w:t>
      </w:r>
    </w:p>
    <w:p w14:paraId="1C2D0FBA">
      <w:pPr>
        <w:spacing w:line="360" w:lineRule="auto"/>
        <w:ind w:firstLine="388" w:firstLineChars="193"/>
        <w:rPr>
          <w:rFonts w:ascii="宋体" w:hAnsi="宋体" w:cs="Arial"/>
          <w:b/>
          <w:sz w:val="20"/>
          <w:lang w:val="zh-CN"/>
        </w:rPr>
      </w:pPr>
      <w:r>
        <w:rPr>
          <w:rFonts w:hint="eastAsia" w:ascii="宋体" w:hAnsi="宋体" w:cs="Arial"/>
          <w:b/>
          <w:sz w:val="20"/>
        </w:rPr>
        <w:t>4</w:t>
      </w:r>
      <w:r>
        <w:rPr>
          <w:rFonts w:hint="eastAsia" w:ascii="宋体" w:hAnsi="宋体" w:cs="Arial"/>
          <w:b/>
          <w:sz w:val="20"/>
          <w:lang w:val="zh-CN"/>
        </w:rPr>
        <w:t>、</w:t>
      </w:r>
      <w:r>
        <w:rPr>
          <w:rFonts w:ascii="宋体" w:hAnsi="宋体" w:cs="Arial"/>
          <w:b/>
          <w:sz w:val="20"/>
          <w:lang w:val="zh-CN"/>
        </w:rPr>
        <w:t>磋商报价不能有两个或两个以上的报价方案。</w:t>
      </w:r>
    </w:p>
    <w:p w14:paraId="37B9B38F">
      <w:pPr>
        <w:pStyle w:val="13"/>
      </w:pPr>
      <w:r>
        <w:rPr>
          <w:rFonts w:hint="eastAsia" w:ascii="宋体" w:hAnsi="宋体" w:cs="Arial"/>
          <w:b/>
        </w:rPr>
        <w:t xml:space="preserve">   </w:t>
      </w:r>
    </w:p>
    <w:p w14:paraId="0DC19976">
      <w:pPr>
        <w:spacing w:line="360" w:lineRule="auto"/>
        <w:ind w:firstLine="388" w:firstLineChars="193"/>
        <w:rPr>
          <w:rFonts w:ascii="宋体" w:hAnsi="宋体" w:cs="宋体"/>
          <w:b/>
          <w:bCs/>
          <w:kern w:val="0"/>
          <w:sz w:val="20"/>
          <w:lang w:val="zh-CN"/>
        </w:rPr>
      </w:pPr>
    </w:p>
    <w:p w14:paraId="1ECAA9F6">
      <w:pPr>
        <w:spacing w:line="360" w:lineRule="auto"/>
        <w:ind w:firstLine="388" w:firstLineChars="193"/>
        <w:rPr>
          <w:rFonts w:ascii="宋体" w:hAnsi="宋体" w:cs="宋体"/>
          <w:b/>
          <w:bCs/>
          <w:kern w:val="0"/>
          <w:sz w:val="20"/>
          <w:lang w:val="zh-CN"/>
        </w:rPr>
      </w:pPr>
    </w:p>
    <w:p w14:paraId="6A4C625F">
      <w:pPr>
        <w:spacing w:line="360" w:lineRule="auto"/>
        <w:ind w:firstLine="388" w:firstLineChars="193"/>
        <w:rPr>
          <w:rFonts w:ascii="宋体" w:hAnsi="宋体" w:cs="宋体"/>
          <w:b/>
          <w:bCs/>
          <w:kern w:val="0"/>
          <w:sz w:val="20"/>
          <w:lang w:val="zh-CN"/>
        </w:rPr>
      </w:pPr>
    </w:p>
    <w:p w14:paraId="56FA1AA0">
      <w:pPr>
        <w:spacing w:line="360" w:lineRule="auto"/>
        <w:ind w:firstLine="388" w:firstLineChars="193"/>
        <w:rPr>
          <w:rFonts w:ascii="宋体" w:hAnsi="宋体" w:cs="宋体"/>
          <w:b/>
          <w:bCs/>
          <w:kern w:val="0"/>
          <w:sz w:val="20"/>
          <w:szCs w:val="22"/>
          <w:lang w:val="zh-CN"/>
        </w:rPr>
      </w:pPr>
    </w:p>
    <w:p w14:paraId="43082CFF">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磋商供应商：</w:t>
      </w:r>
      <w:r>
        <w:rPr>
          <w:rFonts w:hint="eastAsia" w:ascii="宋体" w:hAnsi="宋体"/>
          <w:bCs/>
          <w:sz w:val="24"/>
          <w:szCs w:val="28"/>
          <w:u w:val="single"/>
        </w:rPr>
        <w:t xml:space="preserve">             </w:t>
      </w:r>
      <w:r>
        <w:rPr>
          <w:rFonts w:hint="eastAsia" w:ascii="宋体" w:hAnsi="宋体"/>
          <w:bCs/>
          <w:sz w:val="24"/>
          <w:szCs w:val="28"/>
        </w:rPr>
        <w:t>（公章）</w:t>
      </w:r>
    </w:p>
    <w:p w14:paraId="46027E94">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07000DF6">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0565CE05">
      <w:pPr>
        <w:pStyle w:val="4"/>
        <w:numPr>
          <w:ilvl w:val="0"/>
          <w:numId w:val="0"/>
        </w:numPr>
        <w:ind w:left="709" w:hanging="709"/>
        <w:rPr>
          <w:rFonts w:hAnsi="宋体"/>
          <w:lang w:val="zh-CN"/>
        </w:rPr>
      </w:pPr>
      <w:r>
        <w:rPr>
          <w:rFonts w:hAnsi="宋体"/>
          <w:bCs/>
          <w:sz w:val="24"/>
          <w:szCs w:val="28"/>
        </w:rPr>
        <w:br w:type="page"/>
      </w:r>
      <w:bookmarkStart w:id="216" w:name="_Toc1575348"/>
      <w:r>
        <w:rPr>
          <w:rFonts w:hint="eastAsia" w:hAnsi="宋体"/>
          <w:b/>
          <w:sz w:val="32"/>
          <w:lang w:val="zh-CN"/>
        </w:rPr>
        <w:t>格式13、分项报价表</w:t>
      </w:r>
      <w:bookmarkEnd w:id="216"/>
    </w:p>
    <w:p w14:paraId="49AC687F">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分项报价表</w:t>
      </w:r>
    </w:p>
    <w:p w14:paraId="5A21070C">
      <w:pPr>
        <w:spacing w:line="360" w:lineRule="auto"/>
        <w:rPr>
          <w:rFonts w:ascii="宋体" w:hAnsi="宋体" w:cs="宋体"/>
          <w:b/>
          <w:bCs/>
          <w:kern w:val="0"/>
          <w:sz w:val="24"/>
          <w:lang w:val="zh-CN"/>
        </w:rPr>
      </w:pPr>
      <w:r>
        <w:rPr>
          <w:rFonts w:hint="eastAsia" w:ascii="宋体" w:hAnsi="宋体" w:cs="宋体"/>
          <w:b/>
          <w:bCs/>
          <w:kern w:val="0"/>
          <w:sz w:val="24"/>
          <w:lang w:val="zh-CN"/>
        </w:rPr>
        <w:t xml:space="preserve">采购项目名称： </w:t>
      </w:r>
    </w:p>
    <w:p w14:paraId="10C8FD2C">
      <w:pPr>
        <w:spacing w:line="360" w:lineRule="auto"/>
        <w:rPr>
          <w:rFonts w:ascii="宋体" w:hAnsi="宋体" w:cs="宋体"/>
          <w:b/>
          <w:bCs/>
          <w:kern w:val="0"/>
          <w:sz w:val="24"/>
          <w:lang w:val="zh-CN"/>
        </w:rPr>
      </w:pPr>
      <w:r>
        <w:rPr>
          <w:rFonts w:hint="eastAsia" w:ascii="宋体" w:hAnsi="宋体" w:cs="宋体"/>
          <w:b/>
          <w:bCs/>
          <w:kern w:val="0"/>
          <w:sz w:val="24"/>
          <w:lang w:val="zh-CN"/>
        </w:rPr>
        <w:t>采购项目编号：</w:t>
      </w:r>
    </w:p>
    <w:p w14:paraId="78538123">
      <w:pPr>
        <w:spacing w:line="360" w:lineRule="auto"/>
        <w:jc w:val="right"/>
        <w:rPr>
          <w:rFonts w:ascii="宋体" w:hAnsi="宋体"/>
          <w:lang w:val="zh-CN"/>
        </w:rPr>
      </w:pPr>
      <w:r>
        <w:rPr>
          <w:rFonts w:ascii="宋体" w:hAnsi="宋体" w:cs="宋体"/>
          <w:bCs/>
          <w:kern w:val="0"/>
          <w:sz w:val="24"/>
          <w:lang w:val="zh-CN"/>
        </w:rPr>
        <w:t>单位</w:t>
      </w:r>
      <w:r>
        <w:rPr>
          <w:rFonts w:hint="eastAsia" w:ascii="宋体" w:hAnsi="宋体" w:cs="宋体"/>
          <w:bCs/>
          <w:kern w:val="0"/>
          <w:sz w:val="24"/>
          <w:lang w:val="zh-CN"/>
        </w:rPr>
        <w:t>：</w:t>
      </w:r>
      <w:r>
        <w:rPr>
          <w:rFonts w:ascii="宋体" w:hAnsi="宋体" w:cs="宋体"/>
          <w:bCs/>
          <w:kern w:val="0"/>
          <w:sz w:val="24"/>
          <w:lang w:val="zh-CN"/>
        </w:rPr>
        <w:t>人民币</w:t>
      </w:r>
      <w:r>
        <w:rPr>
          <w:rFonts w:hint="eastAsia" w:ascii="宋体" w:hAnsi="宋体" w:cs="宋体"/>
          <w:bCs/>
          <w:kern w:val="0"/>
          <w:sz w:val="24"/>
          <w:lang w:val="zh-CN"/>
        </w:rPr>
        <w:t>（</w:t>
      </w:r>
      <w:r>
        <w:rPr>
          <w:rFonts w:ascii="宋体" w:hAnsi="宋体" w:cs="宋体"/>
          <w:bCs/>
          <w:kern w:val="0"/>
          <w:sz w:val="24"/>
          <w:lang w:val="zh-CN"/>
        </w:rPr>
        <w:t>元</w:t>
      </w:r>
      <w:r>
        <w:rPr>
          <w:rFonts w:hint="eastAsia" w:ascii="宋体" w:hAnsi="宋体" w:cs="宋体"/>
          <w:bCs/>
          <w:kern w:val="0"/>
          <w:sz w:val="24"/>
          <w:lang w:val="zh-CN"/>
        </w:rPr>
        <w:t>）</w:t>
      </w:r>
    </w:p>
    <w:tbl>
      <w:tblPr>
        <w:tblStyle w:val="34"/>
        <w:tblW w:w="9808" w:type="dxa"/>
        <w:jc w:val="center"/>
        <w:tblLayout w:type="fixed"/>
        <w:tblCellMar>
          <w:top w:w="0" w:type="dxa"/>
          <w:left w:w="28" w:type="dxa"/>
          <w:bottom w:w="0" w:type="dxa"/>
          <w:right w:w="28" w:type="dxa"/>
        </w:tblCellMar>
      </w:tblPr>
      <w:tblGrid>
        <w:gridCol w:w="713"/>
        <w:gridCol w:w="1666"/>
        <w:gridCol w:w="1030"/>
        <w:gridCol w:w="1157"/>
        <w:gridCol w:w="1338"/>
        <w:gridCol w:w="1208"/>
        <w:gridCol w:w="804"/>
        <w:gridCol w:w="947"/>
        <w:gridCol w:w="945"/>
      </w:tblGrid>
      <w:tr w14:paraId="61025F1D">
        <w:tblPrEx>
          <w:tblCellMar>
            <w:top w:w="0" w:type="dxa"/>
            <w:left w:w="28" w:type="dxa"/>
            <w:bottom w:w="0" w:type="dxa"/>
            <w:right w:w="28" w:type="dxa"/>
          </w:tblCellMar>
        </w:tblPrEx>
        <w:trPr>
          <w:trHeight w:val="529" w:hRule="atLeast"/>
          <w:jc w:val="center"/>
        </w:trPr>
        <w:tc>
          <w:tcPr>
            <w:tcW w:w="713" w:type="dxa"/>
            <w:tcBorders>
              <w:top w:val="single" w:color="000000" w:sz="8" w:space="0"/>
              <w:left w:val="single" w:color="000000" w:sz="8" w:space="0"/>
              <w:bottom w:val="single" w:color="000000" w:sz="6" w:space="0"/>
              <w:right w:val="single" w:color="000000" w:sz="6" w:space="0"/>
            </w:tcBorders>
            <w:shd w:val="clear" w:color="000000" w:fill="FFFFFF"/>
            <w:vAlign w:val="center"/>
          </w:tcPr>
          <w:p w14:paraId="42923F9A">
            <w:pPr>
              <w:jc w:val="center"/>
              <w:rPr>
                <w:rFonts w:ascii="宋体" w:hAnsi="宋体"/>
                <w:sz w:val="24"/>
                <w:lang w:val="zh-CN"/>
              </w:rPr>
            </w:pPr>
            <w:r>
              <w:rPr>
                <w:rFonts w:hint="eastAsia" w:ascii="宋体" w:hAnsi="宋体"/>
                <w:sz w:val="24"/>
                <w:lang w:val="zh-CN"/>
              </w:rPr>
              <w:t>序号</w:t>
            </w:r>
          </w:p>
        </w:tc>
        <w:tc>
          <w:tcPr>
            <w:tcW w:w="1666"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7024A8FB">
            <w:pPr>
              <w:jc w:val="center"/>
              <w:rPr>
                <w:rFonts w:ascii="宋体" w:hAnsi="宋体"/>
                <w:sz w:val="24"/>
                <w:lang w:val="zh-CN"/>
              </w:rPr>
            </w:pPr>
            <w:r>
              <w:rPr>
                <w:rFonts w:hint="eastAsia" w:ascii="宋体" w:hAnsi="宋体"/>
                <w:sz w:val="24"/>
                <w:lang w:val="zh-CN"/>
              </w:rPr>
              <w:t>产品名称</w:t>
            </w:r>
          </w:p>
        </w:tc>
        <w:tc>
          <w:tcPr>
            <w:tcW w:w="1030"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6798BC53">
            <w:pPr>
              <w:jc w:val="center"/>
              <w:rPr>
                <w:rFonts w:ascii="宋体" w:hAnsi="宋体"/>
                <w:sz w:val="24"/>
                <w:lang w:val="zh-CN"/>
              </w:rPr>
            </w:pPr>
            <w:r>
              <w:rPr>
                <w:rFonts w:hint="eastAsia" w:ascii="宋体" w:hAnsi="宋体"/>
                <w:sz w:val="24"/>
                <w:lang w:val="zh-CN"/>
              </w:rPr>
              <w:t>品牌</w:t>
            </w:r>
          </w:p>
        </w:tc>
        <w:tc>
          <w:tcPr>
            <w:tcW w:w="1157"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448CCA59">
            <w:pPr>
              <w:jc w:val="center"/>
              <w:rPr>
                <w:rFonts w:ascii="宋体" w:hAnsi="宋体"/>
                <w:sz w:val="24"/>
                <w:lang w:val="zh-CN"/>
              </w:rPr>
            </w:pPr>
            <w:r>
              <w:rPr>
                <w:rFonts w:hint="eastAsia" w:ascii="宋体" w:hAnsi="宋体"/>
                <w:sz w:val="24"/>
                <w:lang w:val="zh-CN"/>
              </w:rPr>
              <w:t>规格</w:t>
            </w:r>
          </w:p>
          <w:p w14:paraId="5CE01C0F">
            <w:pPr>
              <w:jc w:val="center"/>
              <w:rPr>
                <w:rFonts w:ascii="宋体" w:hAnsi="宋体"/>
                <w:sz w:val="24"/>
                <w:lang w:val="zh-CN"/>
              </w:rPr>
            </w:pPr>
            <w:r>
              <w:rPr>
                <w:rFonts w:hint="eastAsia" w:ascii="宋体" w:hAnsi="宋体"/>
                <w:sz w:val="24"/>
                <w:lang w:val="zh-CN"/>
              </w:rPr>
              <w:t>型号</w:t>
            </w:r>
          </w:p>
        </w:tc>
        <w:tc>
          <w:tcPr>
            <w:tcW w:w="1338"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5D6E5A32">
            <w:pPr>
              <w:jc w:val="center"/>
              <w:rPr>
                <w:rFonts w:ascii="宋体" w:hAnsi="宋体"/>
                <w:sz w:val="24"/>
                <w:lang w:val="zh-CN"/>
              </w:rPr>
            </w:pPr>
            <w:r>
              <w:rPr>
                <w:rFonts w:hint="eastAsia" w:ascii="宋体" w:hAnsi="宋体"/>
                <w:sz w:val="24"/>
                <w:lang w:val="zh-CN"/>
              </w:rPr>
              <w:t>生产厂家</w:t>
            </w:r>
          </w:p>
        </w:tc>
        <w:tc>
          <w:tcPr>
            <w:tcW w:w="1208"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6AB8C132">
            <w:pPr>
              <w:jc w:val="center"/>
              <w:rPr>
                <w:rFonts w:ascii="宋体" w:hAnsi="宋体"/>
                <w:sz w:val="24"/>
                <w:lang w:val="zh-CN"/>
              </w:rPr>
            </w:pPr>
            <w:r>
              <w:rPr>
                <w:rFonts w:hint="eastAsia" w:ascii="宋体" w:hAnsi="宋体"/>
                <w:sz w:val="24"/>
                <w:lang w:val="zh-CN"/>
              </w:rPr>
              <w:t>数量</w:t>
            </w:r>
          </w:p>
        </w:tc>
        <w:tc>
          <w:tcPr>
            <w:tcW w:w="804"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60879EDF">
            <w:pPr>
              <w:jc w:val="center"/>
              <w:rPr>
                <w:rFonts w:ascii="宋体" w:hAnsi="宋体"/>
                <w:sz w:val="24"/>
                <w:lang w:val="zh-CN"/>
              </w:rPr>
            </w:pPr>
            <w:r>
              <w:rPr>
                <w:rFonts w:hint="eastAsia" w:ascii="宋体" w:hAnsi="宋体"/>
                <w:sz w:val="24"/>
                <w:lang w:val="zh-CN"/>
              </w:rPr>
              <w:t>单价</w:t>
            </w:r>
          </w:p>
        </w:tc>
        <w:tc>
          <w:tcPr>
            <w:tcW w:w="947"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049136A3">
            <w:pPr>
              <w:jc w:val="center"/>
              <w:rPr>
                <w:rFonts w:ascii="宋体" w:hAnsi="宋体"/>
                <w:sz w:val="24"/>
                <w:lang w:val="zh-CN"/>
              </w:rPr>
            </w:pPr>
            <w:r>
              <w:rPr>
                <w:rFonts w:hint="eastAsia" w:ascii="宋体" w:hAnsi="宋体"/>
                <w:sz w:val="24"/>
                <w:lang w:val="zh-CN"/>
              </w:rPr>
              <w:t>合计</w:t>
            </w:r>
          </w:p>
        </w:tc>
        <w:tc>
          <w:tcPr>
            <w:tcW w:w="945" w:type="dxa"/>
            <w:tcBorders>
              <w:top w:val="single" w:color="000000" w:sz="8" w:space="0"/>
              <w:left w:val="single" w:color="000000" w:sz="6" w:space="0"/>
              <w:bottom w:val="single" w:color="000000" w:sz="6" w:space="0"/>
              <w:right w:val="single" w:color="000000" w:sz="8" w:space="0"/>
            </w:tcBorders>
            <w:shd w:val="clear" w:color="000000" w:fill="FFFFFF"/>
            <w:vAlign w:val="center"/>
          </w:tcPr>
          <w:p w14:paraId="72F71DB0">
            <w:pPr>
              <w:jc w:val="center"/>
              <w:rPr>
                <w:rFonts w:hint="default" w:ascii="宋体" w:hAnsi="宋体" w:eastAsia="宋体"/>
                <w:sz w:val="24"/>
                <w:lang w:val="en-US" w:eastAsia="zh-CN"/>
              </w:rPr>
            </w:pPr>
            <w:r>
              <w:rPr>
                <w:rFonts w:hint="eastAsia" w:ascii="宋体" w:hAnsi="宋体"/>
                <w:sz w:val="24"/>
                <w:lang w:val="en-US" w:eastAsia="zh-CN"/>
              </w:rPr>
              <w:t>质保期</w:t>
            </w:r>
          </w:p>
        </w:tc>
      </w:tr>
      <w:tr w14:paraId="39541ED1">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475E3F32">
            <w:pPr>
              <w:jc w:val="center"/>
              <w:rPr>
                <w:rFonts w:ascii="宋体" w:hAnsi="宋体"/>
                <w:sz w:val="24"/>
                <w:lang w:val="zh-CN"/>
              </w:rPr>
            </w:pPr>
            <w:r>
              <w:rPr>
                <w:rFonts w:ascii="宋体" w:hAnsi="宋体"/>
                <w:sz w:val="24"/>
                <w:lang w:val="zh-CN"/>
              </w:rPr>
              <w:t>1</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623552">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7943F3">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8C822E">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B526E1">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75B73C">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529804">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4A3E51">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5D9EC64B">
            <w:pPr>
              <w:jc w:val="center"/>
              <w:rPr>
                <w:rFonts w:ascii="宋体" w:hAnsi="宋体"/>
                <w:sz w:val="24"/>
                <w:lang w:val="zh-CN"/>
              </w:rPr>
            </w:pPr>
          </w:p>
        </w:tc>
      </w:tr>
      <w:tr w14:paraId="47F29465">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697E505C">
            <w:pPr>
              <w:jc w:val="center"/>
              <w:rPr>
                <w:rFonts w:ascii="宋体" w:hAnsi="宋体"/>
                <w:sz w:val="24"/>
                <w:lang w:val="zh-CN"/>
              </w:rPr>
            </w:pPr>
            <w:r>
              <w:rPr>
                <w:rFonts w:ascii="宋体" w:hAnsi="宋体"/>
                <w:sz w:val="24"/>
                <w:lang w:val="zh-CN"/>
              </w:rPr>
              <w:t>2</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5FF51E">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A9C2F27">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2073F3">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4AEBD43">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FBF29E">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09AB49">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E7640C">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6B568789">
            <w:pPr>
              <w:jc w:val="center"/>
              <w:rPr>
                <w:rFonts w:ascii="宋体" w:hAnsi="宋体"/>
                <w:sz w:val="24"/>
                <w:lang w:val="zh-CN"/>
              </w:rPr>
            </w:pPr>
          </w:p>
        </w:tc>
      </w:tr>
      <w:tr w14:paraId="75DBAF17">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50FC1859">
            <w:pPr>
              <w:jc w:val="center"/>
              <w:rPr>
                <w:rFonts w:ascii="宋体" w:hAnsi="宋体"/>
                <w:sz w:val="24"/>
                <w:lang w:val="zh-CN"/>
              </w:rPr>
            </w:pPr>
            <w:r>
              <w:rPr>
                <w:rFonts w:ascii="宋体" w:hAnsi="宋体"/>
                <w:sz w:val="24"/>
                <w:lang w:val="zh-CN"/>
              </w:rPr>
              <w:t>3</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4457E4">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ED4E02">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135B795">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2055B4">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43FC95">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796561">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C8D94E">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3F1B69BD">
            <w:pPr>
              <w:jc w:val="center"/>
              <w:rPr>
                <w:rFonts w:ascii="宋体" w:hAnsi="宋体"/>
                <w:sz w:val="24"/>
                <w:lang w:val="zh-CN"/>
              </w:rPr>
            </w:pPr>
          </w:p>
        </w:tc>
      </w:tr>
      <w:tr w14:paraId="61741C76">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3DA1A918">
            <w:pPr>
              <w:jc w:val="center"/>
              <w:rPr>
                <w:rFonts w:ascii="宋体" w:hAnsi="宋体"/>
                <w:sz w:val="24"/>
                <w:lang w:val="zh-CN"/>
              </w:rPr>
            </w:pPr>
            <w:r>
              <w:rPr>
                <w:rFonts w:ascii="宋体" w:hAnsi="宋体"/>
                <w:sz w:val="24"/>
                <w:lang w:val="zh-CN"/>
              </w:rPr>
              <w:t>4</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1F832C">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B97DC6">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0A4044">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D1E07E">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19D6F5">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CA2D0A">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68CFD42">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77DC6607">
            <w:pPr>
              <w:jc w:val="center"/>
              <w:rPr>
                <w:rFonts w:ascii="宋体" w:hAnsi="宋体"/>
                <w:sz w:val="24"/>
                <w:lang w:val="zh-CN"/>
              </w:rPr>
            </w:pPr>
          </w:p>
        </w:tc>
      </w:tr>
      <w:tr w14:paraId="2382DD93">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6D812B39">
            <w:pPr>
              <w:jc w:val="center"/>
              <w:rPr>
                <w:rFonts w:ascii="宋体" w:hAnsi="宋体"/>
                <w:sz w:val="24"/>
                <w:lang w:val="zh-CN"/>
              </w:rPr>
            </w:pPr>
            <w:r>
              <w:rPr>
                <w:rFonts w:ascii="宋体" w:hAnsi="宋体"/>
                <w:sz w:val="24"/>
                <w:lang w:val="zh-CN"/>
              </w:rPr>
              <w:t>…</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7C37D3">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14E07A">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19AE09">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E58F6A">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969184">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15E44E">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8478C12">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5529EDA6">
            <w:pPr>
              <w:jc w:val="center"/>
              <w:rPr>
                <w:rFonts w:ascii="宋体" w:hAnsi="宋体"/>
                <w:sz w:val="24"/>
                <w:lang w:val="zh-CN"/>
              </w:rPr>
            </w:pPr>
          </w:p>
        </w:tc>
      </w:tr>
      <w:tr w14:paraId="09F716F1">
        <w:tblPrEx>
          <w:tblCellMar>
            <w:top w:w="0" w:type="dxa"/>
            <w:left w:w="28" w:type="dxa"/>
            <w:bottom w:w="0" w:type="dxa"/>
            <w:right w:w="28" w:type="dxa"/>
          </w:tblCellMar>
        </w:tblPrEx>
        <w:trPr>
          <w:trHeight w:val="1067" w:hRule="atLeast"/>
          <w:jc w:val="center"/>
        </w:trPr>
        <w:tc>
          <w:tcPr>
            <w:tcW w:w="9808" w:type="dxa"/>
            <w:gridSpan w:val="9"/>
            <w:tcBorders>
              <w:top w:val="single" w:color="000000" w:sz="6" w:space="0"/>
              <w:left w:val="single" w:color="000000" w:sz="8" w:space="0"/>
              <w:bottom w:val="single" w:color="000000" w:sz="6" w:space="0"/>
              <w:right w:val="single" w:color="000000" w:sz="8" w:space="0"/>
            </w:tcBorders>
            <w:shd w:val="clear" w:color="000000" w:fill="FFFFFF"/>
            <w:vAlign w:val="center"/>
          </w:tcPr>
          <w:p w14:paraId="3F0C7CF6">
            <w:pPr>
              <w:rPr>
                <w:rFonts w:ascii="宋体" w:hAnsi="宋体"/>
                <w:sz w:val="24"/>
                <w:lang w:val="zh-CN"/>
              </w:rPr>
            </w:pPr>
            <w:r>
              <w:rPr>
                <w:rFonts w:hint="eastAsia" w:ascii="宋体" w:hAnsi="宋体"/>
                <w:sz w:val="24"/>
                <w:lang w:val="zh-CN"/>
              </w:rPr>
              <w:t>优惠承诺及其他：</w:t>
            </w:r>
          </w:p>
          <w:p w14:paraId="34D279FD">
            <w:pPr>
              <w:rPr>
                <w:rFonts w:ascii="宋体" w:hAnsi="宋体"/>
                <w:sz w:val="24"/>
                <w:lang w:val="zh-CN"/>
              </w:rPr>
            </w:pPr>
          </w:p>
        </w:tc>
      </w:tr>
      <w:tr w14:paraId="082DAA64">
        <w:tblPrEx>
          <w:tblCellMar>
            <w:top w:w="0" w:type="dxa"/>
            <w:left w:w="28" w:type="dxa"/>
            <w:bottom w:w="0" w:type="dxa"/>
            <w:right w:w="28" w:type="dxa"/>
          </w:tblCellMar>
        </w:tblPrEx>
        <w:trPr>
          <w:trHeight w:val="1038" w:hRule="atLeast"/>
          <w:jc w:val="center"/>
        </w:trPr>
        <w:tc>
          <w:tcPr>
            <w:tcW w:w="2379" w:type="dxa"/>
            <w:gridSpan w:val="2"/>
            <w:tcBorders>
              <w:top w:val="single" w:color="000000" w:sz="6" w:space="0"/>
              <w:left w:val="single" w:color="000000" w:sz="8" w:space="0"/>
              <w:bottom w:val="single" w:color="000000" w:sz="8" w:space="0"/>
              <w:right w:val="single" w:color="000000" w:sz="6" w:space="0"/>
            </w:tcBorders>
            <w:shd w:val="clear" w:color="000000" w:fill="FFFFFF"/>
            <w:vAlign w:val="center"/>
          </w:tcPr>
          <w:p w14:paraId="0386FD36">
            <w:pPr>
              <w:rPr>
                <w:rFonts w:ascii="宋体" w:hAnsi="宋体"/>
                <w:sz w:val="24"/>
                <w:lang w:val="zh-CN"/>
              </w:rPr>
            </w:pPr>
            <w:r>
              <w:rPr>
                <w:rFonts w:hint="eastAsia" w:ascii="宋体" w:hAnsi="宋体"/>
                <w:sz w:val="24"/>
                <w:lang w:val="zh-CN"/>
              </w:rPr>
              <w:t>投标总价</w:t>
            </w:r>
          </w:p>
        </w:tc>
        <w:tc>
          <w:tcPr>
            <w:tcW w:w="7429" w:type="dxa"/>
            <w:gridSpan w:val="7"/>
            <w:tcBorders>
              <w:top w:val="single" w:color="000000" w:sz="6" w:space="0"/>
              <w:left w:val="single" w:color="000000" w:sz="6" w:space="0"/>
              <w:bottom w:val="single" w:color="000000" w:sz="8" w:space="0"/>
              <w:right w:val="single" w:color="000000" w:sz="8" w:space="0"/>
            </w:tcBorders>
            <w:shd w:val="clear" w:color="000000" w:fill="FFFFFF"/>
            <w:vAlign w:val="center"/>
          </w:tcPr>
          <w:p w14:paraId="5232C493">
            <w:pPr>
              <w:rPr>
                <w:rFonts w:ascii="宋体" w:hAnsi="宋体"/>
                <w:sz w:val="24"/>
                <w:lang w:val="zh-CN"/>
              </w:rPr>
            </w:pPr>
            <w:r>
              <w:rPr>
                <w:rFonts w:hint="eastAsia" w:ascii="宋体" w:hAnsi="宋体"/>
                <w:sz w:val="24"/>
                <w:lang w:val="zh-CN"/>
              </w:rPr>
              <w:t>小写：</w:t>
            </w:r>
          </w:p>
          <w:p w14:paraId="135C6B93">
            <w:pPr>
              <w:rPr>
                <w:rFonts w:ascii="宋体" w:hAnsi="宋体"/>
                <w:sz w:val="24"/>
                <w:lang w:val="zh-CN"/>
              </w:rPr>
            </w:pPr>
          </w:p>
          <w:p w14:paraId="707445C3">
            <w:pPr>
              <w:rPr>
                <w:rFonts w:ascii="宋体" w:hAnsi="宋体"/>
                <w:sz w:val="24"/>
                <w:lang w:val="zh-CN"/>
              </w:rPr>
            </w:pPr>
            <w:r>
              <w:rPr>
                <w:rFonts w:hint="eastAsia" w:ascii="宋体" w:hAnsi="宋体"/>
                <w:sz w:val="24"/>
                <w:lang w:val="zh-CN"/>
              </w:rPr>
              <w:t>大写：</w:t>
            </w:r>
          </w:p>
        </w:tc>
      </w:tr>
    </w:tbl>
    <w:p w14:paraId="6EFCD54B">
      <w:pPr>
        <w:autoSpaceDE w:val="0"/>
        <w:autoSpaceDN w:val="0"/>
        <w:spacing w:line="360" w:lineRule="auto"/>
        <w:rPr>
          <w:rFonts w:ascii="宋体" w:hAnsi="宋体" w:cs="Arial"/>
          <w:b/>
          <w:bCs/>
          <w:sz w:val="20"/>
          <w:lang w:val="zh-CN"/>
        </w:rPr>
      </w:pPr>
      <w:r>
        <w:rPr>
          <w:rFonts w:ascii="宋体" w:hAnsi="宋体" w:cs="Arial"/>
          <w:b/>
          <w:bCs/>
          <w:sz w:val="20"/>
          <w:lang w:val="zh-CN"/>
        </w:rPr>
        <w:t>注：1、本表应依照采购一览表中的产品序号按顺序逐项填写，不得遗漏。</w:t>
      </w:r>
    </w:p>
    <w:p w14:paraId="3151DB58">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2</w:t>
      </w:r>
      <w:r>
        <w:rPr>
          <w:rFonts w:hint="eastAsia" w:ascii="宋体" w:hAnsi="宋体" w:cs="Arial"/>
          <w:b/>
          <w:bCs/>
          <w:sz w:val="20"/>
          <w:lang w:val="zh-CN"/>
        </w:rPr>
        <w:t>、“分项报价</w:t>
      </w:r>
      <w:r>
        <w:rPr>
          <w:rFonts w:ascii="宋体" w:hAnsi="宋体" w:cs="Arial"/>
          <w:b/>
          <w:bCs/>
          <w:sz w:val="20"/>
          <w:lang w:val="zh-CN"/>
        </w:rPr>
        <w:t>表</w:t>
      </w:r>
      <w:r>
        <w:rPr>
          <w:rFonts w:hint="eastAsia" w:ascii="宋体" w:hAnsi="宋体" w:cs="Arial"/>
          <w:b/>
          <w:bCs/>
          <w:sz w:val="20"/>
          <w:lang w:val="zh-CN"/>
        </w:rPr>
        <w:t>”</w:t>
      </w:r>
      <w:r>
        <w:rPr>
          <w:rFonts w:ascii="宋体" w:hAnsi="宋体" w:cs="Arial"/>
          <w:b/>
          <w:bCs/>
          <w:sz w:val="20"/>
          <w:lang w:val="zh-CN"/>
        </w:rPr>
        <w:t>须为打印版，手写无效。</w:t>
      </w:r>
    </w:p>
    <w:p w14:paraId="21B6517C">
      <w:pPr>
        <w:spacing w:line="360" w:lineRule="auto"/>
        <w:rPr>
          <w:rFonts w:ascii="宋体" w:hAnsi="宋体"/>
          <w:lang w:val="zh-CN"/>
        </w:rPr>
      </w:pPr>
    </w:p>
    <w:p w14:paraId="2A9847FC">
      <w:pPr>
        <w:spacing w:line="360" w:lineRule="auto"/>
        <w:rPr>
          <w:rFonts w:ascii="宋体" w:hAnsi="宋体"/>
          <w:lang w:val="zh-CN"/>
        </w:rPr>
      </w:pPr>
    </w:p>
    <w:p w14:paraId="27D60275">
      <w:pPr>
        <w:spacing w:line="360" w:lineRule="auto"/>
        <w:rPr>
          <w:rFonts w:ascii="宋体" w:hAnsi="宋体"/>
          <w:lang w:val="zh-CN"/>
        </w:rPr>
      </w:pPr>
    </w:p>
    <w:p w14:paraId="60F5837D">
      <w:pPr>
        <w:spacing w:line="360" w:lineRule="auto"/>
        <w:rPr>
          <w:rFonts w:ascii="宋体" w:hAnsi="宋体"/>
          <w:lang w:val="zh-CN"/>
        </w:rPr>
      </w:pPr>
    </w:p>
    <w:p w14:paraId="42E4B673">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磋商供应商：</w:t>
      </w:r>
      <w:r>
        <w:rPr>
          <w:rFonts w:hint="eastAsia" w:ascii="宋体" w:hAnsi="宋体"/>
          <w:bCs/>
          <w:sz w:val="24"/>
          <w:szCs w:val="28"/>
          <w:u w:val="single"/>
        </w:rPr>
        <w:t xml:space="preserve">             </w:t>
      </w:r>
      <w:r>
        <w:rPr>
          <w:rFonts w:hint="eastAsia" w:ascii="宋体" w:hAnsi="宋体"/>
          <w:bCs/>
          <w:sz w:val="24"/>
          <w:szCs w:val="28"/>
        </w:rPr>
        <w:t>（公章）</w:t>
      </w:r>
    </w:p>
    <w:p w14:paraId="1088BB5D">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09E0A2A3">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14CA6560">
      <w:pPr>
        <w:pStyle w:val="4"/>
        <w:numPr>
          <w:ilvl w:val="0"/>
          <w:numId w:val="0"/>
        </w:numPr>
        <w:ind w:left="709" w:hanging="709"/>
        <w:rPr>
          <w:rFonts w:hAnsi="宋体" w:cs="宋体"/>
        </w:rPr>
      </w:pPr>
      <w:r>
        <w:rPr>
          <w:rFonts w:hAnsi="宋体"/>
          <w:bCs/>
          <w:sz w:val="24"/>
          <w:szCs w:val="28"/>
        </w:rPr>
        <w:br w:type="page"/>
      </w:r>
      <w:bookmarkStart w:id="217" w:name="_Toc1575349"/>
      <w:r>
        <w:rPr>
          <w:rFonts w:hint="eastAsia" w:hAnsi="宋体"/>
          <w:b/>
          <w:sz w:val="32"/>
          <w:lang w:val="zh-CN"/>
        </w:rPr>
        <w:t>格式14、技术规格响应表</w:t>
      </w:r>
      <w:bookmarkEnd w:id="217"/>
    </w:p>
    <w:p w14:paraId="0FAAD6C6">
      <w:pPr>
        <w:autoSpaceDE w:val="0"/>
        <w:autoSpaceDN w:val="0"/>
        <w:adjustRightInd w:val="0"/>
        <w:spacing w:line="360" w:lineRule="auto"/>
        <w:jc w:val="center"/>
        <w:rPr>
          <w:rFonts w:ascii="宋体" w:hAnsi="宋体" w:cs="宋体"/>
          <w:b/>
          <w:bCs/>
          <w:kern w:val="0"/>
          <w:sz w:val="30"/>
          <w:szCs w:val="30"/>
          <w:lang w:val="zh-CN"/>
        </w:rPr>
      </w:pPr>
      <w:bookmarkStart w:id="218" w:name="_Toc25742"/>
      <w:bookmarkStart w:id="219" w:name="_Toc444715742"/>
      <w:bookmarkStart w:id="220" w:name="_Toc20510"/>
      <w:r>
        <w:rPr>
          <w:rFonts w:hint="eastAsia" w:ascii="宋体" w:hAnsi="宋体" w:cs="宋体"/>
          <w:b/>
          <w:bCs/>
          <w:kern w:val="0"/>
          <w:sz w:val="30"/>
          <w:szCs w:val="30"/>
          <w:lang w:val="zh-CN"/>
        </w:rPr>
        <w:t>技术规格响应表</w:t>
      </w:r>
    </w:p>
    <w:p w14:paraId="3C6B398F">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采购项目名称： </w:t>
      </w:r>
    </w:p>
    <w:p w14:paraId="09F63830">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采购项目编号：</w:t>
      </w:r>
    </w:p>
    <w:tbl>
      <w:tblPr>
        <w:tblStyle w:val="34"/>
        <w:tblW w:w="1034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95"/>
        <w:gridCol w:w="2666"/>
        <w:gridCol w:w="911"/>
        <w:gridCol w:w="1131"/>
        <w:gridCol w:w="2135"/>
        <w:gridCol w:w="851"/>
        <w:gridCol w:w="709"/>
      </w:tblGrid>
      <w:tr w14:paraId="2B71D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51" w:type="dxa"/>
            <w:vMerge w:val="restart"/>
            <w:vAlign w:val="center"/>
          </w:tcPr>
          <w:p w14:paraId="26121742">
            <w:pPr>
              <w:spacing w:line="360" w:lineRule="auto"/>
              <w:jc w:val="center"/>
              <w:rPr>
                <w:rFonts w:ascii="宋体" w:hAnsi="宋体"/>
              </w:rPr>
            </w:pPr>
            <w:r>
              <w:rPr>
                <w:rFonts w:hint="eastAsia" w:ascii="宋体" w:hAnsi="宋体"/>
              </w:rPr>
              <w:t>序号</w:t>
            </w:r>
          </w:p>
        </w:tc>
        <w:tc>
          <w:tcPr>
            <w:tcW w:w="4672" w:type="dxa"/>
            <w:gridSpan w:val="3"/>
            <w:vAlign w:val="center"/>
          </w:tcPr>
          <w:p w14:paraId="46A395DD">
            <w:pPr>
              <w:spacing w:line="360" w:lineRule="auto"/>
              <w:jc w:val="center"/>
              <w:rPr>
                <w:rFonts w:ascii="宋体" w:hAnsi="宋体"/>
              </w:rPr>
            </w:pPr>
            <w:r>
              <w:rPr>
                <w:rFonts w:hint="eastAsia" w:ascii="宋体" w:hAnsi="宋体" w:cs="仿宋_GB2312"/>
              </w:rPr>
              <w:t>采购需求技术参数、指标</w:t>
            </w:r>
          </w:p>
        </w:tc>
        <w:tc>
          <w:tcPr>
            <w:tcW w:w="4117" w:type="dxa"/>
            <w:gridSpan w:val="3"/>
            <w:vAlign w:val="center"/>
          </w:tcPr>
          <w:p w14:paraId="51123BBF">
            <w:pPr>
              <w:spacing w:line="360" w:lineRule="auto"/>
              <w:jc w:val="center"/>
              <w:rPr>
                <w:rFonts w:ascii="宋体" w:hAnsi="宋体"/>
              </w:rPr>
            </w:pPr>
            <w:r>
              <w:rPr>
                <w:rFonts w:hint="eastAsia" w:ascii="宋体" w:hAnsi="宋体"/>
              </w:rPr>
              <w:t>投标产品技术参数、指标</w:t>
            </w:r>
          </w:p>
        </w:tc>
        <w:tc>
          <w:tcPr>
            <w:tcW w:w="709" w:type="dxa"/>
            <w:vMerge w:val="restart"/>
            <w:vAlign w:val="center"/>
          </w:tcPr>
          <w:p w14:paraId="11BF2731">
            <w:pPr>
              <w:spacing w:line="360" w:lineRule="auto"/>
              <w:jc w:val="center"/>
              <w:rPr>
                <w:rFonts w:ascii="宋体" w:hAnsi="宋体"/>
              </w:rPr>
            </w:pPr>
            <w:r>
              <w:rPr>
                <w:rFonts w:hint="eastAsia" w:ascii="宋体" w:hAnsi="宋体"/>
              </w:rPr>
              <w:t>偏离</w:t>
            </w:r>
          </w:p>
        </w:tc>
      </w:tr>
      <w:tr w14:paraId="18B0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851" w:type="dxa"/>
            <w:vMerge w:val="continue"/>
            <w:vAlign w:val="center"/>
          </w:tcPr>
          <w:p w14:paraId="725C7F69">
            <w:pPr>
              <w:spacing w:line="360" w:lineRule="auto"/>
              <w:jc w:val="center"/>
              <w:rPr>
                <w:rFonts w:ascii="宋体" w:hAnsi="宋体"/>
              </w:rPr>
            </w:pPr>
          </w:p>
        </w:tc>
        <w:tc>
          <w:tcPr>
            <w:tcW w:w="1095" w:type="dxa"/>
            <w:vAlign w:val="center"/>
          </w:tcPr>
          <w:p w14:paraId="1AD53303">
            <w:pPr>
              <w:spacing w:line="360" w:lineRule="auto"/>
              <w:jc w:val="center"/>
              <w:rPr>
                <w:rFonts w:ascii="宋体" w:hAnsi="宋体" w:cs="仿宋_GB2312"/>
              </w:rPr>
            </w:pPr>
            <w:r>
              <w:rPr>
                <w:rFonts w:hint="eastAsia" w:ascii="宋体" w:hAnsi="宋体" w:cs="仿宋_GB2312"/>
              </w:rPr>
              <w:t>名称</w:t>
            </w:r>
          </w:p>
        </w:tc>
        <w:tc>
          <w:tcPr>
            <w:tcW w:w="2666" w:type="dxa"/>
            <w:vAlign w:val="center"/>
          </w:tcPr>
          <w:p w14:paraId="02F99EF7">
            <w:pPr>
              <w:spacing w:line="360" w:lineRule="auto"/>
              <w:jc w:val="center"/>
              <w:rPr>
                <w:rFonts w:ascii="宋体" w:hAnsi="宋体" w:cs="仿宋_GB2312"/>
              </w:rPr>
            </w:pPr>
            <w:r>
              <w:rPr>
                <w:rFonts w:hint="eastAsia" w:ascii="宋体" w:hAnsi="宋体" w:cs="仿宋_GB2312"/>
              </w:rPr>
              <w:t>技术参数及配置</w:t>
            </w:r>
          </w:p>
        </w:tc>
        <w:tc>
          <w:tcPr>
            <w:tcW w:w="911" w:type="dxa"/>
            <w:vAlign w:val="center"/>
          </w:tcPr>
          <w:p w14:paraId="12DE3F3B">
            <w:pPr>
              <w:spacing w:line="360" w:lineRule="auto"/>
              <w:jc w:val="center"/>
              <w:rPr>
                <w:rFonts w:ascii="宋体" w:hAnsi="宋体" w:cs="仿宋_GB2312"/>
              </w:rPr>
            </w:pPr>
            <w:r>
              <w:rPr>
                <w:rFonts w:hint="eastAsia" w:ascii="宋体" w:hAnsi="宋体" w:cs="仿宋_GB2312"/>
              </w:rPr>
              <w:t>数量</w:t>
            </w:r>
          </w:p>
        </w:tc>
        <w:tc>
          <w:tcPr>
            <w:tcW w:w="1131" w:type="dxa"/>
            <w:vAlign w:val="center"/>
          </w:tcPr>
          <w:p w14:paraId="5534BB10">
            <w:pPr>
              <w:spacing w:line="360" w:lineRule="auto"/>
              <w:jc w:val="center"/>
              <w:rPr>
                <w:rFonts w:ascii="宋体" w:hAnsi="宋体"/>
              </w:rPr>
            </w:pPr>
            <w:r>
              <w:rPr>
                <w:rFonts w:hint="eastAsia" w:ascii="宋体" w:hAnsi="宋体"/>
              </w:rPr>
              <w:t>名称</w:t>
            </w:r>
          </w:p>
        </w:tc>
        <w:tc>
          <w:tcPr>
            <w:tcW w:w="2135" w:type="dxa"/>
            <w:vAlign w:val="center"/>
          </w:tcPr>
          <w:p w14:paraId="29CC6675">
            <w:pPr>
              <w:spacing w:line="360" w:lineRule="auto"/>
              <w:jc w:val="center"/>
              <w:rPr>
                <w:rFonts w:ascii="宋体" w:hAnsi="宋体"/>
              </w:rPr>
            </w:pPr>
            <w:r>
              <w:rPr>
                <w:rFonts w:hint="eastAsia" w:ascii="宋体" w:hAnsi="宋体"/>
              </w:rPr>
              <w:t>技术参数及配置</w:t>
            </w:r>
          </w:p>
        </w:tc>
        <w:tc>
          <w:tcPr>
            <w:tcW w:w="851" w:type="dxa"/>
            <w:vAlign w:val="center"/>
          </w:tcPr>
          <w:p w14:paraId="3F62BD07">
            <w:pPr>
              <w:spacing w:line="360" w:lineRule="auto"/>
              <w:jc w:val="center"/>
              <w:rPr>
                <w:rFonts w:ascii="宋体" w:hAnsi="宋体"/>
              </w:rPr>
            </w:pPr>
            <w:r>
              <w:rPr>
                <w:rFonts w:hint="eastAsia" w:ascii="宋体" w:hAnsi="宋体"/>
              </w:rPr>
              <w:t>数量</w:t>
            </w:r>
          </w:p>
        </w:tc>
        <w:tc>
          <w:tcPr>
            <w:tcW w:w="709" w:type="dxa"/>
            <w:vMerge w:val="continue"/>
            <w:vAlign w:val="center"/>
          </w:tcPr>
          <w:p w14:paraId="3BF92ACF">
            <w:pPr>
              <w:spacing w:line="360" w:lineRule="auto"/>
              <w:jc w:val="center"/>
              <w:rPr>
                <w:rFonts w:ascii="宋体" w:hAnsi="宋体"/>
              </w:rPr>
            </w:pPr>
          </w:p>
        </w:tc>
      </w:tr>
      <w:tr w14:paraId="4664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851" w:type="dxa"/>
            <w:vAlign w:val="center"/>
          </w:tcPr>
          <w:p w14:paraId="4126817F">
            <w:pPr>
              <w:tabs>
                <w:tab w:val="left" w:pos="3327"/>
              </w:tabs>
              <w:spacing w:line="360" w:lineRule="auto"/>
              <w:jc w:val="center"/>
              <w:rPr>
                <w:rFonts w:ascii="宋体" w:hAnsi="宋体"/>
              </w:rPr>
            </w:pPr>
            <w:r>
              <w:rPr>
                <w:rFonts w:hint="eastAsia" w:ascii="宋体" w:hAnsi="宋体"/>
              </w:rPr>
              <w:t>1</w:t>
            </w:r>
          </w:p>
        </w:tc>
        <w:tc>
          <w:tcPr>
            <w:tcW w:w="1095" w:type="dxa"/>
            <w:vAlign w:val="center"/>
          </w:tcPr>
          <w:p w14:paraId="46BD6183">
            <w:pPr>
              <w:tabs>
                <w:tab w:val="left" w:pos="3327"/>
              </w:tabs>
              <w:spacing w:line="360" w:lineRule="auto"/>
              <w:rPr>
                <w:rFonts w:ascii="宋体" w:hAnsi="宋体"/>
              </w:rPr>
            </w:pPr>
          </w:p>
        </w:tc>
        <w:tc>
          <w:tcPr>
            <w:tcW w:w="2666" w:type="dxa"/>
            <w:vAlign w:val="center"/>
          </w:tcPr>
          <w:p w14:paraId="79C7A3DF">
            <w:pPr>
              <w:tabs>
                <w:tab w:val="left" w:pos="3327"/>
              </w:tabs>
              <w:spacing w:line="360" w:lineRule="auto"/>
              <w:rPr>
                <w:rFonts w:ascii="宋体" w:hAnsi="宋体"/>
              </w:rPr>
            </w:pPr>
          </w:p>
        </w:tc>
        <w:tc>
          <w:tcPr>
            <w:tcW w:w="911" w:type="dxa"/>
            <w:vAlign w:val="center"/>
          </w:tcPr>
          <w:p w14:paraId="005EBB18">
            <w:pPr>
              <w:tabs>
                <w:tab w:val="left" w:pos="3327"/>
              </w:tabs>
              <w:spacing w:line="360" w:lineRule="auto"/>
              <w:rPr>
                <w:rFonts w:ascii="宋体" w:hAnsi="宋体"/>
              </w:rPr>
            </w:pPr>
          </w:p>
        </w:tc>
        <w:tc>
          <w:tcPr>
            <w:tcW w:w="1131" w:type="dxa"/>
            <w:vAlign w:val="center"/>
          </w:tcPr>
          <w:p w14:paraId="4F214F23">
            <w:pPr>
              <w:tabs>
                <w:tab w:val="left" w:pos="3327"/>
              </w:tabs>
              <w:spacing w:line="360" w:lineRule="auto"/>
              <w:rPr>
                <w:rFonts w:ascii="宋体" w:hAnsi="宋体"/>
              </w:rPr>
            </w:pPr>
          </w:p>
        </w:tc>
        <w:tc>
          <w:tcPr>
            <w:tcW w:w="2135" w:type="dxa"/>
            <w:vAlign w:val="center"/>
          </w:tcPr>
          <w:p w14:paraId="0761E447">
            <w:pPr>
              <w:tabs>
                <w:tab w:val="left" w:pos="3327"/>
              </w:tabs>
              <w:spacing w:line="360" w:lineRule="auto"/>
              <w:rPr>
                <w:rFonts w:ascii="宋体" w:hAnsi="宋体"/>
              </w:rPr>
            </w:pPr>
          </w:p>
        </w:tc>
        <w:tc>
          <w:tcPr>
            <w:tcW w:w="851" w:type="dxa"/>
            <w:vAlign w:val="center"/>
          </w:tcPr>
          <w:p w14:paraId="240F0ABF">
            <w:pPr>
              <w:tabs>
                <w:tab w:val="left" w:pos="3327"/>
              </w:tabs>
              <w:spacing w:line="360" w:lineRule="auto"/>
              <w:rPr>
                <w:rFonts w:ascii="宋体" w:hAnsi="宋体"/>
              </w:rPr>
            </w:pPr>
          </w:p>
        </w:tc>
        <w:tc>
          <w:tcPr>
            <w:tcW w:w="709" w:type="dxa"/>
            <w:vAlign w:val="center"/>
          </w:tcPr>
          <w:p w14:paraId="3AB8EFE0">
            <w:pPr>
              <w:spacing w:line="360" w:lineRule="auto"/>
              <w:jc w:val="center"/>
              <w:rPr>
                <w:rFonts w:ascii="宋体" w:hAnsi="宋体"/>
              </w:rPr>
            </w:pPr>
          </w:p>
        </w:tc>
      </w:tr>
      <w:tr w14:paraId="456E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851" w:type="dxa"/>
            <w:vAlign w:val="center"/>
          </w:tcPr>
          <w:p w14:paraId="401E307E">
            <w:pPr>
              <w:tabs>
                <w:tab w:val="left" w:pos="3327"/>
              </w:tabs>
              <w:spacing w:line="360" w:lineRule="auto"/>
              <w:jc w:val="center"/>
              <w:rPr>
                <w:rFonts w:ascii="宋体" w:hAnsi="宋体"/>
              </w:rPr>
            </w:pPr>
            <w:r>
              <w:rPr>
                <w:rFonts w:hint="eastAsia" w:ascii="宋体" w:hAnsi="宋体"/>
              </w:rPr>
              <w:t>2</w:t>
            </w:r>
          </w:p>
        </w:tc>
        <w:tc>
          <w:tcPr>
            <w:tcW w:w="1095" w:type="dxa"/>
            <w:vAlign w:val="center"/>
          </w:tcPr>
          <w:p w14:paraId="01062715">
            <w:pPr>
              <w:tabs>
                <w:tab w:val="left" w:pos="3327"/>
              </w:tabs>
              <w:spacing w:line="360" w:lineRule="auto"/>
              <w:rPr>
                <w:rFonts w:ascii="宋体" w:hAnsi="宋体"/>
              </w:rPr>
            </w:pPr>
          </w:p>
        </w:tc>
        <w:tc>
          <w:tcPr>
            <w:tcW w:w="2666" w:type="dxa"/>
            <w:vAlign w:val="center"/>
          </w:tcPr>
          <w:p w14:paraId="44F49D14">
            <w:pPr>
              <w:tabs>
                <w:tab w:val="left" w:pos="3327"/>
              </w:tabs>
              <w:spacing w:line="360" w:lineRule="auto"/>
              <w:rPr>
                <w:rFonts w:ascii="宋体" w:hAnsi="宋体"/>
              </w:rPr>
            </w:pPr>
          </w:p>
        </w:tc>
        <w:tc>
          <w:tcPr>
            <w:tcW w:w="911" w:type="dxa"/>
            <w:vAlign w:val="center"/>
          </w:tcPr>
          <w:p w14:paraId="3370F8B0">
            <w:pPr>
              <w:tabs>
                <w:tab w:val="left" w:pos="3327"/>
              </w:tabs>
              <w:spacing w:line="360" w:lineRule="auto"/>
              <w:rPr>
                <w:rFonts w:ascii="宋体" w:hAnsi="宋体"/>
              </w:rPr>
            </w:pPr>
          </w:p>
        </w:tc>
        <w:tc>
          <w:tcPr>
            <w:tcW w:w="1131" w:type="dxa"/>
            <w:vAlign w:val="center"/>
          </w:tcPr>
          <w:p w14:paraId="40B6B86B">
            <w:pPr>
              <w:tabs>
                <w:tab w:val="left" w:pos="3327"/>
              </w:tabs>
              <w:spacing w:line="360" w:lineRule="auto"/>
              <w:rPr>
                <w:rFonts w:ascii="宋体" w:hAnsi="宋体"/>
              </w:rPr>
            </w:pPr>
          </w:p>
        </w:tc>
        <w:tc>
          <w:tcPr>
            <w:tcW w:w="2135" w:type="dxa"/>
            <w:vAlign w:val="center"/>
          </w:tcPr>
          <w:p w14:paraId="07D38AA4">
            <w:pPr>
              <w:tabs>
                <w:tab w:val="left" w:pos="3327"/>
              </w:tabs>
              <w:spacing w:line="360" w:lineRule="auto"/>
              <w:rPr>
                <w:rFonts w:ascii="宋体" w:hAnsi="宋体"/>
              </w:rPr>
            </w:pPr>
          </w:p>
        </w:tc>
        <w:tc>
          <w:tcPr>
            <w:tcW w:w="851" w:type="dxa"/>
            <w:vAlign w:val="center"/>
          </w:tcPr>
          <w:p w14:paraId="7282A5EF">
            <w:pPr>
              <w:tabs>
                <w:tab w:val="left" w:pos="3327"/>
              </w:tabs>
              <w:spacing w:line="360" w:lineRule="auto"/>
              <w:rPr>
                <w:rFonts w:ascii="宋体" w:hAnsi="宋体"/>
              </w:rPr>
            </w:pPr>
          </w:p>
        </w:tc>
        <w:tc>
          <w:tcPr>
            <w:tcW w:w="709" w:type="dxa"/>
            <w:vAlign w:val="center"/>
          </w:tcPr>
          <w:p w14:paraId="737FA05A">
            <w:pPr>
              <w:spacing w:line="360" w:lineRule="auto"/>
              <w:jc w:val="center"/>
              <w:rPr>
                <w:rFonts w:ascii="宋体" w:hAnsi="宋体"/>
              </w:rPr>
            </w:pPr>
          </w:p>
        </w:tc>
      </w:tr>
      <w:tr w14:paraId="40094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851" w:type="dxa"/>
            <w:vAlign w:val="center"/>
          </w:tcPr>
          <w:p w14:paraId="1D36B832">
            <w:pPr>
              <w:tabs>
                <w:tab w:val="left" w:pos="3327"/>
              </w:tabs>
              <w:spacing w:line="360" w:lineRule="auto"/>
              <w:jc w:val="center"/>
              <w:rPr>
                <w:rFonts w:ascii="宋体" w:hAnsi="宋体"/>
              </w:rPr>
            </w:pPr>
            <w:r>
              <w:rPr>
                <w:rFonts w:hint="eastAsia" w:ascii="宋体" w:hAnsi="宋体"/>
              </w:rPr>
              <w:t>3</w:t>
            </w:r>
          </w:p>
        </w:tc>
        <w:tc>
          <w:tcPr>
            <w:tcW w:w="1095" w:type="dxa"/>
            <w:vAlign w:val="center"/>
          </w:tcPr>
          <w:p w14:paraId="5EE3F7EA">
            <w:pPr>
              <w:tabs>
                <w:tab w:val="left" w:pos="3327"/>
              </w:tabs>
              <w:spacing w:line="360" w:lineRule="auto"/>
              <w:rPr>
                <w:rFonts w:ascii="宋体" w:hAnsi="宋体"/>
              </w:rPr>
            </w:pPr>
          </w:p>
        </w:tc>
        <w:tc>
          <w:tcPr>
            <w:tcW w:w="2666" w:type="dxa"/>
            <w:vAlign w:val="center"/>
          </w:tcPr>
          <w:p w14:paraId="3CFFA373">
            <w:pPr>
              <w:tabs>
                <w:tab w:val="left" w:pos="3327"/>
              </w:tabs>
              <w:spacing w:line="360" w:lineRule="auto"/>
              <w:rPr>
                <w:rFonts w:ascii="宋体" w:hAnsi="宋体"/>
              </w:rPr>
            </w:pPr>
          </w:p>
        </w:tc>
        <w:tc>
          <w:tcPr>
            <w:tcW w:w="911" w:type="dxa"/>
            <w:vAlign w:val="center"/>
          </w:tcPr>
          <w:p w14:paraId="41413833">
            <w:pPr>
              <w:tabs>
                <w:tab w:val="left" w:pos="3327"/>
              </w:tabs>
              <w:spacing w:line="360" w:lineRule="auto"/>
              <w:rPr>
                <w:rFonts w:ascii="宋体" w:hAnsi="宋体"/>
              </w:rPr>
            </w:pPr>
          </w:p>
        </w:tc>
        <w:tc>
          <w:tcPr>
            <w:tcW w:w="1131" w:type="dxa"/>
            <w:vAlign w:val="center"/>
          </w:tcPr>
          <w:p w14:paraId="35AB1095">
            <w:pPr>
              <w:tabs>
                <w:tab w:val="left" w:pos="3327"/>
              </w:tabs>
              <w:spacing w:line="360" w:lineRule="auto"/>
              <w:rPr>
                <w:rFonts w:ascii="宋体" w:hAnsi="宋体"/>
              </w:rPr>
            </w:pPr>
          </w:p>
        </w:tc>
        <w:tc>
          <w:tcPr>
            <w:tcW w:w="2135" w:type="dxa"/>
            <w:vAlign w:val="center"/>
          </w:tcPr>
          <w:p w14:paraId="60B3C6CA">
            <w:pPr>
              <w:tabs>
                <w:tab w:val="left" w:pos="3327"/>
              </w:tabs>
              <w:spacing w:line="360" w:lineRule="auto"/>
              <w:rPr>
                <w:rFonts w:ascii="宋体" w:hAnsi="宋体"/>
              </w:rPr>
            </w:pPr>
          </w:p>
        </w:tc>
        <w:tc>
          <w:tcPr>
            <w:tcW w:w="851" w:type="dxa"/>
            <w:vAlign w:val="center"/>
          </w:tcPr>
          <w:p w14:paraId="785E99B7">
            <w:pPr>
              <w:tabs>
                <w:tab w:val="left" w:pos="3327"/>
              </w:tabs>
              <w:spacing w:line="360" w:lineRule="auto"/>
              <w:rPr>
                <w:rFonts w:ascii="宋体" w:hAnsi="宋体"/>
              </w:rPr>
            </w:pPr>
          </w:p>
        </w:tc>
        <w:tc>
          <w:tcPr>
            <w:tcW w:w="709" w:type="dxa"/>
            <w:vAlign w:val="center"/>
          </w:tcPr>
          <w:p w14:paraId="17A8C019">
            <w:pPr>
              <w:spacing w:line="360" w:lineRule="auto"/>
              <w:jc w:val="center"/>
              <w:rPr>
                <w:rFonts w:ascii="宋体" w:hAnsi="宋体"/>
              </w:rPr>
            </w:pPr>
          </w:p>
        </w:tc>
      </w:tr>
      <w:tr w14:paraId="5C915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851" w:type="dxa"/>
            <w:vAlign w:val="center"/>
          </w:tcPr>
          <w:p w14:paraId="3010B0F9">
            <w:pPr>
              <w:tabs>
                <w:tab w:val="left" w:pos="3327"/>
              </w:tabs>
              <w:spacing w:line="360" w:lineRule="auto"/>
              <w:jc w:val="center"/>
              <w:rPr>
                <w:rFonts w:ascii="宋体" w:hAnsi="宋体"/>
              </w:rPr>
            </w:pPr>
            <w:r>
              <w:rPr>
                <w:rFonts w:hint="eastAsia" w:ascii="宋体" w:hAnsi="宋体"/>
              </w:rPr>
              <w:t>4</w:t>
            </w:r>
          </w:p>
        </w:tc>
        <w:tc>
          <w:tcPr>
            <w:tcW w:w="1095" w:type="dxa"/>
            <w:vAlign w:val="center"/>
          </w:tcPr>
          <w:p w14:paraId="4F853EDE">
            <w:pPr>
              <w:tabs>
                <w:tab w:val="left" w:pos="3327"/>
              </w:tabs>
              <w:spacing w:line="360" w:lineRule="auto"/>
              <w:rPr>
                <w:rFonts w:ascii="宋体" w:hAnsi="宋体"/>
              </w:rPr>
            </w:pPr>
          </w:p>
        </w:tc>
        <w:tc>
          <w:tcPr>
            <w:tcW w:w="2666" w:type="dxa"/>
            <w:vAlign w:val="center"/>
          </w:tcPr>
          <w:p w14:paraId="26F32BF9">
            <w:pPr>
              <w:tabs>
                <w:tab w:val="left" w:pos="3327"/>
              </w:tabs>
              <w:spacing w:line="360" w:lineRule="auto"/>
              <w:rPr>
                <w:rFonts w:ascii="宋体" w:hAnsi="宋体"/>
              </w:rPr>
            </w:pPr>
          </w:p>
        </w:tc>
        <w:tc>
          <w:tcPr>
            <w:tcW w:w="911" w:type="dxa"/>
            <w:vAlign w:val="center"/>
          </w:tcPr>
          <w:p w14:paraId="71C7A232">
            <w:pPr>
              <w:tabs>
                <w:tab w:val="left" w:pos="3327"/>
              </w:tabs>
              <w:spacing w:line="360" w:lineRule="auto"/>
              <w:rPr>
                <w:rFonts w:ascii="宋体" w:hAnsi="宋体"/>
              </w:rPr>
            </w:pPr>
          </w:p>
        </w:tc>
        <w:tc>
          <w:tcPr>
            <w:tcW w:w="1131" w:type="dxa"/>
            <w:vAlign w:val="center"/>
          </w:tcPr>
          <w:p w14:paraId="04E23519">
            <w:pPr>
              <w:tabs>
                <w:tab w:val="left" w:pos="3327"/>
              </w:tabs>
              <w:spacing w:line="360" w:lineRule="auto"/>
              <w:rPr>
                <w:rFonts w:ascii="宋体" w:hAnsi="宋体"/>
              </w:rPr>
            </w:pPr>
          </w:p>
        </w:tc>
        <w:tc>
          <w:tcPr>
            <w:tcW w:w="2135" w:type="dxa"/>
            <w:vAlign w:val="center"/>
          </w:tcPr>
          <w:p w14:paraId="3F44E137">
            <w:pPr>
              <w:tabs>
                <w:tab w:val="left" w:pos="3327"/>
              </w:tabs>
              <w:spacing w:line="360" w:lineRule="auto"/>
              <w:rPr>
                <w:rFonts w:ascii="宋体" w:hAnsi="宋体"/>
              </w:rPr>
            </w:pPr>
          </w:p>
        </w:tc>
        <w:tc>
          <w:tcPr>
            <w:tcW w:w="851" w:type="dxa"/>
            <w:vAlign w:val="center"/>
          </w:tcPr>
          <w:p w14:paraId="7B196A3D">
            <w:pPr>
              <w:tabs>
                <w:tab w:val="left" w:pos="3327"/>
              </w:tabs>
              <w:spacing w:line="360" w:lineRule="auto"/>
              <w:rPr>
                <w:rFonts w:ascii="宋体" w:hAnsi="宋体"/>
              </w:rPr>
            </w:pPr>
          </w:p>
        </w:tc>
        <w:tc>
          <w:tcPr>
            <w:tcW w:w="709" w:type="dxa"/>
            <w:vAlign w:val="center"/>
          </w:tcPr>
          <w:p w14:paraId="5F817D6C">
            <w:pPr>
              <w:spacing w:line="360" w:lineRule="auto"/>
              <w:jc w:val="center"/>
              <w:rPr>
                <w:rFonts w:ascii="宋体" w:hAnsi="宋体"/>
              </w:rPr>
            </w:pPr>
          </w:p>
        </w:tc>
      </w:tr>
      <w:tr w14:paraId="2AD8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851" w:type="dxa"/>
            <w:vAlign w:val="center"/>
          </w:tcPr>
          <w:p w14:paraId="3C1E3F81">
            <w:pPr>
              <w:tabs>
                <w:tab w:val="left" w:pos="3327"/>
              </w:tabs>
              <w:spacing w:line="360" w:lineRule="auto"/>
              <w:jc w:val="center"/>
              <w:rPr>
                <w:rFonts w:ascii="宋体" w:hAnsi="宋体"/>
              </w:rPr>
            </w:pPr>
            <w:r>
              <w:rPr>
                <w:rFonts w:hint="eastAsia" w:ascii="宋体" w:hAnsi="宋体"/>
              </w:rPr>
              <w:t>……</w:t>
            </w:r>
          </w:p>
        </w:tc>
        <w:tc>
          <w:tcPr>
            <w:tcW w:w="1095" w:type="dxa"/>
            <w:vAlign w:val="center"/>
          </w:tcPr>
          <w:p w14:paraId="29AAB28D">
            <w:pPr>
              <w:tabs>
                <w:tab w:val="left" w:pos="3327"/>
              </w:tabs>
              <w:spacing w:line="360" w:lineRule="auto"/>
              <w:rPr>
                <w:rFonts w:ascii="宋体" w:hAnsi="宋体"/>
              </w:rPr>
            </w:pPr>
          </w:p>
        </w:tc>
        <w:tc>
          <w:tcPr>
            <w:tcW w:w="2666" w:type="dxa"/>
            <w:vAlign w:val="center"/>
          </w:tcPr>
          <w:p w14:paraId="762092BD">
            <w:pPr>
              <w:tabs>
                <w:tab w:val="left" w:pos="3327"/>
              </w:tabs>
              <w:spacing w:line="360" w:lineRule="auto"/>
              <w:rPr>
                <w:rFonts w:ascii="宋体" w:hAnsi="宋体"/>
              </w:rPr>
            </w:pPr>
          </w:p>
        </w:tc>
        <w:tc>
          <w:tcPr>
            <w:tcW w:w="911" w:type="dxa"/>
            <w:vAlign w:val="center"/>
          </w:tcPr>
          <w:p w14:paraId="01923998">
            <w:pPr>
              <w:tabs>
                <w:tab w:val="left" w:pos="3327"/>
              </w:tabs>
              <w:spacing w:line="360" w:lineRule="auto"/>
              <w:rPr>
                <w:rFonts w:ascii="宋体" w:hAnsi="宋体"/>
              </w:rPr>
            </w:pPr>
          </w:p>
        </w:tc>
        <w:tc>
          <w:tcPr>
            <w:tcW w:w="1131" w:type="dxa"/>
            <w:vAlign w:val="center"/>
          </w:tcPr>
          <w:p w14:paraId="45E6755D">
            <w:pPr>
              <w:tabs>
                <w:tab w:val="left" w:pos="3327"/>
              </w:tabs>
              <w:spacing w:line="360" w:lineRule="auto"/>
              <w:rPr>
                <w:rFonts w:ascii="宋体" w:hAnsi="宋体"/>
              </w:rPr>
            </w:pPr>
          </w:p>
        </w:tc>
        <w:tc>
          <w:tcPr>
            <w:tcW w:w="2135" w:type="dxa"/>
            <w:vAlign w:val="center"/>
          </w:tcPr>
          <w:p w14:paraId="7A9EEC51">
            <w:pPr>
              <w:tabs>
                <w:tab w:val="left" w:pos="3327"/>
              </w:tabs>
              <w:spacing w:line="360" w:lineRule="auto"/>
              <w:rPr>
                <w:rFonts w:ascii="宋体" w:hAnsi="宋体"/>
              </w:rPr>
            </w:pPr>
          </w:p>
        </w:tc>
        <w:tc>
          <w:tcPr>
            <w:tcW w:w="851" w:type="dxa"/>
            <w:vAlign w:val="center"/>
          </w:tcPr>
          <w:p w14:paraId="417908FE">
            <w:pPr>
              <w:tabs>
                <w:tab w:val="left" w:pos="3327"/>
              </w:tabs>
              <w:spacing w:line="360" w:lineRule="auto"/>
              <w:rPr>
                <w:rFonts w:ascii="宋体" w:hAnsi="宋体"/>
              </w:rPr>
            </w:pPr>
          </w:p>
        </w:tc>
        <w:tc>
          <w:tcPr>
            <w:tcW w:w="709" w:type="dxa"/>
            <w:vAlign w:val="center"/>
          </w:tcPr>
          <w:p w14:paraId="7F5B8C11">
            <w:pPr>
              <w:spacing w:line="360" w:lineRule="auto"/>
              <w:jc w:val="center"/>
              <w:rPr>
                <w:rFonts w:ascii="宋体" w:hAnsi="宋体"/>
              </w:rPr>
            </w:pPr>
          </w:p>
        </w:tc>
      </w:tr>
    </w:tbl>
    <w:p w14:paraId="4D7DE011">
      <w:pPr>
        <w:autoSpaceDE w:val="0"/>
        <w:autoSpaceDN w:val="0"/>
        <w:spacing w:line="360" w:lineRule="auto"/>
        <w:rPr>
          <w:rFonts w:ascii="宋体" w:hAnsi="宋体" w:cs="Arial"/>
          <w:b/>
          <w:bCs/>
          <w:sz w:val="20"/>
          <w:lang w:val="zh-CN"/>
        </w:rPr>
      </w:pPr>
      <w:r>
        <w:rPr>
          <w:rFonts w:ascii="宋体" w:hAnsi="宋体" w:cs="Arial"/>
          <w:b/>
          <w:bCs/>
          <w:sz w:val="20"/>
          <w:lang w:val="zh-CN"/>
        </w:rPr>
        <w:t>注：1</w:t>
      </w:r>
      <w:r>
        <w:rPr>
          <w:rFonts w:hint="eastAsia" w:ascii="宋体" w:hAnsi="宋体" w:cs="Arial"/>
          <w:b/>
          <w:bCs/>
          <w:sz w:val="20"/>
          <w:lang w:val="zh-CN"/>
        </w:rPr>
        <w:t>、</w:t>
      </w:r>
      <w:r>
        <w:rPr>
          <w:rFonts w:ascii="宋体" w:hAnsi="宋体" w:cs="Arial"/>
          <w:b/>
          <w:bCs/>
          <w:sz w:val="20"/>
          <w:lang w:val="zh-CN"/>
        </w:rPr>
        <w:t>本表应按照每包采购一览表中产品序号的指标逐项填写，不得遗漏。</w:t>
      </w:r>
    </w:p>
    <w:p w14:paraId="1F322E99">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2</w:t>
      </w:r>
      <w:r>
        <w:rPr>
          <w:rFonts w:hint="eastAsia" w:ascii="宋体" w:hAnsi="宋体" w:cs="Arial"/>
          <w:b/>
          <w:bCs/>
          <w:sz w:val="20"/>
          <w:lang w:val="zh-CN"/>
        </w:rPr>
        <w:t>、“投标产品技术参数、指标”必须与投标文件中提供的产品检测报告、彩页等证明材料的实质性响应情况相一致。若在评标环节发现该项与投标文件中提供的产品检测报告（或厂家公开发布的资料参数）等证明材料的实质性响应情况不一致或直接复制招标文件“采购需求技术参数、指标”内容的，按无效投标处理。</w:t>
      </w:r>
    </w:p>
    <w:p w14:paraId="75DDC45E">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3</w:t>
      </w:r>
      <w:r>
        <w:rPr>
          <w:rFonts w:hint="eastAsia" w:ascii="宋体" w:hAnsi="宋体" w:cs="Arial"/>
          <w:b/>
          <w:bCs/>
          <w:sz w:val="20"/>
          <w:lang w:val="zh-CN"/>
        </w:rPr>
        <w:t>、投标供应商响应采购需求应具体、明确，应以招标项目参数要求为基本投标要求，对超出或不满足招标项目参数要求的指标需列出“</w:t>
      </w:r>
      <w:r>
        <w:rPr>
          <w:rFonts w:ascii="宋体" w:hAnsi="宋体" w:cs="Arial"/>
          <w:b/>
          <w:bCs/>
          <w:sz w:val="20"/>
          <w:lang w:val="zh-CN"/>
        </w:rPr>
        <w:t>+</w:t>
      </w:r>
      <w:r>
        <w:rPr>
          <w:rFonts w:hint="eastAsia" w:ascii="宋体" w:hAnsi="宋体" w:cs="Arial"/>
          <w:b/>
          <w:bCs/>
          <w:sz w:val="20"/>
          <w:lang w:val="zh-CN"/>
        </w:rPr>
        <w:t>、</w:t>
      </w:r>
      <w:r>
        <w:rPr>
          <w:rFonts w:ascii="宋体" w:hAnsi="宋体" w:cs="Arial"/>
          <w:b/>
          <w:bCs/>
          <w:sz w:val="20"/>
          <w:lang w:val="zh-CN"/>
        </w:rPr>
        <w:t>-</w:t>
      </w:r>
      <w:r>
        <w:rPr>
          <w:rFonts w:hint="eastAsia" w:ascii="宋体" w:hAnsi="宋体" w:cs="Arial"/>
          <w:b/>
          <w:bCs/>
          <w:sz w:val="20"/>
          <w:lang w:val="zh-CN"/>
        </w:rPr>
        <w:t>”偏差，并做出详细说明；如果只注明“</w:t>
      </w:r>
      <w:r>
        <w:rPr>
          <w:rFonts w:ascii="宋体" w:hAnsi="宋体" w:cs="Arial"/>
          <w:b/>
          <w:bCs/>
          <w:sz w:val="20"/>
          <w:lang w:val="zh-CN"/>
        </w:rPr>
        <w:t>+</w:t>
      </w:r>
      <w:r>
        <w:rPr>
          <w:rFonts w:hint="eastAsia" w:ascii="宋体" w:hAnsi="宋体" w:cs="Arial"/>
          <w:b/>
          <w:bCs/>
          <w:sz w:val="20"/>
          <w:lang w:val="zh-CN"/>
        </w:rPr>
        <w:t>”、“</w:t>
      </w:r>
      <w:r>
        <w:rPr>
          <w:rFonts w:ascii="宋体" w:hAnsi="宋体" w:cs="Arial"/>
          <w:b/>
          <w:bCs/>
          <w:sz w:val="20"/>
          <w:lang w:val="zh-CN"/>
        </w:rPr>
        <w:t>-</w:t>
      </w:r>
      <w:r>
        <w:rPr>
          <w:rFonts w:hint="eastAsia" w:ascii="宋体" w:hAnsi="宋体" w:cs="Arial"/>
          <w:b/>
          <w:bCs/>
          <w:sz w:val="20"/>
          <w:lang w:val="zh-CN"/>
        </w:rPr>
        <w:t>”或未填写，将视为该项指标不响应。</w:t>
      </w:r>
    </w:p>
    <w:p w14:paraId="72FEC931">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4</w:t>
      </w:r>
      <w:r>
        <w:rPr>
          <w:rFonts w:hint="eastAsia" w:ascii="宋体" w:hAnsi="宋体" w:cs="Arial"/>
          <w:b/>
          <w:bCs/>
          <w:sz w:val="20"/>
          <w:lang w:val="zh-CN"/>
        </w:rPr>
        <w:t>、投标供应商应按投标产品实际情况填写，不得照抄、复制招标文件技术参数要求。</w:t>
      </w:r>
    </w:p>
    <w:p w14:paraId="69A88947">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5</w:t>
      </w:r>
      <w:r>
        <w:rPr>
          <w:rFonts w:hint="eastAsia" w:ascii="宋体" w:hAnsi="宋体" w:cs="Arial"/>
          <w:b/>
          <w:bCs/>
          <w:sz w:val="20"/>
          <w:lang w:val="zh-CN"/>
        </w:rPr>
        <w:t>、投标供应商响应采购需求应具体、明确，含糊不清、不确切或伪造、编造证明材料的，按照实质性不响应处理。对伪造、编造证明材料的，将报送采购监管部门查处。</w:t>
      </w:r>
    </w:p>
    <w:p w14:paraId="5295D75B">
      <w:pPr>
        <w:autoSpaceDE w:val="0"/>
        <w:autoSpaceDN w:val="0"/>
        <w:adjustRightInd w:val="0"/>
        <w:spacing w:line="360" w:lineRule="auto"/>
        <w:rPr>
          <w:rFonts w:ascii="宋体" w:hAnsi="宋体" w:cs="宋体"/>
          <w:b/>
          <w:bCs/>
          <w:kern w:val="0"/>
          <w:sz w:val="24"/>
          <w:lang w:val="zh-CN"/>
        </w:rPr>
      </w:pPr>
    </w:p>
    <w:p w14:paraId="368B7733">
      <w:pPr>
        <w:tabs>
          <w:tab w:val="left" w:pos="168"/>
        </w:tabs>
        <w:adjustRightInd w:val="0"/>
        <w:spacing w:line="360" w:lineRule="auto"/>
        <w:textAlignment w:val="baseline"/>
        <w:rPr>
          <w:rFonts w:ascii="宋体" w:hAnsi="宋体"/>
          <w:bCs/>
          <w:sz w:val="28"/>
          <w:szCs w:val="28"/>
        </w:rPr>
      </w:pPr>
    </w:p>
    <w:p w14:paraId="7B042FDF">
      <w:pPr>
        <w:tabs>
          <w:tab w:val="left" w:pos="168"/>
        </w:tabs>
        <w:adjustRightInd w:val="0"/>
        <w:spacing w:line="360" w:lineRule="auto"/>
        <w:textAlignment w:val="baseline"/>
        <w:rPr>
          <w:rFonts w:ascii="宋体" w:hAnsi="宋体"/>
          <w:bCs/>
          <w:sz w:val="28"/>
          <w:szCs w:val="28"/>
        </w:rPr>
      </w:pPr>
    </w:p>
    <w:p w14:paraId="22AF9025">
      <w:pPr>
        <w:tabs>
          <w:tab w:val="left" w:pos="168"/>
        </w:tabs>
        <w:adjustRightInd w:val="0"/>
        <w:spacing w:line="360" w:lineRule="auto"/>
        <w:textAlignment w:val="baseline"/>
        <w:rPr>
          <w:rFonts w:ascii="宋体" w:hAnsi="宋体"/>
          <w:bCs/>
          <w:sz w:val="28"/>
          <w:szCs w:val="28"/>
        </w:rPr>
      </w:pPr>
    </w:p>
    <w:p w14:paraId="6AD1E958">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磋商供应商：</w:t>
      </w:r>
      <w:r>
        <w:rPr>
          <w:rFonts w:hint="eastAsia" w:ascii="宋体" w:hAnsi="宋体"/>
          <w:bCs/>
          <w:sz w:val="24"/>
          <w:szCs w:val="28"/>
          <w:u w:val="single"/>
        </w:rPr>
        <w:t xml:space="preserve">             </w:t>
      </w:r>
      <w:r>
        <w:rPr>
          <w:rFonts w:hint="eastAsia" w:ascii="宋体" w:hAnsi="宋体"/>
          <w:bCs/>
          <w:sz w:val="24"/>
          <w:szCs w:val="28"/>
        </w:rPr>
        <w:t>（公章）</w:t>
      </w:r>
    </w:p>
    <w:p w14:paraId="42DDDAB2">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457C7C59">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3C1B4B2D">
      <w:pPr>
        <w:numPr>
          <w:ilvl w:val="0"/>
          <w:numId w:val="0"/>
        </w:numPr>
        <w:tabs>
          <w:tab w:val="left" w:pos="425"/>
          <w:tab w:val="left" w:pos="720"/>
        </w:tabs>
        <w:ind w:left="709" w:hanging="709"/>
        <w:outlineLvl w:val="9"/>
        <w:rPr>
          <w:rFonts w:hAnsi="宋体"/>
          <w:b/>
          <w:sz w:val="32"/>
        </w:rPr>
      </w:pPr>
      <w:r>
        <w:rPr>
          <w:rFonts w:hAnsi="宋体"/>
          <w:bCs/>
          <w:szCs w:val="28"/>
        </w:rPr>
        <w:br w:type="page"/>
      </w:r>
      <w:bookmarkStart w:id="221" w:name="_Toc1575350"/>
    </w:p>
    <w:p w14:paraId="630E9C63">
      <w:pPr>
        <w:pStyle w:val="4"/>
        <w:numPr>
          <w:ilvl w:val="0"/>
          <w:numId w:val="0"/>
        </w:numPr>
        <w:ind w:left="709" w:hanging="709"/>
        <w:rPr>
          <w:rFonts w:hAnsi="宋体" w:cs="宋体"/>
          <w:bCs/>
          <w:sz w:val="24"/>
        </w:rPr>
      </w:pPr>
      <w:r>
        <w:rPr>
          <w:rFonts w:hint="eastAsia" w:hAnsi="宋体"/>
          <w:b/>
          <w:sz w:val="32"/>
        </w:rPr>
        <w:t>格式15、</w:t>
      </w:r>
      <w:r>
        <w:rPr>
          <w:rFonts w:hint="eastAsia" w:hAnsi="宋体"/>
          <w:b/>
          <w:sz w:val="32"/>
          <w:lang w:val="zh-CN"/>
        </w:rPr>
        <w:t>磋商产品相关资料</w:t>
      </w:r>
      <w:bookmarkEnd w:id="221"/>
    </w:p>
    <w:p w14:paraId="49CED092">
      <w:pPr>
        <w:spacing w:line="360" w:lineRule="auto"/>
        <w:rPr>
          <w:rFonts w:ascii="宋体" w:hAnsi="宋体"/>
          <w:b/>
          <w:bCs/>
          <w:kern w:val="28"/>
          <w:sz w:val="32"/>
          <w:szCs w:val="32"/>
          <w:lang w:val="zh-CN"/>
        </w:rPr>
      </w:pPr>
    </w:p>
    <w:p w14:paraId="3AAC5E56">
      <w:pPr>
        <w:autoSpaceDE w:val="0"/>
        <w:autoSpaceDN w:val="0"/>
        <w:adjustRightInd w:val="0"/>
        <w:spacing w:line="360" w:lineRule="auto"/>
        <w:jc w:val="center"/>
        <w:rPr>
          <w:rFonts w:ascii="宋体" w:hAnsi="宋体" w:cs="Arial"/>
          <w:bCs/>
          <w:sz w:val="36"/>
          <w:szCs w:val="36"/>
          <w:lang w:val="zh-CN"/>
        </w:rPr>
      </w:pPr>
      <w:r>
        <w:rPr>
          <w:rFonts w:hint="eastAsia" w:ascii="宋体" w:hAnsi="宋体" w:cs="宋体"/>
          <w:b/>
          <w:bCs/>
          <w:kern w:val="0"/>
          <w:sz w:val="30"/>
          <w:szCs w:val="30"/>
          <w:lang w:val="zh-CN"/>
        </w:rPr>
        <w:t>磋商</w:t>
      </w:r>
      <w:r>
        <w:rPr>
          <w:rFonts w:ascii="宋体" w:hAnsi="宋体" w:cs="宋体"/>
          <w:b/>
          <w:bCs/>
          <w:kern w:val="0"/>
          <w:sz w:val="30"/>
          <w:szCs w:val="30"/>
          <w:lang w:val="zh-CN"/>
        </w:rPr>
        <w:t>产品相关资料</w:t>
      </w:r>
    </w:p>
    <w:p w14:paraId="70ADA775">
      <w:pPr>
        <w:spacing w:line="360" w:lineRule="auto"/>
        <w:ind w:firstLine="424" w:firstLineChars="177"/>
        <w:rPr>
          <w:rFonts w:hAnsi="宋体"/>
          <w:b/>
          <w:sz w:val="32"/>
          <w:lang w:val="zh-CN"/>
        </w:rPr>
      </w:pPr>
      <w:r>
        <w:rPr>
          <w:rFonts w:hint="eastAsia" w:ascii="宋体" w:hAnsi="宋体" w:cs="Arial"/>
          <w:sz w:val="24"/>
        </w:rPr>
        <w:t>根据采购项目内容，磋商时提供国家认可的质监机构出具的磋商产品的产品材料的检验报告、证明技术参数响应的相关资料（或厂家公开发布的资料参数）、相关认证等资料。</w:t>
      </w:r>
      <w:bookmarkEnd w:id="218"/>
      <w:bookmarkEnd w:id="219"/>
      <w:bookmarkEnd w:id="220"/>
    </w:p>
    <w:p w14:paraId="05ABF32B">
      <w:pPr>
        <w:pStyle w:val="4"/>
        <w:numPr>
          <w:ilvl w:val="0"/>
          <w:numId w:val="0"/>
        </w:numPr>
        <w:ind w:left="709" w:hanging="709"/>
        <w:rPr>
          <w:rFonts w:hAnsi="宋体" w:cs="宋体"/>
        </w:rPr>
      </w:pPr>
      <w:r>
        <w:rPr>
          <w:rFonts w:hAnsi="宋体"/>
          <w:bCs/>
          <w:sz w:val="24"/>
          <w:szCs w:val="28"/>
        </w:rPr>
        <w:br w:type="page"/>
      </w:r>
      <w:bookmarkStart w:id="222" w:name="_Toc1575351"/>
      <w:r>
        <w:rPr>
          <w:rFonts w:hint="eastAsia" w:hAnsi="宋体"/>
          <w:b/>
          <w:sz w:val="32"/>
          <w:lang w:val="zh-CN"/>
        </w:rPr>
        <w:t>格式1</w:t>
      </w:r>
      <w:r>
        <w:rPr>
          <w:rFonts w:hint="eastAsia" w:hAnsi="宋体"/>
          <w:b/>
          <w:sz w:val="32"/>
        </w:rPr>
        <w:t>6</w:t>
      </w:r>
      <w:r>
        <w:rPr>
          <w:rFonts w:hint="eastAsia" w:hAnsi="宋体"/>
          <w:b/>
          <w:sz w:val="32"/>
          <w:lang w:val="zh-CN"/>
        </w:rPr>
        <w:t>、磋商供应商的类似业绩证明材料</w:t>
      </w:r>
      <w:bookmarkEnd w:id="222"/>
    </w:p>
    <w:p w14:paraId="007CBD57">
      <w:pPr>
        <w:autoSpaceDE w:val="0"/>
        <w:autoSpaceDN w:val="0"/>
        <w:adjustRightInd w:val="0"/>
        <w:spacing w:line="360" w:lineRule="auto"/>
        <w:rPr>
          <w:rFonts w:ascii="宋体" w:hAnsi="宋体" w:cs="宋体"/>
          <w:kern w:val="0"/>
          <w:sz w:val="24"/>
          <w:lang w:val="zh-CN"/>
        </w:rPr>
      </w:pPr>
    </w:p>
    <w:p w14:paraId="270618A3">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磋商供应商的类似业绩证明材料</w:t>
      </w:r>
    </w:p>
    <w:p w14:paraId="010027B8">
      <w:pPr>
        <w:autoSpaceDE w:val="0"/>
        <w:autoSpaceDN w:val="0"/>
        <w:adjustRightInd w:val="0"/>
        <w:spacing w:line="360" w:lineRule="auto"/>
        <w:rPr>
          <w:rFonts w:ascii="宋体" w:hAnsi="宋体" w:cs="宋体"/>
          <w:kern w:val="0"/>
          <w:sz w:val="24"/>
          <w:lang w:val="zh-CN"/>
        </w:rPr>
      </w:pPr>
    </w:p>
    <w:p w14:paraId="72B170CF">
      <w:pPr>
        <w:autoSpaceDE w:val="0"/>
        <w:autoSpaceDN w:val="0"/>
        <w:adjustRightInd w:val="0"/>
        <w:spacing w:line="360" w:lineRule="auto"/>
        <w:ind w:firstLine="600" w:firstLineChars="250"/>
        <w:rPr>
          <w:rFonts w:ascii="宋体" w:hAnsi="宋体" w:cs="宋体"/>
          <w:kern w:val="0"/>
          <w:sz w:val="24"/>
          <w:lang w:val="zh-CN"/>
        </w:rPr>
      </w:pPr>
      <w:r>
        <w:rPr>
          <w:rFonts w:hint="eastAsia" w:ascii="宋体" w:hAnsi="宋体" w:cs="宋体"/>
          <w:kern w:val="0"/>
          <w:sz w:val="24"/>
          <w:lang w:val="zh-CN"/>
        </w:rPr>
        <w:t>提供</w:t>
      </w:r>
      <w:r>
        <w:rPr>
          <w:rFonts w:hint="eastAsia" w:ascii="宋体" w:hAnsi="宋体" w:cs="宋体"/>
          <w:kern w:val="0"/>
          <w:sz w:val="24"/>
        </w:rPr>
        <w:t>20</w:t>
      </w:r>
      <w:r>
        <w:rPr>
          <w:rFonts w:hint="eastAsia" w:ascii="宋体" w:hAnsi="宋体" w:cs="宋体"/>
          <w:kern w:val="0"/>
          <w:sz w:val="24"/>
          <w:lang w:val="en-US" w:eastAsia="zh-CN"/>
        </w:rPr>
        <w:t>21</w:t>
      </w:r>
      <w:r>
        <w:rPr>
          <w:rFonts w:hint="eastAsia" w:ascii="宋体" w:hAnsi="宋体" w:cs="宋体"/>
          <w:kern w:val="0"/>
          <w:sz w:val="24"/>
        </w:rPr>
        <w:t>年</w:t>
      </w:r>
      <w:r>
        <w:rPr>
          <w:rFonts w:hint="eastAsia" w:ascii="宋体" w:hAnsi="宋体" w:cs="宋体"/>
          <w:kern w:val="0"/>
          <w:sz w:val="24"/>
          <w:lang w:val="en-US" w:eastAsia="zh-CN"/>
        </w:rPr>
        <w:t>1月1日</w:t>
      </w:r>
      <w:r>
        <w:rPr>
          <w:rFonts w:hint="eastAsia" w:ascii="宋体" w:hAnsi="宋体" w:cs="宋体"/>
          <w:kern w:val="0"/>
          <w:sz w:val="24"/>
        </w:rPr>
        <w:t>以来</w:t>
      </w:r>
      <w:r>
        <w:rPr>
          <w:rFonts w:hint="eastAsia" w:ascii="宋体" w:hAnsi="宋体" w:cs="宋体"/>
          <w:kern w:val="0"/>
          <w:sz w:val="24"/>
          <w:lang w:val="zh-CN"/>
        </w:rPr>
        <w:t>的投标人类似业绩证明材料。类似业绩是指与采购项目在产品类型、使用功能、合同规模等方面相同或相近的项目。</w:t>
      </w:r>
      <w:r>
        <w:rPr>
          <w:rFonts w:ascii="宋体" w:hAnsi="宋体" w:cs="Arial"/>
          <w:sz w:val="24"/>
        </w:rPr>
        <w:t>需提供合同首页、标的及金额所在页、交货合同签字盖章页）的扫描（或复印）件）</w:t>
      </w:r>
      <w:r>
        <w:rPr>
          <w:rFonts w:hint="eastAsia" w:ascii="宋体" w:hAnsi="宋体" w:cs="宋体"/>
          <w:kern w:val="0"/>
          <w:sz w:val="24"/>
          <w:lang w:val="zh-CN"/>
        </w:rPr>
        <w:t>。</w:t>
      </w:r>
    </w:p>
    <w:p w14:paraId="2D905151">
      <w:pPr>
        <w:pStyle w:val="4"/>
        <w:numPr>
          <w:ilvl w:val="0"/>
          <w:numId w:val="0"/>
        </w:numPr>
        <w:ind w:left="709" w:hanging="709"/>
        <w:rPr>
          <w:rFonts w:ascii="宋体" w:hAnsi="宋体" w:cs="宋体"/>
          <w:kern w:val="0"/>
          <w:sz w:val="28"/>
          <w:szCs w:val="28"/>
          <w:lang w:val="zh-CN"/>
        </w:rPr>
      </w:pPr>
      <w:r>
        <w:rPr>
          <w:rFonts w:hAnsi="宋体"/>
          <w:bCs/>
          <w:sz w:val="24"/>
          <w:szCs w:val="28"/>
        </w:rPr>
        <w:br w:type="page"/>
      </w:r>
      <w:bookmarkStart w:id="223" w:name="_Toc1575352"/>
      <w:r>
        <w:rPr>
          <w:rFonts w:hint="eastAsia" w:hAnsi="宋体"/>
          <w:b/>
          <w:sz w:val="32"/>
          <w:lang w:val="zh-CN"/>
        </w:rPr>
        <w:t>格式1</w:t>
      </w:r>
      <w:r>
        <w:rPr>
          <w:rFonts w:hint="eastAsia" w:hAnsi="宋体"/>
          <w:b/>
          <w:sz w:val="32"/>
        </w:rPr>
        <w:t>7</w:t>
      </w:r>
      <w:r>
        <w:rPr>
          <w:rFonts w:hint="eastAsia" w:hAnsi="宋体"/>
          <w:b/>
          <w:sz w:val="32"/>
          <w:lang w:val="zh-CN"/>
        </w:rPr>
        <w:t>、</w:t>
      </w:r>
      <w:r>
        <w:rPr>
          <w:rFonts w:hint="eastAsia" w:hAnsi="宋体"/>
          <w:b/>
          <w:sz w:val="32"/>
          <w:lang w:val="en-US" w:eastAsia="zh-CN"/>
        </w:rPr>
        <w:t>中小</w:t>
      </w:r>
      <w:r>
        <w:rPr>
          <w:rFonts w:hint="eastAsia" w:hAnsi="宋体"/>
          <w:b/>
          <w:sz w:val="32"/>
          <w:lang w:val="zh-CN"/>
        </w:rPr>
        <w:t>企业声明函</w:t>
      </w:r>
      <w:bookmarkEnd w:id="223"/>
    </w:p>
    <w:p w14:paraId="7624C920">
      <w:pPr>
        <w:autoSpaceDE w:val="0"/>
        <w:autoSpaceDN w:val="0"/>
        <w:spacing w:line="360" w:lineRule="auto"/>
        <w:jc w:val="center"/>
        <w:rPr>
          <w:rFonts w:hint="eastAsia" w:ascii="宋体" w:hAnsi="宋体" w:cs="宋体"/>
          <w:b/>
          <w:bCs/>
          <w:kern w:val="0"/>
          <w:sz w:val="28"/>
          <w:szCs w:val="28"/>
          <w:lang w:val="en-US" w:eastAsia="zh-CN"/>
        </w:rPr>
      </w:pPr>
    </w:p>
    <w:p w14:paraId="1D9AFE90">
      <w:pPr>
        <w:autoSpaceDE w:val="0"/>
        <w:autoSpaceDN w:val="0"/>
        <w:spacing w:line="360" w:lineRule="auto"/>
        <w:jc w:val="center"/>
        <w:rPr>
          <w:rFonts w:ascii="宋体" w:hAnsi="宋体" w:cs="宋体"/>
          <w:kern w:val="0"/>
          <w:sz w:val="28"/>
          <w:szCs w:val="28"/>
          <w:lang w:val="zh-CN"/>
        </w:rPr>
      </w:pPr>
      <w:r>
        <w:rPr>
          <w:rFonts w:hint="eastAsia" w:ascii="宋体" w:hAnsi="宋体" w:cs="宋体"/>
          <w:b/>
          <w:bCs/>
          <w:kern w:val="0"/>
          <w:sz w:val="28"/>
          <w:szCs w:val="28"/>
          <w:lang w:val="en-US" w:eastAsia="zh-CN"/>
        </w:rPr>
        <w:t>中小</w:t>
      </w:r>
      <w:r>
        <w:rPr>
          <w:rFonts w:hint="eastAsia" w:ascii="宋体" w:hAnsi="宋体" w:cs="宋体"/>
          <w:b/>
          <w:bCs/>
          <w:kern w:val="0"/>
          <w:sz w:val="28"/>
          <w:szCs w:val="28"/>
          <w:lang w:val="zh-CN"/>
        </w:rPr>
        <w:t>企业声明函（</w:t>
      </w:r>
      <w:r>
        <w:rPr>
          <w:rFonts w:hint="eastAsia" w:ascii="宋体" w:hAnsi="宋体" w:cs="宋体"/>
          <w:b/>
          <w:bCs/>
          <w:kern w:val="0"/>
          <w:sz w:val="28"/>
          <w:szCs w:val="28"/>
          <w:lang w:val="en-US" w:eastAsia="zh-CN"/>
        </w:rPr>
        <w:t>货物</w:t>
      </w:r>
      <w:r>
        <w:rPr>
          <w:rFonts w:hint="eastAsia" w:ascii="宋体" w:hAnsi="宋体" w:cs="宋体"/>
          <w:b/>
          <w:bCs/>
          <w:kern w:val="0"/>
          <w:sz w:val="28"/>
          <w:szCs w:val="28"/>
          <w:lang w:val="zh-CN"/>
        </w:rPr>
        <w:t>）</w:t>
      </w:r>
    </w:p>
    <w:p w14:paraId="45A9061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本公司（联合体）郑重声明，根据《政府采购促进中小企业发展管理办法》（财库﹝2020﹞46 号）的规定，本公司（联合体）参加</w:t>
      </w:r>
      <w:r>
        <w:rPr>
          <w:rFonts w:hint="eastAsia" w:ascii="宋体" w:hAnsi="宋体" w:eastAsia="宋体" w:cs="宋体"/>
          <w:i w:val="0"/>
          <w:iCs/>
          <w:color w:val="000000"/>
          <w:kern w:val="0"/>
          <w:sz w:val="24"/>
          <w:szCs w:val="24"/>
          <w:u w:val="single"/>
          <w:lang w:val="en-US" w:eastAsia="zh-CN" w:bidi="ar"/>
        </w:rPr>
        <w:t>（单位名称）</w:t>
      </w:r>
      <w:r>
        <w:rPr>
          <w:rFonts w:hint="eastAsia" w:ascii="宋体" w:hAnsi="宋体" w:eastAsia="宋体" w:cs="宋体"/>
          <w:color w:val="000000"/>
          <w:kern w:val="0"/>
          <w:sz w:val="24"/>
          <w:szCs w:val="24"/>
          <w:lang w:val="en-US" w:eastAsia="zh-CN" w:bidi="ar"/>
        </w:rPr>
        <w:t>的</w:t>
      </w:r>
      <w:r>
        <w:rPr>
          <w:rFonts w:hint="eastAsia" w:ascii="宋体" w:hAnsi="宋体" w:eastAsia="宋体" w:cs="宋体"/>
          <w:i w:val="0"/>
          <w:iCs/>
          <w:color w:val="000000"/>
          <w:kern w:val="0"/>
          <w:sz w:val="24"/>
          <w:szCs w:val="24"/>
          <w:u w:val="single"/>
          <w:lang w:val="en-US" w:eastAsia="zh-CN" w:bidi="ar"/>
        </w:rPr>
        <w:t>（项目名称）</w:t>
      </w:r>
      <w:r>
        <w:rPr>
          <w:rFonts w:hint="eastAsia" w:ascii="宋体" w:hAnsi="宋体" w:eastAsia="宋体" w:cs="宋体"/>
          <w:color w:val="000000"/>
          <w:kern w:val="0"/>
          <w:sz w:val="24"/>
          <w:szCs w:val="24"/>
          <w:lang w:val="en-US" w:eastAsia="zh-CN" w:bidi="ar"/>
        </w:rPr>
        <w:t xml:space="preserve">采购活动，提供的货物全部由符合政策要求的中小企业制造。相关企业（含联合体中的中小企业、签订分包意向协议的中小企业）的具体情况如下： </w:t>
      </w:r>
    </w:p>
    <w:p w14:paraId="766CC16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 </w:t>
      </w:r>
      <w:r>
        <w:rPr>
          <w:rFonts w:hint="eastAsia" w:ascii="宋体" w:hAnsi="宋体" w:eastAsia="宋体" w:cs="宋体"/>
          <w:i w:val="0"/>
          <w:iCs/>
          <w:color w:val="000000"/>
          <w:kern w:val="0"/>
          <w:sz w:val="24"/>
          <w:szCs w:val="24"/>
          <w:u w:val="single"/>
          <w:lang w:val="en-US" w:eastAsia="zh-CN" w:bidi="ar"/>
        </w:rPr>
        <w:t>（标的名称）</w:t>
      </w:r>
      <w:r>
        <w:rPr>
          <w:rFonts w:hint="eastAsia" w:ascii="宋体" w:hAnsi="宋体" w:eastAsia="宋体" w:cs="宋体"/>
          <w: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，属于</w:t>
      </w:r>
      <w:r>
        <w:rPr>
          <w:rFonts w:hint="eastAsia" w:ascii="宋体" w:hAnsi="宋体" w:eastAsia="宋体" w:cs="宋体"/>
          <w:i w:val="0"/>
          <w:iCs/>
          <w:color w:val="000000"/>
          <w:kern w:val="0"/>
          <w:sz w:val="24"/>
          <w:szCs w:val="24"/>
          <w:u w:val="single"/>
          <w:lang w:val="en-US" w:eastAsia="zh-CN" w:bidi="ar"/>
        </w:rPr>
        <w:t>（</w:t>
      </w:r>
      <w:r>
        <w:rPr>
          <w:rFonts w:hint="eastAsia" w:ascii="宋体" w:hAnsi="宋体" w:cs="宋体"/>
          <w:i w:val="0"/>
          <w:iCs/>
          <w:color w:val="000000"/>
          <w:kern w:val="0"/>
          <w:sz w:val="24"/>
          <w:szCs w:val="24"/>
          <w:u w:val="single"/>
          <w:lang w:val="en-US" w:eastAsia="zh-CN" w:bidi="ar"/>
        </w:rPr>
        <w:t>制造业</w:t>
      </w:r>
      <w:r>
        <w:rPr>
          <w:rFonts w:hint="eastAsia" w:ascii="宋体" w:hAnsi="宋体" w:eastAsia="宋体" w:cs="宋体"/>
          <w:i w:val="0"/>
          <w:iCs/>
          <w:color w:val="000000"/>
          <w:kern w:val="0"/>
          <w:sz w:val="24"/>
          <w:szCs w:val="24"/>
          <w:u w:val="single"/>
          <w:lang w:val="en-US" w:eastAsia="zh-CN" w:bidi="ar"/>
        </w:rPr>
        <w:t>）</w:t>
      </w:r>
      <w:r>
        <w:rPr>
          <w:rFonts w:hint="eastAsia" w:ascii="宋体" w:hAnsi="宋体" w:eastAsia="宋体" w:cs="宋体"/>
          <w:i w:val="0"/>
          <w:iCs/>
          <w:color w:val="000000"/>
          <w:kern w:val="0"/>
          <w:sz w:val="24"/>
          <w:szCs w:val="24"/>
          <w:lang w:val="en-US" w:eastAsia="zh-CN" w:bidi="ar"/>
        </w:rPr>
        <w:t>行业</w:t>
      </w:r>
      <w:r>
        <w:rPr>
          <w:rFonts w:hint="eastAsia" w:ascii="宋体" w:hAnsi="宋体" w:eastAsia="宋体" w:cs="宋体"/>
          <w:color w:val="000000"/>
          <w:kern w:val="0"/>
          <w:sz w:val="24"/>
          <w:szCs w:val="24"/>
          <w:lang w:val="en-US" w:eastAsia="zh-CN" w:bidi="ar"/>
        </w:rPr>
        <w:t>；制造商为</w:t>
      </w:r>
      <w:r>
        <w:rPr>
          <w:rFonts w:hint="eastAsia" w:ascii="宋体" w:hAnsi="宋体" w:eastAsia="宋体" w:cs="宋体"/>
          <w:i w:val="0"/>
          <w:iCs/>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 xml:space="preserve">，从业人员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i w:val="0"/>
          <w:iCs/>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103EA55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 </w:t>
      </w:r>
      <w:r>
        <w:rPr>
          <w:rFonts w:hint="eastAsia" w:ascii="宋体" w:hAnsi="宋体" w:eastAsia="宋体" w:cs="宋体"/>
          <w:i w:val="0"/>
          <w:iCs/>
          <w:color w:val="000000"/>
          <w:kern w:val="0"/>
          <w:sz w:val="24"/>
          <w:szCs w:val="24"/>
          <w:u w:val="single"/>
          <w:lang w:val="en-US" w:eastAsia="zh-CN" w:bidi="ar"/>
        </w:rPr>
        <w:t>（标的名称）</w:t>
      </w:r>
      <w:r>
        <w:rPr>
          <w:rFonts w:hint="eastAsia" w:ascii="宋体" w:hAnsi="宋体" w:eastAsia="宋体" w:cs="宋体"/>
          <w: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，属于</w:t>
      </w:r>
      <w:r>
        <w:rPr>
          <w:rFonts w:hint="eastAsia" w:ascii="宋体" w:hAnsi="宋体" w:eastAsia="宋体" w:cs="宋体"/>
          <w:i w:val="0"/>
          <w:iCs/>
          <w:color w:val="000000"/>
          <w:kern w:val="0"/>
          <w:sz w:val="24"/>
          <w:szCs w:val="24"/>
          <w:u w:val="single"/>
          <w:lang w:val="en-US" w:eastAsia="zh-CN" w:bidi="ar"/>
        </w:rPr>
        <w:t>（</w:t>
      </w:r>
      <w:r>
        <w:rPr>
          <w:rFonts w:hint="eastAsia" w:ascii="宋体" w:hAnsi="宋体" w:cs="宋体"/>
          <w:i w:val="0"/>
          <w:iCs/>
          <w:color w:val="000000"/>
          <w:kern w:val="0"/>
          <w:sz w:val="24"/>
          <w:szCs w:val="24"/>
          <w:u w:val="single"/>
          <w:lang w:val="en-US" w:eastAsia="zh-CN" w:bidi="ar"/>
        </w:rPr>
        <w:t>制造业</w:t>
      </w:r>
      <w:r>
        <w:rPr>
          <w:rFonts w:hint="eastAsia" w:ascii="宋体" w:hAnsi="宋体" w:eastAsia="宋体" w:cs="宋体"/>
          <w:i w:val="0"/>
          <w:iCs/>
          <w:color w:val="000000"/>
          <w:kern w:val="0"/>
          <w:sz w:val="24"/>
          <w:szCs w:val="24"/>
          <w:u w:val="single"/>
          <w:lang w:val="en-US" w:eastAsia="zh-CN" w:bidi="ar"/>
        </w:rPr>
        <w:t>）</w:t>
      </w:r>
      <w:r>
        <w:rPr>
          <w:rFonts w:hint="eastAsia" w:ascii="宋体" w:hAnsi="宋体" w:eastAsia="宋体" w:cs="宋体"/>
          <w:i w:val="0"/>
          <w:iCs/>
          <w:color w:val="000000"/>
          <w:kern w:val="0"/>
          <w:sz w:val="24"/>
          <w:szCs w:val="24"/>
          <w:lang w:val="en-US" w:eastAsia="zh-CN" w:bidi="ar"/>
        </w:rPr>
        <w:t>行业</w:t>
      </w:r>
      <w:r>
        <w:rPr>
          <w:rFonts w:hint="eastAsia" w:ascii="宋体" w:hAnsi="宋体" w:eastAsia="宋体" w:cs="宋体"/>
          <w:color w:val="000000"/>
          <w:kern w:val="0"/>
          <w:sz w:val="24"/>
          <w:szCs w:val="24"/>
          <w:lang w:val="en-US" w:eastAsia="zh-CN" w:bidi="ar"/>
        </w:rPr>
        <w:t>；制造商为</w:t>
      </w:r>
      <w:r>
        <w:rPr>
          <w:rFonts w:hint="eastAsia" w:ascii="宋体" w:hAnsi="宋体" w:eastAsia="宋体" w:cs="宋体"/>
          <w:i w:val="0"/>
          <w:iCs/>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i w:val="0"/>
          <w:iCs/>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2E4A353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w:t>
      </w:r>
    </w:p>
    <w:p w14:paraId="0CD7020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以上企业，不属于大企业的分支机构，不存在控股股东为大企业的情形，也不存在与大企业的负责人为同一人的情形。</w:t>
      </w:r>
    </w:p>
    <w:p w14:paraId="2F14BB1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14:paraId="099EB168">
      <w:pPr>
        <w:keepNext w:val="0"/>
        <w:keepLines w:val="0"/>
        <w:pageBreakBefore w:val="0"/>
        <w:widowControl/>
        <w:suppressLineNumbers w:val="0"/>
        <w:kinsoku/>
        <w:wordWrap/>
        <w:overflowPunct/>
        <w:topLinePunct w:val="0"/>
        <w:autoSpaceDE/>
        <w:autoSpaceDN/>
        <w:bidi w:val="0"/>
        <w:adjustRightInd/>
        <w:snapToGrid/>
        <w:spacing w:line="560" w:lineRule="exact"/>
        <w:ind w:firstLine="3120" w:firstLineChars="1300"/>
        <w:jc w:val="left"/>
        <w:textAlignment w:val="auto"/>
        <w:rPr>
          <w:rFonts w:hint="eastAsia" w:ascii="宋体" w:hAnsi="宋体" w:eastAsia="宋体" w:cs="宋体"/>
          <w:color w:val="000000"/>
          <w:kern w:val="0"/>
          <w:sz w:val="24"/>
          <w:szCs w:val="24"/>
          <w:lang w:val="en-US" w:eastAsia="zh-CN" w:bidi="ar"/>
        </w:rPr>
      </w:pPr>
    </w:p>
    <w:p w14:paraId="47A2B314">
      <w:pPr>
        <w:pStyle w:val="31"/>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sz w:val="24"/>
          <w:szCs w:val="24"/>
          <w:lang w:val="en-US" w:eastAsia="zh-CN"/>
        </w:rPr>
      </w:pPr>
    </w:p>
    <w:p w14:paraId="3050FE94">
      <w:pPr>
        <w:keepNext w:val="0"/>
        <w:keepLines w:val="0"/>
        <w:pageBreakBefore w:val="0"/>
        <w:widowControl/>
        <w:suppressLineNumbers w:val="0"/>
        <w:kinsoku/>
        <w:wordWrap/>
        <w:overflowPunct/>
        <w:topLinePunct w:val="0"/>
        <w:autoSpaceDE/>
        <w:autoSpaceDN/>
        <w:bidi w:val="0"/>
        <w:adjustRightInd/>
        <w:snapToGrid/>
        <w:spacing w:line="560" w:lineRule="exact"/>
        <w:ind w:firstLine="4560" w:firstLineChars="19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企业名称（盖章）： </w:t>
      </w:r>
    </w:p>
    <w:p w14:paraId="2C7047C5">
      <w:pPr>
        <w:keepNext w:val="0"/>
        <w:keepLines w:val="0"/>
        <w:pageBreakBefore w:val="0"/>
        <w:widowControl/>
        <w:suppressLineNumbers w:val="0"/>
        <w:kinsoku/>
        <w:wordWrap/>
        <w:overflowPunct/>
        <w:topLinePunct w:val="0"/>
        <w:autoSpaceDE/>
        <w:autoSpaceDN/>
        <w:bidi w:val="0"/>
        <w:adjustRightInd/>
        <w:snapToGrid/>
        <w:spacing w:line="560" w:lineRule="exact"/>
        <w:ind w:firstLine="4560" w:firstLineChars="1900"/>
        <w:jc w:val="left"/>
        <w:textAlignment w:val="auto"/>
        <w:rPr>
          <w:rFonts w:ascii="Calibri" w:hAnsi="Calibri" w:cs="Times New Roman"/>
          <w:sz w:val="21"/>
        </w:rPr>
      </w:pPr>
      <w:r>
        <w:rPr>
          <w:rFonts w:hint="eastAsia" w:ascii="宋体" w:hAnsi="宋体" w:eastAsia="宋体" w:cs="宋体"/>
          <w:color w:val="000000"/>
          <w:kern w:val="0"/>
          <w:sz w:val="24"/>
          <w:szCs w:val="24"/>
          <w:lang w:val="en-US" w:eastAsia="zh-CN" w:bidi="ar"/>
        </w:rPr>
        <w:t xml:space="preserve">日   期： </w:t>
      </w:r>
    </w:p>
    <w:p w14:paraId="61864BB9">
      <w:pPr>
        <w:pStyle w:val="4"/>
        <w:numPr>
          <w:ilvl w:val="0"/>
          <w:numId w:val="0"/>
        </w:numPr>
        <w:ind w:left="709" w:hanging="709"/>
        <w:rPr>
          <w:rFonts w:hAnsi="宋体"/>
        </w:rPr>
      </w:pPr>
      <w:r>
        <w:rPr>
          <w:lang w:val="zh-CN"/>
        </w:rPr>
        <w:br w:type="page"/>
      </w:r>
      <w:bookmarkStart w:id="224" w:name="_Toc1575353"/>
      <w:r>
        <w:rPr>
          <w:rFonts w:hint="eastAsia" w:hAnsi="宋体"/>
          <w:b/>
          <w:sz w:val="32"/>
          <w:lang w:val="zh-CN"/>
        </w:rPr>
        <w:t>格式1</w:t>
      </w:r>
      <w:r>
        <w:rPr>
          <w:rFonts w:hint="eastAsia" w:hAnsi="宋体"/>
          <w:b/>
          <w:sz w:val="32"/>
        </w:rPr>
        <w:t>8</w:t>
      </w:r>
      <w:r>
        <w:rPr>
          <w:rFonts w:hint="eastAsia" w:hAnsi="宋体"/>
          <w:b/>
          <w:sz w:val="32"/>
          <w:lang w:val="zh-CN"/>
        </w:rPr>
        <w:t>、</w:t>
      </w:r>
      <w:bookmarkStart w:id="225" w:name="_Toc5881"/>
      <w:bookmarkStart w:id="226" w:name="_Toc500160598"/>
      <w:bookmarkStart w:id="227" w:name="_Toc500160642"/>
      <w:r>
        <w:rPr>
          <w:rFonts w:hint="eastAsia" w:hAnsi="宋体"/>
          <w:b/>
          <w:sz w:val="32"/>
          <w:lang w:val="zh-CN"/>
        </w:rPr>
        <w:t>残疾人福利性单位声明函</w:t>
      </w:r>
      <w:bookmarkEnd w:id="224"/>
      <w:bookmarkEnd w:id="225"/>
      <w:bookmarkEnd w:id="226"/>
      <w:bookmarkEnd w:id="227"/>
    </w:p>
    <w:p w14:paraId="39B1AC92">
      <w:pPr>
        <w:jc w:val="center"/>
        <w:rPr>
          <w:rFonts w:ascii="宋体" w:hAnsi="宋体" w:cs="宋体"/>
          <w:b/>
          <w:sz w:val="36"/>
          <w:szCs w:val="36"/>
        </w:rPr>
      </w:pPr>
      <w:bookmarkStart w:id="228" w:name="OLE_LINK14"/>
      <w:bookmarkStart w:id="229" w:name="OLE_LINK13"/>
    </w:p>
    <w:p w14:paraId="43D8FA4E">
      <w:pPr>
        <w:autoSpaceDE w:val="0"/>
        <w:autoSpaceDN w:val="0"/>
        <w:spacing w:line="360" w:lineRule="auto"/>
        <w:jc w:val="center"/>
        <w:rPr>
          <w:rFonts w:ascii="宋体" w:hAnsi="宋体" w:cs="宋体"/>
          <w:b/>
          <w:bCs/>
          <w:sz w:val="28"/>
          <w:szCs w:val="28"/>
        </w:rPr>
      </w:pPr>
      <w:bookmarkStart w:id="230" w:name="_Hlk500164733"/>
      <w:r>
        <w:rPr>
          <w:rFonts w:hint="eastAsia" w:ascii="宋体" w:hAnsi="宋体" w:cs="宋体"/>
          <w:b/>
          <w:bCs/>
          <w:kern w:val="0"/>
          <w:sz w:val="28"/>
          <w:szCs w:val="28"/>
        </w:rPr>
        <w:t>残疾人福利性单位声明函</w:t>
      </w:r>
      <w:bookmarkEnd w:id="230"/>
    </w:p>
    <w:bookmarkEnd w:id="228"/>
    <w:bookmarkEnd w:id="229"/>
    <w:p w14:paraId="3B58A4AF">
      <w:pPr>
        <w:spacing w:after="120" w:afterLines="50"/>
        <w:rPr>
          <w:rFonts w:ascii="宋体" w:hAnsi="宋体" w:cs="宋体"/>
          <w:bCs/>
        </w:rPr>
      </w:pPr>
    </w:p>
    <w:p w14:paraId="4C83A9B3">
      <w:pPr>
        <w:autoSpaceDE w:val="0"/>
        <w:autoSpaceDN w:val="0"/>
        <w:spacing w:line="360" w:lineRule="auto"/>
        <w:rPr>
          <w:rFonts w:ascii="宋体" w:hAnsi="宋体" w:cs="宋体"/>
          <w:b/>
          <w:bCs/>
        </w:rPr>
      </w:pPr>
      <w:r>
        <w:rPr>
          <w:rFonts w:hint="eastAsia" w:ascii="宋体" w:hAnsi="宋体" w:cs="宋体"/>
          <w:b/>
          <w:bCs/>
          <w:kern w:val="0"/>
          <w:sz w:val="28"/>
          <w:szCs w:val="28"/>
          <w:lang w:val="zh-CN"/>
        </w:rPr>
        <w:t>致：青海奕帆工程项目管理有限公司</w:t>
      </w:r>
    </w:p>
    <w:p w14:paraId="3C83EB6D">
      <w:pPr>
        <w:ind w:firstLine="480"/>
        <w:rPr>
          <w:rFonts w:ascii="宋体" w:hAnsi="宋体" w:cs="宋体"/>
        </w:rPr>
      </w:pPr>
    </w:p>
    <w:p w14:paraId="70F44464">
      <w:pPr>
        <w:autoSpaceDE w:val="0"/>
        <w:autoSpaceDN w:val="0"/>
        <w:spacing w:line="360" w:lineRule="auto"/>
        <w:ind w:firstLine="360"/>
        <w:rPr>
          <w:rFonts w:ascii="宋体" w:hAnsi="宋体" w:cs="宋体"/>
          <w:kern w:val="0"/>
          <w:sz w:val="24"/>
          <w:lang w:val="zh-CN"/>
        </w:rPr>
      </w:pPr>
      <w:r>
        <w:rPr>
          <w:rFonts w:hint="eastAsia" w:ascii="宋体" w:hAnsi="宋体" w:cs="宋体"/>
          <w:kern w:val="0"/>
          <w:sz w:val="24"/>
          <w:lang w:val="zh-CN"/>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kern w:val="0"/>
          <w:sz w:val="24"/>
          <w:u w:val="single"/>
          <w:lang w:val="zh-CN"/>
        </w:rPr>
        <w:t xml:space="preserve">       </w:t>
      </w:r>
      <w:r>
        <w:rPr>
          <w:rFonts w:hint="eastAsia" w:ascii="宋体" w:hAnsi="宋体" w:cs="宋体"/>
          <w:kern w:val="0"/>
          <w:sz w:val="24"/>
          <w:lang w:val="zh-CN"/>
        </w:rPr>
        <w:t>人，安置的残疾人人数</w:t>
      </w:r>
      <w:r>
        <w:rPr>
          <w:rFonts w:hint="eastAsia" w:ascii="宋体" w:hAnsi="宋体" w:cs="宋体"/>
          <w:kern w:val="0"/>
          <w:sz w:val="24"/>
          <w:u w:val="single"/>
          <w:lang w:val="zh-CN"/>
        </w:rPr>
        <w:t xml:space="preserve">      </w:t>
      </w:r>
      <w:r>
        <w:rPr>
          <w:rFonts w:hint="eastAsia" w:ascii="宋体" w:hAnsi="宋体" w:cs="宋体"/>
          <w:kern w:val="0"/>
          <w:sz w:val="24"/>
          <w:lang w:val="zh-CN"/>
        </w:rPr>
        <w:t>人。且本单位参加______单位的______项目采购活动提供本单位制造的货物（由本单位承担工程/提供服务），或者提供其他残疾人福利性单位制造的货物（不包括使用非残疾人福利性单位注册商标的货物）。</w:t>
      </w:r>
    </w:p>
    <w:p w14:paraId="79F9FBDB">
      <w:pPr>
        <w:autoSpaceDE w:val="0"/>
        <w:autoSpaceDN w:val="0"/>
        <w:spacing w:line="360" w:lineRule="auto"/>
        <w:ind w:firstLine="360"/>
        <w:rPr>
          <w:rFonts w:ascii="宋体" w:hAnsi="宋体" w:cs="宋体"/>
          <w:kern w:val="0"/>
          <w:sz w:val="24"/>
          <w:lang w:val="zh-CN"/>
        </w:rPr>
      </w:pPr>
      <w:r>
        <w:rPr>
          <w:rFonts w:hint="eastAsia" w:ascii="宋体" w:hAnsi="宋体" w:cs="宋体"/>
          <w:kern w:val="0"/>
          <w:sz w:val="24"/>
          <w:lang w:val="zh-CN"/>
        </w:rPr>
        <w:t>本单位对上述声明的真实性负责。如有虚假，将依法承担相应责任。</w:t>
      </w:r>
    </w:p>
    <w:p w14:paraId="7882282C">
      <w:pPr>
        <w:autoSpaceDE w:val="0"/>
        <w:autoSpaceDN w:val="0"/>
        <w:spacing w:line="360" w:lineRule="auto"/>
        <w:ind w:firstLine="360"/>
        <w:rPr>
          <w:rFonts w:ascii="宋体" w:hAnsi="宋体" w:cs="宋体"/>
          <w:kern w:val="0"/>
          <w:sz w:val="24"/>
          <w:lang w:val="zh-CN"/>
        </w:rPr>
      </w:pPr>
    </w:p>
    <w:p w14:paraId="179B11D7">
      <w:pPr>
        <w:autoSpaceDE w:val="0"/>
        <w:autoSpaceDN w:val="0"/>
        <w:spacing w:line="360" w:lineRule="auto"/>
        <w:ind w:firstLine="360"/>
        <w:rPr>
          <w:rFonts w:ascii="宋体" w:hAnsi="宋体" w:cs="宋体"/>
          <w:kern w:val="0"/>
          <w:sz w:val="24"/>
          <w:lang w:val="zh-CN"/>
        </w:rPr>
      </w:pPr>
      <w:r>
        <w:rPr>
          <w:rFonts w:hint="eastAsia" w:ascii="宋体" w:hAnsi="宋体" w:cs="宋体"/>
          <w:kern w:val="0"/>
          <w:sz w:val="24"/>
          <w:lang w:val="zh-CN"/>
        </w:rPr>
        <w:t>注：若无此项内容，可不提供此函。</w:t>
      </w:r>
    </w:p>
    <w:p w14:paraId="54B4E3EF">
      <w:pPr>
        <w:ind w:firstLine="480"/>
        <w:rPr>
          <w:rFonts w:ascii="宋体" w:hAnsi="宋体" w:cs="宋体"/>
        </w:rPr>
      </w:pPr>
    </w:p>
    <w:p w14:paraId="35A850BC">
      <w:pPr>
        <w:ind w:firstLine="480"/>
        <w:rPr>
          <w:rFonts w:ascii="宋体" w:hAnsi="宋体" w:cs="宋体"/>
        </w:rPr>
      </w:pPr>
    </w:p>
    <w:p w14:paraId="41F20A73">
      <w:pPr>
        <w:ind w:firstLine="480"/>
        <w:rPr>
          <w:rFonts w:ascii="宋体" w:hAnsi="宋体" w:cs="宋体"/>
        </w:rPr>
      </w:pPr>
    </w:p>
    <w:p w14:paraId="3A4B5701">
      <w:pPr>
        <w:ind w:firstLine="480"/>
        <w:rPr>
          <w:rFonts w:ascii="宋体" w:hAnsi="宋体" w:cs="宋体"/>
        </w:rPr>
      </w:pPr>
    </w:p>
    <w:p w14:paraId="16E6CCA5">
      <w:pPr>
        <w:ind w:firstLine="480"/>
        <w:rPr>
          <w:rFonts w:ascii="宋体" w:hAnsi="宋体" w:cs="宋体"/>
        </w:rPr>
      </w:pPr>
    </w:p>
    <w:p w14:paraId="5030B12B">
      <w:pPr>
        <w:ind w:firstLine="480"/>
        <w:rPr>
          <w:rFonts w:ascii="宋体" w:hAnsi="宋体" w:cs="宋体"/>
        </w:rPr>
      </w:pPr>
    </w:p>
    <w:p w14:paraId="41F11766">
      <w:pPr>
        <w:ind w:firstLine="480"/>
        <w:rPr>
          <w:rFonts w:ascii="宋体" w:hAnsi="宋体" w:cs="宋体"/>
        </w:rPr>
      </w:pPr>
    </w:p>
    <w:p w14:paraId="528480BA">
      <w:pPr>
        <w:ind w:firstLine="480"/>
        <w:rPr>
          <w:rFonts w:ascii="宋体" w:hAnsi="宋体" w:cs="宋体"/>
        </w:rPr>
      </w:pPr>
    </w:p>
    <w:p w14:paraId="0F011D68">
      <w:pPr>
        <w:ind w:firstLine="480"/>
        <w:rPr>
          <w:rFonts w:ascii="宋体" w:hAnsi="宋体" w:cs="宋体"/>
        </w:rPr>
      </w:pPr>
    </w:p>
    <w:p w14:paraId="09177657">
      <w:pPr>
        <w:ind w:firstLine="480"/>
        <w:rPr>
          <w:rFonts w:ascii="宋体" w:hAnsi="宋体" w:cs="宋体"/>
        </w:rPr>
      </w:pPr>
    </w:p>
    <w:p w14:paraId="16B7C42C">
      <w:pPr>
        <w:ind w:firstLine="480"/>
        <w:rPr>
          <w:rFonts w:ascii="宋体" w:hAnsi="宋体" w:cs="宋体"/>
        </w:rPr>
      </w:pPr>
    </w:p>
    <w:p w14:paraId="7C98048E">
      <w:pPr>
        <w:rPr>
          <w:rFonts w:ascii="宋体" w:hAnsi="宋体" w:cs="宋体"/>
        </w:rPr>
      </w:pPr>
    </w:p>
    <w:p w14:paraId="03182605">
      <w:pPr>
        <w:ind w:firstLine="480"/>
        <w:rPr>
          <w:rFonts w:ascii="宋体" w:hAnsi="宋体" w:cs="宋体"/>
        </w:rPr>
      </w:pPr>
    </w:p>
    <w:p w14:paraId="3B086677">
      <w:pPr>
        <w:ind w:firstLine="480"/>
        <w:rPr>
          <w:rFonts w:ascii="宋体" w:hAnsi="宋体" w:cs="宋体"/>
        </w:rPr>
      </w:pPr>
    </w:p>
    <w:p w14:paraId="445CACA7">
      <w:pPr>
        <w:autoSpaceDE w:val="0"/>
        <w:autoSpaceDN w:val="0"/>
        <w:spacing w:line="360" w:lineRule="auto"/>
        <w:jc w:val="right"/>
        <w:rPr>
          <w:rFonts w:ascii="宋体" w:hAnsi="宋体"/>
          <w:bCs/>
          <w:sz w:val="24"/>
          <w:szCs w:val="28"/>
        </w:rPr>
      </w:pPr>
      <w:r>
        <w:rPr>
          <w:rFonts w:hint="eastAsia" w:ascii="宋体" w:hAnsi="宋体"/>
          <w:bCs/>
          <w:sz w:val="24"/>
          <w:szCs w:val="28"/>
        </w:rPr>
        <w:t>企业名称：</w:t>
      </w:r>
      <w:r>
        <w:rPr>
          <w:rFonts w:hint="eastAsia" w:ascii="宋体" w:hAnsi="宋体"/>
          <w:bCs/>
          <w:sz w:val="24"/>
          <w:szCs w:val="28"/>
          <w:u w:val="single"/>
        </w:rPr>
        <w:t xml:space="preserve">       </w:t>
      </w:r>
      <w:r>
        <w:rPr>
          <w:rFonts w:hint="eastAsia" w:ascii="宋体" w:hAnsi="宋体"/>
          <w:bCs/>
          <w:sz w:val="24"/>
          <w:szCs w:val="28"/>
        </w:rPr>
        <w:t>（公章）</w:t>
      </w:r>
    </w:p>
    <w:p w14:paraId="45C20FC0">
      <w:pPr>
        <w:autoSpaceDE w:val="0"/>
        <w:autoSpaceDN w:val="0"/>
        <w:spacing w:line="360" w:lineRule="auto"/>
        <w:jc w:val="right"/>
        <w:rPr>
          <w:rFonts w:ascii="宋体" w:hAnsi="宋体"/>
          <w:bCs/>
          <w:sz w:val="24"/>
          <w:szCs w:val="28"/>
        </w:rPr>
      </w:pPr>
      <w:r>
        <w:rPr>
          <w:rFonts w:hint="eastAsia" w:ascii="宋体" w:hAnsi="宋体"/>
          <w:bCs/>
          <w:sz w:val="24"/>
          <w:szCs w:val="28"/>
        </w:rPr>
        <w:t xml:space="preserve">       企业法定代表人：</w:t>
      </w:r>
      <w:r>
        <w:rPr>
          <w:rFonts w:hint="eastAsia" w:ascii="宋体" w:hAnsi="宋体"/>
          <w:bCs/>
          <w:sz w:val="24"/>
          <w:szCs w:val="28"/>
          <w:u w:val="single"/>
        </w:rPr>
        <w:t xml:space="preserve">       </w:t>
      </w:r>
      <w:r>
        <w:rPr>
          <w:rFonts w:hint="eastAsia" w:ascii="宋体" w:hAnsi="宋体"/>
          <w:bCs/>
          <w:sz w:val="24"/>
          <w:szCs w:val="28"/>
        </w:rPr>
        <w:t>（签字或盖章）</w:t>
      </w:r>
    </w:p>
    <w:p w14:paraId="5F534BED">
      <w:pPr>
        <w:autoSpaceDE w:val="0"/>
        <w:autoSpaceDN w:val="0"/>
        <w:spacing w:line="360" w:lineRule="auto"/>
        <w:jc w:val="right"/>
        <w:rPr>
          <w:lang w:val="zh-CN"/>
        </w:rPr>
      </w:pPr>
      <w:r>
        <w:rPr>
          <w:rFonts w:hint="eastAsia" w:ascii="宋体" w:hAnsi="宋体"/>
          <w:bCs/>
          <w:sz w:val="24"/>
          <w:szCs w:val="28"/>
        </w:rPr>
        <w:t>日期：    年   月   日</w:t>
      </w:r>
    </w:p>
    <w:p w14:paraId="1B656C13">
      <w:pPr>
        <w:numPr>
          <w:ilvl w:val="0"/>
          <w:numId w:val="0"/>
        </w:numPr>
        <w:tabs>
          <w:tab w:val="left" w:pos="425"/>
          <w:tab w:val="left" w:pos="720"/>
        </w:tabs>
        <w:ind w:left="709" w:hanging="709"/>
        <w:outlineLvl w:val="9"/>
        <w:rPr>
          <w:lang w:val="zh-CN"/>
        </w:rPr>
      </w:pPr>
      <w:r>
        <w:rPr>
          <w:lang w:val="zh-CN"/>
        </w:rPr>
        <w:br w:type="page"/>
      </w:r>
    </w:p>
    <w:p w14:paraId="1A5EC93A">
      <w:pPr>
        <w:pStyle w:val="4"/>
        <w:numPr>
          <w:ilvl w:val="0"/>
          <w:numId w:val="0"/>
        </w:numPr>
        <w:ind w:left="709" w:hanging="709"/>
        <w:rPr>
          <w:rFonts w:hAnsi="宋体" w:cs="宋体"/>
        </w:rPr>
      </w:pPr>
      <w:bookmarkStart w:id="231" w:name="_Toc31287"/>
      <w:bookmarkStart w:id="232" w:name="_Toc1575354"/>
      <w:r>
        <w:rPr>
          <w:rFonts w:hint="eastAsia" w:hAnsi="宋体"/>
          <w:b/>
          <w:sz w:val="32"/>
          <w:lang w:val="zh-CN"/>
        </w:rPr>
        <w:t>格式</w:t>
      </w:r>
      <w:r>
        <w:rPr>
          <w:rFonts w:hint="eastAsia" w:hAnsi="宋体"/>
          <w:b/>
          <w:sz w:val="32"/>
        </w:rPr>
        <w:t>19</w:t>
      </w:r>
      <w:r>
        <w:rPr>
          <w:rFonts w:hint="eastAsia" w:hAnsi="宋体"/>
          <w:b/>
          <w:sz w:val="32"/>
          <w:lang w:val="zh-CN"/>
        </w:rPr>
        <w:t>、磋商供应商认为在其他方面有必要说明的事项</w:t>
      </w:r>
      <w:bookmarkEnd w:id="231"/>
      <w:bookmarkEnd w:id="232"/>
    </w:p>
    <w:p w14:paraId="62C14366">
      <w:pPr>
        <w:autoSpaceDE w:val="0"/>
        <w:autoSpaceDN w:val="0"/>
        <w:adjustRightInd w:val="0"/>
        <w:spacing w:line="360" w:lineRule="auto"/>
        <w:rPr>
          <w:rFonts w:ascii="宋体" w:hAnsi="宋体" w:cs="宋体"/>
          <w:kern w:val="0"/>
          <w:sz w:val="24"/>
          <w:lang w:val="zh-CN"/>
        </w:rPr>
      </w:pPr>
    </w:p>
    <w:p w14:paraId="0191EBE9">
      <w:pPr>
        <w:pStyle w:val="18"/>
        <w:spacing w:line="360" w:lineRule="auto"/>
        <w:jc w:val="center"/>
        <w:rPr>
          <w:rFonts w:hAnsi="宋体" w:cs="宋体"/>
          <w:b/>
          <w:bCs/>
          <w:sz w:val="30"/>
          <w:szCs w:val="30"/>
          <w:lang w:val="zh-CN"/>
        </w:rPr>
      </w:pPr>
      <w:r>
        <w:rPr>
          <w:rFonts w:hint="eastAsia" w:hAnsi="宋体" w:cs="宋体"/>
          <w:b/>
          <w:bCs/>
          <w:sz w:val="30"/>
          <w:szCs w:val="30"/>
          <w:lang w:val="zh-CN"/>
        </w:rPr>
        <w:t>磋商供应商认为在其他方面有必要说明的事项</w:t>
      </w:r>
    </w:p>
    <w:p w14:paraId="0A40D89F">
      <w:pPr>
        <w:autoSpaceDE w:val="0"/>
        <w:autoSpaceDN w:val="0"/>
        <w:adjustRightInd w:val="0"/>
        <w:spacing w:line="360" w:lineRule="auto"/>
        <w:rPr>
          <w:rFonts w:ascii="宋体" w:hAnsi="宋体" w:cs="宋体"/>
          <w:kern w:val="0"/>
          <w:sz w:val="24"/>
          <w:lang w:val="zh-CN"/>
        </w:rPr>
      </w:pPr>
    </w:p>
    <w:p w14:paraId="4BC4302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磋商供应商在参加本项目磋商中根据磋商文件的要求认为需要说明的事项，但不作为评标依据。如没有说明事项，此项可忽略。（格式可自定）</w:t>
      </w:r>
    </w:p>
    <w:p w14:paraId="2D6ACFF2">
      <w:pPr>
        <w:pStyle w:val="4"/>
        <w:numPr>
          <w:ilvl w:val="0"/>
          <w:numId w:val="0"/>
        </w:numPr>
        <w:ind w:left="709" w:hanging="709"/>
        <w:rPr>
          <w:rFonts w:hAnsi="宋体"/>
          <w:b/>
          <w:sz w:val="32"/>
          <w:lang w:val="zh-CN"/>
        </w:rPr>
      </w:pPr>
      <w:r>
        <w:rPr>
          <w:rFonts w:hAnsi="宋体"/>
          <w:bCs/>
          <w:sz w:val="24"/>
          <w:szCs w:val="28"/>
        </w:rPr>
        <w:br w:type="page"/>
      </w:r>
      <w:bookmarkStart w:id="233" w:name="_Toc1575355"/>
      <w:r>
        <w:rPr>
          <w:rFonts w:hint="eastAsia" w:hAnsi="宋体"/>
          <w:b/>
          <w:sz w:val="32"/>
          <w:lang w:val="zh-CN"/>
        </w:rPr>
        <w:t>格式2</w:t>
      </w:r>
      <w:r>
        <w:rPr>
          <w:rFonts w:hint="eastAsia" w:hAnsi="宋体"/>
          <w:b/>
          <w:sz w:val="32"/>
        </w:rPr>
        <w:t>0</w:t>
      </w:r>
      <w:r>
        <w:rPr>
          <w:rFonts w:hint="eastAsia" w:hAnsi="宋体"/>
          <w:b/>
          <w:sz w:val="32"/>
          <w:lang w:val="zh-CN"/>
        </w:rPr>
        <w:t>、磋商最终报价表</w:t>
      </w:r>
      <w:bookmarkEnd w:id="233"/>
    </w:p>
    <w:p w14:paraId="56C0E0EA">
      <w:pPr>
        <w:spacing w:line="360" w:lineRule="auto"/>
        <w:jc w:val="center"/>
        <w:rPr>
          <w:rFonts w:hint="eastAsia" w:ascii="宋体" w:hAnsi="宋体"/>
          <w:b/>
          <w:sz w:val="36"/>
          <w:szCs w:val="36"/>
        </w:rPr>
      </w:pPr>
    </w:p>
    <w:p w14:paraId="024FFABD">
      <w:pPr>
        <w:spacing w:line="360" w:lineRule="auto"/>
        <w:jc w:val="center"/>
        <w:rPr>
          <w:rFonts w:ascii="宋体" w:hAnsi="宋体"/>
          <w:b/>
          <w:sz w:val="36"/>
          <w:szCs w:val="36"/>
        </w:rPr>
      </w:pPr>
      <w:r>
        <w:rPr>
          <w:rFonts w:hint="eastAsia" w:ascii="宋体" w:hAnsi="宋体"/>
          <w:b/>
          <w:sz w:val="36"/>
          <w:szCs w:val="36"/>
        </w:rPr>
        <w:t>磋商最终报价表</w:t>
      </w:r>
    </w:p>
    <w:p w14:paraId="7250E88A">
      <w:pPr>
        <w:spacing w:line="360" w:lineRule="auto"/>
        <w:rPr>
          <w:rFonts w:ascii="宋体" w:hAnsi="宋体"/>
          <w:b/>
          <w:sz w:val="28"/>
          <w:szCs w:val="28"/>
        </w:rPr>
      </w:pPr>
      <w:r>
        <w:rPr>
          <w:rFonts w:hint="eastAsia" w:ascii="宋体" w:hAnsi="宋体"/>
          <w:b/>
          <w:sz w:val="28"/>
          <w:szCs w:val="28"/>
        </w:rPr>
        <w:t xml:space="preserve">磋商供应商名称：                                        </w:t>
      </w:r>
      <w:r>
        <w:rPr>
          <w:rFonts w:hint="eastAsia" w:ascii="宋体" w:hAnsi="宋体"/>
          <w:b/>
          <w:sz w:val="24"/>
        </w:rPr>
        <w:t>单位：元</w:t>
      </w:r>
    </w:p>
    <w:tbl>
      <w:tblPr>
        <w:tblStyle w:val="34"/>
        <w:tblW w:w="9968" w:type="dxa"/>
        <w:jc w:val="center"/>
        <w:tblLayout w:type="fixed"/>
        <w:tblCellMar>
          <w:top w:w="0" w:type="dxa"/>
          <w:left w:w="108" w:type="dxa"/>
          <w:bottom w:w="0" w:type="dxa"/>
          <w:right w:w="108" w:type="dxa"/>
        </w:tblCellMar>
      </w:tblPr>
      <w:tblGrid>
        <w:gridCol w:w="3458"/>
        <w:gridCol w:w="2951"/>
        <w:gridCol w:w="2313"/>
        <w:gridCol w:w="1246"/>
      </w:tblGrid>
      <w:tr w14:paraId="6EE0F788">
        <w:tblPrEx>
          <w:tblCellMar>
            <w:top w:w="0" w:type="dxa"/>
            <w:left w:w="108" w:type="dxa"/>
            <w:bottom w:w="0" w:type="dxa"/>
            <w:right w:w="108" w:type="dxa"/>
          </w:tblCellMar>
        </w:tblPrEx>
        <w:trPr>
          <w:trHeight w:val="699" w:hRule="atLeast"/>
          <w:jc w:val="center"/>
        </w:trPr>
        <w:tc>
          <w:tcPr>
            <w:tcW w:w="345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E97422">
            <w:pPr>
              <w:autoSpaceDE w:val="0"/>
              <w:autoSpaceDN w:val="0"/>
              <w:spacing w:line="360" w:lineRule="auto"/>
              <w:jc w:val="center"/>
              <w:rPr>
                <w:rFonts w:ascii="Arial" w:hAnsi="Arial" w:cs="Arial"/>
                <w:sz w:val="24"/>
                <w:lang w:val="zh-CN"/>
              </w:rPr>
            </w:pPr>
            <w:r>
              <w:rPr>
                <w:rFonts w:ascii="Arial" w:hAnsi="Arial" w:cs="Arial"/>
                <w:bCs/>
                <w:sz w:val="24"/>
                <w:lang w:val="zh-CN"/>
              </w:rPr>
              <w:t>项目名称</w:t>
            </w:r>
          </w:p>
        </w:tc>
        <w:tc>
          <w:tcPr>
            <w:tcW w:w="295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1D83399">
            <w:pPr>
              <w:autoSpaceDE w:val="0"/>
              <w:autoSpaceDN w:val="0"/>
              <w:spacing w:line="360" w:lineRule="auto"/>
              <w:ind w:firstLine="482"/>
              <w:jc w:val="center"/>
              <w:rPr>
                <w:rFonts w:ascii="Arial" w:hAnsi="Arial" w:cs="Arial"/>
                <w:lang w:val="zh-CN"/>
              </w:rPr>
            </w:pPr>
            <w:r>
              <w:rPr>
                <w:rFonts w:ascii="Arial" w:hAnsi="Arial" w:cs="Arial"/>
                <w:bCs/>
                <w:sz w:val="24"/>
                <w:lang w:val="zh-CN"/>
              </w:rPr>
              <w:t>投标报价</w:t>
            </w:r>
          </w:p>
        </w:tc>
        <w:tc>
          <w:tcPr>
            <w:tcW w:w="2313" w:type="dxa"/>
            <w:tcBorders>
              <w:top w:val="single" w:color="000000" w:sz="6" w:space="0"/>
              <w:left w:val="single" w:color="000000" w:sz="6" w:space="0"/>
              <w:bottom w:val="single" w:color="000000" w:sz="6" w:space="0"/>
              <w:right w:val="single" w:color="auto" w:sz="4" w:space="0"/>
            </w:tcBorders>
            <w:shd w:val="clear" w:color="000000" w:fill="FFFFFF"/>
            <w:vAlign w:val="center"/>
          </w:tcPr>
          <w:p w14:paraId="184E0EA3">
            <w:pPr>
              <w:autoSpaceDE w:val="0"/>
              <w:autoSpaceDN w:val="0"/>
              <w:spacing w:line="360" w:lineRule="auto"/>
              <w:jc w:val="center"/>
              <w:rPr>
                <w:rFonts w:ascii="Arial" w:hAnsi="Arial" w:cs="Arial"/>
                <w:sz w:val="24"/>
                <w:lang w:val="zh-CN"/>
              </w:rPr>
            </w:pPr>
            <w:r>
              <w:rPr>
                <w:rFonts w:ascii="Arial" w:hAnsi="Arial" w:cs="Arial"/>
                <w:bCs/>
                <w:sz w:val="24"/>
                <w:lang w:val="zh-CN"/>
              </w:rPr>
              <w:t>交货期</w:t>
            </w:r>
          </w:p>
        </w:tc>
        <w:tc>
          <w:tcPr>
            <w:tcW w:w="12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623326">
            <w:pPr>
              <w:autoSpaceDE w:val="0"/>
              <w:autoSpaceDN w:val="0"/>
              <w:spacing w:line="360" w:lineRule="auto"/>
              <w:jc w:val="center"/>
              <w:rPr>
                <w:rFonts w:ascii="Arial" w:hAnsi="Arial" w:cs="Arial"/>
                <w:lang w:val="zh-CN"/>
              </w:rPr>
            </w:pPr>
            <w:r>
              <w:rPr>
                <w:rFonts w:ascii="Arial" w:hAnsi="Arial" w:cs="Arial"/>
                <w:bCs/>
                <w:sz w:val="24"/>
                <w:lang w:val="zh-CN"/>
              </w:rPr>
              <w:t>备注</w:t>
            </w:r>
          </w:p>
        </w:tc>
      </w:tr>
      <w:tr w14:paraId="651E3A0F">
        <w:tblPrEx>
          <w:tblCellMar>
            <w:top w:w="0" w:type="dxa"/>
            <w:left w:w="108" w:type="dxa"/>
            <w:bottom w:w="0" w:type="dxa"/>
            <w:right w:w="108" w:type="dxa"/>
          </w:tblCellMar>
        </w:tblPrEx>
        <w:trPr>
          <w:trHeight w:val="680" w:hRule="atLeast"/>
          <w:jc w:val="center"/>
        </w:trPr>
        <w:tc>
          <w:tcPr>
            <w:tcW w:w="3458" w:type="dxa"/>
            <w:vMerge w:val="restart"/>
            <w:tcBorders>
              <w:top w:val="single" w:color="000000" w:sz="6" w:space="0"/>
              <w:left w:val="single" w:color="000000" w:sz="6" w:space="0"/>
              <w:right w:val="single" w:color="000000" w:sz="6" w:space="0"/>
            </w:tcBorders>
            <w:shd w:val="clear" w:color="000000" w:fill="FFFFFF"/>
            <w:vAlign w:val="center"/>
          </w:tcPr>
          <w:p w14:paraId="6B041A38">
            <w:pPr>
              <w:autoSpaceDE w:val="0"/>
              <w:autoSpaceDN w:val="0"/>
              <w:spacing w:line="360" w:lineRule="auto"/>
              <w:jc w:val="center"/>
              <w:rPr>
                <w:rFonts w:ascii="Arial" w:hAnsi="Arial" w:cs="Arial"/>
                <w:lang w:val="zh-CN"/>
              </w:rPr>
            </w:pPr>
          </w:p>
        </w:tc>
        <w:tc>
          <w:tcPr>
            <w:tcW w:w="295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04AFC2">
            <w:pPr>
              <w:autoSpaceDE w:val="0"/>
              <w:autoSpaceDN w:val="0"/>
              <w:spacing w:line="360" w:lineRule="auto"/>
              <w:rPr>
                <w:rFonts w:ascii="Arial" w:hAnsi="Arial" w:cs="Arial"/>
                <w:lang w:val="zh-CN"/>
              </w:rPr>
            </w:pPr>
            <w:r>
              <w:rPr>
                <w:rFonts w:ascii="Arial" w:hAnsi="Arial" w:cs="Arial"/>
                <w:bCs/>
                <w:sz w:val="24"/>
                <w:lang w:val="zh-CN"/>
              </w:rPr>
              <w:t>大写：</w:t>
            </w:r>
          </w:p>
        </w:tc>
        <w:tc>
          <w:tcPr>
            <w:tcW w:w="2313" w:type="dxa"/>
            <w:vMerge w:val="restart"/>
            <w:tcBorders>
              <w:top w:val="single" w:color="000000" w:sz="6" w:space="0"/>
              <w:left w:val="single" w:color="000000" w:sz="6" w:space="0"/>
              <w:bottom w:val="single" w:color="000000" w:sz="6" w:space="0"/>
              <w:right w:val="single" w:color="auto" w:sz="4" w:space="0"/>
            </w:tcBorders>
            <w:shd w:val="clear" w:color="000000" w:fill="FFFFFF"/>
            <w:vAlign w:val="center"/>
          </w:tcPr>
          <w:p w14:paraId="6D17F80A">
            <w:pPr>
              <w:autoSpaceDE w:val="0"/>
              <w:autoSpaceDN w:val="0"/>
              <w:spacing w:line="360" w:lineRule="auto"/>
              <w:ind w:firstLine="197"/>
              <w:jc w:val="center"/>
              <w:rPr>
                <w:rFonts w:ascii="Arial" w:hAnsi="Arial" w:cs="Arial"/>
                <w:lang w:val="zh-CN"/>
              </w:rPr>
            </w:pPr>
          </w:p>
        </w:tc>
        <w:tc>
          <w:tcPr>
            <w:tcW w:w="1246"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14:paraId="09299C94">
            <w:pPr>
              <w:autoSpaceDE w:val="0"/>
              <w:autoSpaceDN w:val="0"/>
              <w:spacing w:line="360" w:lineRule="auto"/>
              <w:jc w:val="center"/>
              <w:rPr>
                <w:rFonts w:ascii="Arial" w:hAnsi="Arial" w:cs="Arial"/>
                <w:lang w:val="zh-CN"/>
              </w:rPr>
            </w:pPr>
          </w:p>
        </w:tc>
      </w:tr>
      <w:tr w14:paraId="02893E10">
        <w:tblPrEx>
          <w:tblCellMar>
            <w:top w:w="0" w:type="dxa"/>
            <w:left w:w="108" w:type="dxa"/>
            <w:bottom w:w="0" w:type="dxa"/>
            <w:right w:w="108" w:type="dxa"/>
          </w:tblCellMar>
        </w:tblPrEx>
        <w:trPr>
          <w:trHeight w:val="653" w:hRule="atLeast"/>
          <w:jc w:val="center"/>
        </w:trPr>
        <w:tc>
          <w:tcPr>
            <w:tcW w:w="3458" w:type="dxa"/>
            <w:vMerge w:val="continue"/>
            <w:tcBorders>
              <w:left w:val="single" w:color="000000" w:sz="6" w:space="0"/>
              <w:bottom w:val="single" w:color="auto" w:sz="4" w:space="0"/>
              <w:right w:val="single" w:color="000000" w:sz="6" w:space="0"/>
            </w:tcBorders>
            <w:shd w:val="clear" w:color="000000" w:fill="FFFFFF"/>
            <w:vAlign w:val="center"/>
          </w:tcPr>
          <w:p w14:paraId="27791A55">
            <w:pPr>
              <w:autoSpaceDE w:val="0"/>
              <w:autoSpaceDN w:val="0"/>
              <w:spacing w:line="360" w:lineRule="auto"/>
              <w:jc w:val="center"/>
              <w:rPr>
                <w:rFonts w:ascii="Arial" w:hAnsi="Arial" w:cs="Arial"/>
                <w:lang w:val="zh-CN"/>
              </w:rPr>
            </w:pPr>
          </w:p>
        </w:tc>
        <w:tc>
          <w:tcPr>
            <w:tcW w:w="2951"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0292D1A0">
            <w:pPr>
              <w:autoSpaceDE w:val="0"/>
              <w:autoSpaceDN w:val="0"/>
              <w:spacing w:line="360" w:lineRule="auto"/>
              <w:rPr>
                <w:rFonts w:ascii="Arial" w:hAnsi="Arial" w:cs="Arial"/>
                <w:lang w:val="zh-CN"/>
              </w:rPr>
            </w:pPr>
            <w:r>
              <w:rPr>
                <w:rFonts w:ascii="Arial" w:hAnsi="Arial" w:cs="Arial"/>
                <w:bCs/>
                <w:sz w:val="24"/>
                <w:lang w:val="zh-CN"/>
              </w:rPr>
              <w:t>小写：</w:t>
            </w:r>
          </w:p>
        </w:tc>
        <w:tc>
          <w:tcPr>
            <w:tcW w:w="2313" w:type="dxa"/>
            <w:vMerge w:val="continue"/>
            <w:tcBorders>
              <w:top w:val="single" w:color="000000" w:sz="6" w:space="0"/>
              <w:left w:val="single" w:color="000000" w:sz="6" w:space="0"/>
              <w:bottom w:val="single" w:color="auto" w:sz="4" w:space="0"/>
              <w:right w:val="single" w:color="auto" w:sz="4" w:space="0"/>
            </w:tcBorders>
            <w:shd w:val="clear" w:color="000000" w:fill="FFFFFF"/>
            <w:vAlign w:val="center"/>
          </w:tcPr>
          <w:p w14:paraId="55B1805D">
            <w:pPr>
              <w:autoSpaceDE w:val="0"/>
              <w:autoSpaceDN w:val="0"/>
              <w:spacing w:line="360" w:lineRule="auto"/>
              <w:jc w:val="center"/>
              <w:rPr>
                <w:rFonts w:ascii="Arial" w:hAnsi="Arial" w:cs="Arial"/>
                <w:lang w:val="zh-CN"/>
              </w:rPr>
            </w:pPr>
          </w:p>
        </w:tc>
        <w:tc>
          <w:tcPr>
            <w:tcW w:w="1246" w:type="dxa"/>
            <w:vMerge w:val="continue"/>
            <w:tcBorders>
              <w:top w:val="single" w:color="000000" w:sz="6" w:space="0"/>
              <w:left w:val="single" w:color="000000" w:sz="6" w:space="0"/>
              <w:bottom w:val="single" w:color="auto" w:sz="4" w:space="0"/>
              <w:right w:val="single" w:color="000000" w:sz="6" w:space="0"/>
            </w:tcBorders>
            <w:shd w:val="clear" w:color="000000" w:fill="FFFFFF"/>
            <w:vAlign w:val="center"/>
          </w:tcPr>
          <w:p w14:paraId="7E8846F1">
            <w:pPr>
              <w:autoSpaceDE w:val="0"/>
              <w:autoSpaceDN w:val="0"/>
              <w:spacing w:line="360" w:lineRule="auto"/>
              <w:jc w:val="center"/>
              <w:rPr>
                <w:rFonts w:ascii="Arial" w:hAnsi="Arial" w:cs="Arial"/>
                <w:lang w:val="zh-CN"/>
              </w:rPr>
            </w:pPr>
          </w:p>
        </w:tc>
      </w:tr>
      <w:tr w14:paraId="041A2665">
        <w:tblPrEx>
          <w:tblCellMar>
            <w:top w:w="0" w:type="dxa"/>
            <w:left w:w="108" w:type="dxa"/>
            <w:bottom w:w="0" w:type="dxa"/>
            <w:right w:w="108" w:type="dxa"/>
          </w:tblCellMar>
        </w:tblPrEx>
        <w:trPr>
          <w:trHeight w:val="1661" w:hRule="atLeast"/>
          <w:jc w:val="center"/>
        </w:trPr>
        <w:tc>
          <w:tcPr>
            <w:tcW w:w="9968"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12316439">
            <w:pPr>
              <w:autoSpaceDE w:val="0"/>
              <w:autoSpaceDN w:val="0"/>
              <w:spacing w:line="360" w:lineRule="auto"/>
              <w:rPr>
                <w:rFonts w:ascii="Arial" w:hAnsi="Arial" w:cs="Arial"/>
              </w:rPr>
            </w:pPr>
            <w:r>
              <w:rPr>
                <w:rFonts w:hint="eastAsia" w:ascii="Arial" w:hAnsi="Arial" w:cs="Arial"/>
                <w:bCs/>
                <w:sz w:val="24"/>
              </w:rPr>
              <w:t>优惠承诺及其他：</w:t>
            </w:r>
          </w:p>
        </w:tc>
      </w:tr>
    </w:tbl>
    <w:p w14:paraId="1CA1F572">
      <w:pPr>
        <w:spacing w:line="360" w:lineRule="auto"/>
        <w:ind w:firstLine="732" w:firstLineChars="347"/>
        <w:jc w:val="left"/>
        <w:rPr>
          <w:rFonts w:ascii="宋体" w:hAnsi="宋体"/>
          <w:b/>
        </w:rPr>
      </w:pPr>
    </w:p>
    <w:p w14:paraId="7256B992">
      <w:pPr>
        <w:tabs>
          <w:tab w:val="left" w:pos="168"/>
        </w:tabs>
        <w:adjustRightInd w:val="0"/>
        <w:spacing w:line="360" w:lineRule="auto"/>
        <w:textAlignment w:val="baseline"/>
        <w:rPr>
          <w:rFonts w:hint="eastAsia" w:ascii="宋体" w:hAnsi="宋体"/>
          <w:b/>
          <w:lang w:val="en-US"/>
        </w:rPr>
      </w:pPr>
      <w:r>
        <w:rPr>
          <w:rFonts w:hint="eastAsia" w:ascii="宋体" w:hAnsi="宋体"/>
          <w:b/>
        </w:rPr>
        <w:t>注</w:t>
      </w:r>
      <w:r>
        <w:rPr>
          <w:rFonts w:ascii="宋体" w:hAnsi="宋体"/>
          <w:b/>
        </w:rPr>
        <w:t>：</w:t>
      </w:r>
      <w:r>
        <w:rPr>
          <w:rFonts w:hint="eastAsia" w:ascii="宋体" w:hAnsi="宋体"/>
          <w:b/>
        </w:rPr>
        <w:t>此表不需</w:t>
      </w:r>
      <w:r>
        <w:rPr>
          <w:rFonts w:hint="eastAsia" w:ascii="宋体" w:hAnsi="宋体"/>
          <w:b/>
          <w:lang w:val="en-US" w:eastAsia="zh-CN"/>
        </w:rPr>
        <w:t>编辑</w:t>
      </w:r>
      <w:r>
        <w:rPr>
          <w:rFonts w:hint="eastAsia" w:ascii="宋体" w:hAnsi="宋体"/>
          <w:b/>
        </w:rPr>
        <w:t>在磋商响应文件中，</w:t>
      </w:r>
      <w:r>
        <w:rPr>
          <w:rFonts w:hint="eastAsia" w:ascii="宋体" w:hAnsi="宋体"/>
          <w:b/>
          <w:lang w:val="en-US" w:eastAsia="zh-CN"/>
        </w:rPr>
        <w:t>最终报价表</w:t>
      </w:r>
      <w:r>
        <w:rPr>
          <w:rFonts w:hint="eastAsia" w:ascii="宋体" w:hAnsi="宋体"/>
          <w:b/>
        </w:rPr>
        <w:t>在</w:t>
      </w:r>
      <w:r>
        <w:rPr>
          <w:rFonts w:hint="eastAsia" w:ascii="宋体" w:hAnsi="宋体"/>
          <w:b/>
          <w:lang w:eastAsia="zh-CN"/>
        </w:rPr>
        <w:t>政采云平台（https://www.zcygov.cn/）</w:t>
      </w:r>
      <w:r>
        <w:rPr>
          <w:rFonts w:hint="eastAsia" w:ascii="宋体" w:hAnsi="宋体"/>
          <w:b/>
        </w:rPr>
        <w:t>上</w:t>
      </w:r>
      <w:r>
        <w:rPr>
          <w:rFonts w:hint="eastAsia" w:ascii="宋体" w:hAnsi="宋体"/>
          <w:b/>
          <w:lang w:val="en-US" w:eastAsia="zh-CN"/>
        </w:rPr>
        <w:t>发起，</w:t>
      </w:r>
      <w:r>
        <w:rPr>
          <w:rFonts w:hint="eastAsia" w:ascii="宋体" w:hAnsi="宋体"/>
          <w:b/>
        </w:rPr>
        <w:t>按规定的时间</w:t>
      </w:r>
      <w:r>
        <w:rPr>
          <w:rFonts w:hint="eastAsia" w:ascii="宋体" w:hAnsi="宋体"/>
          <w:b/>
          <w:lang w:eastAsia="zh-CN"/>
        </w:rPr>
        <w:t>（</w:t>
      </w:r>
      <w:r>
        <w:rPr>
          <w:rFonts w:hint="eastAsia" w:ascii="宋体" w:hAnsi="宋体"/>
          <w:b/>
          <w:lang w:val="en-US" w:eastAsia="zh-CN"/>
        </w:rPr>
        <w:t>30分钟</w:t>
      </w:r>
      <w:r>
        <w:rPr>
          <w:rFonts w:hint="eastAsia" w:ascii="宋体" w:hAnsi="宋体"/>
          <w:b/>
          <w:lang w:eastAsia="zh-CN"/>
        </w:rPr>
        <w:t>）</w:t>
      </w:r>
      <w:r>
        <w:rPr>
          <w:rFonts w:hint="eastAsia" w:ascii="宋体" w:hAnsi="宋体"/>
          <w:b/>
        </w:rPr>
        <w:t>填写最后报价。如果在规定的时间内</w:t>
      </w:r>
      <w:r>
        <w:rPr>
          <w:rFonts w:hint="eastAsia" w:ascii="宋体" w:hAnsi="宋体"/>
          <w:b/>
          <w:lang w:eastAsia="zh-CN"/>
        </w:rPr>
        <w:t>未提交的视为放弃最终报价</w:t>
      </w:r>
      <w:r>
        <w:rPr>
          <w:rFonts w:hint="eastAsia" w:ascii="宋体" w:hAnsi="宋体"/>
          <w:b/>
          <w:lang w:val="en-US" w:eastAsia="zh-CN"/>
        </w:rPr>
        <w:t>。</w:t>
      </w:r>
    </w:p>
    <w:p w14:paraId="189A6A0F">
      <w:pPr>
        <w:spacing w:line="360" w:lineRule="auto"/>
        <w:ind w:firstLine="732" w:firstLineChars="347"/>
        <w:jc w:val="left"/>
        <w:rPr>
          <w:rFonts w:ascii="宋体" w:hAnsi="宋体"/>
          <w:b/>
        </w:rPr>
      </w:pPr>
    </w:p>
    <w:p w14:paraId="39295C01">
      <w:pPr>
        <w:tabs>
          <w:tab w:val="left" w:pos="168"/>
        </w:tabs>
        <w:adjustRightInd w:val="0"/>
        <w:spacing w:line="360" w:lineRule="auto"/>
        <w:textAlignment w:val="baseline"/>
        <w:rPr>
          <w:rFonts w:ascii="宋体" w:hAnsi="宋体"/>
          <w:b/>
          <w:bCs/>
          <w:sz w:val="28"/>
        </w:rPr>
      </w:pPr>
    </w:p>
    <w:p w14:paraId="1A1CB9BC">
      <w:pPr>
        <w:tabs>
          <w:tab w:val="left" w:pos="168"/>
        </w:tabs>
        <w:adjustRightInd w:val="0"/>
        <w:spacing w:line="360" w:lineRule="auto"/>
        <w:textAlignment w:val="baseline"/>
        <w:rPr>
          <w:rFonts w:ascii="宋体" w:hAnsi="宋体"/>
          <w:b/>
          <w:bCs/>
          <w:sz w:val="28"/>
        </w:rPr>
      </w:pPr>
    </w:p>
    <w:p w14:paraId="7153D553">
      <w:pPr>
        <w:tabs>
          <w:tab w:val="left" w:pos="168"/>
        </w:tabs>
        <w:adjustRightInd w:val="0"/>
        <w:spacing w:line="360" w:lineRule="auto"/>
        <w:textAlignment w:val="baseline"/>
        <w:rPr>
          <w:rFonts w:ascii="宋体" w:hAnsi="宋体"/>
          <w:b/>
          <w:bCs/>
          <w:sz w:val="28"/>
        </w:rPr>
      </w:pPr>
    </w:p>
    <w:p w14:paraId="6EC9D4A7">
      <w:pPr>
        <w:tabs>
          <w:tab w:val="left" w:pos="168"/>
        </w:tabs>
        <w:adjustRightInd w:val="0"/>
        <w:spacing w:line="360" w:lineRule="auto"/>
        <w:textAlignment w:val="baseline"/>
        <w:rPr>
          <w:rFonts w:ascii="宋体" w:hAnsi="宋体"/>
          <w:b/>
          <w:bCs/>
          <w:sz w:val="28"/>
        </w:rPr>
      </w:pPr>
    </w:p>
    <w:p w14:paraId="50312F96">
      <w:pPr>
        <w:tabs>
          <w:tab w:val="left" w:pos="168"/>
        </w:tabs>
        <w:adjustRightInd w:val="0"/>
        <w:spacing w:line="360" w:lineRule="auto"/>
        <w:textAlignment w:val="baseline"/>
        <w:rPr>
          <w:rFonts w:ascii="宋体" w:hAnsi="宋体"/>
          <w:bCs/>
          <w:sz w:val="28"/>
          <w:szCs w:val="28"/>
        </w:rPr>
      </w:pPr>
    </w:p>
    <w:p w14:paraId="1145E425">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磋商供应商：</w:t>
      </w:r>
      <w:r>
        <w:rPr>
          <w:rFonts w:hint="eastAsia" w:ascii="宋体" w:hAnsi="宋体"/>
          <w:bCs/>
          <w:sz w:val="24"/>
          <w:szCs w:val="28"/>
          <w:u w:val="single"/>
        </w:rPr>
        <w:t xml:space="preserve">             </w:t>
      </w:r>
      <w:r>
        <w:rPr>
          <w:rFonts w:hint="eastAsia" w:ascii="宋体" w:hAnsi="宋体"/>
          <w:bCs/>
          <w:sz w:val="24"/>
          <w:szCs w:val="28"/>
        </w:rPr>
        <w:t>（公章）</w:t>
      </w:r>
    </w:p>
    <w:p w14:paraId="0EE3F402">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232E7324">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7B522E53">
      <w:pPr>
        <w:spacing w:line="360" w:lineRule="auto"/>
        <w:jc w:val="center"/>
        <w:rPr>
          <w:rFonts w:ascii="宋体" w:hAnsi="宋体"/>
          <w:bCs/>
          <w:sz w:val="24"/>
          <w:szCs w:val="28"/>
        </w:rPr>
      </w:pPr>
    </w:p>
    <w:p w14:paraId="3946E2B3">
      <w:pPr>
        <w:pStyle w:val="25"/>
        <w:spacing w:before="0" w:after="0" w:line="360" w:lineRule="auto"/>
        <w:rPr>
          <w:rFonts w:ascii="宋体" w:hAnsi="宋体"/>
          <w:sz w:val="36"/>
          <w:szCs w:val="36"/>
        </w:rPr>
      </w:pPr>
      <w:r>
        <w:rPr>
          <w:rFonts w:ascii="宋体" w:hAnsi="宋体"/>
          <w:b w:val="0"/>
          <w:szCs w:val="44"/>
        </w:rPr>
        <w:br w:type="page"/>
      </w:r>
      <w:bookmarkStart w:id="234" w:name="_Toc1575356"/>
      <w:bookmarkStart w:id="235" w:name="_Toc444715745"/>
      <w:bookmarkStart w:id="236" w:name="_Toc29404"/>
      <w:r>
        <w:rPr>
          <w:rFonts w:hint="eastAsia" w:ascii="宋体" w:hAnsi="宋体"/>
          <w:sz w:val="36"/>
          <w:szCs w:val="36"/>
        </w:rPr>
        <w:t>第六部分采购项目要求及技术参数</w:t>
      </w:r>
      <w:bookmarkEnd w:id="234"/>
      <w:bookmarkEnd w:id="235"/>
      <w:bookmarkEnd w:id="236"/>
    </w:p>
    <w:p w14:paraId="59E8D892">
      <w:pPr>
        <w:pStyle w:val="4"/>
        <w:keepNext/>
        <w:keepLines/>
        <w:numPr>
          <w:ilvl w:val="0"/>
          <w:numId w:val="0"/>
        </w:numPr>
        <w:tabs>
          <w:tab w:val="clear" w:pos="425"/>
        </w:tabs>
        <w:snapToGrid/>
        <w:ind w:left="567" w:hanging="567"/>
        <w:jc w:val="center"/>
        <w:rPr>
          <w:rFonts w:hAnsi="宋体"/>
          <w:b/>
          <w:bCs/>
          <w:kern w:val="0"/>
          <w:sz w:val="32"/>
          <w:szCs w:val="32"/>
        </w:rPr>
      </w:pPr>
      <w:bookmarkStart w:id="237" w:name="_Toc428180595"/>
      <w:bookmarkStart w:id="238" w:name="_Toc1575357"/>
      <w:r>
        <w:rPr>
          <w:rFonts w:hint="eastAsia" w:hAnsi="宋体"/>
          <w:b/>
          <w:bCs/>
          <w:kern w:val="0"/>
          <w:sz w:val="32"/>
          <w:szCs w:val="32"/>
        </w:rPr>
        <w:t>一、磋商要求</w:t>
      </w:r>
      <w:bookmarkEnd w:id="237"/>
      <w:bookmarkEnd w:id="238"/>
    </w:p>
    <w:p w14:paraId="6F977AD7">
      <w:pPr>
        <w:widowControl/>
        <w:adjustRightInd w:val="0"/>
        <w:snapToGrid w:val="0"/>
        <w:spacing w:line="360" w:lineRule="auto"/>
        <w:ind w:left="425" w:hanging="425"/>
        <w:jc w:val="left"/>
        <w:rPr>
          <w:rFonts w:ascii="宋体" w:hAnsi="宋体"/>
          <w:kern w:val="0"/>
          <w:sz w:val="24"/>
          <w:szCs w:val="22"/>
        </w:rPr>
      </w:pPr>
      <w:bookmarkStart w:id="239" w:name="_Toc428180596"/>
      <w:r>
        <w:rPr>
          <w:rFonts w:ascii="宋体" w:hAnsi="宋体"/>
          <w:kern w:val="0"/>
          <w:sz w:val="24"/>
          <w:szCs w:val="22"/>
        </w:rPr>
        <w:t>1.</w:t>
      </w:r>
      <w:r>
        <w:rPr>
          <w:rFonts w:hint="eastAsia" w:ascii="宋体" w:hAnsi="宋体"/>
          <w:kern w:val="0"/>
          <w:sz w:val="24"/>
          <w:szCs w:val="22"/>
        </w:rPr>
        <w:t>磋商说明</w:t>
      </w:r>
      <w:bookmarkEnd w:id="239"/>
    </w:p>
    <w:p w14:paraId="131777AE">
      <w:pPr>
        <w:autoSpaceDE w:val="0"/>
        <w:autoSpaceDN w:val="0"/>
        <w:adjustRightInd w:val="0"/>
        <w:spacing w:line="360" w:lineRule="auto"/>
        <w:ind w:firstLine="480" w:firstLineChars="200"/>
        <w:rPr>
          <w:rFonts w:ascii="宋体" w:hAnsi="Calibri" w:cs="宋体"/>
          <w:kern w:val="0"/>
          <w:sz w:val="24"/>
          <w:lang w:val="zh-CN"/>
        </w:rPr>
      </w:pPr>
      <w:r>
        <w:rPr>
          <w:rFonts w:ascii="宋体" w:hAnsi="Calibri" w:cs="宋体"/>
          <w:kern w:val="0"/>
          <w:sz w:val="24"/>
          <w:lang w:val="zh-CN"/>
        </w:rPr>
        <w:t>1.1.</w:t>
      </w:r>
      <w:r>
        <w:rPr>
          <w:rFonts w:hint="eastAsia" w:ascii="宋体" w:hAnsi="Calibri" w:cs="宋体"/>
          <w:kern w:val="0"/>
          <w:sz w:val="24"/>
          <w:lang w:val="zh-CN"/>
        </w:rPr>
        <w:t>磋商供应商可以按照磋商文件的规定磋商，但必须对所投包号中的所有内容作为一个整体进行磋商，不能拆分或少报。否则，磋商无效。</w:t>
      </w:r>
    </w:p>
    <w:p w14:paraId="1213A1BA">
      <w:pPr>
        <w:autoSpaceDE w:val="0"/>
        <w:autoSpaceDN w:val="0"/>
        <w:adjustRightInd w:val="0"/>
        <w:spacing w:line="360" w:lineRule="auto"/>
        <w:ind w:firstLine="480" w:firstLineChars="200"/>
        <w:rPr>
          <w:rFonts w:ascii="宋体" w:hAnsi="Calibri" w:cs="宋体"/>
          <w:kern w:val="0"/>
          <w:sz w:val="24"/>
          <w:lang w:val="zh-CN"/>
        </w:rPr>
      </w:pPr>
      <w:r>
        <w:rPr>
          <w:rFonts w:ascii="宋体" w:hAnsi="Calibri" w:cs="宋体"/>
          <w:kern w:val="0"/>
          <w:sz w:val="24"/>
          <w:lang w:val="zh-CN"/>
        </w:rPr>
        <w:t>1.2.</w:t>
      </w:r>
      <w:r>
        <w:rPr>
          <w:rFonts w:hint="eastAsia" w:ascii="宋体" w:hAnsi="Calibri" w:cs="宋体"/>
          <w:kern w:val="0"/>
          <w:sz w:val="24"/>
          <w:lang w:val="zh-CN"/>
        </w:rPr>
        <w:t>磋商报价应包括产品费、验收费、手续费、包装费、运输费、售前、售中、售后服务费、招标代理费、税金及不可预见费等全部费用</w:t>
      </w:r>
      <w:r>
        <w:rPr>
          <w:rFonts w:hint="eastAsia" w:hAnsi="宋体"/>
          <w:sz w:val="24"/>
          <w:szCs w:val="28"/>
        </w:rPr>
        <w:t>（说明：具体内容应根据项目特点实事求是的填写）</w:t>
      </w:r>
      <w:r>
        <w:rPr>
          <w:rFonts w:hint="eastAsia" w:ascii="宋体" w:hAnsi="Calibri" w:cs="宋体"/>
          <w:kern w:val="0"/>
          <w:sz w:val="24"/>
          <w:lang w:val="zh-CN"/>
        </w:rPr>
        <w:t>。若磋商报价不能完全包括上述内容，该磋商将被认为非实质性响应。</w:t>
      </w:r>
    </w:p>
    <w:p w14:paraId="6408C7CA">
      <w:pPr>
        <w:autoSpaceDE w:val="0"/>
        <w:autoSpaceDN w:val="0"/>
        <w:adjustRightInd w:val="0"/>
        <w:spacing w:line="360" w:lineRule="auto"/>
        <w:ind w:firstLine="480" w:firstLineChars="200"/>
        <w:rPr>
          <w:rFonts w:ascii="宋体" w:hAnsi="Calibri" w:cs="宋体"/>
          <w:kern w:val="0"/>
          <w:sz w:val="24"/>
          <w:lang w:val="zh-CN"/>
        </w:rPr>
      </w:pPr>
      <w:r>
        <w:rPr>
          <w:rFonts w:ascii="宋体" w:hAnsi="Calibri" w:cs="宋体"/>
          <w:kern w:val="0"/>
          <w:sz w:val="24"/>
          <w:lang w:val="zh-CN"/>
        </w:rPr>
        <w:t>1.3.</w:t>
      </w:r>
      <w:r>
        <w:rPr>
          <w:rFonts w:hint="eastAsia" w:ascii="宋体" w:hAnsi="Calibri" w:cs="宋体"/>
          <w:kern w:val="0"/>
          <w:sz w:val="24"/>
          <w:lang w:val="zh-CN"/>
        </w:rPr>
        <w:t>磋商供应商必须如实填写</w:t>
      </w:r>
      <w:r>
        <w:rPr>
          <w:rFonts w:ascii="宋体" w:hAnsi="Calibri" w:cs="宋体"/>
          <w:kern w:val="0"/>
          <w:sz w:val="24"/>
          <w:lang w:val="zh-CN"/>
        </w:rPr>
        <w:t>“</w:t>
      </w:r>
      <w:r>
        <w:rPr>
          <w:rFonts w:hint="eastAsia" w:ascii="宋体" w:hAnsi="Calibri" w:cs="宋体"/>
          <w:kern w:val="0"/>
          <w:sz w:val="24"/>
          <w:lang w:val="zh-CN"/>
        </w:rPr>
        <w:t>技术规格响应表</w:t>
      </w:r>
      <w:r>
        <w:rPr>
          <w:rFonts w:ascii="宋体" w:hAnsi="Calibri" w:cs="宋体"/>
          <w:kern w:val="0"/>
          <w:sz w:val="24"/>
          <w:lang w:val="zh-CN"/>
        </w:rPr>
        <w:t>”</w:t>
      </w:r>
      <w:r>
        <w:rPr>
          <w:rFonts w:hint="eastAsia" w:ascii="宋体" w:hAnsi="Calibri" w:cs="宋体"/>
          <w:kern w:val="0"/>
          <w:sz w:val="24"/>
          <w:lang w:val="zh-CN"/>
        </w:rPr>
        <w:t>，在</w:t>
      </w:r>
      <w:r>
        <w:rPr>
          <w:rFonts w:ascii="宋体" w:hAnsi="Calibri" w:cs="宋体"/>
          <w:kern w:val="0"/>
          <w:sz w:val="24"/>
          <w:lang w:val="zh-CN"/>
        </w:rPr>
        <w:t>“</w:t>
      </w:r>
      <w:r>
        <w:rPr>
          <w:rFonts w:hint="eastAsia" w:ascii="宋体" w:hAnsi="Calibri" w:cs="宋体"/>
          <w:kern w:val="0"/>
          <w:sz w:val="24"/>
          <w:lang w:val="zh-CN"/>
        </w:rPr>
        <w:t>磋商产品技术参数、指标</w:t>
      </w:r>
      <w:r>
        <w:rPr>
          <w:rFonts w:ascii="宋体" w:hAnsi="Calibri" w:cs="宋体"/>
          <w:kern w:val="0"/>
          <w:sz w:val="24"/>
          <w:lang w:val="zh-CN"/>
        </w:rPr>
        <w:t>”</w:t>
      </w:r>
      <w:r>
        <w:rPr>
          <w:rFonts w:hint="eastAsia" w:ascii="宋体" w:hAnsi="Calibri" w:cs="宋体"/>
          <w:kern w:val="0"/>
          <w:sz w:val="24"/>
          <w:lang w:val="zh-CN"/>
        </w:rPr>
        <w:t>栏中列出所投产品的具体规格型号和具体技术参数、指标；以招标人需求为最低指标要求，磋商供应商对超出或不满足最低指标要求的指标需列出</w:t>
      </w:r>
      <w:r>
        <w:rPr>
          <w:rFonts w:ascii="宋体" w:hAnsi="Calibri" w:cs="宋体"/>
          <w:kern w:val="0"/>
          <w:sz w:val="24"/>
          <w:lang w:val="zh-CN"/>
        </w:rPr>
        <w:t>“</w:t>
      </w:r>
      <w:r>
        <w:rPr>
          <w:rFonts w:hint="eastAsia" w:ascii="宋体" w:hAnsi="Calibri" w:cs="宋体"/>
          <w:kern w:val="0"/>
          <w:sz w:val="24"/>
          <w:lang w:val="zh-CN"/>
        </w:rPr>
        <w:t>＋、</w:t>
      </w:r>
      <w:r>
        <w:rPr>
          <w:rFonts w:ascii="宋体" w:hAnsi="Calibri" w:cs="宋体"/>
          <w:kern w:val="0"/>
          <w:sz w:val="24"/>
          <w:lang w:val="zh-CN"/>
        </w:rPr>
        <w:t>-</w:t>
      </w:r>
      <w:r>
        <w:rPr>
          <w:rFonts w:hint="eastAsia" w:ascii="宋体" w:hAnsi="Calibri" w:cs="宋体"/>
          <w:kern w:val="0"/>
          <w:sz w:val="24"/>
          <w:lang w:val="zh-CN"/>
        </w:rPr>
        <w:t>偏差。如果与磋商响应文件中提供的产品检测报告等证明材料中的实质性响应情况不一致或直接复制磋商文件</w:t>
      </w:r>
      <w:r>
        <w:rPr>
          <w:rFonts w:ascii="宋体" w:hAnsi="Calibri" w:cs="宋体"/>
          <w:kern w:val="0"/>
          <w:sz w:val="24"/>
          <w:lang w:val="zh-CN"/>
        </w:rPr>
        <w:t>“</w:t>
      </w:r>
      <w:r>
        <w:rPr>
          <w:rFonts w:hint="eastAsia" w:ascii="宋体" w:hAnsi="Calibri" w:cs="宋体"/>
          <w:kern w:val="0"/>
          <w:sz w:val="24"/>
          <w:lang w:val="zh-CN"/>
        </w:rPr>
        <w:t>采购需求技术参数、指标</w:t>
      </w:r>
      <w:r>
        <w:rPr>
          <w:rFonts w:ascii="宋体" w:hAnsi="Calibri" w:cs="宋体"/>
          <w:kern w:val="0"/>
          <w:sz w:val="24"/>
          <w:lang w:val="zh-CN"/>
        </w:rPr>
        <w:t>”</w:t>
      </w:r>
      <w:r>
        <w:rPr>
          <w:rFonts w:hint="eastAsia" w:ascii="宋体" w:hAnsi="Calibri" w:cs="宋体"/>
          <w:kern w:val="0"/>
          <w:sz w:val="24"/>
          <w:lang w:val="zh-CN"/>
        </w:rPr>
        <w:t>内容的，按无效磋商处理。</w:t>
      </w:r>
    </w:p>
    <w:p w14:paraId="62CD7E6C">
      <w:pPr>
        <w:autoSpaceDE w:val="0"/>
        <w:autoSpaceDN w:val="0"/>
        <w:adjustRightInd w:val="0"/>
        <w:spacing w:line="360" w:lineRule="auto"/>
        <w:ind w:firstLine="480" w:firstLineChars="200"/>
        <w:rPr>
          <w:rFonts w:ascii="宋体" w:hAnsi="Calibri" w:cs="宋体"/>
          <w:kern w:val="0"/>
          <w:sz w:val="24"/>
          <w:lang w:val="zh-CN"/>
        </w:rPr>
      </w:pPr>
      <w:r>
        <w:rPr>
          <w:rFonts w:ascii="宋体" w:hAnsi="Calibri" w:cs="宋体"/>
          <w:kern w:val="0"/>
          <w:sz w:val="24"/>
          <w:lang w:val="zh-CN"/>
        </w:rPr>
        <w:t>1.4.</w:t>
      </w:r>
      <w:r>
        <w:rPr>
          <w:rFonts w:hint="eastAsia" w:ascii="宋体" w:hAnsi="Calibri" w:cs="宋体"/>
          <w:kern w:val="0"/>
          <w:sz w:val="24"/>
          <w:lang w:val="zh-CN"/>
        </w:rPr>
        <w:t>交货时间、地点：按采购单位指定的时间、地点交货并安装交付使用。</w:t>
      </w:r>
    </w:p>
    <w:p w14:paraId="292CC6BC">
      <w:pPr>
        <w:widowControl/>
        <w:adjustRightInd w:val="0"/>
        <w:snapToGrid w:val="0"/>
        <w:spacing w:line="360" w:lineRule="auto"/>
        <w:ind w:left="425" w:hanging="425"/>
        <w:jc w:val="left"/>
        <w:rPr>
          <w:rFonts w:ascii="宋体" w:hAnsi="宋体"/>
          <w:kern w:val="0"/>
          <w:sz w:val="24"/>
          <w:szCs w:val="22"/>
        </w:rPr>
      </w:pPr>
      <w:bookmarkStart w:id="240" w:name="_Toc428180597"/>
      <w:r>
        <w:rPr>
          <w:rFonts w:ascii="宋体" w:hAnsi="宋体"/>
          <w:kern w:val="0"/>
          <w:sz w:val="24"/>
          <w:szCs w:val="22"/>
        </w:rPr>
        <w:t>2.</w:t>
      </w:r>
      <w:r>
        <w:rPr>
          <w:rFonts w:hint="eastAsia" w:ascii="宋体" w:hAnsi="宋体"/>
          <w:kern w:val="0"/>
          <w:sz w:val="24"/>
          <w:szCs w:val="22"/>
        </w:rPr>
        <w:t>报价说明</w:t>
      </w:r>
      <w:bookmarkEnd w:id="240"/>
    </w:p>
    <w:p w14:paraId="55F0FD63">
      <w:pPr>
        <w:autoSpaceDE w:val="0"/>
        <w:autoSpaceDN w:val="0"/>
        <w:adjustRightInd w:val="0"/>
        <w:spacing w:line="360" w:lineRule="auto"/>
        <w:ind w:firstLine="480"/>
        <w:rPr>
          <w:rFonts w:ascii="宋体" w:hAnsi="Calibri" w:cs="宋体"/>
          <w:kern w:val="0"/>
          <w:sz w:val="24"/>
          <w:lang w:val="zh-CN"/>
        </w:rPr>
      </w:pPr>
      <w:r>
        <w:rPr>
          <w:rFonts w:hint="eastAsia" w:ascii="宋体" w:hAnsi="Calibri" w:cs="宋体"/>
          <w:kern w:val="0"/>
          <w:sz w:val="24"/>
          <w:lang w:val="zh-CN"/>
        </w:rPr>
        <w:t>本次磋商文件中规定的采购预算额度为磋商最高限价，磋商供应商的磋商报价不得超出此额度。否则，磋商无效。</w:t>
      </w:r>
    </w:p>
    <w:p w14:paraId="11828F68">
      <w:pPr>
        <w:widowControl/>
        <w:adjustRightInd w:val="0"/>
        <w:snapToGrid w:val="0"/>
        <w:spacing w:line="360" w:lineRule="auto"/>
        <w:ind w:left="425" w:hanging="425"/>
        <w:jc w:val="left"/>
        <w:rPr>
          <w:rFonts w:ascii="宋体" w:hAnsi="宋体"/>
          <w:kern w:val="0"/>
          <w:sz w:val="24"/>
          <w:szCs w:val="22"/>
        </w:rPr>
      </w:pPr>
      <w:bookmarkStart w:id="241" w:name="_Toc428180598"/>
      <w:r>
        <w:rPr>
          <w:rFonts w:ascii="宋体" w:hAnsi="宋体"/>
          <w:kern w:val="0"/>
          <w:sz w:val="24"/>
          <w:szCs w:val="22"/>
        </w:rPr>
        <w:t>3.</w:t>
      </w:r>
      <w:r>
        <w:rPr>
          <w:rFonts w:hint="eastAsia" w:ascii="宋体" w:hAnsi="宋体"/>
          <w:kern w:val="0"/>
          <w:sz w:val="24"/>
          <w:szCs w:val="22"/>
        </w:rPr>
        <w:t>重要指标</w:t>
      </w:r>
      <w:bookmarkEnd w:id="241"/>
    </w:p>
    <w:p w14:paraId="7D7D4A74">
      <w:pPr>
        <w:spacing w:line="360" w:lineRule="auto"/>
        <w:ind w:firstLine="480" w:firstLineChars="200"/>
        <w:jc w:val="left"/>
        <w:rPr>
          <w:rFonts w:ascii="宋体" w:hAnsi="宋体"/>
          <w:sz w:val="24"/>
        </w:rPr>
      </w:pPr>
      <w:r>
        <w:rPr>
          <w:rFonts w:hint="eastAsia" w:ascii="宋体" w:hAnsi="宋体"/>
          <w:sz w:val="24"/>
        </w:rPr>
        <w:t>3.</w:t>
      </w:r>
      <w:r>
        <w:rPr>
          <w:rFonts w:ascii="宋体" w:hAnsi="宋体"/>
          <w:sz w:val="24"/>
        </w:rPr>
        <w:t>1</w:t>
      </w:r>
      <w:r>
        <w:rPr>
          <w:rFonts w:hint="eastAsia" w:ascii="宋体" w:hAnsi="宋体"/>
          <w:sz w:val="24"/>
        </w:rPr>
        <w:t>.技术参数中除注明签订合同时提供的相关授权、服务承诺等资料以外，其余相关资料在磋商时必须附在磋商响应文件中。</w:t>
      </w:r>
    </w:p>
    <w:p w14:paraId="2D4B51DB">
      <w:pPr>
        <w:widowControl/>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3.2.</w:t>
      </w:r>
      <w:bookmarkStart w:id="242" w:name="_Toc428180599"/>
      <w:r>
        <w:rPr>
          <w:rFonts w:hint="eastAsia" w:ascii="宋体" w:hAnsi="宋体" w:cs="宋体"/>
          <w:color w:val="000000"/>
          <w:sz w:val="24"/>
        </w:rPr>
        <w:t>“技术参数”中用星号“</w:t>
      </w:r>
      <w:r>
        <w:rPr>
          <w:rFonts w:hint="eastAsia" w:ascii="宋体" w:hAnsi="宋体"/>
        </w:rPr>
        <w:t>▲</w:t>
      </w:r>
      <w:r>
        <w:rPr>
          <w:rFonts w:hint="eastAsia" w:ascii="宋体" w:hAnsi="宋体" w:cs="宋体"/>
          <w:color w:val="000000"/>
          <w:sz w:val="24"/>
        </w:rPr>
        <w:t>”符号标注的属于重要技术参数、指标，必须完全响应，此项按负偏离扣分，不作废标处理（若未标注，无视此项）。</w:t>
      </w:r>
    </w:p>
    <w:p w14:paraId="3E56CF6A">
      <w:pPr>
        <w:widowControl/>
        <w:adjustRightInd w:val="0"/>
        <w:snapToGrid w:val="0"/>
        <w:spacing w:line="360" w:lineRule="auto"/>
        <w:jc w:val="left"/>
        <w:rPr>
          <w:rFonts w:ascii="宋体" w:hAnsi="宋体"/>
          <w:kern w:val="0"/>
          <w:sz w:val="24"/>
          <w:szCs w:val="22"/>
        </w:rPr>
      </w:pPr>
      <w:r>
        <w:rPr>
          <w:rFonts w:ascii="宋体" w:hAnsi="宋体"/>
          <w:kern w:val="0"/>
          <w:sz w:val="24"/>
          <w:szCs w:val="22"/>
        </w:rPr>
        <w:t>4.</w:t>
      </w:r>
      <w:r>
        <w:rPr>
          <w:rFonts w:hint="eastAsia" w:ascii="宋体" w:hAnsi="宋体"/>
          <w:kern w:val="0"/>
          <w:sz w:val="24"/>
          <w:szCs w:val="22"/>
        </w:rPr>
        <w:t>商务要求</w:t>
      </w:r>
      <w:bookmarkEnd w:id="242"/>
    </w:p>
    <w:p w14:paraId="2B3E50FD">
      <w:pPr>
        <w:spacing w:line="360" w:lineRule="auto"/>
        <w:ind w:firstLine="240" w:firstLineChars="100"/>
      </w:pPr>
      <w:bookmarkStart w:id="243" w:name="_Toc488673674"/>
      <w:r>
        <w:rPr>
          <w:rFonts w:ascii="宋体" w:hAnsi="Calibri" w:cs="宋体"/>
          <w:kern w:val="0"/>
          <w:sz w:val="24"/>
          <w:lang w:val="zh-CN"/>
        </w:rPr>
        <w:t>4.1.</w:t>
      </w:r>
      <w:r>
        <w:rPr>
          <w:rFonts w:hint="eastAsia" w:ascii="宋体" w:hAnsi="Calibri" w:cs="宋体"/>
          <w:kern w:val="0"/>
          <w:sz w:val="24"/>
          <w:lang w:val="zh-CN"/>
        </w:rPr>
        <w:t>交货期：</w:t>
      </w:r>
      <w:bookmarkEnd w:id="243"/>
      <w:r>
        <w:rPr>
          <w:rFonts w:hint="eastAsia" w:ascii="宋体" w:hAnsi="宋体" w:cs="宋体"/>
          <w:b w:val="0"/>
          <w:bCs w:val="0"/>
          <w:color w:val="auto"/>
          <w:sz w:val="24"/>
          <w:highlight w:val="none"/>
          <w:lang w:val="en-US" w:eastAsia="zh-CN"/>
        </w:rPr>
        <w:t>自合同签订之日起60日历天(具体交货时间签订合同时约定)</w:t>
      </w:r>
      <w:r>
        <w:rPr>
          <w:rFonts w:hint="eastAsia" w:ascii="宋体" w:hAnsi="宋体" w:cs="宋体"/>
          <w:kern w:val="0"/>
          <w:sz w:val="24"/>
          <w:lang w:val="zh-CN"/>
        </w:rPr>
        <w:t>；</w:t>
      </w:r>
    </w:p>
    <w:p w14:paraId="2DFA6C20">
      <w:pPr>
        <w:autoSpaceDE w:val="0"/>
        <w:autoSpaceDN w:val="0"/>
        <w:adjustRightInd w:val="0"/>
        <w:spacing w:line="360" w:lineRule="auto"/>
        <w:ind w:firstLine="240" w:firstLineChars="100"/>
        <w:rPr>
          <w:rFonts w:ascii="宋体" w:hAnsi="宋体"/>
          <w:sz w:val="24"/>
          <w:u w:val="single"/>
        </w:rPr>
      </w:pPr>
      <w:bookmarkStart w:id="244" w:name="_Toc488673675"/>
      <w:r>
        <w:rPr>
          <w:rFonts w:ascii="宋体" w:hAnsi="Calibri" w:cs="宋体"/>
          <w:kern w:val="0"/>
          <w:sz w:val="24"/>
          <w:lang w:val="zh-CN"/>
        </w:rPr>
        <w:t>4.2.</w:t>
      </w:r>
      <w:r>
        <w:rPr>
          <w:rFonts w:hint="eastAsia" w:ascii="宋体" w:hAnsi="Calibri" w:cs="宋体"/>
          <w:kern w:val="0"/>
          <w:sz w:val="24"/>
          <w:lang w:val="zh-CN"/>
        </w:rPr>
        <w:t>交货地点：</w:t>
      </w:r>
      <w:bookmarkEnd w:id="244"/>
      <w:r>
        <w:rPr>
          <w:rFonts w:hint="eastAsia" w:ascii="宋体" w:hAnsi="Calibri" w:cs="宋体"/>
          <w:kern w:val="0"/>
          <w:sz w:val="24"/>
          <w:lang w:val="en-US" w:eastAsia="zh-CN"/>
        </w:rPr>
        <w:t>采购人指定地点</w:t>
      </w:r>
      <w:r>
        <w:rPr>
          <w:rFonts w:hint="eastAsia" w:ascii="宋体" w:hAnsi="宋体"/>
          <w:sz w:val="24"/>
        </w:rPr>
        <w:t>；</w:t>
      </w:r>
    </w:p>
    <w:p w14:paraId="4211E1CB">
      <w:pPr>
        <w:autoSpaceDE w:val="0"/>
        <w:autoSpaceDN w:val="0"/>
        <w:adjustRightInd w:val="0"/>
        <w:spacing w:line="360" w:lineRule="auto"/>
        <w:ind w:firstLine="240" w:firstLineChars="100"/>
        <w:rPr>
          <w:rFonts w:hint="default" w:ascii="宋体" w:hAnsi="Calibri" w:eastAsia="宋体" w:cs="宋体"/>
          <w:kern w:val="0"/>
          <w:sz w:val="24"/>
          <w:lang w:val="en-US" w:eastAsia="zh-CN"/>
        </w:rPr>
      </w:pPr>
      <w:bookmarkStart w:id="245" w:name="_Toc488673676"/>
      <w:r>
        <w:rPr>
          <w:rFonts w:hint="eastAsia" w:ascii="宋体" w:hAnsi="Calibri" w:cs="宋体"/>
          <w:kern w:val="0"/>
          <w:sz w:val="24"/>
          <w:lang w:val="en-US" w:eastAsia="zh-CN"/>
        </w:rPr>
        <w:t>4.3.</w:t>
      </w:r>
      <w:r>
        <w:rPr>
          <w:rFonts w:hint="eastAsia" w:ascii="宋体" w:hAnsi="宋体"/>
          <w:sz w:val="24"/>
        </w:rPr>
        <w:t>质保期：</w:t>
      </w:r>
      <w:r>
        <w:rPr>
          <w:rFonts w:hint="eastAsia" w:ascii="宋体" w:hAnsi="宋体"/>
          <w:sz w:val="24"/>
          <w:lang w:val="en-US" w:eastAsia="zh-CN"/>
        </w:rPr>
        <w:t>一年。</w:t>
      </w:r>
    </w:p>
    <w:p w14:paraId="72D3B555">
      <w:pPr>
        <w:autoSpaceDE w:val="0"/>
        <w:autoSpaceDN w:val="0"/>
        <w:adjustRightInd w:val="0"/>
        <w:spacing w:line="360" w:lineRule="auto"/>
        <w:ind w:firstLine="240" w:firstLineChars="100"/>
      </w:pPr>
      <w:r>
        <w:rPr>
          <w:rFonts w:hint="eastAsia" w:ascii="宋体" w:hAnsi="Calibri" w:cs="宋体"/>
          <w:kern w:val="0"/>
          <w:sz w:val="24"/>
          <w:lang w:val="zh-CN"/>
        </w:rPr>
        <w:t>4.</w:t>
      </w:r>
      <w:r>
        <w:rPr>
          <w:rFonts w:hint="eastAsia" w:ascii="宋体" w:hAnsi="Calibri" w:cs="宋体"/>
          <w:kern w:val="0"/>
          <w:sz w:val="24"/>
          <w:lang w:val="en-US" w:eastAsia="zh-CN"/>
        </w:rPr>
        <w:t>4</w:t>
      </w:r>
      <w:r>
        <w:rPr>
          <w:rFonts w:hint="eastAsia" w:ascii="宋体" w:hAnsi="Calibri" w:cs="宋体"/>
          <w:kern w:val="0"/>
          <w:sz w:val="24"/>
          <w:lang w:val="zh-CN"/>
        </w:rPr>
        <w:t>.付款方式：</w:t>
      </w:r>
      <w:bookmarkEnd w:id="245"/>
      <w:bookmarkStart w:id="246" w:name="_Toc459377899"/>
      <w:bookmarkStart w:id="247" w:name="_Toc480468113"/>
      <w:bookmarkStart w:id="248" w:name="_Hlk486599483"/>
      <w:r>
        <w:rPr>
          <w:kern w:val="0"/>
          <w:sz w:val="24"/>
        </w:rPr>
        <w:t>详见“第</w:t>
      </w:r>
      <w:r>
        <w:rPr>
          <w:rFonts w:hint="eastAsia"/>
          <w:kern w:val="0"/>
          <w:sz w:val="24"/>
        </w:rPr>
        <w:t>四</w:t>
      </w:r>
      <w:r>
        <w:rPr>
          <w:kern w:val="0"/>
          <w:sz w:val="24"/>
        </w:rPr>
        <w:t>部分  青海省政府采购项目合同书范本”中“四、付款方式”的规定。</w:t>
      </w:r>
    </w:p>
    <w:p w14:paraId="13B01EAD">
      <w:pPr>
        <w:autoSpaceDE w:val="0"/>
        <w:autoSpaceDN w:val="0"/>
        <w:adjustRightInd w:val="0"/>
        <w:spacing w:line="360" w:lineRule="auto"/>
        <w:rPr>
          <w:rFonts w:ascii="宋体" w:hAnsi="宋体"/>
          <w:b/>
          <w:bCs/>
          <w:kern w:val="0"/>
          <w:sz w:val="32"/>
          <w:szCs w:val="32"/>
        </w:rPr>
      </w:pPr>
    </w:p>
    <w:p w14:paraId="4FE448FD">
      <w:pPr>
        <w:pStyle w:val="15"/>
        <w:rPr>
          <w:rFonts w:ascii="宋体" w:hAnsi="宋体"/>
          <w:b/>
          <w:bCs/>
          <w:kern w:val="0"/>
          <w:sz w:val="32"/>
          <w:szCs w:val="32"/>
        </w:rPr>
        <w:sectPr>
          <w:footerReference r:id="rId6" w:type="first"/>
          <w:footerReference r:id="rId5" w:type="default"/>
          <w:pgSz w:w="11906" w:h="16838"/>
          <w:pgMar w:top="1440" w:right="1077" w:bottom="1440" w:left="1077" w:header="851" w:footer="992" w:gutter="0"/>
          <w:pgNumType w:fmt="decimal" w:start="1"/>
          <w:cols w:space="720" w:num="1"/>
          <w:titlePg/>
          <w:docGrid w:linePitch="312" w:charSpace="0"/>
        </w:sectPr>
      </w:pPr>
    </w:p>
    <w:bookmarkEnd w:id="246"/>
    <w:bookmarkEnd w:id="247"/>
    <w:bookmarkEnd w:id="248"/>
    <w:p w14:paraId="2B00EBD4">
      <w:pPr>
        <w:widowControl/>
        <w:numPr>
          <w:ilvl w:val="0"/>
          <w:numId w:val="0"/>
        </w:numPr>
        <w:jc w:val="center"/>
        <w:textAlignment w:val="center"/>
        <w:rPr>
          <w:rFonts w:hint="eastAsia" w:ascii="宋体" w:hAnsi="宋体"/>
          <w:b/>
          <w:bCs/>
          <w:kern w:val="0"/>
          <w:sz w:val="32"/>
          <w:szCs w:val="32"/>
        </w:rPr>
      </w:pPr>
      <w:r>
        <w:rPr>
          <w:rFonts w:hint="eastAsia" w:ascii="宋体" w:hAnsi="宋体"/>
          <w:b/>
          <w:bCs/>
          <w:kern w:val="0"/>
          <w:sz w:val="32"/>
          <w:szCs w:val="32"/>
          <w:lang w:val="en-US" w:eastAsia="zh-CN"/>
        </w:rPr>
        <w:t>二、</w:t>
      </w:r>
      <w:r>
        <w:rPr>
          <w:rFonts w:hint="eastAsia" w:ascii="宋体" w:hAnsi="宋体"/>
          <w:b/>
          <w:bCs/>
          <w:kern w:val="0"/>
          <w:sz w:val="32"/>
          <w:szCs w:val="32"/>
        </w:rPr>
        <w:t>项目概况及技术参数</w:t>
      </w:r>
    </w:p>
    <w:p w14:paraId="01893F25">
      <w:pPr>
        <w:pStyle w:val="13"/>
        <w:rPr>
          <w:rFonts w:hint="eastAsia"/>
        </w:rPr>
      </w:pPr>
    </w:p>
    <w:tbl>
      <w:tblPr>
        <w:tblStyle w:val="34"/>
        <w:tblW w:w="98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7"/>
        <w:gridCol w:w="1339"/>
        <w:gridCol w:w="940"/>
        <w:gridCol w:w="890"/>
        <w:gridCol w:w="5940"/>
      </w:tblGrid>
      <w:tr w14:paraId="02A89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5262B1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39"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FFAB37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产品</w:t>
            </w:r>
            <w:r>
              <w:rPr>
                <w:rFonts w:hint="eastAsia" w:ascii="宋体" w:hAnsi="宋体" w:eastAsia="宋体" w:cs="宋体"/>
                <w:b/>
                <w:bCs/>
                <w:i w:val="0"/>
                <w:iCs w:val="0"/>
                <w:color w:val="000000"/>
                <w:kern w:val="0"/>
                <w:sz w:val="24"/>
                <w:szCs w:val="24"/>
                <w:u w:val="none"/>
                <w:lang w:val="en-US" w:eastAsia="zh-CN" w:bidi="ar"/>
              </w:rPr>
              <w:t>名称</w:t>
            </w:r>
          </w:p>
        </w:tc>
        <w:tc>
          <w:tcPr>
            <w:tcW w:w="94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560BF5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9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27AC3E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594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0EC8BD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p>
        </w:tc>
      </w:tr>
      <w:tr w14:paraId="7A1AA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D7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7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告示牌</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2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bookmarkStart w:id="249" w:name="_GoBack"/>
            <w:bookmarkEnd w:id="249"/>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6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B2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1、主要承载立柱≥φ114mm×3mm；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2、主要承载横梁≥YF32mm×32mm×3.0mm；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3、告示牌采用不锈钢材质，板材厚度1.2mm，图样及字样蚀刻处理；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4、不锈钢板边缘及尖角不允许外露；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5、产品取得国家体育用品质量监督检验中心检验报告；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6、产品通过NSCC国体认证，并提供NSCC认证证书及确认函。</w:t>
            </w:r>
          </w:p>
        </w:tc>
      </w:tr>
      <w:tr w14:paraId="699D4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1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5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肋木架</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4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4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8E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1、主要承载立柱≥φ114mm×3mm；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2、主要承载横梁≥φ32mm×3.0mm；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3、横管间距≥330mm，立柱顶部没有高出横管；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4、最下方横杆下缘与地面缓冲层间的距离不小于400mm；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5、产品取得国家体育用品质量监督检验中心检验报告；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6、产品通过NSCC国体认证，并提供NSCC认证证书及确认函。</w:t>
            </w:r>
          </w:p>
        </w:tc>
      </w:tr>
      <w:tr w14:paraId="017D2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8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3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仰卧板</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2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2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DB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1、主要承载立柱≥φ48×3mm；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2、主要承载横梁≥32mm×32mm×3.0mm；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3、整体式板面，板材厚度2mm；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4、产品取得国家体育用品质量监督检验中心检验报告；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5、产品通过NSCC国体认证，并提供NSCC认证证书及确认函。</w:t>
            </w:r>
          </w:p>
        </w:tc>
      </w:tr>
      <w:tr w14:paraId="29B50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C2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0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伸腰伸背器</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8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B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44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1、主要承载立柱≥φ114mm×3mm；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2、主要承载横梁≥40mm×60mm×3.0mm；；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3、采取整体式不锈钢板面；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4、产品取得国家体育用品质量监督检验中心检验报告；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5、产品通过NSCC国体认证，并提供NSCC认证证书及确认函。</w:t>
            </w:r>
          </w:p>
        </w:tc>
      </w:tr>
      <w:tr w14:paraId="7A7AC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B6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7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双位太空漫步机</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1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0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71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1、主要承载立柱≥φ114mm×3mm；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2、主要承载横梁≥φ60mm×3.0mm；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3、摆杆与主立柱内侧的最小距离处应大于60mm；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4、脚踏部位应有防滑措施，站立使用的单脚防滑面应不小于（3×104）mm²，摩擦系数应不小于0.5；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5、摆动部件下缘距地面或底面最小高度应不小于80mm；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6、相邻运动的两踏板的间距应不小于100mm；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7、踏板前后应采取防止碰撞第三者的缓冲措施；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8、不允许存在衣服、头发钩挂或缠绕危险。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9、轴承应采取有效的防水、防尘措施；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10、产品取得国家体育用品质量监督检验中心检验报告；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11、产品通过NSCC国体认证，并提供NSCC认证证书及确认函</w:t>
            </w:r>
          </w:p>
        </w:tc>
      </w:tr>
      <w:tr w14:paraId="02BA5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5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0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臂力训练器</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B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0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6F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1、主要承载立柱≥φ114mm×3mm；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2、转轴直径不小于30mm；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3、踏杆应具有阻尼装置，曲柄半径小于300mm时，阻尼值力矩范围为1.5N•M-7.5N•M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4、轴承选用不小于6206承载能力的深沟球轴承，轴承应采取有效的防水、防尘措施；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5、产品取得国家体育用品质量监督检验中心检验报告；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6、产品通过NSCC国体认证，并提供NSCC认证证书及确认函。</w:t>
            </w:r>
          </w:p>
        </w:tc>
      </w:tr>
      <w:tr w14:paraId="32B48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BA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E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三位扭腰器</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B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2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1E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1、主要承载立柱≥114mm×3mm；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2、主要承载横梁≥φ32mm×3.0mm；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3、转动部位有有效的防尘防水措施；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4、扭腰盘材质为Q235A；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5、扭腰盘上表面边缘应以R为10mm的圆弧过渡；扭腰盘下部棱边R为2mm；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6、脚踏部位有防滑措施，双脚站立防滑面为9×104mm²，摩擦系数为0.8；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7、扭腰盘有阻尼装置，扭腰盘半径为160mm，阻尼值力矩2.5N•M；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8、产品取得国家体育用品质量监督检验中心检验报告；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9、产品通过NSCC国体认证，并提供NSCC认证证书及确认函。</w:t>
            </w:r>
          </w:p>
        </w:tc>
      </w:tr>
      <w:tr w14:paraId="735AA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C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6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太极推揉器</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7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7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8F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1、主要承载立柱≥φ114mm×3mm；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2、主要承载横梁≥50mm×50mm×3.0mm；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3、两转盘间的开口距离不小于230mm；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4、转盘应具有阻尼装置，转动半径小于300mm时，阻尼值力矩范围为0.45 N•M-2.25 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5、产品取得国家体育用品质量监督检验中心检验报告；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6、产品通过NSCC国体认证，并提供NSCC认证证书及确认函。</w:t>
            </w:r>
          </w:p>
        </w:tc>
      </w:tr>
      <w:tr w14:paraId="7EDA9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A9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4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骑马机</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3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F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23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1、主要承载立柱≥114mm×3mm；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2、主要承载横梁≥50mm×50mm×3.0mm；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3、转动部位不应有剪切点、挤压点、引入点；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4、不允许存在衣服、头发钩挂或缠绕危险；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5、所有管材壁厚不小于2.5mm，耳片、连接片壁厚不小于5mm；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6、主转轴直径不小于30mm，脚踏杆底部离地高度不小于120mm；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7、轴承应采取有效的防水、防尘措施；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8、产品取得国家体育用品质量监督检验中心检验报告；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9、产品通过NSCC国体认证，并提供NSCC认证证书及确认函。</w:t>
            </w:r>
          </w:p>
        </w:tc>
      </w:tr>
      <w:tr w14:paraId="0BFD1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845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0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推揉压腿训练器</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E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5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6A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1、主要承载立柱≥φ114mm×3mm；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2、主要承载横梁≥φ48mm×3.0mm；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3、转盘应具有阻尼装置；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4、产品取得国家体育用品质量监督检验中心检验报告；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5、产品通过NSCC国体认证，并提供NSCC认证证书及确认函。</w:t>
            </w:r>
          </w:p>
        </w:tc>
      </w:tr>
      <w:tr w14:paraId="58F1B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40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5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腿部按摩伸展器</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01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0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2C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1、主要承载立柱≥φ114mm×3mm；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2、主要承载横梁≥φ60mm×3.0mm；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3、器材部件间不应存在刚性碰撞；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4、脚踏部位应有防滑措施；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5、产品取得国家体育用品质量监督检验中心检验报告；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6、产品通过NSCC国体认证，并提供NSCC认证证书及确认函。</w:t>
            </w:r>
          </w:p>
        </w:tc>
      </w:tr>
      <w:tr w14:paraId="59D0C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0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F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上肢牵引器</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E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9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D4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1、主要承载立柱≥φ114mm×3mm；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2、主要承载横梁≥φ42mm×3.0mm；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3、活动把手（不含柔性部件）质量不大于600g；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4、柔性部件质量不大于600g；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5、若使用链环结构时，链扣之间最大间隙小于8mm；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6、轴承应采取有效的防水、防尘措施；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7、产品取得国家体育用品质量监督检验中心检验报告；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8、产品通过NSCC国体认证，并提供NSCC认证证书及确认函。</w:t>
            </w:r>
          </w:p>
        </w:tc>
      </w:tr>
      <w:tr w14:paraId="004F9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C5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4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腰背按摩器</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2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9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5B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1、主要承载立柱≥114mm×3mm；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2、主要承载横梁≥φ38mm×3.0mm；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3、按摩轮与刚性固定部件间的间隙为2mm；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4、不存在剪切点、挤压点、引入点，不存在刚性碰撞；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5、不存在衣服、头发钩挂或缠绕危险；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6、产品取得国家体育用品质量监督检验中心检验报告；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7、产品通过NSCC国体认证，并提供NSCC认证证书及确认函。</w:t>
            </w:r>
          </w:p>
        </w:tc>
      </w:tr>
      <w:tr w14:paraId="302B6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C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D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棋牌桌</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8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E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6B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1、主要承载立柱≥114mm×3mm；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2、主要承载横梁≥50mm×50mm×3.0mm；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3、棋盘采用不锈钢材质，板材厚度不小于1.2mm，图样及字样蚀刻处理。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4、不锈钢板边缘及尖角不允许外露。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5、座垫应采用厚度不小于22mm塑木座板或其他非金属材料，周边倒R角不小于5mm；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6、其他易触及的棱边应圆滑过渡；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7、产品取得国家体育用品质量监督检验中心检验报告；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8、产品通过NSCC国体认证，并提供NSCC认证证书及确认函。</w:t>
            </w:r>
          </w:p>
        </w:tc>
      </w:tr>
      <w:tr w14:paraId="1B330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A1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1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双人钟摆器</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6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1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8D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1、主要承载立柱≥φ114mm×3mm；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2、主要承载横梁≥φ60mm×3.0mm；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3、摆杆应有内限位装置，且单侧摆动幅度不大于65°，器材部件间不应存在刚性碰撞。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4、摆杆与主立柱内侧的最小距离处应大于60mm；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5、脚踏部位应有防滑措施，站立使用的单脚防滑面应不小于（6×104）mm²，摩擦系数应不小于0.5；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6、摆动部件下缘距地面或底面最小高度应不小于80mm；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7、转轴直径不小于25mm，并辅以调质热处理或选用直径不小于35mm；轴承座最薄处壁厚不小于5.5mm，轴承选用不小于6205承载能力的深沟球轴承；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8、踏板应采取防止碰撞第三者的缓冲措施；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9、不允许存在衣服、头发钩挂或缠绕危险。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10、轴承应采取有效的防水、防尘措施；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11、产品取得国家体育用品质量监督检验中心检验报告；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12、产品通过NSCC国体认证，并提供NSCC认证证书及确认函。</w:t>
            </w:r>
          </w:p>
        </w:tc>
      </w:tr>
      <w:tr w14:paraId="7D30C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5F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7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双位蹬力器</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A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D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96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1、主要承载立柱≥114mm×3mm；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2、主要承载横梁≥50mm×100mm×3.0mm，≥φ60mm×3.0mm；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3、座垫与靠垫应采用厚度不小于22mm塑木座板或其他非金属材料，其他易触及的棱边应圆滑过渡；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4、蹬力器摆杆应有内限位装置，器材间不能有刚性碰撞。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5、轴承座支架、耳片壁厚不小于10mm；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6、不允许存在剪切点、挤压点、引入点，不允许存在刚性碰撞；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7、脚踏部位应有防滑措施；摩擦系数应不小于0.5；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8、蹬力器摆杆与立柱之间的最小距离应大于230mm；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9、蹬力器摆动杆最下端与场地表面之间的最小距离应大于400mm；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10、转轴直径不小于30mm；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11、产品取得国家体育用品质量监督检验中心检验报告；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12、产品通过NSCC国体认证，并提供NSCC认证证书及确认函。</w:t>
            </w:r>
          </w:p>
        </w:tc>
      </w:tr>
      <w:tr w14:paraId="463BD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9C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8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乒乓球台</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9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1C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48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1、主要承载立柱≥60mm×3mm；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2、主要承载横梁≥20mm×30mm×3.0mm；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3、乒乓球台面采用SMC材料，符合GB 19272-2011的要求；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4、乒乓球台面的质量应满足GB19272-2011中6.12.1.2.3条至6.12.1.2.7条的要求；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5、台板面支撑框架应不少于4横4纵支撑管连接，且应完全贯穿；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6、产品取得国家体育用品质量监督检验中心检验报告；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7、产品通过NSCC国体认证，并提供NSCC认证证书及确认函。</w:t>
            </w:r>
          </w:p>
        </w:tc>
      </w:tr>
      <w:tr w14:paraId="25A4C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6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1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移动式篮球架</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1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0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20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1、篮球架立柱、悬臂梁采用≥□150mm*150mm*4mm的优质管材，一次冷弯成形；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2、篮板支撑：篮架上、下拉杆采用Φ48mm×2mm优质钢管，在弯管机上一次成型，通过调节上拉杆可调节篮板的平面度和垂直度；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3、篮球架结构尺寸应符合GB 23176-2008中4.1规定的练习型；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4、篮板应选用GB19272-2011中5.12.1.3.2规定的矩形篮板（材质为SMC），采用SMC片状模塑料，整体高温模压一次成型；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5、篮板的质量应满足GB19272-2011中5.12.1.3.3条至7、12.1.3.6条的要求；矩形篮板背部连接有不少于5点的连接安装位置，且安装位置尺寸符合GB19272-2011中图21a的要求；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6、篮球架伸臂长≥1800mm，且满足GB19272-2011标准中相关静载荷、稳定性试验要求；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7、篮圈：采用实心钢材制成，篮圈圈条直径为20mm，篮圈内径为450～459 mm；篮圈下沿有12个均匀分布篮网装置，装置无锐边、毛刺，且装置不大于8 mm的间隙；篮圈选用弹性篮圈，在去除压力后可自动返回原位置；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8、底座箱体加整体骨架支撑，外部包覆钢板；箱体内放置整体配重块并加高强度支撑件，与骨架可靠连接；消除箱体内存水结构，且在明显位置标注所需配重质量；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9、产品取得国家体育用品质量监督检验中心检验报告；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10、产品通过NSCC国体认证，并提供NSCC认证证书及确认函。</w:t>
            </w:r>
          </w:p>
        </w:tc>
      </w:tr>
      <w:tr w14:paraId="0F68C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3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9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羽毛球柱</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02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2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08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1、产品材质：网柱部分为无缝钢管，底座部分为固化钢板；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2、产品规格：不小于130kg；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3、网柱尺寸：高度≥150cm；</w:t>
            </w:r>
          </w:p>
        </w:tc>
      </w:tr>
      <w:tr w14:paraId="072F8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28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A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休闲座椅</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4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16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84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长120cm,成品座椅</w:t>
            </w:r>
          </w:p>
        </w:tc>
      </w:tr>
      <w:tr w14:paraId="0DAFF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BC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05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悬浮地板</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6B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1899</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8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3F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1、地板规格：302.7*302.7*14mm（±0.1mm），单块产品重量235g/片（±5g）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2、材料：悬浮拼装地板采用环保材料高强度改性聚丙烯（PP）+聚烯烃（PO）共混物，具有无毒、无味，超强稳定、遇水不滑，抗滑值（湿测）≥60。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为保证产品的耐湿热老化，依据GB/T12000-2017标准，提供耐湿热老化20000h检测报告，湿热老化后，产品外观无明显变化，无粉化、脆断，拉伸强度≥0.5MPa，灰卡等级≥4级。（提供CMA或CNAS标识的第三方权威检测机构检测报告复印件，盖制造商鲜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4、为保证产品的防霉性能，依据GB/T 24128-2018标准，提供（黑曲霉、黄曲霉、球毛壳菌、巴西曲霉、出牙短梗霉、绳状青霉、绿色木霉、宛氏拟青霉、长枝木霉、土曲霉）检测报告；测试时间不少于40天，测试结果为0级没有霉菌生长。（提供CMA或CNAS标识的第三方权威检测机构检测报告复印件，盖制造商鲜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5、依据GB/T 12000-2017标准，盐雾11000h后，断裂伸长率≥110%，拉伸强度≥9.0MPa,外观无明显变化，无粉华，脆断。（提供CMA或CNAS标识的第三方权威检测机构检测报告复印件，盖制造商鲜章）；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依据GB/T23321-2009标准，雨水侵泡≥1500h，垂直变形≥0.6mm，吸水率≤0.4%，有害物质含量：可溶性锑（Sb）,可溶性砷（As）,可溶性钡（Ba）,可溶性镉（Cd）均未检出。（提供CMA或CNAS标识的第三方权威检测机构检测报告复印件，盖制造商鲜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7、为保证运动性能，依据GB/T 14833-2020标准，检测产品各项物理性能：球反弹率＞75%，冲击吸收：20%-50%，垂直变形≤3mm，摩擦系数：0.4-0.7，拉伸强度≥0.7MPa，撕裂强度≥5kN/m，耐磨性（未老化）≤4.0g。（提供CMA或CNAS标识的第三方权威检测机构检测报告复印件，盖制造商鲜章）</w:t>
            </w:r>
          </w:p>
        </w:tc>
      </w:tr>
    </w:tbl>
    <w:p w14:paraId="2938E0DE">
      <w:pPr>
        <w:pStyle w:val="14"/>
        <w:ind w:left="0" w:leftChars="0" w:firstLine="0" w:firstLineChars="0"/>
        <w:rPr>
          <w:rFonts w:hint="eastAsia"/>
          <w:lang w:val="en-US" w:eastAsia="zh-CN"/>
        </w:rPr>
      </w:pPr>
    </w:p>
    <w:sectPr>
      <w:footerReference r:id="rId8" w:type="first"/>
      <w:footerReference r:id="rId7" w:type="default"/>
      <w:pgSz w:w="11906" w:h="16838"/>
      <w:pgMar w:top="1440" w:right="1077" w:bottom="1440" w:left="107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BDE09">
    <w:pPr>
      <w:pStyle w:val="22"/>
      <w:rPr>
        <w:rFonts w:ascii="宋体" w:hAnsi="宋体"/>
        <w:b/>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9E0A07">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9E0A07">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EB25D">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1F45F">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51F45F">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68DAB">
    <w:pPr>
      <w:pStyle w:val="22"/>
      <w:rPr>
        <w:rFonts w:ascii="宋体" w:hAnsi="宋体"/>
        <w:b/>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1E377">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0E1E377">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F35F2">
    <w:pPr>
      <w:pStyle w:val="22"/>
      <w:rPr>
        <w:rFonts w:hint="default" w:eastAsia="宋体"/>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574B0">
                          <w:pPr>
                            <w:pStyle w:val="2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4E574B0">
                    <w:pPr>
                      <w:pStyle w:val="2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8FECB">
    <w:pPr>
      <w:pStyle w:val="23"/>
      <w:pBdr>
        <w:bottom w:val="none" w:color="auto" w:sz="0" w:space="1"/>
      </w:pBdr>
      <w:jc w:val="both"/>
      <w:rPr>
        <w:rFonts w:ascii="楷体" w:hAnsi="楷体" w:eastAsia="楷体"/>
      </w:rPr>
    </w:pPr>
    <w:r>
      <w:rPr>
        <w:rFonts w:hint="eastAsia" w:ascii="楷体" w:hAnsi="楷体" w:eastAsia="楷体"/>
        <w:b/>
        <w:sz w:val="21"/>
        <w:szCs w:val="21"/>
      </w:rPr>
      <w:t xml:space="preserve">                                                                                </w:t>
    </w:r>
  </w:p>
  <w:p w14:paraId="3FA93E01">
    <w:pPr>
      <w:widowControl/>
      <w:adjustRightInd w:val="0"/>
      <w:snapToGrid w:val="0"/>
      <w:spacing w:line="360" w:lineRule="auto"/>
      <w:textAlignment w:val="baseline"/>
      <w:rPr>
        <w:rFonts w:ascii="楷体" w:hAnsi="楷体" w:eastAsia="楷体"/>
        <w:b/>
        <w:sz w:val="16"/>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85121">
    <w:pPr>
      <w:pStyle w:val="23"/>
      <w:pBdr>
        <w:bottom w:val="none" w:color="auto" w:sz="0" w:space="1"/>
      </w:pBdr>
    </w:pPr>
    <w:r>
      <w:rPr>
        <w:rFonts w:hint="eastAsia" w:ascii="楷体" w:hAnsi="楷体" w:eastAsia="楷体"/>
        <w:b/>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C669B"/>
    <w:multiLevelType w:val="multilevel"/>
    <w:tmpl w:val="005C669B"/>
    <w:lvl w:ilvl="0" w:tentative="0">
      <w:start w:val="1"/>
      <w:numFmt w:val="decimal"/>
      <w:lvlText w:val="（%1）"/>
      <w:lvlJc w:val="left"/>
      <w:pPr>
        <w:ind w:left="1041" w:hanging="420"/>
      </w:pPr>
      <w:rPr>
        <w:rFonts w:hint="default"/>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1">
    <w:nsid w:val="02400DDE"/>
    <w:multiLevelType w:val="multilevel"/>
    <w:tmpl w:val="02400DD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84C0B88"/>
    <w:multiLevelType w:val="multilevel"/>
    <w:tmpl w:val="084C0B88"/>
    <w:lvl w:ilvl="0" w:tentative="0">
      <w:start w:val="1"/>
      <w:numFmt w:val="decimal"/>
      <w:lvlText w:val="%1."/>
      <w:lvlJc w:val="left"/>
      <w:pPr>
        <w:ind w:left="360" w:hanging="360"/>
      </w:pPr>
      <w:rPr>
        <w:rFonts w:hint="default"/>
        <w:b/>
      </w:rPr>
    </w:lvl>
    <w:lvl w:ilvl="1" w:tentative="0">
      <w:start w:val="1"/>
      <w:numFmt w:val="decimal"/>
      <w:isLgl/>
      <w:lvlText w:val="%1.%2"/>
      <w:lvlJc w:val="left"/>
      <w:pPr>
        <w:ind w:left="480" w:hanging="480"/>
      </w:pPr>
      <w:rPr>
        <w:rFonts w:hint="default"/>
        <w:b w:val="0"/>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3">
    <w:nsid w:val="0B21349E"/>
    <w:multiLevelType w:val="multilevel"/>
    <w:tmpl w:val="0B21349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4">
    <w:nsid w:val="0FD92A73"/>
    <w:multiLevelType w:val="multilevel"/>
    <w:tmpl w:val="0FD92A73"/>
    <w:lvl w:ilvl="0" w:tentative="0">
      <w:start w:val="2"/>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5">
    <w:nsid w:val="18814C8C"/>
    <w:multiLevelType w:val="multilevel"/>
    <w:tmpl w:val="18814C8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6">
    <w:nsid w:val="25933C0A"/>
    <w:multiLevelType w:val="multilevel"/>
    <w:tmpl w:val="25933C0A"/>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7">
    <w:nsid w:val="40CF13D4"/>
    <w:multiLevelType w:val="multilevel"/>
    <w:tmpl w:val="40CF13D4"/>
    <w:lvl w:ilvl="0" w:tentative="0">
      <w:start w:val="1"/>
      <w:numFmt w:val="decimal"/>
      <w:pStyle w:val="2"/>
      <w:lvlText w:val="%1."/>
      <w:lvlJc w:val="left"/>
      <w:pPr>
        <w:tabs>
          <w:tab w:val="left" w:pos="425"/>
        </w:tabs>
        <w:ind w:left="425" w:hanging="425"/>
      </w:pPr>
      <w:rPr>
        <w:rFonts w:hint="eastAsia"/>
      </w:rPr>
    </w:lvl>
    <w:lvl w:ilvl="1" w:tentative="0">
      <w:start w:val="1"/>
      <w:numFmt w:val="decimal"/>
      <w:pStyle w:val="3"/>
      <w:lvlText w:val="%1.%2."/>
      <w:lvlJc w:val="left"/>
      <w:pPr>
        <w:tabs>
          <w:tab w:val="left" w:pos="720"/>
        </w:tabs>
        <w:ind w:left="567" w:hanging="567"/>
      </w:pPr>
      <w:rPr>
        <w:rFonts w:hint="eastAsia"/>
      </w:rPr>
    </w:lvl>
    <w:lvl w:ilvl="2" w:tentative="0">
      <w:start w:val="1"/>
      <w:numFmt w:val="chineseCountingThousand"/>
      <w:pStyle w:val="4"/>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46C71494"/>
    <w:multiLevelType w:val="multilevel"/>
    <w:tmpl w:val="46C71494"/>
    <w:lvl w:ilvl="0" w:tentative="0">
      <w:start w:val="1"/>
      <w:numFmt w:val="decimal"/>
      <w:lvlText w:val="%1)"/>
      <w:lvlJc w:val="left"/>
      <w:pPr>
        <w:ind w:left="1461" w:hanging="420"/>
      </w:pPr>
    </w:lvl>
    <w:lvl w:ilvl="1" w:tentative="0">
      <w:start w:val="1"/>
      <w:numFmt w:val="lowerLetter"/>
      <w:lvlText w:val="%2)"/>
      <w:lvlJc w:val="left"/>
      <w:pPr>
        <w:ind w:left="1881" w:hanging="420"/>
      </w:pPr>
    </w:lvl>
    <w:lvl w:ilvl="2" w:tentative="0">
      <w:start w:val="1"/>
      <w:numFmt w:val="lowerRoman"/>
      <w:lvlText w:val="%3."/>
      <w:lvlJc w:val="right"/>
      <w:pPr>
        <w:ind w:left="2301" w:hanging="420"/>
      </w:pPr>
    </w:lvl>
    <w:lvl w:ilvl="3" w:tentative="0">
      <w:start w:val="1"/>
      <w:numFmt w:val="decimal"/>
      <w:lvlText w:val="%4."/>
      <w:lvlJc w:val="left"/>
      <w:pPr>
        <w:ind w:left="2721" w:hanging="420"/>
      </w:pPr>
    </w:lvl>
    <w:lvl w:ilvl="4" w:tentative="0">
      <w:start w:val="1"/>
      <w:numFmt w:val="lowerLetter"/>
      <w:lvlText w:val="%5)"/>
      <w:lvlJc w:val="left"/>
      <w:pPr>
        <w:ind w:left="3141" w:hanging="420"/>
      </w:pPr>
    </w:lvl>
    <w:lvl w:ilvl="5" w:tentative="0">
      <w:start w:val="1"/>
      <w:numFmt w:val="lowerRoman"/>
      <w:lvlText w:val="%6."/>
      <w:lvlJc w:val="right"/>
      <w:pPr>
        <w:ind w:left="3561" w:hanging="420"/>
      </w:pPr>
    </w:lvl>
    <w:lvl w:ilvl="6" w:tentative="0">
      <w:start w:val="1"/>
      <w:numFmt w:val="decimal"/>
      <w:lvlText w:val="%7."/>
      <w:lvlJc w:val="left"/>
      <w:pPr>
        <w:ind w:left="3981" w:hanging="420"/>
      </w:pPr>
    </w:lvl>
    <w:lvl w:ilvl="7" w:tentative="0">
      <w:start w:val="1"/>
      <w:numFmt w:val="lowerLetter"/>
      <w:lvlText w:val="%8)"/>
      <w:lvlJc w:val="left"/>
      <w:pPr>
        <w:ind w:left="4401" w:hanging="420"/>
      </w:pPr>
    </w:lvl>
    <w:lvl w:ilvl="8" w:tentative="0">
      <w:start w:val="1"/>
      <w:numFmt w:val="lowerRoman"/>
      <w:lvlText w:val="%9."/>
      <w:lvlJc w:val="right"/>
      <w:pPr>
        <w:ind w:left="4821" w:hanging="420"/>
      </w:pPr>
    </w:lvl>
  </w:abstractNum>
  <w:abstractNum w:abstractNumId="9">
    <w:nsid w:val="4FE725AC"/>
    <w:multiLevelType w:val="multilevel"/>
    <w:tmpl w:val="4FE725A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0">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11">
    <w:nsid w:val="5670449B"/>
    <w:multiLevelType w:val="multilevel"/>
    <w:tmpl w:val="5670449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6997346"/>
    <w:multiLevelType w:val="multilevel"/>
    <w:tmpl w:val="56997346"/>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3">
    <w:nsid w:val="647E01AF"/>
    <w:multiLevelType w:val="multilevel"/>
    <w:tmpl w:val="647E01AF"/>
    <w:lvl w:ilvl="0" w:tentative="0">
      <w:start w:val="6"/>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4">
    <w:nsid w:val="6BC93FB5"/>
    <w:multiLevelType w:val="multilevel"/>
    <w:tmpl w:val="6BC93FB5"/>
    <w:lvl w:ilvl="0" w:tentative="0">
      <w:start w:val="8"/>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5">
    <w:nsid w:val="6C525B9F"/>
    <w:multiLevelType w:val="multilevel"/>
    <w:tmpl w:val="6C525B9F"/>
    <w:lvl w:ilvl="0" w:tentative="0">
      <w:start w:val="5"/>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6">
    <w:nsid w:val="719C3F02"/>
    <w:multiLevelType w:val="multilevel"/>
    <w:tmpl w:val="719C3F02"/>
    <w:lvl w:ilvl="0" w:tentative="0">
      <w:start w:val="7"/>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7">
    <w:nsid w:val="72C135E4"/>
    <w:multiLevelType w:val="multilevel"/>
    <w:tmpl w:val="72C135E4"/>
    <w:lvl w:ilvl="0" w:tentative="0">
      <w:start w:val="9"/>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8">
    <w:nsid w:val="75300036"/>
    <w:multiLevelType w:val="multilevel"/>
    <w:tmpl w:val="75300036"/>
    <w:lvl w:ilvl="0" w:tentative="0">
      <w:start w:val="4"/>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9">
    <w:nsid w:val="7CA10DD4"/>
    <w:multiLevelType w:val="multilevel"/>
    <w:tmpl w:val="7CA10DD4"/>
    <w:lvl w:ilvl="0" w:tentative="0">
      <w:start w:val="1"/>
      <w:numFmt w:val="decimal"/>
      <w:lvlText w:val="（%1）"/>
      <w:lvlJc w:val="left"/>
      <w:pPr>
        <w:ind w:left="845" w:hanging="420"/>
      </w:pPr>
    </w:lvl>
    <w:lvl w:ilvl="1" w:tentative="0">
      <w:start w:val="1"/>
      <w:numFmt w:val="decimal"/>
      <w:lvlText w:val="%2."/>
      <w:lvlJc w:val="left"/>
      <w:pPr>
        <w:ind w:left="988" w:hanging="420"/>
      </w:pPr>
      <w:rPr>
        <w:rFonts w:hint="eastAsia"/>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7"/>
  </w:num>
  <w:num w:numId="2">
    <w:abstractNumId w:val="10"/>
  </w:num>
  <w:num w:numId="3">
    <w:abstractNumId w:val="1"/>
  </w:num>
  <w:num w:numId="4">
    <w:abstractNumId w:val="4"/>
  </w:num>
  <w:num w:numId="5">
    <w:abstractNumId w:val="18"/>
  </w:num>
  <w:num w:numId="6">
    <w:abstractNumId w:val="3"/>
  </w:num>
  <w:num w:numId="7">
    <w:abstractNumId w:val="15"/>
  </w:num>
  <w:num w:numId="8">
    <w:abstractNumId w:val="5"/>
  </w:num>
  <w:num w:numId="9">
    <w:abstractNumId w:val="13"/>
  </w:num>
  <w:num w:numId="10">
    <w:abstractNumId w:val="16"/>
  </w:num>
  <w:num w:numId="11">
    <w:abstractNumId w:val="14"/>
  </w:num>
  <w:num w:numId="12">
    <w:abstractNumId w:val="17"/>
  </w:num>
  <w:num w:numId="13">
    <w:abstractNumId w:val="9"/>
  </w:num>
  <w:num w:numId="14">
    <w:abstractNumId w:val="6"/>
  </w:num>
  <w:num w:numId="15">
    <w:abstractNumId w:val="0"/>
  </w:num>
  <w:num w:numId="16">
    <w:abstractNumId w:val="12"/>
  </w:num>
  <w:num w:numId="17">
    <w:abstractNumId w:val="8"/>
  </w:num>
  <w:num w:numId="18">
    <w:abstractNumId w:val="2"/>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1MDZmZGU3NWQxZTNjMmIwOWY3MGI1NWFmMjUxOGYifQ=="/>
  </w:docVars>
  <w:rsids>
    <w:rsidRoot w:val="00B64A69"/>
    <w:rsid w:val="00002BF7"/>
    <w:rsid w:val="000038F3"/>
    <w:rsid w:val="0000523C"/>
    <w:rsid w:val="00005A48"/>
    <w:rsid w:val="000067C2"/>
    <w:rsid w:val="00006833"/>
    <w:rsid w:val="00010612"/>
    <w:rsid w:val="0001239E"/>
    <w:rsid w:val="00014941"/>
    <w:rsid w:val="000150EB"/>
    <w:rsid w:val="00015785"/>
    <w:rsid w:val="0001710E"/>
    <w:rsid w:val="0001758F"/>
    <w:rsid w:val="0002211A"/>
    <w:rsid w:val="00023E42"/>
    <w:rsid w:val="0002411A"/>
    <w:rsid w:val="000270B5"/>
    <w:rsid w:val="000273BF"/>
    <w:rsid w:val="0003102F"/>
    <w:rsid w:val="00034AC1"/>
    <w:rsid w:val="00044157"/>
    <w:rsid w:val="000446E2"/>
    <w:rsid w:val="000457A3"/>
    <w:rsid w:val="00046F57"/>
    <w:rsid w:val="00047F62"/>
    <w:rsid w:val="00051006"/>
    <w:rsid w:val="00051784"/>
    <w:rsid w:val="00053076"/>
    <w:rsid w:val="000532B7"/>
    <w:rsid w:val="00053663"/>
    <w:rsid w:val="00053D3B"/>
    <w:rsid w:val="0005473E"/>
    <w:rsid w:val="000558CC"/>
    <w:rsid w:val="00057DDD"/>
    <w:rsid w:val="00060656"/>
    <w:rsid w:val="00064C22"/>
    <w:rsid w:val="00070389"/>
    <w:rsid w:val="00071AFA"/>
    <w:rsid w:val="00071E6B"/>
    <w:rsid w:val="0007472D"/>
    <w:rsid w:val="00075EB8"/>
    <w:rsid w:val="0007617E"/>
    <w:rsid w:val="0007773A"/>
    <w:rsid w:val="000806B7"/>
    <w:rsid w:val="00081E42"/>
    <w:rsid w:val="00083F67"/>
    <w:rsid w:val="000846AA"/>
    <w:rsid w:val="0008494D"/>
    <w:rsid w:val="000872D0"/>
    <w:rsid w:val="00090332"/>
    <w:rsid w:val="00091938"/>
    <w:rsid w:val="00094715"/>
    <w:rsid w:val="00095A45"/>
    <w:rsid w:val="00095B69"/>
    <w:rsid w:val="00095F54"/>
    <w:rsid w:val="000A3E69"/>
    <w:rsid w:val="000A4266"/>
    <w:rsid w:val="000A4A29"/>
    <w:rsid w:val="000A5B2E"/>
    <w:rsid w:val="000A5D96"/>
    <w:rsid w:val="000A5E33"/>
    <w:rsid w:val="000A670C"/>
    <w:rsid w:val="000A79BC"/>
    <w:rsid w:val="000A7AA9"/>
    <w:rsid w:val="000B04C5"/>
    <w:rsid w:val="000B0C19"/>
    <w:rsid w:val="000B0F1F"/>
    <w:rsid w:val="000B1F19"/>
    <w:rsid w:val="000B46FC"/>
    <w:rsid w:val="000B6C24"/>
    <w:rsid w:val="000C18FF"/>
    <w:rsid w:val="000C2843"/>
    <w:rsid w:val="000C3CC9"/>
    <w:rsid w:val="000C4278"/>
    <w:rsid w:val="000C43F0"/>
    <w:rsid w:val="000C57AF"/>
    <w:rsid w:val="000C60A4"/>
    <w:rsid w:val="000C6505"/>
    <w:rsid w:val="000C6B3B"/>
    <w:rsid w:val="000D1FC0"/>
    <w:rsid w:val="000D3929"/>
    <w:rsid w:val="000D64A4"/>
    <w:rsid w:val="000D7068"/>
    <w:rsid w:val="000D7CD3"/>
    <w:rsid w:val="000E0567"/>
    <w:rsid w:val="000E09CB"/>
    <w:rsid w:val="000E0E00"/>
    <w:rsid w:val="000E346D"/>
    <w:rsid w:val="000E791D"/>
    <w:rsid w:val="000F03C2"/>
    <w:rsid w:val="000F095F"/>
    <w:rsid w:val="000F5C6D"/>
    <w:rsid w:val="00100215"/>
    <w:rsid w:val="001003FB"/>
    <w:rsid w:val="00101C28"/>
    <w:rsid w:val="001033A1"/>
    <w:rsid w:val="00103A39"/>
    <w:rsid w:val="001042F0"/>
    <w:rsid w:val="00104CCA"/>
    <w:rsid w:val="001100C2"/>
    <w:rsid w:val="00110842"/>
    <w:rsid w:val="00110AF9"/>
    <w:rsid w:val="0011125A"/>
    <w:rsid w:val="0011163B"/>
    <w:rsid w:val="00114C0A"/>
    <w:rsid w:val="00114D98"/>
    <w:rsid w:val="001164D8"/>
    <w:rsid w:val="00117E99"/>
    <w:rsid w:val="001209A9"/>
    <w:rsid w:val="00120EB7"/>
    <w:rsid w:val="00121135"/>
    <w:rsid w:val="00123F0F"/>
    <w:rsid w:val="00124055"/>
    <w:rsid w:val="001254F6"/>
    <w:rsid w:val="00125A2E"/>
    <w:rsid w:val="0012666C"/>
    <w:rsid w:val="001309C1"/>
    <w:rsid w:val="00130E28"/>
    <w:rsid w:val="00132691"/>
    <w:rsid w:val="00133612"/>
    <w:rsid w:val="001337D1"/>
    <w:rsid w:val="00134A4A"/>
    <w:rsid w:val="00135CE1"/>
    <w:rsid w:val="0013606C"/>
    <w:rsid w:val="00141D84"/>
    <w:rsid w:val="0014227A"/>
    <w:rsid w:val="0014346E"/>
    <w:rsid w:val="00144745"/>
    <w:rsid w:val="00150B55"/>
    <w:rsid w:val="00153051"/>
    <w:rsid w:val="001538F6"/>
    <w:rsid w:val="00153B72"/>
    <w:rsid w:val="00161442"/>
    <w:rsid w:val="00163370"/>
    <w:rsid w:val="00163BF1"/>
    <w:rsid w:val="00164B21"/>
    <w:rsid w:val="00165018"/>
    <w:rsid w:val="001655A7"/>
    <w:rsid w:val="001659BA"/>
    <w:rsid w:val="001673A5"/>
    <w:rsid w:val="00170482"/>
    <w:rsid w:val="00172D02"/>
    <w:rsid w:val="00174D3A"/>
    <w:rsid w:val="00174F7A"/>
    <w:rsid w:val="00175247"/>
    <w:rsid w:val="00176770"/>
    <w:rsid w:val="001801DD"/>
    <w:rsid w:val="00180A83"/>
    <w:rsid w:val="00181301"/>
    <w:rsid w:val="001829C0"/>
    <w:rsid w:val="00184ADA"/>
    <w:rsid w:val="00185FA7"/>
    <w:rsid w:val="00187489"/>
    <w:rsid w:val="00191300"/>
    <w:rsid w:val="00194DC7"/>
    <w:rsid w:val="00197375"/>
    <w:rsid w:val="001A1F4C"/>
    <w:rsid w:val="001A27B9"/>
    <w:rsid w:val="001A589B"/>
    <w:rsid w:val="001A5D19"/>
    <w:rsid w:val="001A6164"/>
    <w:rsid w:val="001A6395"/>
    <w:rsid w:val="001B258F"/>
    <w:rsid w:val="001B3A0B"/>
    <w:rsid w:val="001B5289"/>
    <w:rsid w:val="001B6AEF"/>
    <w:rsid w:val="001C1E19"/>
    <w:rsid w:val="001C3362"/>
    <w:rsid w:val="001C4112"/>
    <w:rsid w:val="001C5860"/>
    <w:rsid w:val="001C7E11"/>
    <w:rsid w:val="001D0BB0"/>
    <w:rsid w:val="001D2B64"/>
    <w:rsid w:val="001D704B"/>
    <w:rsid w:val="001E08C0"/>
    <w:rsid w:val="001E1452"/>
    <w:rsid w:val="001E1C73"/>
    <w:rsid w:val="001E62CF"/>
    <w:rsid w:val="001E78D7"/>
    <w:rsid w:val="001F15AA"/>
    <w:rsid w:val="001F165B"/>
    <w:rsid w:val="001F37EE"/>
    <w:rsid w:val="001F6CA1"/>
    <w:rsid w:val="002002AB"/>
    <w:rsid w:val="00202142"/>
    <w:rsid w:val="002027BC"/>
    <w:rsid w:val="002062BB"/>
    <w:rsid w:val="00206488"/>
    <w:rsid w:val="002069D8"/>
    <w:rsid w:val="00210596"/>
    <w:rsid w:val="00210EEA"/>
    <w:rsid w:val="0021138A"/>
    <w:rsid w:val="002118EC"/>
    <w:rsid w:val="00212E60"/>
    <w:rsid w:val="002136BF"/>
    <w:rsid w:val="00213F9D"/>
    <w:rsid w:val="00221B90"/>
    <w:rsid w:val="00224136"/>
    <w:rsid w:val="0022430C"/>
    <w:rsid w:val="002249FE"/>
    <w:rsid w:val="002307FD"/>
    <w:rsid w:val="0023168C"/>
    <w:rsid w:val="0023487E"/>
    <w:rsid w:val="00234B46"/>
    <w:rsid w:val="00234FAA"/>
    <w:rsid w:val="0023585A"/>
    <w:rsid w:val="00235CAF"/>
    <w:rsid w:val="00237D6B"/>
    <w:rsid w:val="00240485"/>
    <w:rsid w:val="002411CA"/>
    <w:rsid w:val="00242D84"/>
    <w:rsid w:val="002471F8"/>
    <w:rsid w:val="002475F8"/>
    <w:rsid w:val="00247938"/>
    <w:rsid w:val="00250300"/>
    <w:rsid w:val="00250E43"/>
    <w:rsid w:val="0025211E"/>
    <w:rsid w:val="002550B8"/>
    <w:rsid w:val="002554DC"/>
    <w:rsid w:val="002565A6"/>
    <w:rsid w:val="00256BE3"/>
    <w:rsid w:val="00260023"/>
    <w:rsid w:val="0026098D"/>
    <w:rsid w:val="002612E7"/>
    <w:rsid w:val="00262A92"/>
    <w:rsid w:val="00263995"/>
    <w:rsid w:val="00263C2D"/>
    <w:rsid w:val="00263CBE"/>
    <w:rsid w:val="00263CC7"/>
    <w:rsid w:val="00264625"/>
    <w:rsid w:val="00264E70"/>
    <w:rsid w:val="00265C78"/>
    <w:rsid w:val="00266513"/>
    <w:rsid w:val="00271723"/>
    <w:rsid w:val="0027217E"/>
    <w:rsid w:val="00273870"/>
    <w:rsid w:val="00273EF6"/>
    <w:rsid w:val="00280EEC"/>
    <w:rsid w:val="002812BE"/>
    <w:rsid w:val="00281F11"/>
    <w:rsid w:val="0028262A"/>
    <w:rsid w:val="002839E2"/>
    <w:rsid w:val="00284776"/>
    <w:rsid w:val="00285653"/>
    <w:rsid w:val="002863DA"/>
    <w:rsid w:val="002867B9"/>
    <w:rsid w:val="00287023"/>
    <w:rsid w:val="00287F14"/>
    <w:rsid w:val="00292A1E"/>
    <w:rsid w:val="0029318E"/>
    <w:rsid w:val="00293AFC"/>
    <w:rsid w:val="002948C0"/>
    <w:rsid w:val="00294A2B"/>
    <w:rsid w:val="002A252B"/>
    <w:rsid w:val="002B0774"/>
    <w:rsid w:val="002B0B5B"/>
    <w:rsid w:val="002B11BE"/>
    <w:rsid w:val="002B3C13"/>
    <w:rsid w:val="002B3D73"/>
    <w:rsid w:val="002B3D9A"/>
    <w:rsid w:val="002B40F9"/>
    <w:rsid w:val="002B5212"/>
    <w:rsid w:val="002B6CF5"/>
    <w:rsid w:val="002B7080"/>
    <w:rsid w:val="002C0A84"/>
    <w:rsid w:val="002C225A"/>
    <w:rsid w:val="002C59C7"/>
    <w:rsid w:val="002C6A48"/>
    <w:rsid w:val="002C6AFF"/>
    <w:rsid w:val="002C7F49"/>
    <w:rsid w:val="002D5143"/>
    <w:rsid w:val="002D56ED"/>
    <w:rsid w:val="002D7C5E"/>
    <w:rsid w:val="002E0050"/>
    <w:rsid w:val="002E120E"/>
    <w:rsid w:val="002E18F2"/>
    <w:rsid w:val="002E27F1"/>
    <w:rsid w:val="002E2E37"/>
    <w:rsid w:val="002E5C15"/>
    <w:rsid w:val="002E6972"/>
    <w:rsid w:val="002F1F0A"/>
    <w:rsid w:val="002F29A0"/>
    <w:rsid w:val="002F2BA1"/>
    <w:rsid w:val="002F3D64"/>
    <w:rsid w:val="002F45B9"/>
    <w:rsid w:val="002F4602"/>
    <w:rsid w:val="002F4AE4"/>
    <w:rsid w:val="002F611D"/>
    <w:rsid w:val="002F750C"/>
    <w:rsid w:val="002F7D44"/>
    <w:rsid w:val="00301408"/>
    <w:rsid w:val="00301577"/>
    <w:rsid w:val="003015BD"/>
    <w:rsid w:val="003028D3"/>
    <w:rsid w:val="00302F31"/>
    <w:rsid w:val="003035D3"/>
    <w:rsid w:val="003035EC"/>
    <w:rsid w:val="00305706"/>
    <w:rsid w:val="003103AB"/>
    <w:rsid w:val="003106A7"/>
    <w:rsid w:val="00310A22"/>
    <w:rsid w:val="00310E13"/>
    <w:rsid w:val="0031377B"/>
    <w:rsid w:val="00314AA7"/>
    <w:rsid w:val="00315066"/>
    <w:rsid w:val="003158A9"/>
    <w:rsid w:val="003163D0"/>
    <w:rsid w:val="0031651E"/>
    <w:rsid w:val="00317608"/>
    <w:rsid w:val="00321269"/>
    <w:rsid w:val="00321E99"/>
    <w:rsid w:val="003233E5"/>
    <w:rsid w:val="003244B0"/>
    <w:rsid w:val="003304B9"/>
    <w:rsid w:val="0033150D"/>
    <w:rsid w:val="00331ABE"/>
    <w:rsid w:val="00341D0D"/>
    <w:rsid w:val="003440F7"/>
    <w:rsid w:val="00344401"/>
    <w:rsid w:val="0034606E"/>
    <w:rsid w:val="00347405"/>
    <w:rsid w:val="0034743D"/>
    <w:rsid w:val="00347C5C"/>
    <w:rsid w:val="0035056F"/>
    <w:rsid w:val="00353663"/>
    <w:rsid w:val="00354055"/>
    <w:rsid w:val="003560BD"/>
    <w:rsid w:val="00356255"/>
    <w:rsid w:val="00357C79"/>
    <w:rsid w:val="00361505"/>
    <w:rsid w:val="00362A2D"/>
    <w:rsid w:val="00363694"/>
    <w:rsid w:val="00370C11"/>
    <w:rsid w:val="00373EBB"/>
    <w:rsid w:val="00374189"/>
    <w:rsid w:val="00375A67"/>
    <w:rsid w:val="00382732"/>
    <w:rsid w:val="00386E74"/>
    <w:rsid w:val="003871E6"/>
    <w:rsid w:val="00390084"/>
    <w:rsid w:val="00396783"/>
    <w:rsid w:val="00396A62"/>
    <w:rsid w:val="0039788F"/>
    <w:rsid w:val="003A0AF6"/>
    <w:rsid w:val="003A0C81"/>
    <w:rsid w:val="003A0E91"/>
    <w:rsid w:val="003A11A4"/>
    <w:rsid w:val="003A1C5A"/>
    <w:rsid w:val="003A2B4C"/>
    <w:rsid w:val="003A2CEB"/>
    <w:rsid w:val="003A39C0"/>
    <w:rsid w:val="003A3CBB"/>
    <w:rsid w:val="003A4B5B"/>
    <w:rsid w:val="003A54E9"/>
    <w:rsid w:val="003A7E68"/>
    <w:rsid w:val="003B45D2"/>
    <w:rsid w:val="003C0201"/>
    <w:rsid w:val="003C4D8F"/>
    <w:rsid w:val="003C644F"/>
    <w:rsid w:val="003C7A96"/>
    <w:rsid w:val="003D0248"/>
    <w:rsid w:val="003D0529"/>
    <w:rsid w:val="003D1776"/>
    <w:rsid w:val="003D1CBD"/>
    <w:rsid w:val="003D322B"/>
    <w:rsid w:val="003D4271"/>
    <w:rsid w:val="003D46EA"/>
    <w:rsid w:val="003D5817"/>
    <w:rsid w:val="003D6B4E"/>
    <w:rsid w:val="003D7DDD"/>
    <w:rsid w:val="003E0378"/>
    <w:rsid w:val="003E0BFB"/>
    <w:rsid w:val="003E1052"/>
    <w:rsid w:val="003E4F99"/>
    <w:rsid w:val="003E536F"/>
    <w:rsid w:val="003E625F"/>
    <w:rsid w:val="003E68AA"/>
    <w:rsid w:val="003E7FCD"/>
    <w:rsid w:val="003F1EDC"/>
    <w:rsid w:val="003F374E"/>
    <w:rsid w:val="003F6B9A"/>
    <w:rsid w:val="003F70BB"/>
    <w:rsid w:val="003F7545"/>
    <w:rsid w:val="003F78B4"/>
    <w:rsid w:val="003F794B"/>
    <w:rsid w:val="00400FFB"/>
    <w:rsid w:val="00402BE9"/>
    <w:rsid w:val="004060D8"/>
    <w:rsid w:val="00411025"/>
    <w:rsid w:val="00415A34"/>
    <w:rsid w:val="004165A2"/>
    <w:rsid w:val="00416D43"/>
    <w:rsid w:val="00417367"/>
    <w:rsid w:val="0041793E"/>
    <w:rsid w:val="00417C36"/>
    <w:rsid w:val="00420E67"/>
    <w:rsid w:val="004239FA"/>
    <w:rsid w:val="004245B7"/>
    <w:rsid w:val="00425183"/>
    <w:rsid w:val="00426906"/>
    <w:rsid w:val="004273F5"/>
    <w:rsid w:val="004318C5"/>
    <w:rsid w:val="00433A07"/>
    <w:rsid w:val="00436011"/>
    <w:rsid w:val="004429E4"/>
    <w:rsid w:val="004435F8"/>
    <w:rsid w:val="00443800"/>
    <w:rsid w:val="00443869"/>
    <w:rsid w:val="004443A4"/>
    <w:rsid w:val="00446641"/>
    <w:rsid w:val="00450E42"/>
    <w:rsid w:val="00451525"/>
    <w:rsid w:val="00451913"/>
    <w:rsid w:val="00451ED2"/>
    <w:rsid w:val="0045206A"/>
    <w:rsid w:val="00452B6F"/>
    <w:rsid w:val="00452FAD"/>
    <w:rsid w:val="004569F1"/>
    <w:rsid w:val="00457735"/>
    <w:rsid w:val="00461142"/>
    <w:rsid w:val="00461184"/>
    <w:rsid w:val="00461E9F"/>
    <w:rsid w:val="00462027"/>
    <w:rsid w:val="0046364C"/>
    <w:rsid w:val="00463BB6"/>
    <w:rsid w:val="00464C20"/>
    <w:rsid w:val="00466044"/>
    <w:rsid w:val="004704BB"/>
    <w:rsid w:val="00473DDA"/>
    <w:rsid w:val="004746F6"/>
    <w:rsid w:val="00475DE5"/>
    <w:rsid w:val="00475FE2"/>
    <w:rsid w:val="00476424"/>
    <w:rsid w:val="004766AB"/>
    <w:rsid w:val="004773FB"/>
    <w:rsid w:val="004777F0"/>
    <w:rsid w:val="004802FC"/>
    <w:rsid w:val="00480C84"/>
    <w:rsid w:val="00481C49"/>
    <w:rsid w:val="0048253D"/>
    <w:rsid w:val="00482CF8"/>
    <w:rsid w:val="00482F1A"/>
    <w:rsid w:val="004844D1"/>
    <w:rsid w:val="00490F61"/>
    <w:rsid w:val="004938FF"/>
    <w:rsid w:val="00494755"/>
    <w:rsid w:val="004955F0"/>
    <w:rsid w:val="0049591A"/>
    <w:rsid w:val="0049768E"/>
    <w:rsid w:val="004A1B0D"/>
    <w:rsid w:val="004A2070"/>
    <w:rsid w:val="004A2FAE"/>
    <w:rsid w:val="004A3ED2"/>
    <w:rsid w:val="004A4982"/>
    <w:rsid w:val="004A732D"/>
    <w:rsid w:val="004A7B50"/>
    <w:rsid w:val="004A7C28"/>
    <w:rsid w:val="004B244C"/>
    <w:rsid w:val="004B489F"/>
    <w:rsid w:val="004B5A65"/>
    <w:rsid w:val="004B6399"/>
    <w:rsid w:val="004C0CD5"/>
    <w:rsid w:val="004C1069"/>
    <w:rsid w:val="004C6759"/>
    <w:rsid w:val="004D249E"/>
    <w:rsid w:val="004D282F"/>
    <w:rsid w:val="004D2858"/>
    <w:rsid w:val="004D3CFB"/>
    <w:rsid w:val="004E0FA5"/>
    <w:rsid w:val="004E1822"/>
    <w:rsid w:val="004E26CF"/>
    <w:rsid w:val="004E6FBE"/>
    <w:rsid w:val="004F0575"/>
    <w:rsid w:val="004F193D"/>
    <w:rsid w:val="004F2EB9"/>
    <w:rsid w:val="004F305B"/>
    <w:rsid w:val="004F3B9C"/>
    <w:rsid w:val="004F4D1B"/>
    <w:rsid w:val="004F7309"/>
    <w:rsid w:val="004F7C4F"/>
    <w:rsid w:val="00500775"/>
    <w:rsid w:val="00500AC0"/>
    <w:rsid w:val="00504944"/>
    <w:rsid w:val="005053C9"/>
    <w:rsid w:val="00505B0A"/>
    <w:rsid w:val="00506FCA"/>
    <w:rsid w:val="00510EB0"/>
    <w:rsid w:val="00511A7C"/>
    <w:rsid w:val="00511E57"/>
    <w:rsid w:val="00511FD7"/>
    <w:rsid w:val="0051425A"/>
    <w:rsid w:val="005146F9"/>
    <w:rsid w:val="005151EB"/>
    <w:rsid w:val="0051535D"/>
    <w:rsid w:val="00515EE5"/>
    <w:rsid w:val="00515EF3"/>
    <w:rsid w:val="005166FC"/>
    <w:rsid w:val="00521E96"/>
    <w:rsid w:val="005234AC"/>
    <w:rsid w:val="005278AC"/>
    <w:rsid w:val="00527F7E"/>
    <w:rsid w:val="005315A3"/>
    <w:rsid w:val="00531A76"/>
    <w:rsid w:val="0053263F"/>
    <w:rsid w:val="005354DE"/>
    <w:rsid w:val="00535DA6"/>
    <w:rsid w:val="00536BD8"/>
    <w:rsid w:val="00541B49"/>
    <w:rsid w:val="005468E9"/>
    <w:rsid w:val="00546EDF"/>
    <w:rsid w:val="005476BB"/>
    <w:rsid w:val="0055015E"/>
    <w:rsid w:val="00552132"/>
    <w:rsid w:val="00552880"/>
    <w:rsid w:val="0055309F"/>
    <w:rsid w:val="005530FE"/>
    <w:rsid w:val="00553AC2"/>
    <w:rsid w:val="00553E6B"/>
    <w:rsid w:val="005553DD"/>
    <w:rsid w:val="00556754"/>
    <w:rsid w:val="00556F99"/>
    <w:rsid w:val="00561DC2"/>
    <w:rsid w:val="00562FD5"/>
    <w:rsid w:val="00563186"/>
    <w:rsid w:val="0056552C"/>
    <w:rsid w:val="00574777"/>
    <w:rsid w:val="00583185"/>
    <w:rsid w:val="00583C82"/>
    <w:rsid w:val="00584EFC"/>
    <w:rsid w:val="0058630A"/>
    <w:rsid w:val="005864CE"/>
    <w:rsid w:val="00592F25"/>
    <w:rsid w:val="0059310B"/>
    <w:rsid w:val="005936E2"/>
    <w:rsid w:val="005A075B"/>
    <w:rsid w:val="005A0E7D"/>
    <w:rsid w:val="005A196F"/>
    <w:rsid w:val="005A2653"/>
    <w:rsid w:val="005A3726"/>
    <w:rsid w:val="005A3934"/>
    <w:rsid w:val="005A4403"/>
    <w:rsid w:val="005A47D2"/>
    <w:rsid w:val="005A4B0F"/>
    <w:rsid w:val="005B11B1"/>
    <w:rsid w:val="005B2A68"/>
    <w:rsid w:val="005B2E8A"/>
    <w:rsid w:val="005B71FE"/>
    <w:rsid w:val="005C0030"/>
    <w:rsid w:val="005C1590"/>
    <w:rsid w:val="005C16B4"/>
    <w:rsid w:val="005C3128"/>
    <w:rsid w:val="005C3AFA"/>
    <w:rsid w:val="005C519E"/>
    <w:rsid w:val="005C77E3"/>
    <w:rsid w:val="005D0243"/>
    <w:rsid w:val="005D1809"/>
    <w:rsid w:val="005D2508"/>
    <w:rsid w:val="005D62D3"/>
    <w:rsid w:val="005D6984"/>
    <w:rsid w:val="005D7465"/>
    <w:rsid w:val="005D7FE4"/>
    <w:rsid w:val="005E10F4"/>
    <w:rsid w:val="005E6FAC"/>
    <w:rsid w:val="005E713D"/>
    <w:rsid w:val="005F449B"/>
    <w:rsid w:val="005F47F0"/>
    <w:rsid w:val="005F489F"/>
    <w:rsid w:val="005F51C8"/>
    <w:rsid w:val="005F54A6"/>
    <w:rsid w:val="005F5C48"/>
    <w:rsid w:val="005F7412"/>
    <w:rsid w:val="005F76F1"/>
    <w:rsid w:val="00600293"/>
    <w:rsid w:val="0060118C"/>
    <w:rsid w:val="00601782"/>
    <w:rsid w:val="00601B0F"/>
    <w:rsid w:val="00605754"/>
    <w:rsid w:val="00607D57"/>
    <w:rsid w:val="00615373"/>
    <w:rsid w:val="00617319"/>
    <w:rsid w:val="0061747E"/>
    <w:rsid w:val="00617B01"/>
    <w:rsid w:val="00617C82"/>
    <w:rsid w:val="00617E12"/>
    <w:rsid w:val="006212DE"/>
    <w:rsid w:val="006222CF"/>
    <w:rsid w:val="00623FB7"/>
    <w:rsid w:val="0062460E"/>
    <w:rsid w:val="00625C34"/>
    <w:rsid w:val="00627D6F"/>
    <w:rsid w:val="00627E81"/>
    <w:rsid w:val="00630504"/>
    <w:rsid w:val="00633C11"/>
    <w:rsid w:val="006341AF"/>
    <w:rsid w:val="006348D7"/>
    <w:rsid w:val="00640890"/>
    <w:rsid w:val="00640AEB"/>
    <w:rsid w:val="00640CB5"/>
    <w:rsid w:val="00641042"/>
    <w:rsid w:val="006412F8"/>
    <w:rsid w:val="00643FA8"/>
    <w:rsid w:val="00645286"/>
    <w:rsid w:val="00645415"/>
    <w:rsid w:val="00647FF2"/>
    <w:rsid w:val="006509E1"/>
    <w:rsid w:val="0065116F"/>
    <w:rsid w:val="0065148E"/>
    <w:rsid w:val="00651C89"/>
    <w:rsid w:val="0065351A"/>
    <w:rsid w:val="00654177"/>
    <w:rsid w:val="00654E30"/>
    <w:rsid w:val="006552D2"/>
    <w:rsid w:val="006553E6"/>
    <w:rsid w:val="00656667"/>
    <w:rsid w:val="006613FE"/>
    <w:rsid w:val="006629DD"/>
    <w:rsid w:val="00662A00"/>
    <w:rsid w:val="00665B15"/>
    <w:rsid w:val="00665CD3"/>
    <w:rsid w:val="0066628F"/>
    <w:rsid w:val="00667584"/>
    <w:rsid w:val="00670377"/>
    <w:rsid w:val="0067228E"/>
    <w:rsid w:val="006730A4"/>
    <w:rsid w:val="006730CA"/>
    <w:rsid w:val="006734DC"/>
    <w:rsid w:val="00677B8E"/>
    <w:rsid w:val="00680F53"/>
    <w:rsid w:val="006823C9"/>
    <w:rsid w:val="00682AAA"/>
    <w:rsid w:val="00683DB1"/>
    <w:rsid w:val="00684781"/>
    <w:rsid w:val="0068487D"/>
    <w:rsid w:val="006856F1"/>
    <w:rsid w:val="00685DC3"/>
    <w:rsid w:val="00690057"/>
    <w:rsid w:val="006911C8"/>
    <w:rsid w:val="006915A7"/>
    <w:rsid w:val="00691E36"/>
    <w:rsid w:val="006923A3"/>
    <w:rsid w:val="00692C09"/>
    <w:rsid w:val="0069396F"/>
    <w:rsid w:val="006939DB"/>
    <w:rsid w:val="00694FA6"/>
    <w:rsid w:val="00695987"/>
    <w:rsid w:val="006968BC"/>
    <w:rsid w:val="006977B3"/>
    <w:rsid w:val="006A13F2"/>
    <w:rsid w:val="006A4AEA"/>
    <w:rsid w:val="006A757E"/>
    <w:rsid w:val="006A7D4C"/>
    <w:rsid w:val="006B1E3B"/>
    <w:rsid w:val="006B489C"/>
    <w:rsid w:val="006B7A72"/>
    <w:rsid w:val="006C00C2"/>
    <w:rsid w:val="006C17EB"/>
    <w:rsid w:val="006C722E"/>
    <w:rsid w:val="006C76D2"/>
    <w:rsid w:val="006C7D4B"/>
    <w:rsid w:val="006D0531"/>
    <w:rsid w:val="006D08B1"/>
    <w:rsid w:val="006D23BD"/>
    <w:rsid w:val="006D2C3B"/>
    <w:rsid w:val="006D2F46"/>
    <w:rsid w:val="006D6A3A"/>
    <w:rsid w:val="006D6A9B"/>
    <w:rsid w:val="006D7AF3"/>
    <w:rsid w:val="006E17F0"/>
    <w:rsid w:val="006E2449"/>
    <w:rsid w:val="006E3235"/>
    <w:rsid w:val="006E3F95"/>
    <w:rsid w:val="006E46B1"/>
    <w:rsid w:val="006E4D3F"/>
    <w:rsid w:val="006E62FC"/>
    <w:rsid w:val="006E747E"/>
    <w:rsid w:val="006E78EB"/>
    <w:rsid w:val="006E7AD5"/>
    <w:rsid w:val="006F1138"/>
    <w:rsid w:val="006F1885"/>
    <w:rsid w:val="006F2461"/>
    <w:rsid w:val="006F285E"/>
    <w:rsid w:val="006F2CDB"/>
    <w:rsid w:val="006F488A"/>
    <w:rsid w:val="006F51CD"/>
    <w:rsid w:val="006F53C1"/>
    <w:rsid w:val="006F6C19"/>
    <w:rsid w:val="006F6EE3"/>
    <w:rsid w:val="006F73D2"/>
    <w:rsid w:val="00702BE3"/>
    <w:rsid w:val="00704D43"/>
    <w:rsid w:val="00704F3F"/>
    <w:rsid w:val="007147AC"/>
    <w:rsid w:val="007161D7"/>
    <w:rsid w:val="00721ED0"/>
    <w:rsid w:val="00722462"/>
    <w:rsid w:val="00725686"/>
    <w:rsid w:val="00725CB3"/>
    <w:rsid w:val="007344C1"/>
    <w:rsid w:val="007355A5"/>
    <w:rsid w:val="00736326"/>
    <w:rsid w:val="007364E9"/>
    <w:rsid w:val="00737626"/>
    <w:rsid w:val="007376A4"/>
    <w:rsid w:val="0074048C"/>
    <w:rsid w:val="0074198E"/>
    <w:rsid w:val="00741F64"/>
    <w:rsid w:val="00743A70"/>
    <w:rsid w:val="007444D7"/>
    <w:rsid w:val="00747B55"/>
    <w:rsid w:val="00747D95"/>
    <w:rsid w:val="007503A1"/>
    <w:rsid w:val="007511E0"/>
    <w:rsid w:val="0075218F"/>
    <w:rsid w:val="0075230D"/>
    <w:rsid w:val="0075345E"/>
    <w:rsid w:val="00754E2C"/>
    <w:rsid w:val="0075612C"/>
    <w:rsid w:val="0075640C"/>
    <w:rsid w:val="00757391"/>
    <w:rsid w:val="00757473"/>
    <w:rsid w:val="007574F7"/>
    <w:rsid w:val="00757975"/>
    <w:rsid w:val="007625B4"/>
    <w:rsid w:val="00763072"/>
    <w:rsid w:val="007636B2"/>
    <w:rsid w:val="00766562"/>
    <w:rsid w:val="00770111"/>
    <w:rsid w:val="007716E5"/>
    <w:rsid w:val="00775E29"/>
    <w:rsid w:val="0077662D"/>
    <w:rsid w:val="00777E33"/>
    <w:rsid w:val="00781110"/>
    <w:rsid w:val="00784E87"/>
    <w:rsid w:val="007857CA"/>
    <w:rsid w:val="00786E76"/>
    <w:rsid w:val="00790229"/>
    <w:rsid w:val="00790933"/>
    <w:rsid w:val="00793135"/>
    <w:rsid w:val="007965CC"/>
    <w:rsid w:val="00796C6D"/>
    <w:rsid w:val="0079732D"/>
    <w:rsid w:val="00797DEF"/>
    <w:rsid w:val="00797F6F"/>
    <w:rsid w:val="007A04A0"/>
    <w:rsid w:val="007A1690"/>
    <w:rsid w:val="007A1AE0"/>
    <w:rsid w:val="007A4F27"/>
    <w:rsid w:val="007A6A33"/>
    <w:rsid w:val="007B0EBE"/>
    <w:rsid w:val="007B1E2E"/>
    <w:rsid w:val="007B33D6"/>
    <w:rsid w:val="007B6126"/>
    <w:rsid w:val="007B663F"/>
    <w:rsid w:val="007B6E26"/>
    <w:rsid w:val="007B71CF"/>
    <w:rsid w:val="007B7DFC"/>
    <w:rsid w:val="007C08A8"/>
    <w:rsid w:val="007C1D0A"/>
    <w:rsid w:val="007C2716"/>
    <w:rsid w:val="007C2854"/>
    <w:rsid w:val="007C5D11"/>
    <w:rsid w:val="007C5EEB"/>
    <w:rsid w:val="007C6874"/>
    <w:rsid w:val="007D440C"/>
    <w:rsid w:val="007D452A"/>
    <w:rsid w:val="007D4AC6"/>
    <w:rsid w:val="007E14CA"/>
    <w:rsid w:val="007E1910"/>
    <w:rsid w:val="007E1990"/>
    <w:rsid w:val="007E378F"/>
    <w:rsid w:val="007E3A0B"/>
    <w:rsid w:val="007E3CEB"/>
    <w:rsid w:val="007E6A9F"/>
    <w:rsid w:val="007E6FBA"/>
    <w:rsid w:val="007E75C5"/>
    <w:rsid w:val="007F1082"/>
    <w:rsid w:val="007F39A1"/>
    <w:rsid w:val="007F5058"/>
    <w:rsid w:val="007F77E1"/>
    <w:rsid w:val="007F7A13"/>
    <w:rsid w:val="00802677"/>
    <w:rsid w:val="00802AB0"/>
    <w:rsid w:val="00806850"/>
    <w:rsid w:val="00814F4D"/>
    <w:rsid w:val="008152A0"/>
    <w:rsid w:val="0081697B"/>
    <w:rsid w:val="00817241"/>
    <w:rsid w:val="008251D4"/>
    <w:rsid w:val="00825455"/>
    <w:rsid w:val="00825D4C"/>
    <w:rsid w:val="00826813"/>
    <w:rsid w:val="00836013"/>
    <w:rsid w:val="00842137"/>
    <w:rsid w:val="0084233F"/>
    <w:rsid w:val="0084267A"/>
    <w:rsid w:val="008441EC"/>
    <w:rsid w:val="0084557F"/>
    <w:rsid w:val="0084590C"/>
    <w:rsid w:val="0084772E"/>
    <w:rsid w:val="00855832"/>
    <w:rsid w:val="00856A9B"/>
    <w:rsid w:val="00861847"/>
    <w:rsid w:val="00861D6D"/>
    <w:rsid w:val="0086215A"/>
    <w:rsid w:val="0086269C"/>
    <w:rsid w:val="00863D0C"/>
    <w:rsid w:val="0087022A"/>
    <w:rsid w:val="0087096E"/>
    <w:rsid w:val="0087111C"/>
    <w:rsid w:val="00871CDC"/>
    <w:rsid w:val="00872472"/>
    <w:rsid w:val="00873425"/>
    <w:rsid w:val="00877BF5"/>
    <w:rsid w:val="00882BF7"/>
    <w:rsid w:val="00882D04"/>
    <w:rsid w:val="00884917"/>
    <w:rsid w:val="0088681B"/>
    <w:rsid w:val="00887206"/>
    <w:rsid w:val="00887706"/>
    <w:rsid w:val="008878F6"/>
    <w:rsid w:val="0089181E"/>
    <w:rsid w:val="008958F5"/>
    <w:rsid w:val="008A02DB"/>
    <w:rsid w:val="008A2660"/>
    <w:rsid w:val="008A35BE"/>
    <w:rsid w:val="008A3E2F"/>
    <w:rsid w:val="008A46F7"/>
    <w:rsid w:val="008A560A"/>
    <w:rsid w:val="008A6B8E"/>
    <w:rsid w:val="008A7E5E"/>
    <w:rsid w:val="008B3C23"/>
    <w:rsid w:val="008B54D7"/>
    <w:rsid w:val="008B5E77"/>
    <w:rsid w:val="008B5E94"/>
    <w:rsid w:val="008C3631"/>
    <w:rsid w:val="008C4B00"/>
    <w:rsid w:val="008C748A"/>
    <w:rsid w:val="008D0DE3"/>
    <w:rsid w:val="008D267D"/>
    <w:rsid w:val="008D2A93"/>
    <w:rsid w:val="008D5F9D"/>
    <w:rsid w:val="008D72FE"/>
    <w:rsid w:val="008D7A9C"/>
    <w:rsid w:val="008E004E"/>
    <w:rsid w:val="008E4609"/>
    <w:rsid w:val="008E5310"/>
    <w:rsid w:val="008E5FAD"/>
    <w:rsid w:val="008E673D"/>
    <w:rsid w:val="008F1533"/>
    <w:rsid w:val="008F3DCD"/>
    <w:rsid w:val="008F51A5"/>
    <w:rsid w:val="008F6925"/>
    <w:rsid w:val="008F72EF"/>
    <w:rsid w:val="0090236C"/>
    <w:rsid w:val="009026AD"/>
    <w:rsid w:val="0090541D"/>
    <w:rsid w:val="009054B8"/>
    <w:rsid w:val="009101C1"/>
    <w:rsid w:val="00910B88"/>
    <w:rsid w:val="00911107"/>
    <w:rsid w:val="0091331B"/>
    <w:rsid w:val="00913443"/>
    <w:rsid w:val="00915FF3"/>
    <w:rsid w:val="00917D96"/>
    <w:rsid w:val="00920A97"/>
    <w:rsid w:val="00921BBA"/>
    <w:rsid w:val="00923BFF"/>
    <w:rsid w:val="009261BF"/>
    <w:rsid w:val="009268CF"/>
    <w:rsid w:val="009301E4"/>
    <w:rsid w:val="00930A61"/>
    <w:rsid w:val="00930D70"/>
    <w:rsid w:val="00934E60"/>
    <w:rsid w:val="0093621F"/>
    <w:rsid w:val="00940C26"/>
    <w:rsid w:val="0094161D"/>
    <w:rsid w:val="00942C2C"/>
    <w:rsid w:val="00943987"/>
    <w:rsid w:val="00950149"/>
    <w:rsid w:val="00951B84"/>
    <w:rsid w:val="00956908"/>
    <w:rsid w:val="0095717A"/>
    <w:rsid w:val="00960E06"/>
    <w:rsid w:val="00966D4C"/>
    <w:rsid w:val="009674BE"/>
    <w:rsid w:val="00970037"/>
    <w:rsid w:val="00973A76"/>
    <w:rsid w:val="00976557"/>
    <w:rsid w:val="0097741C"/>
    <w:rsid w:val="00977562"/>
    <w:rsid w:val="0097795F"/>
    <w:rsid w:val="009828B4"/>
    <w:rsid w:val="00982F4D"/>
    <w:rsid w:val="00985A6C"/>
    <w:rsid w:val="00985FB9"/>
    <w:rsid w:val="009873DE"/>
    <w:rsid w:val="009915BB"/>
    <w:rsid w:val="00993AF9"/>
    <w:rsid w:val="0099454B"/>
    <w:rsid w:val="00997DE3"/>
    <w:rsid w:val="009B0593"/>
    <w:rsid w:val="009B2F53"/>
    <w:rsid w:val="009B5C2D"/>
    <w:rsid w:val="009B6178"/>
    <w:rsid w:val="009B6658"/>
    <w:rsid w:val="009B6D0A"/>
    <w:rsid w:val="009B756E"/>
    <w:rsid w:val="009C03D7"/>
    <w:rsid w:val="009C25BA"/>
    <w:rsid w:val="009C3E03"/>
    <w:rsid w:val="009C40F6"/>
    <w:rsid w:val="009C48AA"/>
    <w:rsid w:val="009C4AFD"/>
    <w:rsid w:val="009D297C"/>
    <w:rsid w:val="009D2CDA"/>
    <w:rsid w:val="009D6249"/>
    <w:rsid w:val="009D6CAB"/>
    <w:rsid w:val="009D7643"/>
    <w:rsid w:val="009E3F8B"/>
    <w:rsid w:val="009E5347"/>
    <w:rsid w:val="009E6666"/>
    <w:rsid w:val="009E6B13"/>
    <w:rsid w:val="009E6C38"/>
    <w:rsid w:val="009E7ABE"/>
    <w:rsid w:val="009F0213"/>
    <w:rsid w:val="009F0DD2"/>
    <w:rsid w:val="009F14AA"/>
    <w:rsid w:val="009F29D6"/>
    <w:rsid w:val="009F4D27"/>
    <w:rsid w:val="009F61B2"/>
    <w:rsid w:val="00A00AE9"/>
    <w:rsid w:val="00A047DC"/>
    <w:rsid w:val="00A124DF"/>
    <w:rsid w:val="00A128E0"/>
    <w:rsid w:val="00A12AD7"/>
    <w:rsid w:val="00A13BC5"/>
    <w:rsid w:val="00A14D97"/>
    <w:rsid w:val="00A16C28"/>
    <w:rsid w:val="00A171B4"/>
    <w:rsid w:val="00A17C8F"/>
    <w:rsid w:val="00A20362"/>
    <w:rsid w:val="00A21327"/>
    <w:rsid w:val="00A21E8B"/>
    <w:rsid w:val="00A223C2"/>
    <w:rsid w:val="00A235B1"/>
    <w:rsid w:val="00A26A7D"/>
    <w:rsid w:val="00A27724"/>
    <w:rsid w:val="00A27EEB"/>
    <w:rsid w:val="00A34447"/>
    <w:rsid w:val="00A348F7"/>
    <w:rsid w:val="00A3544C"/>
    <w:rsid w:val="00A37371"/>
    <w:rsid w:val="00A40343"/>
    <w:rsid w:val="00A40760"/>
    <w:rsid w:val="00A415F3"/>
    <w:rsid w:val="00A416E7"/>
    <w:rsid w:val="00A4197A"/>
    <w:rsid w:val="00A435B7"/>
    <w:rsid w:val="00A44FCA"/>
    <w:rsid w:val="00A4547C"/>
    <w:rsid w:val="00A5192A"/>
    <w:rsid w:val="00A54024"/>
    <w:rsid w:val="00A5428B"/>
    <w:rsid w:val="00A5540B"/>
    <w:rsid w:val="00A60C9B"/>
    <w:rsid w:val="00A619FF"/>
    <w:rsid w:val="00A621C5"/>
    <w:rsid w:val="00A63CB1"/>
    <w:rsid w:val="00A64B39"/>
    <w:rsid w:val="00A65348"/>
    <w:rsid w:val="00A6568B"/>
    <w:rsid w:val="00A662CA"/>
    <w:rsid w:val="00A700C1"/>
    <w:rsid w:val="00A71155"/>
    <w:rsid w:val="00A71750"/>
    <w:rsid w:val="00A73684"/>
    <w:rsid w:val="00A773C2"/>
    <w:rsid w:val="00A81823"/>
    <w:rsid w:val="00A8257C"/>
    <w:rsid w:val="00A8710E"/>
    <w:rsid w:val="00A87FBA"/>
    <w:rsid w:val="00A91005"/>
    <w:rsid w:val="00A912AD"/>
    <w:rsid w:val="00A945DD"/>
    <w:rsid w:val="00A94898"/>
    <w:rsid w:val="00A94B27"/>
    <w:rsid w:val="00A94B69"/>
    <w:rsid w:val="00A94C40"/>
    <w:rsid w:val="00A94FB1"/>
    <w:rsid w:val="00A95687"/>
    <w:rsid w:val="00A9680C"/>
    <w:rsid w:val="00A97031"/>
    <w:rsid w:val="00A97775"/>
    <w:rsid w:val="00A97E05"/>
    <w:rsid w:val="00AA0200"/>
    <w:rsid w:val="00AA1ABB"/>
    <w:rsid w:val="00AA1C23"/>
    <w:rsid w:val="00AA4361"/>
    <w:rsid w:val="00AA4700"/>
    <w:rsid w:val="00AA4C43"/>
    <w:rsid w:val="00AA672B"/>
    <w:rsid w:val="00AB2871"/>
    <w:rsid w:val="00AB2A08"/>
    <w:rsid w:val="00AB2A35"/>
    <w:rsid w:val="00AB2BD5"/>
    <w:rsid w:val="00AB3145"/>
    <w:rsid w:val="00AB317D"/>
    <w:rsid w:val="00AB4A16"/>
    <w:rsid w:val="00AB51B3"/>
    <w:rsid w:val="00AB5DBA"/>
    <w:rsid w:val="00AB6A3E"/>
    <w:rsid w:val="00AB6D16"/>
    <w:rsid w:val="00AB720B"/>
    <w:rsid w:val="00AC1C92"/>
    <w:rsid w:val="00AC3302"/>
    <w:rsid w:val="00AC6E70"/>
    <w:rsid w:val="00AD20C4"/>
    <w:rsid w:val="00AD3FC7"/>
    <w:rsid w:val="00AD47C8"/>
    <w:rsid w:val="00AD6081"/>
    <w:rsid w:val="00AD72EB"/>
    <w:rsid w:val="00AE02A9"/>
    <w:rsid w:val="00AE0954"/>
    <w:rsid w:val="00AE130E"/>
    <w:rsid w:val="00AE161C"/>
    <w:rsid w:val="00AE51B0"/>
    <w:rsid w:val="00AE67E5"/>
    <w:rsid w:val="00AF22E0"/>
    <w:rsid w:val="00AF2438"/>
    <w:rsid w:val="00B02254"/>
    <w:rsid w:val="00B04E1D"/>
    <w:rsid w:val="00B0638F"/>
    <w:rsid w:val="00B10B98"/>
    <w:rsid w:val="00B13683"/>
    <w:rsid w:val="00B13CBF"/>
    <w:rsid w:val="00B2088A"/>
    <w:rsid w:val="00B2366B"/>
    <w:rsid w:val="00B2428A"/>
    <w:rsid w:val="00B2652E"/>
    <w:rsid w:val="00B274E3"/>
    <w:rsid w:val="00B34B22"/>
    <w:rsid w:val="00B3682F"/>
    <w:rsid w:val="00B408B8"/>
    <w:rsid w:val="00B438A2"/>
    <w:rsid w:val="00B469A4"/>
    <w:rsid w:val="00B53B19"/>
    <w:rsid w:val="00B53FB6"/>
    <w:rsid w:val="00B54AA4"/>
    <w:rsid w:val="00B56EAB"/>
    <w:rsid w:val="00B574B3"/>
    <w:rsid w:val="00B575A6"/>
    <w:rsid w:val="00B615F5"/>
    <w:rsid w:val="00B61E76"/>
    <w:rsid w:val="00B64A69"/>
    <w:rsid w:val="00B703C9"/>
    <w:rsid w:val="00B7155D"/>
    <w:rsid w:val="00B71C5F"/>
    <w:rsid w:val="00B80E7E"/>
    <w:rsid w:val="00B81EC6"/>
    <w:rsid w:val="00B83CEA"/>
    <w:rsid w:val="00B855A5"/>
    <w:rsid w:val="00B8715D"/>
    <w:rsid w:val="00B92AAF"/>
    <w:rsid w:val="00B92CE2"/>
    <w:rsid w:val="00B953CD"/>
    <w:rsid w:val="00B95544"/>
    <w:rsid w:val="00B96E1A"/>
    <w:rsid w:val="00B97D84"/>
    <w:rsid w:val="00BA02C4"/>
    <w:rsid w:val="00BA06DE"/>
    <w:rsid w:val="00BA2610"/>
    <w:rsid w:val="00BA2C35"/>
    <w:rsid w:val="00BA4E56"/>
    <w:rsid w:val="00BA5209"/>
    <w:rsid w:val="00BA7388"/>
    <w:rsid w:val="00BB29A0"/>
    <w:rsid w:val="00BB4F06"/>
    <w:rsid w:val="00BB564A"/>
    <w:rsid w:val="00BB6646"/>
    <w:rsid w:val="00BB7E4E"/>
    <w:rsid w:val="00BB7F5E"/>
    <w:rsid w:val="00BC21FF"/>
    <w:rsid w:val="00BC38C0"/>
    <w:rsid w:val="00BC412B"/>
    <w:rsid w:val="00BC429B"/>
    <w:rsid w:val="00BC5685"/>
    <w:rsid w:val="00BD107F"/>
    <w:rsid w:val="00BD2868"/>
    <w:rsid w:val="00BD3C3F"/>
    <w:rsid w:val="00BD4955"/>
    <w:rsid w:val="00BD56EE"/>
    <w:rsid w:val="00BE00AE"/>
    <w:rsid w:val="00BE0E79"/>
    <w:rsid w:val="00BE1010"/>
    <w:rsid w:val="00BF1160"/>
    <w:rsid w:val="00BF2453"/>
    <w:rsid w:val="00BF252F"/>
    <w:rsid w:val="00BF29BD"/>
    <w:rsid w:val="00BF360F"/>
    <w:rsid w:val="00BF3A9B"/>
    <w:rsid w:val="00BF41B3"/>
    <w:rsid w:val="00BF6684"/>
    <w:rsid w:val="00BF739E"/>
    <w:rsid w:val="00BF76F9"/>
    <w:rsid w:val="00BF7DC4"/>
    <w:rsid w:val="00BF7E77"/>
    <w:rsid w:val="00C00EB6"/>
    <w:rsid w:val="00C02CDD"/>
    <w:rsid w:val="00C035D4"/>
    <w:rsid w:val="00C04555"/>
    <w:rsid w:val="00C05D98"/>
    <w:rsid w:val="00C0668E"/>
    <w:rsid w:val="00C1140D"/>
    <w:rsid w:val="00C11C36"/>
    <w:rsid w:val="00C1234B"/>
    <w:rsid w:val="00C13FD0"/>
    <w:rsid w:val="00C1647E"/>
    <w:rsid w:val="00C16FED"/>
    <w:rsid w:val="00C17C0C"/>
    <w:rsid w:val="00C2056C"/>
    <w:rsid w:val="00C26D03"/>
    <w:rsid w:val="00C26EC5"/>
    <w:rsid w:val="00C30ADD"/>
    <w:rsid w:val="00C32130"/>
    <w:rsid w:val="00C3338E"/>
    <w:rsid w:val="00C426E1"/>
    <w:rsid w:val="00C42A87"/>
    <w:rsid w:val="00C44494"/>
    <w:rsid w:val="00C45893"/>
    <w:rsid w:val="00C46213"/>
    <w:rsid w:val="00C507E6"/>
    <w:rsid w:val="00C52C62"/>
    <w:rsid w:val="00C53499"/>
    <w:rsid w:val="00C57BB8"/>
    <w:rsid w:val="00C60B36"/>
    <w:rsid w:val="00C63BB4"/>
    <w:rsid w:val="00C64D9E"/>
    <w:rsid w:val="00C659CE"/>
    <w:rsid w:val="00C66EFD"/>
    <w:rsid w:val="00C675A6"/>
    <w:rsid w:val="00C71456"/>
    <w:rsid w:val="00C71DCD"/>
    <w:rsid w:val="00C720A9"/>
    <w:rsid w:val="00C75470"/>
    <w:rsid w:val="00C75C88"/>
    <w:rsid w:val="00C76992"/>
    <w:rsid w:val="00C7769A"/>
    <w:rsid w:val="00C8015D"/>
    <w:rsid w:val="00C80213"/>
    <w:rsid w:val="00C80B98"/>
    <w:rsid w:val="00C81676"/>
    <w:rsid w:val="00C84C9A"/>
    <w:rsid w:val="00C854C8"/>
    <w:rsid w:val="00C864FA"/>
    <w:rsid w:val="00C8720D"/>
    <w:rsid w:val="00C87AA4"/>
    <w:rsid w:val="00C91AF0"/>
    <w:rsid w:val="00C9234F"/>
    <w:rsid w:val="00C92394"/>
    <w:rsid w:val="00C92C12"/>
    <w:rsid w:val="00C93443"/>
    <w:rsid w:val="00C94B4B"/>
    <w:rsid w:val="00CA4273"/>
    <w:rsid w:val="00CA5E08"/>
    <w:rsid w:val="00CA79B5"/>
    <w:rsid w:val="00CB082D"/>
    <w:rsid w:val="00CB2357"/>
    <w:rsid w:val="00CB434F"/>
    <w:rsid w:val="00CB49BC"/>
    <w:rsid w:val="00CB4A65"/>
    <w:rsid w:val="00CB747B"/>
    <w:rsid w:val="00CC00A9"/>
    <w:rsid w:val="00CC23F6"/>
    <w:rsid w:val="00CC24CC"/>
    <w:rsid w:val="00CC2CE4"/>
    <w:rsid w:val="00CC307B"/>
    <w:rsid w:val="00CC3F73"/>
    <w:rsid w:val="00CC5B22"/>
    <w:rsid w:val="00CC5B72"/>
    <w:rsid w:val="00CC6C0B"/>
    <w:rsid w:val="00CD0766"/>
    <w:rsid w:val="00CD2294"/>
    <w:rsid w:val="00CD3105"/>
    <w:rsid w:val="00CD4F9B"/>
    <w:rsid w:val="00CE274E"/>
    <w:rsid w:val="00CE410A"/>
    <w:rsid w:val="00CE5BC0"/>
    <w:rsid w:val="00CF181E"/>
    <w:rsid w:val="00CF2690"/>
    <w:rsid w:val="00D00C1C"/>
    <w:rsid w:val="00D019FE"/>
    <w:rsid w:val="00D01A2B"/>
    <w:rsid w:val="00D038BD"/>
    <w:rsid w:val="00D04FAA"/>
    <w:rsid w:val="00D052C7"/>
    <w:rsid w:val="00D05DDF"/>
    <w:rsid w:val="00D120C5"/>
    <w:rsid w:val="00D12AD0"/>
    <w:rsid w:val="00D21155"/>
    <w:rsid w:val="00D2152B"/>
    <w:rsid w:val="00D22568"/>
    <w:rsid w:val="00D24E43"/>
    <w:rsid w:val="00D24EFD"/>
    <w:rsid w:val="00D25E80"/>
    <w:rsid w:val="00D264DF"/>
    <w:rsid w:val="00D30074"/>
    <w:rsid w:val="00D34E96"/>
    <w:rsid w:val="00D352F6"/>
    <w:rsid w:val="00D35BB3"/>
    <w:rsid w:val="00D4019B"/>
    <w:rsid w:val="00D46659"/>
    <w:rsid w:val="00D469F5"/>
    <w:rsid w:val="00D47322"/>
    <w:rsid w:val="00D50E50"/>
    <w:rsid w:val="00D56943"/>
    <w:rsid w:val="00D640C3"/>
    <w:rsid w:val="00D6426D"/>
    <w:rsid w:val="00D648D1"/>
    <w:rsid w:val="00D66787"/>
    <w:rsid w:val="00D67014"/>
    <w:rsid w:val="00D716AA"/>
    <w:rsid w:val="00D71830"/>
    <w:rsid w:val="00D72D4B"/>
    <w:rsid w:val="00D766E2"/>
    <w:rsid w:val="00D80175"/>
    <w:rsid w:val="00D82045"/>
    <w:rsid w:val="00D8324F"/>
    <w:rsid w:val="00D8437A"/>
    <w:rsid w:val="00D87241"/>
    <w:rsid w:val="00D87345"/>
    <w:rsid w:val="00D91CF5"/>
    <w:rsid w:val="00D952AA"/>
    <w:rsid w:val="00D976CD"/>
    <w:rsid w:val="00D97C77"/>
    <w:rsid w:val="00DA65FD"/>
    <w:rsid w:val="00DA726B"/>
    <w:rsid w:val="00DB1B9F"/>
    <w:rsid w:val="00DB2057"/>
    <w:rsid w:val="00DB640C"/>
    <w:rsid w:val="00DB6C1F"/>
    <w:rsid w:val="00DC13ED"/>
    <w:rsid w:val="00DC2156"/>
    <w:rsid w:val="00DC2A7A"/>
    <w:rsid w:val="00DC7A94"/>
    <w:rsid w:val="00DD37B9"/>
    <w:rsid w:val="00DD3F6D"/>
    <w:rsid w:val="00DD40DE"/>
    <w:rsid w:val="00DD5BF5"/>
    <w:rsid w:val="00DD6979"/>
    <w:rsid w:val="00DE026E"/>
    <w:rsid w:val="00DE1C04"/>
    <w:rsid w:val="00DE2173"/>
    <w:rsid w:val="00DE3FB4"/>
    <w:rsid w:val="00DE5B86"/>
    <w:rsid w:val="00DE5DD3"/>
    <w:rsid w:val="00DF3B1E"/>
    <w:rsid w:val="00DF56B6"/>
    <w:rsid w:val="00DF57FE"/>
    <w:rsid w:val="00DF7194"/>
    <w:rsid w:val="00E001EA"/>
    <w:rsid w:val="00E02E1D"/>
    <w:rsid w:val="00E03C78"/>
    <w:rsid w:val="00E066B7"/>
    <w:rsid w:val="00E06791"/>
    <w:rsid w:val="00E10C55"/>
    <w:rsid w:val="00E137C3"/>
    <w:rsid w:val="00E13C8E"/>
    <w:rsid w:val="00E1650E"/>
    <w:rsid w:val="00E16611"/>
    <w:rsid w:val="00E205D8"/>
    <w:rsid w:val="00E22299"/>
    <w:rsid w:val="00E22AB6"/>
    <w:rsid w:val="00E3223C"/>
    <w:rsid w:val="00E32F66"/>
    <w:rsid w:val="00E3515E"/>
    <w:rsid w:val="00E4106A"/>
    <w:rsid w:val="00E428A4"/>
    <w:rsid w:val="00E42E05"/>
    <w:rsid w:val="00E42E3F"/>
    <w:rsid w:val="00E43626"/>
    <w:rsid w:val="00E43BDB"/>
    <w:rsid w:val="00E47254"/>
    <w:rsid w:val="00E50214"/>
    <w:rsid w:val="00E50999"/>
    <w:rsid w:val="00E51289"/>
    <w:rsid w:val="00E51566"/>
    <w:rsid w:val="00E51E31"/>
    <w:rsid w:val="00E523AA"/>
    <w:rsid w:val="00E523D3"/>
    <w:rsid w:val="00E5353D"/>
    <w:rsid w:val="00E54143"/>
    <w:rsid w:val="00E629B0"/>
    <w:rsid w:val="00E629C2"/>
    <w:rsid w:val="00E6339F"/>
    <w:rsid w:val="00E63B15"/>
    <w:rsid w:val="00E6407B"/>
    <w:rsid w:val="00E64F05"/>
    <w:rsid w:val="00E6724A"/>
    <w:rsid w:val="00E67482"/>
    <w:rsid w:val="00E676AC"/>
    <w:rsid w:val="00E71966"/>
    <w:rsid w:val="00E739D3"/>
    <w:rsid w:val="00E7503E"/>
    <w:rsid w:val="00E75194"/>
    <w:rsid w:val="00E76345"/>
    <w:rsid w:val="00E7754C"/>
    <w:rsid w:val="00E80A49"/>
    <w:rsid w:val="00E850EA"/>
    <w:rsid w:val="00E857DE"/>
    <w:rsid w:val="00E85F02"/>
    <w:rsid w:val="00E863E4"/>
    <w:rsid w:val="00E903F3"/>
    <w:rsid w:val="00E91FDC"/>
    <w:rsid w:val="00E94002"/>
    <w:rsid w:val="00E9488F"/>
    <w:rsid w:val="00E94CFB"/>
    <w:rsid w:val="00E94E2B"/>
    <w:rsid w:val="00E9526F"/>
    <w:rsid w:val="00E96018"/>
    <w:rsid w:val="00E97934"/>
    <w:rsid w:val="00EA08BE"/>
    <w:rsid w:val="00EA4FD4"/>
    <w:rsid w:val="00EB05A8"/>
    <w:rsid w:val="00EB155B"/>
    <w:rsid w:val="00EB32DF"/>
    <w:rsid w:val="00EB3B69"/>
    <w:rsid w:val="00EB453C"/>
    <w:rsid w:val="00EC1D36"/>
    <w:rsid w:val="00EC3658"/>
    <w:rsid w:val="00EC3783"/>
    <w:rsid w:val="00EC3F72"/>
    <w:rsid w:val="00EC4AE2"/>
    <w:rsid w:val="00EC5FA5"/>
    <w:rsid w:val="00ED00C2"/>
    <w:rsid w:val="00ED11C5"/>
    <w:rsid w:val="00ED13D2"/>
    <w:rsid w:val="00ED2034"/>
    <w:rsid w:val="00ED2B6B"/>
    <w:rsid w:val="00ED69EA"/>
    <w:rsid w:val="00ED6D93"/>
    <w:rsid w:val="00EE0FA3"/>
    <w:rsid w:val="00EE1CC1"/>
    <w:rsid w:val="00EE3D8E"/>
    <w:rsid w:val="00EE4DAC"/>
    <w:rsid w:val="00EE65FC"/>
    <w:rsid w:val="00EE69CB"/>
    <w:rsid w:val="00EF0785"/>
    <w:rsid w:val="00EF352F"/>
    <w:rsid w:val="00EF7276"/>
    <w:rsid w:val="00F01A98"/>
    <w:rsid w:val="00F0360C"/>
    <w:rsid w:val="00F040F9"/>
    <w:rsid w:val="00F06FDA"/>
    <w:rsid w:val="00F10E2E"/>
    <w:rsid w:val="00F14DDC"/>
    <w:rsid w:val="00F1551E"/>
    <w:rsid w:val="00F1566D"/>
    <w:rsid w:val="00F17B79"/>
    <w:rsid w:val="00F24250"/>
    <w:rsid w:val="00F2591F"/>
    <w:rsid w:val="00F2646C"/>
    <w:rsid w:val="00F307EE"/>
    <w:rsid w:val="00F32226"/>
    <w:rsid w:val="00F35D0E"/>
    <w:rsid w:val="00F40076"/>
    <w:rsid w:val="00F40354"/>
    <w:rsid w:val="00F40436"/>
    <w:rsid w:val="00F40AE3"/>
    <w:rsid w:val="00F41A6C"/>
    <w:rsid w:val="00F44A0B"/>
    <w:rsid w:val="00F45240"/>
    <w:rsid w:val="00F52B42"/>
    <w:rsid w:val="00F545E6"/>
    <w:rsid w:val="00F54911"/>
    <w:rsid w:val="00F5607B"/>
    <w:rsid w:val="00F565AD"/>
    <w:rsid w:val="00F63C45"/>
    <w:rsid w:val="00F64E03"/>
    <w:rsid w:val="00F6717C"/>
    <w:rsid w:val="00F67930"/>
    <w:rsid w:val="00F70B79"/>
    <w:rsid w:val="00F71700"/>
    <w:rsid w:val="00F7303F"/>
    <w:rsid w:val="00F736B7"/>
    <w:rsid w:val="00F83881"/>
    <w:rsid w:val="00F86599"/>
    <w:rsid w:val="00F8784A"/>
    <w:rsid w:val="00F904DE"/>
    <w:rsid w:val="00F909FE"/>
    <w:rsid w:val="00F90CA3"/>
    <w:rsid w:val="00F92111"/>
    <w:rsid w:val="00F93087"/>
    <w:rsid w:val="00F93535"/>
    <w:rsid w:val="00F96460"/>
    <w:rsid w:val="00FA1534"/>
    <w:rsid w:val="00FA3153"/>
    <w:rsid w:val="00FA4582"/>
    <w:rsid w:val="00FA5A06"/>
    <w:rsid w:val="00FB1454"/>
    <w:rsid w:val="00FB1504"/>
    <w:rsid w:val="00FB260D"/>
    <w:rsid w:val="00FB3A04"/>
    <w:rsid w:val="00FB3BEB"/>
    <w:rsid w:val="00FC1155"/>
    <w:rsid w:val="00FC13A8"/>
    <w:rsid w:val="00FC296D"/>
    <w:rsid w:val="00FC31C0"/>
    <w:rsid w:val="00FC3B2E"/>
    <w:rsid w:val="00FC53FC"/>
    <w:rsid w:val="00FD0A4E"/>
    <w:rsid w:val="00FD1E2C"/>
    <w:rsid w:val="00FD45C7"/>
    <w:rsid w:val="00FD5632"/>
    <w:rsid w:val="00FD6E57"/>
    <w:rsid w:val="00FD74CC"/>
    <w:rsid w:val="00FE18DB"/>
    <w:rsid w:val="00FE1D0D"/>
    <w:rsid w:val="00FE5BFA"/>
    <w:rsid w:val="00FE749B"/>
    <w:rsid w:val="00FF3BC6"/>
    <w:rsid w:val="00FF529F"/>
    <w:rsid w:val="00FF7082"/>
    <w:rsid w:val="011E6386"/>
    <w:rsid w:val="012E0762"/>
    <w:rsid w:val="01626374"/>
    <w:rsid w:val="0175658C"/>
    <w:rsid w:val="01FC290E"/>
    <w:rsid w:val="02164AA3"/>
    <w:rsid w:val="021A6C4F"/>
    <w:rsid w:val="021B04CD"/>
    <w:rsid w:val="02466BF8"/>
    <w:rsid w:val="02975CC9"/>
    <w:rsid w:val="029C3B08"/>
    <w:rsid w:val="02CF2A1F"/>
    <w:rsid w:val="02F55960"/>
    <w:rsid w:val="034D6BB0"/>
    <w:rsid w:val="03847EFB"/>
    <w:rsid w:val="041D6970"/>
    <w:rsid w:val="05146ED2"/>
    <w:rsid w:val="052B18D9"/>
    <w:rsid w:val="0563529E"/>
    <w:rsid w:val="059406CC"/>
    <w:rsid w:val="05A607FA"/>
    <w:rsid w:val="05C0366A"/>
    <w:rsid w:val="05E13AF5"/>
    <w:rsid w:val="05F477B7"/>
    <w:rsid w:val="06385784"/>
    <w:rsid w:val="063B259D"/>
    <w:rsid w:val="065B11C0"/>
    <w:rsid w:val="06782196"/>
    <w:rsid w:val="067A2563"/>
    <w:rsid w:val="06E17D3B"/>
    <w:rsid w:val="06E96BF0"/>
    <w:rsid w:val="07187830"/>
    <w:rsid w:val="073E1E56"/>
    <w:rsid w:val="0743769E"/>
    <w:rsid w:val="07990616"/>
    <w:rsid w:val="07A50C80"/>
    <w:rsid w:val="07A72D26"/>
    <w:rsid w:val="07C5140B"/>
    <w:rsid w:val="07CF4038"/>
    <w:rsid w:val="07E772B6"/>
    <w:rsid w:val="0824153B"/>
    <w:rsid w:val="08464BF2"/>
    <w:rsid w:val="08B33959"/>
    <w:rsid w:val="08B34FE0"/>
    <w:rsid w:val="08C43471"/>
    <w:rsid w:val="08EA71FD"/>
    <w:rsid w:val="090772DC"/>
    <w:rsid w:val="09D74BCD"/>
    <w:rsid w:val="09E83B23"/>
    <w:rsid w:val="0A3129D3"/>
    <w:rsid w:val="0A326B00"/>
    <w:rsid w:val="0A3F0CAF"/>
    <w:rsid w:val="0A4A10A6"/>
    <w:rsid w:val="0A75018E"/>
    <w:rsid w:val="0A790A2A"/>
    <w:rsid w:val="0A944F0D"/>
    <w:rsid w:val="0AA42F62"/>
    <w:rsid w:val="0AC96687"/>
    <w:rsid w:val="0AEE5286"/>
    <w:rsid w:val="0B28053B"/>
    <w:rsid w:val="0B6F782F"/>
    <w:rsid w:val="0B794E74"/>
    <w:rsid w:val="0B995089"/>
    <w:rsid w:val="0BBC2F75"/>
    <w:rsid w:val="0BE40111"/>
    <w:rsid w:val="0BF262A2"/>
    <w:rsid w:val="0C1D53EF"/>
    <w:rsid w:val="0C59767E"/>
    <w:rsid w:val="0C956483"/>
    <w:rsid w:val="0C9807BE"/>
    <w:rsid w:val="0CCC4FEA"/>
    <w:rsid w:val="0D0E5602"/>
    <w:rsid w:val="0D176414"/>
    <w:rsid w:val="0DC5380A"/>
    <w:rsid w:val="0DE749EF"/>
    <w:rsid w:val="0ED4462A"/>
    <w:rsid w:val="0EED4651"/>
    <w:rsid w:val="0F2C1620"/>
    <w:rsid w:val="0F380715"/>
    <w:rsid w:val="0F517A28"/>
    <w:rsid w:val="0F6C18C4"/>
    <w:rsid w:val="0F8D4B4A"/>
    <w:rsid w:val="0FF43131"/>
    <w:rsid w:val="0FFB57D8"/>
    <w:rsid w:val="10525806"/>
    <w:rsid w:val="10975702"/>
    <w:rsid w:val="10C57798"/>
    <w:rsid w:val="10C9499A"/>
    <w:rsid w:val="10DC6729"/>
    <w:rsid w:val="10EC29A0"/>
    <w:rsid w:val="11146E66"/>
    <w:rsid w:val="11292E3F"/>
    <w:rsid w:val="115C0473"/>
    <w:rsid w:val="11A404CB"/>
    <w:rsid w:val="129144C2"/>
    <w:rsid w:val="12AB1A59"/>
    <w:rsid w:val="12AE7B96"/>
    <w:rsid w:val="12C425C5"/>
    <w:rsid w:val="12DD66C7"/>
    <w:rsid w:val="12EB2FD4"/>
    <w:rsid w:val="13531FC1"/>
    <w:rsid w:val="13881127"/>
    <w:rsid w:val="138E4DA7"/>
    <w:rsid w:val="13912AE9"/>
    <w:rsid w:val="140028FF"/>
    <w:rsid w:val="1402730E"/>
    <w:rsid w:val="14256557"/>
    <w:rsid w:val="142660CC"/>
    <w:rsid w:val="146D1C5D"/>
    <w:rsid w:val="14802ECF"/>
    <w:rsid w:val="14893727"/>
    <w:rsid w:val="14E264DB"/>
    <w:rsid w:val="14FE7A54"/>
    <w:rsid w:val="158F3058"/>
    <w:rsid w:val="15A07A16"/>
    <w:rsid w:val="15A85EC8"/>
    <w:rsid w:val="15C71D60"/>
    <w:rsid w:val="16376A10"/>
    <w:rsid w:val="164005C6"/>
    <w:rsid w:val="16407305"/>
    <w:rsid w:val="1653052A"/>
    <w:rsid w:val="165779D0"/>
    <w:rsid w:val="167D2C2C"/>
    <w:rsid w:val="168B3820"/>
    <w:rsid w:val="16C05047"/>
    <w:rsid w:val="179D7DD8"/>
    <w:rsid w:val="17B42A74"/>
    <w:rsid w:val="17C3078E"/>
    <w:rsid w:val="17EB35BA"/>
    <w:rsid w:val="181F6590"/>
    <w:rsid w:val="1870795C"/>
    <w:rsid w:val="189D2444"/>
    <w:rsid w:val="18BB4682"/>
    <w:rsid w:val="18C74DBF"/>
    <w:rsid w:val="192743A9"/>
    <w:rsid w:val="195C1EDE"/>
    <w:rsid w:val="198637F4"/>
    <w:rsid w:val="19A27473"/>
    <w:rsid w:val="19B23BDB"/>
    <w:rsid w:val="19B7492C"/>
    <w:rsid w:val="19C07E73"/>
    <w:rsid w:val="19CC15D0"/>
    <w:rsid w:val="19F85670"/>
    <w:rsid w:val="1A667F4C"/>
    <w:rsid w:val="1A670E6E"/>
    <w:rsid w:val="1A7F24A1"/>
    <w:rsid w:val="1A88290A"/>
    <w:rsid w:val="1AB217DB"/>
    <w:rsid w:val="1AC11F06"/>
    <w:rsid w:val="1ACB55E4"/>
    <w:rsid w:val="1AE51725"/>
    <w:rsid w:val="1AF31A23"/>
    <w:rsid w:val="1B38198B"/>
    <w:rsid w:val="1BF92CA9"/>
    <w:rsid w:val="1C1D7807"/>
    <w:rsid w:val="1C447428"/>
    <w:rsid w:val="1C6778A4"/>
    <w:rsid w:val="1C6B42A6"/>
    <w:rsid w:val="1C9A77A6"/>
    <w:rsid w:val="1CB304DE"/>
    <w:rsid w:val="1CD0128B"/>
    <w:rsid w:val="1D0600A4"/>
    <w:rsid w:val="1D064F3E"/>
    <w:rsid w:val="1D15028C"/>
    <w:rsid w:val="1D5036D3"/>
    <w:rsid w:val="1D561530"/>
    <w:rsid w:val="1D571C33"/>
    <w:rsid w:val="1D5801D4"/>
    <w:rsid w:val="1D5A0D1E"/>
    <w:rsid w:val="1D7112EF"/>
    <w:rsid w:val="1D880A05"/>
    <w:rsid w:val="1D9236E6"/>
    <w:rsid w:val="1DFF1483"/>
    <w:rsid w:val="1E3B36DD"/>
    <w:rsid w:val="1E751E6B"/>
    <w:rsid w:val="1E932000"/>
    <w:rsid w:val="1EA4227C"/>
    <w:rsid w:val="1EAD4C00"/>
    <w:rsid w:val="1EE50EBF"/>
    <w:rsid w:val="1EF86786"/>
    <w:rsid w:val="1F1048C5"/>
    <w:rsid w:val="1F2428AA"/>
    <w:rsid w:val="1F296BC7"/>
    <w:rsid w:val="1F3E4740"/>
    <w:rsid w:val="1F47355B"/>
    <w:rsid w:val="1F55307A"/>
    <w:rsid w:val="1F6A2B6C"/>
    <w:rsid w:val="1F965B7C"/>
    <w:rsid w:val="1FE51A9A"/>
    <w:rsid w:val="1FF0769D"/>
    <w:rsid w:val="20245CB6"/>
    <w:rsid w:val="202D6E78"/>
    <w:rsid w:val="208C46E1"/>
    <w:rsid w:val="20A346D0"/>
    <w:rsid w:val="20F32178"/>
    <w:rsid w:val="20F43A76"/>
    <w:rsid w:val="21501F75"/>
    <w:rsid w:val="216A43D5"/>
    <w:rsid w:val="216B6728"/>
    <w:rsid w:val="222614A8"/>
    <w:rsid w:val="22370D00"/>
    <w:rsid w:val="22E378A3"/>
    <w:rsid w:val="22E62C3A"/>
    <w:rsid w:val="22E6577D"/>
    <w:rsid w:val="230C462D"/>
    <w:rsid w:val="23607DE2"/>
    <w:rsid w:val="23D04AC9"/>
    <w:rsid w:val="23FE47A6"/>
    <w:rsid w:val="24342C84"/>
    <w:rsid w:val="243C16BF"/>
    <w:rsid w:val="25023016"/>
    <w:rsid w:val="25076767"/>
    <w:rsid w:val="251001B8"/>
    <w:rsid w:val="25591A7F"/>
    <w:rsid w:val="259F28AE"/>
    <w:rsid w:val="264C3F6C"/>
    <w:rsid w:val="267B565F"/>
    <w:rsid w:val="2699409E"/>
    <w:rsid w:val="26A82602"/>
    <w:rsid w:val="26AE3704"/>
    <w:rsid w:val="26BF75F8"/>
    <w:rsid w:val="26D02186"/>
    <w:rsid w:val="26DB1A50"/>
    <w:rsid w:val="26DB3441"/>
    <w:rsid w:val="271F5872"/>
    <w:rsid w:val="27524813"/>
    <w:rsid w:val="2763434C"/>
    <w:rsid w:val="277934CE"/>
    <w:rsid w:val="277C78CF"/>
    <w:rsid w:val="27EB0EC7"/>
    <w:rsid w:val="283C5FD5"/>
    <w:rsid w:val="286333C7"/>
    <w:rsid w:val="287D36CF"/>
    <w:rsid w:val="28C57065"/>
    <w:rsid w:val="28CB21A2"/>
    <w:rsid w:val="28E13773"/>
    <w:rsid w:val="291C22BF"/>
    <w:rsid w:val="2987431B"/>
    <w:rsid w:val="29891E41"/>
    <w:rsid w:val="299E1CB4"/>
    <w:rsid w:val="29D831D3"/>
    <w:rsid w:val="2A225BAB"/>
    <w:rsid w:val="2AC04004"/>
    <w:rsid w:val="2B177920"/>
    <w:rsid w:val="2BE84A20"/>
    <w:rsid w:val="2C087541"/>
    <w:rsid w:val="2C374C20"/>
    <w:rsid w:val="2C610E53"/>
    <w:rsid w:val="2C6703F1"/>
    <w:rsid w:val="2C726454"/>
    <w:rsid w:val="2C7D1033"/>
    <w:rsid w:val="2D0B5263"/>
    <w:rsid w:val="2D705672"/>
    <w:rsid w:val="2D7A3C56"/>
    <w:rsid w:val="2DAE2509"/>
    <w:rsid w:val="2DFC255E"/>
    <w:rsid w:val="2E11034D"/>
    <w:rsid w:val="2E69123B"/>
    <w:rsid w:val="2E70574E"/>
    <w:rsid w:val="2E8A1B51"/>
    <w:rsid w:val="2EAB562A"/>
    <w:rsid w:val="2EBD2297"/>
    <w:rsid w:val="2ED23ED7"/>
    <w:rsid w:val="2F874086"/>
    <w:rsid w:val="2FB93B26"/>
    <w:rsid w:val="2FC03056"/>
    <w:rsid w:val="2FCF4325"/>
    <w:rsid w:val="2FD1327C"/>
    <w:rsid w:val="2FD951A4"/>
    <w:rsid w:val="30013C82"/>
    <w:rsid w:val="302E39CE"/>
    <w:rsid w:val="30472681"/>
    <w:rsid w:val="30562C99"/>
    <w:rsid w:val="305A7E44"/>
    <w:rsid w:val="309317F7"/>
    <w:rsid w:val="30A809F3"/>
    <w:rsid w:val="31377344"/>
    <w:rsid w:val="31501DEB"/>
    <w:rsid w:val="315E0057"/>
    <w:rsid w:val="31811153"/>
    <w:rsid w:val="31B7469D"/>
    <w:rsid w:val="320504D2"/>
    <w:rsid w:val="320878FA"/>
    <w:rsid w:val="32123C90"/>
    <w:rsid w:val="32131E5F"/>
    <w:rsid w:val="322E3BC4"/>
    <w:rsid w:val="323A1719"/>
    <w:rsid w:val="3255145A"/>
    <w:rsid w:val="329F5684"/>
    <w:rsid w:val="32A0784F"/>
    <w:rsid w:val="32A45EAA"/>
    <w:rsid w:val="32AE598A"/>
    <w:rsid w:val="330A7DB8"/>
    <w:rsid w:val="33273B96"/>
    <w:rsid w:val="33635A3C"/>
    <w:rsid w:val="33C46F2A"/>
    <w:rsid w:val="33EE4838"/>
    <w:rsid w:val="341744ED"/>
    <w:rsid w:val="341D4CDF"/>
    <w:rsid w:val="342049AE"/>
    <w:rsid w:val="342879A4"/>
    <w:rsid w:val="342C3CC6"/>
    <w:rsid w:val="344202C5"/>
    <w:rsid w:val="345D7966"/>
    <w:rsid w:val="34C955FA"/>
    <w:rsid w:val="34D43266"/>
    <w:rsid w:val="35142AAA"/>
    <w:rsid w:val="3535277C"/>
    <w:rsid w:val="35354280"/>
    <w:rsid w:val="35471AED"/>
    <w:rsid w:val="35476187"/>
    <w:rsid w:val="354C1E11"/>
    <w:rsid w:val="354E557C"/>
    <w:rsid w:val="35700359"/>
    <w:rsid w:val="35FE0BA4"/>
    <w:rsid w:val="361F75F1"/>
    <w:rsid w:val="362E26F6"/>
    <w:rsid w:val="36314876"/>
    <w:rsid w:val="363E4EDB"/>
    <w:rsid w:val="3642008C"/>
    <w:rsid w:val="36D62057"/>
    <w:rsid w:val="372B09DB"/>
    <w:rsid w:val="37426F96"/>
    <w:rsid w:val="37736BC5"/>
    <w:rsid w:val="38025E2A"/>
    <w:rsid w:val="3814146F"/>
    <w:rsid w:val="381738C2"/>
    <w:rsid w:val="38397128"/>
    <w:rsid w:val="3855295A"/>
    <w:rsid w:val="38983E4E"/>
    <w:rsid w:val="38AD639A"/>
    <w:rsid w:val="3931104F"/>
    <w:rsid w:val="39666B02"/>
    <w:rsid w:val="39AB3A35"/>
    <w:rsid w:val="39BF24C9"/>
    <w:rsid w:val="3A1219DE"/>
    <w:rsid w:val="3A153C47"/>
    <w:rsid w:val="3A573895"/>
    <w:rsid w:val="3A6C6DF6"/>
    <w:rsid w:val="3A7F4CDA"/>
    <w:rsid w:val="3A90686B"/>
    <w:rsid w:val="3A9F3029"/>
    <w:rsid w:val="3AAA0589"/>
    <w:rsid w:val="3AF35C04"/>
    <w:rsid w:val="3B007EDC"/>
    <w:rsid w:val="3B36794F"/>
    <w:rsid w:val="3B48477A"/>
    <w:rsid w:val="3B671FD2"/>
    <w:rsid w:val="3BBA7728"/>
    <w:rsid w:val="3BD645B3"/>
    <w:rsid w:val="3BDB2D32"/>
    <w:rsid w:val="3BDC7F8C"/>
    <w:rsid w:val="3BDE11D1"/>
    <w:rsid w:val="3C276DDC"/>
    <w:rsid w:val="3C3D4E3E"/>
    <w:rsid w:val="3C7A3AB9"/>
    <w:rsid w:val="3D073351"/>
    <w:rsid w:val="3D0F11C1"/>
    <w:rsid w:val="3D741898"/>
    <w:rsid w:val="3DB01D5C"/>
    <w:rsid w:val="3DD3580C"/>
    <w:rsid w:val="3E09134A"/>
    <w:rsid w:val="3E6D13D8"/>
    <w:rsid w:val="3EEC2191"/>
    <w:rsid w:val="3F0F0AE4"/>
    <w:rsid w:val="3F823162"/>
    <w:rsid w:val="3FA31841"/>
    <w:rsid w:val="3FDD2A8F"/>
    <w:rsid w:val="40385959"/>
    <w:rsid w:val="40530676"/>
    <w:rsid w:val="407B1AFB"/>
    <w:rsid w:val="40D07EFD"/>
    <w:rsid w:val="410A5959"/>
    <w:rsid w:val="41172790"/>
    <w:rsid w:val="41727207"/>
    <w:rsid w:val="41A2189A"/>
    <w:rsid w:val="41AE6491"/>
    <w:rsid w:val="41C745EA"/>
    <w:rsid w:val="41EE64FE"/>
    <w:rsid w:val="41FB71FC"/>
    <w:rsid w:val="421E7B0E"/>
    <w:rsid w:val="42394C8E"/>
    <w:rsid w:val="425C5EED"/>
    <w:rsid w:val="42786A9F"/>
    <w:rsid w:val="42790F59"/>
    <w:rsid w:val="42B5384F"/>
    <w:rsid w:val="42DE1098"/>
    <w:rsid w:val="42E934F8"/>
    <w:rsid w:val="42ED123B"/>
    <w:rsid w:val="430345BA"/>
    <w:rsid w:val="43094B53"/>
    <w:rsid w:val="430A1DED"/>
    <w:rsid w:val="438C45B0"/>
    <w:rsid w:val="43AB7211"/>
    <w:rsid w:val="43B804E0"/>
    <w:rsid w:val="43EA25A2"/>
    <w:rsid w:val="44047301"/>
    <w:rsid w:val="440A5346"/>
    <w:rsid w:val="44136A7F"/>
    <w:rsid w:val="442C194F"/>
    <w:rsid w:val="443B7CB5"/>
    <w:rsid w:val="445552E9"/>
    <w:rsid w:val="44B21462"/>
    <w:rsid w:val="44C056C5"/>
    <w:rsid w:val="45025D73"/>
    <w:rsid w:val="450A17A0"/>
    <w:rsid w:val="45356EC9"/>
    <w:rsid w:val="45593A55"/>
    <w:rsid w:val="45957997"/>
    <w:rsid w:val="46434C66"/>
    <w:rsid w:val="466616D3"/>
    <w:rsid w:val="46B745EF"/>
    <w:rsid w:val="46B84C96"/>
    <w:rsid w:val="46E2098A"/>
    <w:rsid w:val="46E55F50"/>
    <w:rsid w:val="47BC6A24"/>
    <w:rsid w:val="47D66741"/>
    <w:rsid w:val="486971F4"/>
    <w:rsid w:val="48CB00A1"/>
    <w:rsid w:val="4907292A"/>
    <w:rsid w:val="491A6F1F"/>
    <w:rsid w:val="491A705F"/>
    <w:rsid w:val="498502F1"/>
    <w:rsid w:val="49CC0887"/>
    <w:rsid w:val="49DF2815"/>
    <w:rsid w:val="49F72ED4"/>
    <w:rsid w:val="4A5C388E"/>
    <w:rsid w:val="4A8A3813"/>
    <w:rsid w:val="4A934476"/>
    <w:rsid w:val="4B1403EE"/>
    <w:rsid w:val="4B1D199C"/>
    <w:rsid w:val="4B2535C5"/>
    <w:rsid w:val="4B4614C9"/>
    <w:rsid w:val="4BAA19EA"/>
    <w:rsid w:val="4BEA4569"/>
    <w:rsid w:val="4C192899"/>
    <w:rsid w:val="4C1C0AF3"/>
    <w:rsid w:val="4C27383E"/>
    <w:rsid w:val="4C516396"/>
    <w:rsid w:val="4C6007C5"/>
    <w:rsid w:val="4CA822ED"/>
    <w:rsid w:val="4CD6134A"/>
    <w:rsid w:val="4CDE587E"/>
    <w:rsid w:val="4D191CF7"/>
    <w:rsid w:val="4DAB6299"/>
    <w:rsid w:val="4DB14896"/>
    <w:rsid w:val="4DBA61BD"/>
    <w:rsid w:val="4DD0778F"/>
    <w:rsid w:val="4DDB098B"/>
    <w:rsid w:val="4E725FAD"/>
    <w:rsid w:val="4E89713C"/>
    <w:rsid w:val="4E905A63"/>
    <w:rsid w:val="4F4E63B8"/>
    <w:rsid w:val="4F633D97"/>
    <w:rsid w:val="4F90367A"/>
    <w:rsid w:val="4F9743C4"/>
    <w:rsid w:val="4FA12ADE"/>
    <w:rsid w:val="4FDE4134"/>
    <w:rsid w:val="5003386C"/>
    <w:rsid w:val="501D548A"/>
    <w:rsid w:val="50250051"/>
    <w:rsid w:val="508605D9"/>
    <w:rsid w:val="509B5ED9"/>
    <w:rsid w:val="50F05098"/>
    <w:rsid w:val="50F13BB1"/>
    <w:rsid w:val="50F70FCF"/>
    <w:rsid w:val="51937451"/>
    <w:rsid w:val="519A07FB"/>
    <w:rsid w:val="51A75942"/>
    <w:rsid w:val="51E15C5A"/>
    <w:rsid w:val="52145806"/>
    <w:rsid w:val="52171E30"/>
    <w:rsid w:val="522B3D77"/>
    <w:rsid w:val="523E560F"/>
    <w:rsid w:val="52432C25"/>
    <w:rsid w:val="52717C3F"/>
    <w:rsid w:val="53760C7E"/>
    <w:rsid w:val="5384749A"/>
    <w:rsid w:val="53B71393"/>
    <w:rsid w:val="53C945FB"/>
    <w:rsid w:val="54273E81"/>
    <w:rsid w:val="5428356D"/>
    <w:rsid w:val="54333971"/>
    <w:rsid w:val="54392198"/>
    <w:rsid w:val="54477C90"/>
    <w:rsid w:val="54924B88"/>
    <w:rsid w:val="54AF45A2"/>
    <w:rsid w:val="54D27AA0"/>
    <w:rsid w:val="54D57AF7"/>
    <w:rsid w:val="54EF0E42"/>
    <w:rsid w:val="550C0D66"/>
    <w:rsid w:val="554029B4"/>
    <w:rsid w:val="55AE1778"/>
    <w:rsid w:val="55AE17EE"/>
    <w:rsid w:val="55F743AA"/>
    <w:rsid w:val="561F6ACD"/>
    <w:rsid w:val="566D3FD2"/>
    <w:rsid w:val="567B1001"/>
    <w:rsid w:val="56F13A35"/>
    <w:rsid w:val="56F227A2"/>
    <w:rsid w:val="56FF58CA"/>
    <w:rsid w:val="57112F61"/>
    <w:rsid w:val="57346FE0"/>
    <w:rsid w:val="574F4D3C"/>
    <w:rsid w:val="5790592E"/>
    <w:rsid w:val="5794004E"/>
    <w:rsid w:val="58DD285C"/>
    <w:rsid w:val="58E0461F"/>
    <w:rsid w:val="58FB2E9E"/>
    <w:rsid w:val="594D0780"/>
    <w:rsid w:val="594E437D"/>
    <w:rsid w:val="595C6FA3"/>
    <w:rsid w:val="59CD78E2"/>
    <w:rsid w:val="59F34F31"/>
    <w:rsid w:val="5A075C5D"/>
    <w:rsid w:val="5A3B477C"/>
    <w:rsid w:val="5A4A2677"/>
    <w:rsid w:val="5A563900"/>
    <w:rsid w:val="5A713115"/>
    <w:rsid w:val="5AA021EA"/>
    <w:rsid w:val="5AB3021C"/>
    <w:rsid w:val="5AB51DED"/>
    <w:rsid w:val="5AB83A84"/>
    <w:rsid w:val="5AE67BE6"/>
    <w:rsid w:val="5B1C2265"/>
    <w:rsid w:val="5B727E44"/>
    <w:rsid w:val="5BC8419B"/>
    <w:rsid w:val="5BCC5A39"/>
    <w:rsid w:val="5BDF612D"/>
    <w:rsid w:val="5C4D3844"/>
    <w:rsid w:val="5C531C3C"/>
    <w:rsid w:val="5CD240E6"/>
    <w:rsid w:val="5D2613BD"/>
    <w:rsid w:val="5D2676FF"/>
    <w:rsid w:val="5D4019D1"/>
    <w:rsid w:val="5D99624C"/>
    <w:rsid w:val="5DEB2C03"/>
    <w:rsid w:val="5DF07947"/>
    <w:rsid w:val="5E262101"/>
    <w:rsid w:val="5EA66A16"/>
    <w:rsid w:val="5EAE2B21"/>
    <w:rsid w:val="5EBD2F7D"/>
    <w:rsid w:val="5EE741E5"/>
    <w:rsid w:val="5F175599"/>
    <w:rsid w:val="5F327661"/>
    <w:rsid w:val="5F3F0CC7"/>
    <w:rsid w:val="5F6A3D1E"/>
    <w:rsid w:val="5F775C2F"/>
    <w:rsid w:val="5F9304B0"/>
    <w:rsid w:val="5FAB1E0A"/>
    <w:rsid w:val="5FC20162"/>
    <w:rsid w:val="5FCD7E8B"/>
    <w:rsid w:val="600971B1"/>
    <w:rsid w:val="60427088"/>
    <w:rsid w:val="604E0D70"/>
    <w:rsid w:val="60665673"/>
    <w:rsid w:val="60A36A93"/>
    <w:rsid w:val="60E86BDC"/>
    <w:rsid w:val="61083DD7"/>
    <w:rsid w:val="611B40F0"/>
    <w:rsid w:val="611D7F37"/>
    <w:rsid w:val="612C0BA8"/>
    <w:rsid w:val="612C182B"/>
    <w:rsid w:val="61350A99"/>
    <w:rsid w:val="61896C5F"/>
    <w:rsid w:val="618A6458"/>
    <w:rsid w:val="61B96524"/>
    <w:rsid w:val="621F77EB"/>
    <w:rsid w:val="623F2BBF"/>
    <w:rsid w:val="62BB5F31"/>
    <w:rsid w:val="6300250C"/>
    <w:rsid w:val="63727E5F"/>
    <w:rsid w:val="63927A28"/>
    <w:rsid w:val="63B20856"/>
    <w:rsid w:val="63EF49BB"/>
    <w:rsid w:val="63F25405"/>
    <w:rsid w:val="64096D82"/>
    <w:rsid w:val="6453793B"/>
    <w:rsid w:val="64715470"/>
    <w:rsid w:val="64760C38"/>
    <w:rsid w:val="6489003B"/>
    <w:rsid w:val="64D578CD"/>
    <w:rsid w:val="64E65EA4"/>
    <w:rsid w:val="650A5824"/>
    <w:rsid w:val="65AE65BE"/>
    <w:rsid w:val="65E80907"/>
    <w:rsid w:val="6615324D"/>
    <w:rsid w:val="661C580F"/>
    <w:rsid w:val="665151C5"/>
    <w:rsid w:val="66551F2A"/>
    <w:rsid w:val="667D2CFF"/>
    <w:rsid w:val="66B47905"/>
    <w:rsid w:val="66EC3434"/>
    <w:rsid w:val="672F31ED"/>
    <w:rsid w:val="67713512"/>
    <w:rsid w:val="67BD1FF0"/>
    <w:rsid w:val="67C70996"/>
    <w:rsid w:val="67F15358"/>
    <w:rsid w:val="683935C5"/>
    <w:rsid w:val="68896A60"/>
    <w:rsid w:val="688F4618"/>
    <w:rsid w:val="68C76282"/>
    <w:rsid w:val="68ED34F2"/>
    <w:rsid w:val="69FB6C48"/>
    <w:rsid w:val="6A3749C6"/>
    <w:rsid w:val="6A947FA1"/>
    <w:rsid w:val="6ABB364B"/>
    <w:rsid w:val="6AC56475"/>
    <w:rsid w:val="6AEE797A"/>
    <w:rsid w:val="6B2B6AE0"/>
    <w:rsid w:val="6B680BAF"/>
    <w:rsid w:val="6B9B0F84"/>
    <w:rsid w:val="6BBB50D5"/>
    <w:rsid w:val="6C3E6CDB"/>
    <w:rsid w:val="6C4B5D4D"/>
    <w:rsid w:val="6C4E249B"/>
    <w:rsid w:val="6CAC6281"/>
    <w:rsid w:val="6CFE17CB"/>
    <w:rsid w:val="6D6B018C"/>
    <w:rsid w:val="6D810075"/>
    <w:rsid w:val="6D8220B7"/>
    <w:rsid w:val="6DB31B27"/>
    <w:rsid w:val="6DD8306F"/>
    <w:rsid w:val="6DFB3FB2"/>
    <w:rsid w:val="6E3B07FD"/>
    <w:rsid w:val="6E495A0D"/>
    <w:rsid w:val="6E970AB9"/>
    <w:rsid w:val="6EA152D5"/>
    <w:rsid w:val="6EA350FB"/>
    <w:rsid w:val="6ECE06F6"/>
    <w:rsid w:val="6F084B83"/>
    <w:rsid w:val="6F0E07F9"/>
    <w:rsid w:val="6F4431AF"/>
    <w:rsid w:val="6F7C7252"/>
    <w:rsid w:val="6F802595"/>
    <w:rsid w:val="6F995618"/>
    <w:rsid w:val="6FA32AFD"/>
    <w:rsid w:val="6FEE196D"/>
    <w:rsid w:val="705C7381"/>
    <w:rsid w:val="70691DC8"/>
    <w:rsid w:val="70AE175A"/>
    <w:rsid w:val="70B20A00"/>
    <w:rsid w:val="70C26FB3"/>
    <w:rsid w:val="71072C18"/>
    <w:rsid w:val="71461992"/>
    <w:rsid w:val="71536AB4"/>
    <w:rsid w:val="716E0C2D"/>
    <w:rsid w:val="717C1858"/>
    <w:rsid w:val="71917A25"/>
    <w:rsid w:val="71BE3C1E"/>
    <w:rsid w:val="72031631"/>
    <w:rsid w:val="72200435"/>
    <w:rsid w:val="722D38AF"/>
    <w:rsid w:val="724A4E33"/>
    <w:rsid w:val="726E0FA5"/>
    <w:rsid w:val="728C6382"/>
    <w:rsid w:val="72A43F8F"/>
    <w:rsid w:val="72B549B1"/>
    <w:rsid w:val="72D94F8E"/>
    <w:rsid w:val="73056C60"/>
    <w:rsid w:val="733608AB"/>
    <w:rsid w:val="735F328E"/>
    <w:rsid w:val="73904CCD"/>
    <w:rsid w:val="73AF514C"/>
    <w:rsid w:val="73CB2E12"/>
    <w:rsid w:val="74381A66"/>
    <w:rsid w:val="74626AE3"/>
    <w:rsid w:val="748B700A"/>
    <w:rsid w:val="74CF68BC"/>
    <w:rsid w:val="74DC4AE7"/>
    <w:rsid w:val="74F20D8C"/>
    <w:rsid w:val="75126594"/>
    <w:rsid w:val="75492F63"/>
    <w:rsid w:val="756845CD"/>
    <w:rsid w:val="7591430D"/>
    <w:rsid w:val="759F0839"/>
    <w:rsid w:val="75CB690A"/>
    <w:rsid w:val="7611596B"/>
    <w:rsid w:val="762545B5"/>
    <w:rsid w:val="7682052C"/>
    <w:rsid w:val="76834336"/>
    <w:rsid w:val="76A21419"/>
    <w:rsid w:val="76C4266E"/>
    <w:rsid w:val="775C0430"/>
    <w:rsid w:val="776754A6"/>
    <w:rsid w:val="78443C7C"/>
    <w:rsid w:val="78D01BFD"/>
    <w:rsid w:val="78D06968"/>
    <w:rsid w:val="78DF66FC"/>
    <w:rsid w:val="78E615EA"/>
    <w:rsid w:val="78FB12B4"/>
    <w:rsid w:val="78FE3EFB"/>
    <w:rsid w:val="79394CEB"/>
    <w:rsid w:val="798474FC"/>
    <w:rsid w:val="799618A5"/>
    <w:rsid w:val="799A7EFC"/>
    <w:rsid w:val="79C43D9C"/>
    <w:rsid w:val="79CA4A60"/>
    <w:rsid w:val="79DC7338"/>
    <w:rsid w:val="79EF2C25"/>
    <w:rsid w:val="7A6B66F1"/>
    <w:rsid w:val="7AAB394B"/>
    <w:rsid w:val="7AEB3685"/>
    <w:rsid w:val="7B8703D3"/>
    <w:rsid w:val="7BC03CE3"/>
    <w:rsid w:val="7BED36C5"/>
    <w:rsid w:val="7C15268D"/>
    <w:rsid w:val="7C4372B2"/>
    <w:rsid w:val="7C715447"/>
    <w:rsid w:val="7C8E01D2"/>
    <w:rsid w:val="7CEB331A"/>
    <w:rsid w:val="7D3A2B3F"/>
    <w:rsid w:val="7D9B4A19"/>
    <w:rsid w:val="7DAB7649"/>
    <w:rsid w:val="7DC54411"/>
    <w:rsid w:val="7DF63CAB"/>
    <w:rsid w:val="7E0D07A6"/>
    <w:rsid w:val="7E8A7362"/>
    <w:rsid w:val="7EB625EF"/>
    <w:rsid w:val="7EFC4CB5"/>
    <w:rsid w:val="7F08297D"/>
    <w:rsid w:val="7F092441"/>
    <w:rsid w:val="7F3C0D77"/>
    <w:rsid w:val="7F3C6061"/>
    <w:rsid w:val="7F7D2A23"/>
    <w:rsid w:val="7FAA3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autoRedefine/>
    <w:qFormat/>
    <w:uiPriority w:val="0"/>
    <w:pPr>
      <w:keepNext/>
      <w:keepLines/>
      <w:numPr>
        <w:ilvl w:val="0"/>
        <w:numId w:val="1"/>
      </w:numPr>
      <w:snapToGrid w:val="0"/>
      <w:spacing w:line="400" w:lineRule="atLeast"/>
      <w:outlineLvl w:val="0"/>
    </w:pPr>
    <w:rPr>
      <w:rFonts w:ascii="宋体" w:eastAsia="黑体"/>
      <w:kern w:val="28"/>
      <w:sz w:val="28"/>
      <w:szCs w:val="20"/>
    </w:rPr>
  </w:style>
  <w:style w:type="paragraph" w:styleId="3">
    <w:name w:val="heading 2"/>
    <w:basedOn w:val="1"/>
    <w:next w:val="1"/>
    <w:link w:val="78"/>
    <w:autoRedefine/>
    <w:qFormat/>
    <w:uiPriority w:val="0"/>
    <w:pPr>
      <w:numPr>
        <w:ilvl w:val="1"/>
        <w:numId w:val="1"/>
      </w:numPr>
      <w:tabs>
        <w:tab w:val="left" w:pos="425"/>
      </w:tabs>
      <w:snapToGrid w:val="0"/>
      <w:spacing w:line="360" w:lineRule="auto"/>
      <w:outlineLvl w:val="1"/>
    </w:pPr>
    <w:rPr>
      <w:rFonts w:ascii="宋体"/>
      <w:sz w:val="28"/>
      <w:szCs w:val="20"/>
    </w:rPr>
  </w:style>
  <w:style w:type="paragraph" w:styleId="4">
    <w:name w:val="heading 3"/>
    <w:basedOn w:val="3"/>
    <w:next w:val="1"/>
    <w:link w:val="86"/>
    <w:autoRedefine/>
    <w:qFormat/>
    <w:uiPriority w:val="0"/>
    <w:pPr>
      <w:numPr>
        <w:ilvl w:val="2"/>
      </w:numPr>
      <w:outlineLvl w:val="2"/>
    </w:pPr>
  </w:style>
  <w:style w:type="paragraph" w:styleId="5">
    <w:name w:val="heading 4"/>
    <w:basedOn w:val="1"/>
    <w:next w:val="1"/>
    <w:link w:val="81"/>
    <w:autoRedefine/>
    <w:qFormat/>
    <w:uiPriority w:val="0"/>
    <w:pPr>
      <w:keepNext/>
      <w:keepLines/>
      <w:spacing w:before="280" w:after="290" w:line="376" w:lineRule="auto"/>
      <w:outlineLvl w:val="3"/>
    </w:pPr>
    <w:rPr>
      <w:rFonts w:ascii="Calibri Light" w:hAnsi="Calibri Light"/>
      <w:b/>
      <w:bCs/>
      <w:kern w:val="0"/>
      <w:sz w:val="28"/>
      <w:szCs w:val="28"/>
    </w:rPr>
  </w:style>
  <w:style w:type="paragraph" w:styleId="6">
    <w:name w:val="heading 5"/>
    <w:basedOn w:val="1"/>
    <w:next w:val="1"/>
    <w:link w:val="84"/>
    <w:autoRedefine/>
    <w:qFormat/>
    <w:uiPriority w:val="0"/>
    <w:pPr>
      <w:keepNext/>
      <w:keepLines/>
      <w:spacing w:before="280" w:after="290" w:line="376" w:lineRule="auto"/>
      <w:outlineLvl w:val="4"/>
    </w:pPr>
    <w:rPr>
      <w:b/>
      <w:bCs/>
      <w:kern w:val="0"/>
      <w:sz w:val="28"/>
      <w:szCs w:val="28"/>
    </w:rPr>
  </w:style>
  <w:style w:type="paragraph" w:styleId="7">
    <w:name w:val="heading 6"/>
    <w:basedOn w:val="1"/>
    <w:next w:val="1"/>
    <w:link w:val="77"/>
    <w:autoRedefine/>
    <w:qFormat/>
    <w:uiPriority w:val="0"/>
    <w:pPr>
      <w:keepNext/>
      <w:keepLines/>
      <w:spacing w:before="240" w:after="64" w:line="320" w:lineRule="auto"/>
      <w:outlineLvl w:val="5"/>
    </w:pPr>
    <w:rPr>
      <w:rFonts w:ascii="Calibri Light" w:hAnsi="Calibri Light"/>
      <w:b/>
      <w:bCs/>
      <w:kern w:val="0"/>
      <w:sz w:val="24"/>
    </w:rPr>
  </w:style>
  <w:style w:type="paragraph" w:styleId="8">
    <w:name w:val="heading 7"/>
    <w:basedOn w:val="1"/>
    <w:next w:val="1"/>
    <w:link w:val="94"/>
    <w:autoRedefine/>
    <w:qFormat/>
    <w:uiPriority w:val="9"/>
    <w:pPr>
      <w:keepNext/>
      <w:keepLines/>
      <w:spacing w:before="240" w:after="64" w:line="320" w:lineRule="auto"/>
      <w:outlineLvl w:val="6"/>
    </w:pPr>
    <w:rPr>
      <w:b/>
      <w:bCs/>
      <w:sz w:val="24"/>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9">
    <w:name w:val="Normal Indent"/>
    <w:basedOn w:val="1"/>
    <w:autoRedefine/>
    <w:qFormat/>
    <w:uiPriority w:val="0"/>
    <w:pPr>
      <w:ind w:firstLine="420" w:firstLineChars="200"/>
    </w:pPr>
  </w:style>
  <w:style w:type="paragraph" w:styleId="10">
    <w:name w:val="Document Map"/>
    <w:basedOn w:val="1"/>
    <w:link w:val="79"/>
    <w:autoRedefine/>
    <w:unhideWhenUsed/>
    <w:qFormat/>
    <w:uiPriority w:val="99"/>
    <w:rPr>
      <w:rFonts w:ascii="Microsoft YaHei UI" w:eastAsia="Microsoft YaHei UI"/>
      <w:kern w:val="0"/>
      <w:sz w:val="18"/>
      <w:szCs w:val="18"/>
    </w:rPr>
  </w:style>
  <w:style w:type="paragraph" w:styleId="11">
    <w:name w:val="toa heading"/>
    <w:basedOn w:val="1"/>
    <w:next w:val="1"/>
    <w:autoRedefine/>
    <w:qFormat/>
    <w:uiPriority w:val="0"/>
    <w:rPr>
      <w:rFonts w:ascii="Arial" w:hAnsi="Arial"/>
      <w:sz w:val="24"/>
      <w:szCs w:val="20"/>
    </w:rPr>
  </w:style>
  <w:style w:type="paragraph" w:styleId="12">
    <w:name w:val="annotation text"/>
    <w:basedOn w:val="1"/>
    <w:link w:val="95"/>
    <w:autoRedefine/>
    <w:qFormat/>
    <w:uiPriority w:val="0"/>
    <w:pPr>
      <w:jc w:val="left"/>
    </w:pPr>
    <w:rPr>
      <w:kern w:val="0"/>
      <w:sz w:val="20"/>
    </w:rPr>
  </w:style>
  <w:style w:type="paragraph" w:styleId="13">
    <w:name w:val="Body Text"/>
    <w:basedOn w:val="1"/>
    <w:next w:val="14"/>
    <w:link w:val="88"/>
    <w:autoRedefine/>
    <w:qFormat/>
    <w:uiPriority w:val="0"/>
    <w:pPr>
      <w:spacing w:after="120"/>
    </w:pPr>
    <w:rPr>
      <w:kern w:val="0"/>
      <w:sz w:val="20"/>
    </w:rPr>
  </w:style>
  <w:style w:type="paragraph" w:styleId="14">
    <w:name w:val="Body Text Indent"/>
    <w:basedOn w:val="1"/>
    <w:next w:val="15"/>
    <w:link w:val="97"/>
    <w:autoRedefine/>
    <w:qFormat/>
    <w:uiPriority w:val="0"/>
    <w:pPr>
      <w:tabs>
        <w:tab w:val="left" w:pos="2160"/>
      </w:tabs>
      <w:ind w:left="2159" w:leftChars="1028" w:firstLine="1"/>
    </w:pPr>
    <w:rPr>
      <w:rFonts w:ascii="宋体" w:hAnsi="宋体"/>
      <w:kern w:val="0"/>
      <w:sz w:val="20"/>
      <w:szCs w:val="21"/>
    </w:rPr>
  </w:style>
  <w:style w:type="paragraph" w:styleId="15">
    <w:name w:val="Body Text First Indent 2"/>
    <w:basedOn w:val="14"/>
    <w:next w:val="1"/>
    <w:autoRedefine/>
    <w:qFormat/>
    <w:uiPriority w:val="0"/>
    <w:pPr>
      <w:tabs>
        <w:tab w:val="left" w:pos="738"/>
        <w:tab w:val="left" w:pos="4537"/>
        <w:tab w:val="left" w:pos="7112"/>
        <w:tab w:val="left" w:pos="8039"/>
        <w:tab w:val="left" w:pos="9687"/>
      </w:tabs>
      <w:ind w:firstLine="420" w:firstLineChars="200"/>
    </w:pPr>
  </w:style>
  <w:style w:type="paragraph" w:styleId="16">
    <w:name w:val="index 4"/>
    <w:basedOn w:val="1"/>
    <w:next w:val="1"/>
    <w:autoRedefine/>
    <w:semiHidden/>
    <w:unhideWhenUsed/>
    <w:qFormat/>
    <w:uiPriority w:val="99"/>
    <w:pPr>
      <w:ind w:left="600" w:leftChars="600"/>
    </w:pPr>
  </w:style>
  <w:style w:type="paragraph" w:styleId="17">
    <w:name w:val="toc 3"/>
    <w:basedOn w:val="1"/>
    <w:next w:val="1"/>
    <w:autoRedefine/>
    <w:unhideWhenUsed/>
    <w:qFormat/>
    <w:uiPriority w:val="39"/>
    <w:pPr>
      <w:widowControl/>
      <w:spacing w:after="100" w:line="259" w:lineRule="auto"/>
      <w:ind w:left="440"/>
      <w:jc w:val="left"/>
    </w:pPr>
    <w:rPr>
      <w:rFonts w:ascii="Calibri" w:hAnsi="Calibri"/>
      <w:kern w:val="0"/>
      <w:sz w:val="22"/>
      <w:szCs w:val="22"/>
    </w:rPr>
  </w:style>
  <w:style w:type="paragraph" w:styleId="18">
    <w:name w:val="Plain Text"/>
    <w:basedOn w:val="1"/>
    <w:next w:val="1"/>
    <w:link w:val="90"/>
    <w:autoRedefine/>
    <w:qFormat/>
    <w:uiPriority w:val="0"/>
    <w:rPr>
      <w:rFonts w:ascii="宋体" w:hAnsi="Courier New"/>
      <w:kern w:val="0"/>
      <w:sz w:val="20"/>
      <w:szCs w:val="20"/>
    </w:rPr>
  </w:style>
  <w:style w:type="paragraph" w:styleId="19">
    <w:name w:val="Date"/>
    <w:basedOn w:val="1"/>
    <w:next w:val="1"/>
    <w:link w:val="98"/>
    <w:autoRedefine/>
    <w:qFormat/>
    <w:uiPriority w:val="0"/>
    <w:pPr>
      <w:ind w:left="100" w:leftChars="2500"/>
    </w:pPr>
    <w:rPr>
      <w:kern w:val="0"/>
      <w:sz w:val="20"/>
    </w:rPr>
  </w:style>
  <w:style w:type="paragraph" w:styleId="20">
    <w:name w:val="Body Text Indent 2"/>
    <w:basedOn w:val="1"/>
    <w:autoRedefine/>
    <w:qFormat/>
    <w:uiPriority w:val="0"/>
    <w:pPr>
      <w:spacing w:after="120" w:line="480" w:lineRule="auto"/>
      <w:ind w:left="420" w:leftChars="200"/>
    </w:pPr>
    <w:rPr>
      <w:rFonts w:ascii="Calibri" w:hAnsi="Calibri" w:cs="Times New Roman"/>
      <w:kern w:val="2"/>
      <w:sz w:val="21"/>
      <w:szCs w:val="20"/>
    </w:rPr>
  </w:style>
  <w:style w:type="paragraph" w:styleId="21">
    <w:name w:val="Balloon Text"/>
    <w:basedOn w:val="1"/>
    <w:link w:val="75"/>
    <w:autoRedefine/>
    <w:qFormat/>
    <w:uiPriority w:val="0"/>
    <w:rPr>
      <w:kern w:val="0"/>
      <w:sz w:val="18"/>
      <w:szCs w:val="18"/>
    </w:rPr>
  </w:style>
  <w:style w:type="paragraph" w:styleId="22">
    <w:name w:val="footer"/>
    <w:basedOn w:val="1"/>
    <w:link w:val="74"/>
    <w:autoRedefine/>
    <w:qFormat/>
    <w:uiPriority w:val="99"/>
    <w:pPr>
      <w:tabs>
        <w:tab w:val="center" w:pos="4153"/>
        <w:tab w:val="right" w:pos="8306"/>
      </w:tabs>
      <w:snapToGrid w:val="0"/>
      <w:jc w:val="left"/>
    </w:pPr>
    <w:rPr>
      <w:kern w:val="0"/>
      <w:sz w:val="18"/>
      <w:szCs w:val="20"/>
    </w:rPr>
  </w:style>
  <w:style w:type="paragraph" w:styleId="23">
    <w:name w:val="header"/>
    <w:basedOn w:val="1"/>
    <w:link w:val="93"/>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24">
    <w:name w:val="toc 1"/>
    <w:basedOn w:val="1"/>
    <w:next w:val="1"/>
    <w:autoRedefine/>
    <w:qFormat/>
    <w:uiPriority w:val="39"/>
    <w:pPr>
      <w:tabs>
        <w:tab w:val="right" w:leader="dot" w:pos="8296"/>
      </w:tabs>
      <w:jc w:val="left"/>
    </w:pPr>
  </w:style>
  <w:style w:type="paragraph" w:styleId="25">
    <w:name w:val="Subtitle"/>
    <w:basedOn w:val="1"/>
    <w:next w:val="1"/>
    <w:link w:val="80"/>
    <w:autoRedefine/>
    <w:qFormat/>
    <w:uiPriority w:val="0"/>
    <w:pPr>
      <w:spacing w:before="240" w:after="60" w:line="312" w:lineRule="auto"/>
      <w:jc w:val="center"/>
      <w:outlineLvl w:val="1"/>
    </w:pPr>
    <w:rPr>
      <w:rFonts w:ascii="Calibri Light" w:hAnsi="Calibri Light"/>
      <w:b/>
      <w:bCs/>
      <w:kern w:val="28"/>
      <w:sz w:val="32"/>
      <w:szCs w:val="32"/>
    </w:rPr>
  </w:style>
  <w:style w:type="paragraph" w:styleId="26">
    <w:name w:val="Body Text Indent 3"/>
    <w:basedOn w:val="1"/>
    <w:link w:val="76"/>
    <w:autoRedefine/>
    <w:qFormat/>
    <w:uiPriority w:val="0"/>
    <w:pPr>
      <w:spacing w:after="120"/>
      <w:ind w:left="420" w:leftChars="200"/>
    </w:pPr>
    <w:rPr>
      <w:kern w:val="0"/>
      <w:sz w:val="16"/>
      <w:szCs w:val="16"/>
    </w:rPr>
  </w:style>
  <w:style w:type="paragraph" w:styleId="27">
    <w:name w:val="toc 2"/>
    <w:basedOn w:val="1"/>
    <w:next w:val="1"/>
    <w:autoRedefine/>
    <w:unhideWhenUsed/>
    <w:qFormat/>
    <w:uiPriority w:val="39"/>
    <w:pPr>
      <w:widowControl/>
      <w:spacing w:after="100" w:line="259" w:lineRule="auto"/>
      <w:ind w:left="220"/>
      <w:jc w:val="left"/>
    </w:pPr>
    <w:rPr>
      <w:rFonts w:ascii="Calibri" w:hAnsi="Calibri"/>
      <w:kern w:val="0"/>
      <w:sz w:val="22"/>
      <w:szCs w:val="22"/>
    </w:rPr>
  </w:style>
  <w:style w:type="paragraph" w:styleId="28">
    <w:name w:val="toc 9"/>
    <w:basedOn w:val="1"/>
    <w:next w:val="1"/>
    <w:autoRedefine/>
    <w:qFormat/>
    <w:uiPriority w:val="0"/>
    <w:pPr>
      <w:ind w:left="3360" w:leftChars="1600"/>
    </w:pPr>
  </w:style>
  <w:style w:type="paragraph" w:styleId="29">
    <w:name w:val="HTML Preformatted"/>
    <w:basedOn w:val="1"/>
    <w:link w:val="117"/>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0">
    <w:name w:val="Normal (Web)"/>
    <w:basedOn w:val="1"/>
    <w:next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31">
    <w:name w:val="Title"/>
    <w:basedOn w:val="1"/>
    <w:next w:val="1"/>
    <w:link w:val="96"/>
    <w:autoRedefine/>
    <w:qFormat/>
    <w:uiPriority w:val="0"/>
    <w:pPr>
      <w:spacing w:before="240" w:after="60"/>
      <w:jc w:val="center"/>
      <w:outlineLvl w:val="0"/>
    </w:pPr>
    <w:rPr>
      <w:rFonts w:ascii="Cambria" w:hAnsi="Cambria"/>
      <w:b/>
      <w:bCs/>
      <w:kern w:val="0"/>
      <w:sz w:val="36"/>
      <w:szCs w:val="32"/>
    </w:rPr>
  </w:style>
  <w:style w:type="paragraph" w:styleId="32">
    <w:name w:val="annotation subject"/>
    <w:basedOn w:val="12"/>
    <w:next w:val="12"/>
    <w:link w:val="72"/>
    <w:autoRedefine/>
    <w:qFormat/>
    <w:uiPriority w:val="99"/>
    <w:rPr>
      <w:b/>
      <w:bCs/>
    </w:rPr>
  </w:style>
  <w:style w:type="paragraph" w:styleId="33">
    <w:name w:val="Body Text First Indent"/>
    <w:basedOn w:val="13"/>
    <w:next w:val="1"/>
    <w:link w:val="87"/>
    <w:autoRedefine/>
    <w:qFormat/>
    <w:uiPriority w:val="0"/>
    <w:pPr>
      <w:ind w:firstLine="420" w:firstLineChars="100"/>
    </w:pPr>
  </w:style>
  <w:style w:type="table" w:styleId="35">
    <w:name w:val="Table Grid"/>
    <w:basedOn w:val="3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autoRedefine/>
    <w:qFormat/>
    <w:uiPriority w:val="22"/>
  </w:style>
  <w:style w:type="character" w:styleId="38">
    <w:name w:val="page number"/>
    <w:autoRedefine/>
    <w:qFormat/>
    <w:uiPriority w:val="0"/>
  </w:style>
  <w:style w:type="character" w:styleId="39">
    <w:name w:val="FollowedHyperlink"/>
    <w:autoRedefine/>
    <w:qFormat/>
    <w:uiPriority w:val="99"/>
    <w:rPr>
      <w:color w:val="0000FF"/>
      <w:u w:val="single"/>
    </w:rPr>
  </w:style>
  <w:style w:type="character" w:styleId="40">
    <w:name w:val="Emphasis"/>
    <w:autoRedefine/>
    <w:qFormat/>
    <w:uiPriority w:val="0"/>
    <w:rPr>
      <w:i/>
      <w:iCs/>
    </w:rPr>
  </w:style>
  <w:style w:type="character" w:styleId="41">
    <w:name w:val="HTML Definition"/>
    <w:basedOn w:val="36"/>
    <w:autoRedefine/>
    <w:semiHidden/>
    <w:unhideWhenUsed/>
    <w:qFormat/>
    <w:uiPriority w:val="99"/>
  </w:style>
  <w:style w:type="character" w:styleId="42">
    <w:name w:val="HTML Typewriter"/>
    <w:basedOn w:val="36"/>
    <w:autoRedefine/>
    <w:semiHidden/>
    <w:unhideWhenUsed/>
    <w:qFormat/>
    <w:uiPriority w:val="99"/>
    <w:rPr>
      <w:rFonts w:hint="default" w:ascii="monospace" w:hAnsi="monospace" w:eastAsia="monospace" w:cs="monospace"/>
      <w:sz w:val="20"/>
    </w:rPr>
  </w:style>
  <w:style w:type="character" w:styleId="43">
    <w:name w:val="HTML Acronym"/>
    <w:basedOn w:val="36"/>
    <w:autoRedefine/>
    <w:semiHidden/>
    <w:unhideWhenUsed/>
    <w:qFormat/>
    <w:uiPriority w:val="99"/>
  </w:style>
  <w:style w:type="character" w:styleId="44">
    <w:name w:val="HTML Variable"/>
    <w:basedOn w:val="36"/>
    <w:autoRedefine/>
    <w:semiHidden/>
    <w:unhideWhenUsed/>
    <w:qFormat/>
    <w:uiPriority w:val="99"/>
  </w:style>
  <w:style w:type="character" w:styleId="45">
    <w:name w:val="Hyperlink"/>
    <w:autoRedefine/>
    <w:qFormat/>
    <w:uiPriority w:val="99"/>
    <w:rPr>
      <w:color w:val="000099"/>
      <w:u w:val="none"/>
    </w:rPr>
  </w:style>
  <w:style w:type="character" w:styleId="46">
    <w:name w:val="HTML Code"/>
    <w:basedOn w:val="36"/>
    <w:autoRedefine/>
    <w:semiHidden/>
    <w:unhideWhenUsed/>
    <w:qFormat/>
    <w:uiPriority w:val="99"/>
    <w:rPr>
      <w:rFonts w:hint="default" w:ascii="monospace" w:hAnsi="monospace" w:eastAsia="monospace" w:cs="monospace"/>
      <w:sz w:val="20"/>
    </w:rPr>
  </w:style>
  <w:style w:type="character" w:styleId="47">
    <w:name w:val="annotation reference"/>
    <w:autoRedefine/>
    <w:qFormat/>
    <w:uiPriority w:val="0"/>
    <w:rPr>
      <w:sz w:val="21"/>
      <w:szCs w:val="21"/>
    </w:rPr>
  </w:style>
  <w:style w:type="character" w:styleId="48">
    <w:name w:val="HTML Cite"/>
    <w:basedOn w:val="36"/>
    <w:autoRedefine/>
    <w:semiHidden/>
    <w:unhideWhenUsed/>
    <w:qFormat/>
    <w:uiPriority w:val="99"/>
  </w:style>
  <w:style w:type="character" w:styleId="49">
    <w:name w:val="HTML Keyboard"/>
    <w:basedOn w:val="36"/>
    <w:autoRedefine/>
    <w:semiHidden/>
    <w:unhideWhenUsed/>
    <w:qFormat/>
    <w:uiPriority w:val="99"/>
    <w:rPr>
      <w:rFonts w:ascii="monospace" w:hAnsi="monospace" w:eastAsia="monospace" w:cs="monospace"/>
      <w:sz w:val="20"/>
    </w:rPr>
  </w:style>
  <w:style w:type="character" w:styleId="50">
    <w:name w:val="HTML Sample"/>
    <w:basedOn w:val="36"/>
    <w:autoRedefine/>
    <w:semiHidden/>
    <w:unhideWhenUsed/>
    <w:qFormat/>
    <w:uiPriority w:val="99"/>
    <w:rPr>
      <w:rFonts w:hint="default" w:ascii="monospace" w:hAnsi="monospace" w:eastAsia="monospace" w:cs="monospace"/>
    </w:rPr>
  </w:style>
  <w:style w:type="paragraph" w:customStyle="1" w:styleId="51">
    <w:name w:val="table of authorities1"/>
    <w:basedOn w:val="1"/>
    <w:next w:val="1"/>
    <w:autoRedefine/>
    <w:qFormat/>
    <w:uiPriority w:val="0"/>
    <w:pPr>
      <w:ind w:left="420" w:leftChars="200"/>
    </w:pPr>
  </w:style>
  <w:style w:type="paragraph" w:customStyle="1" w:styleId="52">
    <w:name w:val="一级条标题"/>
    <w:basedOn w:val="53"/>
    <w:next w:val="54"/>
    <w:link w:val="111"/>
    <w:autoRedefine/>
    <w:qFormat/>
    <w:uiPriority w:val="0"/>
    <w:pPr>
      <w:tabs>
        <w:tab w:val="left" w:pos="720"/>
      </w:tabs>
      <w:spacing w:beforeLines="0" w:afterLines="0"/>
      <w:outlineLvl w:val="2"/>
    </w:pPr>
  </w:style>
  <w:style w:type="paragraph" w:customStyle="1" w:styleId="53">
    <w:name w:val="章标题"/>
    <w:next w:val="1"/>
    <w:link w:val="110"/>
    <w:autoRedefine/>
    <w:qFormat/>
    <w:uiPriority w:val="0"/>
    <w:pPr>
      <w:tabs>
        <w:tab w:val="left" w:pos="720"/>
      </w:tabs>
      <w:spacing w:beforeLines="50" w:afterLines="50"/>
      <w:ind w:left="567" w:hanging="567"/>
      <w:jc w:val="both"/>
      <w:outlineLvl w:val="1"/>
    </w:pPr>
    <w:rPr>
      <w:rFonts w:ascii="黑体" w:hAnsi="Calibri" w:eastAsia="黑体" w:cs="Times New Roman"/>
      <w:sz w:val="21"/>
      <w:lang w:val="en-US" w:eastAsia="zh-CN" w:bidi="ar-SA"/>
    </w:rPr>
  </w:style>
  <w:style w:type="paragraph" w:customStyle="1" w:styleId="54">
    <w:name w:val="段"/>
    <w:link w:val="105"/>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55">
    <w:name w:val="引文目录1"/>
    <w:basedOn w:val="1"/>
    <w:next w:val="1"/>
    <w:autoRedefine/>
    <w:qFormat/>
    <w:uiPriority w:val="0"/>
    <w:pPr>
      <w:ind w:left="420" w:leftChars="200"/>
    </w:pPr>
  </w:style>
  <w:style w:type="paragraph" w:customStyle="1" w:styleId="56">
    <w:name w:val="_Style 0"/>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0_0"/>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58">
    <w:name w:val="3"/>
    <w:basedOn w:val="1"/>
    <w:autoRedefine/>
    <w:qFormat/>
    <w:uiPriority w:val="34"/>
    <w:pPr>
      <w:ind w:firstLine="420" w:firstLineChars="200"/>
    </w:pPr>
  </w:style>
  <w:style w:type="paragraph" w:customStyle="1" w:styleId="59">
    <w:name w:val="xl5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60">
    <w:name w:val="_Style 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2"/>
    <w:link w:val="92"/>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xl52"/>
    <w:basedOn w:val="1"/>
    <w:autoRedefine/>
    <w:qFormat/>
    <w:uiPriority w:val="0"/>
    <w:pPr>
      <w:widowControl/>
      <w:spacing w:before="100" w:beforeAutospacing="1" w:after="100" w:afterAutospacing="1"/>
      <w:jc w:val="center"/>
      <w:textAlignment w:val="top"/>
    </w:pPr>
    <w:rPr>
      <w:kern w:val="0"/>
      <w:sz w:val="20"/>
      <w:szCs w:val="20"/>
    </w:rPr>
  </w:style>
  <w:style w:type="paragraph" w:customStyle="1" w:styleId="63">
    <w:name w:val="Table Text Char Char"/>
    <w:autoRedefine/>
    <w:qFormat/>
    <w:uiPriority w:val="0"/>
    <w:pPr>
      <w:snapToGrid w:val="0"/>
      <w:spacing w:before="80" w:after="80"/>
    </w:pPr>
    <w:rPr>
      <w:rFonts w:ascii="Arial" w:hAnsi="Arial" w:eastAsia="宋体" w:cs="Arial"/>
      <w:sz w:val="18"/>
      <w:szCs w:val="18"/>
      <w:lang w:val="en-US" w:eastAsia="zh-CN" w:bidi="ar-SA"/>
    </w:rPr>
  </w:style>
  <w:style w:type="paragraph" w:customStyle="1" w:styleId="64">
    <w:name w:val="_Style 3"/>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Char1"/>
    <w:basedOn w:val="10"/>
    <w:autoRedefine/>
    <w:qFormat/>
    <w:uiPriority w:val="0"/>
    <w:pPr>
      <w:shd w:val="clear" w:color="auto" w:fill="000080"/>
    </w:pPr>
    <w:rPr>
      <w:rFonts w:ascii="Times New Roman" w:eastAsia="宋体"/>
      <w:sz w:val="21"/>
      <w:szCs w:val="20"/>
      <w:shd w:val="clear" w:color="auto" w:fill="000080"/>
    </w:rPr>
  </w:style>
  <w:style w:type="paragraph" w:customStyle="1" w:styleId="66">
    <w:name w:val="Table Text"/>
    <w:basedOn w:val="1"/>
    <w:autoRedefine/>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67">
    <w:name w:val="列出段落111"/>
    <w:basedOn w:val="1"/>
    <w:autoRedefine/>
    <w:qFormat/>
    <w:uiPriority w:val="0"/>
    <w:pPr>
      <w:ind w:firstLine="420" w:firstLineChars="200"/>
    </w:pPr>
    <w:rPr>
      <w:rFonts w:ascii="Calibri" w:hAnsi="Calibri"/>
      <w:sz w:val="28"/>
    </w:rPr>
  </w:style>
  <w:style w:type="paragraph" w:customStyle="1" w:styleId="68">
    <w:name w:val="样式1"/>
    <w:basedOn w:val="1"/>
    <w:autoRedefine/>
    <w:qFormat/>
    <w:uiPriority w:val="0"/>
    <w:rPr>
      <w:rFonts w:eastAsia="仿宋_GB2312"/>
      <w:kern w:val="0"/>
      <w:sz w:val="32"/>
      <w:szCs w:val="20"/>
    </w:rPr>
  </w:style>
  <w:style w:type="paragraph" w:customStyle="1" w:styleId="69">
    <w:name w:val="1"/>
    <w:basedOn w:val="2"/>
    <w:next w:val="1"/>
    <w:autoRedefine/>
    <w:qFormat/>
    <w:uiPriority w:val="39"/>
    <w:pPr>
      <w:widowControl/>
      <w:numPr>
        <w:numId w:val="0"/>
      </w:numPr>
      <w:snapToGrid/>
      <w:spacing w:before="240" w:line="259" w:lineRule="auto"/>
      <w:jc w:val="left"/>
      <w:outlineLvl w:val="9"/>
    </w:pPr>
    <w:rPr>
      <w:rFonts w:ascii="Calibri Light" w:hAnsi="Calibri Light" w:eastAsia="宋体"/>
      <w:color w:val="2E74B5"/>
      <w:kern w:val="0"/>
      <w:sz w:val="32"/>
      <w:szCs w:val="32"/>
    </w:rPr>
  </w:style>
  <w:style w:type="paragraph" w:customStyle="1" w:styleId="70">
    <w:name w:val="列出段落11"/>
    <w:basedOn w:val="1"/>
    <w:autoRedefine/>
    <w:qFormat/>
    <w:uiPriority w:val="0"/>
    <w:pPr>
      <w:ind w:firstLine="420" w:firstLineChars="200"/>
    </w:pPr>
  </w:style>
  <w:style w:type="paragraph" w:customStyle="1" w:styleId="71">
    <w:name w:val="正文_0"/>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72">
    <w:name w:val="批注主题 Char1"/>
    <w:link w:val="32"/>
    <w:autoRedefine/>
    <w:qFormat/>
    <w:uiPriority w:val="99"/>
    <w:rPr>
      <w:rFonts w:ascii="Times New Roman" w:hAnsi="Times New Roman" w:eastAsia="宋体" w:cs="Times New Roman"/>
      <w:b/>
      <w:bCs/>
      <w:szCs w:val="24"/>
    </w:rPr>
  </w:style>
  <w:style w:type="character" w:customStyle="1" w:styleId="73">
    <w:name w:val="标题 1 Char"/>
    <w:link w:val="2"/>
    <w:autoRedefine/>
    <w:qFormat/>
    <w:uiPriority w:val="0"/>
    <w:rPr>
      <w:rFonts w:ascii="宋体" w:hAnsi="Times New Roman" w:eastAsia="黑体"/>
      <w:kern w:val="28"/>
      <w:sz w:val="28"/>
    </w:rPr>
  </w:style>
  <w:style w:type="character" w:customStyle="1" w:styleId="74">
    <w:name w:val="页脚 Char"/>
    <w:link w:val="22"/>
    <w:autoRedefine/>
    <w:qFormat/>
    <w:uiPriority w:val="99"/>
    <w:rPr>
      <w:rFonts w:ascii="Times New Roman" w:hAnsi="Times New Roman" w:eastAsia="宋体" w:cs="Times New Roman"/>
      <w:sz w:val="18"/>
      <w:szCs w:val="20"/>
    </w:rPr>
  </w:style>
  <w:style w:type="character" w:customStyle="1" w:styleId="75">
    <w:name w:val="批注框文本 Char"/>
    <w:link w:val="21"/>
    <w:autoRedefine/>
    <w:qFormat/>
    <w:uiPriority w:val="0"/>
    <w:rPr>
      <w:rFonts w:ascii="Times New Roman" w:hAnsi="Times New Roman" w:eastAsia="宋体" w:cs="Times New Roman"/>
      <w:sz w:val="18"/>
      <w:szCs w:val="18"/>
    </w:rPr>
  </w:style>
  <w:style w:type="character" w:customStyle="1" w:styleId="76">
    <w:name w:val="正文文本缩进 3 Char"/>
    <w:link w:val="26"/>
    <w:autoRedefine/>
    <w:qFormat/>
    <w:uiPriority w:val="0"/>
    <w:rPr>
      <w:rFonts w:ascii="Times New Roman" w:hAnsi="Times New Roman" w:eastAsia="宋体" w:cs="Times New Roman"/>
      <w:sz w:val="16"/>
      <w:szCs w:val="16"/>
    </w:rPr>
  </w:style>
  <w:style w:type="character" w:customStyle="1" w:styleId="77">
    <w:name w:val="标题 6 Char"/>
    <w:link w:val="7"/>
    <w:autoRedefine/>
    <w:qFormat/>
    <w:uiPriority w:val="0"/>
    <w:rPr>
      <w:rFonts w:ascii="Calibri Light" w:hAnsi="Calibri Light" w:eastAsia="宋体" w:cs="Times New Roman"/>
      <w:b/>
      <w:bCs/>
      <w:sz w:val="24"/>
      <w:szCs w:val="24"/>
    </w:rPr>
  </w:style>
  <w:style w:type="character" w:customStyle="1" w:styleId="78">
    <w:name w:val="标题 2 Char"/>
    <w:link w:val="3"/>
    <w:autoRedefine/>
    <w:qFormat/>
    <w:uiPriority w:val="0"/>
    <w:rPr>
      <w:rFonts w:ascii="宋体" w:hAnsi="Times New Roman"/>
      <w:kern w:val="2"/>
      <w:sz w:val="28"/>
    </w:rPr>
  </w:style>
  <w:style w:type="character" w:customStyle="1" w:styleId="79">
    <w:name w:val="文档结构图 Char"/>
    <w:link w:val="10"/>
    <w:autoRedefine/>
    <w:semiHidden/>
    <w:qFormat/>
    <w:uiPriority w:val="99"/>
    <w:rPr>
      <w:rFonts w:ascii="Microsoft YaHei UI" w:hAnsi="Times New Roman" w:eastAsia="Microsoft YaHei UI" w:cs="Times New Roman"/>
      <w:sz w:val="18"/>
      <w:szCs w:val="18"/>
    </w:rPr>
  </w:style>
  <w:style w:type="character" w:customStyle="1" w:styleId="80">
    <w:name w:val="副标题 Char"/>
    <w:link w:val="25"/>
    <w:autoRedefine/>
    <w:qFormat/>
    <w:uiPriority w:val="0"/>
    <w:rPr>
      <w:rFonts w:ascii="Calibri Light" w:hAnsi="Calibri Light" w:eastAsia="宋体" w:cs="Times New Roman"/>
      <w:b/>
      <w:bCs/>
      <w:kern w:val="28"/>
      <w:sz w:val="32"/>
      <w:szCs w:val="32"/>
    </w:rPr>
  </w:style>
  <w:style w:type="character" w:customStyle="1" w:styleId="81">
    <w:name w:val="标题 4 Char"/>
    <w:link w:val="5"/>
    <w:autoRedefine/>
    <w:qFormat/>
    <w:uiPriority w:val="0"/>
    <w:rPr>
      <w:rFonts w:ascii="Calibri Light" w:hAnsi="Calibri Light" w:eastAsia="宋体" w:cs="Times New Roman"/>
      <w:b/>
      <w:bCs/>
      <w:sz w:val="28"/>
      <w:szCs w:val="28"/>
    </w:rPr>
  </w:style>
  <w:style w:type="character" w:customStyle="1" w:styleId="82">
    <w:name w:val="标题 Char1"/>
    <w:autoRedefine/>
    <w:qFormat/>
    <w:uiPriority w:val="0"/>
    <w:rPr>
      <w:rFonts w:ascii="Calibri Light" w:hAnsi="Calibri Light" w:eastAsia="宋体" w:cs="Times New Roman"/>
      <w:b/>
      <w:bCs/>
      <w:sz w:val="32"/>
      <w:szCs w:val="32"/>
    </w:rPr>
  </w:style>
  <w:style w:type="character" w:customStyle="1" w:styleId="83">
    <w:name w:val="批注文字 Char"/>
    <w:autoRedefine/>
    <w:qFormat/>
    <w:uiPriority w:val="0"/>
    <w:rPr>
      <w:rFonts w:ascii="Times New Roman" w:hAnsi="Times New Roman" w:eastAsia="宋体" w:cs="Times New Roman"/>
      <w:szCs w:val="24"/>
    </w:rPr>
  </w:style>
  <w:style w:type="character" w:customStyle="1" w:styleId="84">
    <w:name w:val="标题 5 Char"/>
    <w:link w:val="6"/>
    <w:autoRedefine/>
    <w:qFormat/>
    <w:uiPriority w:val="0"/>
    <w:rPr>
      <w:rFonts w:ascii="Times New Roman" w:hAnsi="Times New Roman" w:eastAsia="宋体" w:cs="Times New Roman"/>
      <w:b/>
      <w:bCs/>
      <w:sz w:val="28"/>
      <w:szCs w:val="28"/>
    </w:rPr>
  </w:style>
  <w:style w:type="character" w:customStyle="1" w:styleId="85">
    <w:name w:val="Table Text Char Char Char"/>
    <w:autoRedefine/>
    <w:qFormat/>
    <w:uiPriority w:val="0"/>
    <w:rPr>
      <w:rFonts w:ascii="Arial" w:hAnsi="Arial" w:eastAsia="宋体" w:cs="Arial"/>
      <w:sz w:val="18"/>
      <w:szCs w:val="18"/>
      <w:lang w:val="en-US" w:eastAsia="zh-CN" w:bidi="ar-SA"/>
    </w:rPr>
  </w:style>
  <w:style w:type="character" w:customStyle="1" w:styleId="86">
    <w:name w:val="标题 3 Char"/>
    <w:link w:val="4"/>
    <w:autoRedefine/>
    <w:qFormat/>
    <w:uiPriority w:val="0"/>
    <w:rPr>
      <w:rFonts w:ascii="宋体" w:hAnsi="Times New Roman"/>
      <w:kern w:val="2"/>
      <w:sz w:val="28"/>
    </w:rPr>
  </w:style>
  <w:style w:type="character" w:customStyle="1" w:styleId="87">
    <w:name w:val="正文首行缩进 Char"/>
    <w:link w:val="33"/>
    <w:autoRedefine/>
    <w:qFormat/>
    <w:uiPriority w:val="0"/>
    <w:rPr>
      <w:rFonts w:ascii="Times New Roman" w:hAnsi="Times New Roman" w:eastAsia="宋体" w:cs="Times New Roman"/>
      <w:szCs w:val="24"/>
    </w:rPr>
  </w:style>
  <w:style w:type="character" w:customStyle="1" w:styleId="88">
    <w:name w:val="正文文本 Char"/>
    <w:link w:val="13"/>
    <w:autoRedefine/>
    <w:qFormat/>
    <w:uiPriority w:val="0"/>
    <w:rPr>
      <w:rFonts w:ascii="Times New Roman" w:hAnsi="Times New Roman" w:eastAsia="宋体" w:cs="Times New Roman"/>
      <w:szCs w:val="24"/>
    </w:rPr>
  </w:style>
  <w:style w:type="character" w:customStyle="1" w:styleId="89">
    <w:name w:val="纯文本 Char"/>
    <w:autoRedefine/>
    <w:qFormat/>
    <w:uiPriority w:val="0"/>
    <w:rPr>
      <w:rFonts w:ascii="宋体" w:hAnsi="Courier New" w:eastAsia="宋体" w:cs="Courier New"/>
      <w:szCs w:val="21"/>
    </w:rPr>
  </w:style>
  <w:style w:type="character" w:customStyle="1" w:styleId="90">
    <w:name w:val="纯文本 Char2"/>
    <w:link w:val="18"/>
    <w:autoRedefine/>
    <w:qFormat/>
    <w:uiPriority w:val="0"/>
    <w:rPr>
      <w:rFonts w:ascii="宋体" w:hAnsi="Courier New" w:eastAsia="宋体" w:cs="Times New Roman"/>
      <w:szCs w:val="20"/>
    </w:rPr>
  </w:style>
  <w:style w:type="character" w:customStyle="1" w:styleId="91">
    <w:name w:val="Table Text Char"/>
    <w:autoRedefine/>
    <w:qFormat/>
    <w:uiPriority w:val="0"/>
    <w:rPr>
      <w:rFonts w:ascii="Arial" w:hAnsi="Arial" w:eastAsia="宋体"/>
      <w:sz w:val="18"/>
      <w:lang w:val="en-US" w:eastAsia="zh-CN" w:bidi="ar-SA"/>
    </w:rPr>
  </w:style>
  <w:style w:type="character" w:customStyle="1" w:styleId="92">
    <w:name w:val="无间隔 Char"/>
    <w:link w:val="61"/>
    <w:autoRedefine/>
    <w:qFormat/>
    <w:uiPriority w:val="1"/>
    <w:rPr>
      <w:rFonts w:ascii="Times New Roman" w:hAnsi="Times New Roman"/>
      <w:kern w:val="2"/>
      <w:sz w:val="21"/>
      <w:szCs w:val="24"/>
      <w:lang w:val="en-US" w:eastAsia="zh-CN" w:bidi="ar-SA"/>
    </w:rPr>
  </w:style>
  <w:style w:type="character" w:customStyle="1" w:styleId="93">
    <w:name w:val="页眉 Char1"/>
    <w:link w:val="23"/>
    <w:autoRedefine/>
    <w:qFormat/>
    <w:uiPriority w:val="99"/>
    <w:rPr>
      <w:rFonts w:ascii="Times New Roman" w:hAnsi="Times New Roman" w:eastAsia="宋体" w:cs="Times New Roman"/>
      <w:sz w:val="18"/>
      <w:szCs w:val="20"/>
    </w:rPr>
  </w:style>
  <w:style w:type="character" w:customStyle="1" w:styleId="94">
    <w:name w:val="标题 7 Char"/>
    <w:link w:val="8"/>
    <w:autoRedefine/>
    <w:semiHidden/>
    <w:qFormat/>
    <w:uiPriority w:val="9"/>
    <w:rPr>
      <w:rFonts w:ascii="Times New Roman" w:hAnsi="Times New Roman"/>
      <w:b/>
      <w:bCs/>
      <w:kern w:val="2"/>
      <w:sz w:val="24"/>
      <w:szCs w:val="24"/>
    </w:rPr>
  </w:style>
  <w:style w:type="character" w:customStyle="1" w:styleId="95">
    <w:name w:val="批注文字 Char1"/>
    <w:link w:val="12"/>
    <w:autoRedefine/>
    <w:qFormat/>
    <w:uiPriority w:val="0"/>
    <w:rPr>
      <w:rFonts w:ascii="Times New Roman" w:hAnsi="Times New Roman" w:eastAsia="宋体" w:cs="Times New Roman"/>
      <w:szCs w:val="24"/>
    </w:rPr>
  </w:style>
  <w:style w:type="character" w:customStyle="1" w:styleId="96">
    <w:name w:val="标题 Char"/>
    <w:link w:val="31"/>
    <w:autoRedefine/>
    <w:qFormat/>
    <w:uiPriority w:val="0"/>
    <w:rPr>
      <w:rFonts w:ascii="Cambria" w:hAnsi="Cambria"/>
      <w:b/>
      <w:bCs/>
      <w:sz w:val="36"/>
      <w:szCs w:val="32"/>
    </w:rPr>
  </w:style>
  <w:style w:type="character" w:customStyle="1" w:styleId="97">
    <w:name w:val="正文文本缩进 Char"/>
    <w:link w:val="14"/>
    <w:autoRedefine/>
    <w:qFormat/>
    <w:uiPriority w:val="0"/>
    <w:rPr>
      <w:rFonts w:ascii="宋体" w:hAnsi="宋体" w:eastAsia="宋体" w:cs="Times New Roman"/>
      <w:szCs w:val="21"/>
    </w:rPr>
  </w:style>
  <w:style w:type="character" w:customStyle="1" w:styleId="98">
    <w:name w:val="日期 Char"/>
    <w:link w:val="19"/>
    <w:autoRedefine/>
    <w:qFormat/>
    <w:uiPriority w:val="0"/>
    <w:rPr>
      <w:rFonts w:ascii="Times New Roman" w:hAnsi="Times New Roman" w:eastAsia="宋体" w:cs="Times New Roman"/>
      <w:szCs w:val="24"/>
    </w:rPr>
  </w:style>
  <w:style w:type="character" w:customStyle="1" w:styleId="99">
    <w:name w:val="批注主题 Char"/>
    <w:autoRedefine/>
    <w:semiHidden/>
    <w:qFormat/>
    <w:uiPriority w:val="99"/>
    <w:rPr>
      <w:rFonts w:ascii="Times New Roman" w:hAnsi="Times New Roman" w:eastAsia="宋体" w:cs="Times New Roman"/>
      <w:b/>
      <w:bCs/>
      <w:szCs w:val="24"/>
    </w:rPr>
  </w:style>
  <w:style w:type="paragraph" w:customStyle="1" w:styleId="100">
    <w:name w:val="p16"/>
    <w:basedOn w:val="1"/>
    <w:autoRedefine/>
    <w:qFormat/>
    <w:uiPriority w:val="0"/>
    <w:pPr>
      <w:widowControl/>
    </w:pPr>
    <w:rPr>
      <w:rFonts w:ascii="宋体" w:hAnsi="宋体" w:cs="宋体"/>
      <w:kern w:val="0"/>
      <w:szCs w:val="21"/>
    </w:rPr>
  </w:style>
  <w:style w:type="paragraph" w:styleId="101">
    <w:name w:val="List Paragraph"/>
    <w:basedOn w:val="1"/>
    <w:autoRedefine/>
    <w:unhideWhenUsed/>
    <w:qFormat/>
    <w:uiPriority w:val="34"/>
    <w:pPr>
      <w:ind w:firstLine="420" w:firstLineChars="200"/>
    </w:pPr>
  </w:style>
  <w:style w:type="paragraph" w:customStyle="1" w:styleId="102">
    <w:name w:val="Default"/>
    <w:autoRedefine/>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103">
    <w:name w:val="列出段落1"/>
    <w:basedOn w:val="1"/>
    <w:autoRedefine/>
    <w:qFormat/>
    <w:uiPriority w:val="34"/>
    <w:pPr>
      <w:ind w:firstLine="420" w:firstLineChars="200"/>
    </w:pPr>
    <w:rPr>
      <w:rFonts w:ascii="Calibri" w:hAnsi="Calibri" w:cs="黑体"/>
      <w:szCs w:val="22"/>
    </w:rPr>
  </w:style>
  <w:style w:type="paragraph" w:styleId="104">
    <w:name w:val="No Spacing"/>
    <w:link w:val="116"/>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5">
    <w:name w:val="段 Char Char"/>
    <w:link w:val="54"/>
    <w:autoRedefine/>
    <w:qFormat/>
    <w:uiPriority w:val="0"/>
    <w:rPr>
      <w:rFonts w:ascii="宋体"/>
      <w:sz w:val="21"/>
      <w:lang w:val="en-US" w:eastAsia="zh-CN" w:bidi="ar-SA"/>
    </w:rPr>
  </w:style>
  <w:style w:type="character" w:customStyle="1" w:styleId="106">
    <w:name w:val="三级条标题 Char Char"/>
    <w:link w:val="107"/>
    <w:autoRedefine/>
    <w:qFormat/>
    <w:uiPriority w:val="0"/>
    <w:rPr>
      <w:rFonts w:ascii="黑体" w:eastAsia="黑体"/>
      <w:sz w:val="21"/>
    </w:rPr>
  </w:style>
  <w:style w:type="paragraph" w:customStyle="1" w:styleId="107">
    <w:name w:val="三级条标题"/>
    <w:basedOn w:val="108"/>
    <w:next w:val="54"/>
    <w:link w:val="106"/>
    <w:autoRedefine/>
    <w:qFormat/>
    <w:uiPriority w:val="0"/>
    <w:pPr>
      <w:tabs>
        <w:tab w:val="left" w:pos="720"/>
        <w:tab w:val="left" w:pos="992"/>
      </w:tabs>
      <w:ind w:left="992" w:hanging="992"/>
      <w:outlineLvl w:val="4"/>
    </w:pPr>
  </w:style>
  <w:style w:type="paragraph" w:customStyle="1" w:styleId="108">
    <w:name w:val="二级条标题"/>
    <w:basedOn w:val="52"/>
    <w:next w:val="54"/>
    <w:link w:val="109"/>
    <w:autoRedefine/>
    <w:qFormat/>
    <w:uiPriority w:val="0"/>
    <w:pPr>
      <w:outlineLvl w:val="3"/>
    </w:pPr>
  </w:style>
  <w:style w:type="character" w:customStyle="1" w:styleId="109">
    <w:name w:val="二级条标题 Char Char"/>
    <w:link w:val="108"/>
    <w:autoRedefine/>
    <w:qFormat/>
    <w:uiPriority w:val="0"/>
    <w:rPr>
      <w:rFonts w:ascii="黑体" w:eastAsia="黑体"/>
      <w:sz w:val="21"/>
    </w:rPr>
  </w:style>
  <w:style w:type="character" w:customStyle="1" w:styleId="110">
    <w:name w:val="章标题 Char Char"/>
    <w:link w:val="53"/>
    <w:autoRedefine/>
    <w:qFormat/>
    <w:uiPriority w:val="0"/>
    <w:rPr>
      <w:rFonts w:ascii="黑体" w:eastAsia="黑体"/>
      <w:sz w:val="21"/>
      <w:lang w:val="en-US" w:eastAsia="zh-CN" w:bidi="ar-SA"/>
    </w:rPr>
  </w:style>
  <w:style w:type="character" w:customStyle="1" w:styleId="111">
    <w:name w:val="一级条标题 Char Char"/>
    <w:link w:val="52"/>
    <w:autoRedefine/>
    <w:qFormat/>
    <w:uiPriority w:val="0"/>
    <w:rPr>
      <w:rFonts w:ascii="黑体" w:eastAsia="黑体"/>
      <w:sz w:val="21"/>
    </w:rPr>
  </w:style>
  <w:style w:type="paragraph" w:customStyle="1" w:styleId="112">
    <w:name w:val="正文图标题"/>
    <w:next w:val="54"/>
    <w:autoRedefine/>
    <w:qFormat/>
    <w:uiPriority w:val="0"/>
    <w:pPr>
      <w:ind w:left="360" w:hanging="360"/>
      <w:jc w:val="center"/>
    </w:pPr>
    <w:rPr>
      <w:rFonts w:ascii="黑体" w:hAnsi="Times New Roman" w:eastAsia="黑体" w:cs="Times New Roman"/>
      <w:sz w:val="21"/>
      <w:lang w:val="en-US" w:eastAsia="zh-CN" w:bidi="ar-SA"/>
    </w:rPr>
  </w:style>
  <w:style w:type="paragraph" w:customStyle="1" w:styleId="113">
    <w:name w:val="正文表标题"/>
    <w:next w:val="54"/>
    <w:autoRedefine/>
    <w:qFormat/>
    <w:uiPriority w:val="0"/>
    <w:pPr>
      <w:ind w:left="360" w:hanging="360"/>
      <w:jc w:val="center"/>
    </w:pPr>
    <w:rPr>
      <w:rFonts w:ascii="黑体" w:hAnsi="Times New Roman" w:eastAsia="黑体" w:cs="Times New Roman"/>
      <w:sz w:val="21"/>
      <w:lang w:val="en-US" w:eastAsia="zh-CN" w:bidi="ar-SA"/>
    </w:rPr>
  </w:style>
  <w:style w:type="paragraph" w:customStyle="1" w:styleId="114">
    <w:name w:val="目次、标准名称标题"/>
    <w:basedOn w:val="1"/>
    <w:next w:val="54"/>
    <w:autoRedefine/>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115">
    <w:name w:val="纯文本 Char1"/>
    <w:autoRedefine/>
    <w:qFormat/>
    <w:uiPriority w:val="0"/>
    <w:rPr>
      <w:rFonts w:ascii="宋体" w:hAnsi="Courier New" w:eastAsia="宋体" w:cs="Courier New"/>
      <w:sz w:val="21"/>
      <w:szCs w:val="21"/>
    </w:rPr>
  </w:style>
  <w:style w:type="character" w:customStyle="1" w:styleId="116">
    <w:name w:val="无间隔 Char1"/>
    <w:link w:val="104"/>
    <w:autoRedefine/>
    <w:qFormat/>
    <w:uiPriority w:val="1"/>
    <w:rPr>
      <w:rFonts w:ascii="Times New Roman" w:hAnsi="Times New Roman"/>
      <w:kern w:val="2"/>
      <w:sz w:val="21"/>
      <w:szCs w:val="24"/>
      <w:lang w:bidi="ar-SA"/>
    </w:rPr>
  </w:style>
  <w:style w:type="character" w:customStyle="1" w:styleId="117">
    <w:name w:val="HTML 预设格式 Char"/>
    <w:link w:val="29"/>
    <w:autoRedefine/>
    <w:qFormat/>
    <w:uiPriority w:val="99"/>
    <w:rPr>
      <w:rFonts w:ascii="宋体" w:hAnsi="宋体" w:cs="宋体"/>
      <w:sz w:val="24"/>
      <w:szCs w:val="24"/>
    </w:rPr>
  </w:style>
  <w:style w:type="character" w:customStyle="1" w:styleId="118">
    <w:name w:val="页眉 Char"/>
    <w:autoRedefine/>
    <w:qFormat/>
    <w:uiPriority w:val="99"/>
    <w:rPr>
      <w:lang w:eastAsia="zh-CN"/>
    </w:rPr>
  </w:style>
  <w:style w:type="character" w:customStyle="1" w:styleId="119">
    <w:name w:val="textcontents"/>
    <w:autoRedefine/>
    <w:qFormat/>
    <w:uiPriority w:val="0"/>
    <w:rPr>
      <w:rFonts w:cs="Times New Roman"/>
    </w:rPr>
  </w:style>
  <w:style w:type="character" w:customStyle="1" w:styleId="120">
    <w:name w:val="标题4 Char Char"/>
    <w:link w:val="121"/>
    <w:autoRedefine/>
    <w:qFormat/>
    <w:uiPriority w:val="0"/>
    <w:rPr>
      <w:rFonts w:ascii="Arial" w:hAnsi="Arial"/>
      <w:b/>
      <w:bCs/>
      <w:sz w:val="24"/>
      <w:szCs w:val="32"/>
    </w:rPr>
  </w:style>
  <w:style w:type="paragraph" w:customStyle="1" w:styleId="121">
    <w:name w:val="标题4"/>
    <w:basedOn w:val="3"/>
    <w:next w:val="16"/>
    <w:link w:val="120"/>
    <w:autoRedefine/>
    <w:qFormat/>
    <w:uiPriority w:val="0"/>
    <w:pPr>
      <w:numPr>
        <w:ilvl w:val="0"/>
        <w:numId w:val="0"/>
      </w:numPr>
      <w:tabs>
        <w:tab w:val="clear" w:pos="425"/>
        <w:tab w:val="clear" w:pos="720"/>
      </w:tabs>
      <w:snapToGrid/>
      <w:spacing w:before="260" w:after="260" w:line="413" w:lineRule="auto"/>
    </w:pPr>
    <w:rPr>
      <w:rFonts w:ascii="Arial" w:hAnsi="Arial"/>
      <w:b/>
      <w:bCs/>
      <w:kern w:val="0"/>
      <w:sz w:val="24"/>
      <w:szCs w:val="32"/>
    </w:rPr>
  </w:style>
  <w:style w:type="character" w:customStyle="1" w:styleId="122">
    <w:name w:val="tabg"/>
    <w:autoRedefine/>
    <w:qFormat/>
    <w:uiPriority w:val="0"/>
    <w:rPr>
      <w:rFonts w:ascii="微软雅黑" w:hAnsi="微软雅黑" w:eastAsia="微软雅黑" w:cs="微软雅黑"/>
      <w:color w:val="FFFFFF"/>
      <w:sz w:val="27"/>
      <w:szCs w:val="27"/>
    </w:rPr>
  </w:style>
  <w:style w:type="paragraph" w:customStyle="1" w:styleId="123">
    <w:name w:val="xl154"/>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Arial" w:hAnsi="Arial" w:cs="Arial"/>
      <w:b/>
      <w:bCs/>
      <w:i/>
      <w:iCs/>
      <w:kern w:val="0"/>
      <w:sz w:val="20"/>
      <w:szCs w:val="20"/>
    </w:rPr>
  </w:style>
  <w:style w:type="paragraph" w:customStyle="1" w:styleId="124">
    <w:name w:val="Table Paragraph"/>
    <w:basedOn w:val="1"/>
    <w:autoRedefine/>
    <w:qFormat/>
    <w:uiPriority w:val="1"/>
    <w:rPr>
      <w:rFonts w:ascii="宋体" w:hAnsi="宋体" w:cs="宋体"/>
      <w:lang w:val="zh-CN" w:bidi="zh-CN"/>
    </w:rPr>
  </w:style>
  <w:style w:type="character" w:customStyle="1" w:styleId="125">
    <w:name w:val="font01"/>
    <w:basedOn w:val="36"/>
    <w:autoRedefine/>
    <w:qFormat/>
    <w:uiPriority w:val="0"/>
    <w:rPr>
      <w:rFonts w:hint="eastAsia" w:ascii="宋体" w:hAnsi="宋体" w:eastAsia="宋体" w:cs="宋体"/>
      <w:color w:val="000000"/>
      <w:sz w:val="20"/>
      <w:szCs w:val="20"/>
      <w:u w:val="none"/>
    </w:rPr>
  </w:style>
  <w:style w:type="character" w:customStyle="1" w:styleId="126">
    <w:name w:val="font191"/>
    <w:basedOn w:val="36"/>
    <w:autoRedefine/>
    <w:qFormat/>
    <w:uiPriority w:val="0"/>
    <w:rPr>
      <w:rFonts w:hint="eastAsia" w:ascii="宋体" w:hAnsi="宋体" w:eastAsia="宋体" w:cs="宋体"/>
      <w:color w:val="000000"/>
      <w:sz w:val="16"/>
      <w:szCs w:val="16"/>
      <w:u w:val="none"/>
    </w:rPr>
  </w:style>
  <w:style w:type="character" w:customStyle="1" w:styleId="127">
    <w:name w:val="font51"/>
    <w:basedOn w:val="36"/>
    <w:autoRedefine/>
    <w:qFormat/>
    <w:uiPriority w:val="0"/>
    <w:rPr>
      <w:rFonts w:hint="eastAsia" w:ascii="宋体" w:hAnsi="宋体" w:eastAsia="宋体" w:cs="宋体"/>
      <w:color w:val="000000"/>
      <w:sz w:val="18"/>
      <w:szCs w:val="18"/>
      <w:u w:val="none"/>
    </w:rPr>
  </w:style>
  <w:style w:type="character" w:customStyle="1" w:styleId="128">
    <w:name w:val="font151"/>
    <w:basedOn w:val="36"/>
    <w:autoRedefine/>
    <w:qFormat/>
    <w:uiPriority w:val="0"/>
    <w:rPr>
      <w:rFonts w:hint="eastAsia" w:ascii="宋体" w:hAnsi="宋体" w:eastAsia="宋体" w:cs="宋体"/>
      <w:color w:val="000000"/>
      <w:sz w:val="16"/>
      <w:szCs w:val="16"/>
      <w:u w:val="none"/>
    </w:rPr>
  </w:style>
  <w:style w:type="paragraph" w:customStyle="1" w:styleId="129">
    <w:name w:val="图片表格"/>
    <w:basedOn w:val="1"/>
    <w:next w:val="1"/>
    <w:autoRedefine/>
    <w:qFormat/>
    <w:uiPriority w:val="6"/>
    <w:pPr>
      <w:jc w:val="center"/>
    </w:pPr>
  </w:style>
  <w:style w:type="paragraph" w:customStyle="1" w:styleId="130">
    <w:name w:val="正文1"/>
    <w:basedOn w:val="1"/>
    <w:autoRedefine/>
    <w:qFormat/>
    <w:uiPriority w:val="0"/>
    <w:pPr>
      <w:spacing w:before="60" w:after="60" w:line="360" w:lineRule="auto"/>
      <w:ind w:left="360"/>
      <w:outlineLvl w:val="6"/>
    </w:pPr>
  </w:style>
  <w:style w:type="paragraph" w:customStyle="1" w:styleId="131">
    <w:name w:val="表格"/>
    <w:basedOn w:val="1"/>
    <w:autoRedefine/>
    <w:qFormat/>
    <w:uiPriority w:val="0"/>
    <w:pPr>
      <w:widowControl/>
      <w:spacing w:line="240" w:lineRule="auto"/>
      <w:ind w:firstLine="0" w:firstLineChars="0"/>
      <w:jc w:val="center"/>
      <w:textAlignment w:val="center"/>
    </w:pPr>
    <w:rPr>
      <w:rFonts w:cs="Times New Roman"/>
      <w:bCs/>
      <w:color w:val="000000"/>
      <w:kern w:val="0"/>
      <w:sz w:val="21"/>
      <w:szCs w:val="40"/>
    </w:rPr>
  </w:style>
  <w:style w:type="character" w:customStyle="1" w:styleId="132">
    <w:name w:val="font61"/>
    <w:basedOn w:val="36"/>
    <w:autoRedefine/>
    <w:qFormat/>
    <w:uiPriority w:val="0"/>
    <w:rPr>
      <w:rFonts w:hint="eastAsia" w:ascii="宋体" w:hAnsi="宋体" w:eastAsia="宋体" w:cs="宋体"/>
      <w:color w:val="000000"/>
      <w:sz w:val="18"/>
      <w:szCs w:val="18"/>
      <w:u w:val="none"/>
    </w:rPr>
  </w:style>
  <w:style w:type="character" w:customStyle="1" w:styleId="133">
    <w:name w:val="font11"/>
    <w:basedOn w:val="36"/>
    <w:autoRedefine/>
    <w:qFormat/>
    <w:uiPriority w:val="0"/>
    <w:rPr>
      <w:rFonts w:hint="eastAsia" w:ascii="宋体" w:hAnsi="宋体" w:eastAsia="宋体" w:cs="宋体"/>
      <w:color w:val="000000"/>
      <w:sz w:val="22"/>
      <w:szCs w:val="22"/>
      <w:u w:val="none"/>
    </w:rPr>
  </w:style>
  <w:style w:type="paragraph" w:customStyle="1" w:styleId="134">
    <w:name w:val="_Style 32"/>
    <w:autoRedefine/>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13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65</Pages>
  <Words>20973</Words>
  <Characters>22068</Characters>
  <Lines>403</Lines>
  <Paragraphs>113</Paragraphs>
  <TotalTime>21</TotalTime>
  <ScaleCrop>false</ScaleCrop>
  <LinksUpToDate>false</LinksUpToDate>
  <CharactersWithSpaces>29237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2022-08-02T03:10:00Z</dcterms:created>
  <dc:creator>李青</dc:creator>
  <cp:lastModifiedBy>早</cp:lastModifiedBy>
  <cp:lastPrinted>2021-06-06T13:06:00Z</cp:lastPrinted>
  <dcterms:modified xsi:type="dcterms:W3CDTF">2024-11-29T09:49:48Z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F73EDF05E52F400C87DEA4CB83A0AC99_13</vt:lpwstr>
  </property>
</Properties>
</file>