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CB1496A">
      <w:pPr>
        <w:spacing w:line="360" w:lineRule="auto"/>
        <w:jc w:val="center"/>
        <w:outlineLvl w:val="9"/>
        <w:rPr>
          <w:rFonts w:ascii="宋体" w:hAnsi="宋体"/>
          <w:b/>
          <w:color w:val="auto"/>
          <w:sz w:val="48"/>
          <w:szCs w:val="48"/>
          <w:highlight w:val="none"/>
        </w:rPr>
      </w:pPr>
      <w:r>
        <w:rPr>
          <w:rFonts w:hint="eastAsia" w:ascii="宋体" w:hAnsi="宋体"/>
          <w:b/>
          <w:color w:val="auto"/>
          <w:sz w:val="48"/>
          <w:szCs w:val="48"/>
          <w:highlight w:val="none"/>
          <w:lang w:val="en-US" w:eastAsia="zh-CN"/>
        </w:rPr>
        <w:t xml:space="preserve"> </w:t>
      </w:r>
      <w:r>
        <w:rPr>
          <w:rFonts w:ascii="宋体" w:hAnsi="宋体"/>
          <w:b/>
          <w:color w:val="auto"/>
          <w:sz w:val="48"/>
          <w:szCs w:val="48"/>
          <w:highlight w:val="none"/>
        </w:rPr>
        <w:t xml:space="preserve">  </w:t>
      </w:r>
    </w:p>
    <w:p w14:paraId="0475EDF1">
      <w:pPr>
        <w:spacing w:line="360" w:lineRule="auto"/>
        <w:jc w:val="center"/>
        <w:outlineLvl w:val="9"/>
        <w:rPr>
          <w:rFonts w:hint="eastAsia" w:ascii="宋体" w:hAnsi="宋体" w:cs="黑体"/>
          <w:b/>
          <w:color w:val="auto"/>
          <w:sz w:val="56"/>
          <w:szCs w:val="56"/>
          <w:highlight w:val="none"/>
          <w:lang w:val="en-US" w:eastAsia="zh-CN"/>
        </w:rPr>
      </w:pPr>
      <w:r>
        <w:rPr>
          <w:rFonts w:hint="eastAsia" w:ascii="宋体" w:hAnsi="宋体" w:cs="黑体"/>
          <w:b/>
          <w:color w:val="auto"/>
          <w:sz w:val="56"/>
          <w:szCs w:val="56"/>
          <w:highlight w:val="none"/>
          <w:lang w:val="en-US" w:eastAsia="zh-CN"/>
        </w:rPr>
        <w:t>海西州2024年提前批义务教育薄弱环节改善与能力提升“因素法”项目--信息化设备采购</w:t>
      </w:r>
    </w:p>
    <w:p w14:paraId="1B31D5B6">
      <w:pPr>
        <w:spacing w:line="360" w:lineRule="auto"/>
        <w:jc w:val="center"/>
        <w:outlineLvl w:val="9"/>
        <w:rPr>
          <w:rFonts w:hint="eastAsia" w:ascii="宋体" w:hAnsi="宋体" w:cs="黑体"/>
          <w:b/>
          <w:color w:val="auto"/>
          <w:sz w:val="72"/>
          <w:szCs w:val="72"/>
          <w:highlight w:val="none"/>
        </w:rPr>
      </w:pPr>
    </w:p>
    <w:p w14:paraId="0C49437E">
      <w:pPr>
        <w:spacing w:line="360" w:lineRule="auto"/>
        <w:jc w:val="center"/>
        <w:outlineLvl w:val="9"/>
        <w:rPr>
          <w:rFonts w:ascii="宋体" w:hAnsi="宋体"/>
          <w:color w:val="auto"/>
          <w:sz w:val="52"/>
          <w:szCs w:val="52"/>
          <w:highlight w:val="none"/>
        </w:rPr>
      </w:pPr>
      <w:r>
        <w:rPr>
          <w:rFonts w:hint="eastAsia" w:ascii="宋体" w:hAnsi="宋体" w:cs="黑体"/>
          <w:b/>
          <w:color w:val="auto"/>
          <w:sz w:val="72"/>
          <w:szCs w:val="72"/>
          <w:highlight w:val="none"/>
        </w:rPr>
        <w:t>竞争性磋商文件</w:t>
      </w:r>
    </w:p>
    <w:p w14:paraId="3E7EC6F9">
      <w:pPr>
        <w:spacing w:line="360" w:lineRule="auto"/>
        <w:outlineLvl w:val="9"/>
        <w:rPr>
          <w:rFonts w:hint="eastAsia" w:ascii="宋体" w:hAnsi="宋体"/>
          <w:color w:val="auto"/>
          <w:highlight w:val="none"/>
        </w:rPr>
      </w:pPr>
    </w:p>
    <w:p w14:paraId="2166AF4B">
      <w:pPr>
        <w:pStyle w:val="43"/>
        <w:ind w:left="0" w:leftChars="0" w:firstLine="0" w:firstLineChars="0"/>
        <w:outlineLvl w:val="9"/>
        <w:rPr>
          <w:rFonts w:hint="eastAsia" w:ascii="宋体" w:hAnsi="宋体" w:cs="仿宋"/>
          <w:b/>
          <w:bCs/>
          <w:color w:val="auto"/>
          <w:sz w:val="32"/>
          <w:szCs w:val="32"/>
          <w:highlight w:val="none"/>
        </w:rPr>
      </w:pPr>
    </w:p>
    <w:p w14:paraId="4F0CBB57">
      <w:pPr>
        <w:pStyle w:val="43"/>
        <w:ind w:left="1606" w:leftChars="0" w:hanging="1606" w:hangingChars="500"/>
        <w:outlineLvl w:val="9"/>
        <w:rPr>
          <w:rFonts w:hint="eastAsia" w:ascii="宋体" w:hAnsi="宋体" w:cs="仿宋"/>
          <w:b/>
          <w:bCs/>
          <w:color w:val="auto"/>
          <w:sz w:val="32"/>
          <w:szCs w:val="32"/>
          <w:highlight w:val="none"/>
        </w:rPr>
      </w:pPr>
      <w:r>
        <w:rPr>
          <w:rFonts w:hint="eastAsia" w:ascii="宋体" w:hAnsi="宋体" w:cs="仿宋"/>
          <w:b/>
          <w:bCs/>
          <w:color w:val="auto"/>
          <w:sz w:val="32"/>
          <w:szCs w:val="32"/>
          <w:highlight w:val="none"/>
        </w:rPr>
        <w:t>项目名称：</w:t>
      </w:r>
      <w:r>
        <w:rPr>
          <w:rFonts w:hint="eastAsia" w:ascii="宋体" w:hAnsi="宋体" w:cs="仿宋"/>
          <w:b/>
          <w:bCs/>
          <w:color w:val="auto"/>
          <w:sz w:val="32"/>
          <w:szCs w:val="32"/>
          <w:highlight w:val="none"/>
          <w:lang w:val="en-US" w:eastAsia="zh-CN"/>
        </w:rPr>
        <w:t>海西州2024年提前批义务教育薄弱环节改善与能力提升“因素法”项目--信息化设备采购</w:t>
      </w:r>
    </w:p>
    <w:p w14:paraId="75D87373">
      <w:pPr>
        <w:pStyle w:val="43"/>
        <w:ind w:left="0" w:leftChars="0" w:firstLine="0" w:firstLineChars="0"/>
        <w:outlineLvl w:val="9"/>
        <w:rPr>
          <w:rFonts w:hint="eastAsia"/>
          <w:color w:val="auto"/>
          <w:highlight w:val="none"/>
          <w:lang w:eastAsia="zh-CN"/>
        </w:rPr>
      </w:pPr>
      <w:r>
        <w:rPr>
          <w:rFonts w:hint="eastAsia" w:ascii="宋体" w:hAnsi="宋体" w:cs="仿宋"/>
          <w:b/>
          <w:bCs/>
          <w:color w:val="auto"/>
          <w:sz w:val="32"/>
          <w:szCs w:val="32"/>
          <w:highlight w:val="none"/>
        </w:rPr>
        <w:t>采购单位：</w:t>
      </w:r>
      <w:r>
        <w:rPr>
          <w:rFonts w:hint="eastAsia" w:ascii="宋体" w:hAnsi="宋体" w:cs="仿宋"/>
          <w:b/>
          <w:bCs/>
          <w:color w:val="auto"/>
          <w:sz w:val="32"/>
          <w:szCs w:val="32"/>
          <w:highlight w:val="none"/>
          <w:lang w:eastAsia="zh-CN"/>
        </w:rPr>
        <w:t>天峻县教育局</w:t>
      </w:r>
    </w:p>
    <w:p w14:paraId="5FB3DB3A">
      <w:pPr>
        <w:spacing w:line="360" w:lineRule="auto"/>
        <w:jc w:val="both"/>
        <w:outlineLvl w:val="9"/>
        <w:rPr>
          <w:rFonts w:hint="eastAsia" w:ascii="宋体" w:hAnsi="宋体" w:cs="仿宋"/>
          <w:b/>
          <w:bCs/>
          <w:color w:val="auto"/>
          <w:sz w:val="32"/>
          <w:szCs w:val="32"/>
          <w:highlight w:val="none"/>
        </w:rPr>
      </w:pPr>
    </w:p>
    <w:p w14:paraId="209D3F4F">
      <w:pPr>
        <w:spacing w:line="360" w:lineRule="auto"/>
        <w:jc w:val="both"/>
        <w:outlineLvl w:val="9"/>
        <w:rPr>
          <w:rFonts w:hint="eastAsia" w:ascii="宋体" w:hAnsi="宋体" w:cs="仿宋"/>
          <w:b/>
          <w:bCs/>
          <w:color w:val="auto"/>
          <w:sz w:val="32"/>
          <w:szCs w:val="32"/>
          <w:highlight w:val="none"/>
        </w:rPr>
      </w:pPr>
      <w:r>
        <w:rPr>
          <w:rFonts w:hint="eastAsia" w:ascii="宋体" w:hAnsi="宋体" w:cs="仿宋"/>
          <w:b/>
          <w:bCs/>
          <w:color w:val="auto"/>
          <w:sz w:val="32"/>
          <w:szCs w:val="32"/>
          <w:highlight w:val="none"/>
        </w:rPr>
        <w:t xml:space="preserve">采购方式：竞争性磋商 </w:t>
      </w:r>
    </w:p>
    <w:p w14:paraId="2A81771B">
      <w:pPr>
        <w:pStyle w:val="43"/>
        <w:ind w:left="1884" w:leftChars="500" w:hanging="684" w:hangingChars="326"/>
        <w:outlineLvl w:val="9"/>
        <w:rPr>
          <w:rFonts w:hint="eastAsia"/>
          <w:color w:val="auto"/>
          <w:highlight w:val="none"/>
          <w:lang w:eastAsia="zh-CN"/>
        </w:rPr>
      </w:pPr>
    </w:p>
    <w:p w14:paraId="45BBBF56">
      <w:pPr>
        <w:spacing w:line="360" w:lineRule="auto"/>
        <w:jc w:val="both"/>
        <w:outlineLvl w:val="9"/>
        <w:rPr>
          <w:rFonts w:hint="eastAsia" w:ascii="宋体" w:hAnsi="宋体" w:cs="仿宋"/>
          <w:b/>
          <w:bCs/>
          <w:color w:val="auto"/>
          <w:sz w:val="32"/>
          <w:szCs w:val="32"/>
          <w:highlight w:val="none"/>
        </w:rPr>
      </w:pPr>
      <w:r>
        <w:rPr>
          <w:rFonts w:hint="eastAsia" w:ascii="宋体" w:hAnsi="宋体" w:cs="仿宋"/>
          <w:b/>
          <w:bCs/>
          <w:color w:val="auto"/>
          <w:sz w:val="32"/>
          <w:szCs w:val="32"/>
          <w:highlight w:val="none"/>
        </w:rPr>
        <w:t>项目编号：</w:t>
      </w:r>
      <w:r>
        <w:rPr>
          <w:rFonts w:hint="eastAsia" w:ascii="宋体" w:hAnsi="宋体" w:cs="仿宋"/>
          <w:b/>
          <w:bCs/>
          <w:color w:val="auto"/>
          <w:sz w:val="32"/>
          <w:szCs w:val="32"/>
          <w:highlight w:val="none"/>
          <w:lang w:eastAsia="zh-CN"/>
        </w:rPr>
        <w:t>青海宸晖竞磋（货物）2024-024号</w:t>
      </w:r>
    </w:p>
    <w:p w14:paraId="44AF6D51">
      <w:pPr>
        <w:pStyle w:val="43"/>
        <w:ind w:left="0" w:leftChars="0" w:firstLine="0" w:firstLineChars="0"/>
        <w:outlineLvl w:val="9"/>
        <w:rPr>
          <w:rFonts w:hint="eastAsia"/>
          <w:color w:val="auto"/>
          <w:highlight w:val="none"/>
        </w:rPr>
      </w:pPr>
    </w:p>
    <w:p w14:paraId="3778C6CF">
      <w:pPr>
        <w:pStyle w:val="43"/>
        <w:ind w:left="0" w:leftChars="0" w:firstLine="0" w:firstLineChars="0"/>
        <w:outlineLvl w:val="9"/>
        <w:rPr>
          <w:rFonts w:hint="eastAsia"/>
          <w:color w:val="auto"/>
          <w:highlight w:val="none"/>
        </w:rPr>
      </w:pPr>
    </w:p>
    <w:p w14:paraId="063624A6">
      <w:pPr>
        <w:spacing w:line="360" w:lineRule="auto"/>
        <w:jc w:val="center"/>
        <w:outlineLvl w:val="9"/>
        <w:rPr>
          <w:rFonts w:hint="eastAsia" w:ascii="宋体" w:hAnsi="宋体"/>
          <w:b/>
          <w:bCs/>
          <w:color w:val="auto"/>
          <w:sz w:val="28"/>
          <w:highlight w:val="none"/>
          <w:lang w:eastAsia="zh-CN"/>
        </w:rPr>
      </w:pPr>
      <w:r>
        <w:rPr>
          <w:rFonts w:hint="eastAsia" w:ascii="宋体" w:hAnsi="宋体"/>
          <w:b/>
          <w:bCs/>
          <w:color w:val="auto"/>
          <w:sz w:val="28"/>
          <w:highlight w:val="none"/>
          <w:lang w:eastAsia="zh-CN"/>
        </w:rPr>
        <w:t>青海宸晖工程项目管理有限公司</w:t>
      </w:r>
    </w:p>
    <w:p w14:paraId="5378A798">
      <w:pPr>
        <w:spacing w:line="360" w:lineRule="auto"/>
        <w:jc w:val="center"/>
        <w:outlineLvl w:val="9"/>
        <w:rPr>
          <w:color w:val="auto"/>
          <w:highlight w:val="none"/>
          <w:lang w:val="en-US" w:eastAsia="zh-CN"/>
        </w:rPr>
        <w:sectPr>
          <w:headerReference r:id="rId3" w:type="default"/>
          <w:footerReference r:id="rId4" w:type="default"/>
          <w:type w:val="continuous"/>
          <w:pgSz w:w="11906" w:h="16838"/>
          <w:pgMar w:top="1531" w:right="1531" w:bottom="1531" w:left="1531" w:header="851" w:footer="992" w:gutter="0"/>
          <w:pgBorders w:offsetFrom="page">
            <w:top w:val="none" w:sz="0" w:space="0"/>
            <w:left w:val="none" w:sz="0" w:space="0"/>
            <w:bottom w:val="none" w:sz="0" w:space="0"/>
            <w:right w:val="none" w:sz="0" w:space="0"/>
          </w:pgBorders>
          <w:pgNumType w:start="1"/>
          <w:cols w:space="720" w:num="1"/>
          <w:docGrid w:type="lines" w:linePitch="326" w:charSpace="0"/>
        </w:sectPr>
      </w:pPr>
      <w:r>
        <w:rPr>
          <w:rFonts w:hint="eastAsia" w:ascii="宋体" w:hAnsi="宋体"/>
          <w:b/>
          <w:bCs/>
          <w:color w:val="auto"/>
          <w:sz w:val="28"/>
          <w:highlight w:val="none"/>
          <w:lang w:eastAsia="zh-CN"/>
        </w:rPr>
        <w:t>二〇二四年</w:t>
      </w:r>
      <w:r>
        <w:rPr>
          <w:rFonts w:hint="eastAsia" w:ascii="宋体" w:hAnsi="宋体"/>
          <w:b/>
          <w:bCs/>
          <w:color w:val="auto"/>
          <w:sz w:val="28"/>
          <w:highlight w:val="none"/>
          <w:lang w:val="en-US" w:eastAsia="zh-CN"/>
        </w:rPr>
        <w:t>八</w:t>
      </w:r>
      <w:r>
        <w:rPr>
          <w:rFonts w:hint="eastAsia" w:ascii="宋体" w:hAnsi="宋体"/>
          <w:b/>
          <w:bCs/>
          <w:color w:val="auto"/>
          <w:sz w:val="28"/>
          <w:highlight w:val="none"/>
          <w:lang w:eastAsia="zh-CN"/>
        </w:rPr>
        <w:t>月</w:t>
      </w:r>
    </w:p>
    <w:p w14:paraId="6A481488">
      <w:pPr>
        <w:spacing w:line="360" w:lineRule="auto"/>
        <w:jc w:val="center"/>
        <w:outlineLvl w:val="9"/>
        <w:rPr>
          <w:rFonts w:ascii="宋体" w:hAnsi="宋体"/>
          <w:b/>
          <w:color w:val="auto"/>
          <w:sz w:val="44"/>
          <w:szCs w:val="28"/>
          <w:highlight w:val="none"/>
        </w:rPr>
      </w:pPr>
    </w:p>
    <w:p w14:paraId="00544EF3">
      <w:pPr>
        <w:spacing w:line="360" w:lineRule="auto"/>
        <w:jc w:val="center"/>
        <w:outlineLvl w:val="9"/>
        <w:rPr>
          <w:rFonts w:hint="eastAsia" w:ascii="宋体" w:hAnsi="宋体" w:eastAsia="宋体"/>
          <w:b/>
          <w:color w:val="auto"/>
          <w:sz w:val="44"/>
          <w:szCs w:val="28"/>
          <w:highlight w:val="none"/>
          <w:lang w:val="en-US" w:eastAsia="zh-CN"/>
        </w:rPr>
      </w:pPr>
      <w:r>
        <w:rPr>
          <w:rFonts w:ascii="宋体" w:hAnsi="宋体"/>
          <w:b/>
          <w:color w:val="auto"/>
          <w:sz w:val="44"/>
          <w:szCs w:val="28"/>
          <w:highlight w:val="none"/>
        </w:rPr>
        <w:t>目     录</w:t>
      </w:r>
    </w:p>
    <w:p w14:paraId="7952F396">
      <w:pPr>
        <w:pStyle w:val="30"/>
        <w:tabs>
          <w:tab w:val="right" w:leader="dot" w:pos="8307"/>
        </w:tabs>
        <w:spacing w:line="480" w:lineRule="auto"/>
        <w:rPr>
          <w:color w:val="auto"/>
          <w:highlight w:val="none"/>
        </w:rPr>
      </w:pPr>
      <w:r>
        <w:rPr>
          <w:rFonts w:ascii="宋体" w:hAnsi="宋体"/>
          <w:b w:val="0"/>
          <w:bCs w:val="0"/>
          <w:color w:val="auto"/>
          <w:sz w:val="28"/>
          <w:szCs w:val="28"/>
          <w:highlight w:val="none"/>
        </w:rPr>
        <w:fldChar w:fldCharType="begin"/>
      </w:r>
      <w:r>
        <w:rPr>
          <w:rFonts w:ascii="宋体" w:hAnsi="宋体"/>
          <w:b w:val="0"/>
          <w:bCs w:val="0"/>
          <w:color w:val="auto"/>
          <w:sz w:val="28"/>
          <w:szCs w:val="28"/>
          <w:highlight w:val="none"/>
        </w:rPr>
        <w:instrText xml:space="preserve"> TOC \o "1-1" \h \z \u </w:instrText>
      </w:r>
      <w:r>
        <w:rPr>
          <w:rFonts w:ascii="宋体" w:hAnsi="宋体"/>
          <w:b w:val="0"/>
          <w:bCs w:val="0"/>
          <w:color w:val="auto"/>
          <w:sz w:val="28"/>
          <w:szCs w:val="28"/>
          <w:highlight w:val="none"/>
        </w:rPr>
        <w:fldChar w:fldCharType="separate"/>
      </w:r>
      <w:r>
        <w:rPr>
          <w:rFonts w:ascii="宋体" w:hAnsi="宋体"/>
          <w:bCs w:val="0"/>
          <w:color w:val="auto"/>
          <w:szCs w:val="28"/>
          <w:highlight w:val="none"/>
        </w:rPr>
        <w:fldChar w:fldCharType="begin"/>
      </w:r>
      <w:r>
        <w:rPr>
          <w:rFonts w:ascii="宋体" w:hAnsi="宋体"/>
          <w:bCs w:val="0"/>
          <w:color w:val="auto"/>
          <w:szCs w:val="28"/>
          <w:highlight w:val="none"/>
        </w:rPr>
        <w:instrText xml:space="preserve"> HYPERLINK \l _Toc27695 </w:instrText>
      </w:r>
      <w:r>
        <w:rPr>
          <w:rFonts w:ascii="宋体" w:hAnsi="宋体"/>
          <w:bCs w:val="0"/>
          <w:color w:val="auto"/>
          <w:szCs w:val="28"/>
          <w:highlight w:val="none"/>
        </w:rPr>
        <w:fldChar w:fldCharType="separate"/>
      </w:r>
      <w:r>
        <w:rPr>
          <w:rFonts w:hint="eastAsia" w:ascii="宋体" w:hAnsi="宋体" w:eastAsia="宋体" w:cs="仿宋"/>
          <w:bCs/>
          <w:color w:val="auto"/>
          <w:kern w:val="0"/>
          <w:szCs w:val="32"/>
          <w:highlight w:val="none"/>
          <w:lang w:val="en-US" w:eastAsia="zh-CN" w:bidi="ar-SA"/>
        </w:rPr>
        <w:t>第一章 竞争性磋商公告</w:t>
      </w:r>
      <w:r>
        <w:rPr>
          <w:color w:val="auto"/>
          <w:highlight w:val="none"/>
        </w:rPr>
        <w:tab/>
      </w:r>
      <w:r>
        <w:rPr>
          <w:color w:val="auto"/>
          <w:highlight w:val="none"/>
        </w:rPr>
        <w:fldChar w:fldCharType="begin"/>
      </w:r>
      <w:r>
        <w:rPr>
          <w:color w:val="auto"/>
          <w:highlight w:val="none"/>
        </w:rPr>
        <w:instrText xml:space="preserve"> PAGEREF _Toc27695 \h </w:instrText>
      </w:r>
      <w:r>
        <w:rPr>
          <w:color w:val="auto"/>
          <w:highlight w:val="none"/>
        </w:rPr>
        <w:fldChar w:fldCharType="separate"/>
      </w:r>
      <w:r>
        <w:rPr>
          <w:color w:val="auto"/>
          <w:highlight w:val="none"/>
        </w:rPr>
        <w:t>3</w:t>
      </w:r>
      <w:r>
        <w:rPr>
          <w:color w:val="auto"/>
          <w:highlight w:val="none"/>
        </w:rPr>
        <w:fldChar w:fldCharType="end"/>
      </w:r>
      <w:r>
        <w:rPr>
          <w:rFonts w:ascii="宋体" w:hAnsi="宋体"/>
          <w:bCs w:val="0"/>
          <w:color w:val="auto"/>
          <w:szCs w:val="28"/>
          <w:highlight w:val="none"/>
        </w:rPr>
        <w:fldChar w:fldCharType="end"/>
      </w:r>
    </w:p>
    <w:p w14:paraId="05D55B3B">
      <w:pPr>
        <w:pStyle w:val="30"/>
        <w:tabs>
          <w:tab w:val="right" w:leader="dot" w:pos="8307"/>
        </w:tabs>
        <w:spacing w:line="480" w:lineRule="auto"/>
        <w:rPr>
          <w:color w:val="auto"/>
          <w:highlight w:val="none"/>
        </w:rPr>
      </w:pPr>
      <w:r>
        <w:rPr>
          <w:rFonts w:ascii="宋体" w:hAnsi="宋体"/>
          <w:bCs/>
          <w:color w:val="auto"/>
          <w:szCs w:val="28"/>
          <w:highlight w:val="none"/>
        </w:rPr>
        <w:fldChar w:fldCharType="begin"/>
      </w:r>
      <w:r>
        <w:rPr>
          <w:rFonts w:ascii="宋体" w:hAnsi="宋体"/>
          <w:bCs/>
          <w:color w:val="auto"/>
          <w:szCs w:val="28"/>
          <w:highlight w:val="none"/>
        </w:rPr>
        <w:instrText xml:space="preserve"> HYPERLINK \l _Toc27471 </w:instrText>
      </w:r>
      <w:r>
        <w:rPr>
          <w:rFonts w:ascii="宋体" w:hAnsi="宋体"/>
          <w:bCs/>
          <w:color w:val="auto"/>
          <w:szCs w:val="28"/>
          <w:highlight w:val="none"/>
        </w:rPr>
        <w:fldChar w:fldCharType="separate"/>
      </w:r>
      <w:r>
        <w:rPr>
          <w:bCs/>
          <w:color w:val="auto"/>
          <w:szCs w:val="28"/>
          <w:highlight w:val="none"/>
        </w:rPr>
        <w:t>第二章 磋商须知</w:t>
      </w:r>
      <w:r>
        <w:rPr>
          <w:color w:val="auto"/>
          <w:highlight w:val="none"/>
        </w:rPr>
        <w:tab/>
      </w:r>
      <w:r>
        <w:rPr>
          <w:color w:val="auto"/>
          <w:highlight w:val="none"/>
        </w:rPr>
        <w:fldChar w:fldCharType="begin"/>
      </w:r>
      <w:r>
        <w:rPr>
          <w:color w:val="auto"/>
          <w:highlight w:val="none"/>
        </w:rPr>
        <w:instrText xml:space="preserve"> PAGEREF _Toc27471 \h </w:instrText>
      </w:r>
      <w:r>
        <w:rPr>
          <w:color w:val="auto"/>
          <w:highlight w:val="none"/>
        </w:rPr>
        <w:fldChar w:fldCharType="separate"/>
      </w:r>
      <w:r>
        <w:rPr>
          <w:color w:val="auto"/>
          <w:highlight w:val="none"/>
        </w:rPr>
        <w:t>5</w:t>
      </w:r>
      <w:r>
        <w:rPr>
          <w:color w:val="auto"/>
          <w:highlight w:val="none"/>
        </w:rPr>
        <w:fldChar w:fldCharType="end"/>
      </w:r>
      <w:r>
        <w:rPr>
          <w:rFonts w:ascii="宋体" w:hAnsi="宋体"/>
          <w:bCs/>
          <w:color w:val="auto"/>
          <w:szCs w:val="28"/>
          <w:highlight w:val="none"/>
        </w:rPr>
        <w:fldChar w:fldCharType="end"/>
      </w:r>
    </w:p>
    <w:p w14:paraId="28A88B43">
      <w:pPr>
        <w:pStyle w:val="30"/>
        <w:tabs>
          <w:tab w:val="right" w:leader="dot" w:pos="8307"/>
        </w:tabs>
        <w:spacing w:line="480" w:lineRule="auto"/>
        <w:rPr>
          <w:color w:val="auto"/>
          <w:highlight w:val="none"/>
        </w:rPr>
      </w:pPr>
      <w:r>
        <w:rPr>
          <w:rFonts w:ascii="宋体" w:hAnsi="宋体"/>
          <w:bCs/>
          <w:color w:val="auto"/>
          <w:szCs w:val="28"/>
          <w:highlight w:val="none"/>
        </w:rPr>
        <w:fldChar w:fldCharType="begin"/>
      </w:r>
      <w:r>
        <w:rPr>
          <w:rFonts w:ascii="宋体" w:hAnsi="宋体"/>
          <w:bCs/>
          <w:color w:val="auto"/>
          <w:szCs w:val="28"/>
          <w:highlight w:val="none"/>
        </w:rPr>
        <w:instrText xml:space="preserve"> HYPERLINK \l _Toc9665 </w:instrText>
      </w:r>
      <w:r>
        <w:rPr>
          <w:rFonts w:ascii="宋体" w:hAnsi="宋体"/>
          <w:bCs/>
          <w:color w:val="auto"/>
          <w:szCs w:val="28"/>
          <w:highlight w:val="none"/>
        </w:rPr>
        <w:fldChar w:fldCharType="separate"/>
      </w:r>
      <w:r>
        <w:rPr>
          <w:rFonts w:ascii="宋体" w:hAnsi="宋体" w:eastAsia="宋体"/>
          <w:bCs/>
          <w:color w:val="auto"/>
          <w:szCs w:val="28"/>
          <w:highlight w:val="none"/>
        </w:rPr>
        <w:t>第三章 供应商资格证明文件</w:t>
      </w:r>
      <w:r>
        <w:rPr>
          <w:color w:val="auto"/>
          <w:highlight w:val="none"/>
        </w:rPr>
        <w:tab/>
      </w:r>
      <w:r>
        <w:rPr>
          <w:color w:val="auto"/>
          <w:highlight w:val="none"/>
        </w:rPr>
        <w:fldChar w:fldCharType="begin"/>
      </w:r>
      <w:r>
        <w:rPr>
          <w:color w:val="auto"/>
          <w:highlight w:val="none"/>
        </w:rPr>
        <w:instrText xml:space="preserve"> PAGEREF _Toc9665 \h </w:instrText>
      </w:r>
      <w:r>
        <w:rPr>
          <w:color w:val="auto"/>
          <w:highlight w:val="none"/>
        </w:rPr>
        <w:fldChar w:fldCharType="separate"/>
      </w:r>
      <w:r>
        <w:rPr>
          <w:color w:val="auto"/>
          <w:highlight w:val="none"/>
        </w:rPr>
        <w:t>10</w:t>
      </w:r>
      <w:r>
        <w:rPr>
          <w:color w:val="auto"/>
          <w:highlight w:val="none"/>
        </w:rPr>
        <w:fldChar w:fldCharType="end"/>
      </w:r>
      <w:r>
        <w:rPr>
          <w:rFonts w:ascii="宋体" w:hAnsi="宋体"/>
          <w:bCs/>
          <w:color w:val="auto"/>
          <w:szCs w:val="28"/>
          <w:highlight w:val="none"/>
        </w:rPr>
        <w:fldChar w:fldCharType="end"/>
      </w:r>
    </w:p>
    <w:p w14:paraId="75B0E439">
      <w:pPr>
        <w:pStyle w:val="30"/>
        <w:tabs>
          <w:tab w:val="right" w:leader="dot" w:pos="8307"/>
        </w:tabs>
        <w:spacing w:line="480" w:lineRule="auto"/>
        <w:rPr>
          <w:color w:val="auto"/>
          <w:highlight w:val="none"/>
        </w:rPr>
      </w:pPr>
      <w:r>
        <w:rPr>
          <w:rFonts w:ascii="宋体" w:hAnsi="宋体"/>
          <w:bCs/>
          <w:color w:val="auto"/>
          <w:szCs w:val="28"/>
          <w:highlight w:val="none"/>
        </w:rPr>
        <w:fldChar w:fldCharType="begin"/>
      </w:r>
      <w:r>
        <w:rPr>
          <w:rFonts w:ascii="宋体" w:hAnsi="宋体"/>
          <w:bCs/>
          <w:color w:val="auto"/>
          <w:szCs w:val="28"/>
          <w:highlight w:val="none"/>
        </w:rPr>
        <w:instrText xml:space="preserve"> HYPERLINK \l _Toc22571 </w:instrText>
      </w:r>
      <w:r>
        <w:rPr>
          <w:rFonts w:ascii="宋体" w:hAnsi="宋体"/>
          <w:bCs/>
          <w:color w:val="auto"/>
          <w:szCs w:val="28"/>
          <w:highlight w:val="none"/>
        </w:rPr>
        <w:fldChar w:fldCharType="separate"/>
      </w:r>
      <w:r>
        <w:rPr>
          <w:rFonts w:hint="eastAsia" w:ascii="宋体" w:hAnsi="宋体" w:eastAsia="宋体" w:cs="Times New Roman"/>
          <w:bCs/>
          <w:color w:val="auto"/>
          <w:szCs w:val="28"/>
          <w:highlight w:val="none"/>
          <w:lang w:eastAsia="zh-CN"/>
        </w:rPr>
        <w:t>第</w:t>
      </w:r>
      <w:r>
        <w:rPr>
          <w:rFonts w:hint="eastAsia" w:ascii="宋体" w:hAnsi="宋体" w:eastAsia="宋体" w:cs="Times New Roman"/>
          <w:bCs/>
          <w:color w:val="auto"/>
          <w:szCs w:val="28"/>
          <w:highlight w:val="none"/>
          <w:lang w:val="en-US" w:eastAsia="zh-CN"/>
        </w:rPr>
        <w:t>四</w:t>
      </w:r>
      <w:r>
        <w:rPr>
          <w:rFonts w:hint="eastAsia" w:ascii="宋体" w:hAnsi="宋体" w:eastAsia="宋体" w:cs="Times New Roman"/>
          <w:bCs/>
          <w:color w:val="auto"/>
          <w:szCs w:val="28"/>
          <w:highlight w:val="none"/>
          <w:lang w:eastAsia="zh-CN"/>
        </w:rPr>
        <w:t>章</w:t>
      </w:r>
      <w:r>
        <w:rPr>
          <w:rFonts w:hint="eastAsia" w:ascii="宋体" w:hAnsi="宋体" w:eastAsia="宋体" w:cs="Times New Roman"/>
          <w:bCs/>
          <w:color w:val="auto"/>
          <w:szCs w:val="28"/>
          <w:highlight w:val="none"/>
          <w:lang w:val="en-US" w:eastAsia="zh-CN"/>
        </w:rPr>
        <w:t xml:space="preserve"> </w:t>
      </w:r>
      <w:r>
        <w:rPr>
          <w:rFonts w:ascii="宋体" w:hAnsi="宋体" w:eastAsia="宋体" w:cs="Times New Roman"/>
          <w:bCs/>
          <w:color w:val="auto"/>
          <w:szCs w:val="28"/>
          <w:highlight w:val="none"/>
        </w:rPr>
        <w:t>磋商程序</w:t>
      </w:r>
      <w:r>
        <w:rPr>
          <w:color w:val="auto"/>
          <w:highlight w:val="none"/>
        </w:rPr>
        <w:tab/>
      </w:r>
      <w:r>
        <w:rPr>
          <w:color w:val="auto"/>
          <w:highlight w:val="none"/>
        </w:rPr>
        <w:fldChar w:fldCharType="begin"/>
      </w:r>
      <w:r>
        <w:rPr>
          <w:color w:val="auto"/>
          <w:highlight w:val="none"/>
        </w:rPr>
        <w:instrText xml:space="preserve"> PAGEREF _Toc22571 \h </w:instrText>
      </w:r>
      <w:r>
        <w:rPr>
          <w:color w:val="auto"/>
          <w:highlight w:val="none"/>
        </w:rPr>
        <w:fldChar w:fldCharType="separate"/>
      </w:r>
      <w:r>
        <w:rPr>
          <w:color w:val="auto"/>
          <w:highlight w:val="none"/>
        </w:rPr>
        <w:t>11</w:t>
      </w:r>
      <w:r>
        <w:rPr>
          <w:color w:val="auto"/>
          <w:highlight w:val="none"/>
        </w:rPr>
        <w:fldChar w:fldCharType="end"/>
      </w:r>
      <w:r>
        <w:rPr>
          <w:rFonts w:ascii="宋体" w:hAnsi="宋体"/>
          <w:bCs/>
          <w:color w:val="auto"/>
          <w:szCs w:val="28"/>
          <w:highlight w:val="none"/>
        </w:rPr>
        <w:fldChar w:fldCharType="end"/>
      </w:r>
    </w:p>
    <w:p w14:paraId="6A72DEB2">
      <w:pPr>
        <w:pStyle w:val="30"/>
        <w:tabs>
          <w:tab w:val="right" w:leader="dot" w:pos="8307"/>
        </w:tabs>
        <w:spacing w:line="480" w:lineRule="auto"/>
        <w:rPr>
          <w:color w:val="auto"/>
          <w:highlight w:val="none"/>
        </w:rPr>
      </w:pPr>
      <w:r>
        <w:rPr>
          <w:rFonts w:ascii="宋体" w:hAnsi="宋体"/>
          <w:bCs/>
          <w:color w:val="auto"/>
          <w:szCs w:val="28"/>
          <w:highlight w:val="none"/>
        </w:rPr>
        <w:fldChar w:fldCharType="begin"/>
      </w:r>
      <w:r>
        <w:rPr>
          <w:rFonts w:ascii="宋体" w:hAnsi="宋体"/>
          <w:bCs/>
          <w:color w:val="auto"/>
          <w:szCs w:val="28"/>
          <w:highlight w:val="none"/>
        </w:rPr>
        <w:instrText xml:space="preserve"> HYPERLINK \l _Toc16416 </w:instrText>
      </w:r>
      <w:r>
        <w:rPr>
          <w:rFonts w:ascii="宋体" w:hAnsi="宋体"/>
          <w:bCs/>
          <w:color w:val="auto"/>
          <w:szCs w:val="28"/>
          <w:highlight w:val="none"/>
        </w:rPr>
        <w:fldChar w:fldCharType="separate"/>
      </w:r>
      <w:r>
        <w:rPr>
          <w:rFonts w:hint="eastAsia" w:ascii="宋体" w:hAnsi="宋体" w:eastAsia="宋体" w:cs="Times New Roman"/>
          <w:bCs/>
          <w:color w:val="auto"/>
          <w:szCs w:val="28"/>
          <w:highlight w:val="none"/>
          <w:lang w:val="en-US" w:eastAsia="zh-CN"/>
        </w:rPr>
        <w:t xml:space="preserve">第五章 </w:t>
      </w:r>
      <w:r>
        <w:rPr>
          <w:rFonts w:hint="eastAsia" w:ascii="宋体" w:hAnsi="宋体" w:eastAsia="宋体" w:cs="Times New Roman"/>
          <w:bCs/>
          <w:color w:val="auto"/>
          <w:szCs w:val="28"/>
          <w:highlight w:val="none"/>
          <w:lang w:val="zh-CN" w:eastAsia="zh-CN"/>
        </w:rPr>
        <w:t>青海省政府采购项目合同书范本</w:t>
      </w:r>
      <w:r>
        <w:rPr>
          <w:color w:val="auto"/>
          <w:highlight w:val="none"/>
        </w:rPr>
        <w:tab/>
      </w:r>
      <w:r>
        <w:rPr>
          <w:color w:val="auto"/>
          <w:highlight w:val="none"/>
        </w:rPr>
        <w:fldChar w:fldCharType="begin"/>
      </w:r>
      <w:r>
        <w:rPr>
          <w:color w:val="auto"/>
          <w:highlight w:val="none"/>
        </w:rPr>
        <w:instrText xml:space="preserve"> PAGEREF _Toc16416 \h </w:instrText>
      </w:r>
      <w:r>
        <w:rPr>
          <w:color w:val="auto"/>
          <w:highlight w:val="none"/>
        </w:rPr>
        <w:fldChar w:fldCharType="separate"/>
      </w:r>
      <w:r>
        <w:rPr>
          <w:color w:val="auto"/>
          <w:highlight w:val="none"/>
        </w:rPr>
        <w:t>15</w:t>
      </w:r>
      <w:r>
        <w:rPr>
          <w:color w:val="auto"/>
          <w:highlight w:val="none"/>
        </w:rPr>
        <w:fldChar w:fldCharType="end"/>
      </w:r>
      <w:r>
        <w:rPr>
          <w:rFonts w:ascii="宋体" w:hAnsi="宋体"/>
          <w:bCs/>
          <w:color w:val="auto"/>
          <w:szCs w:val="28"/>
          <w:highlight w:val="none"/>
        </w:rPr>
        <w:fldChar w:fldCharType="end"/>
      </w:r>
    </w:p>
    <w:p w14:paraId="6230BBA2">
      <w:pPr>
        <w:autoSpaceDE w:val="0"/>
        <w:autoSpaceDN w:val="0"/>
        <w:snapToGrid w:val="0"/>
        <w:spacing w:before="100" w:beforeAutospacing="1" w:after="100" w:afterAutospacing="1" w:line="480" w:lineRule="auto"/>
        <w:outlineLvl w:val="9"/>
        <w:rPr>
          <w:rFonts w:ascii="宋体" w:hAnsi="宋体"/>
          <w:bCs/>
          <w:color w:val="auto"/>
          <w:szCs w:val="28"/>
          <w:highlight w:val="none"/>
        </w:rPr>
      </w:pPr>
      <w:r>
        <w:rPr>
          <w:rFonts w:ascii="宋体" w:hAnsi="宋体"/>
          <w:bCs/>
          <w:color w:val="auto"/>
          <w:szCs w:val="28"/>
          <w:highlight w:val="none"/>
        </w:rPr>
        <w:fldChar w:fldCharType="end"/>
      </w:r>
    </w:p>
    <w:p w14:paraId="04F42D08">
      <w:pPr>
        <w:pStyle w:val="43"/>
        <w:outlineLvl w:val="9"/>
        <w:rPr>
          <w:rFonts w:ascii="宋体" w:hAnsi="宋体"/>
          <w:bCs/>
          <w:color w:val="auto"/>
          <w:szCs w:val="28"/>
          <w:highlight w:val="none"/>
        </w:rPr>
      </w:pPr>
    </w:p>
    <w:p w14:paraId="6D98D2E9">
      <w:pPr>
        <w:pStyle w:val="43"/>
        <w:outlineLvl w:val="9"/>
        <w:rPr>
          <w:rFonts w:ascii="宋体" w:hAnsi="宋体"/>
          <w:bCs/>
          <w:color w:val="auto"/>
          <w:szCs w:val="28"/>
          <w:highlight w:val="none"/>
        </w:rPr>
      </w:pPr>
    </w:p>
    <w:p w14:paraId="529EAAF8">
      <w:pPr>
        <w:pStyle w:val="43"/>
        <w:outlineLvl w:val="9"/>
        <w:rPr>
          <w:rFonts w:ascii="宋体" w:hAnsi="宋体"/>
          <w:bCs/>
          <w:color w:val="auto"/>
          <w:szCs w:val="28"/>
          <w:highlight w:val="none"/>
        </w:rPr>
      </w:pPr>
    </w:p>
    <w:p w14:paraId="71A282F4">
      <w:pPr>
        <w:pStyle w:val="43"/>
        <w:outlineLvl w:val="9"/>
        <w:rPr>
          <w:rFonts w:ascii="宋体" w:hAnsi="宋体"/>
          <w:bCs/>
          <w:color w:val="auto"/>
          <w:szCs w:val="28"/>
          <w:highlight w:val="none"/>
        </w:rPr>
      </w:pPr>
    </w:p>
    <w:p w14:paraId="7928FED2">
      <w:pPr>
        <w:pStyle w:val="43"/>
        <w:outlineLvl w:val="9"/>
        <w:rPr>
          <w:rFonts w:ascii="宋体" w:hAnsi="宋体"/>
          <w:bCs/>
          <w:color w:val="auto"/>
          <w:szCs w:val="28"/>
          <w:highlight w:val="none"/>
        </w:rPr>
      </w:pPr>
    </w:p>
    <w:p w14:paraId="00BB7EA3">
      <w:pPr>
        <w:pStyle w:val="43"/>
        <w:outlineLvl w:val="9"/>
        <w:rPr>
          <w:rFonts w:ascii="宋体" w:hAnsi="宋体"/>
          <w:bCs/>
          <w:color w:val="auto"/>
          <w:szCs w:val="28"/>
          <w:highlight w:val="none"/>
        </w:rPr>
      </w:pPr>
    </w:p>
    <w:p w14:paraId="19B40DB7">
      <w:pPr>
        <w:pStyle w:val="43"/>
        <w:outlineLvl w:val="9"/>
        <w:rPr>
          <w:rFonts w:ascii="宋体" w:hAnsi="宋体"/>
          <w:bCs/>
          <w:color w:val="auto"/>
          <w:szCs w:val="28"/>
          <w:highlight w:val="none"/>
        </w:rPr>
      </w:pPr>
    </w:p>
    <w:p w14:paraId="7F872420">
      <w:pPr>
        <w:pStyle w:val="43"/>
        <w:outlineLvl w:val="9"/>
        <w:rPr>
          <w:rFonts w:ascii="宋体" w:hAnsi="宋体"/>
          <w:bCs/>
          <w:color w:val="auto"/>
          <w:szCs w:val="28"/>
          <w:highlight w:val="none"/>
        </w:rPr>
      </w:pPr>
    </w:p>
    <w:p w14:paraId="6B700939">
      <w:pPr>
        <w:pStyle w:val="43"/>
        <w:outlineLvl w:val="9"/>
        <w:rPr>
          <w:rFonts w:ascii="宋体" w:hAnsi="宋体"/>
          <w:bCs/>
          <w:color w:val="auto"/>
          <w:szCs w:val="28"/>
          <w:highlight w:val="none"/>
        </w:rPr>
      </w:pPr>
    </w:p>
    <w:p w14:paraId="048B82EE">
      <w:pPr>
        <w:pStyle w:val="43"/>
        <w:outlineLvl w:val="9"/>
        <w:rPr>
          <w:rFonts w:ascii="宋体" w:hAnsi="宋体"/>
          <w:bCs/>
          <w:color w:val="auto"/>
          <w:szCs w:val="28"/>
          <w:highlight w:val="none"/>
        </w:rPr>
      </w:pPr>
    </w:p>
    <w:p w14:paraId="2BE99EF1">
      <w:pPr>
        <w:pStyle w:val="43"/>
        <w:outlineLvl w:val="9"/>
        <w:rPr>
          <w:rFonts w:ascii="宋体" w:hAnsi="宋体"/>
          <w:bCs/>
          <w:color w:val="auto"/>
          <w:szCs w:val="28"/>
          <w:highlight w:val="none"/>
        </w:rPr>
      </w:pPr>
    </w:p>
    <w:p w14:paraId="36290E9E">
      <w:pPr>
        <w:pStyle w:val="43"/>
        <w:outlineLvl w:val="9"/>
        <w:rPr>
          <w:rFonts w:ascii="宋体" w:hAnsi="宋体"/>
          <w:bCs/>
          <w:color w:val="auto"/>
          <w:szCs w:val="28"/>
          <w:highlight w:val="none"/>
        </w:rPr>
      </w:pPr>
    </w:p>
    <w:p w14:paraId="5D3A8417">
      <w:pPr>
        <w:pStyle w:val="43"/>
        <w:outlineLvl w:val="9"/>
        <w:rPr>
          <w:rFonts w:ascii="宋体" w:hAnsi="宋体"/>
          <w:bCs/>
          <w:color w:val="auto"/>
          <w:szCs w:val="28"/>
          <w:highlight w:val="none"/>
        </w:rPr>
      </w:pPr>
    </w:p>
    <w:p w14:paraId="4A04672C">
      <w:pPr>
        <w:pStyle w:val="43"/>
        <w:outlineLvl w:val="9"/>
        <w:rPr>
          <w:rFonts w:ascii="宋体" w:hAnsi="宋体"/>
          <w:bCs/>
          <w:color w:val="auto"/>
          <w:szCs w:val="28"/>
          <w:highlight w:val="none"/>
        </w:rPr>
      </w:pPr>
    </w:p>
    <w:p w14:paraId="7404A90B">
      <w:pPr>
        <w:pStyle w:val="43"/>
        <w:outlineLvl w:val="9"/>
        <w:rPr>
          <w:rFonts w:ascii="宋体" w:hAnsi="宋体"/>
          <w:bCs/>
          <w:color w:val="auto"/>
          <w:szCs w:val="28"/>
          <w:highlight w:val="none"/>
        </w:rPr>
      </w:pPr>
    </w:p>
    <w:p w14:paraId="0038823F">
      <w:pPr>
        <w:pStyle w:val="43"/>
        <w:outlineLvl w:val="9"/>
        <w:rPr>
          <w:rFonts w:ascii="宋体" w:hAnsi="宋体"/>
          <w:bCs/>
          <w:color w:val="auto"/>
          <w:szCs w:val="28"/>
          <w:highlight w:val="none"/>
        </w:rPr>
      </w:pPr>
    </w:p>
    <w:p w14:paraId="397F83E6">
      <w:pPr>
        <w:pStyle w:val="43"/>
        <w:outlineLvl w:val="9"/>
        <w:rPr>
          <w:rFonts w:ascii="宋体" w:hAnsi="宋体"/>
          <w:bCs/>
          <w:color w:val="auto"/>
          <w:szCs w:val="28"/>
          <w:highlight w:val="none"/>
        </w:rPr>
      </w:pPr>
    </w:p>
    <w:p w14:paraId="291B4F3F">
      <w:pPr>
        <w:pStyle w:val="43"/>
        <w:outlineLvl w:val="9"/>
        <w:rPr>
          <w:rFonts w:ascii="宋体" w:hAnsi="宋体"/>
          <w:bCs/>
          <w:color w:val="auto"/>
          <w:szCs w:val="28"/>
          <w:highlight w:val="none"/>
        </w:rPr>
      </w:pPr>
    </w:p>
    <w:p w14:paraId="5B0E5E9E">
      <w:pPr>
        <w:pStyle w:val="43"/>
        <w:outlineLvl w:val="9"/>
        <w:rPr>
          <w:rFonts w:ascii="宋体" w:hAnsi="宋体"/>
          <w:bCs/>
          <w:color w:val="auto"/>
          <w:szCs w:val="28"/>
          <w:highlight w:val="none"/>
        </w:rPr>
      </w:pPr>
    </w:p>
    <w:p w14:paraId="4BB68DFF">
      <w:pPr>
        <w:pageBreakBefore w:val="0"/>
        <w:numPr>
          <w:ilvl w:val="0"/>
          <w:numId w:val="0"/>
        </w:numPr>
        <w:tabs>
          <w:tab w:val="left" w:pos="425"/>
        </w:tabs>
        <w:kinsoku w:val="0"/>
        <w:wordWrap/>
        <w:overflowPunct w:val="0"/>
        <w:topLinePunct w:val="0"/>
        <w:bidi w:val="0"/>
        <w:spacing w:beforeLines="0" w:afterLines="0" w:line="360" w:lineRule="auto"/>
        <w:ind w:leftChars="0"/>
        <w:jc w:val="center"/>
        <w:outlineLvl w:val="0"/>
        <w:rPr>
          <w:rFonts w:hint="eastAsia" w:ascii="宋体" w:hAnsi="宋体" w:eastAsia="宋体" w:cs="仿宋"/>
          <w:b/>
          <w:bCs/>
          <w:color w:val="auto"/>
          <w:kern w:val="0"/>
          <w:sz w:val="32"/>
          <w:szCs w:val="32"/>
          <w:highlight w:val="none"/>
          <w:lang w:val="en-US" w:eastAsia="zh-CN" w:bidi="ar-SA"/>
        </w:rPr>
      </w:pPr>
      <w:bookmarkStart w:id="0" w:name="_Toc27695"/>
      <w:r>
        <w:rPr>
          <w:rFonts w:hint="eastAsia" w:ascii="宋体" w:hAnsi="宋体" w:eastAsia="宋体" w:cs="仿宋"/>
          <w:b/>
          <w:bCs/>
          <w:color w:val="auto"/>
          <w:kern w:val="0"/>
          <w:sz w:val="32"/>
          <w:szCs w:val="32"/>
          <w:highlight w:val="none"/>
          <w:lang w:val="en-US" w:eastAsia="zh-CN" w:bidi="ar-SA"/>
        </w:rPr>
        <w:t>第一章 竞争性磋商公告</w:t>
      </w:r>
      <w:bookmarkEnd w:id="0"/>
    </w:p>
    <w:tbl>
      <w:tblPr>
        <w:tblStyle w:val="45"/>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0"/>
      </w:tblGrid>
      <w:tr w14:paraId="583A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0" w:type="dxa"/>
            <w:noWrap w:val="0"/>
            <w:vAlign w:val="center"/>
          </w:tcPr>
          <w:p w14:paraId="045CF07B">
            <w:pPr>
              <w:pageBreakBefore w:val="0"/>
              <w:topLinePunct w:val="0"/>
              <w:bidi w:val="0"/>
              <w:snapToGrid/>
              <w:spacing w:line="540" w:lineRule="exact"/>
              <w:ind w:firstLine="480" w:firstLineChars="200"/>
              <w:jc w:val="both"/>
              <w:textAlignment w:val="auto"/>
              <w:outlineLvl w:val="9"/>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项目情况</w:t>
            </w:r>
          </w:p>
          <w:p w14:paraId="3295B05A">
            <w:pPr>
              <w:pageBreakBefore w:val="0"/>
              <w:topLinePunct w:val="0"/>
              <w:bidi w:val="0"/>
              <w:snapToGrid/>
              <w:spacing w:line="540" w:lineRule="exact"/>
              <w:ind w:firstLine="480" w:firstLineChars="200"/>
              <w:jc w:val="both"/>
              <w:textAlignment w:val="auto"/>
              <w:outlineLvl w:val="9"/>
              <w:rPr>
                <w:rFonts w:hint="eastAsia" w:ascii="宋体" w:hAnsi="宋体" w:eastAsia="宋体" w:cs="宋体"/>
                <w:b w:val="0"/>
                <w:bCs w:val="0"/>
                <w:color w:val="auto"/>
                <w:highlight w:val="none"/>
                <w:u w:val="single"/>
                <w:vertAlign w:val="baseline"/>
                <w:lang w:val="en-US" w:eastAsia="zh-CN"/>
              </w:rPr>
            </w:pPr>
            <w:r>
              <w:rPr>
                <w:rFonts w:hint="eastAsia" w:ascii="宋体" w:hAnsi="宋体" w:cs="宋体"/>
                <w:color w:val="auto"/>
                <w:szCs w:val="22"/>
                <w:highlight w:val="none"/>
                <w:u w:val="single"/>
                <w:vertAlign w:val="baseline"/>
                <w:lang w:val="zh-CN" w:eastAsia="zh-CN"/>
              </w:rPr>
              <w:t>海西州2024年提前批义务教育薄弱环节改善与能力提升“因素法”项目--信息化设备采购</w:t>
            </w:r>
            <w:r>
              <w:rPr>
                <w:rFonts w:hint="eastAsia" w:ascii="宋体" w:hAnsi="宋体" w:eastAsia="宋体" w:cs="宋体"/>
                <w:color w:val="auto"/>
                <w:highlight w:val="none"/>
                <w:u w:val="none"/>
                <w:vertAlign w:val="baseline"/>
                <w:lang w:val="en-US" w:eastAsia="zh-CN"/>
              </w:rPr>
              <w:t>的潜在供应商应登录政采云平台</w:t>
            </w:r>
            <w:r>
              <w:rPr>
                <w:rFonts w:hint="eastAsia" w:ascii="宋体" w:hAnsi="宋体" w:eastAsia="宋体" w:cs="宋体"/>
                <w:b w:val="0"/>
                <w:bCs w:val="0"/>
                <w:color w:val="auto"/>
                <w:highlight w:val="none"/>
                <w:u w:val="single"/>
                <w:vertAlign w:val="baseline"/>
                <w:lang w:val="en-US" w:eastAsia="zh-CN"/>
              </w:rPr>
              <w:t>https://www.zcygov.cn/</w:t>
            </w:r>
            <w:r>
              <w:rPr>
                <w:rFonts w:hint="eastAsia" w:ascii="宋体" w:hAnsi="宋体" w:eastAsia="宋体" w:cs="宋体"/>
                <w:color w:val="auto"/>
                <w:highlight w:val="none"/>
                <w:u w:val="none"/>
                <w:vertAlign w:val="baseline"/>
                <w:lang w:val="en-US" w:eastAsia="zh-CN"/>
              </w:rPr>
              <w:t>在线申请获取采购文件，并于</w:t>
            </w:r>
            <w:r>
              <w:rPr>
                <w:rFonts w:hint="eastAsia" w:ascii="宋体" w:hAnsi="宋体" w:cs="宋体"/>
                <w:b w:val="0"/>
                <w:bCs w:val="0"/>
                <w:color w:val="auto"/>
                <w:highlight w:val="none"/>
                <w:u w:val="single"/>
                <w:vertAlign w:val="baseline"/>
                <w:lang w:val="en-US" w:eastAsia="zh-CN"/>
              </w:rPr>
              <w:t>2024年08月15日09点00分</w:t>
            </w:r>
            <w:r>
              <w:rPr>
                <w:rFonts w:hint="eastAsia" w:ascii="宋体" w:hAnsi="宋体" w:eastAsia="宋体" w:cs="宋体"/>
                <w:b w:val="0"/>
                <w:bCs w:val="0"/>
                <w:color w:val="auto"/>
                <w:highlight w:val="none"/>
                <w:u w:val="single"/>
                <w:vertAlign w:val="baseline"/>
                <w:lang w:val="en-US" w:eastAsia="zh-CN"/>
              </w:rPr>
              <w:t>（</w:t>
            </w:r>
            <w:r>
              <w:rPr>
                <w:rFonts w:hint="eastAsia" w:ascii="宋体" w:hAnsi="宋体" w:eastAsia="宋体" w:cs="宋体"/>
                <w:b w:val="0"/>
                <w:bCs w:val="0"/>
                <w:color w:val="auto"/>
                <w:highlight w:val="none"/>
                <w:u w:val="none"/>
                <w:vertAlign w:val="baseline"/>
                <w:lang w:val="en-US" w:eastAsia="zh-CN"/>
              </w:rPr>
              <w:t>北京时间）前提交响应文件。</w:t>
            </w:r>
          </w:p>
        </w:tc>
      </w:tr>
    </w:tbl>
    <w:p w14:paraId="70815515">
      <w:pPr>
        <w:keepNext w:val="0"/>
        <w:keepLines w:val="0"/>
        <w:pageBreakBefore w:val="0"/>
        <w:numPr>
          <w:ilvl w:val="0"/>
          <w:numId w:val="7"/>
        </w:numPr>
        <w:kinsoku/>
        <w:wordWrap/>
        <w:overflowPunct/>
        <w:topLinePunct w:val="0"/>
        <w:bidi w:val="0"/>
        <w:snapToGrid/>
        <w:spacing w:line="500" w:lineRule="exac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项目基本情况</w:t>
      </w:r>
    </w:p>
    <w:p w14:paraId="2492269D">
      <w:pPr>
        <w:keepNext w:val="0"/>
        <w:keepLines w:val="0"/>
        <w:pageBreakBefore w:val="0"/>
        <w:kinsoku/>
        <w:wordWrap/>
        <w:overflowPunct/>
        <w:topLinePunct w:val="0"/>
        <w:bidi w:val="0"/>
        <w:snapToGrid/>
        <w:spacing w:line="500" w:lineRule="exact"/>
        <w:ind w:firstLine="480" w:firstLineChars="200"/>
        <w:jc w:val="both"/>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项目编号：</w:t>
      </w:r>
      <w:r>
        <w:rPr>
          <w:rFonts w:hint="eastAsia" w:ascii="宋体" w:hAnsi="宋体" w:cs="宋体"/>
          <w:color w:val="auto"/>
          <w:sz w:val="24"/>
          <w:szCs w:val="24"/>
          <w:highlight w:val="none"/>
          <w:lang w:val="zh-CN"/>
        </w:rPr>
        <w:t>青海宸晖竞磋（货物）2024-024号</w:t>
      </w:r>
    </w:p>
    <w:p w14:paraId="5EBD0F97">
      <w:pPr>
        <w:keepNext w:val="0"/>
        <w:keepLines w:val="0"/>
        <w:pageBreakBefore w:val="0"/>
        <w:kinsoku/>
        <w:wordWrap/>
        <w:overflowPunct/>
        <w:topLinePunct w:val="0"/>
        <w:bidi w:val="0"/>
        <w:snapToGrid/>
        <w:spacing w:line="500" w:lineRule="exact"/>
        <w:ind w:firstLine="480" w:firstLineChars="200"/>
        <w:jc w:val="both"/>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项目名称：</w:t>
      </w:r>
      <w:r>
        <w:rPr>
          <w:rFonts w:hint="eastAsia" w:ascii="宋体" w:hAnsi="宋体" w:cs="宋体"/>
          <w:color w:val="auto"/>
          <w:sz w:val="24"/>
          <w:szCs w:val="24"/>
          <w:highlight w:val="none"/>
          <w:lang w:val="zh-CN" w:eastAsia="zh-CN"/>
        </w:rPr>
        <w:t>海西州2024年提前批义务教育薄弱环节改善与能力提升“因素法”项目--信息化设备采购</w:t>
      </w:r>
      <w:r>
        <w:rPr>
          <w:rFonts w:hint="eastAsia" w:ascii="宋体" w:hAnsi="宋体" w:eastAsia="宋体" w:cs="宋体"/>
          <w:color w:val="auto"/>
          <w:sz w:val="24"/>
          <w:szCs w:val="24"/>
          <w:highlight w:val="none"/>
          <w:lang w:val="en-US" w:eastAsia="zh-CN"/>
        </w:rPr>
        <w:t xml:space="preserve"> </w:t>
      </w:r>
    </w:p>
    <w:p w14:paraId="6E6736F6">
      <w:pPr>
        <w:keepNext w:val="0"/>
        <w:keepLines w:val="0"/>
        <w:pageBreakBefore w:val="0"/>
        <w:kinsoku/>
        <w:wordWrap/>
        <w:overflowPunct/>
        <w:topLinePunct w:val="0"/>
        <w:bidi w:val="0"/>
        <w:snapToGrid/>
        <w:spacing w:line="500" w:lineRule="exact"/>
        <w:ind w:firstLine="480" w:firstLineChars="200"/>
        <w:jc w:val="both"/>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采购方式：</w:t>
      </w:r>
      <w:r>
        <w:rPr>
          <w:rFonts w:hint="eastAsia" w:ascii="宋体" w:hAnsi="宋体" w:eastAsia="宋体" w:cs="宋体"/>
          <w:color w:val="auto"/>
          <w:sz w:val="24"/>
          <w:szCs w:val="24"/>
          <w:highlight w:val="none"/>
          <w:vertAlign w:val="baseline"/>
          <w:lang w:val="en-US" w:eastAsia="zh-CN"/>
        </w:rPr>
        <w:sym w:font="Wingdings" w:char="00A8"/>
      </w:r>
      <w:r>
        <w:rPr>
          <w:rFonts w:hint="eastAsia" w:ascii="宋体" w:hAnsi="宋体" w:eastAsia="宋体" w:cs="宋体"/>
          <w:color w:val="auto"/>
          <w:sz w:val="24"/>
          <w:szCs w:val="24"/>
          <w:highlight w:val="none"/>
          <w:vertAlign w:val="baseline"/>
          <w:lang w:val="en-US" w:eastAsia="zh-CN"/>
        </w:rPr>
        <w:t>竞争性谈判</w:t>
      </w:r>
      <w:r>
        <w:rPr>
          <w:rFonts w:hint="eastAsia" w:ascii="宋体" w:hAnsi="宋体" w:eastAsia="宋体" w:cs="宋体"/>
          <w:color w:val="auto"/>
          <w:sz w:val="24"/>
          <w:szCs w:val="24"/>
          <w:highlight w:val="none"/>
          <w:vertAlign w:val="baseline"/>
          <w:lang w:val="en-US" w:eastAsia="zh-CN"/>
        </w:rPr>
        <w:sym w:font="Wingdings" w:char="00FE"/>
      </w:r>
      <w:r>
        <w:rPr>
          <w:rFonts w:hint="eastAsia" w:ascii="宋体" w:hAnsi="宋体" w:eastAsia="宋体" w:cs="宋体"/>
          <w:color w:val="auto"/>
          <w:sz w:val="24"/>
          <w:szCs w:val="24"/>
          <w:highlight w:val="none"/>
          <w:vertAlign w:val="baseline"/>
          <w:lang w:val="en-US" w:eastAsia="zh-CN"/>
        </w:rPr>
        <w:t>竞争性磋商</w:t>
      </w:r>
      <w:r>
        <w:rPr>
          <w:rFonts w:hint="eastAsia" w:ascii="宋体" w:hAnsi="宋体" w:eastAsia="宋体" w:cs="宋体"/>
          <w:color w:val="auto"/>
          <w:sz w:val="24"/>
          <w:szCs w:val="24"/>
          <w:highlight w:val="none"/>
          <w:vertAlign w:val="baseline"/>
          <w:lang w:val="en-US" w:eastAsia="zh-CN"/>
        </w:rPr>
        <w:sym w:font="Wingdings" w:char="00A8"/>
      </w:r>
      <w:r>
        <w:rPr>
          <w:rFonts w:hint="eastAsia" w:ascii="宋体" w:hAnsi="宋体" w:eastAsia="宋体" w:cs="宋体"/>
          <w:color w:val="auto"/>
          <w:sz w:val="24"/>
          <w:szCs w:val="24"/>
          <w:highlight w:val="none"/>
          <w:vertAlign w:val="baseline"/>
          <w:lang w:val="en-US" w:eastAsia="zh-CN"/>
        </w:rPr>
        <w:t>询价</w:t>
      </w:r>
    </w:p>
    <w:p w14:paraId="756DE7AA">
      <w:pPr>
        <w:keepNext w:val="0"/>
        <w:keepLines w:val="0"/>
        <w:pageBreakBefore w:val="0"/>
        <w:kinsoku/>
        <w:wordWrap/>
        <w:overflowPunct/>
        <w:topLinePunct w:val="0"/>
        <w:bidi w:val="0"/>
        <w:snapToGrid/>
        <w:spacing w:line="500" w:lineRule="exact"/>
        <w:ind w:firstLine="480" w:firstLineChars="200"/>
        <w:jc w:val="both"/>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预算金额：</w:t>
      </w:r>
      <w:r>
        <w:rPr>
          <w:rFonts w:hint="eastAsia" w:ascii="宋体" w:hAnsi="宋体" w:cs="宋体"/>
          <w:color w:val="auto"/>
          <w:sz w:val="24"/>
          <w:szCs w:val="24"/>
          <w:highlight w:val="none"/>
          <w:vertAlign w:val="baseline"/>
          <w:lang w:val="en-US" w:eastAsia="zh-CN"/>
        </w:rPr>
        <w:t>134万</w:t>
      </w:r>
      <w:r>
        <w:rPr>
          <w:rFonts w:hint="eastAsia" w:ascii="宋体" w:hAnsi="宋体" w:eastAsia="宋体" w:cs="宋体"/>
          <w:color w:val="auto"/>
          <w:sz w:val="24"/>
          <w:szCs w:val="24"/>
          <w:highlight w:val="none"/>
          <w:vertAlign w:val="baseline"/>
          <w:lang w:val="en-US" w:eastAsia="zh-CN"/>
        </w:rPr>
        <w:t>元</w:t>
      </w:r>
      <w:r>
        <w:rPr>
          <w:rFonts w:hint="eastAsia" w:ascii="宋体" w:hAnsi="宋体" w:eastAsia="宋体" w:cs="宋体"/>
          <w:color w:val="auto"/>
          <w:sz w:val="24"/>
          <w:szCs w:val="24"/>
          <w:highlight w:val="none"/>
          <w:lang w:val="en-US" w:eastAsia="zh-CN"/>
        </w:rPr>
        <w:t xml:space="preserve"> </w:t>
      </w:r>
      <w:bookmarkStart w:id="49" w:name="_GoBack"/>
      <w:bookmarkEnd w:id="49"/>
    </w:p>
    <w:p w14:paraId="0714E0CE">
      <w:pPr>
        <w:keepNext w:val="0"/>
        <w:keepLines w:val="0"/>
        <w:pageBreakBefore w:val="0"/>
        <w:kinsoku/>
        <w:wordWrap/>
        <w:overflowPunct/>
        <w:topLinePunct w:val="0"/>
        <w:bidi w:val="0"/>
        <w:snapToGrid/>
        <w:spacing w:line="500" w:lineRule="exact"/>
        <w:ind w:firstLine="480" w:firstLineChars="200"/>
        <w:jc w:val="both"/>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最高限价（如有）：</w:t>
      </w:r>
      <w:r>
        <w:rPr>
          <w:rFonts w:hint="eastAsia" w:ascii="宋体" w:hAnsi="宋体" w:cs="宋体"/>
          <w:color w:val="auto"/>
          <w:sz w:val="24"/>
          <w:szCs w:val="24"/>
          <w:highlight w:val="none"/>
          <w:vertAlign w:val="baseline"/>
          <w:lang w:val="en-US" w:eastAsia="zh-CN"/>
        </w:rPr>
        <w:t>包一：63万</w:t>
      </w:r>
      <w:r>
        <w:rPr>
          <w:rFonts w:hint="eastAsia" w:ascii="宋体" w:hAnsi="宋体" w:eastAsia="宋体" w:cs="宋体"/>
          <w:color w:val="auto"/>
          <w:sz w:val="24"/>
          <w:szCs w:val="24"/>
          <w:highlight w:val="none"/>
          <w:vertAlign w:val="baseline"/>
          <w:lang w:val="en-US" w:eastAsia="zh-CN"/>
        </w:rPr>
        <w:t>元</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；包二：50万元；包三：21万元；</w:t>
      </w:r>
    </w:p>
    <w:p w14:paraId="028A5143">
      <w:pPr>
        <w:keepNext w:val="0"/>
        <w:keepLines w:val="0"/>
        <w:pageBreakBefore w:val="0"/>
        <w:kinsoku/>
        <w:wordWrap/>
        <w:overflowPunct/>
        <w:topLinePunct w:val="0"/>
        <w:bidi w:val="0"/>
        <w:snapToGrid/>
        <w:spacing w:line="500" w:lineRule="exact"/>
        <w:ind w:firstLine="480" w:firstLineChars="200"/>
        <w:jc w:val="both"/>
        <w:textAlignment w:val="auto"/>
        <w:outlineLvl w:val="9"/>
        <w:rPr>
          <w:rFonts w:hint="eastAsia" w:ascii="宋体" w:hAnsi="宋体" w:eastAsia="宋体" w:cs="宋体"/>
          <w:i w:val="0"/>
          <w:caps w:val="0"/>
          <w:color w:val="auto"/>
          <w:spacing w:val="0"/>
          <w:sz w:val="24"/>
          <w:szCs w:val="24"/>
          <w:highlight w:val="none"/>
          <w:lang w:eastAsia="zh-CN"/>
        </w:rPr>
      </w:pPr>
      <w:r>
        <w:rPr>
          <w:rFonts w:hint="eastAsia" w:ascii="宋体" w:hAnsi="宋体" w:eastAsia="宋体" w:cs="宋体"/>
          <w:color w:val="auto"/>
          <w:sz w:val="24"/>
          <w:szCs w:val="24"/>
          <w:highlight w:val="none"/>
          <w:vertAlign w:val="baseline"/>
          <w:lang w:val="en-US" w:eastAsia="zh-CN"/>
        </w:rPr>
        <w:t>采购需求：（</w:t>
      </w:r>
      <w:r>
        <w:rPr>
          <w:rFonts w:hint="eastAsia" w:ascii="宋体" w:hAnsi="宋体" w:eastAsia="宋体" w:cs="宋体"/>
          <w:i w:val="0"/>
          <w:caps w:val="0"/>
          <w:color w:val="auto"/>
          <w:spacing w:val="0"/>
          <w:sz w:val="24"/>
          <w:szCs w:val="24"/>
          <w:highlight w:val="none"/>
          <w:lang w:eastAsia="zh-CN"/>
        </w:rPr>
        <w:t>具体详见磋商文件）；</w:t>
      </w:r>
    </w:p>
    <w:tbl>
      <w:tblPr>
        <w:tblStyle w:val="44"/>
        <w:tblW w:w="9309"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3"/>
        <w:gridCol w:w="2800"/>
        <w:gridCol w:w="846"/>
        <w:gridCol w:w="1377"/>
        <w:gridCol w:w="818"/>
        <w:gridCol w:w="1775"/>
        <w:gridCol w:w="820"/>
      </w:tblGrid>
      <w:tr w14:paraId="7BC8E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0" w:hRule="atLeast"/>
          <w:tblCellSpacing w:w="0" w:type="dxa"/>
          <w:jc w:val="center"/>
        </w:trPr>
        <w:tc>
          <w:tcPr>
            <w:tcW w:w="873"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2E3D28A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right="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序号</w:t>
            </w:r>
          </w:p>
        </w:tc>
        <w:tc>
          <w:tcPr>
            <w:tcW w:w="2800"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2D5259D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right="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标项名称</w:t>
            </w:r>
          </w:p>
        </w:tc>
        <w:tc>
          <w:tcPr>
            <w:tcW w:w="846"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7CE171D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right="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数量</w:t>
            </w:r>
          </w:p>
        </w:tc>
        <w:tc>
          <w:tcPr>
            <w:tcW w:w="1377"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43A02E0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right="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预算金额</w:t>
            </w:r>
          </w:p>
        </w:tc>
        <w:tc>
          <w:tcPr>
            <w:tcW w:w="818"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1F0D856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right="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单位</w:t>
            </w:r>
          </w:p>
        </w:tc>
        <w:tc>
          <w:tcPr>
            <w:tcW w:w="1775"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3CA7BB7D">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right="0" w:firstLine="0" w:firstLineChars="0"/>
              <w:jc w:val="center"/>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简要</w:t>
            </w:r>
          </w:p>
          <w:p w14:paraId="427452CF">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right="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规格描述</w:t>
            </w:r>
          </w:p>
        </w:tc>
        <w:tc>
          <w:tcPr>
            <w:tcW w:w="820"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49DEF395">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right="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备注</w:t>
            </w:r>
          </w:p>
        </w:tc>
      </w:tr>
      <w:tr w14:paraId="5E1C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4" w:hRule="atLeast"/>
          <w:tblCellSpacing w:w="0" w:type="dxa"/>
          <w:jc w:val="center"/>
        </w:trPr>
        <w:tc>
          <w:tcPr>
            <w:tcW w:w="873"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1988A0E1">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right="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1</w:t>
            </w:r>
          </w:p>
        </w:tc>
        <w:tc>
          <w:tcPr>
            <w:tcW w:w="2800"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7A368E3D">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right="0" w:firstLine="0" w:firstLineChars="0"/>
              <w:jc w:val="center"/>
              <w:textAlignment w:val="auto"/>
              <w:outlineLvl w:val="9"/>
              <w:rPr>
                <w:rFonts w:hint="eastAsia" w:ascii="宋体" w:hAnsi="宋体" w:eastAsia="宋体" w:cs="宋体"/>
                <w:color w:val="auto"/>
                <w:sz w:val="24"/>
                <w:szCs w:val="24"/>
                <w:highlight w:val="none"/>
              </w:rPr>
            </w:pPr>
            <w:r>
              <w:rPr>
                <w:rFonts w:hint="eastAsia" w:cs="宋体"/>
                <w:color w:val="auto"/>
                <w:sz w:val="24"/>
                <w:szCs w:val="24"/>
                <w:highlight w:val="none"/>
                <w:lang w:val="zh-CN" w:eastAsia="zh-CN"/>
              </w:rPr>
              <w:t>海西州2024年提前批义务教育薄弱环节改善与能力提升“因素法”项目--信息化设备采购</w:t>
            </w:r>
            <w:r>
              <w:rPr>
                <w:rFonts w:hint="eastAsia" w:ascii="宋体" w:hAnsi="宋体" w:cs="宋体"/>
                <w:color w:val="auto"/>
                <w:sz w:val="24"/>
                <w:szCs w:val="24"/>
                <w:highlight w:val="none"/>
                <w:vertAlign w:val="baseline"/>
                <w:lang w:val="en-US" w:eastAsia="zh-CN"/>
              </w:rPr>
              <w:t>包一</w:t>
            </w:r>
          </w:p>
        </w:tc>
        <w:tc>
          <w:tcPr>
            <w:tcW w:w="846"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6A7D0E9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right="0" w:firstLine="0" w:firstLineChars="0"/>
              <w:jc w:val="center"/>
              <w:textAlignment w:val="auto"/>
              <w:outlineLvl w:val="9"/>
              <w:rPr>
                <w:rFonts w:hint="eastAsia" w:ascii="宋体" w:hAnsi="宋体" w:eastAsia="宋体" w:cs="宋体"/>
                <w:i w:val="0"/>
                <w:caps w:val="0"/>
                <w:color w:val="auto"/>
                <w:spacing w:val="0"/>
                <w:sz w:val="24"/>
                <w:szCs w:val="24"/>
                <w:highlight w:val="none"/>
                <w:lang w:val="zh-CN" w:eastAsia="zh-CN"/>
              </w:rPr>
            </w:pPr>
            <w:r>
              <w:rPr>
                <w:rFonts w:hint="eastAsia" w:ascii="宋体" w:hAnsi="宋体" w:eastAsia="宋体" w:cs="宋体"/>
                <w:i w:val="0"/>
                <w:caps w:val="0"/>
                <w:color w:val="auto"/>
                <w:spacing w:val="0"/>
                <w:sz w:val="24"/>
                <w:szCs w:val="24"/>
                <w:highlight w:val="none"/>
                <w:lang w:val="en-US" w:eastAsia="zh-CN"/>
              </w:rPr>
              <w:t>1</w:t>
            </w:r>
          </w:p>
        </w:tc>
        <w:tc>
          <w:tcPr>
            <w:tcW w:w="1377"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2A909A3B">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right="0" w:firstLine="0" w:firstLineChars="0"/>
              <w:jc w:val="center"/>
              <w:textAlignment w:val="auto"/>
              <w:outlineLvl w:val="9"/>
              <w:rPr>
                <w:rFonts w:hint="eastAsia" w:ascii="宋体" w:hAnsi="宋体" w:eastAsia="宋体" w:cs="宋体"/>
                <w:i w:val="0"/>
                <w:caps w:val="0"/>
                <w:color w:val="auto"/>
                <w:spacing w:val="0"/>
                <w:sz w:val="24"/>
                <w:szCs w:val="24"/>
                <w:highlight w:val="none"/>
                <w:lang w:val="en-US" w:eastAsia="zh-CN"/>
              </w:rPr>
            </w:pPr>
            <w:r>
              <w:rPr>
                <w:rFonts w:hint="eastAsia" w:cs="宋体"/>
                <w:color w:val="auto"/>
                <w:sz w:val="24"/>
                <w:szCs w:val="24"/>
                <w:highlight w:val="none"/>
                <w:vertAlign w:val="baseline"/>
                <w:lang w:val="en-US" w:eastAsia="zh-CN"/>
              </w:rPr>
              <w:t>63.00</w:t>
            </w:r>
            <w:r>
              <w:rPr>
                <w:rFonts w:hint="eastAsia" w:ascii="宋体" w:hAnsi="宋体" w:eastAsia="宋体" w:cs="宋体"/>
                <w:color w:val="auto"/>
                <w:sz w:val="24"/>
                <w:szCs w:val="24"/>
                <w:highlight w:val="none"/>
                <w:vertAlign w:val="baseline"/>
                <w:lang w:val="en-US" w:eastAsia="zh-CN"/>
              </w:rPr>
              <w:t>万元</w:t>
            </w:r>
          </w:p>
        </w:tc>
        <w:tc>
          <w:tcPr>
            <w:tcW w:w="818"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4AFC493C">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right="0" w:firstLine="0" w:firstLineChars="0"/>
              <w:jc w:val="center"/>
              <w:textAlignment w:val="auto"/>
              <w:outlineLvl w:val="9"/>
              <w:rPr>
                <w:rFonts w:hint="eastAsia" w:ascii="宋体" w:hAnsi="宋体" w:eastAsia="宋体" w:cs="宋体"/>
                <w:i w:val="0"/>
                <w:caps w:val="0"/>
                <w:color w:val="auto"/>
                <w:spacing w:val="0"/>
                <w:sz w:val="24"/>
                <w:szCs w:val="24"/>
                <w:highlight w:val="none"/>
                <w:lang w:eastAsia="zh-CN"/>
              </w:rPr>
            </w:pPr>
            <w:r>
              <w:rPr>
                <w:rFonts w:hint="eastAsia" w:ascii="宋体" w:hAnsi="宋体" w:eastAsia="宋体" w:cs="宋体"/>
                <w:i w:val="0"/>
                <w:caps w:val="0"/>
                <w:color w:val="auto"/>
                <w:spacing w:val="0"/>
                <w:sz w:val="24"/>
                <w:szCs w:val="24"/>
                <w:highlight w:val="none"/>
                <w:lang w:eastAsia="zh-CN"/>
              </w:rPr>
              <w:t>项</w:t>
            </w:r>
          </w:p>
        </w:tc>
        <w:tc>
          <w:tcPr>
            <w:tcW w:w="1775"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779E4C0F">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right="0" w:firstLine="0" w:firstLine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具体详见</w:t>
            </w:r>
            <w:r>
              <w:rPr>
                <w:rFonts w:hint="eastAsia" w:cs="宋体"/>
                <w:color w:val="auto"/>
                <w:sz w:val="24"/>
                <w:szCs w:val="24"/>
                <w:highlight w:val="none"/>
                <w:lang w:val="en-US" w:eastAsia="zh-CN"/>
              </w:rPr>
              <w:t>竞争性磋商文件</w:t>
            </w:r>
          </w:p>
        </w:tc>
        <w:tc>
          <w:tcPr>
            <w:tcW w:w="820"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6E0F33A3">
            <w:pPr>
              <w:keepNext w:val="0"/>
              <w:keepLines w:val="0"/>
              <w:pageBreakBefore w:val="0"/>
              <w:widowControl/>
              <w:suppressLineNumbers w:val="0"/>
              <w:kinsoku/>
              <w:wordWrap/>
              <w:overflowPunct/>
              <w:topLinePunct w:val="0"/>
              <w:autoSpaceDE/>
              <w:autoSpaceDN/>
              <w:bidi w:val="0"/>
              <w:adjustRightInd/>
              <w:snapToGrid/>
              <w:spacing w:line="500" w:lineRule="exact"/>
              <w:ind w:left="0" w:firstLine="0" w:firstLineChars="0"/>
              <w:jc w:val="center"/>
              <w:textAlignment w:val="auto"/>
              <w:outlineLvl w:val="9"/>
              <w:rPr>
                <w:rFonts w:hint="default" w:ascii="宋体" w:hAnsi="宋体" w:eastAsia="宋体" w:cs="宋体"/>
                <w:i w:val="0"/>
                <w:caps w:val="0"/>
                <w:color w:val="auto"/>
                <w:spacing w:val="0"/>
                <w:sz w:val="24"/>
                <w:szCs w:val="24"/>
                <w:highlight w:val="none"/>
                <w:lang w:val="en-US" w:eastAsia="zh-CN"/>
              </w:rPr>
            </w:pPr>
            <w:r>
              <w:rPr>
                <w:rFonts w:hint="eastAsia" w:ascii="宋体" w:hAnsi="宋体" w:cs="宋体"/>
                <w:i w:val="0"/>
                <w:caps w:val="0"/>
                <w:color w:val="auto"/>
                <w:spacing w:val="0"/>
                <w:sz w:val="24"/>
                <w:szCs w:val="24"/>
                <w:highlight w:val="none"/>
                <w:lang w:val="en-US" w:eastAsia="zh-CN"/>
              </w:rPr>
              <w:t>/</w:t>
            </w:r>
          </w:p>
        </w:tc>
      </w:tr>
      <w:tr w14:paraId="2F21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4" w:hRule="atLeast"/>
          <w:tblCellSpacing w:w="0" w:type="dxa"/>
          <w:jc w:val="center"/>
        </w:trPr>
        <w:tc>
          <w:tcPr>
            <w:tcW w:w="873"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454791A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right="0" w:firstLine="0" w:firstLineChars="0"/>
              <w:jc w:val="center"/>
              <w:textAlignment w:val="auto"/>
              <w:outlineLvl w:val="9"/>
              <w:rPr>
                <w:rFonts w:hint="eastAsia" w:ascii="宋体" w:hAnsi="宋体" w:eastAsia="宋体" w:cs="宋体"/>
                <w:i w:val="0"/>
                <w:caps w:val="0"/>
                <w:color w:val="auto"/>
                <w:spacing w:val="0"/>
                <w:sz w:val="24"/>
                <w:szCs w:val="24"/>
                <w:highlight w:val="none"/>
                <w:lang w:val="en-US" w:eastAsia="zh-CN"/>
              </w:rPr>
            </w:pPr>
            <w:r>
              <w:rPr>
                <w:rFonts w:hint="eastAsia" w:cs="宋体"/>
                <w:i w:val="0"/>
                <w:caps w:val="0"/>
                <w:color w:val="auto"/>
                <w:spacing w:val="0"/>
                <w:sz w:val="24"/>
                <w:szCs w:val="24"/>
                <w:highlight w:val="none"/>
                <w:lang w:val="en-US" w:eastAsia="zh-CN"/>
              </w:rPr>
              <w:t>2</w:t>
            </w:r>
          </w:p>
        </w:tc>
        <w:tc>
          <w:tcPr>
            <w:tcW w:w="2800"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22719B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right="0" w:firstLine="0" w:firstLineChars="0"/>
              <w:jc w:val="center"/>
              <w:textAlignment w:val="auto"/>
              <w:outlineLvl w:val="9"/>
              <w:rPr>
                <w:rFonts w:hint="default" w:cs="宋体"/>
                <w:color w:val="auto"/>
                <w:sz w:val="24"/>
                <w:szCs w:val="24"/>
                <w:highlight w:val="none"/>
                <w:lang w:val="en-US" w:eastAsia="zh-CN"/>
              </w:rPr>
            </w:pPr>
            <w:r>
              <w:rPr>
                <w:rFonts w:hint="eastAsia" w:cs="宋体"/>
                <w:color w:val="auto"/>
                <w:sz w:val="24"/>
                <w:szCs w:val="24"/>
                <w:highlight w:val="none"/>
                <w:lang w:val="zh-CN" w:eastAsia="zh-CN"/>
              </w:rPr>
              <w:t>海西州2024年提前批义务教育薄弱环节改善与能力提升“因素法”项目--信息化设备采购</w:t>
            </w:r>
            <w:r>
              <w:rPr>
                <w:rFonts w:hint="eastAsia" w:ascii="宋体" w:hAnsi="宋体" w:cs="宋体"/>
                <w:color w:val="auto"/>
                <w:sz w:val="24"/>
                <w:szCs w:val="24"/>
                <w:highlight w:val="none"/>
                <w:vertAlign w:val="baseline"/>
                <w:lang w:val="en-US" w:eastAsia="zh-CN"/>
              </w:rPr>
              <w:t>包二</w:t>
            </w:r>
          </w:p>
        </w:tc>
        <w:tc>
          <w:tcPr>
            <w:tcW w:w="846"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13F5BAE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jc w:val="center"/>
              <w:textAlignment w:val="auto"/>
              <w:outlineLvl w:val="9"/>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1</w:t>
            </w:r>
          </w:p>
        </w:tc>
        <w:tc>
          <w:tcPr>
            <w:tcW w:w="1377"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20A537A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jc w:val="center"/>
              <w:textAlignment w:val="auto"/>
              <w:outlineLvl w:val="9"/>
              <w:rPr>
                <w:rFonts w:hint="eastAsia"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50.00</w:t>
            </w:r>
            <w:r>
              <w:rPr>
                <w:rFonts w:hint="eastAsia" w:ascii="宋体" w:hAnsi="宋体" w:eastAsia="宋体" w:cs="宋体"/>
                <w:color w:val="auto"/>
                <w:sz w:val="24"/>
                <w:szCs w:val="24"/>
                <w:highlight w:val="none"/>
                <w:vertAlign w:val="baseline"/>
                <w:lang w:val="en-US" w:eastAsia="zh-CN"/>
              </w:rPr>
              <w:t>万元</w:t>
            </w:r>
          </w:p>
        </w:tc>
        <w:tc>
          <w:tcPr>
            <w:tcW w:w="818"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2CDBDCCA">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jc w:val="center"/>
              <w:textAlignment w:val="auto"/>
              <w:outlineLvl w:val="9"/>
              <w:rPr>
                <w:rFonts w:hint="eastAsia" w:ascii="宋体" w:hAnsi="宋体" w:eastAsia="宋体" w:cs="宋体"/>
                <w:i w:val="0"/>
                <w:caps w:val="0"/>
                <w:color w:val="auto"/>
                <w:spacing w:val="0"/>
                <w:sz w:val="24"/>
                <w:szCs w:val="24"/>
                <w:highlight w:val="none"/>
                <w:lang w:eastAsia="zh-CN"/>
              </w:rPr>
            </w:pPr>
            <w:r>
              <w:rPr>
                <w:rFonts w:hint="eastAsia" w:ascii="宋体" w:hAnsi="宋体" w:eastAsia="宋体" w:cs="宋体"/>
                <w:i w:val="0"/>
                <w:caps w:val="0"/>
                <w:color w:val="auto"/>
                <w:spacing w:val="0"/>
                <w:sz w:val="24"/>
                <w:szCs w:val="24"/>
                <w:highlight w:val="none"/>
                <w:lang w:eastAsia="zh-CN"/>
              </w:rPr>
              <w:t>项</w:t>
            </w:r>
          </w:p>
        </w:tc>
        <w:tc>
          <w:tcPr>
            <w:tcW w:w="1775"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5963B8B1">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right="0" w:firstLine="0" w:firstLineChars="0"/>
              <w:jc w:val="center"/>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具体详见</w:t>
            </w:r>
            <w:r>
              <w:rPr>
                <w:rFonts w:hint="eastAsia" w:cs="宋体"/>
                <w:color w:val="auto"/>
                <w:sz w:val="24"/>
                <w:szCs w:val="24"/>
                <w:highlight w:val="none"/>
                <w:lang w:val="en-US" w:eastAsia="zh-CN"/>
              </w:rPr>
              <w:t>竞争性磋商文件</w:t>
            </w:r>
          </w:p>
        </w:tc>
        <w:tc>
          <w:tcPr>
            <w:tcW w:w="820"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4AB082BC">
            <w:pPr>
              <w:keepNext w:val="0"/>
              <w:keepLines w:val="0"/>
              <w:pageBreakBefore w:val="0"/>
              <w:widowControl/>
              <w:suppressLineNumbers w:val="0"/>
              <w:kinsoku/>
              <w:wordWrap/>
              <w:overflowPunct/>
              <w:topLinePunct w:val="0"/>
              <w:autoSpaceDE/>
              <w:autoSpaceDN/>
              <w:bidi w:val="0"/>
              <w:adjustRightInd/>
              <w:snapToGrid/>
              <w:spacing w:line="500" w:lineRule="exact"/>
              <w:ind w:left="0" w:firstLine="0" w:firstLineChars="0"/>
              <w:jc w:val="center"/>
              <w:textAlignment w:val="auto"/>
              <w:outlineLvl w:val="9"/>
              <w:rPr>
                <w:rFonts w:hint="eastAsia" w:ascii="宋体" w:hAnsi="宋体" w:cs="宋体"/>
                <w:i w:val="0"/>
                <w:caps w:val="0"/>
                <w:color w:val="auto"/>
                <w:spacing w:val="0"/>
                <w:sz w:val="24"/>
                <w:szCs w:val="24"/>
                <w:highlight w:val="none"/>
                <w:lang w:val="en-US" w:eastAsia="zh-CN"/>
              </w:rPr>
            </w:pPr>
          </w:p>
        </w:tc>
      </w:tr>
      <w:tr w14:paraId="3C071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4" w:hRule="atLeast"/>
          <w:tblCellSpacing w:w="0" w:type="dxa"/>
          <w:jc w:val="center"/>
        </w:trPr>
        <w:tc>
          <w:tcPr>
            <w:tcW w:w="873"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412ADAD6">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right="0" w:firstLine="0" w:firstLineChars="0"/>
              <w:jc w:val="center"/>
              <w:textAlignment w:val="auto"/>
              <w:outlineLvl w:val="9"/>
              <w:rPr>
                <w:rFonts w:hint="eastAsia" w:ascii="宋体" w:hAnsi="宋体" w:eastAsia="宋体" w:cs="宋体"/>
                <w:i w:val="0"/>
                <w:caps w:val="0"/>
                <w:color w:val="auto"/>
                <w:spacing w:val="0"/>
                <w:sz w:val="24"/>
                <w:szCs w:val="24"/>
                <w:highlight w:val="none"/>
              </w:rPr>
            </w:pPr>
          </w:p>
        </w:tc>
        <w:tc>
          <w:tcPr>
            <w:tcW w:w="2800"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653954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right="0" w:firstLine="0" w:firstLineChars="0"/>
              <w:jc w:val="center"/>
              <w:textAlignment w:val="auto"/>
              <w:outlineLvl w:val="9"/>
              <w:rPr>
                <w:rFonts w:hint="default" w:cs="宋体"/>
                <w:color w:val="auto"/>
                <w:sz w:val="24"/>
                <w:szCs w:val="24"/>
                <w:highlight w:val="none"/>
                <w:lang w:val="en-US" w:eastAsia="zh-CN"/>
              </w:rPr>
            </w:pPr>
            <w:r>
              <w:rPr>
                <w:rFonts w:hint="eastAsia" w:cs="宋体"/>
                <w:color w:val="auto"/>
                <w:sz w:val="24"/>
                <w:szCs w:val="24"/>
                <w:highlight w:val="none"/>
                <w:lang w:val="zh-CN" w:eastAsia="zh-CN"/>
              </w:rPr>
              <w:t>海西州2024年提前批义务教育薄弱环节改善与能力提升“因素法”项目--信息化设备采购</w:t>
            </w:r>
            <w:r>
              <w:rPr>
                <w:rFonts w:hint="eastAsia" w:ascii="宋体" w:hAnsi="宋体" w:cs="宋体"/>
                <w:color w:val="auto"/>
                <w:sz w:val="24"/>
                <w:szCs w:val="24"/>
                <w:highlight w:val="none"/>
                <w:vertAlign w:val="baseline"/>
                <w:lang w:val="en-US" w:eastAsia="zh-CN"/>
              </w:rPr>
              <w:t>包三</w:t>
            </w:r>
          </w:p>
        </w:tc>
        <w:tc>
          <w:tcPr>
            <w:tcW w:w="846"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7969F1D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jc w:val="center"/>
              <w:textAlignment w:val="auto"/>
              <w:outlineLvl w:val="9"/>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1</w:t>
            </w:r>
          </w:p>
        </w:tc>
        <w:tc>
          <w:tcPr>
            <w:tcW w:w="1377"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5D6D0C47">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jc w:val="center"/>
              <w:textAlignment w:val="auto"/>
              <w:outlineLvl w:val="9"/>
              <w:rPr>
                <w:rFonts w:hint="eastAsia"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21.00</w:t>
            </w:r>
            <w:r>
              <w:rPr>
                <w:rFonts w:hint="eastAsia" w:ascii="宋体" w:hAnsi="宋体" w:eastAsia="宋体" w:cs="宋体"/>
                <w:color w:val="auto"/>
                <w:sz w:val="24"/>
                <w:szCs w:val="24"/>
                <w:highlight w:val="none"/>
                <w:vertAlign w:val="baseline"/>
                <w:lang w:val="en-US" w:eastAsia="zh-CN"/>
              </w:rPr>
              <w:t>万元</w:t>
            </w:r>
          </w:p>
        </w:tc>
        <w:tc>
          <w:tcPr>
            <w:tcW w:w="818"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1DBD2D80">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0" w:firstLineChars="0"/>
              <w:jc w:val="center"/>
              <w:textAlignment w:val="auto"/>
              <w:outlineLvl w:val="9"/>
              <w:rPr>
                <w:rFonts w:hint="eastAsia" w:ascii="宋体" w:hAnsi="宋体" w:eastAsia="宋体" w:cs="宋体"/>
                <w:i w:val="0"/>
                <w:caps w:val="0"/>
                <w:color w:val="auto"/>
                <w:spacing w:val="0"/>
                <w:sz w:val="24"/>
                <w:szCs w:val="24"/>
                <w:highlight w:val="none"/>
                <w:lang w:eastAsia="zh-CN"/>
              </w:rPr>
            </w:pPr>
            <w:r>
              <w:rPr>
                <w:rFonts w:hint="eastAsia" w:ascii="宋体" w:hAnsi="宋体" w:eastAsia="宋体" w:cs="宋体"/>
                <w:i w:val="0"/>
                <w:caps w:val="0"/>
                <w:color w:val="auto"/>
                <w:spacing w:val="0"/>
                <w:sz w:val="24"/>
                <w:szCs w:val="24"/>
                <w:highlight w:val="none"/>
                <w:lang w:eastAsia="zh-CN"/>
              </w:rPr>
              <w:t>项</w:t>
            </w:r>
          </w:p>
        </w:tc>
        <w:tc>
          <w:tcPr>
            <w:tcW w:w="1775"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6E1DB11C">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0" w:right="0" w:firstLine="0" w:firstLineChars="0"/>
              <w:jc w:val="center"/>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具体详见</w:t>
            </w:r>
            <w:r>
              <w:rPr>
                <w:rFonts w:hint="eastAsia" w:cs="宋体"/>
                <w:color w:val="auto"/>
                <w:sz w:val="24"/>
                <w:szCs w:val="24"/>
                <w:highlight w:val="none"/>
                <w:lang w:val="en-US" w:eastAsia="zh-CN"/>
              </w:rPr>
              <w:t>竞争性磋商文件</w:t>
            </w:r>
          </w:p>
        </w:tc>
        <w:tc>
          <w:tcPr>
            <w:tcW w:w="820"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792864C3">
            <w:pPr>
              <w:keepNext w:val="0"/>
              <w:keepLines w:val="0"/>
              <w:pageBreakBefore w:val="0"/>
              <w:widowControl/>
              <w:suppressLineNumbers w:val="0"/>
              <w:kinsoku/>
              <w:wordWrap/>
              <w:overflowPunct/>
              <w:topLinePunct w:val="0"/>
              <w:autoSpaceDE/>
              <w:autoSpaceDN/>
              <w:bidi w:val="0"/>
              <w:adjustRightInd/>
              <w:snapToGrid/>
              <w:spacing w:line="500" w:lineRule="exact"/>
              <w:ind w:left="0" w:firstLine="0" w:firstLineChars="0"/>
              <w:jc w:val="center"/>
              <w:textAlignment w:val="auto"/>
              <w:outlineLvl w:val="9"/>
              <w:rPr>
                <w:rFonts w:hint="eastAsia" w:ascii="宋体" w:hAnsi="宋体" w:cs="宋体"/>
                <w:i w:val="0"/>
                <w:caps w:val="0"/>
                <w:color w:val="auto"/>
                <w:spacing w:val="0"/>
                <w:sz w:val="24"/>
                <w:szCs w:val="24"/>
                <w:highlight w:val="none"/>
                <w:lang w:val="en-US" w:eastAsia="zh-CN"/>
              </w:rPr>
            </w:pPr>
          </w:p>
        </w:tc>
      </w:tr>
    </w:tbl>
    <w:p w14:paraId="7B64B44D">
      <w:pPr>
        <w:keepNext w:val="0"/>
        <w:keepLines w:val="0"/>
        <w:pageBreakBefore w:val="0"/>
        <w:kinsoku/>
        <w:wordWrap/>
        <w:overflowPunct/>
        <w:topLinePunct w:val="0"/>
        <w:bidi w:val="0"/>
        <w:snapToGrid/>
        <w:spacing w:line="500" w:lineRule="exact"/>
        <w:ind w:firstLine="480" w:firstLineChars="200"/>
        <w:jc w:val="both"/>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合同履约期限</w:t>
      </w:r>
      <w:r>
        <w:rPr>
          <w:rFonts w:hint="eastAsia" w:ascii="宋体" w:hAnsi="宋体" w:eastAsia="宋体" w:cs="宋体"/>
          <w:color w:val="auto"/>
          <w:sz w:val="24"/>
          <w:szCs w:val="24"/>
          <w:highlight w:val="none"/>
          <w:vertAlign w:val="baseline"/>
          <w:lang w:val="en-US" w:eastAsia="zh-CN"/>
        </w:rPr>
        <w:t>：20个工作日；</w:t>
      </w:r>
    </w:p>
    <w:p w14:paraId="6DEA5229">
      <w:pPr>
        <w:keepNext w:val="0"/>
        <w:keepLines w:val="0"/>
        <w:pageBreakBefore w:val="0"/>
        <w:kinsoku/>
        <w:wordWrap/>
        <w:overflowPunct/>
        <w:topLinePunct w:val="0"/>
        <w:bidi w:val="0"/>
        <w:snapToGrid/>
        <w:spacing w:line="500" w:lineRule="exact"/>
        <w:ind w:firstLine="480" w:firstLineChars="200"/>
        <w:jc w:val="both"/>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本项目不接受联合体。</w:t>
      </w:r>
    </w:p>
    <w:p w14:paraId="1F0A3F94">
      <w:pPr>
        <w:keepNext w:val="0"/>
        <w:keepLines w:val="0"/>
        <w:pageBreakBefore w:val="0"/>
        <w:numPr>
          <w:ilvl w:val="0"/>
          <w:numId w:val="7"/>
        </w:numPr>
        <w:tabs>
          <w:tab w:val="left" w:pos="5520"/>
        </w:tabs>
        <w:kinsoku/>
        <w:wordWrap/>
        <w:overflowPunct/>
        <w:topLinePunct w:val="0"/>
        <w:bidi w:val="0"/>
        <w:snapToGrid/>
        <w:spacing w:line="500" w:lineRule="exac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申请人的资格要求</w:t>
      </w:r>
    </w:p>
    <w:p w14:paraId="05B3C608">
      <w:pPr>
        <w:keepNext w:val="0"/>
        <w:keepLines w:val="0"/>
        <w:pageBreakBefore w:val="0"/>
        <w:numPr>
          <w:ilvl w:val="0"/>
          <w:numId w:val="8"/>
        </w:numPr>
        <w:kinsoku/>
        <w:wordWrap/>
        <w:overflowPunct/>
        <w:topLinePunct w:val="0"/>
        <w:bidi w:val="0"/>
        <w:snapToGrid/>
        <w:spacing w:line="500" w:lineRule="exact"/>
        <w:textAlignment w:val="auto"/>
        <w:outlineLvl w:val="9"/>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lang w:val="zh-CN"/>
        </w:rPr>
        <w:t>满足《中华人民共和国政府采购法》第二十二条规定；</w:t>
      </w:r>
    </w:p>
    <w:p w14:paraId="04F45954">
      <w:pPr>
        <w:spacing w:line="540" w:lineRule="exact"/>
        <w:ind w:firstLine="480"/>
        <w:rPr>
          <w:rFonts w:hint="default" w:ascii="宋体" w:hAnsi="宋体" w:eastAsia="宋体" w:cs="宋体"/>
          <w:color w:val="auto"/>
          <w:highlight w:val="none"/>
          <w:lang w:val="en-US" w:eastAsia="zh-CN"/>
        </w:rPr>
      </w:pPr>
      <w:r>
        <w:rPr>
          <w:rFonts w:hint="eastAsia" w:ascii="宋体" w:hAnsi="宋体" w:eastAsia="宋体" w:cs="宋体"/>
          <w:color w:val="auto"/>
          <w:sz w:val="24"/>
          <w:szCs w:val="24"/>
          <w:highlight w:val="none"/>
          <w:u w:val="none"/>
          <w:lang w:val="zh-CN"/>
        </w:rPr>
        <w:t>落实政府采购政策需满足的资格要求：</w:t>
      </w:r>
      <w:r>
        <w:rPr>
          <w:rFonts w:hint="eastAsia" w:ascii="宋体" w:hAnsi="宋体" w:cs="宋体"/>
          <w:color w:val="auto"/>
          <w:szCs w:val="22"/>
          <w:highlight w:val="none"/>
          <w:lang w:val="en-US" w:eastAsia="zh-CN"/>
        </w:rPr>
        <w:t>/</w:t>
      </w:r>
      <w:r>
        <w:rPr>
          <w:rFonts w:hint="eastAsia" w:ascii="宋体" w:hAnsi="宋体" w:cs="宋体"/>
          <w:color w:val="auto"/>
          <w:szCs w:val="22"/>
          <w:highlight w:val="none"/>
          <w:lang w:val="zh-CN"/>
        </w:rPr>
        <w:t>；</w:t>
      </w:r>
    </w:p>
    <w:p w14:paraId="1BCCAE1E">
      <w:pPr>
        <w:keepNext w:val="0"/>
        <w:keepLines w:val="0"/>
        <w:pageBreakBefore w:val="0"/>
        <w:numPr>
          <w:ilvl w:val="0"/>
          <w:numId w:val="8"/>
        </w:numPr>
        <w:kinsoku/>
        <w:wordWrap/>
        <w:overflowPunct/>
        <w:topLinePunct w:val="0"/>
        <w:bidi w:val="0"/>
        <w:snapToGrid/>
        <w:spacing w:line="500" w:lineRule="exact"/>
        <w:textAlignment w:val="auto"/>
        <w:outlineLvl w:val="9"/>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lang w:val="zh-CN"/>
        </w:rPr>
        <w:t>本项目的特定资格要求：</w:t>
      </w:r>
    </w:p>
    <w:p w14:paraId="1417143E">
      <w:pPr>
        <w:keepNext w:val="0"/>
        <w:keepLines w:val="0"/>
        <w:pageBreakBefore w:val="0"/>
        <w:kinsoku/>
        <w:wordWrap/>
        <w:overflowPunct/>
        <w:topLinePunct w:val="0"/>
        <w:bidi w:val="0"/>
        <w:snapToGrid/>
        <w:spacing w:line="500" w:lineRule="exact"/>
        <w:textAlignment w:val="auto"/>
        <w:outlineLvl w:val="9"/>
        <w:rPr>
          <w:rFonts w:hint="eastAsia" w:ascii="宋体" w:hAnsi="宋体" w:eastAsia="宋体" w:cs="宋体"/>
          <w:color w:val="auto"/>
          <w:sz w:val="24"/>
          <w:szCs w:val="24"/>
          <w:highlight w:val="none"/>
          <w:u w:val="none"/>
          <w:lang w:val="zh-CN"/>
        </w:rPr>
      </w:pPr>
      <w:r>
        <w:rPr>
          <w:rFonts w:hint="eastAsia" w:ascii="宋体" w:hAnsi="宋体" w:eastAsia="宋体" w:cs="宋体"/>
          <w:bCs/>
          <w:color w:val="auto"/>
          <w:sz w:val="24"/>
          <w:szCs w:val="24"/>
          <w:highlight w:val="none"/>
          <w:u w:val="none"/>
          <w:lang w:val="zh-CN"/>
        </w:rPr>
        <w:t>(</w:t>
      </w:r>
      <w:r>
        <w:rPr>
          <w:rFonts w:hint="eastAsia" w:ascii="宋体" w:hAnsi="宋体" w:eastAsia="宋体" w:cs="宋体"/>
          <w:bCs/>
          <w:color w:val="auto"/>
          <w:sz w:val="24"/>
          <w:szCs w:val="24"/>
          <w:highlight w:val="none"/>
          <w:u w:val="none"/>
        </w:rPr>
        <w:t>1</w:t>
      </w:r>
      <w:r>
        <w:rPr>
          <w:rFonts w:hint="eastAsia" w:ascii="宋体" w:hAnsi="宋体" w:eastAsia="宋体" w:cs="宋体"/>
          <w:bCs/>
          <w:color w:val="auto"/>
          <w:sz w:val="24"/>
          <w:szCs w:val="24"/>
          <w:highlight w:val="none"/>
          <w:u w:val="none"/>
          <w:lang w:val="zh-CN"/>
        </w:rPr>
        <w:t>)</w:t>
      </w:r>
      <w:r>
        <w:rPr>
          <w:rFonts w:hint="eastAsia" w:ascii="宋体" w:hAnsi="宋体" w:eastAsia="宋体" w:cs="宋体"/>
          <w:color w:val="auto"/>
          <w:sz w:val="24"/>
          <w:szCs w:val="24"/>
          <w:highlight w:val="none"/>
          <w:u w:val="none"/>
          <w:lang w:val="zh-CN"/>
        </w:rPr>
        <w:t xml:space="preserve"> 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hint="eastAsia" w:ascii="宋体" w:hAnsi="宋体" w:cs="宋体"/>
          <w:color w:val="auto"/>
          <w:sz w:val="24"/>
          <w:szCs w:val="24"/>
          <w:highlight w:val="none"/>
          <w:u w:val="none"/>
          <w:lang w:val="en-US" w:eastAsia="zh-CN"/>
        </w:rPr>
        <w:t>10</w:t>
      </w:r>
      <w:r>
        <w:rPr>
          <w:rFonts w:hint="eastAsia" w:ascii="宋体" w:hAnsi="宋体" w:eastAsia="宋体" w:cs="宋体"/>
          <w:color w:val="auto"/>
          <w:sz w:val="24"/>
          <w:szCs w:val="24"/>
          <w:highlight w:val="none"/>
          <w:u w:val="none"/>
          <w:lang w:val="zh-CN"/>
        </w:rPr>
        <w:t>天内）；</w:t>
      </w:r>
    </w:p>
    <w:p w14:paraId="1E6B364B">
      <w:pPr>
        <w:keepNext w:val="0"/>
        <w:keepLines w:val="0"/>
        <w:pageBreakBefore w:val="0"/>
        <w:kinsoku/>
        <w:wordWrap/>
        <w:overflowPunct/>
        <w:topLinePunct w:val="0"/>
        <w:bidi w:val="0"/>
        <w:snapToGrid/>
        <w:spacing w:line="500" w:lineRule="exact"/>
        <w:textAlignment w:val="auto"/>
        <w:outlineLvl w:val="9"/>
        <w:rPr>
          <w:rFonts w:hint="eastAsia" w:ascii="宋体" w:hAnsi="宋体" w:eastAsia="宋体" w:cs="宋体"/>
          <w:color w:val="auto"/>
          <w:sz w:val="24"/>
          <w:szCs w:val="24"/>
          <w:highlight w:val="none"/>
          <w:u w:val="none"/>
          <w:lang w:val="zh-CN"/>
        </w:rPr>
      </w:pPr>
      <w:bookmarkStart w:id="1" w:name="_Toc4991"/>
      <w:bookmarkStart w:id="2" w:name="_Toc25838"/>
      <w:r>
        <w:rPr>
          <w:rFonts w:hint="eastAsia" w:ascii="宋体" w:hAnsi="宋体" w:eastAsia="宋体" w:cs="宋体"/>
          <w:color w:val="auto"/>
          <w:sz w:val="24"/>
          <w:szCs w:val="24"/>
          <w:highlight w:val="none"/>
          <w:u w:val="none"/>
          <w:lang w:val="zh-CN"/>
        </w:rPr>
        <w:t>（</w:t>
      </w:r>
      <w:r>
        <w:rPr>
          <w:rFonts w:hint="eastAsia" w:ascii="宋体" w:hAnsi="宋体" w:eastAsia="宋体" w:cs="宋体"/>
          <w:color w:val="auto"/>
          <w:sz w:val="24"/>
          <w:szCs w:val="24"/>
          <w:highlight w:val="none"/>
          <w:u w:val="none"/>
        </w:rPr>
        <w:t>2</w:t>
      </w:r>
      <w:r>
        <w:rPr>
          <w:rFonts w:hint="eastAsia" w:ascii="宋体" w:hAnsi="宋体" w:eastAsia="宋体" w:cs="宋体"/>
          <w:color w:val="auto"/>
          <w:sz w:val="24"/>
          <w:szCs w:val="24"/>
          <w:highlight w:val="none"/>
          <w:u w:val="none"/>
          <w:lang w:val="zh-CN"/>
        </w:rPr>
        <w:t>）单位负责人为同一人或者存在直接控股、管理关系的不同投标人，不得参加同一合同项下的政府采购活动。否则，皆取消投标资格；</w:t>
      </w:r>
      <w:bookmarkEnd w:id="1"/>
      <w:bookmarkEnd w:id="2"/>
    </w:p>
    <w:p w14:paraId="5EE616A7">
      <w:pPr>
        <w:keepNext w:val="0"/>
        <w:keepLines w:val="0"/>
        <w:pageBreakBefore w:val="0"/>
        <w:kinsoku/>
        <w:wordWrap/>
        <w:overflowPunct/>
        <w:topLinePunct w:val="0"/>
        <w:bidi w:val="0"/>
        <w:snapToGrid/>
        <w:spacing w:line="500" w:lineRule="exact"/>
        <w:textAlignment w:val="auto"/>
        <w:outlineLvl w:val="9"/>
        <w:rPr>
          <w:rFonts w:hint="eastAsia" w:ascii="宋体" w:hAnsi="宋体" w:eastAsia="宋体" w:cs="宋体"/>
          <w:color w:val="auto"/>
          <w:sz w:val="24"/>
          <w:szCs w:val="24"/>
          <w:highlight w:val="none"/>
          <w:u w:val="none"/>
          <w:lang w:val="zh-CN"/>
        </w:rPr>
      </w:pPr>
      <w:bookmarkStart w:id="3" w:name="_Toc5244"/>
      <w:bookmarkStart w:id="4" w:name="_Toc10948"/>
      <w:r>
        <w:rPr>
          <w:rFonts w:hint="eastAsia" w:ascii="宋体" w:hAnsi="宋体" w:eastAsia="宋体" w:cs="宋体"/>
          <w:color w:val="auto"/>
          <w:sz w:val="24"/>
          <w:szCs w:val="24"/>
          <w:highlight w:val="none"/>
          <w:u w:val="none"/>
          <w:lang w:val="zh-CN"/>
        </w:rPr>
        <w:t>(</w:t>
      </w:r>
      <w:r>
        <w:rPr>
          <w:rFonts w:hint="eastAsia" w:ascii="宋体" w:hAnsi="宋体" w:eastAsia="宋体" w:cs="宋体"/>
          <w:color w:val="auto"/>
          <w:sz w:val="24"/>
          <w:szCs w:val="24"/>
          <w:highlight w:val="none"/>
          <w:u w:val="none"/>
        </w:rPr>
        <w:t>3</w:t>
      </w:r>
      <w:r>
        <w:rPr>
          <w:rFonts w:hint="eastAsia" w:ascii="宋体" w:hAnsi="宋体" w:eastAsia="宋体" w:cs="宋体"/>
          <w:color w:val="auto"/>
          <w:sz w:val="24"/>
          <w:szCs w:val="24"/>
          <w:highlight w:val="none"/>
          <w:u w:val="none"/>
          <w:lang w:val="zh-CN"/>
        </w:rPr>
        <w:t>) 为本采购项目提供整体设计、规范编制或者项目管理、监理、检测等服务的投标人，不得再参加该采购项目的其他采购活动；</w:t>
      </w:r>
      <w:bookmarkEnd w:id="3"/>
      <w:bookmarkEnd w:id="4"/>
    </w:p>
    <w:p w14:paraId="1AD8B8B8">
      <w:pPr>
        <w:keepNext w:val="0"/>
        <w:keepLines w:val="0"/>
        <w:pageBreakBefore w:val="0"/>
        <w:numPr>
          <w:ilvl w:val="0"/>
          <w:numId w:val="0"/>
        </w:numPr>
        <w:kinsoku/>
        <w:wordWrap/>
        <w:overflowPunct/>
        <w:topLinePunct w:val="0"/>
        <w:bidi w:val="0"/>
        <w:snapToGrid/>
        <w:spacing w:line="500" w:lineRule="exact"/>
        <w:textAlignment w:val="auto"/>
        <w:outlineLvl w:val="9"/>
        <w:rPr>
          <w:rFonts w:hint="default" w:ascii="宋体" w:hAnsi="宋体" w:eastAsia="宋体" w:cs="宋体"/>
          <w:color w:val="auto"/>
          <w:sz w:val="24"/>
          <w:szCs w:val="24"/>
          <w:highlight w:val="none"/>
          <w:u w:val="none"/>
          <w:lang w:val="en-US" w:eastAsia="zh-CN"/>
        </w:rPr>
      </w:pPr>
      <w:bookmarkStart w:id="5" w:name="_Toc815"/>
      <w:bookmarkStart w:id="6" w:name="_Toc8204"/>
      <w:r>
        <w:rPr>
          <w:rFonts w:hint="eastAsia" w:ascii="宋体" w:hAnsi="宋体" w:eastAsia="宋体" w:cs="宋体"/>
          <w:color w:val="auto"/>
          <w:sz w:val="24"/>
          <w:szCs w:val="24"/>
          <w:highlight w:val="none"/>
          <w:u w:val="none"/>
          <w:lang w:val="zh-CN"/>
        </w:rPr>
        <w:t>(4) 其他资质条件：</w:t>
      </w:r>
      <w:bookmarkEnd w:id="5"/>
      <w:bookmarkEnd w:id="6"/>
      <w:r>
        <w:rPr>
          <w:rFonts w:hint="eastAsia" w:ascii="宋体" w:hAnsi="宋体" w:cs="宋体"/>
          <w:color w:val="auto"/>
          <w:sz w:val="24"/>
          <w:szCs w:val="24"/>
          <w:highlight w:val="none"/>
          <w:u w:val="none"/>
          <w:lang w:val="en-US" w:eastAsia="zh-CN"/>
        </w:rPr>
        <w:t>本项目要求供应商具备有效的营业执照。</w:t>
      </w:r>
    </w:p>
    <w:p w14:paraId="12CB6B4C">
      <w:pPr>
        <w:keepNext w:val="0"/>
        <w:keepLines w:val="0"/>
        <w:pageBreakBefore w:val="0"/>
        <w:numPr>
          <w:ilvl w:val="0"/>
          <w:numId w:val="7"/>
        </w:numPr>
        <w:kinsoku/>
        <w:wordWrap/>
        <w:overflowPunct/>
        <w:topLinePunct w:val="0"/>
        <w:bidi w:val="0"/>
        <w:snapToGrid/>
        <w:spacing w:line="500" w:lineRule="exac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获取采购文件</w:t>
      </w:r>
    </w:p>
    <w:p w14:paraId="52576060">
      <w:pPr>
        <w:spacing w:line="500" w:lineRule="exact"/>
        <w:ind w:firstLine="480"/>
        <w:outlineLvl w:val="9"/>
        <w:rPr>
          <w:rFonts w:hint="eastAsia" w:ascii="宋体" w:hAnsi="宋体" w:cs="宋体"/>
          <w:color w:val="auto"/>
          <w:highlight w:val="none"/>
        </w:rPr>
      </w:pPr>
      <w:r>
        <w:rPr>
          <w:rFonts w:hint="eastAsia" w:ascii="宋体" w:hAnsi="宋体" w:cs="宋体"/>
          <w:color w:val="auto"/>
          <w:highlight w:val="none"/>
        </w:rPr>
        <w:t>时间：</w:t>
      </w:r>
      <w:r>
        <w:rPr>
          <w:rFonts w:hint="eastAsia" w:ascii="宋体" w:hAnsi="宋体" w:cs="宋体"/>
          <w:color w:val="auto"/>
          <w:highlight w:val="none"/>
          <w:u w:val="single"/>
          <w:lang w:eastAsia="zh-CN"/>
        </w:rPr>
        <w:t>2024</w:t>
      </w:r>
      <w:r>
        <w:rPr>
          <w:rFonts w:hint="eastAsia" w:ascii="宋体" w:hAnsi="宋体" w:cs="宋体"/>
          <w:color w:val="auto"/>
          <w:highlight w:val="none"/>
          <w:u w:val="none"/>
        </w:rPr>
        <w:t>年</w:t>
      </w:r>
      <w:r>
        <w:rPr>
          <w:rFonts w:hint="eastAsia" w:ascii="宋体" w:hAnsi="宋体" w:cs="宋体"/>
          <w:color w:val="auto"/>
          <w:highlight w:val="none"/>
          <w:u w:val="single"/>
          <w:lang w:val="en-US" w:eastAsia="zh-CN"/>
        </w:rPr>
        <w:t>08</w:t>
      </w:r>
      <w:r>
        <w:rPr>
          <w:rFonts w:hint="eastAsia" w:ascii="宋体" w:hAnsi="宋体" w:cs="宋体"/>
          <w:strike w:val="0"/>
          <w:dstrike w:val="0"/>
          <w:color w:val="auto"/>
          <w:highlight w:val="none"/>
          <w:u w:val="none"/>
        </w:rPr>
        <w:t>月</w:t>
      </w:r>
      <w:r>
        <w:rPr>
          <w:rFonts w:hint="eastAsia" w:ascii="宋体" w:hAnsi="宋体" w:cs="宋体"/>
          <w:strike w:val="0"/>
          <w:dstrike w:val="0"/>
          <w:color w:val="auto"/>
          <w:highlight w:val="none"/>
          <w:u w:val="single"/>
          <w:lang w:val="en-US" w:eastAsia="zh-CN"/>
        </w:rPr>
        <w:t>04</w:t>
      </w:r>
      <w:r>
        <w:rPr>
          <w:rFonts w:hint="eastAsia" w:ascii="宋体" w:hAnsi="宋体" w:cs="宋体"/>
          <w:color w:val="auto"/>
          <w:highlight w:val="none"/>
          <w:u w:val="none"/>
        </w:rPr>
        <w:t>日</w:t>
      </w:r>
      <w:r>
        <w:rPr>
          <w:rFonts w:hint="eastAsia" w:ascii="宋体" w:hAnsi="宋体" w:cs="宋体"/>
          <w:color w:val="auto"/>
          <w:highlight w:val="none"/>
        </w:rPr>
        <w:t>至</w:t>
      </w:r>
      <w:r>
        <w:rPr>
          <w:rFonts w:hint="eastAsia" w:ascii="宋体" w:hAnsi="宋体" w:cs="宋体"/>
          <w:color w:val="auto"/>
          <w:highlight w:val="none"/>
          <w:u w:val="single"/>
          <w:lang w:eastAsia="zh-CN"/>
        </w:rPr>
        <w:t>2024</w:t>
      </w:r>
      <w:r>
        <w:rPr>
          <w:rFonts w:hint="eastAsia" w:ascii="宋体" w:hAnsi="宋体" w:cs="宋体"/>
          <w:color w:val="auto"/>
          <w:highlight w:val="none"/>
          <w:u w:val="none"/>
        </w:rPr>
        <w:t>年</w:t>
      </w:r>
      <w:r>
        <w:rPr>
          <w:rFonts w:hint="eastAsia" w:ascii="宋体" w:hAnsi="宋体" w:cs="宋体"/>
          <w:color w:val="auto"/>
          <w:highlight w:val="none"/>
          <w:u w:val="single"/>
          <w:lang w:val="en-US" w:eastAsia="zh-CN"/>
        </w:rPr>
        <w:t>08</w:t>
      </w:r>
      <w:r>
        <w:rPr>
          <w:rFonts w:hint="eastAsia" w:ascii="宋体" w:hAnsi="宋体" w:cs="宋体"/>
          <w:color w:val="auto"/>
          <w:highlight w:val="none"/>
          <w:u w:val="none"/>
        </w:rPr>
        <w:t>月</w:t>
      </w:r>
      <w:r>
        <w:rPr>
          <w:rFonts w:hint="eastAsia" w:ascii="宋体" w:hAnsi="宋体" w:cs="宋体"/>
          <w:color w:val="auto"/>
          <w:highlight w:val="none"/>
          <w:u w:val="single"/>
          <w:lang w:val="en-US" w:eastAsia="zh-CN"/>
        </w:rPr>
        <w:t>09</w:t>
      </w:r>
      <w:r>
        <w:rPr>
          <w:rFonts w:hint="eastAsia" w:ascii="宋体" w:hAnsi="宋体" w:cs="宋体"/>
          <w:color w:val="auto"/>
          <w:highlight w:val="none"/>
          <w:u w:val="none"/>
        </w:rPr>
        <w:t>日</w:t>
      </w:r>
      <w:r>
        <w:rPr>
          <w:rFonts w:hint="eastAsia" w:ascii="宋体" w:hAnsi="宋体" w:cs="宋体"/>
          <w:color w:val="auto"/>
          <w:highlight w:val="none"/>
          <w:u w:val="single"/>
        </w:rPr>
        <w:t>（提供期限自本公告发布之日起不得少于5个工作日）</w:t>
      </w:r>
      <w:r>
        <w:rPr>
          <w:rFonts w:hint="eastAsia" w:ascii="宋体" w:hAnsi="宋体" w:cs="宋体"/>
          <w:color w:val="auto"/>
          <w:highlight w:val="none"/>
        </w:rPr>
        <w:t>，每天上午</w:t>
      </w:r>
      <w:r>
        <w:rPr>
          <w:rFonts w:hint="eastAsia" w:ascii="宋体" w:hAnsi="宋体" w:cs="宋体"/>
          <w:color w:val="auto"/>
          <w:highlight w:val="none"/>
          <w:u w:val="single"/>
        </w:rPr>
        <w:t>0</w:t>
      </w:r>
      <w:r>
        <w:rPr>
          <w:rFonts w:hint="eastAsia" w:ascii="宋体" w:hAnsi="宋体" w:cs="宋体"/>
          <w:color w:val="auto"/>
          <w:highlight w:val="none"/>
          <w:u w:val="single"/>
          <w:lang w:val="en-US" w:eastAsia="zh-CN"/>
        </w:rPr>
        <w:t>0</w:t>
      </w:r>
      <w:r>
        <w:rPr>
          <w:rFonts w:hint="eastAsia" w:ascii="宋体" w:hAnsi="宋体" w:cs="宋体"/>
          <w:color w:val="auto"/>
          <w:highlight w:val="none"/>
          <w:u w:val="single"/>
        </w:rPr>
        <w:t>：00</w:t>
      </w:r>
      <w:r>
        <w:rPr>
          <w:rFonts w:hint="eastAsia" w:ascii="宋体" w:hAnsi="宋体" w:cs="宋体"/>
          <w:color w:val="auto"/>
          <w:highlight w:val="none"/>
        </w:rPr>
        <w:t>至</w:t>
      </w:r>
      <w:r>
        <w:rPr>
          <w:rFonts w:hint="eastAsia" w:ascii="宋体" w:hAnsi="宋体" w:cs="宋体"/>
          <w:color w:val="auto"/>
          <w:highlight w:val="none"/>
          <w:u w:val="single"/>
          <w:lang w:val="en-US" w:eastAsia="zh-CN"/>
        </w:rPr>
        <w:t>12</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00</w:t>
      </w:r>
      <w:r>
        <w:rPr>
          <w:rFonts w:hint="eastAsia" w:ascii="宋体" w:hAnsi="宋体" w:cs="宋体"/>
          <w:color w:val="auto"/>
          <w:highlight w:val="none"/>
        </w:rPr>
        <w:t>，下午</w:t>
      </w:r>
      <w:r>
        <w:rPr>
          <w:rFonts w:hint="eastAsia" w:ascii="宋体" w:hAnsi="宋体" w:cs="宋体"/>
          <w:color w:val="auto"/>
          <w:highlight w:val="none"/>
          <w:u w:val="single"/>
          <w:lang w:val="en-US" w:eastAsia="zh-CN"/>
        </w:rPr>
        <w:t>12</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00</w:t>
      </w:r>
      <w:r>
        <w:rPr>
          <w:rFonts w:hint="eastAsia" w:ascii="宋体" w:hAnsi="宋体" w:cs="宋体"/>
          <w:color w:val="auto"/>
          <w:highlight w:val="none"/>
        </w:rPr>
        <w:t>至</w:t>
      </w:r>
      <w:r>
        <w:rPr>
          <w:rFonts w:hint="eastAsia" w:ascii="宋体" w:hAnsi="宋体" w:cs="宋体"/>
          <w:color w:val="auto"/>
          <w:highlight w:val="none"/>
          <w:u w:val="single"/>
          <w:lang w:val="en-US" w:eastAsia="zh-CN"/>
        </w:rPr>
        <w:t>23</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59</w:t>
      </w:r>
      <w:r>
        <w:rPr>
          <w:rFonts w:hint="eastAsia" w:ascii="宋体" w:hAnsi="宋体" w:cs="宋体"/>
          <w:color w:val="auto"/>
          <w:highlight w:val="none"/>
        </w:rPr>
        <w:t>（北京时间，法定节假日除外）</w:t>
      </w:r>
    </w:p>
    <w:p w14:paraId="6503A1C5">
      <w:pPr>
        <w:autoSpaceDE w:val="0"/>
        <w:autoSpaceDN w:val="0"/>
        <w:adjustRightInd w:val="0"/>
        <w:spacing w:line="500" w:lineRule="exact"/>
        <w:ind w:firstLine="480" w:firstLineChars="0"/>
        <w:outlineLvl w:val="9"/>
        <w:rPr>
          <w:rFonts w:hint="eastAsia" w:ascii="宋体" w:hAnsi="宋体" w:cs="宋体"/>
          <w:color w:val="auto"/>
          <w:highlight w:val="none"/>
          <w:u w:val="single"/>
        </w:rPr>
      </w:pPr>
      <w:r>
        <w:rPr>
          <w:rFonts w:hint="eastAsia" w:ascii="宋体" w:hAnsi="宋体" w:cs="宋体"/>
          <w:color w:val="auto"/>
          <w:highlight w:val="none"/>
        </w:rPr>
        <w:t>地点：供应商登录政采云平台https://www.zcygov.cn/在线申请获取采购文件</w:t>
      </w:r>
    </w:p>
    <w:p w14:paraId="6F310C05">
      <w:pPr>
        <w:spacing w:line="500" w:lineRule="exact"/>
        <w:ind w:firstLine="480"/>
        <w:outlineLvl w:val="9"/>
        <w:rPr>
          <w:rFonts w:hint="eastAsia" w:ascii="宋体" w:hAnsi="宋体" w:cs="宋体"/>
          <w:color w:val="auto"/>
          <w:highlight w:val="none"/>
        </w:rPr>
      </w:pPr>
      <w:r>
        <w:rPr>
          <w:rFonts w:hint="eastAsia" w:ascii="宋体" w:hAnsi="宋体" w:cs="宋体"/>
          <w:color w:val="auto"/>
          <w:highlight w:val="none"/>
        </w:rPr>
        <w:t>方式：供应商登录政采云平台https://www.zcygov.cn/在线申请获取采购文件（进入“项目采购”应用，在获</w:t>
      </w:r>
      <w:r>
        <w:rPr>
          <w:rFonts w:hint="eastAsia" w:ascii="宋体" w:hAnsi="宋体" w:cs="宋体"/>
          <w:color w:val="auto"/>
          <w:highlight w:val="none"/>
          <w:u w:val="none"/>
        </w:rPr>
        <w:t>取</w:t>
      </w:r>
      <w:r>
        <w:rPr>
          <w:rFonts w:hint="eastAsia" w:ascii="宋体" w:hAnsi="宋体" w:cs="宋体"/>
          <w:color w:val="auto"/>
          <w:highlight w:val="none"/>
        </w:rPr>
        <w:t>采购文件菜单中选择项目，申请获取采购文件）</w:t>
      </w:r>
    </w:p>
    <w:p w14:paraId="64A09603">
      <w:pPr>
        <w:keepNext w:val="0"/>
        <w:keepLines w:val="0"/>
        <w:pageBreakBefore w:val="0"/>
        <w:kinsoku/>
        <w:wordWrap/>
        <w:overflowPunct/>
        <w:topLinePunct w:val="0"/>
        <w:autoSpaceDE w:val="0"/>
        <w:autoSpaceDN w:val="0"/>
        <w:bidi w:val="0"/>
        <w:snapToGrid/>
        <w:spacing w:line="500" w:lineRule="exact"/>
        <w:ind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cs="宋体"/>
          <w:color w:val="auto"/>
          <w:highlight w:val="none"/>
        </w:rPr>
        <w:t>售价：0元</w:t>
      </w:r>
      <w:r>
        <w:rPr>
          <w:rFonts w:hint="eastAsia" w:ascii="宋体" w:hAnsi="宋体" w:eastAsia="宋体" w:cs="宋体"/>
          <w:color w:val="auto"/>
          <w:kern w:val="0"/>
          <w:sz w:val="24"/>
          <w:szCs w:val="24"/>
          <w:highlight w:val="none"/>
          <w:lang w:val="zh-CN" w:eastAsia="zh-CN"/>
        </w:rPr>
        <w:t>；</w:t>
      </w:r>
    </w:p>
    <w:p w14:paraId="3F09D943">
      <w:pPr>
        <w:keepNext w:val="0"/>
        <w:keepLines w:val="0"/>
        <w:pageBreakBefore w:val="0"/>
        <w:numPr>
          <w:ilvl w:val="0"/>
          <w:numId w:val="7"/>
        </w:numPr>
        <w:kinsoku/>
        <w:wordWrap/>
        <w:overflowPunct/>
        <w:topLinePunct w:val="0"/>
        <w:bidi w:val="0"/>
        <w:snapToGrid/>
        <w:spacing w:line="500" w:lineRule="exac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响应文件提交</w:t>
      </w:r>
    </w:p>
    <w:p w14:paraId="12C24BFA">
      <w:pPr>
        <w:keepNext w:val="0"/>
        <w:keepLines w:val="0"/>
        <w:pageBreakBefore w:val="0"/>
        <w:numPr>
          <w:ilvl w:val="0"/>
          <w:numId w:val="0"/>
        </w:numPr>
        <w:kinsoku/>
        <w:wordWrap/>
        <w:overflowPunct/>
        <w:topLinePunct w:val="0"/>
        <w:bidi w:val="0"/>
        <w:snapToGrid/>
        <w:spacing w:line="500" w:lineRule="exact"/>
        <w:ind w:leftChars="0" w:firstLine="480"/>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截止时间：</w:t>
      </w:r>
      <w:r>
        <w:rPr>
          <w:rFonts w:hint="eastAsia" w:ascii="宋体" w:hAnsi="宋体" w:cs="宋体"/>
          <w:b w:val="0"/>
          <w:bCs w:val="0"/>
          <w:color w:val="auto"/>
          <w:highlight w:val="none"/>
          <w:u w:val="single"/>
          <w:vertAlign w:val="baseline"/>
          <w:lang w:val="en-US" w:eastAsia="zh-CN"/>
        </w:rPr>
        <w:t>2024年08月15日09点00分</w:t>
      </w:r>
      <w:r>
        <w:rPr>
          <w:rFonts w:hint="eastAsia" w:ascii="宋体" w:hAnsi="宋体" w:eastAsia="宋体" w:cs="宋体"/>
          <w:color w:val="auto"/>
          <w:sz w:val="24"/>
          <w:szCs w:val="24"/>
          <w:highlight w:val="none"/>
          <w:u w:val="single"/>
          <w:lang w:val="en-US" w:eastAsia="zh-CN"/>
        </w:rPr>
        <w:t>（北京时间）</w:t>
      </w:r>
    </w:p>
    <w:p w14:paraId="0D682683">
      <w:pPr>
        <w:keepNext w:val="0"/>
        <w:keepLines w:val="0"/>
        <w:pageBreakBefore w:val="0"/>
        <w:numPr>
          <w:ilvl w:val="0"/>
          <w:numId w:val="0"/>
        </w:numPr>
        <w:kinsoku/>
        <w:wordWrap/>
        <w:overflowPunct/>
        <w:topLinePunct w:val="0"/>
        <w:bidi w:val="0"/>
        <w:snapToGrid/>
        <w:spacing w:line="500" w:lineRule="exact"/>
        <w:ind w:leftChars="0" w:firstLine="480"/>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地点：</w:t>
      </w:r>
      <w:r>
        <w:rPr>
          <w:rFonts w:hint="eastAsia" w:ascii="宋体" w:hAnsi="宋体" w:eastAsia="宋体" w:cs="宋体"/>
          <w:color w:val="auto"/>
          <w:sz w:val="24"/>
          <w:szCs w:val="24"/>
          <w:highlight w:val="none"/>
          <w:u w:val="single"/>
          <w:lang w:val="en-US" w:eastAsia="zh-CN"/>
        </w:rPr>
        <w:t>线上政采云平台上传投标文件（政采云平（https://www.zcygov.cn/））</w:t>
      </w:r>
    </w:p>
    <w:p w14:paraId="22EBF5BA">
      <w:pPr>
        <w:keepNext w:val="0"/>
        <w:keepLines w:val="0"/>
        <w:pageBreakBefore w:val="0"/>
        <w:numPr>
          <w:ilvl w:val="0"/>
          <w:numId w:val="7"/>
        </w:numPr>
        <w:kinsoku/>
        <w:wordWrap/>
        <w:overflowPunct/>
        <w:topLinePunct w:val="0"/>
        <w:bidi w:val="0"/>
        <w:snapToGrid/>
        <w:spacing w:line="500" w:lineRule="exac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开启（竞磋必填）</w:t>
      </w:r>
    </w:p>
    <w:p w14:paraId="23470683">
      <w:pPr>
        <w:keepNext w:val="0"/>
        <w:keepLines w:val="0"/>
        <w:pageBreakBefore w:val="0"/>
        <w:numPr>
          <w:ilvl w:val="0"/>
          <w:numId w:val="0"/>
        </w:numPr>
        <w:kinsoku/>
        <w:wordWrap/>
        <w:overflowPunct/>
        <w:topLinePunct w:val="0"/>
        <w:bidi w:val="0"/>
        <w:snapToGrid/>
        <w:spacing w:line="500" w:lineRule="exact"/>
        <w:ind w:leftChars="0" w:firstLine="480"/>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时间：</w:t>
      </w:r>
      <w:r>
        <w:rPr>
          <w:rFonts w:hint="eastAsia" w:ascii="宋体" w:hAnsi="宋体" w:cs="宋体"/>
          <w:b w:val="0"/>
          <w:bCs w:val="0"/>
          <w:color w:val="auto"/>
          <w:highlight w:val="none"/>
          <w:u w:val="single"/>
          <w:vertAlign w:val="baseline"/>
          <w:lang w:val="en-US" w:eastAsia="zh-CN"/>
        </w:rPr>
        <w:t>2024年08月15日09点00分</w:t>
      </w:r>
      <w:r>
        <w:rPr>
          <w:rFonts w:hint="eastAsia" w:ascii="宋体" w:hAnsi="宋体" w:eastAsia="宋体" w:cs="宋体"/>
          <w:color w:val="auto"/>
          <w:sz w:val="24"/>
          <w:szCs w:val="24"/>
          <w:highlight w:val="none"/>
          <w:u w:val="none"/>
          <w:lang w:val="en-US" w:eastAsia="zh-CN"/>
        </w:rPr>
        <w:t>（北京时间）</w:t>
      </w:r>
    </w:p>
    <w:p w14:paraId="1F29800F">
      <w:pPr>
        <w:keepNext w:val="0"/>
        <w:keepLines w:val="0"/>
        <w:pageBreakBefore w:val="0"/>
        <w:numPr>
          <w:ilvl w:val="0"/>
          <w:numId w:val="0"/>
        </w:numPr>
        <w:kinsoku/>
        <w:wordWrap/>
        <w:overflowPunct/>
        <w:topLinePunct w:val="0"/>
        <w:bidi w:val="0"/>
        <w:snapToGrid/>
        <w:spacing w:line="500" w:lineRule="exact"/>
        <w:ind w:leftChars="0" w:firstLine="480"/>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地点：</w:t>
      </w:r>
      <w:r>
        <w:rPr>
          <w:rFonts w:hint="eastAsia" w:ascii="宋体" w:hAnsi="宋体" w:eastAsia="宋体" w:cs="宋体"/>
          <w:color w:val="auto"/>
          <w:sz w:val="24"/>
          <w:szCs w:val="24"/>
          <w:highlight w:val="none"/>
          <w:u w:val="single"/>
          <w:lang w:val="zh-CN"/>
        </w:rPr>
        <w:t>青海省西宁市城西区新华联国际中心A栋1091C</w:t>
      </w:r>
      <w:r>
        <w:rPr>
          <w:rFonts w:hint="eastAsia" w:ascii="宋体" w:hAnsi="宋体" w:eastAsia="宋体" w:cs="宋体"/>
          <w:color w:val="auto"/>
          <w:sz w:val="24"/>
          <w:szCs w:val="24"/>
          <w:highlight w:val="none"/>
          <w:u w:val="single"/>
        </w:rPr>
        <w:t>会议</w:t>
      </w:r>
      <w:r>
        <w:rPr>
          <w:rFonts w:hint="eastAsia" w:ascii="宋体" w:hAnsi="宋体" w:eastAsia="宋体" w:cs="宋体"/>
          <w:color w:val="auto"/>
          <w:sz w:val="24"/>
          <w:szCs w:val="24"/>
          <w:highlight w:val="none"/>
          <w:u w:val="single"/>
          <w:lang w:val="zh-CN"/>
        </w:rPr>
        <w:t>室</w:t>
      </w:r>
    </w:p>
    <w:p w14:paraId="130FC18B">
      <w:pPr>
        <w:keepNext w:val="0"/>
        <w:keepLines w:val="0"/>
        <w:pageBreakBefore w:val="0"/>
        <w:numPr>
          <w:ilvl w:val="0"/>
          <w:numId w:val="7"/>
        </w:numPr>
        <w:kinsoku/>
        <w:wordWrap/>
        <w:overflowPunct/>
        <w:topLinePunct w:val="0"/>
        <w:bidi w:val="0"/>
        <w:snapToGrid/>
        <w:spacing w:line="500" w:lineRule="exac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公告期限</w:t>
      </w:r>
    </w:p>
    <w:p w14:paraId="1CF423A9">
      <w:pPr>
        <w:keepNext w:val="0"/>
        <w:keepLines w:val="0"/>
        <w:pageBreakBefore w:val="0"/>
        <w:numPr>
          <w:ilvl w:val="0"/>
          <w:numId w:val="0"/>
        </w:numPr>
        <w:kinsoku/>
        <w:wordWrap/>
        <w:overflowPunct/>
        <w:topLinePunct w:val="0"/>
        <w:bidi w:val="0"/>
        <w:snapToGrid/>
        <w:spacing w:line="500" w:lineRule="exact"/>
        <w:ind w:firstLine="480"/>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自本公告发布之日起5个工作日。</w:t>
      </w:r>
    </w:p>
    <w:p w14:paraId="1CD41B6F">
      <w:pPr>
        <w:keepNext w:val="0"/>
        <w:keepLines w:val="0"/>
        <w:pageBreakBefore w:val="0"/>
        <w:numPr>
          <w:ilvl w:val="0"/>
          <w:numId w:val="7"/>
        </w:numPr>
        <w:kinsoku/>
        <w:wordWrap/>
        <w:overflowPunct/>
        <w:topLinePunct w:val="0"/>
        <w:bidi w:val="0"/>
        <w:snapToGrid/>
        <w:spacing w:line="500" w:lineRule="exac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其他补充事宜: </w:t>
      </w:r>
    </w:p>
    <w:p w14:paraId="797C0173">
      <w:pPr>
        <w:spacing w:line="500" w:lineRule="exact"/>
        <w:ind w:firstLine="482" w:firstLineChars="200"/>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1、</w:t>
      </w:r>
      <w:r>
        <w:rPr>
          <w:rFonts w:hint="eastAsia" w:ascii="宋体" w:hAnsi="宋体" w:eastAsia="宋体" w:cs="宋体"/>
          <w:b/>
          <w:bCs/>
          <w:color w:val="auto"/>
          <w:highlight w:val="none"/>
          <w:lang w:val="en-US" w:eastAsia="zh-CN"/>
        </w:rPr>
        <w:t>本公告同时在《青海省政府采购网》、《青海省电子招投标公共服务平台》发布，公告内容以青海省政府采购网发布为准。</w:t>
      </w:r>
    </w:p>
    <w:p w14:paraId="47C23D5D">
      <w:pPr>
        <w:spacing w:line="500" w:lineRule="exact"/>
        <w:ind w:firstLine="482" w:firstLineChars="20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2、本次项目采用线上进行，供应商无需到现场开标；如非系统原因造成无法上传、无法解密或解密不成功的视为放弃参加采购。线上电子响应文件必须在提交响应文件截止时间前上传至电子开评标系统；</w:t>
      </w:r>
    </w:p>
    <w:p w14:paraId="3DB20F97">
      <w:pPr>
        <w:spacing w:line="500" w:lineRule="exact"/>
        <w:ind w:firstLine="48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3、若对项目采购电子交易系统操作有疑问，可登录政采云（https://www.zcygov.cn/），点击右侧咨询小采，获取采小蜜智能服务管家帮助，或拨打政采云服务热线95763获取热线服务帮助。 CA问题联系电话（人工）；天谷CA 400-087-8198。</w:t>
      </w:r>
    </w:p>
    <w:p w14:paraId="64B2922D">
      <w:pPr>
        <w:keepNext w:val="0"/>
        <w:keepLines w:val="0"/>
        <w:pageBreakBefore w:val="0"/>
        <w:numPr>
          <w:ilvl w:val="0"/>
          <w:numId w:val="7"/>
        </w:numPr>
        <w:kinsoku/>
        <w:wordWrap/>
        <w:overflowPunct/>
        <w:topLinePunct w:val="0"/>
        <w:bidi w:val="0"/>
        <w:snapToGrid/>
        <w:spacing w:line="500" w:lineRule="exac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对本次采购提出询问，按一下方式联系</w:t>
      </w:r>
    </w:p>
    <w:p w14:paraId="40F52156">
      <w:pPr>
        <w:keepNext w:val="0"/>
        <w:keepLines w:val="0"/>
        <w:pageBreakBefore w:val="0"/>
        <w:numPr>
          <w:ilvl w:val="0"/>
          <w:numId w:val="9"/>
        </w:numPr>
        <w:kinsoku/>
        <w:wordWrap/>
        <w:overflowPunct/>
        <w:topLinePunct w:val="0"/>
        <w:bidi w:val="0"/>
        <w:snapToGrid/>
        <w:spacing w:line="500" w:lineRule="exact"/>
        <w:ind w:left="480" w:leftChars="0" w:firstLine="0" w:firstLineChars="0"/>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采购人信息</w:t>
      </w:r>
    </w:p>
    <w:p w14:paraId="76E244AA">
      <w:pPr>
        <w:keepNext w:val="0"/>
        <w:keepLines w:val="0"/>
        <w:pageBreakBefore w:val="0"/>
        <w:kinsoku/>
        <w:wordWrap/>
        <w:overflowPunct/>
        <w:topLinePunct w:val="0"/>
        <w:bidi w:val="0"/>
        <w:snapToGrid/>
        <w:spacing w:line="500" w:lineRule="exact"/>
        <w:ind w:firstLine="480" w:firstLineChars="200"/>
        <w:jc w:val="left"/>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名 称：</w:t>
      </w:r>
      <w:r>
        <w:rPr>
          <w:rFonts w:hint="eastAsia" w:ascii="宋体" w:hAnsi="宋体" w:cs="宋体"/>
          <w:color w:val="auto"/>
          <w:sz w:val="24"/>
          <w:szCs w:val="24"/>
          <w:highlight w:val="none"/>
          <w:u w:val="none"/>
          <w:lang w:val="zh-CN"/>
        </w:rPr>
        <w:t>天峻县教育局</w:t>
      </w:r>
      <w:r>
        <w:rPr>
          <w:rFonts w:hint="eastAsia" w:ascii="宋体" w:hAnsi="宋体" w:eastAsia="宋体" w:cs="宋体"/>
          <w:color w:val="auto"/>
          <w:sz w:val="24"/>
          <w:szCs w:val="24"/>
          <w:highlight w:val="none"/>
          <w:u w:val="none"/>
          <w:lang w:val="zh-CN"/>
        </w:rPr>
        <w:t xml:space="preserve"> 　　</w:t>
      </w:r>
    </w:p>
    <w:p w14:paraId="0B380FE0">
      <w:pPr>
        <w:keepNext w:val="0"/>
        <w:keepLines w:val="0"/>
        <w:pageBreakBefore w:val="0"/>
        <w:kinsoku/>
        <w:wordWrap/>
        <w:overflowPunct/>
        <w:topLinePunct w:val="0"/>
        <w:bidi w:val="0"/>
        <w:snapToGrid/>
        <w:spacing w:line="500" w:lineRule="exact"/>
        <w:ind w:firstLine="480" w:firstLineChars="200"/>
        <w:jc w:val="left"/>
        <w:textAlignment w:val="auto"/>
        <w:outlineLvl w:val="9"/>
        <w:rPr>
          <w:rFonts w:hint="eastAsia" w:ascii="宋体" w:hAnsi="宋体" w:cs="宋体"/>
          <w:color w:val="auto"/>
          <w:sz w:val="24"/>
          <w:szCs w:val="24"/>
          <w:highlight w:val="none"/>
          <w:u w:val="none"/>
          <w:lang w:val="zh-CN"/>
        </w:rPr>
      </w:pPr>
      <w:r>
        <w:rPr>
          <w:rFonts w:hint="eastAsia" w:ascii="宋体" w:hAnsi="宋体" w:cs="宋体"/>
          <w:color w:val="auto"/>
          <w:sz w:val="24"/>
          <w:szCs w:val="24"/>
          <w:highlight w:val="none"/>
          <w:u w:val="none"/>
          <w:lang w:val="zh-CN"/>
        </w:rPr>
        <w:t>地 址：天峻县</w:t>
      </w:r>
    </w:p>
    <w:p w14:paraId="70CCD0C2">
      <w:pPr>
        <w:spacing w:line="500" w:lineRule="exact"/>
        <w:ind w:firstLine="480"/>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联系人：王主任 </w:t>
      </w:r>
    </w:p>
    <w:p w14:paraId="01ECFBA2">
      <w:pPr>
        <w:spacing w:line="500" w:lineRule="exact"/>
        <w:ind w:firstLine="480"/>
        <w:jc w:val="left"/>
        <w:rPr>
          <w:rFonts w:hint="eastAsia" w:ascii="宋体" w:hAnsi="宋体" w:eastAsia="宋体" w:cs="宋体"/>
          <w:color w:val="auto"/>
          <w:sz w:val="24"/>
          <w:szCs w:val="24"/>
          <w:highlight w:val="none"/>
          <w:u w:val="none"/>
          <w:lang w:val="zh-CN"/>
        </w:rPr>
      </w:pPr>
      <w:r>
        <w:rPr>
          <w:rFonts w:hint="eastAsia" w:ascii="宋体" w:hAnsi="宋体" w:cs="宋体"/>
          <w:color w:val="auto"/>
          <w:highlight w:val="none"/>
          <w:lang w:eastAsia="zh-CN"/>
        </w:rPr>
        <w:t>联系方式：</w:t>
      </w:r>
      <w:bookmarkStart w:id="7" w:name="_Toc28359086"/>
      <w:bookmarkStart w:id="8" w:name="_Toc28359009"/>
      <w:r>
        <w:rPr>
          <w:rFonts w:hint="eastAsia" w:ascii="宋体" w:hAnsi="宋体" w:cs="宋体"/>
          <w:color w:val="auto"/>
          <w:highlight w:val="none"/>
          <w:lang w:eastAsia="zh-CN"/>
        </w:rPr>
        <w:t>0977-8267334</w:t>
      </w:r>
    </w:p>
    <w:p w14:paraId="2DF677C2">
      <w:pPr>
        <w:keepNext w:val="0"/>
        <w:keepLines w:val="0"/>
        <w:pageBreakBefore w:val="0"/>
        <w:widowControl/>
        <w:kinsoku/>
        <w:wordWrap/>
        <w:overflowPunct/>
        <w:topLinePunct w:val="0"/>
        <w:bidi w:val="0"/>
        <w:snapToGrid/>
        <w:spacing w:line="500" w:lineRule="exact"/>
        <w:ind w:firstLine="480" w:firstLineChars="200"/>
        <w:jc w:val="left"/>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2.采购代理机构信息（如有）</w:t>
      </w:r>
      <w:bookmarkEnd w:id="7"/>
      <w:bookmarkEnd w:id="8"/>
    </w:p>
    <w:p w14:paraId="0C12190E">
      <w:pPr>
        <w:keepNext w:val="0"/>
        <w:keepLines w:val="0"/>
        <w:pageBreakBefore w:val="0"/>
        <w:kinsoku/>
        <w:wordWrap/>
        <w:overflowPunct/>
        <w:topLinePunct w:val="0"/>
        <w:bidi w:val="0"/>
        <w:snapToGrid/>
        <w:spacing w:line="500" w:lineRule="exact"/>
        <w:ind w:firstLine="480" w:firstLineChars="200"/>
        <w:jc w:val="left"/>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名 称：</w:t>
      </w:r>
      <w:r>
        <w:rPr>
          <w:rFonts w:hint="eastAsia" w:ascii="宋体" w:hAnsi="宋体" w:eastAsia="宋体" w:cs="宋体"/>
          <w:color w:val="auto"/>
          <w:sz w:val="24"/>
          <w:szCs w:val="24"/>
          <w:highlight w:val="none"/>
          <w:u w:val="none"/>
          <w:lang w:val="zh-CN"/>
        </w:rPr>
        <w:t>青海宸晖工程项目管理有限公司</w:t>
      </w:r>
      <w:r>
        <w:rPr>
          <w:rFonts w:hint="eastAsia" w:ascii="宋体" w:hAnsi="宋体" w:eastAsia="宋体" w:cs="宋体"/>
          <w:color w:val="auto"/>
          <w:sz w:val="24"/>
          <w:szCs w:val="24"/>
          <w:highlight w:val="none"/>
          <w:u w:val="none"/>
        </w:rPr>
        <w:t>　　　　</w:t>
      </w:r>
    </w:p>
    <w:p w14:paraId="589E412A">
      <w:pPr>
        <w:keepNext w:val="0"/>
        <w:keepLines w:val="0"/>
        <w:pageBreakBefore w:val="0"/>
        <w:kinsoku/>
        <w:wordWrap/>
        <w:overflowPunct/>
        <w:topLinePunct w:val="0"/>
        <w:bidi w:val="0"/>
        <w:snapToGrid/>
        <w:spacing w:line="500" w:lineRule="exact"/>
        <w:ind w:firstLine="480" w:firstLineChars="200"/>
        <w:jc w:val="left"/>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地　址：</w:t>
      </w:r>
      <w:r>
        <w:rPr>
          <w:rFonts w:hint="eastAsia" w:ascii="宋体" w:hAnsi="宋体" w:eastAsia="宋体" w:cs="宋体"/>
          <w:color w:val="auto"/>
          <w:sz w:val="24"/>
          <w:szCs w:val="24"/>
          <w:highlight w:val="none"/>
          <w:u w:val="none"/>
          <w:lang w:val="zh-CN"/>
        </w:rPr>
        <w:t>青海省西宁市城西区新华联国际中心A栋1091C</w:t>
      </w:r>
    </w:p>
    <w:p w14:paraId="74150BE3">
      <w:pPr>
        <w:keepNext w:val="0"/>
        <w:keepLines w:val="0"/>
        <w:pageBreakBefore w:val="0"/>
        <w:kinsoku/>
        <w:wordWrap/>
        <w:overflowPunct/>
        <w:topLinePunct w:val="0"/>
        <w:bidi w:val="0"/>
        <w:snapToGrid/>
        <w:spacing w:line="500" w:lineRule="exact"/>
        <w:ind w:firstLine="480" w:firstLineChars="200"/>
        <w:jc w:val="left"/>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联系方式</w:t>
      </w:r>
      <w:bookmarkStart w:id="9" w:name="_Toc28359087"/>
      <w:bookmarkStart w:id="10" w:name="_Toc28359010"/>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zh-CN"/>
        </w:rPr>
        <w:t>0971-4118139　　</w:t>
      </w:r>
      <w:r>
        <w:rPr>
          <w:rFonts w:hint="eastAsia" w:ascii="宋体" w:hAnsi="宋体" w:eastAsia="宋体" w:cs="宋体"/>
          <w:color w:val="auto"/>
          <w:sz w:val="24"/>
          <w:szCs w:val="24"/>
          <w:highlight w:val="none"/>
          <w:u w:val="none"/>
        </w:rPr>
        <w:t>　　　　　    　</w:t>
      </w:r>
    </w:p>
    <w:p w14:paraId="73BFD8D8">
      <w:pPr>
        <w:keepNext w:val="0"/>
        <w:keepLines w:val="0"/>
        <w:pageBreakBefore w:val="0"/>
        <w:widowControl/>
        <w:kinsoku/>
        <w:wordWrap/>
        <w:overflowPunct/>
        <w:topLinePunct w:val="0"/>
        <w:bidi w:val="0"/>
        <w:snapToGrid/>
        <w:spacing w:line="500" w:lineRule="exact"/>
        <w:ind w:firstLine="240" w:firstLineChars="100"/>
        <w:jc w:val="left"/>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3.项目联系方式</w:t>
      </w:r>
      <w:bookmarkEnd w:id="9"/>
      <w:bookmarkEnd w:id="10"/>
    </w:p>
    <w:p w14:paraId="47A5EE37">
      <w:pPr>
        <w:keepNext w:val="0"/>
        <w:keepLines w:val="0"/>
        <w:pageBreakBefore w:val="0"/>
        <w:kinsoku/>
        <w:wordWrap/>
        <w:overflowPunct/>
        <w:topLinePunct w:val="0"/>
        <w:bidi w:val="0"/>
        <w:snapToGrid/>
        <w:spacing w:line="500" w:lineRule="exact"/>
        <w:ind w:firstLine="480" w:firstLineChars="200"/>
        <w:textAlignment w:val="auto"/>
        <w:outlineLvl w:val="9"/>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项目联系人：</w:t>
      </w:r>
      <w:r>
        <w:rPr>
          <w:rFonts w:hint="eastAsia" w:ascii="宋体" w:hAnsi="宋体" w:cs="宋体"/>
          <w:color w:val="auto"/>
          <w:sz w:val="24"/>
          <w:szCs w:val="24"/>
          <w:highlight w:val="none"/>
          <w:u w:val="none"/>
          <w:lang w:val="en-US" w:eastAsia="zh-CN"/>
        </w:rPr>
        <w:t>赵宝平</w:t>
      </w:r>
    </w:p>
    <w:p w14:paraId="41AEC17B">
      <w:pPr>
        <w:keepNext w:val="0"/>
        <w:keepLines w:val="0"/>
        <w:pageBreakBefore w:val="0"/>
        <w:kinsoku/>
        <w:wordWrap/>
        <w:overflowPunct/>
        <w:topLinePunct w:val="0"/>
        <w:bidi w:val="0"/>
        <w:snapToGrid/>
        <w:spacing w:line="500" w:lineRule="exact"/>
        <w:ind w:firstLine="480" w:firstLineChars="200"/>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电　话：</w:t>
      </w:r>
      <w:r>
        <w:rPr>
          <w:rFonts w:hint="eastAsia" w:ascii="宋体" w:hAnsi="宋体" w:eastAsia="宋体" w:cs="宋体"/>
          <w:color w:val="auto"/>
          <w:sz w:val="24"/>
          <w:szCs w:val="24"/>
          <w:highlight w:val="none"/>
          <w:u w:val="none"/>
          <w:lang w:val="zh-CN"/>
        </w:rPr>
        <w:t>0971-4118139</w:t>
      </w:r>
    </w:p>
    <w:p w14:paraId="13E9236E">
      <w:pPr>
        <w:wordWrap w:val="0"/>
        <w:spacing w:line="360" w:lineRule="auto"/>
        <w:ind w:firstLine="480"/>
        <w:jc w:val="right"/>
        <w:outlineLvl w:val="9"/>
        <w:rPr>
          <w:rFonts w:hint="eastAsia" w:ascii="宋体" w:hAnsi="宋体" w:cs="宋体"/>
          <w:b/>
          <w:bCs/>
          <w:color w:val="auto"/>
          <w:highlight w:val="none"/>
          <w:u w:val="none"/>
        </w:rPr>
      </w:pPr>
    </w:p>
    <w:p w14:paraId="5F41BE7C">
      <w:pPr>
        <w:pStyle w:val="2"/>
        <w:wordWrap/>
        <w:outlineLvl w:val="9"/>
        <w:rPr>
          <w:rFonts w:hint="eastAsia"/>
          <w:color w:val="auto"/>
          <w:highlight w:val="none"/>
        </w:rPr>
      </w:pPr>
    </w:p>
    <w:p w14:paraId="0FB95755">
      <w:pPr>
        <w:wordWrap w:val="0"/>
        <w:spacing w:line="360" w:lineRule="auto"/>
        <w:ind w:firstLine="480"/>
        <w:jc w:val="right"/>
        <w:outlineLvl w:val="9"/>
        <w:rPr>
          <w:rFonts w:hint="eastAsia" w:ascii="宋体" w:hAnsi="宋体" w:eastAsia="宋体" w:cs="宋体"/>
          <w:color w:val="auto"/>
          <w:sz w:val="24"/>
          <w:szCs w:val="24"/>
          <w:highlight w:val="none"/>
          <w:u w:val="none"/>
          <w:lang w:val="zh-CN"/>
        </w:rPr>
      </w:pPr>
      <w:r>
        <w:rPr>
          <w:rFonts w:hint="eastAsia" w:ascii="宋体" w:hAnsi="宋体" w:cs="宋体"/>
          <w:color w:val="auto"/>
          <w:sz w:val="24"/>
          <w:szCs w:val="24"/>
          <w:highlight w:val="none"/>
          <w:u w:val="none"/>
          <w:lang w:eastAsia="zh-CN"/>
        </w:rPr>
        <w:t>2024</w:t>
      </w:r>
      <w:r>
        <w:rPr>
          <w:rFonts w:hint="eastAsia" w:ascii="宋体" w:hAnsi="宋体" w:eastAsia="宋体" w:cs="宋体"/>
          <w:color w:val="auto"/>
          <w:sz w:val="24"/>
          <w:szCs w:val="24"/>
          <w:highlight w:val="none"/>
          <w:u w:val="none"/>
          <w:lang w:val="zh-CN"/>
        </w:rPr>
        <w:t>年</w:t>
      </w:r>
      <w:r>
        <w:rPr>
          <w:rFonts w:hint="eastAsia" w:ascii="宋体" w:hAnsi="宋体" w:cs="宋体"/>
          <w:color w:val="auto"/>
          <w:sz w:val="24"/>
          <w:szCs w:val="24"/>
          <w:highlight w:val="none"/>
          <w:u w:val="none"/>
          <w:lang w:val="en-US" w:eastAsia="zh-CN"/>
        </w:rPr>
        <w:t>08</w:t>
      </w:r>
      <w:r>
        <w:rPr>
          <w:rFonts w:hint="eastAsia" w:ascii="宋体" w:hAnsi="宋体" w:eastAsia="宋体" w:cs="宋体"/>
          <w:color w:val="auto"/>
          <w:sz w:val="24"/>
          <w:szCs w:val="24"/>
          <w:highlight w:val="none"/>
          <w:u w:val="none"/>
          <w:lang w:val="zh-CN"/>
        </w:rPr>
        <w:t>月</w:t>
      </w:r>
      <w:r>
        <w:rPr>
          <w:rFonts w:hint="eastAsia" w:ascii="宋体" w:hAnsi="宋体" w:cs="宋体"/>
          <w:color w:val="auto"/>
          <w:sz w:val="24"/>
          <w:szCs w:val="24"/>
          <w:highlight w:val="none"/>
          <w:u w:val="none"/>
          <w:lang w:val="en-US" w:eastAsia="zh-CN"/>
        </w:rPr>
        <w:t>04</w:t>
      </w:r>
      <w:r>
        <w:rPr>
          <w:rFonts w:hint="eastAsia" w:ascii="宋体" w:hAnsi="宋体" w:eastAsia="宋体" w:cs="宋体"/>
          <w:color w:val="auto"/>
          <w:sz w:val="24"/>
          <w:szCs w:val="24"/>
          <w:highlight w:val="none"/>
          <w:u w:val="none"/>
          <w:lang w:val="zh-CN"/>
        </w:rPr>
        <w:t>日</w:t>
      </w:r>
    </w:p>
    <w:p w14:paraId="10962B27">
      <w:pPr>
        <w:numPr>
          <w:ilvl w:val="0"/>
          <w:numId w:val="0"/>
        </w:numPr>
        <w:tabs>
          <w:tab w:val="left" w:pos="425"/>
          <w:tab w:val="left" w:pos="4265"/>
        </w:tabs>
        <w:spacing w:before="0" w:after="100" w:afterAutospacing="1" w:line="240" w:lineRule="auto"/>
        <w:jc w:val="center"/>
        <w:outlineLvl w:val="0"/>
        <w:rPr>
          <w:color w:val="auto"/>
          <w:sz w:val="28"/>
          <w:szCs w:val="28"/>
          <w:highlight w:val="none"/>
        </w:rPr>
      </w:pPr>
      <w:bookmarkStart w:id="11" w:name="_Toc27471"/>
      <w:r>
        <w:rPr>
          <w:color w:val="auto"/>
          <w:sz w:val="28"/>
          <w:szCs w:val="28"/>
          <w:highlight w:val="none"/>
        </w:rPr>
        <w:br w:type="column"/>
      </w:r>
      <w:r>
        <w:rPr>
          <w:b/>
          <w:bCs/>
          <w:color w:val="auto"/>
          <w:sz w:val="28"/>
          <w:szCs w:val="28"/>
          <w:highlight w:val="none"/>
        </w:rPr>
        <w:t>第二章  磋商须知</w:t>
      </w:r>
      <w:bookmarkEnd w:id="11"/>
    </w:p>
    <w:p w14:paraId="73FB66CE">
      <w:pPr>
        <w:tabs>
          <w:tab w:val="left" w:pos="7665"/>
        </w:tabs>
        <w:spacing w:line="360" w:lineRule="auto"/>
        <w:ind w:firstLine="480" w:firstLineChars="200"/>
        <w:jc w:val="both"/>
        <w:outlineLvl w:val="9"/>
        <w:rPr>
          <w:rFonts w:ascii="宋体" w:hAnsi="宋体"/>
          <w:color w:val="auto"/>
          <w:highlight w:val="none"/>
        </w:rPr>
      </w:pPr>
      <w:r>
        <w:rPr>
          <w:rFonts w:ascii="宋体" w:hAnsi="宋体"/>
          <w:color w:val="auto"/>
          <w:highlight w:val="none"/>
        </w:rPr>
        <w:t>1、适用范围</w:t>
      </w:r>
      <w:r>
        <w:rPr>
          <w:rFonts w:hint="eastAsia" w:ascii="宋体" w:hAnsi="宋体"/>
          <w:color w:val="auto"/>
          <w:highlight w:val="none"/>
          <w:lang w:val="en-US" w:eastAsia="zh-CN"/>
        </w:rPr>
        <w:t>天峻县财政局</w:t>
      </w:r>
      <w:r>
        <w:rPr>
          <w:rFonts w:hint="eastAsia" w:ascii="宋体" w:hAnsi="宋体"/>
          <w:color w:val="auto"/>
          <w:highlight w:val="none"/>
        </w:rPr>
        <w:t>下达的采购计划，仅适用于本竞争性磋商文件（以下简称“磋商文件”）中所叙述的项目。</w:t>
      </w:r>
    </w:p>
    <w:p w14:paraId="3F411699">
      <w:pPr>
        <w:spacing w:line="360" w:lineRule="auto"/>
        <w:ind w:firstLine="480" w:firstLineChars="200"/>
        <w:outlineLvl w:val="9"/>
        <w:rPr>
          <w:rFonts w:ascii="宋体" w:hAnsi="宋体"/>
          <w:color w:val="auto"/>
          <w:highlight w:val="none"/>
        </w:rPr>
      </w:pPr>
      <w:r>
        <w:rPr>
          <w:rFonts w:ascii="宋体" w:hAnsi="宋体"/>
          <w:color w:val="auto"/>
          <w:highlight w:val="none"/>
        </w:rPr>
        <w:t>2、定义</w:t>
      </w:r>
    </w:p>
    <w:p w14:paraId="5141AF39">
      <w:pPr>
        <w:tabs>
          <w:tab w:val="left" w:pos="7665"/>
        </w:tabs>
        <w:spacing w:line="360" w:lineRule="auto"/>
        <w:ind w:firstLine="480" w:firstLineChars="200"/>
        <w:jc w:val="both"/>
        <w:outlineLvl w:val="9"/>
        <w:rPr>
          <w:rFonts w:ascii="宋体" w:hAnsi="宋体"/>
          <w:color w:val="auto"/>
          <w:highlight w:val="none"/>
        </w:rPr>
      </w:pPr>
      <w:r>
        <w:rPr>
          <w:rFonts w:ascii="宋体" w:hAnsi="宋体"/>
          <w:color w:val="auto"/>
          <w:highlight w:val="none"/>
        </w:rPr>
        <w:t>2.1“采购</w:t>
      </w:r>
      <w:r>
        <w:rPr>
          <w:rFonts w:hint="eastAsia" w:ascii="宋体" w:hAnsi="宋体"/>
          <w:color w:val="auto"/>
          <w:highlight w:val="none"/>
        </w:rPr>
        <w:t>单位</w:t>
      </w:r>
      <w:r>
        <w:rPr>
          <w:rFonts w:ascii="宋体" w:hAnsi="宋体"/>
          <w:color w:val="auto"/>
          <w:highlight w:val="none"/>
        </w:rPr>
        <w:t>”系</w:t>
      </w:r>
      <w:r>
        <w:rPr>
          <w:rFonts w:hint="eastAsia" w:ascii="宋体" w:hAnsi="宋体"/>
          <w:color w:val="auto"/>
          <w:highlight w:val="none"/>
          <w:lang w:eastAsia="zh-CN"/>
        </w:rPr>
        <w:t>天峻县教育局</w:t>
      </w:r>
      <w:r>
        <w:rPr>
          <w:rFonts w:ascii="宋体" w:hAnsi="宋体"/>
          <w:color w:val="auto"/>
          <w:highlight w:val="none"/>
        </w:rPr>
        <w:t>。</w:t>
      </w:r>
    </w:p>
    <w:p w14:paraId="192A20E6">
      <w:pPr>
        <w:tabs>
          <w:tab w:val="left" w:pos="7665"/>
        </w:tabs>
        <w:spacing w:line="360" w:lineRule="auto"/>
        <w:ind w:firstLine="480" w:firstLineChars="200"/>
        <w:jc w:val="both"/>
        <w:outlineLvl w:val="9"/>
        <w:rPr>
          <w:rFonts w:ascii="宋体" w:hAnsi="宋体"/>
          <w:color w:val="auto"/>
          <w:highlight w:val="none"/>
        </w:rPr>
      </w:pPr>
      <w:r>
        <w:rPr>
          <w:rFonts w:ascii="宋体" w:hAnsi="宋体"/>
          <w:color w:val="auto"/>
          <w:highlight w:val="none"/>
        </w:rPr>
        <w:t>2.2 “供应商”系指响应竞争性磋商文件要求，并提交报价文件的</w:t>
      </w:r>
      <w:r>
        <w:rPr>
          <w:rFonts w:hint="eastAsia" w:ascii="宋体" w:hAnsi="宋体"/>
          <w:color w:val="auto"/>
          <w:highlight w:val="none"/>
        </w:rPr>
        <w:t>法人、其他组织或者自然人</w:t>
      </w:r>
      <w:r>
        <w:rPr>
          <w:rFonts w:ascii="宋体" w:hAnsi="宋体"/>
          <w:color w:val="auto"/>
          <w:highlight w:val="none"/>
        </w:rPr>
        <w:t>。</w:t>
      </w:r>
    </w:p>
    <w:p w14:paraId="3902434F">
      <w:pPr>
        <w:tabs>
          <w:tab w:val="left" w:pos="7665"/>
        </w:tabs>
        <w:spacing w:line="360" w:lineRule="auto"/>
        <w:ind w:firstLine="480" w:firstLineChars="200"/>
        <w:jc w:val="both"/>
        <w:outlineLvl w:val="9"/>
        <w:rPr>
          <w:rFonts w:hint="eastAsia" w:ascii="宋体" w:hAnsi="宋体"/>
          <w:color w:val="auto"/>
          <w:highlight w:val="none"/>
          <w:lang w:eastAsia="zh-CN"/>
        </w:rPr>
      </w:pPr>
      <w:r>
        <w:rPr>
          <w:rFonts w:hint="eastAsia" w:ascii="宋体" w:hAnsi="宋体"/>
          <w:color w:val="auto"/>
          <w:highlight w:val="none"/>
        </w:rPr>
        <w:t>2.3 “采购代理机构” 系指根据采购单位的委托依法办理采购事宜的采购机构。本次竞争性磋商的采购代理机构是</w:t>
      </w:r>
      <w:r>
        <w:rPr>
          <w:rFonts w:hint="eastAsia" w:ascii="宋体" w:hAnsi="宋体"/>
          <w:color w:val="auto"/>
          <w:highlight w:val="none"/>
          <w:lang w:eastAsia="zh-CN"/>
        </w:rPr>
        <w:t>青海宸晖工程项目管理有限公司。</w:t>
      </w:r>
    </w:p>
    <w:p w14:paraId="1DC724B2">
      <w:pPr>
        <w:tabs>
          <w:tab w:val="left" w:pos="7665"/>
        </w:tabs>
        <w:spacing w:line="360" w:lineRule="auto"/>
        <w:ind w:firstLine="480" w:firstLineChars="200"/>
        <w:jc w:val="both"/>
        <w:outlineLvl w:val="9"/>
        <w:rPr>
          <w:rFonts w:ascii="宋体" w:hAnsi="宋体"/>
          <w:color w:val="auto"/>
          <w:highlight w:val="none"/>
        </w:rPr>
      </w:pPr>
      <w:r>
        <w:rPr>
          <w:rFonts w:hint="eastAsia" w:ascii="宋体" w:hAnsi="宋体"/>
          <w:color w:val="auto"/>
          <w:highlight w:val="none"/>
          <w:lang w:val="en-US" w:eastAsia="zh-CN"/>
        </w:rPr>
        <w:t>3、</w:t>
      </w:r>
      <w:r>
        <w:rPr>
          <w:rFonts w:hint="eastAsia" w:ascii="宋体" w:hAnsi="宋体"/>
          <w:color w:val="auto"/>
          <w:highlight w:val="none"/>
        </w:rPr>
        <w:t>本项目</w:t>
      </w:r>
      <w:r>
        <w:rPr>
          <w:rFonts w:ascii="宋体" w:hAnsi="宋体"/>
          <w:color w:val="auto"/>
          <w:highlight w:val="none"/>
        </w:rPr>
        <w:t>合格的供应商资格条件</w:t>
      </w:r>
    </w:p>
    <w:p w14:paraId="0AFA3106">
      <w:pPr>
        <w:tabs>
          <w:tab w:val="left" w:pos="7665"/>
        </w:tabs>
        <w:spacing w:line="360" w:lineRule="auto"/>
        <w:ind w:firstLine="480" w:firstLineChars="200"/>
        <w:jc w:val="both"/>
        <w:outlineLvl w:val="9"/>
        <w:rPr>
          <w:rFonts w:hint="eastAsia" w:ascii="宋体" w:hAnsi="宋体"/>
          <w:color w:val="auto"/>
          <w:highlight w:val="none"/>
        </w:rPr>
      </w:pPr>
      <w:r>
        <w:rPr>
          <w:rFonts w:hint="eastAsia" w:ascii="宋体" w:hAnsi="宋体"/>
          <w:color w:val="auto"/>
          <w:highlight w:val="none"/>
        </w:rPr>
        <w:t>3.1供应商应具备第一章“供应商资格条件”所述的资格条件。</w:t>
      </w:r>
    </w:p>
    <w:p w14:paraId="03033591">
      <w:pPr>
        <w:tabs>
          <w:tab w:val="left" w:pos="7665"/>
        </w:tabs>
        <w:spacing w:line="360" w:lineRule="auto"/>
        <w:ind w:firstLine="480" w:firstLineChars="200"/>
        <w:jc w:val="both"/>
        <w:outlineLvl w:val="9"/>
        <w:rPr>
          <w:rFonts w:ascii="宋体" w:hAnsi="宋体"/>
          <w:color w:val="auto"/>
          <w:highlight w:val="none"/>
        </w:rPr>
      </w:pPr>
      <w:r>
        <w:rPr>
          <w:rFonts w:ascii="宋体" w:hAnsi="宋体"/>
          <w:color w:val="auto"/>
          <w:highlight w:val="none"/>
        </w:rPr>
        <w:t>4、竞争性磋商采购费用</w:t>
      </w:r>
    </w:p>
    <w:p w14:paraId="4EA36BA3">
      <w:pPr>
        <w:tabs>
          <w:tab w:val="left" w:pos="7665"/>
        </w:tabs>
        <w:spacing w:line="360" w:lineRule="auto"/>
        <w:ind w:firstLine="480" w:firstLineChars="200"/>
        <w:jc w:val="both"/>
        <w:outlineLvl w:val="9"/>
        <w:rPr>
          <w:rFonts w:ascii="宋体" w:hAnsi="宋体"/>
          <w:color w:val="auto"/>
          <w:highlight w:val="none"/>
        </w:rPr>
      </w:pPr>
      <w:r>
        <w:rPr>
          <w:rFonts w:ascii="宋体" w:hAnsi="宋体"/>
          <w:color w:val="auto"/>
          <w:highlight w:val="none"/>
        </w:rPr>
        <w:t>无论竞争性磋商采购的结果如何，供应商自行承担所有与参加竞争性磋商有关的全部费用。</w:t>
      </w:r>
    </w:p>
    <w:p w14:paraId="2ABBBA55">
      <w:pPr>
        <w:spacing w:line="360" w:lineRule="auto"/>
        <w:ind w:firstLine="480" w:firstLineChars="200"/>
        <w:outlineLvl w:val="9"/>
        <w:rPr>
          <w:rFonts w:ascii="宋体" w:hAnsi="宋体"/>
          <w:color w:val="auto"/>
          <w:highlight w:val="none"/>
        </w:rPr>
      </w:pPr>
      <w:r>
        <w:rPr>
          <w:rFonts w:ascii="宋体" w:hAnsi="宋体"/>
          <w:color w:val="auto"/>
          <w:highlight w:val="none"/>
        </w:rPr>
        <w:t>5、竞争性磋商文件</w:t>
      </w:r>
    </w:p>
    <w:p w14:paraId="6590AE97">
      <w:pPr>
        <w:pStyle w:val="23"/>
        <w:spacing w:line="360" w:lineRule="auto"/>
        <w:ind w:firstLine="480" w:firstLineChars="200"/>
        <w:outlineLvl w:val="9"/>
        <w:rPr>
          <w:rFonts w:hAnsi="宋体"/>
          <w:color w:val="auto"/>
          <w:sz w:val="24"/>
          <w:szCs w:val="24"/>
          <w:highlight w:val="none"/>
        </w:rPr>
      </w:pPr>
      <w:r>
        <w:rPr>
          <w:rFonts w:hAnsi="宋体"/>
          <w:color w:val="auto"/>
          <w:sz w:val="24"/>
          <w:szCs w:val="24"/>
          <w:highlight w:val="none"/>
        </w:rPr>
        <w:t>5.1 竞争性磋商文件是采购单位用以阐明所需提供的服务、竞争性磋商采购的程序和评定成交供应商的标准、合同草案条款等内容的文件。</w:t>
      </w:r>
    </w:p>
    <w:p w14:paraId="1C14C7A4">
      <w:pPr>
        <w:pStyle w:val="23"/>
        <w:spacing w:line="360" w:lineRule="auto"/>
        <w:ind w:firstLine="480" w:firstLineChars="200"/>
        <w:outlineLvl w:val="9"/>
        <w:rPr>
          <w:rFonts w:hAnsi="宋体"/>
          <w:color w:val="auto"/>
          <w:sz w:val="24"/>
          <w:szCs w:val="24"/>
          <w:highlight w:val="none"/>
        </w:rPr>
      </w:pPr>
      <w:r>
        <w:rPr>
          <w:rFonts w:hAnsi="宋体"/>
          <w:color w:val="auto"/>
          <w:sz w:val="24"/>
          <w:szCs w:val="24"/>
          <w:highlight w:val="none"/>
        </w:rPr>
        <w:t>5.2 竞争性磋商文件的组成</w:t>
      </w:r>
    </w:p>
    <w:p w14:paraId="69FE5F22">
      <w:pPr>
        <w:pStyle w:val="23"/>
        <w:spacing w:line="360" w:lineRule="auto"/>
        <w:ind w:firstLine="480" w:firstLineChars="200"/>
        <w:outlineLvl w:val="9"/>
        <w:rPr>
          <w:rFonts w:hAnsi="宋体"/>
          <w:color w:val="auto"/>
          <w:sz w:val="24"/>
          <w:szCs w:val="24"/>
          <w:highlight w:val="none"/>
        </w:rPr>
      </w:pPr>
      <w:r>
        <w:rPr>
          <w:rFonts w:hAnsi="宋体"/>
          <w:color w:val="auto"/>
          <w:sz w:val="24"/>
          <w:szCs w:val="24"/>
          <w:highlight w:val="none"/>
        </w:rPr>
        <w:t>（1）竞争性磋商公告</w:t>
      </w:r>
    </w:p>
    <w:p w14:paraId="1DE4DFF3">
      <w:pPr>
        <w:pStyle w:val="23"/>
        <w:spacing w:line="360" w:lineRule="auto"/>
        <w:ind w:firstLine="480" w:firstLineChars="200"/>
        <w:outlineLvl w:val="9"/>
        <w:rPr>
          <w:rFonts w:hAnsi="宋体"/>
          <w:color w:val="auto"/>
          <w:sz w:val="24"/>
          <w:szCs w:val="24"/>
          <w:highlight w:val="none"/>
        </w:rPr>
      </w:pPr>
      <w:r>
        <w:rPr>
          <w:rFonts w:hAnsi="宋体"/>
          <w:color w:val="auto"/>
          <w:sz w:val="24"/>
          <w:szCs w:val="24"/>
          <w:highlight w:val="none"/>
        </w:rPr>
        <w:t>（2）磋商须知</w:t>
      </w:r>
    </w:p>
    <w:p w14:paraId="6111E242">
      <w:pPr>
        <w:pStyle w:val="23"/>
        <w:spacing w:line="360" w:lineRule="auto"/>
        <w:ind w:firstLine="480" w:firstLineChars="200"/>
        <w:outlineLvl w:val="9"/>
        <w:rPr>
          <w:rFonts w:hAnsi="宋体"/>
          <w:color w:val="auto"/>
          <w:sz w:val="24"/>
          <w:szCs w:val="24"/>
          <w:highlight w:val="none"/>
        </w:rPr>
      </w:pPr>
      <w:r>
        <w:rPr>
          <w:rFonts w:hAnsi="宋体"/>
          <w:color w:val="auto"/>
          <w:sz w:val="24"/>
          <w:szCs w:val="24"/>
          <w:highlight w:val="none"/>
        </w:rPr>
        <w:t>（3）供应商资格证明文件</w:t>
      </w:r>
    </w:p>
    <w:p w14:paraId="25EE51C6">
      <w:pPr>
        <w:pStyle w:val="23"/>
        <w:spacing w:line="360" w:lineRule="auto"/>
        <w:ind w:firstLine="480" w:firstLineChars="200"/>
        <w:outlineLvl w:val="9"/>
        <w:rPr>
          <w:rFonts w:hAnsi="宋体"/>
          <w:color w:val="auto"/>
          <w:sz w:val="24"/>
          <w:szCs w:val="24"/>
          <w:highlight w:val="none"/>
        </w:rPr>
      </w:pPr>
      <w:r>
        <w:rPr>
          <w:rFonts w:hAnsi="宋体"/>
          <w:color w:val="auto"/>
          <w:sz w:val="24"/>
          <w:szCs w:val="24"/>
          <w:highlight w:val="none"/>
        </w:rPr>
        <w:t>（4）合同草案条款（参考文本）</w:t>
      </w:r>
    </w:p>
    <w:p w14:paraId="480FA5B2">
      <w:pPr>
        <w:pStyle w:val="23"/>
        <w:spacing w:line="360" w:lineRule="auto"/>
        <w:ind w:firstLine="480" w:firstLineChars="200"/>
        <w:outlineLvl w:val="9"/>
        <w:rPr>
          <w:rFonts w:hAnsi="宋体"/>
          <w:color w:val="auto"/>
          <w:sz w:val="24"/>
          <w:szCs w:val="24"/>
          <w:highlight w:val="none"/>
        </w:rPr>
      </w:pPr>
      <w:r>
        <w:rPr>
          <w:rFonts w:hAnsi="宋体"/>
          <w:color w:val="auto"/>
          <w:sz w:val="24"/>
          <w:szCs w:val="24"/>
          <w:highlight w:val="none"/>
        </w:rPr>
        <w:t>（5）磋商程序</w:t>
      </w:r>
    </w:p>
    <w:p w14:paraId="15F8297F">
      <w:pPr>
        <w:pStyle w:val="23"/>
        <w:spacing w:line="360" w:lineRule="auto"/>
        <w:ind w:firstLine="480" w:firstLineChars="200"/>
        <w:outlineLvl w:val="9"/>
        <w:rPr>
          <w:rFonts w:hAnsi="宋体"/>
          <w:color w:val="auto"/>
          <w:sz w:val="24"/>
          <w:szCs w:val="24"/>
          <w:highlight w:val="none"/>
        </w:rPr>
      </w:pPr>
      <w:r>
        <w:rPr>
          <w:rFonts w:hAnsi="宋体"/>
          <w:color w:val="auto"/>
          <w:sz w:val="24"/>
          <w:szCs w:val="24"/>
          <w:highlight w:val="none"/>
        </w:rPr>
        <w:t>（6）服务及商务要求</w:t>
      </w:r>
    </w:p>
    <w:p w14:paraId="717433CE">
      <w:pPr>
        <w:pStyle w:val="23"/>
        <w:spacing w:line="360" w:lineRule="auto"/>
        <w:ind w:firstLine="480" w:firstLineChars="200"/>
        <w:outlineLvl w:val="9"/>
        <w:rPr>
          <w:rFonts w:hAnsi="宋体"/>
          <w:color w:val="auto"/>
          <w:sz w:val="24"/>
          <w:szCs w:val="24"/>
          <w:highlight w:val="none"/>
        </w:rPr>
      </w:pPr>
      <w:r>
        <w:rPr>
          <w:rFonts w:hAnsi="宋体"/>
          <w:color w:val="auto"/>
          <w:sz w:val="24"/>
          <w:szCs w:val="24"/>
          <w:highlight w:val="none"/>
        </w:rPr>
        <w:t>（7）响应文件格式</w:t>
      </w:r>
    </w:p>
    <w:p w14:paraId="6D0A97E7">
      <w:pPr>
        <w:pStyle w:val="346"/>
        <w:spacing w:line="360" w:lineRule="auto"/>
        <w:ind w:firstLine="480"/>
        <w:outlineLvl w:val="9"/>
        <w:rPr>
          <w:rFonts w:ascii="宋体" w:hAnsi="宋体"/>
          <w:color w:val="auto"/>
          <w:sz w:val="24"/>
          <w:highlight w:val="none"/>
        </w:rPr>
      </w:pPr>
      <w:r>
        <w:rPr>
          <w:rFonts w:hint="eastAsia" w:ascii="宋体" w:hAnsi="宋体"/>
          <w:color w:val="auto"/>
          <w:sz w:val="24"/>
          <w:highlight w:val="none"/>
        </w:rPr>
        <w:t>（8）磋商过程中形成的书面变更通知</w:t>
      </w:r>
    </w:p>
    <w:p w14:paraId="19B59B00">
      <w:pPr>
        <w:spacing w:line="360" w:lineRule="auto"/>
        <w:ind w:firstLine="480" w:firstLineChars="200"/>
        <w:outlineLvl w:val="9"/>
        <w:rPr>
          <w:rFonts w:ascii="宋体" w:hAnsi="宋体"/>
          <w:color w:val="auto"/>
          <w:highlight w:val="none"/>
        </w:rPr>
      </w:pPr>
      <w:r>
        <w:rPr>
          <w:rFonts w:ascii="宋体" w:hAnsi="宋体"/>
          <w:color w:val="auto"/>
          <w:highlight w:val="none"/>
        </w:rPr>
        <w:t>5.3 供应商应详细阅读竞争性磋商文件的全部内容，并实质性响应竞争性磋商文件的要求。</w:t>
      </w:r>
    </w:p>
    <w:p w14:paraId="0F636671">
      <w:pPr>
        <w:spacing w:line="360" w:lineRule="auto"/>
        <w:ind w:firstLine="480" w:firstLineChars="200"/>
        <w:jc w:val="both"/>
        <w:outlineLvl w:val="9"/>
        <w:rPr>
          <w:rFonts w:ascii="宋体" w:hAnsi="宋体"/>
          <w:color w:val="auto"/>
          <w:highlight w:val="none"/>
        </w:rPr>
      </w:pPr>
      <w:r>
        <w:rPr>
          <w:rFonts w:ascii="宋体" w:hAnsi="宋体"/>
          <w:color w:val="auto"/>
          <w:highlight w:val="none"/>
        </w:rPr>
        <w:t>5.4 供应商对竞争性磋商文件有任何异议的均应在递交响应文件截止时间</w:t>
      </w:r>
      <w:r>
        <w:rPr>
          <w:rFonts w:hint="eastAsia" w:ascii="宋体" w:hAnsi="宋体"/>
          <w:color w:val="auto"/>
          <w:highlight w:val="none"/>
        </w:rPr>
        <w:t>1</w:t>
      </w:r>
      <w:r>
        <w:rPr>
          <w:rFonts w:ascii="宋体" w:hAnsi="宋体"/>
          <w:color w:val="auto"/>
          <w:highlight w:val="none"/>
        </w:rPr>
        <w:t>天前向磋商小组</w:t>
      </w:r>
      <w:r>
        <w:rPr>
          <w:rFonts w:hint="eastAsia" w:ascii="宋体" w:hAnsi="宋体"/>
          <w:color w:val="auto"/>
          <w:highlight w:val="none"/>
        </w:rPr>
        <w:t>或采购代理机构</w:t>
      </w:r>
      <w:r>
        <w:rPr>
          <w:rFonts w:ascii="宋体" w:hAnsi="宋体"/>
          <w:color w:val="auto"/>
          <w:highlight w:val="none"/>
        </w:rPr>
        <w:t>提出，在规定时间内未提出异议的视为完全认同本竞争性磋商文件的要求。</w:t>
      </w:r>
    </w:p>
    <w:p w14:paraId="72AADE91">
      <w:pPr>
        <w:spacing w:line="360" w:lineRule="auto"/>
        <w:ind w:firstLine="480" w:firstLineChars="200"/>
        <w:outlineLvl w:val="9"/>
        <w:rPr>
          <w:rFonts w:ascii="宋体" w:hAnsi="宋体"/>
          <w:color w:val="auto"/>
          <w:highlight w:val="none"/>
        </w:rPr>
      </w:pPr>
      <w:r>
        <w:rPr>
          <w:rFonts w:ascii="宋体" w:hAnsi="宋体"/>
          <w:color w:val="auto"/>
          <w:highlight w:val="none"/>
        </w:rPr>
        <w:t>6、响应文件</w:t>
      </w:r>
    </w:p>
    <w:p w14:paraId="09677506">
      <w:pPr>
        <w:spacing w:line="360" w:lineRule="auto"/>
        <w:ind w:firstLine="480" w:firstLineChars="200"/>
        <w:outlineLvl w:val="9"/>
        <w:rPr>
          <w:rFonts w:ascii="宋体" w:hAnsi="宋体"/>
          <w:color w:val="auto"/>
          <w:highlight w:val="none"/>
        </w:rPr>
      </w:pPr>
      <w:r>
        <w:rPr>
          <w:rFonts w:ascii="宋体" w:hAnsi="宋体"/>
          <w:color w:val="auto"/>
          <w:highlight w:val="none"/>
        </w:rPr>
        <w:t>供应商须按竞争性磋商文件的要求编写响应文件，对竞争性磋商文件提出的要求和条件做出实质性响应。响应文件应包括但不限于下列内容：</w:t>
      </w:r>
    </w:p>
    <w:p w14:paraId="28AD8E01">
      <w:pPr>
        <w:spacing w:line="360" w:lineRule="auto"/>
        <w:ind w:firstLine="480" w:firstLineChars="200"/>
        <w:outlineLvl w:val="9"/>
        <w:rPr>
          <w:rFonts w:ascii="宋体" w:hAnsi="宋体"/>
          <w:color w:val="auto"/>
          <w:highlight w:val="none"/>
        </w:rPr>
      </w:pPr>
      <w:r>
        <w:rPr>
          <w:rFonts w:ascii="宋体" w:hAnsi="宋体"/>
          <w:color w:val="auto"/>
          <w:highlight w:val="none"/>
        </w:rPr>
        <w:t>文件一：资格性响应文件</w:t>
      </w:r>
    </w:p>
    <w:p w14:paraId="16388304">
      <w:pPr>
        <w:spacing w:line="360" w:lineRule="auto"/>
        <w:ind w:firstLine="480" w:firstLineChars="200"/>
        <w:outlineLvl w:val="9"/>
        <w:rPr>
          <w:rFonts w:ascii="宋体" w:hAnsi="宋体"/>
          <w:color w:val="auto"/>
          <w:highlight w:val="none"/>
        </w:rPr>
      </w:pPr>
      <w:r>
        <w:rPr>
          <w:rFonts w:hint="eastAsia" w:ascii="宋体" w:hAnsi="宋体"/>
          <w:color w:val="auto"/>
          <w:highlight w:val="none"/>
        </w:rPr>
        <w:t>符合磋商文件第三章规定的资格证明材料。</w:t>
      </w:r>
    </w:p>
    <w:p w14:paraId="69236F58">
      <w:pPr>
        <w:spacing w:line="360" w:lineRule="auto"/>
        <w:ind w:firstLine="480" w:firstLineChars="200"/>
        <w:outlineLvl w:val="9"/>
        <w:rPr>
          <w:rFonts w:ascii="宋体" w:hAnsi="宋体"/>
          <w:color w:val="auto"/>
          <w:highlight w:val="none"/>
        </w:rPr>
      </w:pPr>
      <w:r>
        <w:rPr>
          <w:rFonts w:ascii="宋体" w:hAnsi="宋体"/>
          <w:color w:val="auto"/>
          <w:highlight w:val="none"/>
        </w:rPr>
        <w:t>文件二：</w:t>
      </w:r>
      <w:r>
        <w:rPr>
          <w:rFonts w:hint="eastAsia" w:ascii="宋体" w:hAnsi="宋体"/>
          <w:color w:val="auto"/>
          <w:highlight w:val="none"/>
        </w:rPr>
        <w:t>技术、服务性响应文件</w:t>
      </w:r>
    </w:p>
    <w:p w14:paraId="4C362830">
      <w:pPr>
        <w:spacing w:line="360" w:lineRule="auto"/>
        <w:ind w:firstLine="480" w:firstLineChars="200"/>
        <w:outlineLvl w:val="9"/>
        <w:rPr>
          <w:rFonts w:ascii="宋体" w:hAnsi="宋体"/>
          <w:color w:val="auto"/>
          <w:highlight w:val="none"/>
        </w:rPr>
      </w:pPr>
      <w:r>
        <w:rPr>
          <w:rFonts w:ascii="宋体" w:hAnsi="宋体"/>
          <w:color w:val="auto"/>
          <w:highlight w:val="none"/>
        </w:rPr>
        <w:t>包括</w:t>
      </w:r>
      <w:r>
        <w:rPr>
          <w:rFonts w:hint="eastAsia" w:ascii="宋体" w:hAnsi="宋体"/>
          <w:color w:val="auto"/>
          <w:highlight w:val="none"/>
        </w:rPr>
        <w:t>响应函、报价一览表、分项报价表、</w:t>
      </w:r>
      <w:r>
        <w:rPr>
          <w:rFonts w:ascii="宋体" w:hAnsi="宋体"/>
          <w:color w:val="auto"/>
          <w:highlight w:val="none"/>
        </w:rPr>
        <w:t>技术要求响应/偏离表、</w:t>
      </w:r>
      <w:r>
        <w:rPr>
          <w:rFonts w:hint="eastAsia" w:ascii="宋体" w:hAnsi="宋体"/>
          <w:color w:val="auto"/>
          <w:highlight w:val="none"/>
        </w:rPr>
        <w:t>投标产品相关资料</w:t>
      </w:r>
      <w:r>
        <w:rPr>
          <w:rFonts w:ascii="宋体" w:hAnsi="宋体"/>
          <w:color w:val="auto"/>
          <w:highlight w:val="none"/>
        </w:rPr>
        <w:t>、</w:t>
      </w:r>
      <w:r>
        <w:rPr>
          <w:rFonts w:hint="eastAsia" w:ascii="宋体" w:hAnsi="宋体"/>
          <w:color w:val="auto"/>
          <w:highlight w:val="none"/>
        </w:rPr>
        <w:t>供应商的类似业绩证明材料</w:t>
      </w:r>
      <w:r>
        <w:rPr>
          <w:rFonts w:ascii="宋体" w:hAnsi="宋体"/>
          <w:color w:val="auto"/>
          <w:highlight w:val="none"/>
        </w:rPr>
        <w:t>、</w:t>
      </w:r>
      <w:r>
        <w:rPr>
          <w:rFonts w:hint="eastAsia" w:ascii="宋体" w:hAnsi="宋体"/>
          <w:color w:val="auto"/>
          <w:highlight w:val="none"/>
        </w:rPr>
        <w:t>供应商认为在其他方面有必要说明的事项</w:t>
      </w:r>
      <w:r>
        <w:rPr>
          <w:rFonts w:hint="eastAsia" w:ascii="宋体" w:hAnsi="宋体"/>
          <w:color w:val="auto"/>
          <w:highlight w:val="none"/>
          <w:lang w:eastAsia="zh-CN"/>
        </w:rPr>
        <w:t>、</w:t>
      </w:r>
      <w:r>
        <w:rPr>
          <w:rFonts w:hint="eastAsia" w:ascii="宋体" w:hAnsi="宋体"/>
          <w:color w:val="auto"/>
          <w:highlight w:val="none"/>
        </w:rPr>
        <w:t>参与响应的</w:t>
      </w:r>
      <w:r>
        <w:rPr>
          <w:rFonts w:hint="eastAsia" w:ascii="宋体" w:hAnsi="宋体"/>
          <w:color w:val="auto"/>
          <w:highlight w:val="none"/>
          <w:lang w:eastAsia="zh-CN"/>
        </w:rPr>
        <w:t>服务</w:t>
      </w:r>
      <w:r>
        <w:rPr>
          <w:rFonts w:hint="eastAsia" w:ascii="宋体" w:hAnsi="宋体"/>
          <w:color w:val="auto"/>
          <w:highlight w:val="none"/>
        </w:rPr>
        <w:t>或服务清单</w:t>
      </w:r>
      <w:r>
        <w:rPr>
          <w:rFonts w:ascii="宋体" w:hAnsi="宋体"/>
          <w:color w:val="auto"/>
          <w:highlight w:val="none"/>
        </w:rPr>
        <w:t>等文件。</w:t>
      </w:r>
    </w:p>
    <w:p w14:paraId="4F0CED6E">
      <w:pPr>
        <w:spacing w:line="360" w:lineRule="auto"/>
        <w:ind w:firstLine="480" w:firstLineChars="200"/>
        <w:outlineLvl w:val="9"/>
        <w:rPr>
          <w:rFonts w:ascii="宋体" w:hAnsi="宋体"/>
          <w:color w:val="auto"/>
          <w:highlight w:val="none"/>
        </w:rPr>
      </w:pPr>
      <w:r>
        <w:rPr>
          <w:rFonts w:ascii="宋体" w:hAnsi="宋体"/>
          <w:color w:val="auto"/>
          <w:highlight w:val="none"/>
        </w:rPr>
        <w:t>7、报价</w:t>
      </w:r>
    </w:p>
    <w:p w14:paraId="413F922A">
      <w:pPr>
        <w:pStyle w:val="346"/>
        <w:spacing w:line="360" w:lineRule="auto"/>
        <w:ind w:firstLine="480"/>
        <w:outlineLvl w:val="9"/>
        <w:rPr>
          <w:rFonts w:hint="eastAsia" w:ascii="宋体" w:hAnsi="宋体"/>
          <w:color w:val="auto"/>
          <w:sz w:val="24"/>
          <w:highlight w:val="none"/>
        </w:rPr>
      </w:pPr>
      <w:r>
        <w:rPr>
          <w:rFonts w:ascii="宋体" w:hAnsi="宋体"/>
          <w:color w:val="auto"/>
          <w:sz w:val="24"/>
          <w:highlight w:val="none"/>
        </w:rPr>
        <w:t>7.1所有报价一律以人民币报价。采购单位不接受任何非人民币币种的报价。</w:t>
      </w:r>
    </w:p>
    <w:p w14:paraId="12C5444C">
      <w:pPr>
        <w:pStyle w:val="346"/>
        <w:spacing w:line="360" w:lineRule="auto"/>
        <w:ind w:firstLine="480"/>
        <w:outlineLvl w:val="9"/>
        <w:rPr>
          <w:rFonts w:hint="eastAsia" w:ascii="宋体" w:hAnsi="宋体"/>
          <w:color w:val="auto"/>
          <w:sz w:val="24"/>
          <w:highlight w:val="none"/>
        </w:rPr>
      </w:pPr>
      <w:r>
        <w:rPr>
          <w:rFonts w:ascii="宋体" w:hAnsi="宋体"/>
          <w:color w:val="auto"/>
          <w:sz w:val="24"/>
          <w:highlight w:val="none"/>
        </w:rPr>
        <w:t>7.2供应商报价应为完成本竞争性磋商文件中所要求的</w:t>
      </w:r>
      <w:r>
        <w:rPr>
          <w:rFonts w:hint="eastAsia" w:ascii="宋体" w:hAnsi="宋体"/>
          <w:color w:val="auto"/>
          <w:sz w:val="24"/>
          <w:highlight w:val="none"/>
          <w:lang w:eastAsia="zh-CN"/>
        </w:rPr>
        <w:t>服务</w:t>
      </w:r>
      <w:r>
        <w:rPr>
          <w:rFonts w:hint="eastAsia" w:ascii="宋体" w:hAnsi="宋体"/>
          <w:color w:val="auto"/>
          <w:sz w:val="24"/>
          <w:highlight w:val="none"/>
        </w:rPr>
        <w:t>/服务/工程</w:t>
      </w:r>
      <w:r>
        <w:rPr>
          <w:rFonts w:ascii="宋体" w:hAnsi="宋体"/>
          <w:color w:val="auto"/>
          <w:sz w:val="24"/>
          <w:highlight w:val="none"/>
        </w:rPr>
        <w:t>所应包括内容的所有价格。</w:t>
      </w:r>
    </w:p>
    <w:p w14:paraId="6419E2F6">
      <w:pPr>
        <w:pStyle w:val="346"/>
        <w:spacing w:line="360" w:lineRule="auto"/>
        <w:ind w:firstLine="480"/>
        <w:jc w:val="left"/>
        <w:outlineLvl w:val="9"/>
        <w:rPr>
          <w:rFonts w:hint="eastAsia" w:ascii="宋体" w:hAnsi="宋体"/>
          <w:b/>
          <w:color w:val="auto"/>
          <w:sz w:val="24"/>
          <w:highlight w:val="none"/>
        </w:rPr>
      </w:pPr>
      <w:r>
        <w:rPr>
          <w:rFonts w:hint="eastAsia" w:ascii="宋体" w:hAnsi="宋体"/>
          <w:color w:val="auto"/>
          <w:sz w:val="24"/>
          <w:highlight w:val="none"/>
        </w:rPr>
        <w:t>7.3</w:t>
      </w:r>
      <w:r>
        <w:rPr>
          <w:rFonts w:hint="eastAsia" w:ascii="宋体" w:hAnsi="宋体"/>
          <w:b/>
          <w:color w:val="auto"/>
          <w:sz w:val="24"/>
          <w:highlight w:val="none"/>
        </w:rPr>
        <w:t>供应商应在政采云平台（https://www.zcygov.cn/ ）上报价并上传电子磋商响应文件，通过资格审查的磋商供应商按磋商小组要求进行报价。</w:t>
      </w:r>
    </w:p>
    <w:p w14:paraId="55BAE0B5">
      <w:pPr>
        <w:keepNext w:val="0"/>
        <w:keepLines w:val="0"/>
        <w:pageBreakBefore w:val="0"/>
        <w:kinsoku/>
        <w:wordWrap/>
        <w:overflowPunct/>
        <w:topLinePunct w:val="0"/>
        <w:bidi w:val="0"/>
        <w:snapToGrid/>
        <w:spacing w:beforeAutospacing="0" w:afterAutospacing="0" w:line="360" w:lineRule="auto"/>
        <w:ind w:firstLine="480"/>
        <w:jc w:val="left"/>
        <w:textAlignment w:val="auto"/>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潜在供应商自确认参加竞争性磋商起至竞争性磋商响应文件递交截止时间前应随时关注《政采云》平台的消息提醒，及时在《青海政府采购网》查看该项目的采购人（代理机构）发出的通知、变更、答疑等内容。</w:t>
      </w:r>
    </w:p>
    <w:p w14:paraId="6A476654">
      <w:pPr>
        <w:spacing w:line="360" w:lineRule="auto"/>
        <w:ind w:firstLine="480" w:firstLineChars="200"/>
        <w:jc w:val="left"/>
        <w:outlineLvl w:val="9"/>
        <w:rPr>
          <w:rFonts w:ascii="宋体" w:hAnsi="宋体"/>
          <w:color w:val="auto"/>
          <w:highlight w:val="none"/>
        </w:rPr>
      </w:pPr>
      <w:r>
        <w:rPr>
          <w:rFonts w:ascii="宋体" w:hAnsi="宋体"/>
          <w:color w:val="auto"/>
          <w:highlight w:val="none"/>
        </w:rPr>
        <w:t>8、响应文件的递交</w:t>
      </w:r>
    </w:p>
    <w:p w14:paraId="0A834E6E">
      <w:pPr>
        <w:pStyle w:val="346"/>
        <w:spacing w:line="360" w:lineRule="auto"/>
        <w:ind w:right="0" w:rightChars="0" w:firstLine="480"/>
        <w:outlineLvl w:val="9"/>
        <w:rPr>
          <w:rFonts w:ascii="宋体" w:hAnsi="宋体"/>
          <w:color w:val="auto"/>
          <w:sz w:val="24"/>
          <w:highlight w:val="none"/>
        </w:rPr>
      </w:pPr>
      <w:r>
        <w:rPr>
          <w:rFonts w:ascii="宋体" w:hAnsi="宋体"/>
          <w:color w:val="auto"/>
          <w:sz w:val="24"/>
          <w:highlight w:val="none"/>
        </w:rPr>
        <w:t>8.1</w:t>
      </w:r>
      <w:r>
        <w:rPr>
          <w:rFonts w:hint="eastAsia" w:ascii="宋体" w:hAnsi="宋体"/>
          <w:color w:val="auto"/>
          <w:sz w:val="24"/>
          <w:highlight w:val="none"/>
        </w:rPr>
        <w:t xml:space="preserve">供应商递交的响应文件应上传至政采云平台（https://www.zcygov.cn/ </w:t>
      </w:r>
      <w:r>
        <w:rPr>
          <w:rFonts w:hint="eastAsia" w:ascii="宋体" w:hAnsi="宋体"/>
          <w:color w:val="auto"/>
          <w:sz w:val="24"/>
          <w:highlight w:val="none"/>
          <w:lang w:eastAsia="zh-CN"/>
        </w:rPr>
        <w:t>）</w:t>
      </w:r>
      <w:r>
        <w:rPr>
          <w:rFonts w:hint="eastAsia" w:ascii="宋体" w:hAnsi="宋体"/>
          <w:color w:val="auto"/>
          <w:sz w:val="24"/>
          <w:highlight w:val="none"/>
        </w:rPr>
        <w:t>。</w:t>
      </w:r>
    </w:p>
    <w:p w14:paraId="40952A72">
      <w:pPr>
        <w:pStyle w:val="346"/>
        <w:spacing w:line="360" w:lineRule="auto"/>
        <w:ind w:firstLine="480"/>
        <w:outlineLvl w:val="9"/>
        <w:rPr>
          <w:rFonts w:hint="eastAsia" w:ascii="宋体" w:hAnsi="宋体"/>
          <w:color w:val="auto"/>
          <w:sz w:val="24"/>
          <w:highlight w:val="none"/>
        </w:rPr>
      </w:pPr>
      <w:r>
        <w:rPr>
          <w:rFonts w:ascii="宋体" w:hAnsi="宋体"/>
          <w:color w:val="auto"/>
          <w:sz w:val="24"/>
          <w:highlight w:val="none"/>
        </w:rPr>
        <w:t>8.2</w:t>
      </w:r>
      <w:r>
        <w:rPr>
          <w:rFonts w:hint="eastAsia" w:ascii="宋体" w:hAnsi="宋体"/>
          <w:color w:val="auto"/>
          <w:sz w:val="24"/>
          <w:highlight w:val="none"/>
        </w:rPr>
        <w:t>投标人以电报、电话、传真形式投标的，采购代理机构概不接受。</w:t>
      </w:r>
    </w:p>
    <w:p w14:paraId="0C9F58DA">
      <w:pPr>
        <w:pStyle w:val="346"/>
        <w:spacing w:line="360" w:lineRule="auto"/>
        <w:ind w:firstLine="480"/>
        <w:outlineLvl w:val="9"/>
        <w:rPr>
          <w:rFonts w:ascii="宋体" w:hAnsi="宋体"/>
          <w:color w:val="auto"/>
          <w:sz w:val="24"/>
          <w:highlight w:val="none"/>
        </w:rPr>
      </w:pPr>
      <w:r>
        <w:rPr>
          <w:rFonts w:ascii="宋体" w:hAnsi="宋体"/>
          <w:color w:val="auto"/>
          <w:sz w:val="24"/>
          <w:highlight w:val="none"/>
        </w:rPr>
        <w:t>8.3</w:t>
      </w:r>
      <w:r>
        <w:rPr>
          <w:rFonts w:hint="eastAsia" w:ascii="宋体" w:hAnsi="宋体"/>
          <w:color w:val="auto"/>
          <w:sz w:val="24"/>
          <w:highlight w:val="none"/>
        </w:rPr>
        <w:t xml:space="preserve">所有磋商响应文件都必须按“投标人须知前附表”中规定的磋商截止时间之前上传至政采云平台（https://www.zcygov.cn/ </w:t>
      </w:r>
      <w:r>
        <w:rPr>
          <w:rFonts w:hint="eastAsia" w:ascii="宋体" w:hAnsi="宋体"/>
          <w:color w:val="auto"/>
          <w:sz w:val="24"/>
          <w:highlight w:val="none"/>
          <w:lang w:eastAsia="zh-CN"/>
        </w:rPr>
        <w:t>）</w:t>
      </w:r>
      <w:r>
        <w:rPr>
          <w:rFonts w:hint="eastAsia" w:ascii="宋体" w:hAnsi="宋体"/>
          <w:color w:val="auto"/>
          <w:sz w:val="24"/>
          <w:highlight w:val="none"/>
        </w:rPr>
        <w:t>。</w:t>
      </w:r>
    </w:p>
    <w:p w14:paraId="0969A94C">
      <w:pPr>
        <w:pStyle w:val="346"/>
        <w:spacing w:line="360" w:lineRule="auto"/>
        <w:ind w:firstLine="480"/>
        <w:outlineLvl w:val="9"/>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4采购代理机构将拒绝接受在磋商截止时间之后送达的磋商响应文件</w:t>
      </w:r>
      <w:r>
        <w:rPr>
          <w:rFonts w:ascii="宋体" w:hAnsi="宋体"/>
          <w:color w:val="auto"/>
          <w:sz w:val="24"/>
          <w:highlight w:val="none"/>
        </w:rPr>
        <w:t>。</w:t>
      </w:r>
    </w:p>
    <w:p w14:paraId="4DD5F991">
      <w:pPr>
        <w:spacing w:line="360" w:lineRule="auto"/>
        <w:ind w:firstLine="480"/>
        <w:outlineLvl w:val="9"/>
        <w:rPr>
          <w:rFonts w:ascii="宋体" w:hAnsi="宋体"/>
          <w:color w:val="auto"/>
          <w:sz w:val="24"/>
          <w:highlight w:val="none"/>
        </w:rPr>
      </w:pPr>
      <w:r>
        <w:rPr>
          <w:rFonts w:hint="eastAsia" w:ascii="宋体" w:hAnsi="宋体"/>
          <w:color w:val="auto"/>
          <w:highlight w:val="none"/>
          <w:lang w:val="en-US" w:eastAsia="zh-CN"/>
        </w:rPr>
        <w:t>8.5</w:t>
      </w:r>
      <w:r>
        <w:rPr>
          <w:rFonts w:hint="eastAsia" w:ascii="宋体" w:hAnsi="宋体"/>
          <w:color w:val="auto"/>
          <w:highlight w:val="none"/>
        </w:rPr>
        <w:t>允许投标人在提交最后报价之前声明撤回磋商响应文件，但提交最后报价之后不得撤回其投标，否则其磋商保证金将不予退还。</w:t>
      </w:r>
    </w:p>
    <w:p w14:paraId="35571748">
      <w:pPr>
        <w:spacing w:line="360" w:lineRule="auto"/>
        <w:ind w:firstLine="480" w:firstLineChars="200"/>
        <w:outlineLvl w:val="9"/>
        <w:rPr>
          <w:rFonts w:ascii="宋体" w:hAnsi="宋体"/>
          <w:color w:val="auto"/>
          <w:highlight w:val="none"/>
        </w:rPr>
      </w:pPr>
      <w:r>
        <w:rPr>
          <w:rFonts w:ascii="宋体" w:hAnsi="宋体"/>
          <w:color w:val="auto"/>
          <w:highlight w:val="none"/>
        </w:rPr>
        <w:t>9、磋商保证金</w:t>
      </w:r>
      <w:r>
        <w:rPr>
          <w:rFonts w:hint="eastAsia" w:ascii="宋体" w:hAnsi="宋体"/>
          <w:color w:val="auto"/>
          <w:highlight w:val="none"/>
        </w:rPr>
        <w:t>/履约保证金</w:t>
      </w:r>
    </w:p>
    <w:p w14:paraId="61E1DD22">
      <w:pPr>
        <w:autoSpaceDE w:val="0"/>
        <w:autoSpaceDN w:val="0"/>
        <w:snapToGrid w:val="0"/>
        <w:spacing w:line="360" w:lineRule="auto"/>
        <w:ind w:firstLine="480" w:firstLineChars="200"/>
        <w:outlineLvl w:val="9"/>
        <w:rPr>
          <w:rFonts w:ascii="宋体" w:hAnsi="宋体"/>
          <w:color w:val="auto"/>
          <w:highlight w:val="none"/>
        </w:rPr>
      </w:pPr>
      <w:r>
        <w:rPr>
          <w:rFonts w:ascii="宋体" w:hAnsi="宋体"/>
          <w:color w:val="auto"/>
          <w:highlight w:val="none"/>
        </w:rPr>
        <w:t>9.1  供应商应提交一笔不少于本竞争性磋商文件规定的人民币金额的磋商保证金。</w:t>
      </w:r>
      <w:r>
        <w:rPr>
          <w:rFonts w:hint="eastAsia" w:ascii="宋体" w:hAnsi="宋体"/>
          <w:color w:val="auto"/>
          <w:highlight w:val="none"/>
        </w:rPr>
        <w:t>成交供应商的磋商保证金，在合同签订生效并按规定交纳了履约保证金后五个工作日内退还，未成交者的磋商保证金转账退还。</w:t>
      </w:r>
    </w:p>
    <w:p w14:paraId="2CBFC1AE">
      <w:pPr>
        <w:autoSpaceDE w:val="0"/>
        <w:autoSpaceDN w:val="0"/>
        <w:snapToGrid w:val="0"/>
        <w:spacing w:line="360" w:lineRule="auto"/>
        <w:ind w:firstLine="480" w:firstLineChars="200"/>
        <w:outlineLvl w:val="9"/>
        <w:rPr>
          <w:rFonts w:ascii="宋体" w:hAnsi="宋体"/>
          <w:color w:val="auto"/>
          <w:highlight w:val="none"/>
        </w:rPr>
      </w:pPr>
      <w:r>
        <w:rPr>
          <w:rFonts w:ascii="宋体" w:hAnsi="宋体"/>
          <w:color w:val="auto"/>
          <w:highlight w:val="none"/>
        </w:rPr>
        <w:t>磋商保证金是为了保护采购单位免遭因供应商的行为而蒙受损失，采购单位在因供应商的行为受到损害时可根据第9.</w:t>
      </w:r>
      <w:r>
        <w:rPr>
          <w:rFonts w:hint="eastAsia" w:ascii="宋体" w:hAnsi="宋体"/>
          <w:color w:val="auto"/>
          <w:highlight w:val="none"/>
        </w:rPr>
        <w:t>4</w:t>
      </w:r>
      <w:r>
        <w:rPr>
          <w:rFonts w:ascii="宋体" w:hAnsi="宋体"/>
          <w:color w:val="auto"/>
          <w:highlight w:val="none"/>
        </w:rPr>
        <w:t>条的规定不予退还供应商的磋商保证金。供应商递交响应文件前，应提交规定数额的磋商保证金</w:t>
      </w:r>
      <w:r>
        <w:rPr>
          <w:rFonts w:hint="eastAsia" w:ascii="宋体" w:hAnsi="宋体"/>
          <w:color w:val="auto"/>
          <w:highlight w:val="none"/>
        </w:rPr>
        <w:t>：</w:t>
      </w:r>
    </w:p>
    <w:p w14:paraId="7609176D">
      <w:pPr>
        <w:autoSpaceDE w:val="0"/>
        <w:autoSpaceDN w:val="0"/>
        <w:spacing w:line="360" w:lineRule="auto"/>
        <w:ind w:firstLine="482" w:firstLineChars="200"/>
        <w:rPr>
          <w:rFonts w:hint="eastAsia" w:ascii="宋体" w:hAnsi="宋体" w:cs="宋体"/>
          <w:b/>
          <w:bCs/>
          <w:color w:val="auto"/>
          <w:kern w:val="0"/>
          <w:lang w:val="zh-CN"/>
        </w:rPr>
      </w:pPr>
      <w:r>
        <w:rPr>
          <w:rFonts w:hint="eastAsia" w:ascii="宋体" w:hAnsi="宋体" w:eastAsia="宋体" w:cs="宋体"/>
          <w:b/>
          <w:color w:val="auto"/>
          <w:highlight w:val="none"/>
        </w:rPr>
        <w:t>保证金金额：</w:t>
      </w:r>
    </w:p>
    <w:p w14:paraId="094C1448">
      <w:pPr>
        <w:autoSpaceDE w:val="0"/>
        <w:autoSpaceDN w:val="0"/>
        <w:spacing w:line="360" w:lineRule="auto"/>
        <w:ind w:firstLine="482" w:firstLineChars="200"/>
        <w:rPr>
          <w:rFonts w:hint="eastAsia" w:ascii="宋体" w:hAnsi="宋体" w:cs="宋体"/>
          <w:b/>
          <w:bCs/>
          <w:color w:val="auto"/>
          <w:kern w:val="0"/>
          <w:lang w:val="zh-CN"/>
        </w:rPr>
      </w:pPr>
      <w:r>
        <w:rPr>
          <w:rFonts w:hint="eastAsia" w:ascii="宋体" w:hAnsi="宋体" w:cs="宋体"/>
          <w:b/>
          <w:bCs/>
          <w:color w:val="auto"/>
          <w:kern w:val="0"/>
        </w:rPr>
        <w:t>包一：</w:t>
      </w:r>
      <w:r>
        <w:rPr>
          <w:rFonts w:hint="eastAsia" w:ascii="宋体" w:hAnsi="宋体" w:cs="宋体"/>
          <w:b/>
          <w:bCs/>
          <w:color w:val="auto"/>
          <w:kern w:val="0"/>
          <w:lang w:val="zh-CN"/>
        </w:rPr>
        <w:t>小写：</w:t>
      </w:r>
      <w:r>
        <w:rPr>
          <w:rFonts w:hint="eastAsia" w:ascii="宋体" w:hAnsi="宋体" w:cs="宋体"/>
          <w:b/>
          <w:bCs/>
          <w:color w:val="auto"/>
          <w:kern w:val="0"/>
        </w:rPr>
        <w:t>10,000.00</w:t>
      </w:r>
      <w:r>
        <w:rPr>
          <w:rFonts w:hint="eastAsia" w:ascii="宋体" w:hAnsi="宋体" w:cs="宋体"/>
          <w:b/>
          <w:bCs/>
          <w:color w:val="auto"/>
          <w:kern w:val="0"/>
          <w:lang w:val="zh-CN"/>
        </w:rPr>
        <w:t>元； 大写：</w:t>
      </w:r>
      <w:r>
        <w:rPr>
          <w:rFonts w:hint="eastAsia" w:ascii="宋体" w:hAnsi="宋体" w:cs="宋体"/>
          <w:b/>
          <w:bCs/>
          <w:color w:val="auto"/>
          <w:kern w:val="0"/>
        </w:rPr>
        <w:t>壹万元整</w:t>
      </w:r>
      <w:r>
        <w:rPr>
          <w:rFonts w:hint="eastAsia" w:ascii="宋体" w:hAnsi="宋体" w:cs="宋体"/>
          <w:b/>
          <w:bCs/>
          <w:color w:val="auto"/>
          <w:kern w:val="0"/>
          <w:lang w:val="zh-CN"/>
        </w:rPr>
        <w:t>；</w:t>
      </w:r>
    </w:p>
    <w:p w14:paraId="3DC6AE84">
      <w:pPr>
        <w:autoSpaceDE w:val="0"/>
        <w:autoSpaceDN w:val="0"/>
        <w:spacing w:line="360" w:lineRule="auto"/>
        <w:ind w:firstLine="482" w:firstLineChars="200"/>
        <w:rPr>
          <w:rFonts w:hint="eastAsia" w:ascii="宋体" w:hAnsi="宋体" w:cs="宋体"/>
          <w:b/>
          <w:bCs/>
          <w:color w:val="auto"/>
          <w:kern w:val="0"/>
          <w:lang w:val="zh-CN"/>
        </w:rPr>
      </w:pPr>
      <w:r>
        <w:rPr>
          <w:rFonts w:hint="eastAsia" w:ascii="宋体" w:hAnsi="宋体" w:cs="宋体"/>
          <w:b/>
          <w:bCs/>
          <w:color w:val="auto"/>
          <w:kern w:val="0"/>
        </w:rPr>
        <w:t>包二：</w:t>
      </w:r>
      <w:r>
        <w:rPr>
          <w:rFonts w:hint="eastAsia" w:ascii="宋体" w:hAnsi="宋体" w:cs="宋体"/>
          <w:b/>
          <w:bCs/>
          <w:color w:val="auto"/>
          <w:kern w:val="0"/>
          <w:lang w:val="zh-CN"/>
        </w:rPr>
        <w:t>小写：</w:t>
      </w:r>
      <w:r>
        <w:rPr>
          <w:rFonts w:hint="eastAsia" w:ascii="宋体" w:hAnsi="宋体" w:cs="宋体"/>
          <w:b/>
          <w:bCs/>
          <w:color w:val="auto"/>
          <w:kern w:val="0"/>
          <w:lang w:val="en-US" w:eastAsia="zh-CN"/>
        </w:rPr>
        <w:t>8</w:t>
      </w:r>
      <w:r>
        <w:rPr>
          <w:rFonts w:hint="eastAsia" w:ascii="宋体" w:hAnsi="宋体" w:cs="宋体"/>
          <w:b/>
          <w:bCs/>
          <w:color w:val="auto"/>
          <w:kern w:val="0"/>
        </w:rPr>
        <w:t>,000.00</w:t>
      </w:r>
      <w:r>
        <w:rPr>
          <w:rFonts w:hint="eastAsia" w:ascii="宋体" w:hAnsi="宋体" w:cs="宋体"/>
          <w:b/>
          <w:bCs/>
          <w:color w:val="auto"/>
          <w:kern w:val="0"/>
          <w:lang w:val="zh-CN"/>
        </w:rPr>
        <w:t>元； 大写：</w:t>
      </w:r>
      <w:r>
        <w:rPr>
          <w:rFonts w:hint="eastAsia" w:ascii="宋体" w:hAnsi="宋体" w:cs="宋体"/>
          <w:b/>
          <w:bCs/>
          <w:color w:val="auto"/>
          <w:kern w:val="0"/>
          <w:lang w:val="en-US" w:eastAsia="zh-CN"/>
        </w:rPr>
        <w:t>捌仟元整</w:t>
      </w:r>
      <w:r>
        <w:rPr>
          <w:rFonts w:hint="eastAsia" w:ascii="宋体" w:hAnsi="宋体" w:cs="宋体"/>
          <w:b/>
          <w:bCs/>
          <w:color w:val="auto"/>
          <w:kern w:val="0"/>
          <w:lang w:val="zh-CN"/>
        </w:rPr>
        <w:t>；</w:t>
      </w:r>
    </w:p>
    <w:p w14:paraId="341B2CF6">
      <w:pPr>
        <w:autoSpaceDE w:val="0"/>
        <w:autoSpaceDN w:val="0"/>
        <w:spacing w:line="360" w:lineRule="auto"/>
        <w:ind w:firstLine="482" w:firstLineChars="200"/>
        <w:rPr>
          <w:rFonts w:hint="eastAsia" w:ascii="宋体" w:hAnsi="宋体" w:eastAsia="宋体" w:cs="宋体"/>
          <w:b/>
          <w:color w:val="auto"/>
          <w:highlight w:val="none"/>
        </w:rPr>
      </w:pPr>
      <w:r>
        <w:rPr>
          <w:rFonts w:hint="eastAsia" w:ascii="宋体" w:hAnsi="宋体" w:cs="宋体"/>
          <w:b/>
          <w:bCs/>
          <w:color w:val="auto"/>
          <w:kern w:val="0"/>
        </w:rPr>
        <w:t>包三：</w:t>
      </w:r>
      <w:r>
        <w:rPr>
          <w:rFonts w:hint="eastAsia" w:ascii="宋体" w:hAnsi="宋体" w:cs="宋体"/>
          <w:b/>
          <w:bCs/>
          <w:color w:val="auto"/>
          <w:kern w:val="0"/>
          <w:lang w:val="zh-CN"/>
        </w:rPr>
        <w:t>小写：</w:t>
      </w:r>
      <w:r>
        <w:rPr>
          <w:rFonts w:hint="eastAsia" w:ascii="宋体" w:hAnsi="宋体" w:cs="宋体"/>
          <w:b/>
          <w:bCs/>
          <w:color w:val="auto"/>
          <w:kern w:val="0"/>
          <w:lang w:val="en-US" w:eastAsia="zh-CN"/>
        </w:rPr>
        <w:t>3,500.00</w:t>
      </w:r>
      <w:r>
        <w:rPr>
          <w:rFonts w:hint="eastAsia" w:ascii="宋体" w:hAnsi="宋体" w:cs="宋体"/>
          <w:b/>
          <w:bCs/>
          <w:color w:val="auto"/>
          <w:kern w:val="0"/>
          <w:lang w:val="zh-CN"/>
        </w:rPr>
        <w:t>元； 大写：</w:t>
      </w:r>
      <w:r>
        <w:rPr>
          <w:rFonts w:hint="eastAsia" w:ascii="宋体" w:hAnsi="宋体" w:cs="宋体"/>
          <w:b/>
          <w:bCs/>
          <w:color w:val="auto"/>
          <w:kern w:val="0"/>
          <w:lang w:val="en-US" w:eastAsia="zh-CN"/>
        </w:rPr>
        <w:t>叁仟伍佰元整</w:t>
      </w:r>
      <w:r>
        <w:rPr>
          <w:rFonts w:hint="eastAsia" w:ascii="宋体" w:hAnsi="宋体" w:cs="宋体"/>
          <w:b/>
          <w:bCs/>
          <w:color w:val="auto"/>
          <w:kern w:val="0"/>
          <w:lang w:val="zh-CN"/>
        </w:rPr>
        <w:t>；</w:t>
      </w:r>
    </w:p>
    <w:p w14:paraId="20901C0C">
      <w:pPr>
        <w:spacing w:line="360" w:lineRule="auto"/>
        <w:ind w:firstLine="482" w:firstLineChars="200"/>
        <w:jc w:val="both"/>
        <w:outlineLvl w:val="9"/>
        <w:rPr>
          <w:rFonts w:hint="eastAsia" w:ascii="宋体" w:hAnsi="宋体" w:eastAsia="宋体" w:cs="宋体"/>
          <w:b/>
          <w:color w:val="auto"/>
          <w:highlight w:val="none"/>
        </w:rPr>
      </w:pPr>
      <w:r>
        <w:rPr>
          <w:rFonts w:hint="eastAsia" w:ascii="宋体" w:hAnsi="宋体" w:eastAsia="宋体" w:cs="宋体"/>
          <w:b/>
          <w:color w:val="auto"/>
          <w:highlight w:val="none"/>
        </w:rPr>
        <w:t>磋商保证金递交截止时间为</w:t>
      </w:r>
      <w:r>
        <w:rPr>
          <w:rFonts w:hint="eastAsia" w:ascii="宋体" w:hAnsi="宋体" w:eastAsia="宋体" w:cs="宋体"/>
          <w:b/>
          <w:color w:val="auto"/>
          <w:highlight w:val="none"/>
          <w:lang w:eastAsia="zh-CN"/>
        </w:rPr>
        <w:t>开标截止时间止</w:t>
      </w:r>
      <w:r>
        <w:rPr>
          <w:rFonts w:hint="eastAsia" w:ascii="宋体" w:hAnsi="宋体" w:eastAsia="宋体" w:cs="宋体"/>
          <w:b/>
          <w:color w:val="auto"/>
          <w:highlight w:val="none"/>
        </w:rPr>
        <w:t>。</w:t>
      </w:r>
    </w:p>
    <w:p w14:paraId="78A6D79B">
      <w:pPr>
        <w:spacing w:line="360" w:lineRule="auto"/>
        <w:ind w:firstLine="482" w:firstLineChars="200"/>
        <w:jc w:val="both"/>
        <w:outlineLvl w:val="9"/>
        <w:rPr>
          <w:rFonts w:hint="eastAsia" w:ascii="宋体" w:hAnsi="宋体"/>
          <w:b/>
          <w:color w:val="auto"/>
          <w:sz w:val="24"/>
          <w:szCs w:val="24"/>
          <w:highlight w:val="none"/>
        </w:rPr>
      </w:pPr>
      <w:r>
        <w:rPr>
          <w:rFonts w:hint="eastAsia" w:ascii="宋体" w:hAnsi="宋体" w:eastAsia="宋体" w:cs="宋体"/>
          <w:b/>
          <w:color w:val="auto"/>
          <w:highlight w:val="none"/>
        </w:rPr>
        <w:t>交款方式：</w:t>
      </w:r>
      <w:r>
        <w:rPr>
          <w:rFonts w:hint="eastAsia" w:ascii="宋体" w:hAnsi="宋体"/>
          <w:b/>
          <w:color w:val="auto"/>
          <w:sz w:val="24"/>
          <w:szCs w:val="24"/>
          <w:highlight w:val="none"/>
        </w:rPr>
        <w:t>银行电汇、转账</w:t>
      </w:r>
      <w:r>
        <w:rPr>
          <w:rFonts w:hint="eastAsia" w:ascii="宋体" w:hAnsi="宋体"/>
          <w:b/>
          <w:color w:val="auto"/>
          <w:sz w:val="24"/>
          <w:szCs w:val="24"/>
          <w:highlight w:val="none"/>
          <w:lang w:eastAsia="zh-CN"/>
        </w:rPr>
        <w:t>等</w:t>
      </w:r>
      <w:r>
        <w:rPr>
          <w:rFonts w:hint="eastAsia" w:ascii="宋体" w:hAnsi="宋体"/>
          <w:b/>
          <w:color w:val="auto"/>
          <w:sz w:val="24"/>
          <w:szCs w:val="24"/>
          <w:highlight w:val="none"/>
        </w:rPr>
        <w:t>；</w:t>
      </w:r>
      <w:r>
        <w:rPr>
          <w:rFonts w:hint="eastAsia" w:ascii="宋体" w:hAnsi="宋体" w:eastAsia="宋体" w:cs="Times New Roman"/>
          <w:b/>
          <w:color w:val="auto"/>
          <w:sz w:val="24"/>
          <w:szCs w:val="24"/>
          <w:highlight w:val="none"/>
          <w:lang w:val="zh-CN"/>
        </w:rPr>
        <w:t>须由投标人汇（转）入代理机构投标保证金专用账号，票据附言栏内须注明项目（包括标段）名称及用途；</w:t>
      </w:r>
    </w:p>
    <w:p w14:paraId="478643D4">
      <w:pPr>
        <w:spacing w:line="360" w:lineRule="auto"/>
        <w:ind w:firstLine="482" w:firstLineChars="200"/>
        <w:jc w:val="both"/>
        <w:outlineLvl w:val="9"/>
        <w:rPr>
          <w:rFonts w:hint="eastAsia" w:ascii="宋体" w:hAnsi="宋体" w:eastAsia="宋体" w:cs="宋体"/>
          <w:b/>
          <w:color w:val="auto"/>
          <w:highlight w:val="none"/>
          <w:lang w:eastAsia="zh-CN"/>
        </w:rPr>
      </w:pPr>
      <w:r>
        <w:rPr>
          <w:rFonts w:hint="eastAsia" w:ascii="宋体" w:hAnsi="宋体" w:eastAsia="宋体" w:cs="宋体"/>
          <w:b/>
          <w:color w:val="auto"/>
          <w:highlight w:val="none"/>
        </w:rPr>
        <w:t>开户银行：</w:t>
      </w:r>
      <w:r>
        <w:rPr>
          <w:rFonts w:hint="eastAsia" w:ascii="宋体" w:hAnsi="宋体" w:eastAsia="宋体" w:cs="宋体"/>
          <w:b/>
          <w:bCs/>
          <w:color w:val="auto"/>
          <w:highlight w:val="none"/>
          <w:lang w:val="zh-CN" w:bidi="ar"/>
        </w:rPr>
        <w:t>招商银行股份有限公司西宁分行</w:t>
      </w:r>
    </w:p>
    <w:p w14:paraId="3A3037C7">
      <w:pPr>
        <w:spacing w:line="360" w:lineRule="auto"/>
        <w:ind w:firstLine="482" w:firstLineChars="200"/>
        <w:jc w:val="both"/>
        <w:outlineLvl w:val="9"/>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投标保证金账号：</w:t>
      </w:r>
      <w:r>
        <w:rPr>
          <w:rFonts w:hint="eastAsia" w:ascii="宋体" w:hAnsi="宋体" w:eastAsia="宋体" w:cs="宋体"/>
          <w:b/>
          <w:color w:val="auto"/>
          <w:highlight w:val="none"/>
          <w:lang w:val="zh-CN" w:eastAsia="zh-CN"/>
        </w:rPr>
        <w:t>9729 0093 5410 902</w:t>
      </w:r>
    </w:p>
    <w:p w14:paraId="37B497BC">
      <w:pPr>
        <w:spacing w:line="360" w:lineRule="auto"/>
        <w:ind w:firstLine="482" w:firstLineChars="200"/>
        <w:jc w:val="both"/>
        <w:outlineLvl w:val="9"/>
        <w:rPr>
          <w:rFonts w:hint="eastAsia" w:ascii="宋体" w:hAnsi="宋体" w:eastAsia="宋体" w:cs="宋体"/>
          <w:b/>
          <w:color w:val="auto"/>
          <w:highlight w:val="none"/>
          <w:lang w:eastAsia="zh-CN"/>
        </w:rPr>
      </w:pPr>
      <w:r>
        <w:rPr>
          <w:rFonts w:hint="eastAsia" w:ascii="宋体" w:hAnsi="宋体" w:eastAsia="宋体" w:cs="宋体"/>
          <w:b/>
          <w:color w:val="auto"/>
          <w:highlight w:val="none"/>
        </w:rPr>
        <w:t>收款单位：</w:t>
      </w:r>
      <w:r>
        <w:rPr>
          <w:rFonts w:hint="eastAsia" w:ascii="宋体" w:hAnsi="宋体" w:eastAsia="宋体" w:cs="宋体"/>
          <w:b/>
          <w:color w:val="auto"/>
          <w:highlight w:val="none"/>
          <w:lang w:eastAsia="zh-CN"/>
        </w:rPr>
        <w:t>青海</w:t>
      </w:r>
      <w:r>
        <w:rPr>
          <w:rFonts w:hint="eastAsia" w:ascii="宋体" w:hAnsi="宋体" w:eastAsia="宋体" w:cs="宋体"/>
          <w:b/>
          <w:color w:val="auto"/>
          <w:highlight w:val="none"/>
          <w:lang w:val="en-US" w:eastAsia="zh-CN"/>
        </w:rPr>
        <w:t>宸晖</w:t>
      </w:r>
      <w:r>
        <w:rPr>
          <w:rFonts w:hint="eastAsia" w:ascii="宋体" w:hAnsi="宋体" w:eastAsia="宋体" w:cs="宋体"/>
          <w:b/>
          <w:color w:val="auto"/>
          <w:highlight w:val="none"/>
          <w:lang w:eastAsia="zh-CN"/>
        </w:rPr>
        <w:t>工程项目管理有限公司</w:t>
      </w:r>
    </w:p>
    <w:p w14:paraId="1F3EE5E8">
      <w:pPr>
        <w:autoSpaceDE w:val="0"/>
        <w:autoSpaceDN w:val="0"/>
        <w:snapToGrid w:val="0"/>
        <w:spacing w:line="360" w:lineRule="auto"/>
        <w:ind w:firstLine="480" w:firstLineChars="200"/>
        <w:outlineLvl w:val="9"/>
        <w:rPr>
          <w:rFonts w:ascii="宋体" w:hAnsi="宋体"/>
          <w:color w:val="auto"/>
          <w:highlight w:val="none"/>
        </w:rPr>
      </w:pPr>
      <w:r>
        <w:rPr>
          <w:rFonts w:ascii="宋体" w:hAnsi="宋体"/>
          <w:color w:val="auto"/>
          <w:highlight w:val="none"/>
        </w:rPr>
        <w:t>9.</w:t>
      </w:r>
      <w:r>
        <w:rPr>
          <w:rFonts w:hint="eastAsia" w:ascii="宋体" w:hAnsi="宋体"/>
          <w:color w:val="auto"/>
          <w:highlight w:val="none"/>
        </w:rPr>
        <w:t>2</w:t>
      </w:r>
      <w:r>
        <w:rPr>
          <w:rFonts w:ascii="宋体" w:hAnsi="宋体"/>
          <w:color w:val="auto"/>
          <w:highlight w:val="none"/>
        </w:rPr>
        <w:t xml:space="preserve">  未按规定时间和数额交纳谈判保证金的响应文件，应视为非响应性响应予以拒绝。</w:t>
      </w:r>
    </w:p>
    <w:p w14:paraId="30436C9E">
      <w:pPr>
        <w:autoSpaceDE w:val="0"/>
        <w:autoSpaceDN w:val="0"/>
        <w:snapToGrid w:val="0"/>
        <w:spacing w:line="360" w:lineRule="auto"/>
        <w:ind w:firstLine="480" w:firstLineChars="200"/>
        <w:outlineLvl w:val="9"/>
        <w:rPr>
          <w:rFonts w:ascii="宋体" w:hAnsi="宋体"/>
          <w:color w:val="auto"/>
          <w:highlight w:val="none"/>
        </w:rPr>
      </w:pPr>
      <w:r>
        <w:rPr>
          <w:rFonts w:ascii="宋体" w:hAnsi="宋体"/>
          <w:color w:val="auto"/>
          <w:highlight w:val="none"/>
        </w:rPr>
        <w:t>9.</w:t>
      </w:r>
      <w:r>
        <w:rPr>
          <w:rFonts w:hint="eastAsia" w:ascii="宋体" w:hAnsi="宋体"/>
          <w:color w:val="auto"/>
          <w:highlight w:val="none"/>
        </w:rPr>
        <w:t>3</w:t>
      </w:r>
      <w:r>
        <w:rPr>
          <w:rFonts w:ascii="宋体" w:hAnsi="宋体"/>
          <w:color w:val="auto"/>
          <w:highlight w:val="none"/>
        </w:rPr>
        <w:t xml:space="preserve">  </w:t>
      </w:r>
      <w:r>
        <w:rPr>
          <w:rFonts w:hint="eastAsia" w:ascii="宋体" w:hAnsi="宋体"/>
          <w:color w:val="auto"/>
          <w:highlight w:val="none"/>
        </w:rPr>
        <w:t>未成交的供应商的谈判保证金，将于成交通知书发出之日起5个工作日后退还供应商（不退现金）；成交供应商的谈判保证金在成交供应商与采购人签订采购合同后，5个工作日内退还（不退现金）。</w:t>
      </w:r>
    </w:p>
    <w:p w14:paraId="42BFD19D">
      <w:pPr>
        <w:autoSpaceDE w:val="0"/>
        <w:autoSpaceDN w:val="0"/>
        <w:snapToGrid w:val="0"/>
        <w:spacing w:line="360" w:lineRule="auto"/>
        <w:ind w:firstLine="480" w:firstLineChars="200"/>
        <w:outlineLvl w:val="9"/>
        <w:rPr>
          <w:rFonts w:ascii="宋体" w:hAnsi="宋体"/>
          <w:color w:val="auto"/>
          <w:highlight w:val="none"/>
        </w:rPr>
      </w:pPr>
      <w:r>
        <w:rPr>
          <w:rFonts w:ascii="宋体" w:hAnsi="宋体"/>
          <w:color w:val="auto"/>
          <w:highlight w:val="none"/>
        </w:rPr>
        <w:t>9.</w:t>
      </w:r>
      <w:r>
        <w:rPr>
          <w:rFonts w:hint="eastAsia" w:ascii="宋体" w:hAnsi="宋体"/>
          <w:color w:val="auto"/>
          <w:highlight w:val="none"/>
        </w:rPr>
        <w:t>4</w:t>
      </w:r>
      <w:r>
        <w:rPr>
          <w:rFonts w:ascii="宋体" w:hAnsi="宋体"/>
          <w:color w:val="auto"/>
          <w:highlight w:val="none"/>
        </w:rPr>
        <w:t xml:space="preserve">  </w:t>
      </w:r>
      <w:r>
        <w:rPr>
          <w:rFonts w:hint="eastAsia" w:ascii="宋体" w:hAnsi="宋体"/>
          <w:color w:val="auto"/>
          <w:highlight w:val="none"/>
        </w:rPr>
        <w:t>下列任何情况发生时，磋商保证金将被不予退还：</w:t>
      </w:r>
    </w:p>
    <w:p w14:paraId="1030CBF6">
      <w:pPr>
        <w:autoSpaceDE w:val="0"/>
        <w:autoSpaceDN w:val="0"/>
        <w:snapToGrid w:val="0"/>
        <w:spacing w:line="360" w:lineRule="auto"/>
        <w:ind w:firstLine="480" w:firstLineChars="200"/>
        <w:outlineLvl w:val="9"/>
        <w:rPr>
          <w:rFonts w:ascii="宋体" w:hAnsi="宋体"/>
          <w:color w:val="auto"/>
          <w:highlight w:val="none"/>
        </w:rPr>
      </w:pPr>
      <w:r>
        <w:rPr>
          <w:rFonts w:ascii="宋体" w:hAnsi="宋体"/>
          <w:color w:val="auto"/>
          <w:highlight w:val="none"/>
        </w:rPr>
        <w:t>9.</w:t>
      </w:r>
      <w:r>
        <w:rPr>
          <w:rFonts w:hint="eastAsia" w:ascii="宋体" w:hAnsi="宋体"/>
          <w:color w:val="auto"/>
          <w:highlight w:val="none"/>
        </w:rPr>
        <w:t>4</w:t>
      </w:r>
      <w:r>
        <w:rPr>
          <w:rFonts w:ascii="宋体" w:hAnsi="宋体"/>
          <w:color w:val="auto"/>
          <w:highlight w:val="none"/>
        </w:rPr>
        <w:t xml:space="preserve">.1 </w:t>
      </w:r>
      <w:r>
        <w:rPr>
          <w:rFonts w:hint="eastAsia" w:ascii="宋体" w:hAnsi="宋体"/>
          <w:color w:val="auto"/>
          <w:highlight w:val="none"/>
        </w:rPr>
        <w:t>供应商在有效期内撤回其响应文件的；</w:t>
      </w:r>
    </w:p>
    <w:p w14:paraId="7EE902DE">
      <w:pPr>
        <w:autoSpaceDE w:val="0"/>
        <w:autoSpaceDN w:val="0"/>
        <w:snapToGrid w:val="0"/>
        <w:spacing w:line="360" w:lineRule="auto"/>
        <w:ind w:firstLine="480" w:firstLineChars="200"/>
        <w:outlineLvl w:val="9"/>
        <w:rPr>
          <w:rFonts w:ascii="宋体" w:hAnsi="宋体"/>
          <w:color w:val="auto"/>
          <w:highlight w:val="none"/>
        </w:rPr>
      </w:pPr>
      <w:r>
        <w:rPr>
          <w:rFonts w:ascii="宋体" w:hAnsi="宋体"/>
          <w:color w:val="auto"/>
          <w:highlight w:val="none"/>
        </w:rPr>
        <w:t>9.</w:t>
      </w:r>
      <w:r>
        <w:rPr>
          <w:rFonts w:hint="eastAsia" w:ascii="宋体" w:hAnsi="宋体"/>
          <w:color w:val="auto"/>
          <w:highlight w:val="none"/>
        </w:rPr>
        <w:t>4</w:t>
      </w:r>
      <w:r>
        <w:rPr>
          <w:rFonts w:ascii="宋体" w:hAnsi="宋体"/>
          <w:color w:val="auto"/>
          <w:highlight w:val="none"/>
        </w:rPr>
        <w:t xml:space="preserve">.2 </w:t>
      </w:r>
      <w:r>
        <w:rPr>
          <w:rFonts w:hint="eastAsia" w:ascii="宋体" w:hAnsi="宋体"/>
          <w:color w:val="auto"/>
          <w:highlight w:val="none"/>
        </w:rPr>
        <w:t>供应商在采购活动中有违法、违纪行为的；</w:t>
      </w:r>
    </w:p>
    <w:p w14:paraId="0D623A74">
      <w:pPr>
        <w:autoSpaceDE w:val="0"/>
        <w:autoSpaceDN w:val="0"/>
        <w:snapToGrid w:val="0"/>
        <w:spacing w:line="360" w:lineRule="auto"/>
        <w:ind w:firstLine="480" w:firstLineChars="200"/>
        <w:outlineLvl w:val="9"/>
        <w:rPr>
          <w:rFonts w:ascii="宋体" w:hAnsi="宋体"/>
          <w:color w:val="auto"/>
          <w:highlight w:val="none"/>
        </w:rPr>
      </w:pPr>
      <w:r>
        <w:rPr>
          <w:rFonts w:ascii="宋体" w:hAnsi="宋体"/>
          <w:color w:val="auto"/>
          <w:highlight w:val="none"/>
        </w:rPr>
        <w:t>9.</w:t>
      </w:r>
      <w:r>
        <w:rPr>
          <w:rFonts w:hint="eastAsia" w:ascii="宋体" w:hAnsi="宋体"/>
          <w:color w:val="auto"/>
          <w:highlight w:val="none"/>
        </w:rPr>
        <w:t>4</w:t>
      </w:r>
      <w:r>
        <w:rPr>
          <w:rFonts w:ascii="宋体" w:hAnsi="宋体"/>
          <w:color w:val="auto"/>
          <w:highlight w:val="none"/>
        </w:rPr>
        <w:t xml:space="preserve">.3 </w:t>
      </w:r>
      <w:r>
        <w:rPr>
          <w:rFonts w:hint="eastAsia" w:ascii="宋体" w:hAnsi="宋体"/>
          <w:color w:val="auto"/>
          <w:highlight w:val="none"/>
        </w:rPr>
        <w:t>成交供应商无正当理由不与采购单位签订政府采购合同的；</w:t>
      </w:r>
    </w:p>
    <w:p w14:paraId="3F88CCE3">
      <w:pPr>
        <w:autoSpaceDE w:val="0"/>
        <w:autoSpaceDN w:val="0"/>
        <w:snapToGrid w:val="0"/>
        <w:spacing w:line="360" w:lineRule="auto"/>
        <w:ind w:firstLine="480" w:firstLineChars="200"/>
        <w:outlineLvl w:val="9"/>
        <w:rPr>
          <w:rFonts w:ascii="宋体" w:hAnsi="宋体"/>
          <w:color w:val="auto"/>
          <w:highlight w:val="none"/>
        </w:rPr>
      </w:pPr>
      <w:r>
        <w:rPr>
          <w:rFonts w:ascii="宋体" w:hAnsi="宋体"/>
          <w:color w:val="auto"/>
          <w:highlight w:val="none"/>
        </w:rPr>
        <w:t>9.</w:t>
      </w:r>
      <w:r>
        <w:rPr>
          <w:rFonts w:hint="eastAsia" w:ascii="宋体" w:hAnsi="宋体"/>
          <w:color w:val="auto"/>
          <w:highlight w:val="none"/>
        </w:rPr>
        <w:t>4</w:t>
      </w:r>
      <w:r>
        <w:rPr>
          <w:rFonts w:ascii="宋体" w:hAnsi="宋体"/>
          <w:color w:val="auto"/>
          <w:highlight w:val="none"/>
        </w:rPr>
        <w:t xml:space="preserve">.4 </w:t>
      </w:r>
      <w:r>
        <w:rPr>
          <w:rFonts w:hint="eastAsia" w:ascii="宋体" w:hAnsi="宋体"/>
          <w:color w:val="auto"/>
          <w:highlight w:val="none"/>
        </w:rPr>
        <w:t>成交供应商未按磋商文件要求交纳履约保证金的；</w:t>
      </w:r>
    </w:p>
    <w:p w14:paraId="4DC7E6AE">
      <w:pPr>
        <w:autoSpaceDE w:val="0"/>
        <w:autoSpaceDN w:val="0"/>
        <w:snapToGrid w:val="0"/>
        <w:spacing w:line="360" w:lineRule="auto"/>
        <w:ind w:firstLine="480" w:firstLineChars="200"/>
        <w:outlineLvl w:val="9"/>
        <w:rPr>
          <w:rFonts w:ascii="宋体" w:hAnsi="宋体"/>
          <w:color w:val="auto"/>
          <w:highlight w:val="none"/>
        </w:rPr>
      </w:pPr>
      <w:r>
        <w:rPr>
          <w:rFonts w:ascii="宋体" w:hAnsi="宋体"/>
          <w:color w:val="auto"/>
          <w:highlight w:val="none"/>
        </w:rPr>
        <w:t>9.</w:t>
      </w:r>
      <w:r>
        <w:rPr>
          <w:rFonts w:hint="eastAsia" w:ascii="宋体" w:hAnsi="宋体"/>
          <w:color w:val="auto"/>
          <w:highlight w:val="none"/>
        </w:rPr>
        <w:t>4</w:t>
      </w:r>
      <w:r>
        <w:rPr>
          <w:rFonts w:ascii="宋体" w:hAnsi="宋体"/>
          <w:color w:val="auto"/>
          <w:highlight w:val="none"/>
        </w:rPr>
        <w:t xml:space="preserve">.5 </w:t>
      </w:r>
      <w:r>
        <w:rPr>
          <w:rFonts w:hint="eastAsia" w:ascii="宋体" w:hAnsi="宋体"/>
          <w:color w:val="auto"/>
          <w:highlight w:val="none"/>
        </w:rPr>
        <w:t>供应商在响应文件中提供虚假材料的；</w:t>
      </w:r>
    </w:p>
    <w:p w14:paraId="61A593EA">
      <w:pPr>
        <w:autoSpaceDE w:val="0"/>
        <w:autoSpaceDN w:val="0"/>
        <w:snapToGrid w:val="0"/>
        <w:spacing w:line="360" w:lineRule="auto"/>
        <w:ind w:firstLine="480" w:firstLineChars="200"/>
        <w:outlineLvl w:val="9"/>
        <w:rPr>
          <w:rFonts w:hint="eastAsia" w:ascii="宋体" w:hAnsi="宋体"/>
          <w:color w:val="auto"/>
          <w:highlight w:val="none"/>
        </w:rPr>
      </w:pPr>
      <w:r>
        <w:rPr>
          <w:rFonts w:hint="eastAsia" w:ascii="宋体" w:hAnsi="宋体"/>
          <w:color w:val="auto"/>
          <w:highlight w:val="none"/>
        </w:rPr>
        <w:t>9.4.6 成交供应商未交纳成交服务费的；</w:t>
      </w:r>
    </w:p>
    <w:p w14:paraId="6A196288">
      <w:pPr>
        <w:autoSpaceDE w:val="0"/>
        <w:autoSpaceDN w:val="0"/>
        <w:snapToGrid w:val="0"/>
        <w:spacing w:line="360" w:lineRule="auto"/>
        <w:ind w:firstLine="480" w:firstLineChars="200"/>
        <w:outlineLvl w:val="9"/>
        <w:rPr>
          <w:rFonts w:hint="default" w:ascii="宋体" w:hAnsi="宋体" w:eastAsia="宋体"/>
          <w:color w:val="auto"/>
          <w:highlight w:val="none"/>
          <w:lang w:val="en-US" w:eastAsia="zh-CN"/>
        </w:rPr>
      </w:pPr>
      <w:r>
        <w:rPr>
          <w:rFonts w:hint="eastAsia" w:ascii="宋体" w:hAnsi="宋体"/>
          <w:color w:val="auto"/>
          <w:highlight w:val="none"/>
        </w:rPr>
        <w:t>9.</w:t>
      </w:r>
      <w:r>
        <w:rPr>
          <w:rFonts w:hint="eastAsia" w:ascii="宋体" w:hAnsi="宋体"/>
          <w:color w:val="auto"/>
          <w:highlight w:val="none"/>
          <w:lang w:val="en-US" w:eastAsia="zh-CN"/>
        </w:rPr>
        <w:t>5</w:t>
      </w:r>
      <w:r>
        <w:rPr>
          <w:rFonts w:hint="eastAsia" w:ascii="宋体" w:hAnsi="宋体"/>
          <w:color w:val="auto"/>
          <w:highlight w:val="none"/>
        </w:rPr>
        <w:t xml:space="preserve"> 履约保证金：</w:t>
      </w:r>
      <w:r>
        <w:rPr>
          <w:rFonts w:hint="eastAsia" w:ascii="宋体" w:hAnsi="宋体"/>
          <w:color w:val="auto"/>
          <w:highlight w:val="none"/>
          <w:lang w:val="en-US" w:eastAsia="zh-CN"/>
        </w:rPr>
        <w:t>中标合同价款的10%；</w:t>
      </w:r>
    </w:p>
    <w:p w14:paraId="00755CAD">
      <w:pPr>
        <w:widowControl w:val="0"/>
        <w:tabs>
          <w:tab w:val="left" w:pos="0"/>
          <w:tab w:val="left" w:pos="1080"/>
        </w:tabs>
        <w:spacing w:line="360" w:lineRule="auto"/>
        <w:ind w:firstLine="480" w:firstLineChars="200"/>
        <w:jc w:val="both"/>
        <w:outlineLvl w:val="9"/>
        <w:rPr>
          <w:rFonts w:ascii="宋体" w:hAnsi="宋体"/>
          <w:color w:val="auto"/>
          <w:highlight w:val="none"/>
        </w:rPr>
      </w:pPr>
      <w:r>
        <w:rPr>
          <w:rFonts w:ascii="宋体" w:hAnsi="宋体"/>
          <w:color w:val="auto"/>
          <w:highlight w:val="none"/>
        </w:rPr>
        <w:t>10、确定成交候选人</w:t>
      </w:r>
    </w:p>
    <w:p w14:paraId="05C92DD4">
      <w:pPr>
        <w:widowControl w:val="0"/>
        <w:tabs>
          <w:tab w:val="left" w:pos="0"/>
          <w:tab w:val="left" w:pos="1080"/>
        </w:tabs>
        <w:spacing w:line="360" w:lineRule="auto"/>
        <w:ind w:firstLine="480" w:firstLineChars="200"/>
        <w:jc w:val="both"/>
        <w:outlineLvl w:val="9"/>
        <w:rPr>
          <w:rFonts w:ascii="宋体" w:hAnsi="宋体"/>
          <w:color w:val="auto"/>
          <w:highlight w:val="none"/>
        </w:rPr>
      </w:pPr>
      <w:r>
        <w:rPr>
          <w:rFonts w:ascii="宋体" w:hAnsi="宋体"/>
          <w:color w:val="auto"/>
          <w:highlight w:val="none"/>
        </w:rPr>
        <w:t>10.1</w:t>
      </w:r>
      <w:r>
        <w:rPr>
          <w:rFonts w:hint="eastAsia" w:ascii="宋体" w:hAnsi="宋体"/>
          <w:color w:val="auto"/>
          <w:highlight w:val="none"/>
        </w:rPr>
        <w:t>采购代理机构应当在评审结束后</w:t>
      </w:r>
      <w:r>
        <w:rPr>
          <w:rFonts w:ascii="宋体" w:hAnsi="宋体"/>
          <w:color w:val="auto"/>
          <w:highlight w:val="none"/>
        </w:rPr>
        <w:t>2</w:t>
      </w:r>
      <w:r>
        <w:rPr>
          <w:rFonts w:hint="eastAsia" w:ascii="宋体" w:hAnsi="宋体"/>
          <w:color w:val="auto"/>
          <w:highlight w:val="none"/>
        </w:rPr>
        <w:t>个工作日内将评审报告送采购单位确认。</w:t>
      </w:r>
    </w:p>
    <w:p w14:paraId="4CF30EE6">
      <w:pPr>
        <w:widowControl w:val="0"/>
        <w:tabs>
          <w:tab w:val="left" w:pos="0"/>
          <w:tab w:val="left" w:pos="1080"/>
        </w:tabs>
        <w:spacing w:line="360" w:lineRule="auto"/>
        <w:ind w:firstLine="480" w:firstLineChars="200"/>
        <w:jc w:val="both"/>
        <w:outlineLvl w:val="9"/>
        <w:rPr>
          <w:rFonts w:ascii="宋体" w:hAnsi="宋体"/>
          <w:color w:val="auto"/>
          <w:highlight w:val="none"/>
        </w:rPr>
      </w:pPr>
      <w:r>
        <w:rPr>
          <w:rFonts w:ascii="宋体" w:hAnsi="宋体"/>
          <w:color w:val="auto"/>
          <w:highlight w:val="none"/>
        </w:rPr>
        <w:t xml:space="preserve">10.2 </w:t>
      </w:r>
      <w:r>
        <w:rPr>
          <w:rFonts w:hint="eastAsia" w:ascii="宋体" w:hAnsi="宋体"/>
          <w:color w:val="auto"/>
          <w:highlight w:val="none"/>
        </w:rPr>
        <w:t>采购单位应当在收到评审报告后</w:t>
      </w:r>
      <w:r>
        <w:rPr>
          <w:rFonts w:ascii="宋体" w:hAnsi="宋体"/>
          <w:color w:val="auto"/>
          <w:highlight w:val="none"/>
        </w:rPr>
        <w:t>5</w:t>
      </w:r>
      <w:r>
        <w:rPr>
          <w:rFonts w:hint="eastAsia" w:ascii="宋体" w:hAnsi="宋体"/>
          <w:color w:val="auto"/>
          <w:highlight w:val="none"/>
        </w:rPr>
        <w:t>个工作日内，从评审报告提出的成交候选人中，按照排序从高到低的原则确定成交供应商。</w:t>
      </w:r>
    </w:p>
    <w:p w14:paraId="0986AADF">
      <w:pPr>
        <w:widowControl w:val="0"/>
        <w:tabs>
          <w:tab w:val="left" w:pos="0"/>
          <w:tab w:val="left" w:pos="1080"/>
        </w:tabs>
        <w:spacing w:line="360" w:lineRule="auto"/>
        <w:ind w:firstLine="480" w:firstLineChars="200"/>
        <w:jc w:val="both"/>
        <w:outlineLvl w:val="9"/>
        <w:rPr>
          <w:rFonts w:ascii="宋体" w:hAnsi="宋体"/>
          <w:color w:val="auto"/>
          <w:highlight w:val="none"/>
        </w:rPr>
      </w:pPr>
      <w:r>
        <w:rPr>
          <w:rFonts w:ascii="宋体" w:hAnsi="宋体"/>
          <w:color w:val="auto"/>
          <w:highlight w:val="none"/>
        </w:rPr>
        <w:t>10.3</w:t>
      </w:r>
      <w:r>
        <w:rPr>
          <w:rFonts w:hint="eastAsia" w:ascii="宋体" w:hAnsi="宋体"/>
          <w:color w:val="auto"/>
          <w:highlight w:val="none"/>
        </w:rPr>
        <w:t>采购单位确定成交供应商过程中，发现成交候选供应商有下列情形之一的，将不予确定其为成交供应商：</w:t>
      </w:r>
    </w:p>
    <w:p w14:paraId="2F7FF162">
      <w:pPr>
        <w:widowControl w:val="0"/>
        <w:tabs>
          <w:tab w:val="left" w:pos="0"/>
          <w:tab w:val="left" w:pos="1080"/>
        </w:tabs>
        <w:spacing w:line="360" w:lineRule="auto"/>
        <w:ind w:firstLine="480" w:firstLineChars="200"/>
        <w:jc w:val="both"/>
        <w:outlineLvl w:val="9"/>
        <w:rPr>
          <w:rFonts w:ascii="宋体" w:hAnsi="宋体"/>
          <w:color w:val="auto"/>
          <w:highlight w:val="none"/>
        </w:rPr>
      </w:pPr>
      <w:r>
        <w:rPr>
          <w:rFonts w:hint="eastAsia" w:ascii="宋体" w:hAnsi="宋体"/>
          <w:color w:val="auto"/>
          <w:highlight w:val="none"/>
        </w:rPr>
        <w:t>（一）成交候选供应商存在违法、违纪行为的；</w:t>
      </w:r>
    </w:p>
    <w:p w14:paraId="17326546">
      <w:pPr>
        <w:widowControl w:val="0"/>
        <w:tabs>
          <w:tab w:val="left" w:pos="0"/>
          <w:tab w:val="left" w:pos="1080"/>
        </w:tabs>
        <w:spacing w:line="360" w:lineRule="auto"/>
        <w:ind w:firstLine="480" w:firstLineChars="200"/>
        <w:jc w:val="both"/>
        <w:outlineLvl w:val="9"/>
        <w:rPr>
          <w:rFonts w:ascii="宋体" w:hAnsi="宋体"/>
          <w:color w:val="auto"/>
          <w:highlight w:val="none"/>
        </w:rPr>
      </w:pPr>
      <w:r>
        <w:rPr>
          <w:rFonts w:hint="eastAsia" w:ascii="宋体" w:hAnsi="宋体"/>
          <w:color w:val="auto"/>
          <w:highlight w:val="none"/>
        </w:rPr>
        <w:t>（二）成交候选供应商因不可抗力、社会经济形势发生重大变化、破产、重组等原因确定无法履行政府采购合同的；</w:t>
      </w:r>
    </w:p>
    <w:p w14:paraId="568A4E28">
      <w:pPr>
        <w:widowControl w:val="0"/>
        <w:tabs>
          <w:tab w:val="left" w:pos="0"/>
          <w:tab w:val="left" w:pos="1080"/>
        </w:tabs>
        <w:spacing w:line="360" w:lineRule="auto"/>
        <w:ind w:firstLine="480" w:firstLineChars="200"/>
        <w:jc w:val="both"/>
        <w:outlineLvl w:val="9"/>
        <w:rPr>
          <w:rFonts w:ascii="宋体" w:hAnsi="宋体"/>
          <w:color w:val="auto"/>
          <w:highlight w:val="none"/>
        </w:rPr>
      </w:pPr>
      <w:r>
        <w:rPr>
          <w:rFonts w:hint="eastAsia" w:ascii="宋体" w:hAnsi="宋体"/>
          <w:color w:val="auto"/>
          <w:highlight w:val="none"/>
        </w:rPr>
        <w:t>（三）成交候选供应商书面自愿放弃成交，且无其他非法目的的。</w:t>
      </w:r>
    </w:p>
    <w:p w14:paraId="40CCA1AD">
      <w:pPr>
        <w:widowControl w:val="0"/>
        <w:tabs>
          <w:tab w:val="left" w:pos="0"/>
          <w:tab w:val="left" w:pos="1080"/>
        </w:tabs>
        <w:spacing w:line="360" w:lineRule="auto"/>
        <w:ind w:firstLine="480" w:firstLineChars="200"/>
        <w:jc w:val="both"/>
        <w:outlineLvl w:val="9"/>
        <w:rPr>
          <w:rFonts w:ascii="宋体" w:hAnsi="宋体"/>
          <w:color w:val="auto"/>
          <w:highlight w:val="none"/>
        </w:rPr>
      </w:pPr>
      <w:r>
        <w:rPr>
          <w:rFonts w:hint="eastAsia" w:ascii="宋体" w:hAnsi="宋体"/>
          <w:color w:val="auto"/>
          <w:highlight w:val="none"/>
        </w:rPr>
        <w:t>成交候选供应商有本款情形之一的，采购单位将确定后一位成交候选供应商为成交供应商。依次类推。无法确定成交供应商的，采购单位将重新组织采购。</w:t>
      </w:r>
    </w:p>
    <w:p w14:paraId="3CCADEE0">
      <w:pPr>
        <w:widowControl w:val="0"/>
        <w:tabs>
          <w:tab w:val="left" w:pos="0"/>
          <w:tab w:val="left" w:pos="1080"/>
        </w:tabs>
        <w:spacing w:line="360" w:lineRule="auto"/>
        <w:ind w:firstLine="480" w:firstLineChars="200"/>
        <w:jc w:val="both"/>
        <w:outlineLvl w:val="9"/>
        <w:rPr>
          <w:rFonts w:ascii="宋体" w:hAnsi="宋体"/>
          <w:color w:val="auto"/>
          <w:highlight w:val="none"/>
        </w:rPr>
      </w:pPr>
      <w:r>
        <w:rPr>
          <w:rFonts w:hint="eastAsia" w:ascii="宋体" w:hAnsi="宋体"/>
          <w:color w:val="auto"/>
          <w:highlight w:val="none"/>
        </w:rPr>
        <w:t>成交候选供应商以本款第（三）项放弃成交的，应当说明理由，但其磋商保证金将被没收。</w:t>
      </w:r>
    </w:p>
    <w:p w14:paraId="1D6B76AD">
      <w:pPr>
        <w:pStyle w:val="346"/>
        <w:spacing w:line="360" w:lineRule="auto"/>
        <w:ind w:firstLine="480"/>
        <w:outlineLvl w:val="9"/>
        <w:rPr>
          <w:rFonts w:ascii="宋体" w:hAnsi="宋体"/>
          <w:color w:val="auto"/>
          <w:sz w:val="24"/>
          <w:highlight w:val="none"/>
        </w:rPr>
      </w:pPr>
      <w:r>
        <w:rPr>
          <w:rFonts w:ascii="宋体" w:hAnsi="宋体"/>
          <w:color w:val="auto"/>
          <w:sz w:val="24"/>
          <w:highlight w:val="none"/>
        </w:rPr>
        <w:t>11、成交通知书</w:t>
      </w:r>
    </w:p>
    <w:p w14:paraId="579809F8">
      <w:pPr>
        <w:pStyle w:val="346"/>
        <w:spacing w:line="360" w:lineRule="auto"/>
        <w:ind w:firstLine="480"/>
        <w:outlineLvl w:val="9"/>
        <w:rPr>
          <w:rFonts w:ascii="宋体" w:hAnsi="宋体"/>
          <w:color w:val="auto"/>
          <w:sz w:val="24"/>
          <w:highlight w:val="none"/>
        </w:rPr>
      </w:pPr>
      <w:r>
        <w:rPr>
          <w:rFonts w:hint="eastAsia" w:ascii="宋体" w:hAnsi="宋体"/>
          <w:color w:val="auto"/>
          <w:sz w:val="24"/>
          <w:highlight w:val="none"/>
        </w:rPr>
        <w:t>采购代理机构在成交供应商确定后</w:t>
      </w:r>
      <w:r>
        <w:rPr>
          <w:rFonts w:ascii="宋体" w:hAnsi="宋体"/>
          <w:color w:val="auto"/>
          <w:sz w:val="24"/>
          <w:highlight w:val="none"/>
        </w:rPr>
        <w:t>2</w:t>
      </w:r>
      <w:r>
        <w:rPr>
          <w:rFonts w:hint="eastAsia" w:ascii="宋体" w:hAnsi="宋体"/>
          <w:color w:val="auto"/>
          <w:sz w:val="24"/>
          <w:highlight w:val="none"/>
        </w:rPr>
        <w:t>个工作日内，在</w:t>
      </w:r>
      <w:r>
        <w:rPr>
          <w:rFonts w:hint="eastAsia" w:ascii="宋体" w:hAnsi="宋体"/>
          <w:b/>
          <w:color w:val="auto"/>
          <w:sz w:val="24"/>
          <w:highlight w:val="none"/>
        </w:rPr>
        <w:t>《青海政府采购网》《青海省</w:t>
      </w:r>
      <w:r>
        <w:rPr>
          <w:rFonts w:hint="eastAsia" w:ascii="宋体" w:hAnsi="宋体"/>
          <w:b/>
          <w:color w:val="auto"/>
          <w:sz w:val="24"/>
          <w:highlight w:val="none"/>
          <w:lang w:eastAsia="zh-CN"/>
        </w:rPr>
        <w:t>电子</w:t>
      </w:r>
      <w:r>
        <w:rPr>
          <w:rFonts w:hint="eastAsia" w:ascii="宋体" w:hAnsi="宋体"/>
          <w:b/>
          <w:color w:val="auto"/>
          <w:sz w:val="24"/>
          <w:highlight w:val="none"/>
        </w:rPr>
        <w:t>招标投标</w:t>
      </w:r>
      <w:r>
        <w:rPr>
          <w:rFonts w:hint="eastAsia" w:ascii="宋体" w:hAnsi="宋体"/>
          <w:b/>
          <w:color w:val="auto"/>
          <w:sz w:val="24"/>
          <w:highlight w:val="none"/>
          <w:lang w:eastAsia="zh-CN"/>
        </w:rPr>
        <w:t>服务平台</w:t>
      </w:r>
      <w:r>
        <w:rPr>
          <w:rFonts w:hint="eastAsia" w:ascii="宋体" w:hAnsi="宋体"/>
          <w:b/>
          <w:color w:val="auto"/>
          <w:sz w:val="24"/>
          <w:highlight w:val="none"/>
        </w:rPr>
        <w:t>》</w:t>
      </w:r>
      <w:r>
        <w:rPr>
          <w:rFonts w:hint="eastAsia" w:ascii="宋体" w:hAnsi="宋体"/>
          <w:color w:val="auto"/>
          <w:sz w:val="24"/>
          <w:highlight w:val="none"/>
        </w:rPr>
        <w:t>上公告成交结果，同时向成交供应商发出成交通知书。</w:t>
      </w:r>
    </w:p>
    <w:p w14:paraId="2BBF8702">
      <w:pPr>
        <w:spacing w:line="360" w:lineRule="auto"/>
        <w:ind w:firstLine="480" w:firstLineChars="200"/>
        <w:outlineLvl w:val="9"/>
        <w:rPr>
          <w:rFonts w:ascii="宋体" w:hAnsi="宋体"/>
          <w:color w:val="auto"/>
          <w:highlight w:val="none"/>
        </w:rPr>
      </w:pPr>
      <w:r>
        <w:rPr>
          <w:rFonts w:ascii="宋体" w:hAnsi="宋体"/>
          <w:color w:val="auto"/>
          <w:highlight w:val="none"/>
        </w:rPr>
        <w:t>12、签订合同</w:t>
      </w:r>
    </w:p>
    <w:p w14:paraId="5F8160D8">
      <w:pPr>
        <w:pStyle w:val="346"/>
        <w:spacing w:line="360" w:lineRule="auto"/>
        <w:ind w:firstLine="480"/>
        <w:outlineLvl w:val="9"/>
        <w:rPr>
          <w:rFonts w:ascii="宋体" w:hAnsi="宋体"/>
          <w:color w:val="auto"/>
          <w:sz w:val="24"/>
          <w:highlight w:val="none"/>
        </w:rPr>
      </w:pPr>
      <w:r>
        <w:rPr>
          <w:rFonts w:ascii="宋体" w:hAnsi="宋体"/>
          <w:color w:val="auto"/>
          <w:sz w:val="24"/>
          <w:highlight w:val="none"/>
        </w:rPr>
        <w:t>12.1成交供应商应在领取成交通知书后30日内，按照磋商文件、响应文件以及磋商过程中确定的事项与采购单位签订采购合同。</w:t>
      </w:r>
    </w:p>
    <w:p w14:paraId="240B5396">
      <w:pPr>
        <w:pStyle w:val="346"/>
        <w:spacing w:line="360" w:lineRule="auto"/>
        <w:ind w:firstLine="480"/>
        <w:outlineLvl w:val="9"/>
        <w:rPr>
          <w:rFonts w:hint="eastAsia" w:ascii="宋体" w:hAnsi="宋体"/>
          <w:color w:val="auto"/>
          <w:sz w:val="24"/>
          <w:highlight w:val="none"/>
        </w:rPr>
      </w:pPr>
      <w:r>
        <w:rPr>
          <w:rFonts w:ascii="宋体" w:hAnsi="宋体"/>
          <w:color w:val="auto"/>
          <w:sz w:val="24"/>
          <w:highlight w:val="none"/>
        </w:rPr>
        <w:t>12.2竞争性磋商文件、供应商提交的响应文件、磋商中的最终报价、供应商承诺书、成交通知书等均成为有法律约束力的合同的组成内容。</w:t>
      </w:r>
    </w:p>
    <w:p w14:paraId="020DCAC0">
      <w:pPr>
        <w:keepNext w:val="0"/>
        <w:keepLines w:val="0"/>
        <w:pageBreakBefore w:val="0"/>
        <w:kinsoku/>
        <w:wordWrap/>
        <w:overflowPunct/>
        <w:topLinePunct w:val="0"/>
        <w:bidi w:val="0"/>
        <w:snapToGrid/>
        <w:spacing w:line="360" w:lineRule="auto"/>
        <w:ind w:firstLine="480" w:firstLineChars="200"/>
        <w:jc w:val="both"/>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成交服务费：本项目代理服务费由</w:t>
      </w:r>
      <w:r>
        <w:rPr>
          <w:rFonts w:hint="eastAsia" w:ascii="宋体" w:hAnsi="宋体" w:cs="宋体"/>
          <w:color w:val="auto"/>
          <w:sz w:val="24"/>
          <w:szCs w:val="24"/>
          <w:highlight w:val="none"/>
          <w:vertAlign w:val="baseline"/>
          <w:lang w:val="en-US" w:eastAsia="zh-CN"/>
        </w:rPr>
        <w:t>中标人</w:t>
      </w:r>
      <w:r>
        <w:rPr>
          <w:rFonts w:hint="eastAsia" w:ascii="宋体" w:hAnsi="宋体" w:eastAsia="宋体" w:cs="宋体"/>
          <w:color w:val="auto"/>
          <w:sz w:val="24"/>
          <w:szCs w:val="24"/>
          <w:highlight w:val="none"/>
          <w:vertAlign w:val="baseline"/>
          <w:lang w:val="en-US" w:eastAsia="zh-CN"/>
        </w:rPr>
        <w:t>支付，支付金额为：</w:t>
      </w:r>
    </w:p>
    <w:p w14:paraId="50A3551D">
      <w:pPr>
        <w:keepNext w:val="0"/>
        <w:keepLines w:val="0"/>
        <w:pageBreakBefore w:val="0"/>
        <w:kinsoku/>
        <w:wordWrap/>
        <w:overflowPunct/>
        <w:topLinePunct w:val="0"/>
        <w:bidi w:val="0"/>
        <w:snapToGrid/>
        <w:spacing w:line="360" w:lineRule="auto"/>
        <w:ind w:firstLine="480" w:firstLineChars="200"/>
        <w:jc w:val="both"/>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包一；</w:t>
      </w:r>
      <w:r>
        <w:rPr>
          <w:rFonts w:hint="eastAsia" w:ascii="宋体" w:hAnsi="宋体" w:eastAsia="宋体" w:cs="宋体"/>
          <w:color w:val="auto"/>
          <w:sz w:val="24"/>
          <w:szCs w:val="24"/>
          <w:highlight w:val="none"/>
          <w:vertAlign w:val="baseline"/>
          <w:lang w:val="en-US" w:eastAsia="zh-CN"/>
        </w:rPr>
        <w:t>（大写）</w:t>
      </w:r>
      <w:r>
        <w:rPr>
          <w:rFonts w:hint="eastAsia" w:ascii="宋体" w:hAnsi="宋体" w:cs="宋体"/>
          <w:color w:val="auto"/>
          <w:sz w:val="24"/>
          <w:szCs w:val="24"/>
          <w:highlight w:val="none"/>
          <w:u w:val="single"/>
          <w:vertAlign w:val="baseline"/>
          <w:lang w:val="en-US" w:eastAsia="zh-CN"/>
        </w:rPr>
        <w:t>玖仟肆佰伍拾元整</w:t>
      </w:r>
      <w:r>
        <w:rPr>
          <w:rFonts w:hint="eastAsia" w:ascii="宋体" w:hAnsi="宋体" w:eastAsia="宋体" w:cs="宋体"/>
          <w:color w:val="auto"/>
          <w:sz w:val="24"/>
          <w:szCs w:val="24"/>
          <w:highlight w:val="none"/>
          <w:vertAlign w:val="baseline"/>
          <w:lang w:val="en-US" w:eastAsia="zh-CN"/>
        </w:rPr>
        <w:t>（小写）</w:t>
      </w:r>
      <w:r>
        <w:rPr>
          <w:rFonts w:hint="eastAsia" w:ascii="宋体" w:hAnsi="宋体" w:cs="宋体"/>
          <w:color w:val="auto"/>
          <w:sz w:val="24"/>
          <w:szCs w:val="24"/>
          <w:highlight w:val="none"/>
          <w:u w:val="single"/>
          <w:vertAlign w:val="baseline"/>
          <w:lang w:val="en-US" w:eastAsia="zh-CN"/>
        </w:rPr>
        <w:t>9,450.00元</w:t>
      </w:r>
      <w:r>
        <w:rPr>
          <w:rFonts w:hint="eastAsia" w:ascii="宋体" w:hAnsi="宋体" w:eastAsia="宋体" w:cs="宋体"/>
          <w:color w:val="auto"/>
          <w:sz w:val="24"/>
          <w:szCs w:val="24"/>
          <w:highlight w:val="none"/>
          <w:vertAlign w:val="baseline"/>
          <w:lang w:val="en-US" w:eastAsia="zh-CN"/>
        </w:rPr>
        <w:t>。</w:t>
      </w:r>
    </w:p>
    <w:p w14:paraId="064310A9">
      <w:pPr>
        <w:keepNext w:val="0"/>
        <w:keepLines w:val="0"/>
        <w:pageBreakBefore w:val="0"/>
        <w:kinsoku/>
        <w:wordWrap/>
        <w:overflowPunct/>
        <w:topLinePunct w:val="0"/>
        <w:bidi w:val="0"/>
        <w:snapToGrid/>
        <w:spacing w:line="360" w:lineRule="auto"/>
        <w:ind w:firstLine="480" w:firstLineChars="200"/>
        <w:jc w:val="both"/>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包二；</w:t>
      </w:r>
      <w:r>
        <w:rPr>
          <w:rFonts w:hint="eastAsia" w:ascii="宋体" w:hAnsi="宋体" w:eastAsia="宋体" w:cs="宋体"/>
          <w:color w:val="auto"/>
          <w:sz w:val="24"/>
          <w:szCs w:val="24"/>
          <w:highlight w:val="none"/>
          <w:vertAlign w:val="baseline"/>
          <w:lang w:val="en-US" w:eastAsia="zh-CN"/>
        </w:rPr>
        <w:t>（大写）</w:t>
      </w:r>
      <w:r>
        <w:rPr>
          <w:rFonts w:hint="eastAsia" w:ascii="宋体" w:hAnsi="宋体" w:cs="宋体"/>
          <w:color w:val="auto"/>
          <w:sz w:val="24"/>
          <w:szCs w:val="24"/>
          <w:highlight w:val="none"/>
          <w:u w:val="single"/>
          <w:vertAlign w:val="baseline"/>
          <w:lang w:val="en-US" w:eastAsia="zh-CN"/>
        </w:rPr>
        <w:t>柒仟伍佰元整</w:t>
      </w:r>
      <w:r>
        <w:rPr>
          <w:rFonts w:hint="eastAsia" w:ascii="宋体" w:hAnsi="宋体" w:eastAsia="宋体" w:cs="宋体"/>
          <w:color w:val="auto"/>
          <w:sz w:val="24"/>
          <w:szCs w:val="24"/>
          <w:highlight w:val="none"/>
          <w:vertAlign w:val="baseline"/>
          <w:lang w:val="en-US" w:eastAsia="zh-CN"/>
        </w:rPr>
        <w:t>（小写）</w:t>
      </w:r>
      <w:r>
        <w:rPr>
          <w:rFonts w:hint="eastAsia" w:ascii="宋体" w:hAnsi="宋体" w:cs="宋体"/>
          <w:color w:val="auto"/>
          <w:sz w:val="24"/>
          <w:szCs w:val="24"/>
          <w:highlight w:val="none"/>
          <w:u w:val="single"/>
          <w:vertAlign w:val="baseline"/>
          <w:lang w:val="en-US" w:eastAsia="zh-CN"/>
        </w:rPr>
        <w:t>7,500.00元</w:t>
      </w:r>
      <w:r>
        <w:rPr>
          <w:rFonts w:hint="eastAsia" w:ascii="宋体" w:hAnsi="宋体" w:eastAsia="宋体" w:cs="宋体"/>
          <w:color w:val="auto"/>
          <w:sz w:val="24"/>
          <w:szCs w:val="24"/>
          <w:highlight w:val="none"/>
          <w:vertAlign w:val="baseline"/>
          <w:lang w:val="en-US" w:eastAsia="zh-CN"/>
        </w:rPr>
        <w:t>。</w:t>
      </w:r>
    </w:p>
    <w:p w14:paraId="02E7D21C">
      <w:pPr>
        <w:keepNext w:val="0"/>
        <w:keepLines w:val="0"/>
        <w:pageBreakBefore w:val="0"/>
        <w:kinsoku/>
        <w:wordWrap/>
        <w:overflowPunct/>
        <w:topLinePunct w:val="0"/>
        <w:bidi w:val="0"/>
        <w:snapToGrid/>
        <w:spacing w:line="360" w:lineRule="auto"/>
        <w:ind w:firstLine="480" w:firstLineChars="200"/>
        <w:jc w:val="both"/>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包三；</w:t>
      </w:r>
      <w:r>
        <w:rPr>
          <w:rFonts w:hint="eastAsia" w:ascii="宋体" w:hAnsi="宋体" w:eastAsia="宋体" w:cs="宋体"/>
          <w:color w:val="auto"/>
          <w:sz w:val="24"/>
          <w:szCs w:val="24"/>
          <w:highlight w:val="none"/>
          <w:vertAlign w:val="baseline"/>
          <w:lang w:val="en-US" w:eastAsia="zh-CN"/>
        </w:rPr>
        <w:t>（大写）</w:t>
      </w:r>
      <w:r>
        <w:rPr>
          <w:rFonts w:hint="eastAsia" w:ascii="宋体" w:hAnsi="宋体" w:cs="宋体"/>
          <w:color w:val="auto"/>
          <w:sz w:val="24"/>
          <w:szCs w:val="24"/>
          <w:highlight w:val="none"/>
          <w:u w:val="single"/>
          <w:vertAlign w:val="baseline"/>
          <w:lang w:val="en-US" w:eastAsia="zh-CN"/>
        </w:rPr>
        <w:t>叁仟壹佰伍拾元整</w:t>
      </w:r>
      <w:r>
        <w:rPr>
          <w:rFonts w:hint="eastAsia" w:ascii="宋体" w:hAnsi="宋体" w:eastAsia="宋体" w:cs="宋体"/>
          <w:color w:val="auto"/>
          <w:sz w:val="24"/>
          <w:szCs w:val="24"/>
          <w:highlight w:val="none"/>
          <w:vertAlign w:val="baseline"/>
          <w:lang w:val="en-US" w:eastAsia="zh-CN"/>
        </w:rPr>
        <w:t>（小写）</w:t>
      </w:r>
      <w:r>
        <w:rPr>
          <w:rFonts w:hint="eastAsia" w:ascii="宋体" w:hAnsi="宋体" w:cs="宋体"/>
          <w:color w:val="auto"/>
          <w:sz w:val="24"/>
          <w:szCs w:val="24"/>
          <w:highlight w:val="none"/>
          <w:u w:val="single"/>
          <w:vertAlign w:val="baseline"/>
          <w:lang w:val="en-US" w:eastAsia="zh-CN"/>
        </w:rPr>
        <w:t>3,150.00元</w:t>
      </w:r>
      <w:r>
        <w:rPr>
          <w:rFonts w:hint="eastAsia" w:ascii="宋体" w:hAnsi="宋体" w:eastAsia="宋体" w:cs="宋体"/>
          <w:color w:val="auto"/>
          <w:sz w:val="24"/>
          <w:szCs w:val="24"/>
          <w:highlight w:val="none"/>
          <w:vertAlign w:val="baseline"/>
          <w:lang w:val="en-US" w:eastAsia="zh-CN"/>
        </w:rPr>
        <w:t>。</w:t>
      </w:r>
    </w:p>
    <w:p w14:paraId="1D4781FD">
      <w:pPr>
        <w:pStyle w:val="346"/>
        <w:spacing w:line="360" w:lineRule="auto"/>
        <w:ind w:firstLine="480"/>
        <w:outlineLvl w:val="9"/>
        <w:rPr>
          <w:rFonts w:hint="eastAsia" w:ascii="宋体" w:hAnsi="宋体"/>
          <w:color w:val="auto"/>
          <w:sz w:val="24"/>
          <w:highlight w:val="none"/>
        </w:rPr>
      </w:pPr>
      <w:r>
        <w:rPr>
          <w:rFonts w:hint="eastAsia" w:ascii="宋体" w:hAnsi="宋体"/>
          <w:color w:val="auto"/>
          <w:sz w:val="24"/>
          <w:highlight w:val="none"/>
          <w:lang w:val="en-US" w:eastAsia="zh-CN"/>
        </w:rPr>
        <w:t>13、</w:t>
      </w:r>
      <w:r>
        <w:rPr>
          <w:rFonts w:hint="eastAsia" w:ascii="宋体" w:hAnsi="宋体"/>
          <w:color w:val="auto"/>
          <w:sz w:val="24"/>
          <w:highlight w:val="none"/>
        </w:rPr>
        <w:t>竞争性磋商有效期</w:t>
      </w:r>
      <w:r>
        <w:rPr>
          <w:rFonts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0</w:t>
      </w:r>
      <w:r>
        <w:rPr>
          <w:rFonts w:ascii="宋体" w:hAnsi="宋体"/>
          <w:color w:val="auto"/>
          <w:sz w:val="24"/>
          <w:highlight w:val="none"/>
        </w:rPr>
        <w:t>个日历日；</w:t>
      </w:r>
    </w:p>
    <w:p w14:paraId="2F7592B7">
      <w:pPr>
        <w:pStyle w:val="346"/>
        <w:ind w:firstLine="199" w:firstLineChars="83"/>
        <w:outlineLvl w:val="9"/>
        <w:rPr>
          <w:rFonts w:hint="eastAsia" w:ascii="宋体" w:hAnsi="宋体"/>
          <w:color w:val="auto"/>
          <w:sz w:val="24"/>
          <w:highlight w:val="none"/>
        </w:rPr>
      </w:pPr>
    </w:p>
    <w:p w14:paraId="6AE7FDA6">
      <w:pPr>
        <w:numPr>
          <w:ilvl w:val="0"/>
          <w:numId w:val="0"/>
        </w:numPr>
        <w:tabs>
          <w:tab w:val="left" w:pos="425"/>
          <w:tab w:val="left" w:pos="4265"/>
        </w:tabs>
        <w:spacing w:line="360" w:lineRule="auto"/>
        <w:ind w:left="420" w:leftChars="175" w:firstLine="1932" w:firstLineChars="690"/>
        <w:jc w:val="left"/>
        <w:outlineLvl w:val="0"/>
        <w:rPr>
          <w:rFonts w:ascii="宋体" w:hAnsi="宋体" w:eastAsia="宋体"/>
          <w:color w:val="auto"/>
          <w:sz w:val="28"/>
          <w:szCs w:val="28"/>
          <w:highlight w:val="none"/>
        </w:rPr>
      </w:pPr>
      <w:r>
        <w:rPr>
          <w:rFonts w:ascii="宋体" w:hAnsi="宋体" w:eastAsia="宋体"/>
          <w:color w:val="auto"/>
          <w:sz w:val="28"/>
          <w:szCs w:val="28"/>
          <w:highlight w:val="none"/>
        </w:rPr>
        <w:br w:type="page"/>
      </w:r>
      <w:bookmarkStart w:id="12" w:name="_Toc9665"/>
      <w:r>
        <w:rPr>
          <w:rFonts w:ascii="宋体" w:hAnsi="宋体" w:eastAsia="宋体"/>
          <w:b/>
          <w:bCs/>
          <w:color w:val="auto"/>
          <w:sz w:val="28"/>
          <w:szCs w:val="28"/>
          <w:highlight w:val="none"/>
        </w:rPr>
        <w:t>第三章  供应商资格证明文件</w:t>
      </w:r>
      <w:bookmarkEnd w:id="12"/>
    </w:p>
    <w:p w14:paraId="37865AE4">
      <w:pPr>
        <w:spacing w:line="360" w:lineRule="auto"/>
        <w:ind w:firstLine="463" w:firstLineChars="192"/>
        <w:jc w:val="both"/>
        <w:outlineLvl w:val="9"/>
        <w:rPr>
          <w:rFonts w:ascii="宋体" w:hAnsi="宋体"/>
          <w:b/>
          <w:color w:val="auto"/>
          <w:highlight w:val="none"/>
        </w:rPr>
      </w:pPr>
      <w:r>
        <w:rPr>
          <w:rFonts w:ascii="宋体" w:hAnsi="宋体"/>
          <w:b/>
          <w:color w:val="auto"/>
          <w:highlight w:val="none"/>
        </w:rPr>
        <w:t>一、供应商应提交的资格证明材料</w:t>
      </w:r>
    </w:p>
    <w:p w14:paraId="01A8A286">
      <w:pPr>
        <w:spacing w:line="360" w:lineRule="auto"/>
        <w:ind w:firstLine="460" w:firstLineChars="192"/>
        <w:jc w:val="both"/>
        <w:outlineLvl w:val="9"/>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）营业执照副本复印件。</w:t>
      </w:r>
    </w:p>
    <w:p w14:paraId="5E69F6ED">
      <w:pPr>
        <w:spacing w:line="360" w:lineRule="auto"/>
        <w:ind w:firstLine="460" w:firstLineChars="192"/>
        <w:jc w:val="both"/>
        <w:outlineLvl w:val="9"/>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2</w:t>
      </w:r>
      <w:r>
        <w:rPr>
          <w:rFonts w:hint="eastAsia" w:ascii="宋体" w:hAnsi="宋体"/>
          <w:color w:val="auto"/>
          <w:highlight w:val="none"/>
        </w:rPr>
        <w:t>）第三方出具的</w:t>
      </w:r>
      <w:r>
        <w:rPr>
          <w:rFonts w:hint="eastAsia" w:ascii="宋体" w:hAnsi="宋体"/>
          <w:color w:val="auto"/>
          <w:highlight w:val="none"/>
          <w:lang w:val="en-US" w:eastAsia="zh-CN"/>
        </w:rPr>
        <w:t>2023年度财务的</w:t>
      </w:r>
      <w:r>
        <w:rPr>
          <w:rFonts w:hint="eastAsia" w:ascii="宋体" w:hAnsi="宋体"/>
          <w:color w:val="auto"/>
          <w:highlight w:val="none"/>
        </w:rPr>
        <w:t>财务审计报告或近三个月银行资信证明，</w:t>
      </w:r>
      <w:r>
        <w:rPr>
          <w:rFonts w:hint="eastAsia" w:ascii="宋体" w:hAnsi="宋体"/>
          <w:color w:val="auto"/>
          <w:highlight w:val="none"/>
          <w:lang w:val="en-US" w:eastAsia="zh-CN"/>
        </w:rPr>
        <w:t>近半年内任意月份</w:t>
      </w:r>
      <w:r>
        <w:rPr>
          <w:rFonts w:hint="eastAsia" w:ascii="宋体" w:hAnsi="宋体"/>
          <w:color w:val="auto"/>
          <w:highlight w:val="none"/>
        </w:rPr>
        <w:t xml:space="preserve">依法缴纳税收及社会保障资金证明，不能提供的应提供证明材料。 </w:t>
      </w:r>
    </w:p>
    <w:p w14:paraId="029AF920">
      <w:pPr>
        <w:spacing w:line="360" w:lineRule="auto"/>
        <w:ind w:firstLine="460" w:firstLineChars="192"/>
        <w:jc w:val="both"/>
        <w:outlineLvl w:val="9"/>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）参加政府采购活动前3年内在经营活动中没有重大违法记录的承诺函。</w:t>
      </w:r>
    </w:p>
    <w:p w14:paraId="21A41C16">
      <w:pPr>
        <w:spacing w:line="360" w:lineRule="auto"/>
        <w:ind w:firstLine="460" w:firstLineChars="192"/>
        <w:jc w:val="both"/>
        <w:outlineLvl w:val="9"/>
        <w:rPr>
          <w:rStyle w:val="57"/>
          <w:rFonts w:hint="eastAsia" w:ascii="宋体" w:hAnsi="宋体"/>
          <w:color w:val="auto"/>
          <w:kern w:val="2"/>
          <w:szCs w:val="20"/>
          <w:highlight w:val="none"/>
        </w:rPr>
      </w:pPr>
      <w:r>
        <w:rPr>
          <w:rFonts w:hint="eastAsia" w:ascii="宋体" w:hAnsi="宋体"/>
          <w:color w:val="auto"/>
          <w:highlight w:val="none"/>
        </w:rPr>
        <w:t>（</w:t>
      </w:r>
      <w:r>
        <w:rPr>
          <w:rFonts w:hint="eastAsia" w:ascii="宋体" w:hAnsi="宋体"/>
          <w:color w:val="auto"/>
          <w:highlight w:val="none"/>
          <w:lang w:val="en-US" w:eastAsia="zh-CN"/>
        </w:rPr>
        <w:t>4</w:t>
      </w:r>
      <w:r>
        <w:rPr>
          <w:rFonts w:hint="eastAsia" w:ascii="宋体" w:hAnsi="宋体"/>
          <w:color w:val="auto"/>
          <w:highlight w:val="none"/>
        </w:rPr>
        <w:t>）法定代表人授权书原件。</w:t>
      </w:r>
    </w:p>
    <w:p w14:paraId="238A246D">
      <w:pPr>
        <w:spacing w:line="360" w:lineRule="auto"/>
        <w:ind w:firstLine="460" w:firstLineChars="192"/>
        <w:jc w:val="both"/>
        <w:outlineLvl w:val="9"/>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5</w:t>
      </w:r>
      <w:r>
        <w:rPr>
          <w:rFonts w:hint="eastAsia" w:ascii="宋体" w:hAnsi="宋体"/>
          <w:color w:val="auto"/>
          <w:highlight w:val="none"/>
        </w:rPr>
        <w:t>）被授权代表的身份证明文件复印件。</w:t>
      </w:r>
    </w:p>
    <w:p w14:paraId="72094F40">
      <w:pPr>
        <w:spacing w:line="360" w:lineRule="auto"/>
        <w:ind w:firstLine="460" w:firstLineChars="192"/>
        <w:jc w:val="both"/>
        <w:outlineLvl w:val="9"/>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6</w:t>
      </w:r>
      <w:r>
        <w:rPr>
          <w:rFonts w:hint="eastAsia" w:ascii="宋体" w:hAnsi="宋体"/>
          <w:color w:val="auto"/>
          <w:highlight w:val="none"/>
        </w:rPr>
        <w:t>）磋商保证金缴纳凭证（复印件）。</w:t>
      </w:r>
    </w:p>
    <w:p w14:paraId="6C79E59D">
      <w:pPr>
        <w:spacing w:line="360" w:lineRule="auto"/>
        <w:ind w:firstLine="460" w:firstLineChars="192"/>
        <w:jc w:val="both"/>
        <w:outlineLvl w:val="9"/>
        <w:rPr>
          <w:rFonts w:hint="eastAsia" w:ascii="宋体" w:hAnsi="宋体"/>
          <w:color w:val="auto"/>
          <w:highlight w:val="none"/>
          <w:lang w:val="zh-CN" w:eastAsia="zh-CN"/>
        </w:rPr>
      </w:pPr>
      <w:r>
        <w:rPr>
          <w:rFonts w:hint="eastAsia" w:ascii="宋体" w:hAnsi="宋体"/>
          <w:color w:val="auto"/>
          <w:highlight w:val="none"/>
        </w:rPr>
        <w:t>（</w:t>
      </w:r>
      <w:r>
        <w:rPr>
          <w:rFonts w:hint="eastAsia" w:ascii="宋体" w:hAnsi="宋体"/>
          <w:color w:val="auto"/>
          <w:highlight w:val="none"/>
          <w:lang w:val="en-US" w:eastAsia="zh-CN"/>
        </w:rPr>
        <w:t>7</w:t>
      </w:r>
      <w:r>
        <w:rPr>
          <w:rFonts w:hint="eastAsia" w:ascii="宋体" w:hAnsi="宋体"/>
          <w:color w:val="auto"/>
          <w:highlight w:val="none"/>
        </w:rPr>
        <w:t>）</w:t>
      </w:r>
      <w:r>
        <w:rPr>
          <w:rFonts w:hint="eastAsia" w:ascii="宋体" w:hAnsi="宋体"/>
          <w:color w:val="auto"/>
          <w:highlight w:val="none"/>
          <w:lang w:val="zh-CN" w:eastAsia="zh-CN"/>
        </w:rPr>
        <w:t>经信用中国（</w:t>
      </w:r>
      <w:r>
        <w:rPr>
          <w:rFonts w:hint="eastAsia" w:ascii="宋体" w:hAnsi="宋体"/>
          <w:color w:val="auto"/>
          <w:highlight w:val="none"/>
          <w:lang w:val="zh-CN" w:eastAsia="zh-CN"/>
        </w:rPr>
        <w:fldChar w:fldCharType="begin"/>
      </w:r>
      <w:r>
        <w:rPr>
          <w:rFonts w:hint="eastAsia" w:ascii="宋体" w:hAnsi="宋体"/>
          <w:color w:val="auto"/>
          <w:highlight w:val="none"/>
          <w:lang w:val="zh-CN" w:eastAsia="zh-CN"/>
        </w:rPr>
        <w:instrText xml:space="preserve"> HYPERLINK "http://www.creditchina.gov.cn/" \h </w:instrText>
      </w:r>
      <w:r>
        <w:rPr>
          <w:rFonts w:hint="eastAsia" w:ascii="宋体" w:hAnsi="宋体"/>
          <w:color w:val="auto"/>
          <w:highlight w:val="none"/>
          <w:lang w:val="zh-CN" w:eastAsia="zh-CN"/>
        </w:rPr>
        <w:fldChar w:fldCharType="separate"/>
      </w:r>
      <w:r>
        <w:rPr>
          <w:rFonts w:hint="eastAsia" w:ascii="宋体" w:hAnsi="宋体"/>
          <w:color w:val="auto"/>
          <w:highlight w:val="none"/>
          <w:lang w:val="zh-CN" w:eastAsia="zh-CN"/>
        </w:rPr>
        <w:t>www.creditchina.gov.cn</w:t>
      </w:r>
      <w:r>
        <w:rPr>
          <w:rFonts w:hint="eastAsia" w:ascii="宋体" w:hAnsi="宋体"/>
          <w:color w:val="auto"/>
          <w:highlight w:val="none"/>
          <w:lang w:val="zh-CN" w:eastAsia="zh-CN"/>
        </w:rPr>
        <w:fldChar w:fldCharType="end"/>
      </w:r>
      <w:r>
        <w:rPr>
          <w:rFonts w:hint="eastAsia" w:ascii="宋体" w:hAnsi="宋体"/>
          <w:color w:val="auto"/>
          <w:highlight w:val="none"/>
          <w:lang w:val="zh-CN" w:eastAsia="zh-CN"/>
        </w:rPr>
        <w:t>）、中国政府采购网</w:t>
      </w:r>
      <w:r>
        <w:rPr>
          <w:rFonts w:hint="eastAsia" w:ascii="宋体" w:hAnsi="宋体"/>
          <w:color w:val="auto"/>
          <w:highlight w:val="none"/>
          <w:lang w:val="zh-CN" w:eastAsia="zh-CN"/>
        </w:rPr>
        <w:fldChar w:fldCharType="begin"/>
      </w:r>
      <w:r>
        <w:rPr>
          <w:rFonts w:hint="eastAsia" w:ascii="宋体" w:hAnsi="宋体"/>
          <w:color w:val="auto"/>
          <w:highlight w:val="none"/>
          <w:lang w:val="zh-CN" w:eastAsia="zh-CN"/>
        </w:rPr>
        <w:instrText xml:space="preserve"> HYPERLINK "http://www.ccgp.gov.cn/" \h </w:instrText>
      </w:r>
      <w:r>
        <w:rPr>
          <w:rFonts w:hint="eastAsia" w:ascii="宋体" w:hAnsi="宋体"/>
          <w:color w:val="auto"/>
          <w:highlight w:val="none"/>
          <w:lang w:val="zh-CN" w:eastAsia="zh-CN"/>
        </w:rPr>
        <w:fldChar w:fldCharType="separate"/>
      </w:r>
      <w:r>
        <w:rPr>
          <w:rFonts w:hint="eastAsia" w:ascii="宋体" w:hAnsi="宋体"/>
          <w:color w:val="auto"/>
          <w:highlight w:val="none"/>
          <w:lang w:val="zh-CN" w:eastAsia="zh-CN"/>
        </w:rPr>
        <w:t>（www.ccgp.gov.cn</w:t>
      </w:r>
      <w:r>
        <w:rPr>
          <w:rFonts w:hint="eastAsia" w:ascii="宋体" w:hAnsi="宋体"/>
          <w:color w:val="auto"/>
          <w:highlight w:val="none"/>
          <w:lang w:val="zh-CN" w:eastAsia="zh-CN"/>
        </w:rPr>
        <w:fldChar w:fldCharType="end"/>
      </w:r>
      <w:r>
        <w:rPr>
          <w:rFonts w:hint="eastAsia" w:ascii="宋体" w:hAnsi="宋体"/>
          <w:color w:val="auto"/>
          <w:highlight w:val="none"/>
          <w:lang w:val="zh-CN" w:eastAsia="zh-CN"/>
        </w:rPr>
        <w:t>）等渠道查询后，列入失信被执行人、重大税收违法案件当事人名单、政府采购严重违法失信行为记录名单的，取消投标资格。（提供“信用中国”网站无任何不良记录的查询截图，时间为投标截止时间前</w:t>
      </w:r>
      <w:r>
        <w:rPr>
          <w:rFonts w:hint="eastAsia" w:ascii="宋体" w:hAnsi="宋体"/>
          <w:color w:val="auto"/>
          <w:highlight w:val="none"/>
          <w:lang w:val="en-US" w:eastAsia="zh-CN"/>
        </w:rPr>
        <w:t>10</w:t>
      </w:r>
      <w:r>
        <w:rPr>
          <w:rFonts w:hint="eastAsia" w:ascii="宋体" w:hAnsi="宋体"/>
          <w:color w:val="auto"/>
          <w:highlight w:val="none"/>
          <w:lang w:val="zh-CN" w:eastAsia="zh-CN"/>
        </w:rPr>
        <w:t>天内）；</w:t>
      </w:r>
    </w:p>
    <w:p w14:paraId="36E4748A">
      <w:pPr>
        <w:spacing w:line="360" w:lineRule="auto"/>
        <w:ind w:firstLine="460" w:firstLineChars="192"/>
        <w:jc w:val="both"/>
        <w:outlineLvl w:val="9"/>
        <w:rPr>
          <w:rFonts w:hint="eastAsia" w:ascii="宋体" w:hAnsi="宋体"/>
          <w:color w:val="auto"/>
          <w:highlight w:val="none"/>
          <w:lang w:val="en-US" w:eastAsia="zh-CN"/>
        </w:rPr>
      </w:pPr>
      <w:r>
        <w:rPr>
          <w:rFonts w:hint="eastAsia" w:ascii="宋体" w:hAnsi="宋体"/>
          <w:color w:val="auto"/>
          <w:highlight w:val="none"/>
          <w:lang w:val="en-US" w:eastAsia="zh-CN"/>
        </w:rPr>
        <w:t>（8）</w:t>
      </w:r>
      <w:r>
        <w:rPr>
          <w:rFonts w:hint="eastAsia" w:ascii="宋体" w:hAnsi="宋体" w:cs="宋体"/>
          <w:color w:val="auto"/>
          <w:sz w:val="24"/>
          <w:szCs w:val="24"/>
          <w:highlight w:val="none"/>
          <w:u w:val="none"/>
          <w:lang w:val="en-US" w:eastAsia="zh-CN"/>
        </w:rPr>
        <w:t>本项目要求供应商具备有效的营业执照。</w:t>
      </w:r>
    </w:p>
    <w:p w14:paraId="4270E2B7">
      <w:pPr>
        <w:spacing w:line="360" w:lineRule="auto"/>
        <w:ind w:firstLine="460" w:firstLineChars="192"/>
        <w:jc w:val="both"/>
        <w:outlineLvl w:val="9"/>
        <w:rPr>
          <w:rFonts w:hint="eastAsia" w:ascii="宋体" w:hAnsi="宋体"/>
          <w:color w:val="auto"/>
          <w:highlight w:val="none"/>
        </w:rPr>
      </w:pPr>
      <w:r>
        <w:rPr>
          <w:rFonts w:hint="eastAsia" w:ascii="宋体" w:hAnsi="宋体"/>
          <w:color w:val="auto"/>
          <w:highlight w:val="none"/>
        </w:rPr>
        <w:t>说明：</w:t>
      </w:r>
    </w:p>
    <w:p w14:paraId="14427082">
      <w:pPr>
        <w:keepNext w:val="0"/>
        <w:keepLines w:val="0"/>
        <w:pageBreakBefore w:val="0"/>
        <w:widowControl/>
        <w:kinsoku/>
        <w:wordWrap/>
        <w:overflowPunct/>
        <w:topLinePunct w:val="0"/>
        <w:autoSpaceDE/>
        <w:autoSpaceDN/>
        <w:bidi w:val="0"/>
        <w:adjustRightInd/>
        <w:snapToGrid/>
        <w:spacing w:line="500" w:lineRule="exact"/>
        <w:ind w:firstLine="463" w:firstLineChars="192"/>
        <w:jc w:val="both"/>
        <w:textAlignment w:val="auto"/>
        <w:outlineLvl w:val="9"/>
        <w:rPr>
          <w:rFonts w:ascii="宋体" w:hAnsi="宋体"/>
          <w:b/>
          <w:color w:val="auto"/>
          <w:highlight w:val="none"/>
          <w:u w:val="single"/>
        </w:rPr>
      </w:pPr>
      <w:r>
        <w:rPr>
          <w:rFonts w:ascii="宋体" w:hAnsi="宋体"/>
          <w:b/>
          <w:color w:val="auto"/>
          <w:highlight w:val="none"/>
        </w:rPr>
        <w:t xml:space="preserve">1）确定参加磋商的供应商数量采用合格制，即磋商小组对各供应商资格审查后，凡符合本竞争性磋商文件规定资格条件的，均进入参加磋商的供应商名单。 </w:t>
      </w:r>
    </w:p>
    <w:p w14:paraId="7ACDA8C5">
      <w:pPr>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b/>
          <w:color w:val="auto"/>
          <w:highlight w:val="none"/>
        </w:rPr>
      </w:pPr>
      <w:r>
        <w:rPr>
          <w:rFonts w:ascii="宋体" w:hAnsi="宋体"/>
          <w:b/>
          <w:color w:val="auto"/>
          <w:highlight w:val="none"/>
        </w:rPr>
        <w:t>2）供应商应对其所提供的资格证明材料来源的合法性、真实性负责</w:t>
      </w:r>
      <w:r>
        <w:rPr>
          <w:rFonts w:hint="eastAsia" w:ascii="宋体" w:hAnsi="宋体"/>
          <w:b/>
          <w:color w:val="auto"/>
          <w:highlight w:val="none"/>
          <w:lang w:eastAsia="zh-CN"/>
        </w:rPr>
        <w:t>。</w:t>
      </w:r>
    </w:p>
    <w:p w14:paraId="49E7C442">
      <w:pPr>
        <w:adjustRightInd w:val="0"/>
        <w:snapToGrid w:val="0"/>
        <w:spacing w:line="360" w:lineRule="auto"/>
        <w:jc w:val="center"/>
        <w:outlineLvl w:val="0"/>
        <w:rPr>
          <w:rFonts w:ascii="宋体" w:hAnsi="宋体"/>
          <w:b/>
          <w:bCs/>
          <w:color w:val="auto"/>
          <w:sz w:val="28"/>
          <w:szCs w:val="28"/>
          <w:highlight w:val="none"/>
        </w:rPr>
      </w:pPr>
      <w:bookmarkStart w:id="13" w:name="_Toc496715342"/>
      <w:r>
        <w:rPr>
          <w:rFonts w:ascii="宋体" w:hAnsi="宋体" w:eastAsia="宋体"/>
          <w:color w:val="auto"/>
          <w:sz w:val="28"/>
          <w:szCs w:val="28"/>
          <w:highlight w:val="none"/>
        </w:rPr>
        <w:br w:type="page"/>
      </w:r>
      <w:bookmarkEnd w:id="13"/>
      <w:bookmarkStart w:id="14" w:name="_Toc22571"/>
      <w:r>
        <w:rPr>
          <w:rFonts w:hint="eastAsia" w:ascii="宋体" w:hAnsi="宋体" w:eastAsia="宋体" w:cs="Times New Roman"/>
          <w:b/>
          <w:bCs/>
          <w:color w:val="auto"/>
          <w:sz w:val="28"/>
          <w:szCs w:val="28"/>
          <w:highlight w:val="none"/>
          <w:lang w:eastAsia="zh-CN"/>
        </w:rPr>
        <w:t>第</w:t>
      </w:r>
      <w:r>
        <w:rPr>
          <w:rFonts w:hint="eastAsia" w:ascii="宋体" w:hAnsi="宋体" w:eastAsia="宋体" w:cs="Times New Roman"/>
          <w:b/>
          <w:bCs/>
          <w:color w:val="auto"/>
          <w:sz w:val="28"/>
          <w:szCs w:val="28"/>
          <w:highlight w:val="none"/>
          <w:lang w:val="en-US" w:eastAsia="zh-CN"/>
        </w:rPr>
        <w:t>四</w:t>
      </w:r>
      <w:r>
        <w:rPr>
          <w:rFonts w:hint="eastAsia" w:ascii="宋体" w:hAnsi="宋体" w:eastAsia="宋体" w:cs="Times New Roman"/>
          <w:b/>
          <w:bCs/>
          <w:color w:val="auto"/>
          <w:sz w:val="28"/>
          <w:szCs w:val="28"/>
          <w:highlight w:val="none"/>
          <w:lang w:eastAsia="zh-CN"/>
        </w:rPr>
        <w:t>章</w:t>
      </w:r>
      <w:r>
        <w:rPr>
          <w:rFonts w:hint="eastAsia" w:ascii="宋体" w:hAnsi="宋体" w:eastAsia="宋体" w:cs="Times New Roman"/>
          <w:b/>
          <w:bCs/>
          <w:color w:val="auto"/>
          <w:sz w:val="28"/>
          <w:szCs w:val="28"/>
          <w:highlight w:val="none"/>
          <w:lang w:val="en-US" w:eastAsia="zh-CN"/>
        </w:rPr>
        <w:t xml:space="preserve"> </w:t>
      </w:r>
      <w:r>
        <w:rPr>
          <w:rFonts w:ascii="宋体" w:hAnsi="宋体" w:eastAsia="宋体" w:cs="Times New Roman"/>
          <w:b/>
          <w:bCs/>
          <w:color w:val="auto"/>
          <w:sz w:val="28"/>
          <w:szCs w:val="28"/>
          <w:highlight w:val="none"/>
        </w:rPr>
        <w:t>磋商程序</w:t>
      </w:r>
      <w:bookmarkEnd w:id="14"/>
    </w:p>
    <w:p w14:paraId="5D8CD831">
      <w:pPr>
        <w:numPr>
          <w:ilvl w:val="0"/>
          <w:numId w:val="0"/>
        </w:numPr>
        <w:jc w:val="both"/>
        <w:outlineLvl w:val="9"/>
        <w:rPr>
          <w:rFonts w:ascii="宋体" w:hAnsi="宋体"/>
          <w:b/>
          <w:bCs/>
          <w:color w:val="auto"/>
          <w:sz w:val="28"/>
          <w:szCs w:val="28"/>
          <w:highlight w:val="none"/>
        </w:rPr>
      </w:pPr>
    </w:p>
    <w:p w14:paraId="09BAFD78">
      <w:pPr>
        <w:snapToGrid w:val="0"/>
        <w:spacing w:line="360" w:lineRule="auto"/>
        <w:outlineLvl w:val="9"/>
        <w:rPr>
          <w:rFonts w:ascii="宋体" w:hAnsi="宋体"/>
          <w:color w:val="auto"/>
          <w:highlight w:val="none"/>
        </w:rPr>
      </w:pPr>
      <w:r>
        <w:rPr>
          <w:rFonts w:ascii="宋体" w:hAnsi="宋体"/>
          <w:color w:val="auto"/>
          <w:highlight w:val="none"/>
        </w:rPr>
        <w:t>1、磋商小组及专家组成</w:t>
      </w:r>
    </w:p>
    <w:p w14:paraId="4E881DB8">
      <w:pPr>
        <w:pStyle w:val="23"/>
        <w:snapToGrid w:val="0"/>
        <w:spacing w:line="360" w:lineRule="auto"/>
        <w:ind w:firstLine="480" w:firstLineChars="200"/>
        <w:outlineLvl w:val="9"/>
        <w:rPr>
          <w:rFonts w:hAnsi="宋体"/>
          <w:color w:val="auto"/>
          <w:sz w:val="24"/>
          <w:szCs w:val="24"/>
          <w:highlight w:val="none"/>
        </w:rPr>
      </w:pPr>
      <w:r>
        <w:rPr>
          <w:rFonts w:hAnsi="宋体"/>
          <w:color w:val="auto"/>
          <w:sz w:val="24"/>
          <w:szCs w:val="24"/>
          <w:highlight w:val="none"/>
        </w:rPr>
        <w:t>根据《中华人民共和国政府采购法》和《政府采购竞争性磋商采购方式管理暂行办法》等的规定并结合本次采购项目的实际情况，磋商小组由采购单位的代表和有关方面的专家3人以上的单数组成，其中专家人数不少于成员总数的三分之二，负责本次采购项目的竞争性磋商和评审工作。</w:t>
      </w:r>
    </w:p>
    <w:p w14:paraId="56972290">
      <w:pPr>
        <w:snapToGrid w:val="0"/>
        <w:spacing w:line="360" w:lineRule="auto"/>
        <w:outlineLvl w:val="9"/>
        <w:rPr>
          <w:rFonts w:ascii="宋体" w:hAnsi="宋体"/>
          <w:color w:val="auto"/>
          <w:highlight w:val="none"/>
        </w:rPr>
      </w:pPr>
      <w:r>
        <w:rPr>
          <w:rFonts w:ascii="宋体" w:hAnsi="宋体"/>
          <w:color w:val="auto"/>
          <w:highlight w:val="none"/>
        </w:rPr>
        <w:t>2、磋商组织</w:t>
      </w:r>
    </w:p>
    <w:p w14:paraId="0A8DD032">
      <w:pPr>
        <w:pStyle w:val="23"/>
        <w:snapToGrid w:val="0"/>
        <w:spacing w:line="360" w:lineRule="auto"/>
        <w:ind w:firstLine="480" w:firstLineChars="200"/>
        <w:outlineLvl w:val="9"/>
        <w:rPr>
          <w:rFonts w:hAnsi="宋体"/>
          <w:color w:val="auto"/>
          <w:sz w:val="24"/>
          <w:szCs w:val="24"/>
          <w:highlight w:val="none"/>
        </w:rPr>
      </w:pPr>
      <w:r>
        <w:rPr>
          <w:rFonts w:hAnsi="宋体"/>
          <w:color w:val="auto"/>
          <w:sz w:val="24"/>
          <w:szCs w:val="24"/>
          <w:highlight w:val="none"/>
          <w:lang w:val="zh-CN"/>
        </w:rPr>
        <w:t>磋商工作由采购代理机构组织，具体磋商事务由依法组建的磋商小组负责。</w:t>
      </w:r>
    </w:p>
    <w:p w14:paraId="623CB26D">
      <w:pPr>
        <w:snapToGrid w:val="0"/>
        <w:spacing w:line="360" w:lineRule="auto"/>
        <w:outlineLvl w:val="9"/>
        <w:rPr>
          <w:rFonts w:ascii="宋体" w:hAnsi="宋体"/>
          <w:color w:val="auto"/>
          <w:highlight w:val="none"/>
        </w:rPr>
      </w:pPr>
      <w:r>
        <w:rPr>
          <w:rFonts w:ascii="宋体" w:hAnsi="宋体"/>
          <w:color w:val="auto"/>
          <w:highlight w:val="none"/>
        </w:rPr>
        <w:t>3、磋商程序</w:t>
      </w:r>
    </w:p>
    <w:p w14:paraId="23A26740">
      <w:pPr>
        <w:pStyle w:val="23"/>
        <w:snapToGrid w:val="0"/>
        <w:spacing w:line="360" w:lineRule="auto"/>
        <w:ind w:firstLine="480" w:firstLineChars="200"/>
        <w:outlineLvl w:val="9"/>
        <w:rPr>
          <w:rFonts w:hAnsi="宋体"/>
          <w:color w:val="auto"/>
          <w:sz w:val="24"/>
          <w:szCs w:val="24"/>
          <w:highlight w:val="none"/>
          <w:lang w:val="zh-CN"/>
        </w:rPr>
      </w:pPr>
      <w:r>
        <w:rPr>
          <w:rFonts w:hAnsi="宋体"/>
          <w:color w:val="auto"/>
          <w:sz w:val="24"/>
          <w:szCs w:val="24"/>
          <w:highlight w:val="none"/>
        </w:rPr>
        <w:t xml:space="preserve">3.1 </w:t>
      </w:r>
      <w:r>
        <w:rPr>
          <w:rFonts w:hAnsi="宋体"/>
          <w:color w:val="auto"/>
          <w:sz w:val="24"/>
          <w:szCs w:val="24"/>
          <w:highlight w:val="none"/>
          <w:lang w:val="zh-CN"/>
        </w:rPr>
        <w:t>在供应商递交响应文件截止时间结束后，采购代理机构组织磋商小组对递交响应文件的供应商进行资格审查，确定邀请参加磋商的供应商名单。</w:t>
      </w:r>
    </w:p>
    <w:p w14:paraId="76564221">
      <w:pPr>
        <w:pStyle w:val="23"/>
        <w:snapToGrid w:val="0"/>
        <w:spacing w:line="360" w:lineRule="auto"/>
        <w:ind w:firstLine="480" w:firstLineChars="200"/>
        <w:outlineLvl w:val="9"/>
        <w:rPr>
          <w:rFonts w:hAnsi="宋体"/>
          <w:color w:val="auto"/>
          <w:sz w:val="24"/>
          <w:szCs w:val="24"/>
          <w:highlight w:val="none"/>
          <w:lang w:val="zh-CN"/>
        </w:rPr>
      </w:pPr>
      <w:r>
        <w:rPr>
          <w:rFonts w:hAnsi="宋体"/>
          <w:color w:val="auto"/>
          <w:sz w:val="24"/>
          <w:szCs w:val="24"/>
          <w:highlight w:val="none"/>
          <w:lang w:val="zh-CN"/>
        </w:rPr>
        <w:t>确定参加磋商的供应商数量采用合格数量制，即磋商小组对各供应商资格审查后，凡符合本竞争性磋商文件规定资格条件的，均进入参加磋商的供应商名单。</w:t>
      </w:r>
    </w:p>
    <w:p w14:paraId="0A919E7D">
      <w:pPr>
        <w:pStyle w:val="23"/>
        <w:snapToGrid w:val="0"/>
        <w:spacing w:line="360" w:lineRule="auto"/>
        <w:ind w:firstLine="480" w:firstLineChars="200"/>
        <w:outlineLvl w:val="9"/>
        <w:rPr>
          <w:rFonts w:hAnsi="宋体"/>
          <w:color w:val="auto"/>
          <w:sz w:val="24"/>
          <w:szCs w:val="24"/>
          <w:highlight w:val="none"/>
        </w:rPr>
      </w:pPr>
      <w:r>
        <w:rPr>
          <w:rFonts w:hAnsi="宋体"/>
          <w:color w:val="auto"/>
          <w:sz w:val="24"/>
          <w:szCs w:val="24"/>
          <w:highlight w:val="none"/>
        </w:rPr>
        <w:t>磋商小组资格审查结束后，向采购</w:t>
      </w:r>
      <w:r>
        <w:rPr>
          <w:rFonts w:hAnsi="宋体"/>
          <w:color w:val="auto"/>
          <w:sz w:val="24"/>
          <w:szCs w:val="24"/>
          <w:highlight w:val="none"/>
          <w:lang w:val="zh-CN"/>
        </w:rPr>
        <w:t>代理机构</w:t>
      </w:r>
      <w:r>
        <w:rPr>
          <w:rFonts w:hAnsi="宋体"/>
          <w:color w:val="auto"/>
          <w:sz w:val="24"/>
          <w:szCs w:val="24"/>
          <w:highlight w:val="none"/>
        </w:rPr>
        <w:t>出具资格审查报告，确定参加磋商的供应商名单。没有通过资格审查的供应商，磋商小组应在资格审查报告中说明原因。</w:t>
      </w:r>
    </w:p>
    <w:p w14:paraId="6C248C52">
      <w:pPr>
        <w:pStyle w:val="23"/>
        <w:snapToGrid w:val="0"/>
        <w:spacing w:line="360" w:lineRule="auto"/>
        <w:ind w:firstLine="480" w:firstLineChars="200"/>
        <w:outlineLvl w:val="9"/>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lang w:val="en-US" w:eastAsia="zh-CN"/>
        </w:rPr>
        <w:t xml:space="preserve">2 </w:t>
      </w:r>
      <w:r>
        <w:rPr>
          <w:rFonts w:hAnsi="宋体"/>
          <w:color w:val="auto"/>
          <w:sz w:val="24"/>
          <w:szCs w:val="24"/>
          <w:highlight w:val="none"/>
        </w:rPr>
        <w:t>采购</w:t>
      </w:r>
      <w:r>
        <w:rPr>
          <w:rFonts w:hAnsi="宋体"/>
          <w:color w:val="auto"/>
          <w:sz w:val="24"/>
          <w:szCs w:val="24"/>
          <w:highlight w:val="none"/>
          <w:lang w:val="zh-CN"/>
        </w:rPr>
        <w:t>代理机构</w:t>
      </w:r>
      <w:r>
        <w:rPr>
          <w:rFonts w:hAnsi="宋体"/>
          <w:color w:val="auto"/>
          <w:sz w:val="24"/>
          <w:szCs w:val="24"/>
          <w:highlight w:val="none"/>
        </w:rPr>
        <w:t>组织磋商小组成员按磋商文件规定集中与通过资格审查的供应商分别进行磋商。</w:t>
      </w:r>
    </w:p>
    <w:p w14:paraId="28D3A9D4">
      <w:pPr>
        <w:pStyle w:val="23"/>
        <w:snapToGrid w:val="0"/>
        <w:spacing w:line="360" w:lineRule="auto"/>
        <w:ind w:firstLine="480" w:firstLineChars="200"/>
        <w:outlineLvl w:val="9"/>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lang w:val="en-US" w:eastAsia="zh-CN"/>
        </w:rPr>
        <w:t>3</w:t>
      </w:r>
      <w:r>
        <w:rPr>
          <w:rFonts w:hAnsi="宋体"/>
          <w:color w:val="auto"/>
          <w:sz w:val="24"/>
          <w:szCs w:val="24"/>
          <w:highlight w:val="none"/>
        </w:rPr>
        <w:t xml:space="preserve"> 磋商小组经采购单位代表确认后，可以根据磋商情况实质性变动采购需求中的技术、服务要求以及合同草案条款，并将变更的内容及时以书面形式通知所有参加磋商的供应商，变动通知为本次磋商文件的有效组成部分。</w:t>
      </w:r>
    </w:p>
    <w:p w14:paraId="6EFCD2AE">
      <w:pPr>
        <w:pStyle w:val="23"/>
        <w:snapToGrid w:val="0"/>
        <w:spacing w:line="360" w:lineRule="auto"/>
        <w:ind w:firstLine="480" w:firstLineChars="200"/>
        <w:outlineLvl w:val="9"/>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lang w:val="en-US" w:eastAsia="zh-CN"/>
        </w:rPr>
        <w:t>4</w:t>
      </w:r>
      <w:r>
        <w:rPr>
          <w:rFonts w:hAnsi="宋体"/>
          <w:color w:val="auto"/>
          <w:sz w:val="24"/>
          <w:szCs w:val="24"/>
          <w:highlight w:val="none"/>
        </w:rPr>
        <w:t xml:space="preserve"> 磋商过程中，供应商可以根据磋商情况变更其响应文件，并将变更内容形成书面材料送磋商小组。变更内容应作为响应文件的一部分。</w:t>
      </w:r>
    </w:p>
    <w:p w14:paraId="0CF800B1">
      <w:pPr>
        <w:pStyle w:val="23"/>
        <w:snapToGrid w:val="0"/>
        <w:spacing w:line="360" w:lineRule="auto"/>
        <w:ind w:firstLine="480" w:firstLineChars="200"/>
        <w:outlineLvl w:val="9"/>
        <w:rPr>
          <w:rFonts w:hAnsi="宋体"/>
          <w:color w:val="auto"/>
          <w:sz w:val="24"/>
          <w:szCs w:val="24"/>
          <w:highlight w:val="none"/>
        </w:rPr>
      </w:pPr>
      <w:r>
        <w:rPr>
          <w:rFonts w:hAnsi="宋体"/>
          <w:color w:val="auto"/>
          <w:sz w:val="24"/>
          <w:szCs w:val="24"/>
          <w:highlight w:val="none"/>
        </w:rPr>
        <w:t>供应商书面材料应当签字确认，否则无效。供应商为法人的，应当由其法定代表人或者代理人签字确认。</w:t>
      </w:r>
    </w:p>
    <w:p w14:paraId="2285D04C">
      <w:pPr>
        <w:keepNext w:val="0"/>
        <w:keepLines w:val="0"/>
        <w:pageBreakBefore w:val="0"/>
        <w:tabs>
          <w:tab w:val="left" w:pos="8787"/>
        </w:tabs>
        <w:kinsoku/>
        <w:wordWrap/>
        <w:overflowPunct/>
        <w:topLinePunct w:val="0"/>
        <w:bidi w:val="0"/>
        <w:snapToGrid/>
        <w:spacing w:beforeAutospacing="0" w:afterAutospacing="0" w:line="500" w:lineRule="exact"/>
        <w:ind w:firstLine="480"/>
        <w:jc w:val="left"/>
        <w:textAlignment w:val="auto"/>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lang w:val="en-US" w:eastAsia="zh-CN"/>
        </w:rPr>
        <w:t>5</w:t>
      </w:r>
      <w:r>
        <w:rPr>
          <w:rFonts w:hAnsi="宋体"/>
          <w:color w:val="auto"/>
          <w:sz w:val="24"/>
          <w:szCs w:val="24"/>
          <w:highlight w:val="none"/>
        </w:rPr>
        <w:t xml:space="preserve"> 磋商达到供应商响应文件符合采购需求、质量和服务要求的前提下，磋商小组应要求供应商进行最后报价。</w:t>
      </w:r>
    </w:p>
    <w:p w14:paraId="6702A862">
      <w:pPr>
        <w:keepNext w:val="0"/>
        <w:keepLines w:val="0"/>
        <w:pageBreakBefore w:val="0"/>
        <w:tabs>
          <w:tab w:val="left" w:pos="8787"/>
        </w:tabs>
        <w:kinsoku/>
        <w:wordWrap/>
        <w:overflowPunct/>
        <w:topLinePunct w:val="0"/>
        <w:bidi w:val="0"/>
        <w:snapToGrid/>
        <w:spacing w:beforeAutospacing="0" w:afterAutospacing="0" w:line="500" w:lineRule="exact"/>
        <w:ind w:firstLine="480"/>
        <w:jc w:val="lef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磋商小组确定满足相关规定数量的合格供应商，在政采云平台（https</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//www.zcygov.cn/）上按规定的时间填写最后报价。</w:t>
      </w:r>
      <w:r>
        <w:rPr>
          <w:rFonts w:hint="eastAsia" w:ascii="宋体" w:hAnsi="宋体" w:eastAsia="宋体" w:cs="宋体"/>
          <w:b/>
          <w:bCs/>
          <w:color w:val="auto"/>
          <w:sz w:val="24"/>
          <w:szCs w:val="24"/>
          <w:highlight w:val="none"/>
          <w:lang w:val="zh-CN"/>
        </w:rPr>
        <w:t>因供应商原因无法线上填报最终报价表的，</w:t>
      </w:r>
      <w:r>
        <w:rPr>
          <w:rFonts w:hint="eastAsia" w:ascii="宋体" w:hAnsi="宋体" w:eastAsia="宋体" w:cs="宋体"/>
          <w:b/>
          <w:bCs/>
          <w:color w:val="auto"/>
          <w:sz w:val="24"/>
          <w:szCs w:val="24"/>
          <w:highlight w:val="none"/>
          <w:lang w:val="en-US" w:eastAsia="zh-CN"/>
        </w:rPr>
        <w:t>视为自动放弃填写最终报价表</w:t>
      </w:r>
      <w:r>
        <w:rPr>
          <w:rFonts w:hint="eastAsia" w:ascii="宋体" w:hAnsi="宋体" w:cs="宋体"/>
          <w:b/>
          <w:bCs/>
          <w:color w:val="auto"/>
          <w:sz w:val="24"/>
          <w:szCs w:val="24"/>
          <w:highlight w:val="none"/>
        </w:rPr>
        <w:t>。</w:t>
      </w:r>
    </w:p>
    <w:p w14:paraId="65D95E29">
      <w:pPr>
        <w:pStyle w:val="42"/>
        <w:rPr>
          <w:color w:val="auto"/>
        </w:rPr>
      </w:pPr>
    </w:p>
    <w:p w14:paraId="4CAE703E">
      <w:pPr>
        <w:pStyle w:val="23"/>
        <w:snapToGrid w:val="0"/>
        <w:spacing w:line="360" w:lineRule="auto"/>
        <w:ind w:firstLine="480" w:firstLineChars="200"/>
        <w:outlineLvl w:val="9"/>
        <w:rPr>
          <w:rFonts w:hAnsi="宋体"/>
          <w:color w:val="auto"/>
          <w:sz w:val="24"/>
          <w:szCs w:val="24"/>
          <w:highlight w:val="none"/>
        </w:rPr>
      </w:pPr>
      <w:r>
        <w:rPr>
          <w:rFonts w:hAnsi="宋体"/>
          <w:color w:val="auto"/>
          <w:sz w:val="24"/>
          <w:szCs w:val="24"/>
          <w:highlight w:val="none"/>
        </w:rPr>
        <w:t>供应商响应文件满足或者高于磋商文件规定的采购项目最低要求时，即视同供应商响应文件符合采购需求、质量和服务。</w:t>
      </w:r>
    </w:p>
    <w:p w14:paraId="59CA2647">
      <w:pPr>
        <w:pStyle w:val="23"/>
        <w:snapToGrid w:val="0"/>
        <w:spacing w:line="360" w:lineRule="auto"/>
        <w:ind w:firstLine="480" w:firstLineChars="200"/>
        <w:outlineLvl w:val="9"/>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lang w:val="en-US" w:eastAsia="zh-CN"/>
        </w:rPr>
        <w:t xml:space="preserve">6 </w:t>
      </w:r>
      <w:r>
        <w:rPr>
          <w:rFonts w:hAnsi="宋体"/>
          <w:color w:val="auto"/>
          <w:sz w:val="24"/>
          <w:szCs w:val="24"/>
          <w:highlight w:val="none"/>
        </w:rPr>
        <w:t>磋商小组经过磋商后，供应商响应文件仍然不能满足磋商文件规定的采购项目最低要求的，或者磋商过程中，磋商小组发现或者知晓供应商存在违法、违纪行为的，磋商小组应当将该供应商淘汰，不允许其参加最后报价。</w:t>
      </w:r>
    </w:p>
    <w:p w14:paraId="78141EEE">
      <w:pPr>
        <w:pStyle w:val="23"/>
        <w:snapToGrid w:val="0"/>
        <w:spacing w:line="360" w:lineRule="auto"/>
        <w:ind w:firstLine="480" w:firstLineChars="200"/>
        <w:outlineLvl w:val="9"/>
        <w:rPr>
          <w:rFonts w:hAnsi="宋体"/>
          <w:color w:val="auto"/>
          <w:sz w:val="24"/>
          <w:szCs w:val="24"/>
          <w:highlight w:val="none"/>
        </w:rPr>
      </w:pPr>
      <w:r>
        <w:rPr>
          <w:rFonts w:hAnsi="宋体"/>
          <w:color w:val="auto"/>
          <w:sz w:val="24"/>
          <w:szCs w:val="24"/>
          <w:highlight w:val="none"/>
        </w:rPr>
        <w:t>磋商小组淘汰供应商的，应当书面通知该供应商，并说明理由。</w:t>
      </w:r>
    </w:p>
    <w:p w14:paraId="5CC6A692">
      <w:pPr>
        <w:pStyle w:val="23"/>
        <w:snapToGrid w:val="0"/>
        <w:spacing w:line="360" w:lineRule="auto"/>
        <w:ind w:firstLine="480" w:firstLineChars="200"/>
        <w:outlineLvl w:val="9"/>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lang w:val="en-US" w:eastAsia="zh-CN"/>
        </w:rPr>
        <w:t>7</w:t>
      </w:r>
      <w:r>
        <w:rPr>
          <w:rFonts w:hAnsi="宋体"/>
          <w:color w:val="auto"/>
          <w:sz w:val="24"/>
          <w:szCs w:val="24"/>
          <w:highlight w:val="none"/>
        </w:rPr>
        <w:t xml:space="preserve"> 在磋商中，磋商的任何一方不得透露与磋商有关的其他供应商的技术资料、价格和其他信息。</w:t>
      </w:r>
    </w:p>
    <w:p w14:paraId="3F225ABF">
      <w:pPr>
        <w:pStyle w:val="23"/>
        <w:snapToGrid w:val="0"/>
        <w:spacing w:line="360" w:lineRule="auto"/>
        <w:ind w:firstLine="480" w:firstLineChars="200"/>
        <w:outlineLvl w:val="9"/>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lang w:val="en-US" w:eastAsia="zh-CN"/>
        </w:rPr>
        <w:t>8</w:t>
      </w:r>
      <w:r>
        <w:rPr>
          <w:rFonts w:hAnsi="宋体"/>
          <w:color w:val="auto"/>
          <w:sz w:val="24"/>
          <w:szCs w:val="24"/>
          <w:highlight w:val="none"/>
        </w:rPr>
        <w:t xml:space="preserve"> 经磋商确定最终采购需求和提交最后报价的供应商后，由磋商小组采用综合评分法对提交最后报价的供应商的响应文件和最后报价进行综合评分。</w:t>
      </w:r>
    </w:p>
    <w:p w14:paraId="41E6B538">
      <w:pPr>
        <w:pStyle w:val="23"/>
        <w:snapToGrid w:val="0"/>
        <w:spacing w:line="360" w:lineRule="auto"/>
        <w:ind w:firstLine="480" w:firstLineChars="200"/>
        <w:outlineLvl w:val="9"/>
        <w:rPr>
          <w:rFonts w:hint="eastAsia" w:hAnsi="宋体" w:eastAsia="宋体"/>
          <w:color w:val="auto"/>
          <w:sz w:val="24"/>
          <w:szCs w:val="24"/>
          <w:highlight w:val="none"/>
          <w:lang w:val="en-US" w:eastAsia="zh-CN"/>
        </w:rPr>
      </w:pPr>
      <w:r>
        <w:rPr>
          <w:rFonts w:hAnsi="宋体"/>
          <w:color w:val="auto"/>
          <w:sz w:val="24"/>
          <w:szCs w:val="24"/>
          <w:highlight w:val="none"/>
        </w:rPr>
        <w:t>3.</w:t>
      </w:r>
      <w:r>
        <w:rPr>
          <w:rFonts w:hint="eastAsia" w:hAnsi="宋体"/>
          <w:color w:val="auto"/>
          <w:sz w:val="24"/>
          <w:szCs w:val="24"/>
          <w:highlight w:val="none"/>
          <w:lang w:val="en-US" w:eastAsia="zh-CN"/>
        </w:rPr>
        <w:t>9</w:t>
      </w:r>
      <w:r>
        <w:rPr>
          <w:rFonts w:hAnsi="宋体"/>
          <w:color w:val="auto"/>
          <w:sz w:val="24"/>
          <w:szCs w:val="24"/>
          <w:highlight w:val="none"/>
        </w:rPr>
        <w:t>综合评分表</w:t>
      </w:r>
      <w:r>
        <w:rPr>
          <w:rFonts w:hint="eastAsia" w:hAnsi="宋体"/>
          <w:color w:val="auto"/>
          <w:sz w:val="24"/>
          <w:szCs w:val="24"/>
          <w:highlight w:val="none"/>
          <w:lang w:eastAsia="zh-CN"/>
        </w:rPr>
        <w:t>；</w:t>
      </w:r>
    </w:p>
    <w:p w14:paraId="724EF65D">
      <w:pPr>
        <w:pStyle w:val="23"/>
        <w:snapToGrid w:val="0"/>
        <w:spacing w:line="360" w:lineRule="auto"/>
        <w:ind w:firstLine="480" w:firstLineChars="200"/>
        <w:outlineLvl w:val="9"/>
        <w:rPr>
          <w:rFonts w:hAnsi="宋体"/>
          <w:color w:val="auto"/>
          <w:sz w:val="24"/>
          <w:szCs w:val="24"/>
          <w:highlight w:val="none"/>
        </w:rPr>
      </w:pPr>
      <w:r>
        <w:rPr>
          <w:rFonts w:hAnsi="宋体"/>
          <w:color w:val="auto"/>
          <w:sz w:val="24"/>
          <w:szCs w:val="24"/>
          <w:highlight w:val="none"/>
        </w:rPr>
        <w:t>评分标准：</w:t>
      </w:r>
    </w:p>
    <w:tbl>
      <w:tblPr>
        <w:tblStyle w:val="44"/>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828"/>
        <w:gridCol w:w="703"/>
        <w:gridCol w:w="5261"/>
      </w:tblGrid>
      <w:tr w14:paraId="6D59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66" w:type="dxa"/>
            <w:shd w:val="clear" w:color="000000" w:fill="FFFFFF"/>
            <w:noWrap w:val="0"/>
            <w:vAlign w:val="center"/>
          </w:tcPr>
          <w:p w14:paraId="7CBFF977">
            <w:pPr>
              <w:autoSpaceDE w:val="0"/>
              <w:autoSpaceDN w:val="0"/>
              <w:adjustRightInd w:val="0"/>
              <w:spacing w:line="400" w:lineRule="exact"/>
              <w:jc w:val="left"/>
              <w:rPr>
                <w:rFonts w:hint="eastAsia" w:ascii="宋体" w:hAnsi="宋体" w:cs="宋体"/>
                <w:color w:val="auto"/>
                <w:kern w:val="0"/>
                <w:sz w:val="21"/>
                <w:szCs w:val="21"/>
                <w:lang w:val="zh-CN"/>
              </w:rPr>
            </w:pPr>
            <w:r>
              <w:rPr>
                <w:rFonts w:hint="eastAsia" w:ascii="宋体" w:hAnsi="宋体" w:cs="宋体"/>
                <w:color w:val="auto"/>
                <w:kern w:val="0"/>
                <w:sz w:val="21"/>
                <w:szCs w:val="21"/>
                <w:lang w:val="zh-CN"/>
              </w:rPr>
              <w:t>类别</w:t>
            </w:r>
          </w:p>
        </w:tc>
        <w:tc>
          <w:tcPr>
            <w:tcW w:w="1828" w:type="dxa"/>
            <w:shd w:val="clear" w:color="000000" w:fill="FFFFFF"/>
            <w:noWrap w:val="0"/>
            <w:vAlign w:val="center"/>
          </w:tcPr>
          <w:p w14:paraId="54E02AFF">
            <w:pPr>
              <w:autoSpaceDE w:val="0"/>
              <w:autoSpaceDN w:val="0"/>
              <w:adjustRightInd w:val="0"/>
              <w:spacing w:line="400" w:lineRule="exact"/>
              <w:ind w:firstLine="480"/>
              <w:jc w:val="left"/>
              <w:rPr>
                <w:rFonts w:hint="eastAsia" w:ascii="宋体" w:hAnsi="宋体" w:cs="宋体"/>
                <w:color w:val="auto"/>
                <w:kern w:val="0"/>
                <w:sz w:val="21"/>
                <w:szCs w:val="21"/>
                <w:lang w:val="zh-CN"/>
              </w:rPr>
            </w:pPr>
            <w:r>
              <w:rPr>
                <w:rFonts w:hint="eastAsia" w:ascii="宋体" w:hAnsi="宋体" w:cs="宋体"/>
                <w:color w:val="auto"/>
                <w:kern w:val="0"/>
                <w:sz w:val="21"/>
                <w:szCs w:val="21"/>
                <w:lang w:val="zh-CN"/>
              </w:rPr>
              <w:t>项目</w:t>
            </w:r>
          </w:p>
        </w:tc>
        <w:tc>
          <w:tcPr>
            <w:tcW w:w="703" w:type="dxa"/>
            <w:shd w:val="clear" w:color="000000" w:fill="FFFFFF"/>
            <w:noWrap w:val="0"/>
            <w:vAlign w:val="center"/>
          </w:tcPr>
          <w:p w14:paraId="07AA185D">
            <w:pPr>
              <w:autoSpaceDE w:val="0"/>
              <w:autoSpaceDN w:val="0"/>
              <w:adjustRightInd w:val="0"/>
              <w:spacing w:line="400" w:lineRule="exact"/>
              <w:jc w:val="left"/>
              <w:rPr>
                <w:rFonts w:hint="eastAsia" w:ascii="宋体" w:hAnsi="宋体" w:cs="宋体"/>
                <w:color w:val="auto"/>
                <w:kern w:val="0"/>
                <w:sz w:val="21"/>
                <w:szCs w:val="21"/>
                <w:lang w:val="zh-CN"/>
              </w:rPr>
            </w:pPr>
            <w:r>
              <w:rPr>
                <w:rFonts w:hint="eastAsia" w:ascii="宋体" w:hAnsi="宋体" w:cs="宋体"/>
                <w:color w:val="auto"/>
                <w:kern w:val="0"/>
                <w:sz w:val="21"/>
                <w:szCs w:val="21"/>
                <w:lang w:val="zh-CN"/>
              </w:rPr>
              <w:t>满分 分值</w:t>
            </w:r>
          </w:p>
        </w:tc>
        <w:tc>
          <w:tcPr>
            <w:tcW w:w="5261" w:type="dxa"/>
            <w:shd w:val="clear" w:color="000000" w:fill="FFFFFF"/>
            <w:noWrap w:val="0"/>
            <w:vAlign w:val="center"/>
          </w:tcPr>
          <w:p w14:paraId="4C38BF84">
            <w:pPr>
              <w:autoSpaceDE w:val="0"/>
              <w:autoSpaceDN w:val="0"/>
              <w:adjustRightInd w:val="0"/>
              <w:spacing w:line="400" w:lineRule="exact"/>
              <w:jc w:val="center"/>
              <w:rPr>
                <w:rFonts w:hint="eastAsia" w:ascii="宋体" w:hAnsi="宋体" w:cs="宋体"/>
                <w:color w:val="auto"/>
                <w:kern w:val="0"/>
                <w:sz w:val="21"/>
                <w:szCs w:val="21"/>
                <w:lang w:val="zh-CN"/>
              </w:rPr>
            </w:pPr>
            <w:r>
              <w:rPr>
                <w:rFonts w:hint="eastAsia" w:ascii="宋体" w:hAnsi="宋体" w:cs="宋体"/>
                <w:color w:val="auto"/>
                <w:kern w:val="0"/>
                <w:sz w:val="21"/>
                <w:szCs w:val="21"/>
                <w:lang w:val="zh-CN"/>
              </w:rPr>
              <w:t>评审标准</w:t>
            </w:r>
          </w:p>
        </w:tc>
      </w:tr>
      <w:tr w14:paraId="2944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1166" w:type="dxa"/>
            <w:shd w:val="clear" w:color="000000" w:fill="FFFFFF"/>
            <w:noWrap w:val="0"/>
            <w:vAlign w:val="center"/>
          </w:tcPr>
          <w:p w14:paraId="4D290E3E">
            <w:pPr>
              <w:autoSpaceDE w:val="0"/>
              <w:autoSpaceDN w:val="0"/>
              <w:adjustRightInd w:val="0"/>
              <w:spacing w:line="400" w:lineRule="exact"/>
              <w:jc w:val="center"/>
              <w:rPr>
                <w:rFonts w:hint="eastAsia" w:ascii="宋体" w:hAnsi="宋体" w:cs="宋体"/>
                <w:color w:val="auto"/>
                <w:kern w:val="0"/>
                <w:sz w:val="21"/>
                <w:szCs w:val="21"/>
                <w:lang w:val="zh-CN"/>
              </w:rPr>
            </w:pPr>
            <w:r>
              <w:rPr>
                <w:rFonts w:hint="eastAsia" w:ascii="宋体" w:hAnsi="宋体" w:cs="宋体"/>
                <w:color w:val="auto"/>
                <w:kern w:val="0"/>
                <w:sz w:val="21"/>
                <w:szCs w:val="21"/>
                <w:lang w:val="zh-CN"/>
              </w:rPr>
              <w:t>投标报价</w:t>
            </w:r>
            <w:r>
              <w:rPr>
                <w:rFonts w:hint="eastAsia" w:ascii="宋体" w:hAnsi="宋体" w:cs="宋体"/>
                <w:color w:val="auto"/>
                <w:kern w:val="0"/>
                <w:sz w:val="21"/>
                <w:szCs w:val="21"/>
              </w:rPr>
              <w:t>30</w:t>
            </w:r>
            <w:r>
              <w:rPr>
                <w:rFonts w:hint="eastAsia" w:ascii="宋体" w:hAnsi="宋体" w:cs="宋体"/>
                <w:color w:val="auto"/>
                <w:kern w:val="0"/>
                <w:sz w:val="21"/>
                <w:szCs w:val="21"/>
                <w:lang w:val="zh-CN"/>
              </w:rPr>
              <w:t>分</w:t>
            </w:r>
          </w:p>
        </w:tc>
        <w:tc>
          <w:tcPr>
            <w:tcW w:w="1828" w:type="dxa"/>
            <w:shd w:val="clear" w:color="000000" w:fill="FFFFFF"/>
            <w:noWrap w:val="0"/>
            <w:vAlign w:val="center"/>
          </w:tcPr>
          <w:p w14:paraId="060AC3C7">
            <w:pPr>
              <w:autoSpaceDE w:val="0"/>
              <w:autoSpaceDN w:val="0"/>
              <w:adjustRightInd w:val="0"/>
              <w:spacing w:line="400" w:lineRule="exact"/>
              <w:jc w:val="left"/>
              <w:rPr>
                <w:rFonts w:hint="eastAsia" w:ascii="宋体" w:hAnsi="宋体" w:cs="宋体"/>
                <w:color w:val="auto"/>
                <w:sz w:val="21"/>
                <w:szCs w:val="21"/>
                <w:lang w:val="zh-CN"/>
              </w:rPr>
            </w:pPr>
            <w:r>
              <w:rPr>
                <w:rFonts w:hint="eastAsia" w:ascii="宋体" w:hAnsi="宋体" w:cs="宋体"/>
                <w:color w:val="auto"/>
                <w:sz w:val="21"/>
                <w:szCs w:val="21"/>
                <w:lang w:val="zh-CN"/>
              </w:rPr>
              <w:t>报价分</w:t>
            </w:r>
          </w:p>
        </w:tc>
        <w:tc>
          <w:tcPr>
            <w:tcW w:w="703" w:type="dxa"/>
            <w:shd w:val="clear" w:color="000000" w:fill="FFFFFF"/>
            <w:noWrap w:val="0"/>
            <w:vAlign w:val="center"/>
          </w:tcPr>
          <w:p w14:paraId="1C833F82">
            <w:pPr>
              <w:autoSpaceDE w:val="0"/>
              <w:autoSpaceDN w:val="0"/>
              <w:adjustRightInd w:val="0"/>
              <w:spacing w:line="400" w:lineRule="exact"/>
              <w:jc w:val="left"/>
              <w:rPr>
                <w:rFonts w:ascii="宋体" w:hAnsi="宋体" w:cs="宋体"/>
                <w:color w:val="auto"/>
                <w:sz w:val="21"/>
                <w:szCs w:val="21"/>
              </w:rPr>
            </w:pPr>
            <w:r>
              <w:rPr>
                <w:rFonts w:hint="eastAsia" w:ascii="宋体" w:hAnsi="宋体" w:cs="宋体"/>
                <w:color w:val="auto"/>
                <w:sz w:val="21"/>
                <w:szCs w:val="21"/>
              </w:rPr>
              <w:t>30</w:t>
            </w:r>
          </w:p>
        </w:tc>
        <w:tc>
          <w:tcPr>
            <w:tcW w:w="5261" w:type="dxa"/>
            <w:shd w:val="clear" w:color="000000" w:fill="FFFFFF"/>
            <w:noWrap w:val="0"/>
            <w:vAlign w:val="center"/>
          </w:tcPr>
          <w:p w14:paraId="330F1D45">
            <w:pPr>
              <w:autoSpaceDE w:val="0"/>
              <w:autoSpaceDN w:val="0"/>
              <w:adjustRightInd w:val="0"/>
              <w:spacing w:line="400" w:lineRule="exact"/>
              <w:jc w:val="left"/>
              <w:rPr>
                <w:rFonts w:hint="eastAsia" w:ascii="宋体" w:hAnsi="宋体" w:cs="宋体"/>
                <w:color w:val="auto"/>
                <w:sz w:val="21"/>
                <w:szCs w:val="21"/>
                <w:lang w:val="zh-CN"/>
              </w:rPr>
            </w:pPr>
            <w:r>
              <w:rPr>
                <w:rFonts w:hint="eastAsia" w:ascii="宋体" w:hAnsi="宋体" w:cs="宋体"/>
                <w:color w:val="auto"/>
                <w:sz w:val="21"/>
                <w:szCs w:val="21"/>
                <w:lang w:val="zh-CN"/>
              </w:rPr>
              <w:t>在所有的有效投标报价中，以最低投标报价为基准价，其价格分为满分。其他投标人的报价分统一按下列公式计算：投标报价得分=(评标基准价／投标报价)×价格权值（3</w:t>
            </w:r>
            <w:r>
              <w:rPr>
                <w:rFonts w:hint="eastAsia" w:ascii="宋体" w:hAnsi="宋体" w:cs="宋体"/>
                <w:color w:val="auto"/>
                <w:sz w:val="21"/>
                <w:szCs w:val="21"/>
              </w:rPr>
              <w:t>0</w:t>
            </w:r>
            <w:r>
              <w:rPr>
                <w:rFonts w:hint="eastAsia" w:ascii="宋体" w:hAnsi="宋体" w:cs="宋体"/>
                <w:color w:val="auto"/>
                <w:sz w:val="21"/>
                <w:szCs w:val="21"/>
                <w:lang w:val="zh-CN"/>
              </w:rPr>
              <w:t>%）×100（四舍五入后保留小数点后两位）。</w:t>
            </w:r>
          </w:p>
          <w:p w14:paraId="47F946C1">
            <w:pPr>
              <w:autoSpaceDE w:val="0"/>
              <w:autoSpaceDN w:val="0"/>
              <w:adjustRightInd w:val="0"/>
              <w:spacing w:line="400" w:lineRule="exact"/>
              <w:jc w:val="left"/>
              <w:rPr>
                <w:rFonts w:hint="eastAsia" w:ascii="宋体" w:hAnsi="宋体" w:cs="宋体"/>
                <w:color w:val="auto"/>
                <w:sz w:val="21"/>
                <w:szCs w:val="21"/>
                <w:lang w:val="zh-CN"/>
              </w:rPr>
            </w:pPr>
            <w:r>
              <w:rPr>
                <w:rFonts w:hint="eastAsia" w:ascii="宋体" w:hAnsi="宋体" w:cs="宋体"/>
                <w:color w:val="auto"/>
                <w:sz w:val="21"/>
                <w:szCs w:val="21"/>
                <w:lang w:val="zh-CN"/>
              </w:rPr>
              <w:t>注：根据《政府采购促进中小企业发展暂行办法》的相关规定，对小型和微型企业制造（生产）产品的价格给</w:t>
            </w:r>
          </w:p>
          <w:p w14:paraId="4B937129">
            <w:pPr>
              <w:autoSpaceDE w:val="0"/>
              <w:autoSpaceDN w:val="0"/>
              <w:adjustRightInd w:val="0"/>
              <w:spacing w:line="400" w:lineRule="exact"/>
              <w:jc w:val="left"/>
              <w:rPr>
                <w:rFonts w:hint="eastAsia" w:ascii="宋体" w:hAnsi="宋体" w:cs="宋体"/>
                <w:color w:val="auto"/>
                <w:sz w:val="21"/>
                <w:szCs w:val="21"/>
                <w:lang w:val="zh-CN"/>
              </w:rPr>
            </w:pPr>
            <w:r>
              <w:rPr>
                <w:rFonts w:hint="eastAsia" w:ascii="宋体" w:hAnsi="宋体" w:cs="宋体"/>
                <w:color w:val="auto"/>
                <w:sz w:val="21"/>
                <w:szCs w:val="21"/>
                <w:lang w:val="zh-CN"/>
              </w:rPr>
              <w:t>予10%的扣除，用扣除后的价格参与评审。</w:t>
            </w:r>
          </w:p>
          <w:p w14:paraId="684EB1D4">
            <w:pPr>
              <w:autoSpaceDE w:val="0"/>
              <w:autoSpaceDN w:val="0"/>
              <w:adjustRightInd w:val="0"/>
              <w:spacing w:line="400" w:lineRule="exact"/>
              <w:jc w:val="left"/>
              <w:rPr>
                <w:rFonts w:hint="eastAsia" w:ascii="宋体" w:hAnsi="宋体" w:cs="宋体"/>
                <w:color w:val="auto"/>
                <w:sz w:val="21"/>
                <w:szCs w:val="21"/>
                <w:lang w:val="zh-CN"/>
              </w:rPr>
            </w:pPr>
            <w:r>
              <w:rPr>
                <w:rFonts w:hint="eastAsia" w:ascii="宋体" w:hAnsi="宋体" w:cs="宋体"/>
                <w:color w:val="auto"/>
                <w:sz w:val="21"/>
                <w:szCs w:val="21"/>
                <w:lang w:val="zh-CN"/>
              </w:rPr>
              <w:t>残疾人福利性单位属于小型、微型企业的，不重复享受</w:t>
            </w:r>
          </w:p>
          <w:p w14:paraId="6AB18006">
            <w:pPr>
              <w:autoSpaceDE w:val="0"/>
              <w:autoSpaceDN w:val="0"/>
              <w:adjustRightInd w:val="0"/>
              <w:spacing w:line="400" w:lineRule="exact"/>
              <w:jc w:val="left"/>
              <w:rPr>
                <w:rFonts w:hint="eastAsia" w:ascii="宋体" w:hAnsi="宋体" w:cs="宋体"/>
                <w:color w:val="auto"/>
                <w:sz w:val="21"/>
                <w:szCs w:val="21"/>
                <w:lang w:val="zh-CN"/>
              </w:rPr>
            </w:pPr>
            <w:r>
              <w:rPr>
                <w:rFonts w:hint="eastAsia" w:ascii="宋体" w:hAnsi="宋体" w:cs="宋体"/>
                <w:color w:val="auto"/>
                <w:sz w:val="21"/>
                <w:szCs w:val="21"/>
                <w:lang w:val="zh-CN"/>
              </w:rPr>
              <w:t>政策。</w:t>
            </w:r>
          </w:p>
        </w:tc>
      </w:tr>
      <w:tr w14:paraId="4EBF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166" w:type="dxa"/>
            <w:shd w:val="clear" w:color="000000" w:fill="FFFFFF"/>
            <w:noWrap w:val="0"/>
            <w:vAlign w:val="center"/>
          </w:tcPr>
          <w:p w14:paraId="43016DCD">
            <w:pPr>
              <w:autoSpaceDE w:val="0"/>
              <w:autoSpaceDN w:val="0"/>
              <w:adjustRightInd w:val="0"/>
              <w:spacing w:line="400" w:lineRule="exact"/>
              <w:jc w:val="center"/>
              <w:rPr>
                <w:rFonts w:hint="eastAsia" w:ascii="宋体" w:hAnsi="宋体" w:cs="宋体"/>
                <w:color w:val="auto"/>
                <w:kern w:val="0"/>
                <w:sz w:val="21"/>
                <w:szCs w:val="21"/>
                <w:lang w:val="zh-CN"/>
              </w:rPr>
            </w:pPr>
            <w:r>
              <w:rPr>
                <w:rFonts w:hint="eastAsia" w:ascii="宋体" w:hAnsi="宋体" w:cs="宋体"/>
                <w:color w:val="auto"/>
                <w:kern w:val="0"/>
                <w:sz w:val="21"/>
                <w:szCs w:val="21"/>
                <w:lang w:val="zh-CN"/>
              </w:rPr>
              <w:t>履约能力</w:t>
            </w:r>
          </w:p>
          <w:p w14:paraId="673E324A">
            <w:pPr>
              <w:autoSpaceDE w:val="0"/>
              <w:autoSpaceDN w:val="0"/>
              <w:adjustRightInd w:val="0"/>
              <w:spacing w:line="400" w:lineRule="exact"/>
              <w:jc w:val="center"/>
              <w:rPr>
                <w:rFonts w:hint="eastAsia" w:ascii="宋体" w:hAnsi="宋体" w:cs="宋体"/>
                <w:color w:val="auto"/>
                <w:kern w:val="0"/>
                <w:sz w:val="21"/>
                <w:szCs w:val="21"/>
                <w:lang w:val="zh-CN"/>
              </w:rPr>
            </w:pPr>
            <w:r>
              <w:rPr>
                <w:rFonts w:hint="eastAsia" w:ascii="宋体" w:hAnsi="宋体" w:cs="宋体"/>
                <w:color w:val="auto"/>
                <w:kern w:val="0"/>
                <w:sz w:val="21"/>
                <w:szCs w:val="21"/>
              </w:rPr>
              <w:t>4</w:t>
            </w:r>
            <w:r>
              <w:rPr>
                <w:rFonts w:hint="eastAsia" w:ascii="宋体" w:hAnsi="宋体" w:cs="宋体"/>
                <w:color w:val="auto"/>
                <w:kern w:val="0"/>
                <w:sz w:val="21"/>
                <w:szCs w:val="21"/>
                <w:lang w:val="zh-CN"/>
              </w:rPr>
              <w:t>分</w:t>
            </w:r>
          </w:p>
        </w:tc>
        <w:tc>
          <w:tcPr>
            <w:tcW w:w="1828" w:type="dxa"/>
            <w:shd w:val="clear" w:color="000000" w:fill="FFFFFF"/>
            <w:noWrap w:val="0"/>
            <w:vAlign w:val="center"/>
          </w:tcPr>
          <w:p w14:paraId="77854575">
            <w:pPr>
              <w:autoSpaceDE w:val="0"/>
              <w:autoSpaceDN w:val="0"/>
              <w:adjustRightInd w:val="0"/>
              <w:spacing w:line="400" w:lineRule="exact"/>
              <w:jc w:val="left"/>
              <w:rPr>
                <w:rFonts w:hint="eastAsia" w:ascii="宋体" w:hAnsi="宋体" w:cs="宋体"/>
                <w:color w:val="auto"/>
                <w:sz w:val="21"/>
                <w:szCs w:val="21"/>
                <w:lang w:val="zh-CN"/>
              </w:rPr>
            </w:pPr>
          </w:p>
          <w:p w14:paraId="59A33B10">
            <w:pPr>
              <w:autoSpaceDE w:val="0"/>
              <w:autoSpaceDN w:val="0"/>
              <w:adjustRightInd w:val="0"/>
              <w:spacing w:line="400" w:lineRule="exact"/>
              <w:jc w:val="left"/>
              <w:rPr>
                <w:rFonts w:hint="eastAsia" w:ascii="宋体" w:hAnsi="宋体" w:cs="宋体"/>
                <w:color w:val="auto"/>
                <w:sz w:val="21"/>
                <w:szCs w:val="21"/>
                <w:lang w:val="zh-CN"/>
              </w:rPr>
            </w:pPr>
            <w:r>
              <w:rPr>
                <w:rFonts w:hint="eastAsia" w:ascii="宋体" w:hAnsi="宋体" w:cs="宋体"/>
                <w:color w:val="auto"/>
                <w:sz w:val="21"/>
                <w:szCs w:val="21"/>
                <w:lang w:val="zh-CN"/>
              </w:rPr>
              <w:t>业绩情况</w:t>
            </w:r>
          </w:p>
          <w:p w14:paraId="4270D0C2">
            <w:pPr>
              <w:autoSpaceDE w:val="0"/>
              <w:autoSpaceDN w:val="0"/>
              <w:adjustRightInd w:val="0"/>
              <w:spacing w:line="400" w:lineRule="exact"/>
              <w:jc w:val="left"/>
              <w:rPr>
                <w:rFonts w:hint="eastAsia" w:ascii="宋体" w:hAnsi="宋体" w:cs="宋体"/>
                <w:color w:val="auto"/>
                <w:sz w:val="21"/>
                <w:szCs w:val="21"/>
                <w:lang w:val="zh-CN"/>
              </w:rPr>
            </w:pPr>
          </w:p>
        </w:tc>
        <w:tc>
          <w:tcPr>
            <w:tcW w:w="703" w:type="dxa"/>
            <w:shd w:val="clear" w:color="000000" w:fill="FFFFFF"/>
            <w:noWrap w:val="0"/>
            <w:vAlign w:val="center"/>
          </w:tcPr>
          <w:p w14:paraId="4DD29E09">
            <w:pPr>
              <w:autoSpaceDE w:val="0"/>
              <w:autoSpaceDN w:val="0"/>
              <w:adjustRightInd w:val="0"/>
              <w:spacing w:line="400" w:lineRule="exact"/>
              <w:jc w:val="left"/>
              <w:rPr>
                <w:rFonts w:hint="eastAsia" w:ascii="宋体" w:hAnsi="宋体" w:cs="宋体"/>
                <w:color w:val="auto"/>
                <w:sz w:val="21"/>
                <w:szCs w:val="21"/>
                <w:lang w:val="zh-CN"/>
              </w:rPr>
            </w:pPr>
            <w:r>
              <w:rPr>
                <w:rFonts w:hint="eastAsia" w:ascii="宋体" w:hAnsi="宋体" w:cs="宋体"/>
                <w:color w:val="auto"/>
                <w:sz w:val="21"/>
                <w:szCs w:val="21"/>
              </w:rPr>
              <w:t>4</w:t>
            </w:r>
          </w:p>
        </w:tc>
        <w:tc>
          <w:tcPr>
            <w:tcW w:w="5261" w:type="dxa"/>
            <w:shd w:val="clear" w:color="000000" w:fill="FFFFFF"/>
            <w:noWrap w:val="0"/>
            <w:vAlign w:val="center"/>
          </w:tcPr>
          <w:p w14:paraId="3D125EE1">
            <w:pPr>
              <w:autoSpaceDE w:val="0"/>
              <w:autoSpaceDN w:val="0"/>
              <w:adjustRightInd w:val="0"/>
              <w:spacing w:line="400" w:lineRule="exact"/>
              <w:jc w:val="left"/>
              <w:rPr>
                <w:rFonts w:hint="eastAsia" w:ascii="宋体" w:hAnsi="宋体" w:cs="宋体"/>
                <w:color w:val="auto"/>
                <w:sz w:val="21"/>
                <w:szCs w:val="21"/>
                <w:lang w:val="zh-CN"/>
              </w:rPr>
            </w:pPr>
            <w:r>
              <w:rPr>
                <w:rFonts w:hint="eastAsia" w:ascii="宋体" w:hAnsi="宋体" w:cs="宋体"/>
                <w:color w:val="auto"/>
                <w:sz w:val="21"/>
                <w:szCs w:val="21"/>
                <w:lang w:val="zh-CN"/>
              </w:rPr>
              <w:t>提供投标截止日前3年的投标人类似业绩证明材料（提供的业绩为20</w:t>
            </w:r>
            <w:r>
              <w:rPr>
                <w:rFonts w:hint="eastAsia" w:ascii="宋体" w:hAnsi="宋体" w:cs="宋体"/>
                <w:color w:val="auto"/>
                <w:sz w:val="21"/>
                <w:szCs w:val="21"/>
              </w:rPr>
              <w:t>21</w:t>
            </w:r>
            <w:r>
              <w:rPr>
                <w:rFonts w:hint="eastAsia" w:ascii="宋体" w:hAnsi="宋体" w:cs="宋体"/>
                <w:color w:val="auto"/>
                <w:sz w:val="21"/>
                <w:szCs w:val="21"/>
                <w:lang w:val="zh-CN"/>
              </w:rPr>
              <w:t>年01月01日至投标截止之日）。每提供1项得1分,满分4分；未提供的不得分。</w:t>
            </w:r>
          </w:p>
        </w:tc>
      </w:tr>
      <w:tr w14:paraId="065E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66" w:type="dxa"/>
            <w:vMerge w:val="restart"/>
            <w:shd w:val="clear" w:color="000000" w:fill="FFFFFF"/>
            <w:noWrap w:val="0"/>
            <w:vAlign w:val="center"/>
          </w:tcPr>
          <w:p w14:paraId="47842B19">
            <w:pPr>
              <w:autoSpaceDE w:val="0"/>
              <w:autoSpaceDN w:val="0"/>
              <w:adjustRightInd w:val="0"/>
              <w:spacing w:line="400" w:lineRule="exact"/>
              <w:jc w:val="center"/>
              <w:rPr>
                <w:rFonts w:hint="eastAsia" w:ascii="宋体" w:hAnsi="宋体" w:cs="宋体"/>
                <w:color w:val="auto"/>
                <w:kern w:val="0"/>
                <w:sz w:val="21"/>
                <w:szCs w:val="21"/>
                <w:lang w:val="zh-CN"/>
              </w:rPr>
            </w:pPr>
            <w:r>
              <w:rPr>
                <w:rFonts w:hint="eastAsia" w:ascii="宋体" w:hAnsi="宋体" w:cs="宋体"/>
                <w:color w:val="auto"/>
                <w:kern w:val="0"/>
                <w:sz w:val="21"/>
                <w:szCs w:val="21"/>
                <w:lang w:val="zh-CN"/>
              </w:rPr>
              <w:t>技术部分</w:t>
            </w:r>
            <w:r>
              <w:rPr>
                <w:rFonts w:hint="eastAsia" w:ascii="宋体" w:hAnsi="宋体" w:cs="宋体"/>
                <w:color w:val="auto"/>
                <w:kern w:val="0"/>
                <w:sz w:val="21"/>
                <w:szCs w:val="21"/>
              </w:rPr>
              <w:t>60分</w:t>
            </w:r>
          </w:p>
          <w:p w14:paraId="69DAB35B">
            <w:pPr>
              <w:pStyle w:val="246"/>
              <w:spacing w:line="360" w:lineRule="exact"/>
              <w:ind w:left="153"/>
              <w:jc w:val="both"/>
              <w:rPr>
                <w:rFonts w:hint="eastAsia" w:ascii="宋体" w:hAnsi="宋体" w:cs="宋体"/>
                <w:color w:val="auto"/>
                <w:sz w:val="21"/>
                <w:szCs w:val="21"/>
              </w:rPr>
            </w:pPr>
          </w:p>
        </w:tc>
        <w:tc>
          <w:tcPr>
            <w:tcW w:w="1828" w:type="dxa"/>
            <w:shd w:val="clear" w:color="000000" w:fill="FFFFFF"/>
            <w:noWrap w:val="0"/>
            <w:vAlign w:val="center"/>
          </w:tcPr>
          <w:p w14:paraId="67240C4C">
            <w:pPr>
              <w:autoSpaceDE w:val="0"/>
              <w:autoSpaceDN w:val="0"/>
              <w:adjustRightInd w:val="0"/>
              <w:spacing w:line="400" w:lineRule="exact"/>
              <w:jc w:val="left"/>
              <w:rPr>
                <w:rFonts w:hint="eastAsia" w:ascii="宋体" w:hAnsi="宋体" w:cs="宋体"/>
                <w:color w:val="auto"/>
                <w:sz w:val="21"/>
                <w:szCs w:val="21"/>
                <w:lang w:val="zh-CN"/>
              </w:rPr>
            </w:pPr>
            <w:r>
              <w:rPr>
                <w:rFonts w:hint="eastAsia" w:ascii="宋体" w:hAnsi="宋体" w:cs="宋体"/>
                <w:color w:val="auto"/>
                <w:sz w:val="21"/>
                <w:szCs w:val="21"/>
                <w:lang w:val="zh-CN"/>
              </w:rPr>
              <w:t>技术参数</w:t>
            </w:r>
          </w:p>
        </w:tc>
        <w:tc>
          <w:tcPr>
            <w:tcW w:w="703" w:type="dxa"/>
            <w:shd w:val="clear" w:color="000000" w:fill="FFFFFF"/>
            <w:noWrap w:val="0"/>
            <w:vAlign w:val="center"/>
          </w:tcPr>
          <w:p w14:paraId="6985AA39">
            <w:pPr>
              <w:autoSpaceDE w:val="0"/>
              <w:autoSpaceDN w:val="0"/>
              <w:adjustRightInd w:val="0"/>
              <w:spacing w:line="400" w:lineRule="exact"/>
              <w:jc w:val="left"/>
              <w:rPr>
                <w:rFonts w:hint="eastAsia" w:ascii="宋体" w:hAnsi="宋体" w:cs="宋体"/>
                <w:color w:val="auto"/>
                <w:sz w:val="21"/>
                <w:szCs w:val="21"/>
                <w:lang w:val="zh-CN"/>
              </w:rPr>
            </w:pPr>
            <w:r>
              <w:rPr>
                <w:rFonts w:hint="eastAsia" w:ascii="宋体" w:hAnsi="宋体" w:cs="宋体"/>
                <w:color w:val="auto"/>
                <w:sz w:val="21"/>
                <w:szCs w:val="21"/>
                <w:lang w:val="zh-CN"/>
              </w:rPr>
              <w:t>30</w:t>
            </w:r>
          </w:p>
        </w:tc>
        <w:tc>
          <w:tcPr>
            <w:tcW w:w="5261" w:type="dxa"/>
            <w:shd w:val="clear" w:color="000000" w:fill="FFFFFF"/>
            <w:noWrap w:val="0"/>
            <w:vAlign w:val="center"/>
          </w:tcPr>
          <w:p w14:paraId="313D4FF1">
            <w:pPr>
              <w:autoSpaceDE w:val="0"/>
              <w:autoSpaceDN w:val="0"/>
              <w:adjustRightInd w:val="0"/>
              <w:spacing w:line="400" w:lineRule="exact"/>
              <w:jc w:val="left"/>
              <w:rPr>
                <w:rFonts w:hint="eastAsia" w:ascii="宋体" w:hAnsi="宋体" w:cs="宋体"/>
                <w:color w:val="auto"/>
                <w:sz w:val="21"/>
                <w:szCs w:val="21"/>
                <w:lang w:val="zh-CN"/>
              </w:rPr>
            </w:pPr>
            <w:r>
              <w:rPr>
                <w:rFonts w:hint="eastAsia" w:ascii="宋体" w:hAnsi="宋体" w:cs="宋体"/>
                <w:color w:val="auto"/>
                <w:sz w:val="21"/>
                <w:szCs w:val="21"/>
                <w:lang w:val="zh-CN"/>
              </w:rPr>
              <w:t>投标产品技术参数和配置完全满足或高于</w:t>
            </w:r>
            <w:r>
              <w:rPr>
                <w:rFonts w:hint="eastAsia" w:ascii="宋体" w:hAnsi="宋体" w:cs="宋体"/>
                <w:color w:val="auto"/>
                <w:sz w:val="21"/>
                <w:szCs w:val="21"/>
              </w:rPr>
              <w:t>招标</w:t>
            </w:r>
            <w:r>
              <w:rPr>
                <w:rFonts w:hint="eastAsia" w:ascii="宋体" w:hAnsi="宋体" w:cs="宋体"/>
                <w:color w:val="auto"/>
                <w:sz w:val="21"/>
                <w:szCs w:val="21"/>
                <w:lang w:val="zh-CN"/>
              </w:rPr>
              <w:t>文件要求的，最高得30分；所投产品技术参数，每有一项负偏离扣3分，直到扣完为止。</w:t>
            </w:r>
          </w:p>
        </w:tc>
      </w:tr>
      <w:tr w14:paraId="2F20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166" w:type="dxa"/>
            <w:vMerge w:val="continue"/>
            <w:shd w:val="clear" w:color="000000" w:fill="FFFFFF"/>
            <w:noWrap w:val="0"/>
            <w:vAlign w:val="center"/>
          </w:tcPr>
          <w:p w14:paraId="2C6C95ED">
            <w:pPr>
              <w:autoSpaceDE w:val="0"/>
              <w:autoSpaceDN w:val="0"/>
              <w:adjustRightInd w:val="0"/>
              <w:spacing w:line="400" w:lineRule="exact"/>
              <w:jc w:val="left"/>
              <w:rPr>
                <w:rFonts w:hint="eastAsia" w:ascii="宋体" w:hAnsi="宋体" w:cs="宋体"/>
                <w:color w:val="auto"/>
                <w:kern w:val="0"/>
                <w:sz w:val="21"/>
                <w:szCs w:val="21"/>
                <w:lang w:val="zh-CN"/>
              </w:rPr>
            </w:pPr>
          </w:p>
        </w:tc>
        <w:tc>
          <w:tcPr>
            <w:tcW w:w="1828" w:type="dxa"/>
            <w:shd w:val="clear" w:color="000000" w:fill="FFFFFF"/>
            <w:noWrap w:val="0"/>
            <w:vAlign w:val="center"/>
          </w:tcPr>
          <w:p w14:paraId="6E91EBE8">
            <w:pPr>
              <w:autoSpaceDE w:val="0"/>
              <w:autoSpaceDN w:val="0"/>
              <w:adjustRightInd w:val="0"/>
              <w:spacing w:line="400" w:lineRule="exact"/>
              <w:jc w:val="left"/>
              <w:rPr>
                <w:rFonts w:hint="eastAsia" w:ascii="宋体" w:hAnsi="宋体" w:cs="宋体"/>
                <w:color w:val="auto"/>
                <w:sz w:val="21"/>
                <w:szCs w:val="21"/>
                <w:lang w:val="zh-CN"/>
              </w:rPr>
            </w:pPr>
            <w:r>
              <w:rPr>
                <w:rFonts w:hint="eastAsia" w:ascii="宋体" w:hAnsi="宋体" w:cs="宋体"/>
                <w:color w:val="auto"/>
                <w:sz w:val="21"/>
                <w:szCs w:val="21"/>
                <w:lang w:val="zh-CN"/>
              </w:rPr>
              <w:t>环保和节能</w:t>
            </w:r>
          </w:p>
        </w:tc>
        <w:tc>
          <w:tcPr>
            <w:tcW w:w="703" w:type="dxa"/>
            <w:shd w:val="clear" w:color="000000" w:fill="FFFFFF"/>
            <w:noWrap w:val="0"/>
            <w:vAlign w:val="center"/>
          </w:tcPr>
          <w:p w14:paraId="01F861B5">
            <w:pPr>
              <w:autoSpaceDE w:val="0"/>
              <w:autoSpaceDN w:val="0"/>
              <w:adjustRightInd w:val="0"/>
              <w:spacing w:line="400" w:lineRule="exact"/>
              <w:jc w:val="left"/>
              <w:rPr>
                <w:rFonts w:hint="eastAsia" w:ascii="宋体" w:hAnsi="宋体" w:cs="宋体"/>
                <w:color w:val="auto"/>
                <w:sz w:val="21"/>
                <w:szCs w:val="21"/>
                <w:lang w:val="zh-CN"/>
              </w:rPr>
            </w:pPr>
            <w:r>
              <w:rPr>
                <w:rFonts w:hint="eastAsia" w:ascii="宋体" w:hAnsi="宋体" w:cs="宋体"/>
                <w:color w:val="auto"/>
                <w:sz w:val="21"/>
                <w:szCs w:val="21"/>
              </w:rPr>
              <w:t>1</w:t>
            </w:r>
          </w:p>
        </w:tc>
        <w:tc>
          <w:tcPr>
            <w:tcW w:w="5261" w:type="dxa"/>
            <w:shd w:val="clear" w:color="000000" w:fill="FFFFFF"/>
            <w:noWrap w:val="0"/>
            <w:vAlign w:val="center"/>
          </w:tcPr>
          <w:p w14:paraId="6E2F7719">
            <w:pPr>
              <w:autoSpaceDE w:val="0"/>
              <w:autoSpaceDN w:val="0"/>
              <w:adjustRightInd w:val="0"/>
              <w:spacing w:line="400" w:lineRule="exact"/>
              <w:jc w:val="left"/>
              <w:rPr>
                <w:rFonts w:hint="eastAsia" w:ascii="宋体" w:hAnsi="宋体" w:cs="宋体"/>
                <w:color w:val="auto"/>
                <w:sz w:val="21"/>
                <w:szCs w:val="21"/>
                <w:lang w:val="zh-CN"/>
              </w:rPr>
            </w:pPr>
            <w:r>
              <w:rPr>
                <w:rFonts w:hint="eastAsia" w:ascii="宋体" w:hAnsi="宋体" w:cs="宋体"/>
                <w:color w:val="auto"/>
                <w:sz w:val="21"/>
                <w:szCs w:val="21"/>
                <w:lang w:val="zh-CN"/>
              </w:rPr>
              <w:t>所投产品为节能产品，得</w:t>
            </w:r>
            <w:r>
              <w:rPr>
                <w:rFonts w:hint="eastAsia" w:ascii="宋体" w:hAnsi="宋体" w:cs="宋体"/>
                <w:color w:val="auto"/>
                <w:sz w:val="21"/>
                <w:szCs w:val="21"/>
              </w:rPr>
              <w:t>0.5</w:t>
            </w:r>
            <w:r>
              <w:rPr>
                <w:rFonts w:hint="eastAsia" w:ascii="宋体" w:hAnsi="宋体" w:cs="宋体"/>
                <w:color w:val="auto"/>
                <w:sz w:val="21"/>
                <w:szCs w:val="21"/>
                <w:lang w:val="zh-CN"/>
              </w:rPr>
              <w:t>分，所投产品为环保产品，得</w:t>
            </w:r>
            <w:r>
              <w:rPr>
                <w:rFonts w:hint="eastAsia" w:ascii="宋体" w:hAnsi="宋体" w:cs="宋体"/>
                <w:color w:val="auto"/>
                <w:sz w:val="21"/>
                <w:szCs w:val="21"/>
              </w:rPr>
              <w:t>0.5</w:t>
            </w:r>
            <w:r>
              <w:rPr>
                <w:rFonts w:hint="eastAsia" w:ascii="宋体" w:hAnsi="宋体" w:cs="宋体"/>
                <w:color w:val="auto"/>
                <w:sz w:val="21"/>
                <w:szCs w:val="21"/>
                <w:lang w:val="zh-CN"/>
              </w:rPr>
              <w:t>分，未提供不得分。该项得分的认定以有效《中国节能产品认证证书》、《中国环境标志产品认证证书》复印件或扫描件为准，满分</w:t>
            </w:r>
            <w:r>
              <w:rPr>
                <w:rFonts w:hint="eastAsia" w:ascii="宋体" w:hAnsi="宋体" w:cs="宋体"/>
                <w:color w:val="auto"/>
                <w:sz w:val="21"/>
                <w:szCs w:val="21"/>
              </w:rPr>
              <w:t>1</w:t>
            </w:r>
            <w:r>
              <w:rPr>
                <w:rFonts w:hint="eastAsia" w:ascii="宋体" w:hAnsi="宋体" w:cs="宋体"/>
                <w:color w:val="auto"/>
                <w:sz w:val="21"/>
                <w:szCs w:val="21"/>
                <w:lang w:val="zh-CN"/>
              </w:rPr>
              <w:t>分。</w:t>
            </w:r>
          </w:p>
        </w:tc>
      </w:tr>
      <w:tr w14:paraId="0598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1166" w:type="dxa"/>
            <w:vMerge w:val="continue"/>
            <w:shd w:val="clear" w:color="000000" w:fill="FFFFFF"/>
            <w:noWrap w:val="0"/>
            <w:vAlign w:val="center"/>
          </w:tcPr>
          <w:p w14:paraId="53F8913E">
            <w:pPr>
              <w:autoSpaceDE w:val="0"/>
              <w:autoSpaceDN w:val="0"/>
              <w:adjustRightInd w:val="0"/>
              <w:spacing w:line="400" w:lineRule="exact"/>
              <w:jc w:val="left"/>
              <w:rPr>
                <w:rFonts w:hint="eastAsia" w:ascii="宋体" w:hAnsi="宋体" w:cs="宋体"/>
                <w:color w:val="auto"/>
                <w:kern w:val="0"/>
                <w:sz w:val="21"/>
                <w:szCs w:val="21"/>
                <w:lang w:val="zh-CN"/>
              </w:rPr>
            </w:pPr>
          </w:p>
        </w:tc>
        <w:tc>
          <w:tcPr>
            <w:tcW w:w="1828" w:type="dxa"/>
            <w:shd w:val="clear" w:color="000000" w:fill="FFFFFF"/>
            <w:noWrap w:val="0"/>
            <w:vAlign w:val="center"/>
          </w:tcPr>
          <w:p w14:paraId="6B6AF25A">
            <w:pPr>
              <w:autoSpaceDE w:val="0"/>
              <w:autoSpaceDN w:val="0"/>
              <w:adjustRightInd w:val="0"/>
              <w:spacing w:line="400" w:lineRule="exact"/>
              <w:jc w:val="left"/>
              <w:rPr>
                <w:rFonts w:hint="eastAsia" w:ascii="宋体" w:hAnsi="宋体" w:cs="宋体"/>
                <w:color w:val="auto"/>
                <w:sz w:val="21"/>
                <w:szCs w:val="21"/>
                <w:lang w:val="zh-CN"/>
              </w:rPr>
            </w:pPr>
            <w:r>
              <w:rPr>
                <w:rFonts w:hint="eastAsia" w:ascii="宋体" w:hAnsi="宋体" w:cs="宋体"/>
                <w:color w:val="auto"/>
                <w:sz w:val="21"/>
                <w:szCs w:val="21"/>
                <w:lang w:val="zh-CN"/>
              </w:rPr>
              <w:t>项目管理及实施方案</w:t>
            </w:r>
          </w:p>
        </w:tc>
        <w:tc>
          <w:tcPr>
            <w:tcW w:w="703" w:type="dxa"/>
            <w:shd w:val="clear" w:color="000000" w:fill="FFFFFF"/>
            <w:noWrap w:val="0"/>
            <w:vAlign w:val="center"/>
          </w:tcPr>
          <w:p w14:paraId="31182471">
            <w:pPr>
              <w:autoSpaceDE w:val="0"/>
              <w:autoSpaceDN w:val="0"/>
              <w:adjustRightInd w:val="0"/>
              <w:spacing w:line="400" w:lineRule="exact"/>
              <w:jc w:val="left"/>
              <w:rPr>
                <w:rFonts w:hint="eastAsia" w:ascii="宋体" w:hAnsi="宋体" w:cs="宋体"/>
                <w:color w:val="auto"/>
                <w:sz w:val="21"/>
                <w:szCs w:val="21"/>
                <w:lang w:val="zh-CN"/>
              </w:rPr>
            </w:pPr>
            <w:r>
              <w:rPr>
                <w:rFonts w:hint="eastAsia" w:ascii="宋体" w:hAnsi="宋体" w:cs="宋体"/>
                <w:color w:val="auto"/>
                <w:sz w:val="21"/>
                <w:szCs w:val="21"/>
              </w:rPr>
              <w:t>8</w:t>
            </w:r>
          </w:p>
        </w:tc>
        <w:tc>
          <w:tcPr>
            <w:tcW w:w="5261" w:type="dxa"/>
            <w:shd w:val="clear" w:color="000000" w:fill="FFFFFF"/>
            <w:noWrap w:val="0"/>
            <w:vAlign w:val="center"/>
          </w:tcPr>
          <w:p w14:paraId="6EA22E13">
            <w:pPr>
              <w:autoSpaceDE w:val="0"/>
              <w:autoSpaceDN w:val="0"/>
              <w:adjustRightInd w:val="0"/>
              <w:spacing w:line="400" w:lineRule="exact"/>
              <w:jc w:val="left"/>
              <w:rPr>
                <w:rFonts w:hint="eastAsia" w:ascii="宋体" w:hAnsi="宋体" w:cs="宋体"/>
                <w:color w:val="auto"/>
                <w:sz w:val="21"/>
                <w:szCs w:val="21"/>
                <w:lang w:val="zh-CN"/>
              </w:rPr>
            </w:pPr>
            <w:r>
              <w:rPr>
                <w:rFonts w:hint="eastAsia" w:ascii="宋体" w:hAnsi="宋体" w:cs="宋体"/>
                <w:color w:val="auto"/>
                <w:sz w:val="21"/>
                <w:szCs w:val="21"/>
                <w:lang w:val="zh-CN"/>
              </w:rPr>
              <w:t>供应商针对本项目制定项目管理及实施方案，具体内容包括：①设置项目管理机构②有具体的项目管理措施③结合项目特点制定实施方案④突发事件处理措施等；供应商每提供一项且按采购项目要求切实满足项目实际需求的上述一项得2分，满分8分。在此基础上，方案中存在缺陷或不足的，每有一处扣0.5分，扣完为止。</w:t>
            </w:r>
          </w:p>
        </w:tc>
      </w:tr>
      <w:tr w14:paraId="6F33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166" w:type="dxa"/>
            <w:vMerge w:val="continue"/>
            <w:shd w:val="clear" w:color="000000" w:fill="FFFFFF"/>
            <w:noWrap w:val="0"/>
            <w:vAlign w:val="center"/>
          </w:tcPr>
          <w:p w14:paraId="7D3806B8">
            <w:pPr>
              <w:autoSpaceDE w:val="0"/>
              <w:autoSpaceDN w:val="0"/>
              <w:adjustRightInd w:val="0"/>
              <w:spacing w:line="400" w:lineRule="exact"/>
              <w:jc w:val="left"/>
              <w:rPr>
                <w:rFonts w:hint="eastAsia" w:ascii="宋体" w:hAnsi="宋体" w:cs="宋体"/>
                <w:color w:val="auto"/>
                <w:kern w:val="0"/>
                <w:sz w:val="21"/>
                <w:szCs w:val="21"/>
                <w:lang w:val="zh-CN"/>
              </w:rPr>
            </w:pPr>
          </w:p>
        </w:tc>
        <w:tc>
          <w:tcPr>
            <w:tcW w:w="1828" w:type="dxa"/>
            <w:shd w:val="clear" w:color="000000" w:fill="FFFFFF"/>
            <w:noWrap w:val="0"/>
            <w:vAlign w:val="center"/>
          </w:tcPr>
          <w:p w14:paraId="12346E07">
            <w:pPr>
              <w:autoSpaceDE w:val="0"/>
              <w:autoSpaceDN w:val="0"/>
              <w:adjustRightInd w:val="0"/>
              <w:spacing w:line="400" w:lineRule="exact"/>
              <w:jc w:val="left"/>
              <w:rPr>
                <w:rFonts w:hint="eastAsia" w:ascii="宋体" w:hAnsi="宋体" w:cs="宋体"/>
                <w:color w:val="auto"/>
                <w:sz w:val="21"/>
                <w:szCs w:val="21"/>
                <w:lang w:val="zh-CN"/>
              </w:rPr>
            </w:pPr>
          </w:p>
          <w:p w14:paraId="25F968CD">
            <w:pPr>
              <w:autoSpaceDE w:val="0"/>
              <w:autoSpaceDN w:val="0"/>
              <w:adjustRightInd w:val="0"/>
              <w:spacing w:line="400" w:lineRule="exact"/>
              <w:jc w:val="left"/>
              <w:rPr>
                <w:rFonts w:hint="eastAsia" w:ascii="宋体" w:hAnsi="宋体" w:cs="宋体"/>
                <w:color w:val="auto"/>
                <w:sz w:val="21"/>
                <w:szCs w:val="21"/>
                <w:lang w:val="zh-CN"/>
              </w:rPr>
            </w:pPr>
            <w:r>
              <w:rPr>
                <w:rFonts w:hint="eastAsia" w:ascii="宋体" w:hAnsi="宋体" w:cs="宋体"/>
                <w:color w:val="auto"/>
                <w:sz w:val="21"/>
                <w:szCs w:val="21"/>
                <w:lang w:val="zh-CN"/>
              </w:rPr>
              <w:t>质量保证</w:t>
            </w:r>
          </w:p>
          <w:p w14:paraId="3E3784EA">
            <w:pPr>
              <w:autoSpaceDE w:val="0"/>
              <w:autoSpaceDN w:val="0"/>
              <w:adjustRightInd w:val="0"/>
              <w:spacing w:line="400" w:lineRule="exact"/>
              <w:jc w:val="left"/>
              <w:rPr>
                <w:rFonts w:hint="eastAsia" w:ascii="宋体" w:hAnsi="宋体" w:cs="宋体"/>
                <w:color w:val="auto"/>
                <w:sz w:val="21"/>
                <w:szCs w:val="21"/>
                <w:lang w:val="zh-CN"/>
              </w:rPr>
            </w:pPr>
            <w:r>
              <w:rPr>
                <w:rFonts w:hint="eastAsia" w:ascii="宋体" w:hAnsi="宋体" w:cs="宋体"/>
                <w:color w:val="auto"/>
                <w:sz w:val="21"/>
                <w:szCs w:val="21"/>
                <w:lang w:val="zh-CN"/>
              </w:rPr>
              <w:t>措施</w:t>
            </w:r>
          </w:p>
        </w:tc>
        <w:tc>
          <w:tcPr>
            <w:tcW w:w="703" w:type="dxa"/>
            <w:shd w:val="clear" w:color="000000" w:fill="FFFFFF"/>
            <w:noWrap w:val="0"/>
            <w:vAlign w:val="center"/>
          </w:tcPr>
          <w:p w14:paraId="4E115B98">
            <w:pPr>
              <w:autoSpaceDE w:val="0"/>
              <w:autoSpaceDN w:val="0"/>
              <w:adjustRightInd w:val="0"/>
              <w:spacing w:line="400" w:lineRule="exact"/>
              <w:jc w:val="left"/>
              <w:rPr>
                <w:rFonts w:ascii="宋体" w:hAnsi="宋体" w:cs="宋体"/>
                <w:color w:val="auto"/>
                <w:sz w:val="21"/>
                <w:szCs w:val="21"/>
              </w:rPr>
            </w:pPr>
            <w:r>
              <w:rPr>
                <w:rFonts w:hint="eastAsia" w:ascii="宋体" w:hAnsi="宋体" w:cs="宋体"/>
                <w:color w:val="auto"/>
                <w:sz w:val="21"/>
                <w:szCs w:val="21"/>
              </w:rPr>
              <w:t>9</w:t>
            </w:r>
          </w:p>
        </w:tc>
        <w:tc>
          <w:tcPr>
            <w:tcW w:w="5261" w:type="dxa"/>
            <w:shd w:val="clear" w:color="000000" w:fill="FFFFFF"/>
            <w:noWrap w:val="0"/>
            <w:vAlign w:val="center"/>
          </w:tcPr>
          <w:p w14:paraId="4BFFD417">
            <w:pPr>
              <w:autoSpaceDE w:val="0"/>
              <w:autoSpaceDN w:val="0"/>
              <w:adjustRightInd w:val="0"/>
              <w:spacing w:line="400" w:lineRule="exact"/>
              <w:jc w:val="left"/>
              <w:rPr>
                <w:rFonts w:hint="eastAsia" w:ascii="宋体" w:hAnsi="宋体" w:cs="宋体"/>
                <w:color w:val="auto"/>
                <w:sz w:val="21"/>
                <w:szCs w:val="21"/>
                <w:lang w:val="zh-CN"/>
              </w:rPr>
            </w:pPr>
            <w:r>
              <w:rPr>
                <w:rFonts w:hint="eastAsia" w:ascii="宋体" w:hAnsi="宋体" w:cs="宋体"/>
                <w:color w:val="auto"/>
                <w:sz w:val="21"/>
                <w:szCs w:val="21"/>
                <w:lang w:val="zh-CN"/>
              </w:rPr>
              <w:t>供应商针对本项目提供质量保证措施，具体内容包括：①有具体质量保证计划②有具体的质量保证措施③有具体的质量控制流程；供应商每提供一项且按采购项目要求切实满足项目实际需求的上述一项得3分，满分9分。在此基础上，方案中存在缺陷或不足的，每有一处扣0.5分，扣完为止。</w:t>
            </w:r>
          </w:p>
        </w:tc>
      </w:tr>
      <w:tr w14:paraId="496E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166" w:type="dxa"/>
            <w:vMerge w:val="continue"/>
            <w:shd w:val="clear" w:color="000000" w:fill="FFFFFF"/>
            <w:noWrap w:val="0"/>
            <w:vAlign w:val="center"/>
          </w:tcPr>
          <w:p w14:paraId="51F11B12">
            <w:pPr>
              <w:autoSpaceDE w:val="0"/>
              <w:autoSpaceDN w:val="0"/>
              <w:adjustRightInd w:val="0"/>
              <w:spacing w:line="400" w:lineRule="exact"/>
              <w:jc w:val="left"/>
              <w:rPr>
                <w:rFonts w:hint="eastAsia" w:ascii="宋体" w:hAnsi="宋体" w:cs="宋体"/>
                <w:color w:val="auto"/>
                <w:kern w:val="0"/>
                <w:sz w:val="21"/>
                <w:szCs w:val="21"/>
                <w:lang w:val="zh-CN"/>
              </w:rPr>
            </w:pPr>
          </w:p>
        </w:tc>
        <w:tc>
          <w:tcPr>
            <w:tcW w:w="1828" w:type="dxa"/>
            <w:shd w:val="clear" w:color="000000" w:fill="FFFFFF"/>
            <w:noWrap w:val="0"/>
            <w:vAlign w:val="center"/>
          </w:tcPr>
          <w:p w14:paraId="1A577122">
            <w:pPr>
              <w:autoSpaceDE w:val="0"/>
              <w:autoSpaceDN w:val="0"/>
              <w:adjustRightInd w:val="0"/>
              <w:spacing w:line="400" w:lineRule="exact"/>
              <w:jc w:val="left"/>
              <w:rPr>
                <w:rFonts w:hint="eastAsia" w:ascii="宋体" w:hAnsi="宋体" w:cs="宋体"/>
                <w:color w:val="auto"/>
                <w:sz w:val="21"/>
                <w:szCs w:val="21"/>
                <w:lang w:val="zh-CN"/>
              </w:rPr>
            </w:pPr>
            <w:r>
              <w:rPr>
                <w:rFonts w:hint="eastAsia" w:ascii="宋体" w:hAnsi="宋体" w:cs="宋体"/>
                <w:color w:val="auto"/>
                <w:sz w:val="21"/>
                <w:szCs w:val="21"/>
                <w:lang w:val="zh-CN"/>
              </w:rPr>
              <w:t>供货及配送方案</w:t>
            </w:r>
          </w:p>
        </w:tc>
        <w:tc>
          <w:tcPr>
            <w:tcW w:w="703" w:type="dxa"/>
            <w:shd w:val="clear" w:color="000000" w:fill="FFFFFF"/>
            <w:noWrap w:val="0"/>
            <w:vAlign w:val="center"/>
          </w:tcPr>
          <w:p w14:paraId="436481F9">
            <w:pPr>
              <w:autoSpaceDE w:val="0"/>
              <w:autoSpaceDN w:val="0"/>
              <w:adjustRightInd w:val="0"/>
              <w:spacing w:line="400" w:lineRule="exact"/>
              <w:jc w:val="left"/>
              <w:rPr>
                <w:rFonts w:ascii="宋体" w:hAnsi="宋体" w:cs="宋体"/>
                <w:color w:val="auto"/>
                <w:sz w:val="21"/>
                <w:szCs w:val="21"/>
              </w:rPr>
            </w:pPr>
            <w:r>
              <w:rPr>
                <w:rFonts w:hint="eastAsia" w:ascii="宋体" w:hAnsi="宋体" w:cs="宋体"/>
                <w:color w:val="auto"/>
                <w:sz w:val="21"/>
                <w:szCs w:val="21"/>
              </w:rPr>
              <w:t>12</w:t>
            </w:r>
          </w:p>
        </w:tc>
        <w:tc>
          <w:tcPr>
            <w:tcW w:w="5261" w:type="dxa"/>
            <w:shd w:val="clear" w:color="000000" w:fill="FFFFFF"/>
            <w:noWrap w:val="0"/>
            <w:vAlign w:val="center"/>
          </w:tcPr>
          <w:p w14:paraId="616E3D49">
            <w:pPr>
              <w:autoSpaceDE w:val="0"/>
              <w:autoSpaceDN w:val="0"/>
              <w:adjustRightInd w:val="0"/>
              <w:spacing w:line="400" w:lineRule="exact"/>
              <w:jc w:val="left"/>
              <w:rPr>
                <w:rFonts w:hint="eastAsia" w:ascii="宋体" w:hAnsi="宋体" w:cs="宋体"/>
                <w:color w:val="auto"/>
                <w:sz w:val="21"/>
                <w:szCs w:val="21"/>
                <w:lang w:val="zh-CN"/>
              </w:rPr>
            </w:pPr>
            <w:r>
              <w:rPr>
                <w:rFonts w:hint="eastAsia" w:ascii="宋体" w:hAnsi="宋体" w:cs="宋体"/>
                <w:color w:val="auto"/>
                <w:sz w:val="21"/>
                <w:szCs w:val="21"/>
                <w:lang w:val="zh-CN"/>
              </w:rPr>
              <w:t>结合采购人需求及配送地点等因素制作的完备性、可操作性强的配送方案。配送方案完善，组织程序周密，①配货②送货③协调④保障⑤沟通⑥安装调试；供应商每提供一项且按采购项目要求切实满足项目实际需求的上述一项得2分，满分12分。在此基础上，方案中存在缺陷或不足的，每有一处扣0.5分，扣完为止。</w:t>
            </w:r>
          </w:p>
        </w:tc>
      </w:tr>
      <w:tr w14:paraId="72D8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166" w:type="dxa"/>
            <w:shd w:val="clear" w:color="000000" w:fill="FFFFFF"/>
            <w:noWrap w:val="0"/>
            <w:vAlign w:val="center"/>
          </w:tcPr>
          <w:p w14:paraId="5A5C9B3F">
            <w:pPr>
              <w:autoSpaceDE w:val="0"/>
              <w:autoSpaceDN w:val="0"/>
              <w:adjustRightInd w:val="0"/>
              <w:spacing w:line="400" w:lineRule="exact"/>
              <w:jc w:val="center"/>
              <w:rPr>
                <w:rFonts w:hint="eastAsia" w:ascii="宋体" w:hAnsi="宋体" w:cs="宋体"/>
                <w:color w:val="auto"/>
                <w:kern w:val="0"/>
                <w:sz w:val="21"/>
                <w:szCs w:val="21"/>
              </w:rPr>
            </w:pPr>
            <w:r>
              <w:rPr>
                <w:rFonts w:hint="eastAsia" w:ascii="宋体" w:hAnsi="宋体" w:cs="宋体"/>
                <w:color w:val="auto"/>
                <w:kern w:val="0"/>
                <w:sz w:val="22"/>
                <w:szCs w:val="22"/>
                <w:lang w:val="zh-CN"/>
              </w:rPr>
              <w:t>售后服务</w:t>
            </w:r>
            <w:r>
              <w:rPr>
                <w:rFonts w:hint="eastAsia" w:ascii="宋体" w:hAnsi="宋体" w:cs="宋体"/>
                <w:color w:val="auto"/>
                <w:kern w:val="0"/>
                <w:sz w:val="22"/>
                <w:szCs w:val="22"/>
              </w:rPr>
              <w:t>6分</w:t>
            </w:r>
          </w:p>
        </w:tc>
        <w:tc>
          <w:tcPr>
            <w:tcW w:w="1828" w:type="dxa"/>
            <w:shd w:val="clear" w:color="000000" w:fill="FFFFFF"/>
            <w:noWrap w:val="0"/>
            <w:vAlign w:val="center"/>
          </w:tcPr>
          <w:p w14:paraId="54424370">
            <w:pPr>
              <w:autoSpaceDE w:val="0"/>
              <w:autoSpaceDN w:val="0"/>
              <w:adjustRightInd w:val="0"/>
              <w:spacing w:line="400" w:lineRule="exact"/>
              <w:jc w:val="left"/>
              <w:rPr>
                <w:rFonts w:hint="eastAsia" w:ascii="宋体" w:hAnsi="宋体" w:cs="宋体"/>
                <w:color w:val="auto"/>
                <w:sz w:val="21"/>
                <w:szCs w:val="21"/>
                <w:lang w:val="zh-CN"/>
              </w:rPr>
            </w:pPr>
            <w:r>
              <w:rPr>
                <w:rFonts w:hint="eastAsia" w:ascii="宋体" w:hAnsi="宋体" w:cs="宋体"/>
                <w:color w:val="auto"/>
                <w:sz w:val="21"/>
                <w:szCs w:val="21"/>
                <w:lang w:val="zh-CN"/>
              </w:rPr>
              <w:t>售后服务计划及措施</w:t>
            </w:r>
          </w:p>
        </w:tc>
        <w:tc>
          <w:tcPr>
            <w:tcW w:w="703" w:type="dxa"/>
            <w:shd w:val="clear" w:color="000000" w:fill="FFFFFF"/>
            <w:noWrap w:val="0"/>
            <w:vAlign w:val="center"/>
          </w:tcPr>
          <w:p w14:paraId="2B8A5E79">
            <w:pPr>
              <w:autoSpaceDE w:val="0"/>
              <w:autoSpaceDN w:val="0"/>
              <w:adjustRightInd w:val="0"/>
              <w:spacing w:line="400" w:lineRule="exact"/>
              <w:jc w:val="left"/>
              <w:rPr>
                <w:rFonts w:ascii="宋体" w:hAnsi="宋体" w:cs="宋体"/>
                <w:color w:val="auto"/>
                <w:sz w:val="21"/>
                <w:szCs w:val="21"/>
              </w:rPr>
            </w:pPr>
            <w:r>
              <w:rPr>
                <w:rFonts w:hint="eastAsia" w:ascii="宋体" w:hAnsi="宋体" w:cs="宋体"/>
                <w:color w:val="auto"/>
                <w:sz w:val="21"/>
                <w:szCs w:val="21"/>
              </w:rPr>
              <w:t>6</w:t>
            </w:r>
          </w:p>
        </w:tc>
        <w:tc>
          <w:tcPr>
            <w:tcW w:w="5261" w:type="dxa"/>
            <w:shd w:val="clear" w:color="000000" w:fill="FFFFFF"/>
            <w:noWrap w:val="0"/>
            <w:vAlign w:val="center"/>
          </w:tcPr>
          <w:p w14:paraId="750D7DF0">
            <w:pPr>
              <w:autoSpaceDE w:val="0"/>
              <w:autoSpaceDN w:val="0"/>
              <w:adjustRightInd w:val="0"/>
              <w:spacing w:line="400" w:lineRule="exact"/>
              <w:jc w:val="left"/>
              <w:rPr>
                <w:rFonts w:hint="eastAsia" w:ascii="宋体" w:hAnsi="宋体" w:cs="宋体"/>
                <w:color w:val="auto"/>
                <w:sz w:val="21"/>
                <w:szCs w:val="21"/>
                <w:lang w:val="zh-CN"/>
              </w:rPr>
            </w:pPr>
            <w:r>
              <w:rPr>
                <w:rFonts w:hint="eastAsia" w:ascii="宋体" w:hAnsi="宋体" w:cs="宋体"/>
                <w:color w:val="auto"/>
                <w:sz w:val="21"/>
                <w:szCs w:val="21"/>
                <w:lang w:val="zh-CN"/>
              </w:rPr>
              <w:t>供应商针对本项目有详细的售后服务，提供①售后服务机构及人员；②售后服务计划内容和流程；③售后服务方式和特色；供应商每提供一项且按采购项目要求切实满足项目实际需求的上述一项得2分，满分6分。在此基础上，方案中存在缺陷或不足的，每有一处扣0.5分，扣完为止。</w:t>
            </w:r>
          </w:p>
        </w:tc>
      </w:tr>
    </w:tbl>
    <w:p w14:paraId="557E41E1">
      <w:pPr>
        <w:pStyle w:val="23"/>
        <w:snapToGrid w:val="0"/>
        <w:spacing w:line="300" w:lineRule="auto"/>
        <w:outlineLvl w:val="9"/>
        <w:rPr>
          <w:rFonts w:hint="eastAsia" w:hAnsi="宋体" w:eastAsia="宋体"/>
          <w:color w:val="auto"/>
          <w:sz w:val="24"/>
          <w:szCs w:val="24"/>
          <w:highlight w:val="none"/>
          <w:lang w:eastAsia="zh-CN"/>
        </w:rPr>
      </w:pPr>
    </w:p>
    <w:p w14:paraId="0C6C0BA7">
      <w:pPr>
        <w:snapToGrid w:val="0"/>
        <w:spacing w:line="360" w:lineRule="auto"/>
        <w:outlineLvl w:val="9"/>
        <w:rPr>
          <w:rFonts w:hint="eastAsia" w:hAnsi="宋体"/>
          <w:color w:val="auto"/>
          <w:sz w:val="24"/>
          <w:szCs w:val="24"/>
          <w:highlight w:val="none"/>
        </w:rPr>
      </w:pPr>
      <w:r>
        <w:rPr>
          <w:rFonts w:hint="eastAsia" w:hAnsi="宋体"/>
          <w:color w:val="auto"/>
          <w:sz w:val="24"/>
          <w:szCs w:val="24"/>
          <w:highlight w:val="none"/>
        </w:rPr>
        <w:t>3.1</w:t>
      </w:r>
      <w:r>
        <w:rPr>
          <w:rFonts w:hint="eastAsia" w:hAnsi="宋体"/>
          <w:color w:val="auto"/>
          <w:sz w:val="24"/>
          <w:szCs w:val="24"/>
          <w:highlight w:val="none"/>
          <w:lang w:val="en-US" w:eastAsia="zh-CN"/>
        </w:rPr>
        <w:t>0</w:t>
      </w:r>
      <w:r>
        <w:rPr>
          <w:rFonts w:hint="eastAsia" w:hAnsi="宋体"/>
          <w:color w:val="auto"/>
          <w:sz w:val="24"/>
          <w:szCs w:val="24"/>
          <w:highlight w:val="none"/>
        </w:rPr>
        <w:t>出现下列情形之一的，采购代理机构应当终止竞争性磋商采购活动，发布项目终止公告并说明原因，重新开展采购活动：</w:t>
      </w:r>
    </w:p>
    <w:p w14:paraId="04B35C04">
      <w:pPr>
        <w:snapToGrid w:val="0"/>
        <w:spacing w:line="360" w:lineRule="auto"/>
        <w:outlineLvl w:val="9"/>
        <w:rPr>
          <w:rFonts w:hint="eastAsia" w:hAnsi="宋体"/>
          <w:color w:val="auto"/>
          <w:sz w:val="24"/>
          <w:szCs w:val="24"/>
          <w:highlight w:val="none"/>
        </w:rPr>
      </w:pPr>
      <w:r>
        <w:rPr>
          <w:rFonts w:hint="eastAsia" w:hAnsi="宋体"/>
          <w:color w:val="auto"/>
          <w:sz w:val="24"/>
          <w:szCs w:val="24"/>
          <w:highlight w:val="none"/>
        </w:rPr>
        <w:t>（1）因情况变化，不再符合规定的竞争性磋商采购方式适用情形的；</w:t>
      </w:r>
    </w:p>
    <w:p w14:paraId="2D768AA2">
      <w:pPr>
        <w:snapToGrid w:val="0"/>
        <w:spacing w:line="360" w:lineRule="auto"/>
        <w:outlineLvl w:val="9"/>
        <w:rPr>
          <w:rFonts w:hint="eastAsia" w:hAnsi="宋体"/>
          <w:color w:val="auto"/>
          <w:sz w:val="24"/>
          <w:szCs w:val="24"/>
          <w:highlight w:val="none"/>
        </w:rPr>
      </w:pPr>
      <w:r>
        <w:rPr>
          <w:rFonts w:hint="eastAsia" w:hAnsi="宋体"/>
          <w:color w:val="auto"/>
          <w:sz w:val="24"/>
          <w:szCs w:val="24"/>
          <w:highlight w:val="none"/>
        </w:rPr>
        <w:t>（2）出现影响采购公正的违法、违规行为的；</w:t>
      </w:r>
    </w:p>
    <w:p w14:paraId="6C3940E9">
      <w:pPr>
        <w:snapToGrid w:val="0"/>
        <w:spacing w:line="360" w:lineRule="auto"/>
        <w:outlineLvl w:val="9"/>
        <w:rPr>
          <w:rFonts w:hint="eastAsia" w:hAnsi="宋体"/>
          <w:color w:val="auto"/>
          <w:sz w:val="24"/>
          <w:szCs w:val="24"/>
          <w:highlight w:val="none"/>
        </w:rPr>
      </w:pPr>
      <w:r>
        <w:rPr>
          <w:rFonts w:hint="eastAsia" w:hAnsi="宋体"/>
          <w:color w:val="auto"/>
          <w:sz w:val="24"/>
          <w:szCs w:val="24"/>
          <w:highlight w:val="none"/>
        </w:rPr>
        <w:t>（3）除《政府采购竞争性磋商采购方式管理暂行办法》第二十一条第三款规定的情形外，在采购过程中符合要求的供应商或者报价未超过采购预算的供应商不足3家的。</w:t>
      </w:r>
    </w:p>
    <w:p w14:paraId="1C7F1E1F">
      <w:pPr>
        <w:snapToGrid w:val="0"/>
        <w:spacing w:line="360" w:lineRule="auto"/>
        <w:outlineLvl w:val="9"/>
        <w:rPr>
          <w:rFonts w:hint="eastAsia" w:hAnsi="宋体"/>
          <w:color w:val="auto"/>
          <w:sz w:val="24"/>
          <w:szCs w:val="24"/>
          <w:highlight w:val="none"/>
        </w:rPr>
      </w:pPr>
      <w:r>
        <w:rPr>
          <w:rFonts w:hint="eastAsia" w:hAnsi="宋体"/>
          <w:color w:val="auto"/>
          <w:sz w:val="24"/>
          <w:szCs w:val="24"/>
          <w:highlight w:val="none"/>
        </w:rPr>
        <w:t>3.1</w:t>
      </w:r>
      <w:r>
        <w:rPr>
          <w:rFonts w:hint="eastAsia" w:hAnsi="宋体"/>
          <w:color w:val="auto"/>
          <w:sz w:val="24"/>
          <w:szCs w:val="24"/>
          <w:highlight w:val="none"/>
          <w:lang w:val="en-US" w:eastAsia="zh-CN"/>
        </w:rPr>
        <w:t>1</w:t>
      </w:r>
      <w:r>
        <w:rPr>
          <w:rFonts w:hint="eastAsia" w:hAnsi="宋体"/>
          <w:color w:val="auto"/>
          <w:sz w:val="24"/>
          <w:szCs w:val="24"/>
          <w:highlight w:val="none"/>
        </w:rPr>
        <w:t xml:space="preserve"> 终止磋商活动后，由采购代理机构发布终止公告并说明原因。</w:t>
      </w:r>
    </w:p>
    <w:p w14:paraId="6560B0B9">
      <w:pPr>
        <w:snapToGrid w:val="0"/>
        <w:spacing w:line="360" w:lineRule="auto"/>
        <w:outlineLvl w:val="9"/>
        <w:rPr>
          <w:rFonts w:ascii="宋体" w:hAnsi="宋体"/>
          <w:color w:val="auto"/>
          <w:sz w:val="24"/>
          <w:szCs w:val="24"/>
          <w:highlight w:val="none"/>
        </w:rPr>
      </w:pPr>
      <w:r>
        <w:rPr>
          <w:rFonts w:ascii="宋体" w:hAnsi="宋体"/>
          <w:color w:val="auto"/>
          <w:sz w:val="24"/>
          <w:szCs w:val="24"/>
          <w:highlight w:val="none"/>
        </w:rPr>
        <w:t>4、确定成交供应商的标准</w:t>
      </w:r>
    </w:p>
    <w:p w14:paraId="40625B3D">
      <w:pPr>
        <w:pStyle w:val="23"/>
        <w:snapToGrid w:val="0"/>
        <w:spacing w:line="360" w:lineRule="auto"/>
        <w:ind w:firstLine="460" w:firstLineChars="192"/>
        <w:outlineLvl w:val="9"/>
        <w:rPr>
          <w:rFonts w:hAnsi="宋体"/>
          <w:color w:val="auto"/>
          <w:sz w:val="24"/>
          <w:szCs w:val="24"/>
          <w:highlight w:val="none"/>
        </w:rPr>
      </w:pPr>
      <w:r>
        <w:rPr>
          <w:rFonts w:hAnsi="宋体"/>
          <w:color w:val="auto"/>
          <w:sz w:val="24"/>
          <w:szCs w:val="24"/>
          <w:highlight w:val="none"/>
        </w:rPr>
        <w:t>4.1 本次磋商小组成员应当按照客观、公正、审慎的原则进行。</w:t>
      </w:r>
    </w:p>
    <w:p w14:paraId="61F15D72">
      <w:pPr>
        <w:pStyle w:val="23"/>
        <w:snapToGrid w:val="0"/>
        <w:spacing w:line="360" w:lineRule="auto"/>
        <w:ind w:firstLine="480" w:firstLineChars="200"/>
        <w:outlineLvl w:val="9"/>
        <w:rPr>
          <w:rFonts w:hAnsi="宋体"/>
          <w:color w:val="auto"/>
          <w:sz w:val="24"/>
          <w:szCs w:val="24"/>
          <w:highlight w:val="none"/>
        </w:rPr>
      </w:pPr>
      <w:r>
        <w:rPr>
          <w:rFonts w:hAnsi="宋体"/>
          <w:color w:val="auto"/>
          <w:sz w:val="24"/>
          <w:szCs w:val="24"/>
          <w:highlight w:val="none"/>
        </w:rPr>
        <w:t>4.2 供应商报价结束后，磋商小组应当根据综合评分情况，按照评审得分由高到低顺序推荐</w:t>
      </w:r>
      <w:r>
        <w:rPr>
          <w:rFonts w:hint="eastAsia" w:hAnsi="宋体"/>
          <w:color w:val="auto"/>
          <w:sz w:val="24"/>
          <w:szCs w:val="24"/>
          <w:highlight w:val="none"/>
          <w:lang w:val="en-US" w:eastAsia="zh-CN"/>
        </w:rPr>
        <w:t>三</w:t>
      </w:r>
      <w:r>
        <w:rPr>
          <w:rFonts w:hAnsi="宋体"/>
          <w:color w:val="auto"/>
          <w:sz w:val="24"/>
          <w:szCs w:val="24"/>
          <w:highlight w:val="none"/>
        </w:rPr>
        <w:t>名成交候选供应商。评审得分相同的，按照最后报价由低到高的顺序推荐。评审得分且最后报价相同的，按照技术指标优劣顺序推荐。</w:t>
      </w:r>
    </w:p>
    <w:p w14:paraId="48F2352E">
      <w:pPr>
        <w:pStyle w:val="23"/>
        <w:snapToGrid w:val="0"/>
        <w:spacing w:line="360" w:lineRule="auto"/>
        <w:ind w:firstLine="480" w:firstLineChars="200"/>
        <w:outlineLvl w:val="9"/>
        <w:rPr>
          <w:rFonts w:hAnsi="宋体"/>
          <w:color w:val="auto"/>
          <w:sz w:val="24"/>
          <w:szCs w:val="24"/>
          <w:highlight w:val="none"/>
        </w:rPr>
      </w:pPr>
      <w:r>
        <w:rPr>
          <w:rFonts w:hAnsi="宋体"/>
          <w:color w:val="auto"/>
          <w:sz w:val="24"/>
          <w:szCs w:val="24"/>
          <w:highlight w:val="none"/>
        </w:rPr>
        <w:t>4.3 磋商小组推荐成交候选供应商后，应当向采购代理机构出具评审报告。</w:t>
      </w:r>
    </w:p>
    <w:p w14:paraId="45A6E366">
      <w:pPr>
        <w:pStyle w:val="23"/>
        <w:snapToGrid w:val="0"/>
        <w:spacing w:line="360" w:lineRule="auto"/>
        <w:ind w:firstLine="480" w:firstLineChars="200"/>
        <w:jc w:val="center"/>
        <w:outlineLvl w:val="9"/>
        <w:rPr>
          <w:rFonts w:ascii="宋体" w:hAnsi="宋体" w:eastAsia="宋体"/>
          <w:color w:val="auto"/>
          <w:sz w:val="24"/>
          <w:szCs w:val="24"/>
          <w:highlight w:val="none"/>
          <w:lang w:val="zh-CN"/>
        </w:rPr>
      </w:pPr>
      <w:r>
        <w:rPr>
          <w:rFonts w:hAnsi="宋体"/>
          <w:color w:val="auto"/>
          <w:sz w:val="24"/>
          <w:szCs w:val="24"/>
          <w:highlight w:val="none"/>
        </w:rPr>
        <w:t>4.4 对于违反磋商纪律的将可能被取消成交供应商资格或视为无效响应。</w:t>
      </w:r>
      <w:r>
        <w:rPr>
          <w:rFonts w:ascii="宋体" w:hAnsi="宋体" w:eastAsia="宋体"/>
          <w:color w:val="auto"/>
          <w:sz w:val="24"/>
          <w:szCs w:val="24"/>
          <w:highlight w:val="none"/>
          <w:lang w:val="zh-CN"/>
        </w:rPr>
        <w:br w:type="page"/>
      </w:r>
    </w:p>
    <w:p w14:paraId="67D40C08">
      <w:pPr>
        <w:pStyle w:val="23"/>
        <w:snapToGrid w:val="0"/>
        <w:spacing w:line="300" w:lineRule="auto"/>
        <w:ind w:firstLine="964" w:firstLineChars="200"/>
        <w:jc w:val="both"/>
        <w:outlineLvl w:val="9"/>
        <w:rPr>
          <w:rFonts w:hint="eastAsia" w:ascii="宋体" w:hAnsi="宋体" w:eastAsia="宋体" w:cs="宋体"/>
          <w:b/>
          <w:bCs/>
          <w:color w:val="auto"/>
          <w:sz w:val="48"/>
          <w:szCs w:val="48"/>
          <w:highlight w:val="none"/>
          <w:lang w:val="zh-CN" w:eastAsia="zh-CN" w:bidi="ar-SA"/>
        </w:rPr>
      </w:pPr>
    </w:p>
    <w:p w14:paraId="2BFC65EB">
      <w:pPr>
        <w:numPr>
          <w:ilvl w:val="0"/>
          <w:numId w:val="0"/>
        </w:numPr>
        <w:tabs>
          <w:tab w:val="left" w:pos="425"/>
          <w:tab w:val="left" w:pos="4265"/>
        </w:tabs>
        <w:spacing w:line="360" w:lineRule="auto"/>
        <w:jc w:val="center"/>
        <w:outlineLvl w:val="0"/>
        <w:rPr>
          <w:rFonts w:hint="eastAsia" w:ascii="宋体" w:hAnsi="宋体" w:eastAsia="宋体" w:cs="Times New Roman"/>
          <w:b/>
          <w:bCs/>
          <w:color w:val="auto"/>
          <w:sz w:val="28"/>
          <w:szCs w:val="28"/>
          <w:highlight w:val="none"/>
        </w:rPr>
      </w:pPr>
      <w:bookmarkStart w:id="15" w:name="_Toc16416"/>
      <w:r>
        <w:rPr>
          <w:rFonts w:hint="eastAsia" w:ascii="宋体" w:hAnsi="宋体" w:eastAsia="宋体" w:cs="Times New Roman"/>
          <w:b/>
          <w:bCs/>
          <w:color w:val="auto"/>
          <w:sz w:val="28"/>
          <w:szCs w:val="28"/>
          <w:highlight w:val="none"/>
          <w:lang w:val="en-US" w:eastAsia="zh-CN"/>
        </w:rPr>
        <w:t xml:space="preserve">第五章 </w:t>
      </w:r>
      <w:r>
        <w:rPr>
          <w:rFonts w:hint="eastAsia" w:ascii="宋体" w:hAnsi="宋体" w:eastAsia="宋体" w:cs="Times New Roman"/>
          <w:b/>
          <w:bCs/>
          <w:color w:val="auto"/>
          <w:sz w:val="28"/>
          <w:szCs w:val="28"/>
          <w:highlight w:val="none"/>
          <w:lang w:val="zh-CN" w:eastAsia="zh-CN"/>
        </w:rPr>
        <w:t>青海省政府采购项目合同书范本</w:t>
      </w:r>
      <w:bookmarkEnd w:id="15"/>
    </w:p>
    <w:p w14:paraId="775DD28E">
      <w:pPr>
        <w:autoSpaceDE w:val="0"/>
        <w:autoSpaceDN w:val="0"/>
        <w:adjustRightInd w:val="0"/>
        <w:spacing w:line="360" w:lineRule="auto"/>
        <w:jc w:val="center"/>
        <w:outlineLvl w:val="9"/>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（货物类）</w:t>
      </w:r>
    </w:p>
    <w:p w14:paraId="0BC8AFE1">
      <w:pPr>
        <w:autoSpaceDE w:val="0"/>
        <w:autoSpaceDN w:val="0"/>
        <w:adjustRightInd w:val="0"/>
        <w:spacing w:line="360" w:lineRule="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418E42F2">
      <w:pPr>
        <w:autoSpaceDE w:val="0"/>
        <w:autoSpaceDN w:val="0"/>
        <w:adjustRightInd w:val="0"/>
        <w:spacing w:line="360" w:lineRule="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00B6B8B5">
      <w:pPr>
        <w:autoSpaceDE w:val="0"/>
        <w:autoSpaceDN w:val="0"/>
        <w:adjustRightInd w:val="0"/>
        <w:spacing w:line="360" w:lineRule="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3D20C3C2">
      <w:pPr>
        <w:autoSpaceDE w:val="0"/>
        <w:autoSpaceDN w:val="0"/>
        <w:adjustRightInd w:val="0"/>
        <w:spacing w:line="360" w:lineRule="auto"/>
        <w:jc w:val="center"/>
        <w:outlineLvl w:val="9"/>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lang w:val="zh-CN"/>
        </w:rPr>
        <w:t>青海省政府采购项目合同书</w:t>
      </w:r>
    </w:p>
    <w:p w14:paraId="0AEE5509">
      <w:pPr>
        <w:autoSpaceDE w:val="0"/>
        <w:autoSpaceDN w:val="0"/>
        <w:adjustRightInd w:val="0"/>
        <w:spacing w:line="360" w:lineRule="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5C4339DE">
      <w:pPr>
        <w:autoSpaceDE w:val="0"/>
        <w:autoSpaceDN w:val="0"/>
        <w:adjustRightInd w:val="0"/>
        <w:spacing w:line="400" w:lineRule="exac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5ACA92AA">
      <w:pPr>
        <w:pStyle w:val="43"/>
        <w:outlineLvl w:val="9"/>
        <w:rPr>
          <w:rFonts w:hint="eastAsia" w:ascii="宋体" w:hAnsi="宋体" w:eastAsia="宋体" w:cs="宋体"/>
          <w:color w:val="auto"/>
          <w:sz w:val="28"/>
          <w:szCs w:val="28"/>
          <w:highlight w:val="none"/>
        </w:rPr>
      </w:pPr>
    </w:p>
    <w:p w14:paraId="447F3788">
      <w:pPr>
        <w:pStyle w:val="43"/>
        <w:ind w:left="0" w:leftChars="0" w:firstLine="0" w:firstLineChars="0"/>
        <w:outlineLvl w:val="9"/>
        <w:rPr>
          <w:rFonts w:hint="eastAsia" w:ascii="宋体" w:hAnsi="宋体" w:eastAsia="宋体" w:cs="宋体"/>
          <w:color w:val="auto"/>
          <w:sz w:val="28"/>
          <w:szCs w:val="28"/>
          <w:highlight w:val="none"/>
        </w:rPr>
      </w:pPr>
    </w:p>
    <w:p w14:paraId="2DD47F5B">
      <w:pPr>
        <w:autoSpaceDE w:val="0"/>
        <w:autoSpaceDN w:val="0"/>
        <w:adjustRightInd w:val="0"/>
        <w:spacing w:line="400" w:lineRule="exac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008C5DA6">
      <w:pPr>
        <w:autoSpaceDE w:val="0"/>
        <w:autoSpaceDN w:val="0"/>
        <w:adjustRightInd w:val="0"/>
        <w:spacing w:line="400" w:lineRule="exac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39B38E78">
      <w:pPr>
        <w:autoSpaceDE w:val="0"/>
        <w:autoSpaceDN w:val="0"/>
        <w:adjustRightInd w:val="0"/>
        <w:spacing w:line="360" w:lineRule="auto"/>
        <w:ind w:left="1506" w:hanging="1506" w:hangingChars="500"/>
        <w:outlineLvl w:val="9"/>
        <w:rPr>
          <w:rFonts w:hint="default" w:ascii="宋体" w:hAnsi="宋体" w:eastAsia="宋体" w:cs="宋体"/>
          <w:b/>
          <w:bCs/>
          <w:color w:val="auto"/>
          <w:sz w:val="30"/>
          <w:szCs w:val="30"/>
          <w:highlight w:val="none"/>
          <w:u w:val="single"/>
          <w:lang w:val="en-US" w:eastAsia="zh-CN"/>
        </w:rPr>
      </w:pPr>
      <w:r>
        <w:rPr>
          <w:rFonts w:hint="eastAsia" w:ascii="宋体" w:hAnsi="宋体" w:eastAsia="宋体" w:cs="宋体"/>
          <w:b/>
          <w:bCs/>
          <w:color w:val="auto"/>
          <w:sz w:val="30"/>
          <w:szCs w:val="30"/>
          <w:highlight w:val="none"/>
          <w:lang w:val="zh-CN"/>
        </w:rPr>
        <w:t>项目名称：</w:t>
      </w:r>
      <w:r>
        <w:rPr>
          <w:rFonts w:hint="eastAsia" w:ascii="宋体" w:hAnsi="宋体" w:cs="宋体"/>
          <w:b/>
          <w:bCs/>
          <w:color w:val="auto"/>
          <w:sz w:val="30"/>
          <w:szCs w:val="30"/>
          <w:highlight w:val="none"/>
          <w:u w:val="single"/>
          <w:lang w:val="zh-CN"/>
        </w:rPr>
        <w:t>海西州2024年提前批义务教育薄弱环节改善与能力提升“因素法”项目--信息化设备采购</w:t>
      </w:r>
    </w:p>
    <w:p w14:paraId="3AF4C91A">
      <w:pPr>
        <w:autoSpaceDE w:val="0"/>
        <w:autoSpaceDN w:val="0"/>
        <w:adjustRightInd w:val="0"/>
        <w:spacing w:line="360" w:lineRule="auto"/>
        <w:outlineLvl w:val="9"/>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项目编号：</w:t>
      </w:r>
      <w:r>
        <w:rPr>
          <w:rFonts w:hint="eastAsia" w:ascii="宋体" w:hAnsi="宋体" w:cs="宋体"/>
          <w:b/>
          <w:bCs/>
          <w:color w:val="auto"/>
          <w:sz w:val="30"/>
          <w:szCs w:val="30"/>
          <w:highlight w:val="none"/>
          <w:u w:val="single"/>
          <w:lang w:val="zh-CN"/>
        </w:rPr>
        <w:t>青海宸晖竞磋（货物）2024-024号</w:t>
      </w:r>
      <w:r>
        <w:rPr>
          <w:rFonts w:hint="eastAsia" w:ascii="宋体" w:hAnsi="宋体" w:eastAsia="宋体" w:cs="宋体"/>
          <w:b/>
          <w:bCs/>
          <w:color w:val="auto"/>
          <w:sz w:val="30"/>
          <w:szCs w:val="30"/>
          <w:highlight w:val="none"/>
          <w:u w:val="single"/>
          <w:lang w:val="zh-CN"/>
        </w:rPr>
        <w:t xml:space="preserve"> </w:t>
      </w:r>
      <w:r>
        <w:rPr>
          <w:rFonts w:hint="eastAsia" w:ascii="宋体" w:hAnsi="宋体" w:eastAsia="宋体" w:cs="宋体"/>
          <w:b/>
          <w:bCs/>
          <w:color w:val="auto"/>
          <w:sz w:val="30"/>
          <w:szCs w:val="30"/>
          <w:highlight w:val="none"/>
          <w:lang w:val="zh-CN"/>
        </w:rPr>
        <w:t xml:space="preserve">           </w:t>
      </w:r>
    </w:p>
    <w:p w14:paraId="05A1132F">
      <w:pPr>
        <w:autoSpaceDE w:val="0"/>
        <w:autoSpaceDN w:val="0"/>
        <w:adjustRightInd w:val="0"/>
        <w:spacing w:line="360" w:lineRule="auto"/>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zh-CN"/>
        </w:rPr>
        <w:t>合同编号：</w:t>
      </w:r>
      <w:r>
        <w:rPr>
          <w:rFonts w:hint="eastAsia" w:ascii="宋体" w:hAnsi="宋体" w:eastAsia="宋体" w:cs="宋体"/>
          <w:b/>
          <w:bCs/>
          <w:color w:val="auto"/>
          <w:sz w:val="30"/>
          <w:szCs w:val="30"/>
          <w:highlight w:val="none"/>
          <w:u w:val="single"/>
          <w:lang w:val="zh-CN"/>
        </w:rPr>
        <w:t>QH</w:t>
      </w:r>
      <w:r>
        <w:rPr>
          <w:rFonts w:hint="eastAsia" w:ascii="宋体" w:hAnsi="宋体" w:eastAsia="宋体" w:cs="宋体"/>
          <w:b/>
          <w:bCs/>
          <w:color w:val="auto"/>
          <w:sz w:val="30"/>
          <w:szCs w:val="30"/>
          <w:highlight w:val="none"/>
          <w:u w:val="single"/>
          <w:lang w:val="en-US" w:eastAsia="zh-CN"/>
        </w:rPr>
        <w:t>CH</w:t>
      </w:r>
      <w:r>
        <w:rPr>
          <w:rFonts w:hint="eastAsia" w:ascii="宋体" w:hAnsi="宋体" w:eastAsia="宋体" w:cs="宋体"/>
          <w:b/>
          <w:bCs/>
          <w:color w:val="auto"/>
          <w:sz w:val="30"/>
          <w:szCs w:val="30"/>
          <w:highlight w:val="none"/>
          <w:u w:val="single"/>
          <w:lang w:val="zh-CN"/>
        </w:rPr>
        <w:t>-</w:t>
      </w:r>
      <w:r>
        <w:rPr>
          <w:rFonts w:hint="eastAsia" w:ascii="宋体" w:hAnsi="宋体" w:cs="宋体"/>
          <w:b/>
          <w:bCs/>
          <w:color w:val="auto"/>
          <w:sz w:val="30"/>
          <w:szCs w:val="30"/>
          <w:highlight w:val="none"/>
          <w:u w:val="single"/>
          <w:lang w:val="zh-CN" w:eastAsia="zh-CN"/>
        </w:rPr>
        <w:t>2024</w:t>
      </w:r>
      <w:r>
        <w:rPr>
          <w:rFonts w:hint="eastAsia" w:ascii="宋体" w:hAnsi="宋体" w:eastAsia="宋体" w:cs="宋体"/>
          <w:b/>
          <w:bCs/>
          <w:color w:val="auto"/>
          <w:sz w:val="30"/>
          <w:szCs w:val="30"/>
          <w:highlight w:val="none"/>
          <w:u w:val="single"/>
          <w:lang w:val="zh-CN"/>
        </w:rPr>
        <w:t>-</w:t>
      </w:r>
      <w:r>
        <w:rPr>
          <w:rFonts w:hint="eastAsia" w:ascii="宋体" w:hAnsi="宋体" w:cs="宋体"/>
          <w:b/>
          <w:bCs/>
          <w:color w:val="auto"/>
          <w:sz w:val="30"/>
          <w:szCs w:val="30"/>
          <w:highlight w:val="none"/>
          <w:u w:val="single"/>
          <w:lang w:val="en-US" w:eastAsia="zh-CN"/>
        </w:rPr>
        <w:t>024</w:t>
      </w:r>
      <w:r>
        <w:rPr>
          <w:rFonts w:hint="eastAsia" w:ascii="宋体" w:hAnsi="宋体" w:eastAsia="宋体" w:cs="宋体"/>
          <w:b/>
          <w:bCs/>
          <w:color w:val="auto"/>
          <w:sz w:val="30"/>
          <w:szCs w:val="30"/>
          <w:highlight w:val="none"/>
          <w:u w:val="single"/>
        </w:rPr>
        <w:t xml:space="preserve">           </w:t>
      </w:r>
      <w:r>
        <w:rPr>
          <w:rFonts w:hint="eastAsia" w:ascii="宋体" w:hAnsi="宋体" w:eastAsia="宋体" w:cs="宋体"/>
          <w:b/>
          <w:bCs/>
          <w:color w:val="auto"/>
          <w:sz w:val="30"/>
          <w:szCs w:val="30"/>
          <w:highlight w:val="none"/>
          <w:u w:val="single"/>
          <w:lang w:val="zh-CN"/>
        </w:rPr>
        <w:t xml:space="preserve">  </w:t>
      </w:r>
      <w:r>
        <w:rPr>
          <w:rFonts w:hint="eastAsia" w:ascii="宋体" w:hAnsi="宋体" w:eastAsia="宋体" w:cs="宋体"/>
          <w:b/>
          <w:bCs/>
          <w:color w:val="auto"/>
          <w:sz w:val="30"/>
          <w:szCs w:val="30"/>
          <w:highlight w:val="none"/>
          <w:u w:val="single"/>
          <w:lang w:val="en-US" w:eastAsia="zh-CN"/>
        </w:rPr>
        <w:t xml:space="preserve">    </w:t>
      </w:r>
      <w:r>
        <w:rPr>
          <w:rFonts w:hint="eastAsia" w:ascii="宋体" w:hAnsi="宋体" w:eastAsia="宋体" w:cs="宋体"/>
          <w:b/>
          <w:bCs/>
          <w:color w:val="auto"/>
          <w:sz w:val="30"/>
          <w:szCs w:val="30"/>
          <w:highlight w:val="none"/>
          <w:u w:val="single"/>
          <w:lang w:val="zh-CN"/>
        </w:rPr>
        <w:t xml:space="preserve">   </w:t>
      </w:r>
      <w:r>
        <w:rPr>
          <w:rFonts w:hint="eastAsia" w:ascii="宋体" w:hAnsi="宋体" w:eastAsia="宋体" w:cs="宋体"/>
          <w:b/>
          <w:bCs/>
          <w:color w:val="auto"/>
          <w:sz w:val="30"/>
          <w:szCs w:val="30"/>
          <w:highlight w:val="none"/>
          <w:u w:val="single"/>
          <w:lang w:val="en-US" w:eastAsia="zh-CN"/>
        </w:rPr>
        <w:t xml:space="preserve"> </w:t>
      </w:r>
    </w:p>
    <w:p w14:paraId="36784AAD">
      <w:pPr>
        <w:autoSpaceDE w:val="0"/>
        <w:autoSpaceDN w:val="0"/>
        <w:adjustRightInd w:val="0"/>
        <w:spacing w:line="360" w:lineRule="auto"/>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zh-CN"/>
        </w:rPr>
        <w:t>合同金额（人民币）：</w:t>
      </w:r>
      <w:r>
        <w:rPr>
          <w:rFonts w:hint="eastAsia" w:ascii="宋体" w:hAnsi="宋体" w:eastAsia="宋体" w:cs="宋体"/>
          <w:b/>
          <w:bCs/>
          <w:color w:val="auto"/>
          <w:sz w:val="30"/>
          <w:szCs w:val="30"/>
          <w:highlight w:val="none"/>
          <w:u w:val="single"/>
        </w:rPr>
        <w:t xml:space="preserve">                        </w:t>
      </w:r>
      <w:r>
        <w:rPr>
          <w:rFonts w:hint="eastAsia" w:ascii="宋体" w:hAnsi="宋体" w:eastAsia="宋体" w:cs="宋体"/>
          <w:b/>
          <w:bCs/>
          <w:color w:val="auto"/>
          <w:sz w:val="30"/>
          <w:szCs w:val="30"/>
          <w:highlight w:val="none"/>
          <w:u w:val="single"/>
          <w:lang w:val="en-US" w:eastAsia="zh-CN"/>
        </w:rPr>
        <w:t xml:space="preserve">  </w:t>
      </w:r>
    </w:p>
    <w:p w14:paraId="1B0EB992">
      <w:pPr>
        <w:autoSpaceDE w:val="0"/>
        <w:autoSpaceDN w:val="0"/>
        <w:adjustRightInd w:val="0"/>
        <w:spacing w:line="360" w:lineRule="auto"/>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zh-CN"/>
        </w:rPr>
        <w:t>采购单位（甲方）：</w:t>
      </w:r>
      <w:r>
        <w:rPr>
          <w:rFonts w:hint="eastAsia" w:ascii="宋体" w:hAnsi="宋体" w:eastAsia="宋体" w:cs="宋体"/>
          <w:b/>
          <w:bCs/>
          <w:color w:val="auto"/>
          <w:sz w:val="30"/>
          <w:szCs w:val="30"/>
          <w:highlight w:val="none"/>
          <w:u w:val="single"/>
        </w:rPr>
        <w:t xml:space="preserve">                     </w:t>
      </w:r>
      <w:r>
        <w:rPr>
          <w:rFonts w:hint="eastAsia" w:ascii="宋体" w:hAnsi="宋体" w:eastAsia="宋体" w:cs="宋体"/>
          <w:b/>
          <w:bCs/>
          <w:color w:val="auto"/>
          <w:sz w:val="30"/>
          <w:szCs w:val="30"/>
          <w:highlight w:val="none"/>
          <w:u w:val="single"/>
          <w:lang w:val="zh-CN"/>
        </w:rPr>
        <w:t>（盖章）</w:t>
      </w:r>
    </w:p>
    <w:p w14:paraId="4085D597">
      <w:pPr>
        <w:autoSpaceDE w:val="0"/>
        <w:autoSpaceDN w:val="0"/>
        <w:adjustRightInd w:val="0"/>
        <w:spacing w:line="360" w:lineRule="auto"/>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zh-CN"/>
        </w:rPr>
        <w:t>成交人（乙方）：</w:t>
      </w:r>
      <w:r>
        <w:rPr>
          <w:rFonts w:hint="eastAsia" w:ascii="宋体" w:hAnsi="宋体" w:eastAsia="宋体" w:cs="宋体"/>
          <w:b/>
          <w:bCs/>
          <w:color w:val="auto"/>
          <w:sz w:val="30"/>
          <w:szCs w:val="30"/>
          <w:highlight w:val="none"/>
          <w:u w:val="single"/>
        </w:rPr>
        <w:t xml:space="preserve">                       </w:t>
      </w:r>
      <w:r>
        <w:rPr>
          <w:rFonts w:hint="eastAsia" w:ascii="宋体" w:hAnsi="宋体" w:eastAsia="宋体" w:cs="宋体"/>
          <w:b/>
          <w:bCs/>
          <w:color w:val="auto"/>
          <w:sz w:val="30"/>
          <w:szCs w:val="30"/>
          <w:highlight w:val="none"/>
          <w:u w:val="single"/>
          <w:lang w:val="zh-CN"/>
        </w:rPr>
        <w:t>（盖章）</w:t>
      </w:r>
    </w:p>
    <w:p w14:paraId="268FB99A">
      <w:pPr>
        <w:autoSpaceDE w:val="0"/>
        <w:autoSpaceDN w:val="0"/>
        <w:adjustRightInd w:val="0"/>
        <w:spacing w:line="360" w:lineRule="auto"/>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zh-CN"/>
        </w:rPr>
        <w:t>采购日期：</w:t>
      </w:r>
      <w:r>
        <w:rPr>
          <w:rFonts w:hint="eastAsia" w:ascii="宋体" w:hAnsi="宋体" w:eastAsia="宋体" w:cs="宋体"/>
          <w:b/>
          <w:bCs/>
          <w:color w:val="auto"/>
          <w:sz w:val="30"/>
          <w:szCs w:val="30"/>
          <w:highlight w:val="none"/>
          <w:u w:val="single"/>
        </w:rPr>
        <w:t xml:space="preserve">                                     </w:t>
      </w:r>
    </w:p>
    <w:p w14:paraId="119A0AC3">
      <w:pPr>
        <w:autoSpaceDE w:val="0"/>
        <w:autoSpaceDN w:val="0"/>
        <w:adjustRightInd w:val="0"/>
        <w:spacing w:line="360" w:lineRule="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24299517">
      <w:pPr>
        <w:autoSpaceDE w:val="0"/>
        <w:autoSpaceDN w:val="0"/>
        <w:adjustRightInd w:val="0"/>
        <w:spacing w:line="400" w:lineRule="exac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bCs/>
          <w:color w:val="auto"/>
          <w:sz w:val="28"/>
          <w:szCs w:val="28"/>
          <w:highlight w:val="none"/>
          <w:lang w:val="zh-CN"/>
        </w:rPr>
        <w:t>采</w:t>
      </w: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val="zh-CN"/>
        </w:rPr>
        <w:t>购</w:t>
      </w: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val="zh-CN"/>
        </w:rPr>
        <w:t>人（以下简称甲方）：</w:t>
      </w:r>
    </w:p>
    <w:p w14:paraId="088C2D17">
      <w:pPr>
        <w:autoSpaceDE w:val="0"/>
        <w:autoSpaceDN w:val="0"/>
        <w:adjustRightInd w:val="0"/>
        <w:spacing w:line="400" w:lineRule="exact"/>
        <w:outlineLvl w:val="9"/>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val="zh-CN"/>
        </w:rPr>
        <w:t>成 交 人（以下简称乙方）：</w:t>
      </w:r>
    </w:p>
    <w:p w14:paraId="5F89D5E1">
      <w:pPr>
        <w:pStyle w:val="3"/>
        <w:spacing w:line="360" w:lineRule="auto"/>
        <w:ind w:firstLine="432"/>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甲、乙双方根据</w:t>
      </w:r>
      <w:r>
        <w:rPr>
          <w:rFonts w:hint="eastAsia" w:hAnsi="宋体" w:eastAsia="宋体" w:cs="宋体"/>
          <w:color w:val="auto"/>
          <w:sz w:val="24"/>
          <w:szCs w:val="24"/>
          <w:highlight w:val="none"/>
          <w:u w:val="single" w:color="000000"/>
          <w:lang w:val="zh-CN" w:eastAsia="zh-CN"/>
        </w:rPr>
        <w:t xml:space="preserve"> </w:t>
      </w:r>
      <w:r>
        <w:rPr>
          <w:rFonts w:hint="eastAsia" w:hAnsi="宋体" w:cs="宋体"/>
          <w:color w:val="auto"/>
          <w:sz w:val="24"/>
          <w:szCs w:val="24"/>
          <w:highlight w:val="none"/>
          <w:u w:val="single" w:color="000000"/>
          <w:lang w:val="zh-CN" w:eastAsia="zh-CN"/>
        </w:rPr>
        <w:t>海西州2024年提前批义务教育薄弱环节改善与能力提升“因素法”项目--信息化设备采购</w:t>
      </w:r>
      <w:r>
        <w:rPr>
          <w:rFonts w:hint="eastAsia" w:ascii="宋体" w:hAnsi="宋体" w:eastAsia="宋体" w:cs="宋体"/>
          <w:color w:val="auto"/>
          <w:sz w:val="24"/>
          <w:szCs w:val="24"/>
          <w:highlight w:val="none"/>
          <w:u w:val="single" w:color="000000"/>
          <w:lang w:val="zh-CN" w:eastAsia="zh-CN"/>
        </w:rPr>
        <w:t>（</w:t>
      </w:r>
      <w:r>
        <w:rPr>
          <w:rFonts w:hint="eastAsia" w:ascii="宋体" w:hAnsi="宋体" w:eastAsia="宋体" w:cs="宋体"/>
          <w:color w:val="auto"/>
          <w:sz w:val="24"/>
          <w:szCs w:val="24"/>
          <w:highlight w:val="none"/>
          <w:u w:val="single" w:color="000000"/>
          <w:lang w:val="zh-CN"/>
        </w:rPr>
        <w:t>项</w:t>
      </w:r>
      <w:r>
        <w:rPr>
          <w:rFonts w:hint="eastAsia" w:ascii="宋体" w:hAnsi="宋体" w:eastAsia="宋体" w:cs="宋体"/>
          <w:color w:val="auto"/>
          <w:sz w:val="24"/>
          <w:szCs w:val="24"/>
          <w:highlight w:val="none"/>
          <w:u w:val="single" w:color="000000"/>
        </w:rPr>
        <w:t>目编号：</w:t>
      </w:r>
      <w:r>
        <w:rPr>
          <w:rFonts w:hint="eastAsia" w:hAnsi="宋体" w:cs="宋体"/>
          <w:color w:val="auto"/>
          <w:sz w:val="24"/>
          <w:szCs w:val="24"/>
          <w:highlight w:val="none"/>
          <w:u w:val="single" w:color="000000"/>
          <w:lang w:eastAsia="zh-CN"/>
        </w:rPr>
        <w:t>青海宸晖竞磋（货物）2024-024号</w:t>
      </w:r>
      <w:r>
        <w:rPr>
          <w:rFonts w:hint="eastAsia" w:ascii="宋体" w:hAnsi="宋体" w:eastAsia="宋体" w:cs="宋体"/>
          <w:color w:val="auto"/>
          <w:sz w:val="24"/>
          <w:szCs w:val="24"/>
          <w:highlight w:val="none"/>
          <w:u w:val="single" w:color="000000"/>
          <w:lang w:val="zh-CN" w:eastAsia="zh-CN"/>
        </w:rPr>
        <w:t>）</w:t>
      </w:r>
      <w:r>
        <w:rPr>
          <w:rFonts w:hint="eastAsia" w:ascii="宋体" w:hAnsi="宋体" w:eastAsia="宋体" w:cs="宋体"/>
          <w:color w:val="auto"/>
          <w:sz w:val="24"/>
          <w:highlight w:val="none"/>
          <w:lang w:val="zh-CN"/>
        </w:rPr>
        <w:t>的磋商文件要求、成交人响应文件内容及承诺和采购代理机构出具的《成交通知书》，并经双方协商一致，签订本合同协议书。</w:t>
      </w:r>
    </w:p>
    <w:p w14:paraId="075B92E0">
      <w:pPr>
        <w:autoSpaceDE w:val="0"/>
        <w:autoSpaceDN w:val="0"/>
        <w:adjustRightInd w:val="0"/>
        <w:spacing w:line="360" w:lineRule="auto"/>
        <w:ind w:firstLine="480"/>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一、签订本政府采购合同的依据</w:t>
      </w:r>
    </w:p>
    <w:p w14:paraId="7F4F7D43">
      <w:pPr>
        <w:autoSpaceDE w:val="0"/>
        <w:autoSpaceDN w:val="0"/>
        <w:adjustRightInd w:val="0"/>
        <w:spacing w:line="360" w:lineRule="auto"/>
        <w:ind w:firstLine="480"/>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本政府采购合同所附下列文件是构成本政府采购合同不可分割的部分：</w:t>
      </w:r>
    </w:p>
    <w:p w14:paraId="1A7EFCD7">
      <w:pPr>
        <w:autoSpaceDE w:val="0"/>
        <w:autoSpaceDN w:val="0"/>
        <w:adjustRightInd w:val="0"/>
        <w:spacing w:line="360" w:lineRule="auto"/>
        <w:ind w:firstLine="480"/>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1.磋商文件；</w:t>
      </w:r>
    </w:p>
    <w:p w14:paraId="4974F017">
      <w:pPr>
        <w:autoSpaceDE w:val="0"/>
        <w:autoSpaceDN w:val="0"/>
        <w:adjustRightInd w:val="0"/>
        <w:spacing w:line="360" w:lineRule="auto"/>
        <w:ind w:firstLine="480"/>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2.磋商文件的更正、变更公告；</w:t>
      </w:r>
    </w:p>
    <w:p w14:paraId="436AAC6D">
      <w:pPr>
        <w:autoSpaceDE w:val="0"/>
        <w:autoSpaceDN w:val="0"/>
        <w:adjustRightInd w:val="0"/>
        <w:spacing w:line="360" w:lineRule="auto"/>
        <w:ind w:firstLine="480"/>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3.成交人提交的响应文件；</w:t>
      </w:r>
    </w:p>
    <w:p w14:paraId="14303B24">
      <w:pPr>
        <w:autoSpaceDE w:val="0"/>
        <w:autoSpaceDN w:val="0"/>
        <w:adjustRightInd w:val="0"/>
        <w:spacing w:line="360" w:lineRule="auto"/>
        <w:ind w:firstLine="480"/>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二、合同组成</w:t>
      </w:r>
    </w:p>
    <w:p w14:paraId="01712B46">
      <w:pPr>
        <w:autoSpaceDE w:val="0"/>
        <w:autoSpaceDN w:val="0"/>
        <w:adjustRightInd w:val="0"/>
        <w:spacing w:line="360" w:lineRule="auto"/>
        <w:ind w:firstLine="480"/>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1.分项报价表；</w:t>
      </w:r>
    </w:p>
    <w:p w14:paraId="42F9AA1C">
      <w:pPr>
        <w:autoSpaceDE w:val="0"/>
        <w:autoSpaceDN w:val="0"/>
        <w:adjustRightInd w:val="0"/>
        <w:spacing w:line="360" w:lineRule="auto"/>
        <w:ind w:firstLine="480"/>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2.技术条款偏离表；</w:t>
      </w:r>
    </w:p>
    <w:p w14:paraId="75D189D8">
      <w:pPr>
        <w:autoSpaceDE w:val="0"/>
        <w:autoSpaceDN w:val="0"/>
        <w:adjustRightInd w:val="0"/>
        <w:spacing w:line="360" w:lineRule="auto"/>
        <w:ind w:firstLine="480"/>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3.其他相关承诺；</w:t>
      </w:r>
    </w:p>
    <w:p w14:paraId="0E272D23">
      <w:pPr>
        <w:autoSpaceDE w:val="0"/>
        <w:autoSpaceDN w:val="0"/>
        <w:adjustRightInd w:val="0"/>
        <w:spacing w:line="360" w:lineRule="auto"/>
        <w:ind w:firstLine="480"/>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4.成交通知书（交采购人）；</w:t>
      </w:r>
    </w:p>
    <w:p w14:paraId="49B77FFE">
      <w:pPr>
        <w:autoSpaceDE w:val="0"/>
        <w:autoSpaceDN w:val="0"/>
        <w:adjustRightInd w:val="0"/>
        <w:spacing w:line="360" w:lineRule="auto"/>
        <w:ind w:firstLine="480"/>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5.履约保证金证明材料；</w:t>
      </w:r>
    </w:p>
    <w:p w14:paraId="270CC170">
      <w:pPr>
        <w:autoSpaceDE w:val="0"/>
        <w:autoSpaceDN w:val="0"/>
        <w:adjustRightInd w:val="0"/>
        <w:spacing w:line="360" w:lineRule="auto"/>
        <w:ind w:firstLine="480"/>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6.磋商文件中规定的政府采购合同通用条款；</w:t>
      </w:r>
    </w:p>
    <w:p w14:paraId="3225F082">
      <w:pPr>
        <w:autoSpaceDE w:val="0"/>
        <w:autoSpaceDN w:val="0"/>
        <w:adjustRightInd w:val="0"/>
        <w:spacing w:line="360" w:lineRule="auto"/>
        <w:ind w:firstLine="480"/>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zh-CN"/>
        </w:rPr>
        <w:t>三、合同标的及金额                                  单位：元</w:t>
      </w:r>
    </w:p>
    <w:tbl>
      <w:tblPr>
        <w:tblStyle w:val="44"/>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791C03CD">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1BC0BEE1">
            <w:pPr>
              <w:autoSpaceDE w:val="0"/>
              <w:autoSpaceDN w:val="0"/>
              <w:spacing w:line="360" w:lineRule="auto"/>
              <w:jc w:val="center"/>
              <w:outlineLvl w:val="9"/>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14:paraId="50A4AB34">
            <w:pPr>
              <w:autoSpaceDE w:val="0"/>
              <w:autoSpaceDN w:val="0"/>
              <w:spacing w:line="360" w:lineRule="auto"/>
              <w:jc w:val="center"/>
              <w:outlineLvl w:val="9"/>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14:paraId="24ADB092">
            <w:pPr>
              <w:autoSpaceDE w:val="0"/>
              <w:autoSpaceDN w:val="0"/>
              <w:spacing w:line="360" w:lineRule="auto"/>
              <w:jc w:val="center"/>
              <w:outlineLvl w:val="9"/>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14:paraId="4D08959F">
            <w:pPr>
              <w:autoSpaceDE w:val="0"/>
              <w:autoSpaceDN w:val="0"/>
              <w:spacing w:line="360" w:lineRule="auto"/>
              <w:jc w:val="center"/>
              <w:outlineLvl w:val="9"/>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6FE6FBD9">
            <w:pPr>
              <w:autoSpaceDE w:val="0"/>
              <w:autoSpaceDN w:val="0"/>
              <w:spacing w:line="360" w:lineRule="auto"/>
              <w:jc w:val="center"/>
              <w:outlineLvl w:val="9"/>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4CD0D351">
            <w:pPr>
              <w:autoSpaceDE w:val="0"/>
              <w:autoSpaceDN w:val="0"/>
              <w:spacing w:line="360" w:lineRule="auto"/>
              <w:jc w:val="center"/>
              <w:outlineLvl w:val="9"/>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411032F3">
            <w:pPr>
              <w:autoSpaceDE w:val="0"/>
              <w:autoSpaceDN w:val="0"/>
              <w:spacing w:line="360" w:lineRule="auto"/>
              <w:jc w:val="center"/>
              <w:outlineLvl w:val="9"/>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备注</w:t>
            </w:r>
          </w:p>
        </w:tc>
      </w:tr>
      <w:tr w14:paraId="5E7BA067">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3513758E">
            <w:pPr>
              <w:autoSpaceDE w:val="0"/>
              <w:autoSpaceDN w:val="0"/>
              <w:spacing w:line="360" w:lineRule="auto"/>
              <w:jc w:val="center"/>
              <w:outlineLvl w:val="9"/>
              <w:rPr>
                <w:rFonts w:hint="eastAsia" w:ascii="宋体" w:hAnsi="宋体" w:eastAsia="宋体" w:cs="宋体"/>
                <w:color w:val="auto"/>
                <w:kern w:val="0"/>
                <w:highlight w:val="none"/>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5C7924E4">
            <w:pPr>
              <w:autoSpaceDE w:val="0"/>
              <w:autoSpaceDN w:val="0"/>
              <w:spacing w:line="360" w:lineRule="auto"/>
              <w:jc w:val="center"/>
              <w:outlineLvl w:val="9"/>
              <w:rPr>
                <w:rFonts w:hint="eastAsia" w:ascii="宋体" w:hAnsi="宋体" w:eastAsia="宋体" w:cs="宋体"/>
                <w:color w:val="auto"/>
                <w:kern w:val="0"/>
                <w:highlight w:val="none"/>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644D592F">
            <w:pPr>
              <w:autoSpaceDE w:val="0"/>
              <w:autoSpaceDN w:val="0"/>
              <w:spacing w:line="360" w:lineRule="auto"/>
              <w:jc w:val="center"/>
              <w:outlineLvl w:val="9"/>
              <w:rPr>
                <w:rFonts w:hint="eastAsia" w:ascii="宋体" w:hAnsi="宋体" w:eastAsia="宋体" w:cs="宋体"/>
                <w:color w:val="auto"/>
                <w:kern w:val="0"/>
                <w:highlight w:val="none"/>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4B1BE55C">
            <w:pPr>
              <w:autoSpaceDE w:val="0"/>
              <w:autoSpaceDN w:val="0"/>
              <w:spacing w:line="360" w:lineRule="auto"/>
              <w:jc w:val="center"/>
              <w:outlineLvl w:val="9"/>
              <w:rPr>
                <w:rFonts w:hint="eastAsia" w:ascii="宋体" w:hAnsi="宋体" w:eastAsia="宋体" w:cs="宋体"/>
                <w:color w:val="auto"/>
                <w:kern w:val="0"/>
                <w:highlight w:val="none"/>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4E5E396E">
            <w:pPr>
              <w:autoSpaceDE w:val="0"/>
              <w:autoSpaceDN w:val="0"/>
              <w:spacing w:line="360" w:lineRule="auto"/>
              <w:jc w:val="center"/>
              <w:outlineLvl w:val="9"/>
              <w:rPr>
                <w:rFonts w:hint="eastAsia" w:ascii="宋体" w:hAnsi="宋体" w:eastAsia="宋体" w:cs="宋体"/>
                <w:color w:val="auto"/>
                <w:kern w:val="0"/>
                <w:highlight w:val="none"/>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55A4FC43">
            <w:pPr>
              <w:autoSpaceDE w:val="0"/>
              <w:autoSpaceDN w:val="0"/>
              <w:spacing w:line="360" w:lineRule="auto"/>
              <w:jc w:val="center"/>
              <w:outlineLvl w:val="9"/>
              <w:rPr>
                <w:rFonts w:hint="eastAsia" w:ascii="宋体" w:hAnsi="宋体" w:eastAsia="宋体" w:cs="宋体"/>
                <w:color w:val="auto"/>
                <w:kern w:val="0"/>
                <w:highlight w:val="none"/>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5998EEC3">
            <w:pPr>
              <w:autoSpaceDE w:val="0"/>
              <w:autoSpaceDN w:val="0"/>
              <w:spacing w:line="360" w:lineRule="auto"/>
              <w:jc w:val="center"/>
              <w:outlineLvl w:val="9"/>
              <w:rPr>
                <w:rFonts w:hint="eastAsia" w:ascii="宋体" w:hAnsi="宋体" w:eastAsia="宋体" w:cs="宋体"/>
                <w:color w:val="auto"/>
                <w:kern w:val="0"/>
                <w:highlight w:val="none"/>
                <w:lang w:val="zh-CN"/>
              </w:rPr>
            </w:pPr>
          </w:p>
        </w:tc>
      </w:tr>
      <w:tr w14:paraId="7CBFC29E">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1084609E">
            <w:pPr>
              <w:autoSpaceDE w:val="0"/>
              <w:autoSpaceDN w:val="0"/>
              <w:spacing w:line="360" w:lineRule="auto"/>
              <w:jc w:val="center"/>
              <w:outlineLvl w:val="9"/>
              <w:rPr>
                <w:rFonts w:hint="eastAsia" w:ascii="宋体" w:hAnsi="宋体" w:eastAsia="宋体" w:cs="宋体"/>
                <w:color w:val="auto"/>
                <w:kern w:val="0"/>
                <w:highlight w:val="none"/>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2FEAA4ED">
            <w:pPr>
              <w:autoSpaceDE w:val="0"/>
              <w:autoSpaceDN w:val="0"/>
              <w:spacing w:line="360" w:lineRule="auto"/>
              <w:jc w:val="center"/>
              <w:outlineLvl w:val="9"/>
              <w:rPr>
                <w:rFonts w:hint="eastAsia" w:ascii="宋体" w:hAnsi="宋体" w:eastAsia="宋体" w:cs="宋体"/>
                <w:color w:val="auto"/>
                <w:kern w:val="0"/>
                <w:highlight w:val="none"/>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7079627C">
            <w:pPr>
              <w:autoSpaceDE w:val="0"/>
              <w:autoSpaceDN w:val="0"/>
              <w:spacing w:line="360" w:lineRule="auto"/>
              <w:jc w:val="center"/>
              <w:outlineLvl w:val="9"/>
              <w:rPr>
                <w:rFonts w:hint="eastAsia" w:ascii="宋体" w:hAnsi="宋体" w:eastAsia="宋体" w:cs="宋体"/>
                <w:color w:val="auto"/>
                <w:kern w:val="0"/>
                <w:highlight w:val="none"/>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5D6DE1E5">
            <w:pPr>
              <w:autoSpaceDE w:val="0"/>
              <w:autoSpaceDN w:val="0"/>
              <w:spacing w:line="360" w:lineRule="auto"/>
              <w:jc w:val="center"/>
              <w:outlineLvl w:val="9"/>
              <w:rPr>
                <w:rFonts w:hint="eastAsia" w:ascii="宋体" w:hAnsi="宋体" w:eastAsia="宋体" w:cs="宋体"/>
                <w:color w:val="auto"/>
                <w:kern w:val="0"/>
                <w:highlight w:val="none"/>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5373E592">
            <w:pPr>
              <w:autoSpaceDE w:val="0"/>
              <w:autoSpaceDN w:val="0"/>
              <w:spacing w:line="360" w:lineRule="auto"/>
              <w:jc w:val="center"/>
              <w:outlineLvl w:val="9"/>
              <w:rPr>
                <w:rFonts w:hint="eastAsia" w:ascii="宋体" w:hAnsi="宋体" w:eastAsia="宋体" w:cs="宋体"/>
                <w:color w:val="auto"/>
                <w:kern w:val="0"/>
                <w:highlight w:val="none"/>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4E0583A6">
            <w:pPr>
              <w:autoSpaceDE w:val="0"/>
              <w:autoSpaceDN w:val="0"/>
              <w:spacing w:line="360" w:lineRule="auto"/>
              <w:jc w:val="center"/>
              <w:outlineLvl w:val="9"/>
              <w:rPr>
                <w:rFonts w:hint="eastAsia" w:ascii="宋体" w:hAnsi="宋体" w:eastAsia="宋体" w:cs="宋体"/>
                <w:color w:val="auto"/>
                <w:kern w:val="0"/>
                <w:highlight w:val="none"/>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506C4976">
            <w:pPr>
              <w:autoSpaceDE w:val="0"/>
              <w:autoSpaceDN w:val="0"/>
              <w:spacing w:line="360" w:lineRule="auto"/>
              <w:jc w:val="center"/>
              <w:outlineLvl w:val="9"/>
              <w:rPr>
                <w:rFonts w:hint="eastAsia" w:ascii="宋体" w:hAnsi="宋体" w:eastAsia="宋体" w:cs="宋体"/>
                <w:color w:val="auto"/>
                <w:kern w:val="0"/>
                <w:highlight w:val="none"/>
                <w:lang w:val="zh-CN"/>
              </w:rPr>
            </w:pPr>
          </w:p>
        </w:tc>
      </w:tr>
    </w:tbl>
    <w:p w14:paraId="6A407B4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根据上述政府采购合同文件要求，本政府采购合同的总金额为人民币</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 xml:space="preserve"> 。</w:t>
      </w:r>
    </w:p>
    <w:p w14:paraId="397B49A1">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zh-CN"/>
        </w:rPr>
        <w:t>本合同以人民币进行结算，合同总价包括：</w:t>
      </w:r>
      <w:r>
        <w:rPr>
          <w:rFonts w:hint="eastAsia" w:ascii="宋体" w:hAnsi="宋体" w:cs="宋体"/>
          <w:color w:val="auto"/>
          <w:highlight w:val="none"/>
          <w:lang w:val="zh-CN"/>
        </w:rPr>
        <w:t>产品费、验收费、手续费、包装费、运输费、保险费、安装费、调试费、培训费、售前、售中、售后服务费、招标代理服务费、税金及不可预见费等全部费用</w:t>
      </w:r>
      <w:r>
        <w:rPr>
          <w:rFonts w:hint="eastAsia" w:ascii="宋体" w:hAnsi="宋体" w:eastAsia="宋体" w:cs="宋体"/>
          <w:color w:val="auto"/>
          <w:highlight w:val="none"/>
          <w:lang w:val="en-US" w:eastAsia="zh-CN"/>
        </w:rPr>
        <w:t>。</w:t>
      </w:r>
    </w:p>
    <w:p w14:paraId="0F454A64">
      <w:pPr>
        <w:keepNext w:val="0"/>
        <w:keepLines w:val="0"/>
        <w:pageBreakBefore w:val="0"/>
        <w:widowControl/>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zh-CN"/>
        </w:rPr>
        <w:t>四、交付时间、地点和要求</w:t>
      </w:r>
    </w:p>
    <w:p w14:paraId="281A9A9C">
      <w:pPr>
        <w:keepNext w:val="0"/>
        <w:keepLines w:val="0"/>
        <w:pageBreakBefore w:val="0"/>
        <w:widowControl/>
        <w:kinsoku/>
        <w:wordWrap/>
        <w:overflowPunct/>
        <w:topLinePunct w:val="0"/>
        <w:autoSpaceDE w:val="0"/>
        <w:autoSpaceDN w:val="0"/>
        <w:bidi w:val="0"/>
        <w:adjustRightInd w:val="0"/>
        <w:snapToGrid/>
        <w:spacing w:line="400" w:lineRule="exact"/>
        <w:ind w:firstLine="360"/>
        <w:textAlignment w:val="auto"/>
        <w:outlineLvl w:val="9"/>
        <w:rPr>
          <w:rFonts w:hint="eastAsia" w:ascii="宋体" w:hAnsi="宋体" w:eastAsia="宋体" w:cs="宋体"/>
          <w:color w:val="auto"/>
          <w:highlight w:val="none"/>
          <w:lang w:val="zh-CN"/>
        </w:rPr>
      </w:pPr>
      <w:r>
        <w:rPr>
          <w:rFonts w:hint="eastAsia" w:ascii="宋体" w:hAnsi="宋体" w:eastAsia="宋体" w:cs="宋体"/>
          <w:color w:val="auto"/>
          <w:highlight w:val="none"/>
        </w:rPr>
        <w:t>1.</w:t>
      </w:r>
      <w:r>
        <w:rPr>
          <w:rFonts w:hint="eastAsia" w:ascii="宋体" w:hAnsi="宋体" w:eastAsia="宋体" w:cs="宋体"/>
          <w:color w:val="auto"/>
          <w:highlight w:val="none"/>
          <w:lang w:val="zh-CN"/>
        </w:rPr>
        <w:t xml:space="preserve">服务期限： 20个工作日     </w:t>
      </w:r>
    </w:p>
    <w:p w14:paraId="50144C1E">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服务地点：          </w:t>
      </w:r>
    </w:p>
    <w:p w14:paraId="6EF0090B">
      <w:pPr>
        <w:keepNext w:val="0"/>
        <w:keepLines w:val="0"/>
        <w:pageBreakBefore w:val="0"/>
        <w:widowControl/>
        <w:kinsoku/>
        <w:wordWrap/>
        <w:overflowPunct/>
        <w:topLinePunct w:val="0"/>
        <w:autoSpaceDE w:val="0"/>
        <w:autoSpaceDN w:val="0"/>
        <w:bidi w:val="0"/>
        <w:adjustRightInd w:val="0"/>
        <w:snapToGrid/>
        <w:spacing w:line="400" w:lineRule="exact"/>
        <w:ind w:firstLine="36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乙方提供不符合招响应文件和本合同规定的服务，甲方有权拒绝接受。</w:t>
      </w:r>
    </w:p>
    <w:p w14:paraId="1D81F25D">
      <w:pPr>
        <w:keepNext w:val="0"/>
        <w:keepLines w:val="0"/>
        <w:pageBreakBefore w:val="0"/>
        <w:widowControl/>
        <w:kinsoku/>
        <w:wordWrap/>
        <w:overflowPunct/>
        <w:topLinePunct w:val="0"/>
        <w:autoSpaceDE w:val="0"/>
        <w:autoSpaceDN w:val="0"/>
        <w:bidi w:val="0"/>
        <w:adjustRightInd w:val="0"/>
        <w:snapToGrid/>
        <w:spacing w:line="400" w:lineRule="exact"/>
        <w:ind w:firstLine="36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zh-CN"/>
        </w:rPr>
        <w:t>乙方应将提供服务品的清单、资料、工具和备品、备件等交付给甲方，如有缺失应及时补齐，否则视为逾期服务。</w:t>
      </w:r>
    </w:p>
    <w:p w14:paraId="79202E0E">
      <w:pPr>
        <w:keepNext w:val="0"/>
        <w:keepLines w:val="0"/>
        <w:pageBreakBefore w:val="0"/>
        <w:widowControl/>
        <w:kinsoku/>
        <w:wordWrap/>
        <w:overflowPunct/>
        <w:topLinePunct w:val="0"/>
        <w:autoSpaceDE w:val="0"/>
        <w:autoSpaceDN w:val="0"/>
        <w:bidi w:val="0"/>
        <w:adjustRightInd w:val="0"/>
        <w:snapToGrid/>
        <w:spacing w:line="400" w:lineRule="exact"/>
        <w:ind w:firstLine="36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zh-CN"/>
        </w:rPr>
        <w:t>甲方应当在服务完成后</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zh-CN"/>
        </w:rPr>
        <w:t>个工作日内进行验收，逾期不验收的，乙方可视为验收合格。验收合格后，由甲乙双方签署产品验收单并加盖采购人公章，甲乙双方各执一份。</w:t>
      </w:r>
    </w:p>
    <w:p w14:paraId="5A8F2775">
      <w:pPr>
        <w:keepNext w:val="0"/>
        <w:keepLines w:val="0"/>
        <w:pageBreakBefore w:val="0"/>
        <w:widowControl/>
        <w:kinsoku/>
        <w:wordWrap/>
        <w:overflowPunct/>
        <w:topLinePunct w:val="0"/>
        <w:autoSpaceDE w:val="0"/>
        <w:autoSpaceDN w:val="0"/>
        <w:bidi w:val="0"/>
        <w:adjustRightInd w:val="0"/>
        <w:snapToGrid/>
        <w:spacing w:line="400" w:lineRule="exact"/>
        <w:ind w:firstLine="36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val="zh-CN"/>
        </w:rPr>
        <w:t xml:space="preserve"> 甲方应提供该项目验收报告交同级财政监管部门，由财政部门按规定程序抽验后办理资金拨付。</w:t>
      </w:r>
    </w:p>
    <w:p w14:paraId="52C14684">
      <w:pPr>
        <w:keepNext w:val="0"/>
        <w:keepLines w:val="0"/>
        <w:pageBreakBefore w:val="0"/>
        <w:widowControl/>
        <w:kinsoku/>
        <w:wordWrap/>
        <w:overflowPunct/>
        <w:topLinePunct w:val="0"/>
        <w:autoSpaceDE w:val="0"/>
        <w:autoSpaceDN w:val="0"/>
        <w:bidi w:val="0"/>
        <w:adjustRightInd w:val="0"/>
        <w:snapToGrid/>
        <w:spacing w:line="400" w:lineRule="exact"/>
        <w:ind w:firstLine="36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val="zh-CN"/>
        </w:rPr>
        <w:t xml:space="preserve"> 甲方在验收过程中发现乙方有违约问题，可按招、响应文件的规定要求乙方及时予以解决。</w:t>
      </w:r>
    </w:p>
    <w:p w14:paraId="7732725B">
      <w:pPr>
        <w:keepNext w:val="0"/>
        <w:keepLines w:val="0"/>
        <w:pageBreakBefore w:val="0"/>
        <w:widowControl/>
        <w:kinsoku/>
        <w:wordWrap/>
        <w:overflowPunct/>
        <w:topLinePunct w:val="0"/>
        <w:autoSpaceDE w:val="0"/>
        <w:autoSpaceDN w:val="0"/>
        <w:bidi w:val="0"/>
        <w:adjustRightInd w:val="0"/>
        <w:snapToGrid/>
        <w:spacing w:line="400" w:lineRule="exact"/>
        <w:ind w:firstLine="240" w:firstLineChars="1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val="zh-CN"/>
        </w:rPr>
        <w:t>乙方向甲方提供产品相关完税销售发票。</w:t>
      </w:r>
    </w:p>
    <w:p w14:paraId="09882864">
      <w:pPr>
        <w:keepNext w:val="0"/>
        <w:keepLines w:val="0"/>
        <w:pageBreakBefore w:val="0"/>
        <w:widowControl/>
        <w:kinsoku/>
        <w:wordWrap/>
        <w:overflowPunct/>
        <w:topLinePunct w:val="0"/>
        <w:autoSpaceDE w:val="0"/>
        <w:autoSpaceDN w:val="0"/>
        <w:bidi w:val="0"/>
        <w:adjustRightInd w:val="0"/>
        <w:snapToGrid/>
        <w:spacing w:line="400" w:lineRule="exact"/>
        <w:ind w:firstLine="240" w:firstLineChars="100"/>
        <w:textAlignment w:val="auto"/>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五、付款方式：</w:t>
      </w:r>
    </w:p>
    <w:p w14:paraId="606A3BB8">
      <w:pPr>
        <w:autoSpaceDE w:val="0"/>
        <w:autoSpaceDN w:val="0"/>
        <w:spacing w:line="360" w:lineRule="auto"/>
        <w:ind w:firstLine="480" w:firstLineChars="200"/>
        <w:rPr>
          <w:rFonts w:hint="eastAsia" w:ascii="宋体" w:hAnsi="宋体" w:eastAsia="宋体" w:cs="宋体"/>
          <w:color w:val="auto"/>
          <w:kern w:val="0"/>
          <w:lang w:eastAsia="zh-CN"/>
        </w:rPr>
      </w:pPr>
      <w:r>
        <w:rPr>
          <w:rFonts w:hint="eastAsia" w:ascii="宋体" w:hAnsi="宋体" w:eastAsia="宋体" w:cs="宋体"/>
          <w:color w:val="auto"/>
          <w:kern w:val="0"/>
          <w:lang w:eastAsia="zh-CN"/>
        </w:rPr>
        <w:t>签订合同前供应商缴纳合同金额的10%到天峻县教育局账户</w:t>
      </w:r>
      <w:r>
        <w:rPr>
          <w:rFonts w:hint="eastAsia" w:ascii="宋体" w:hAnsi="宋体" w:eastAsia="宋体" w:cs="宋体"/>
          <w:color w:val="auto"/>
          <w:kern w:val="0"/>
          <w:lang w:val="en-US" w:eastAsia="zh-CN"/>
        </w:rPr>
        <w:t>为履约保证金</w:t>
      </w:r>
      <w:r>
        <w:rPr>
          <w:rFonts w:hint="eastAsia" w:ascii="宋体" w:hAnsi="宋体" w:eastAsia="宋体" w:cs="宋体"/>
          <w:color w:val="auto"/>
          <w:kern w:val="0"/>
          <w:lang w:eastAsia="zh-CN"/>
        </w:rPr>
        <w:t>，签订合同后</w:t>
      </w:r>
      <w:r>
        <w:rPr>
          <w:rFonts w:hint="eastAsia" w:ascii="宋体" w:hAnsi="宋体" w:eastAsia="宋体" w:cs="宋体"/>
          <w:color w:val="auto"/>
          <w:kern w:val="0"/>
          <w:lang w:val="en-US" w:eastAsia="zh-CN"/>
        </w:rPr>
        <w:t>采购人</w:t>
      </w:r>
      <w:r>
        <w:rPr>
          <w:rFonts w:hint="eastAsia" w:ascii="宋体" w:hAnsi="宋体" w:eastAsia="宋体" w:cs="宋体"/>
          <w:color w:val="auto"/>
          <w:kern w:val="0"/>
          <w:lang w:eastAsia="zh-CN"/>
        </w:rPr>
        <w:t>支付合同金额的30%，验收合格后</w:t>
      </w:r>
      <w:r>
        <w:rPr>
          <w:rFonts w:hint="eastAsia" w:ascii="宋体" w:hAnsi="宋体" w:eastAsia="宋体" w:cs="宋体"/>
          <w:color w:val="auto"/>
          <w:kern w:val="0"/>
          <w:lang w:val="en-US" w:eastAsia="zh-CN"/>
        </w:rPr>
        <w:t>采购人</w:t>
      </w:r>
      <w:r>
        <w:rPr>
          <w:rFonts w:hint="eastAsia" w:ascii="宋体" w:hAnsi="宋体" w:eastAsia="宋体" w:cs="宋体"/>
          <w:color w:val="auto"/>
          <w:kern w:val="0"/>
          <w:lang w:eastAsia="zh-CN"/>
        </w:rPr>
        <w:t>支付合同金额的67%并退还履约保证金，剩余合同金额的3%为质保金，质保期2年。</w:t>
      </w:r>
    </w:p>
    <w:p w14:paraId="76967FF6">
      <w:pPr>
        <w:keepNext w:val="0"/>
        <w:keepLines w:val="0"/>
        <w:pageBreakBefore w:val="0"/>
        <w:widowControl/>
        <w:kinsoku/>
        <w:wordWrap/>
        <w:overflowPunct/>
        <w:topLinePunct w:val="0"/>
        <w:autoSpaceDE w:val="0"/>
        <w:autoSpaceDN w:val="0"/>
        <w:bidi w:val="0"/>
        <w:adjustRightInd w:val="0"/>
        <w:snapToGrid/>
        <w:spacing w:line="400" w:lineRule="exact"/>
        <w:ind w:firstLine="240" w:firstLineChars="100"/>
        <w:textAlignment w:val="auto"/>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六、合同的变更、终止与转让</w:t>
      </w:r>
    </w:p>
    <w:p w14:paraId="54D17B0E">
      <w:pPr>
        <w:keepNext w:val="0"/>
        <w:keepLines w:val="0"/>
        <w:pageBreakBefore w:val="0"/>
        <w:widowControl/>
        <w:kinsoku/>
        <w:wordWrap/>
        <w:overflowPunct/>
        <w:topLinePunct w:val="0"/>
        <w:autoSpaceDE w:val="0"/>
        <w:autoSpaceDN w:val="0"/>
        <w:bidi w:val="0"/>
        <w:adjustRightInd w:val="0"/>
        <w:snapToGrid/>
        <w:spacing w:line="400" w:lineRule="exact"/>
        <w:ind w:firstLine="240" w:firstLineChars="1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zh-CN"/>
        </w:rPr>
        <w:t>除《中华人民共和国政府采购法》第</w:t>
      </w:r>
      <w:r>
        <w:rPr>
          <w:rFonts w:hint="eastAsia" w:ascii="宋体" w:hAnsi="宋体" w:eastAsia="宋体" w:cs="宋体"/>
          <w:color w:val="auto"/>
          <w:highlight w:val="none"/>
        </w:rPr>
        <w:t>50</w:t>
      </w:r>
      <w:r>
        <w:rPr>
          <w:rFonts w:hint="eastAsia" w:ascii="宋体" w:hAnsi="宋体" w:eastAsia="宋体" w:cs="宋体"/>
          <w:color w:val="auto"/>
          <w:highlight w:val="none"/>
          <w:lang w:val="zh-CN"/>
        </w:rPr>
        <w:t>条规定的情形外，本合同一经签订，甲乙双方不得擅自变更、中止或终止。</w:t>
      </w:r>
    </w:p>
    <w:p w14:paraId="6EF84727">
      <w:pPr>
        <w:keepNext w:val="0"/>
        <w:keepLines w:val="0"/>
        <w:pageBreakBefore w:val="0"/>
        <w:widowControl/>
        <w:kinsoku/>
        <w:wordWrap/>
        <w:overflowPunct/>
        <w:topLinePunct w:val="0"/>
        <w:autoSpaceDE w:val="0"/>
        <w:autoSpaceDN w:val="0"/>
        <w:bidi w:val="0"/>
        <w:adjustRightInd w:val="0"/>
        <w:snapToGrid/>
        <w:spacing w:line="400" w:lineRule="exact"/>
        <w:ind w:firstLine="240" w:firstLineChars="1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乙方不得擅自转让其应履行的合同义务。</w:t>
      </w:r>
    </w:p>
    <w:p w14:paraId="072C5569">
      <w:pPr>
        <w:keepNext w:val="0"/>
        <w:keepLines w:val="0"/>
        <w:pageBreakBefore w:val="0"/>
        <w:widowControl/>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zh-CN"/>
        </w:rPr>
        <w:t>七、违约责任</w:t>
      </w:r>
    </w:p>
    <w:p w14:paraId="675465C0">
      <w:pPr>
        <w:keepNext w:val="0"/>
        <w:keepLines w:val="0"/>
        <w:pageBreakBefore w:val="0"/>
        <w:widowControl/>
        <w:kinsoku/>
        <w:wordWrap/>
        <w:overflowPunct/>
        <w:topLinePunct w:val="0"/>
        <w:autoSpaceDE w:val="0"/>
        <w:autoSpaceDN w:val="0"/>
        <w:bidi w:val="0"/>
        <w:adjustRightInd w:val="0"/>
        <w:snapToGrid/>
        <w:spacing w:line="400" w:lineRule="exact"/>
        <w:ind w:firstLine="36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5962ACF5">
      <w:pPr>
        <w:keepNext w:val="0"/>
        <w:keepLines w:val="0"/>
        <w:pageBreakBefore w:val="0"/>
        <w:widowControl/>
        <w:kinsoku/>
        <w:wordWrap/>
        <w:overflowPunct/>
        <w:topLinePunct w:val="0"/>
        <w:autoSpaceDE w:val="0"/>
        <w:autoSpaceDN w:val="0"/>
        <w:bidi w:val="0"/>
        <w:adjustRightInd w:val="0"/>
        <w:snapToGrid/>
        <w:spacing w:line="400" w:lineRule="exact"/>
        <w:ind w:firstLine="36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乙方提供的货物如侵犯了第三方权益而引发纠纷或诉讼的，均由乙方负责交涉并承担全部责任。</w:t>
      </w:r>
    </w:p>
    <w:p w14:paraId="13E764B1">
      <w:pPr>
        <w:keepNext w:val="0"/>
        <w:keepLines w:val="0"/>
        <w:pageBreakBefore w:val="0"/>
        <w:widowControl/>
        <w:kinsoku/>
        <w:wordWrap/>
        <w:overflowPunct/>
        <w:topLinePunct w:val="0"/>
        <w:autoSpaceDE w:val="0"/>
        <w:autoSpaceDN w:val="0"/>
        <w:bidi w:val="0"/>
        <w:adjustRightInd w:val="0"/>
        <w:snapToGrid/>
        <w:spacing w:line="400" w:lineRule="exact"/>
        <w:ind w:firstLine="36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zh-CN"/>
        </w:rPr>
        <w:t>因包装、运输引起的货物损坏，按质量不合格处罚。</w:t>
      </w:r>
    </w:p>
    <w:p w14:paraId="3469C077">
      <w:pPr>
        <w:keepNext w:val="0"/>
        <w:keepLines w:val="0"/>
        <w:pageBreakBefore w:val="0"/>
        <w:widowControl/>
        <w:kinsoku/>
        <w:wordWrap/>
        <w:overflowPunct/>
        <w:topLinePunct w:val="0"/>
        <w:autoSpaceDE w:val="0"/>
        <w:autoSpaceDN w:val="0"/>
        <w:bidi w:val="0"/>
        <w:adjustRightInd w:val="0"/>
        <w:snapToGrid/>
        <w:spacing w:line="400" w:lineRule="exact"/>
        <w:ind w:firstLine="36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zh-CN"/>
        </w:rPr>
        <w:t>甲方无故延期接受货物和乙方逾期交货的，每天应向对方偿付未交货物的货款</w:t>
      </w:r>
      <w:r>
        <w:rPr>
          <w:rFonts w:hint="eastAsia" w:ascii="宋体" w:hAnsi="宋体" w:eastAsia="宋体" w:cs="宋体"/>
          <w:color w:val="auto"/>
          <w:highlight w:val="none"/>
        </w:rPr>
        <w:t>3</w:t>
      </w:r>
      <w:r>
        <w:rPr>
          <w:rFonts w:hint="eastAsia" w:ascii="宋体" w:hAnsi="宋体" w:eastAsia="宋体" w:cs="宋体"/>
          <w:color w:val="auto"/>
          <w:highlight w:val="none"/>
          <w:lang w:val="zh-CN"/>
        </w:rPr>
        <w:t>%的违约金，但违约金累计不得超过违约货款的</w:t>
      </w:r>
      <w:r>
        <w:rPr>
          <w:rFonts w:hint="eastAsia" w:ascii="宋体" w:hAnsi="宋体" w:eastAsia="宋体" w:cs="宋体"/>
          <w:color w:val="auto"/>
          <w:highlight w:val="none"/>
        </w:rPr>
        <w:t>5%</w:t>
      </w:r>
      <w:r>
        <w:rPr>
          <w:rFonts w:hint="eastAsia" w:ascii="宋体" w:hAnsi="宋体" w:eastAsia="宋体" w:cs="宋体"/>
          <w:color w:val="auto"/>
          <w:highlight w:val="none"/>
          <w:lang w:val="zh-CN"/>
        </w:rPr>
        <w:t>，超过</w:t>
      </w:r>
      <w:r>
        <w:rPr>
          <w:rFonts w:hint="eastAsia" w:ascii="宋体" w:hAnsi="宋体" w:eastAsia="宋体" w:cs="宋体"/>
          <w:color w:val="auto"/>
          <w:highlight w:val="none"/>
          <w:u w:val="single"/>
        </w:rPr>
        <w:t xml:space="preserve"> 30 </w:t>
      </w:r>
      <w:r>
        <w:rPr>
          <w:rFonts w:hint="eastAsia" w:ascii="宋体" w:hAnsi="宋体" w:eastAsia="宋体" w:cs="宋体"/>
          <w:color w:val="auto"/>
          <w:highlight w:val="none"/>
          <w:lang w:val="zh-CN"/>
        </w:rPr>
        <w:t>天对方有权解除合同，违约方承担因此给对方造成的经济损失</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w:t>
      </w:r>
    </w:p>
    <w:p w14:paraId="4D0FE3AB">
      <w:pPr>
        <w:keepNext w:val="0"/>
        <w:keepLines w:val="0"/>
        <w:pageBreakBefore w:val="0"/>
        <w:widowControl/>
        <w:kinsoku/>
        <w:wordWrap/>
        <w:overflowPunct/>
        <w:topLinePunct w:val="0"/>
        <w:autoSpaceDE w:val="0"/>
        <w:autoSpaceDN w:val="0"/>
        <w:bidi w:val="0"/>
        <w:adjustRightInd w:val="0"/>
        <w:snapToGrid/>
        <w:spacing w:line="400" w:lineRule="exact"/>
        <w:ind w:firstLine="36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val="zh-CN"/>
        </w:rPr>
        <w:t>乙方未按本合同和响应文件中规定的服务承诺提供售后服务的，乙方应按本合同合计金额的</w:t>
      </w:r>
      <w:r>
        <w:rPr>
          <w:rFonts w:hint="eastAsia" w:ascii="宋体" w:hAnsi="宋体" w:eastAsia="宋体" w:cs="宋体"/>
          <w:color w:val="auto"/>
          <w:highlight w:val="none"/>
        </w:rPr>
        <w:t>5%</w:t>
      </w:r>
      <w:r>
        <w:rPr>
          <w:rFonts w:hint="eastAsia" w:ascii="宋体" w:hAnsi="宋体" w:eastAsia="宋体" w:cs="宋体"/>
          <w:color w:val="auto"/>
          <w:highlight w:val="none"/>
          <w:lang w:val="zh-CN"/>
        </w:rPr>
        <w:t>向甲方支付违约金。</w:t>
      </w:r>
    </w:p>
    <w:p w14:paraId="4208FBF1">
      <w:pPr>
        <w:keepNext w:val="0"/>
        <w:keepLines w:val="0"/>
        <w:pageBreakBefore w:val="0"/>
        <w:widowControl/>
        <w:kinsoku/>
        <w:wordWrap/>
        <w:overflowPunct/>
        <w:topLinePunct w:val="0"/>
        <w:autoSpaceDE w:val="0"/>
        <w:autoSpaceDN w:val="0"/>
        <w:bidi w:val="0"/>
        <w:adjustRightInd w:val="0"/>
        <w:snapToGrid/>
        <w:spacing w:line="400" w:lineRule="exact"/>
        <w:ind w:firstLine="36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val="zh-CN"/>
        </w:rPr>
        <w:t>乙方提供的货物在质量保证期内，因设计、工艺或材料的缺陷和其它质量原因造成的问题，由乙方负责，费用从合同款中扣除，不足另补。</w:t>
      </w:r>
    </w:p>
    <w:p w14:paraId="6F0FF197">
      <w:pPr>
        <w:keepNext w:val="0"/>
        <w:keepLines w:val="0"/>
        <w:pageBreakBefore w:val="0"/>
        <w:widowControl/>
        <w:kinsoku/>
        <w:wordWrap/>
        <w:overflowPunct/>
        <w:topLinePunct w:val="0"/>
        <w:autoSpaceDE w:val="0"/>
        <w:autoSpaceDN w:val="0"/>
        <w:bidi w:val="0"/>
        <w:adjustRightInd w:val="0"/>
        <w:snapToGrid/>
        <w:spacing w:line="400" w:lineRule="exact"/>
        <w:ind w:firstLine="36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val="zh-CN"/>
        </w:rPr>
        <w:t>其它违约行为按违约货款额</w:t>
      </w:r>
      <w:r>
        <w:rPr>
          <w:rFonts w:hint="eastAsia" w:ascii="宋体" w:hAnsi="宋体" w:eastAsia="宋体" w:cs="宋体"/>
          <w:color w:val="auto"/>
          <w:highlight w:val="none"/>
        </w:rPr>
        <w:t>5%</w:t>
      </w:r>
      <w:r>
        <w:rPr>
          <w:rFonts w:hint="eastAsia" w:ascii="宋体" w:hAnsi="宋体" w:eastAsia="宋体" w:cs="宋体"/>
          <w:color w:val="auto"/>
          <w:highlight w:val="none"/>
          <w:lang w:val="zh-CN"/>
        </w:rPr>
        <w:t>收取违约金并赔偿经济损失。</w:t>
      </w:r>
    </w:p>
    <w:p w14:paraId="4DD77CA9">
      <w:pPr>
        <w:keepNext w:val="0"/>
        <w:keepLines w:val="0"/>
        <w:pageBreakBefore w:val="0"/>
        <w:widowControl/>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highlight w:val="none"/>
        </w:rPr>
      </w:pPr>
      <w:r>
        <w:rPr>
          <w:rFonts w:hint="eastAsia" w:ascii="宋体" w:hAnsi="宋体" w:cs="宋体"/>
          <w:color w:val="auto"/>
          <w:highlight w:val="none"/>
          <w:lang w:val="zh-CN"/>
        </w:rPr>
        <w:t>十二</w:t>
      </w:r>
      <w:r>
        <w:rPr>
          <w:rFonts w:hint="eastAsia" w:ascii="宋体" w:hAnsi="宋体" w:eastAsia="宋体" w:cs="宋体"/>
          <w:color w:val="auto"/>
          <w:highlight w:val="none"/>
          <w:lang w:val="zh-CN"/>
        </w:rPr>
        <w:t>、不可抗力</w:t>
      </w:r>
    </w:p>
    <w:p w14:paraId="1FC9E475">
      <w:pPr>
        <w:keepNext w:val="0"/>
        <w:keepLines w:val="0"/>
        <w:pageBreakBefore w:val="0"/>
        <w:widowControl/>
        <w:kinsoku/>
        <w:wordWrap/>
        <w:overflowPunct/>
        <w:topLinePunct w:val="0"/>
        <w:autoSpaceDE w:val="0"/>
        <w:autoSpaceDN w:val="0"/>
        <w:bidi w:val="0"/>
        <w:adjustRightInd w:val="0"/>
        <w:snapToGrid/>
        <w:spacing w:line="400" w:lineRule="exact"/>
        <w:ind w:firstLine="36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zh-CN"/>
        </w:rPr>
        <w:t>不可抗力使合同的某些内容有变更必要的，双方应通过协商在</w:t>
      </w:r>
      <w:r>
        <w:rPr>
          <w:rFonts w:hint="eastAsia" w:ascii="宋体" w:hAnsi="宋体" w:eastAsia="宋体" w:cs="宋体"/>
          <w:color w:val="auto"/>
          <w:highlight w:val="none"/>
          <w:u w:val="single"/>
        </w:rPr>
        <w:t xml:space="preserve"> 30 </w:t>
      </w:r>
      <w:r>
        <w:rPr>
          <w:rFonts w:hint="eastAsia" w:ascii="宋体" w:hAnsi="宋体" w:eastAsia="宋体" w:cs="宋体"/>
          <w:color w:val="auto"/>
          <w:highlight w:val="none"/>
          <w:lang w:val="zh-CN"/>
        </w:rPr>
        <w:t>天内达成进一步履行合同的协议，因不可抗力致使合同不能履行的，合同终止。</w:t>
      </w:r>
    </w:p>
    <w:p w14:paraId="34CF88B4">
      <w:pPr>
        <w:keepNext w:val="0"/>
        <w:keepLines w:val="0"/>
        <w:pageBreakBefore w:val="0"/>
        <w:widowControl/>
        <w:kinsoku/>
        <w:wordWrap/>
        <w:overflowPunct/>
        <w:topLinePunct w:val="0"/>
        <w:autoSpaceDE w:val="0"/>
        <w:autoSpaceDN w:val="0"/>
        <w:bidi w:val="0"/>
        <w:adjustRightInd w:val="0"/>
        <w:snapToGrid/>
        <w:spacing w:line="400" w:lineRule="exact"/>
        <w:ind w:firstLine="36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除法律、法规规定的不可抗力情形外，双方约定出现</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lang w:val="zh-CN"/>
        </w:rPr>
        <w:t>情况亦视为不可抗力。</w:t>
      </w:r>
    </w:p>
    <w:p w14:paraId="2BE3DFEA">
      <w:pPr>
        <w:keepNext w:val="0"/>
        <w:keepLines w:val="0"/>
        <w:pageBreakBefore w:val="0"/>
        <w:widowControl/>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zh-CN"/>
        </w:rPr>
        <w:t>九、知识产权：</w:t>
      </w:r>
    </w:p>
    <w:p w14:paraId="26F7BD0A">
      <w:pPr>
        <w:keepNext w:val="0"/>
        <w:keepLines w:val="0"/>
        <w:pageBreakBefore w:val="0"/>
        <w:widowControl/>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zh-CN"/>
        </w:rPr>
        <w:t>十、其他约定：</w:t>
      </w:r>
    </w:p>
    <w:p w14:paraId="5DA89769">
      <w:pPr>
        <w:keepNext w:val="0"/>
        <w:keepLines w:val="0"/>
        <w:pageBreakBefore w:val="0"/>
        <w:widowControl/>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zh-CN"/>
        </w:rPr>
        <w:t>十一、合同争议解决</w:t>
      </w:r>
    </w:p>
    <w:p w14:paraId="03F21903">
      <w:pPr>
        <w:keepNext w:val="0"/>
        <w:keepLines w:val="0"/>
        <w:pageBreakBefore w:val="0"/>
        <w:widowControl/>
        <w:kinsoku/>
        <w:wordWrap/>
        <w:overflowPunct/>
        <w:topLinePunct w:val="0"/>
        <w:autoSpaceDE w:val="0"/>
        <w:autoSpaceDN w:val="0"/>
        <w:bidi w:val="0"/>
        <w:adjustRightInd w:val="0"/>
        <w:snapToGrid/>
        <w:spacing w:line="400" w:lineRule="exact"/>
        <w:ind w:firstLine="36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zh-CN"/>
        </w:rPr>
        <w:t>因产品质量问题发生争议的，应邀请国家认可的质量监测机构进行鉴定。产品符合标准的，鉴定费由甲方承担；产品不符合标准的，鉴定费由乙方承担。</w:t>
      </w:r>
    </w:p>
    <w:p w14:paraId="040F54E1">
      <w:pPr>
        <w:keepNext w:val="0"/>
        <w:keepLines w:val="0"/>
        <w:pageBreakBefore w:val="0"/>
        <w:widowControl/>
        <w:kinsoku/>
        <w:wordWrap/>
        <w:overflowPunct/>
        <w:topLinePunct w:val="0"/>
        <w:autoSpaceDE w:val="0"/>
        <w:autoSpaceDN w:val="0"/>
        <w:bidi w:val="0"/>
        <w:adjustRightInd w:val="0"/>
        <w:snapToGrid/>
        <w:spacing w:line="400" w:lineRule="exact"/>
        <w:ind w:firstLine="36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因履行本合同引起的或与本合同有关的争议，甲乙双方应首先通过友好协商解决，如果协商不能解决，可向</w:t>
      </w:r>
      <w:r>
        <w:rPr>
          <w:rFonts w:hint="eastAsia" w:ascii="宋体" w:hAnsi="宋体" w:eastAsia="宋体" w:cs="宋体"/>
          <w:color w:val="auto"/>
          <w:highlight w:val="none"/>
          <w:u w:val="single"/>
          <w:lang w:val="zh-CN"/>
        </w:rPr>
        <w:t>甲方</w:t>
      </w:r>
      <w:r>
        <w:rPr>
          <w:rFonts w:hint="eastAsia" w:ascii="宋体" w:hAnsi="宋体" w:eastAsia="宋体" w:cs="宋体"/>
          <w:color w:val="auto"/>
          <w:highlight w:val="none"/>
          <w:lang w:val="zh-CN"/>
        </w:rPr>
        <w:t>所在地仲裁委员会申请仲裁或向甲方所在地人民法院提起诉讼。</w:t>
      </w:r>
    </w:p>
    <w:p w14:paraId="78DBE6B5">
      <w:pPr>
        <w:keepNext w:val="0"/>
        <w:keepLines w:val="0"/>
        <w:pageBreakBefore w:val="0"/>
        <w:widowControl/>
        <w:kinsoku/>
        <w:wordWrap/>
        <w:overflowPunct/>
        <w:topLinePunct w:val="0"/>
        <w:autoSpaceDE w:val="0"/>
        <w:autoSpaceDN w:val="0"/>
        <w:bidi w:val="0"/>
        <w:adjustRightInd w:val="0"/>
        <w:snapToGrid/>
        <w:spacing w:line="400" w:lineRule="exact"/>
        <w:ind w:firstLine="36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zh-CN"/>
        </w:rPr>
        <w:t>诉讼期间，本合同继续履行。</w:t>
      </w:r>
    </w:p>
    <w:p w14:paraId="20900725">
      <w:pPr>
        <w:keepNext w:val="0"/>
        <w:keepLines w:val="0"/>
        <w:pageBreakBefore w:val="0"/>
        <w:widowControl/>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zh-CN"/>
        </w:rPr>
        <w:t>十二、合同生效及其它</w:t>
      </w:r>
      <w:r>
        <w:rPr>
          <w:rFonts w:hint="eastAsia" w:ascii="宋体" w:hAnsi="宋体" w:eastAsia="宋体" w:cs="宋体"/>
          <w:color w:val="auto"/>
          <w:highlight w:val="none"/>
        </w:rPr>
        <w:t>：</w:t>
      </w:r>
    </w:p>
    <w:p w14:paraId="221FBBF6">
      <w:pPr>
        <w:keepNext w:val="0"/>
        <w:keepLines w:val="0"/>
        <w:pageBreakBefore w:val="0"/>
        <w:widowControl/>
        <w:kinsoku/>
        <w:wordWrap/>
        <w:overflowPunct/>
        <w:topLinePunct w:val="0"/>
        <w:autoSpaceDE w:val="0"/>
        <w:autoSpaceDN w:val="0"/>
        <w:bidi w:val="0"/>
        <w:adjustRightInd w:val="0"/>
        <w:snapToGrid/>
        <w:spacing w:line="400" w:lineRule="exact"/>
        <w:ind w:firstLine="36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zh-CN"/>
        </w:rPr>
        <w:t>本合同一式</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lang w:val="zh-CN"/>
        </w:rPr>
        <w:t>份，经双方签字，并加盖公章即为生效。</w:t>
      </w:r>
    </w:p>
    <w:p w14:paraId="07433B98">
      <w:pPr>
        <w:keepNext w:val="0"/>
        <w:keepLines w:val="0"/>
        <w:pageBreakBefore w:val="0"/>
        <w:widowControl/>
        <w:kinsoku/>
        <w:wordWrap/>
        <w:overflowPunct/>
        <w:topLinePunct w:val="0"/>
        <w:autoSpaceDE w:val="0"/>
        <w:autoSpaceDN w:val="0"/>
        <w:bidi w:val="0"/>
        <w:adjustRightInd w:val="0"/>
        <w:snapToGrid/>
        <w:spacing w:line="400" w:lineRule="exact"/>
        <w:ind w:firstLine="36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本合同未尽事宜，按合同法有关规定处理。</w:t>
      </w:r>
    </w:p>
    <w:p w14:paraId="37D45B43">
      <w:pPr>
        <w:keepNext w:val="0"/>
        <w:keepLines w:val="0"/>
        <w:pageBreakBefore w:val="0"/>
        <w:widowControl/>
        <w:kinsoku/>
        <w:wordWrap/>
        <w:overflowPunct/>
        <w:topLinePunct w:val="0"/>
        <w:autoSpaceDE w:val="0"/>
        <w:autoSpaceDN w:val="0"/>
        <w:bidi w:val="0"/>
        <w:adjustRightInd w:val="0"/>
        <w:snapToGrid/>
        <w:spacing w:line="400" w:lineRule="exact"/>
        <w:ind w:firstLine="36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zh-CN"/>
        </w:rPr>
        <w:t>本合同的组成包含《合同通用条款》，可自行在青海政府采购网下载《合同通用条款》。</w:t>
      </w:r>
    </w:p>
    <w:p w14:paraId="76EEDFBA">
      <w:pPr>
        <w:keepNext w:val="0"/>
        <w:keepLines w:val="0"/>
        <w:pageBreakBefore w:val="0"/>
        <w:widowControl/>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highlight w:val="none"/>
        </w:rPr>
      </w:pPr>
    </w:p>
    <w:p w14:paraId="04853DCC">
      <w:pPr>
        <w:keepNext w:val="0"/>
        <w:keepLines w:val="0"/>
        <w:pageBreakBefore w:val="0"/>
        <w:widowControl/>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zh-CN"/>
        </w:rPr>
        <w:t>甲方（盖章）：</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乙方（盖章）：</w:t>
      </w:r>
    </w:p>
    <w:p w14:paraId="031A536C">
      <w:pPr>
        <w:keepNext w:val="0"/>
        <w:keepLines w:val="0"/>
        <w:pageBreakBefore w:val="0"/>
        <w:widowControl/>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zh-CN"/>
        </w:rPr>
        <w:t>法定代表人或委托代理人</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法定代表人或委托代理人</w:t>
      </w:r>
      <w:r>
        <w:rPr>
          <w:rFonts w:hint="eastAsia" w:ascii="宋体" w:hAnsi="宋体" w:eastAsia="宋体" w:cs="宋体"/>
          <w:color w:val="auto"/>
          <w:highlight w:val="none"/>
        </w:rPr>
        <w:t>：</w:t>
      </w:r>
    </w:p>
    <w:p w14:paraId="7152762E">
      <w:pPr>
        <w:keepNext w:val="0"/>
        <w:keepLines w:val="0"/>
        <w:pageBreakBefore w:val="0"/>
        <w:widowControl/>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开户银行：</w:t>
      </w:r>
      <w:r>
        <w:rPr>
          <w:rFonts w:hint="eastAsia" w:ascii="宋体" w:hAnsi="宋体" w:eastAsia="宋体" w:cs="宋体"/>
          <w:color w:val="auto"/>
          <w:highlight w:val="none"/>
        </w:rPr>
        <w:t xml:space="preserve">     </w:t>
      </w:r>
    </w:p>
    <w:p w14:paraId="107C68CB">
      <w:pPr>
        <w:keepNext w:val="0"/>
        <w:keepLines w:val="0"/>
        <w:pageBreakBefore w:val="0"/>
        <w:widowControl/>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zh-CN"/>
        </w:rPr>
        <w:t>联系电话：</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账号：</w:t>
      </w:r>
    </w:p>
    <w:p w14:paraId="6C76F7FF">
      <w:pPr>
        <w:keepNext w:val="0"/>
        <w:keepLines w:val="0"/>
        <w:pageBreakBefore w:val="0"/>
        <w:widowControl/>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联系电话：</w:t>
      </w:r>
    </w:p>
    <w:p w14:paraId="277DBBBE">
      <w:pPr>
        <w:keepNext w:val="0"/>
        <w:keepLines w:val="0"/>
        <w:pageBreakBefore w:val="0"/>
        <w:widowControl/>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zh-CN"/>
        </w:rPr>
        <w:t>签约时间：</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年</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月</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w:t>
      </w:r>
    </w:p>
    <w:p w14:paraId="074D97C8">
      <w:pPr>
        <w:keepNext w:val="0"/>
        <w:keepLines w:val="0"/>
        <w:pageBreakBefore w:val="0"/>
        <w:widowControl/>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zh-CN"/>
        </w:rPr>
        <w:t>采购代理机构：</w:t>
      </w:r>
      <w:r>
        <w:rPr>
          <w:rFonts w:hint="eastAsia" w:ascii="宋体" w:hAnsi="宋体" w:eastAsia="宋体" w:cs="宋体"/>
          <w:color w:val="auto"/>
          <w:highlight w:val="none"/>
        </w:rPr>
        <w:t xml:space="preserve">                        </w:t>
      </w:r>
    </w:p>
    <w:p w14:paraId="7B4C0664">
      <w:pPr>
        <w:keepNext w:val="0"/>
        <w:keepLines w:val="0"/>
        <w:pageBreakBefore w:val="0"/>
        <w:widowControl/>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zh-CN"/>
        </w:rPr>
        <w:t>负责人或经办人：</w:t>
      </w:r>
    </w:p>
    <w:p w14:paraId="29226A3F">
      <w:pPr>
        <w:keepNext w:val="0"/>
        <w:keepLines w:val="0"/>
        <w:pageBreakBefore w:val="0"/>
        <w:widowControl/>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highlight w:val="none"/>
          <w:lang w:val="zh-CN"/>
        </w:rPr>
        <w:t>合同备案时间：</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年</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月</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w:t>
      </w:r>
    </w:p>
    <w:p w14:paraId="610FDF66">
      <w:pPr>
        <w:autoSpaceDE w:val="0"/>
        <w:autoSpaceDN w:val="0"/>
        <w:adjustRightInd w:val="0"/>
        <w:spacing w:line="360" w:lineRule="auto"/>
        <w:jc w:val="center"/>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br w:type="page"/>
      </w:r>
      <w:r>
        <w:rPr>
          <w:rFonts w:hint="eastAsia" w:ascii="宋体" w:hAnsi="宋体" w:eastAsia="宋体" w:cs="宋体"/>
          <w:b/>
          <w:bCs/>
          <w:color w:val="auto"/>
          <w:sz w:val="28"/>
          <w:szCs w:val="28"/>
          <w:highlight w:val="none"/>
          <w:lang w:val="zh-CN"/>
        </w:rPr>
        <w:t>合同通用条款</w:t>
      </w:r>
    </w:p>
    <w:p w14:paraId="1DE0D791">
      <w:pPr>
        <w:autoSpaceDE w:val="0"/>
        <w:autoSpaceDN w:val="0"/>
        <w:adjustRightInd w:val="0"/>
        <w:spacing w:line="360" w:lineRule="auto"/>
        <w:outlineLvl w:val="9"/>
        <w:rPr>
          <w:rFonts w:hint="eastAsia" w:ascii="宋体" w:hAnsi="宋体" w:eastAsia="宋体" w:cs="宋体"/>
          <w:color w:val="auto"/>
          <w:sz w:val="28"/>
          <w:szCs w:val="28"/>
          <w:highlight w:val="none"/>
        </w:rPr>
      </w:pPr>
    </w:p>
    <w:p w14:paraId="04B6A5A9">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lang w:val="zh-CN"/>
        </w:rPr>
        <w:t>根据《中华人民共和国合同法》、《中华人民共和国政府采购法》的规定，合同双方经协商达成一致，自愿订立本合同，遵循公平原则明确双方的权利、义务，确保双方诚实守信地履行合同。</w:t>
      </w:r>
    </w:p>
    <w:p w14:paraId="22A0F297">
      <w:pPr>
        <w:autoSpaceDE w:val="0"/>
        <w:autoSpaceDN w:val="0"/>
        <w:adjustRightInd w:val="0"/>
        <w:spacing w:line="360" w:lineRule="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val="zh-CN"/>
        </w:rPr>
        <w:t>定义</w:t>
      </w:r>
    </w:p>
    <w:p w14:paraId="095798A9">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lang w:val="zh-CN"/>
        </w:rPr>
        <w:t>本合同中的下列术语应解释为：</w:t>
      </w:r>
    </w:p>
    <w:p w14:paraId="67764BEA">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1.1 </w:t>
      </w:r>
      <w:r>
        <w:rPr>
          <w:rFonts w:hint="eastAsia" w:ascii="宋体" w:hAnsi="宋体" w:eastAsia="宋体" w:cs="宋体"/>
          <w:color w:val="auto"/>
          <w:highlight w:val="none"/>
          <w:lang w:val="zh-CN"/>
        </w:rPr>
        <w:t>“合同”指甲乙双方签署的、载明的甲乙双方权利义务的协议，包括所有的附件、附录和上述文件所提到的构成合同的所有文件。</w:t>
      </w:r>
    </w:p>
    <w:p w14:paraId="3C6CBAA0">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1.2 </w:t>
      </w:r>
      <w:r>
        <w:rPr>
          <w:rFonts w:hint="eastAsia" w:ascii="宋体" w:hAnsi="宋体" w:eastAsia="宋体" w:cs="宋体"/>
          <w:color w:val="auto"/>
          <w:highlight w:val="none"/>
          <w:lang w:val="zh-CN"/>
        </w:rPr>
        <w:t>“合同金额”指根据合同规定，乙方在正确地完全履行合同义务后甲方应付给乙方的价款。</w:t>
      </w:r>
    </w:p>
    <w:p w14:paraId="7705B9B8">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1.3 </w:t>
      </w:r>
      <w:r>
        <w:rPr>
          <w:rFonts w:hint="eastAsia" w:ascii="宋体" w:hAnsi="宋体" w:eastAsia="宋体" w:cs="宋体"/>
          <w:color w:val="auto"/>
          <w:highlight w:val="none"/>
          <w:lang w:val="zh-CN"/>
        </w:rPr>
        <w:t>“合同条款”指本合同条款。</w:t>
      </w:r>
    </w:p>
    <w:p w14:paraId="572871F0">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1.4 </w:t>
      </w:r>
      <w:r>
        <w:rPr>
          <w:rFonts w:hint="eastAsia" w:ascii="宋体" w:hAnsi="宋体" w:eastAsia="宋体" w:cs="宋体"/>
          <w:color w:val="auto"/>
          <w:highlight w:val="none"/>
          <w:lang w:val="zh-CN"/>
        </w:rPr>
        <w:t>“货物”指乙方根据合同约定须向甲方提供的一切产品、设备、机械、仪表、备件等，包括辅助工具、使用手册等相关资料。</w:t>
      </w:r>
    </w:p>
    <w:p w14:paraId="62C6E9C1">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1.5 </w:t>
      </w:r>
      <w:r>
        <w:rPr>
          <w:rFonts w:hint="eastAsia" w:ascii="宋体" w:hAnsi="宋体" w:eastAsia="宋体" w:cs="宋体"/>
          <w:color w:val="auto"/>
          <w:highlight w:val="none"/>
          <w:lang w:val="zh-CN"/>
        </w:rPr>
        <w:t>“服务”指根据本合同规定乙方承担与供货有关的辅助服务，如运输、保险及安装、调试、提供技术援助、培训和合同中规定乙方应承担的其它义务。</w:t>
      </w:r>
    </w:p>
    <w:p w14:paraId="52447FE4">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1.6 </w:t>
      </w:r>
      <w:r>
        <w:rPr>
          <w:rFonts w:hint="eastAsia" w:ascii="宋体" w:hAnsi="宋体" w:eastAsia="宋体" w:cs="宋体"/>
          <w:color w:val="auto"/>
          <w:highlight w:val="none"/>
          <w:lang w:val="zh-CN"/>
        </w:rPr>
        <w:t>“甲方”指购买货物和服务的单位。</w:t>
      </w:r>
    </w:p>
    <w:p w14:paraId="7A92E37F">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1.7 </w:t>
      </w:r>
      <w:r>
        <w:rPr>
          <w:rFonts w:hint="eastAsia" w:ascii="宋体" w:hAnsi="宋体" w:eastAsia="宋体" w:cs="宋体"/>
          <w:color w:val="auto"/>
          <w:highlight w:val="none"/>
          <w:lang w:val="zh-CN"/>
        </w:rPr>
        <w:t>“乙方”指提供本合同条款下货物和服务的公司或其他实体。</w:t>
      </w:r>
    </w:p>
    <w:p w14:paraId="32A578BE">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1.8 </w:t>
      </w:r>
      <w:r>
        <w:rPr>
          <w:rFonts w:hint="eastAsia" w:ascii="宋体" w:hAnsi="宋体" w:eastAsia="宋体" w:cs="宋体"/>
          <w:color w:val="auto"/>
          <w:highlight w:val="none"/>
          <w:lang w:val="zh-CN"/>
        </w:rPr>
        <w:t>“现场”指合同规定货物将要运至和安装的地点。</w:t>
      </w:r>
    </w:p>
    <w:p w14:paraId="7E54F3C9">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1.9 </w:t>
      </w:r>
      <w:r>
        <w:rPr>
          <w:rFonts w:hint="eastAsia" w:ascii="宋体" w:hAnsi="宋体" w:eastAsia="宋体" w:cs="宋体"/>
          <w:color w:val="auto"/>
          <w:highlight w:val="none"/>
          <w:lang w:val="zh-CN"/>
        </w:rPr>
        <w:t>“验收”指合同双方依据强制性的国家技术质量规范和合同约定，确认合同条款下的货物符合合同规定的活动。</w:t>
      </w:r>
    </w:p>
    <w:p w14:paraId="2B1D3119">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1.10</w:t>
      </w:r>
      <w:r>
        <w:rPr>
          <w:rFonts w:hint="eastAsia" w:ascii="宋体" w:hAnsi="宋体" w:eastAsia="宋体" w:cs="宋体"/>
          <w:color w:val="auto"/>
          <w:highlight w:val="none"/>
          <w:lang w:val="zh-CN"/>
        </w:rPr>
        <w:t>原厂商：产品制造商或其在中国境内设立的办事或技术服务机构。除另有说明外，本合同文件所述的制造商、产品制造商、制造厂家、产品制造厂家均为原厂商。</w:t>
      </w:r>
    </w:p>
    <w:p w14:paraId="69F695F7">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1.11 </w:t>
      </w:r>
      <w:r>
        <w:rPr>
          <w:rFonts w:hint="eastAsia" w:ascii="宋体" w:hAnsi="宋体" w:eastAsia="宋体" w:cs="宋体"/>
          <w:color w:val="auto"/>
          <w:highlight w:val="none"/>
          <w:lang w:val="zh-CN"/>
        </w:rPr>
        <w:t>原产地：指产品的生产地，或提供服务的来源地。</w:t>
      </w:r>
    </w:p>
    <w:p w14:paraId="0EEE5DE8">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1.12 </w:t>
      </w:r>
      <w:r>
        <w:rPr>
          <w:rFonts w:hint="eastAsia" w:ascii="宋体" w:hAnsi="宋体" w:eastAsia="宋体" w:cs="宋体"/>
          <w:color w:val="auto"/>
          <w:highlight w:val="none"/>
          <w:lang w:val="zh-CN"/>
        </w:rPr>
        <w:t>“工作日”指国家法定工作日，“天”指日历天数。</w:t>
      </w:r>
    </w:p>
    <w:p w14:paraId="0D8FCF14">
      <w:pPr>
        <w:autoSpaceDE w:val="0"/>
        <w:autoSpaceDN w:val="0"/>
        <w:adjustRightInd w:val="0"/>
        <w:spacing w:line="360" w:lineRule="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w:t>
      </w:r>
      <w:r>
        <w:rPr>
          <w:rFonts w:hint="eastAsia" w:ascii="宋体" w:hAnsi="宋体" w:eastAsia="宋体" w:cs="宋体"/>
          <w:b/>
          <w:bCs/>
          <w:color w:val="auto"/>
          <w:sz w:val="28"/>
          <w:szCs w:val="28"/>
          <w:highlight w:val="none"/>
          <w:lang w:val="zh-CN"/>
        </w:rPr>
        <w:t>技术规格要求</w:t>
      </w:r>
    </w:p>
    <w:p w14:paraId="75699CB9">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2.1 </w:t>
      </w:r>
      <w:r>
        <w:rPr>
          <w:rFonts w:hint="eastAsia" w:ascii="宋体" w:hAnsi="宋体" w:eastAsia="宋体" w:cs="宋体"/>
          <w:color w:val="auto"/>
          <w:highlight w:val="none"/>
          <w:lang w:val="zh-CN"/>
        </w:rPr>
        <w:t>本合同条款下提交货物的技术规格要求应等于或优于招响应文件技术规格要求。若技术规格要求中无相应规定，则应符合相应的国家有关部门最新颁布的相应正式标准。</w:t>
      </w:r>
    </w:p>
    <w:p w14:paraId="3FC0AF1F">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2.2 </w:t>
      </w:r>
      <w:r>
        <w:rPr>
          <w:rFonts w:hint="eastAsia" w:ascii="宋体" w:hAnsi="宋体" w:eastAsia="宋体" w:cs="宋体"/>
          <w:color w:val="auto"/>
          <w:highlight w:val="none"/>
          <w:lang w:val="zh-CN"/>
        </w:rPr>
        <w:t>乙方应向甲方提供货物及服务有关的标准的中文文本。</w:t>
      </w:r>
    </w:p>
    <w:p w14:paraId="5115B45F">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2.3 </w:t>
      </w:r>
      <w:r>
        <w:rPr>
          <w:rFonts w:hint="eastAsia" w:ascii="宋体" w:hAnsi="宋体" w:eastAsia="宋体" w:cs="宋体"/>
          <w:color w:val="auto"/>
          <w:highlight w:val="none"/>
          <w:lang w:val="zh-CN"/>
        </w:rPr>
        <w:t>除非技术规范中另有规定，计量单位均采用中华人民共和国法定计量单位。</w:t>
      </w:r>
    </w:p>
    <w:p w14:paraId="738D7234">
      <w:pPr>
        <w:autoSpaceDE w:val="0"/>
        <w:autoSpaceDN w:val="0"/>
        <w:adjustRightInd w:val="0"/>
        <w:spacing w:line="360" w:lineRule="auto"/>
        <w:outlineLvl w:val="9"/>
        <w:rPr>
          <w:rFonts w:hint="eastAsia" w:ascii="宋体" w:hAnsi="宋体" w:eastAsia="宋体" w:cs="宋体"/>
          <w:b/>
          <w:bCs/>
          <w:color w:val="auto"/>
          <w:sz w:val="28"/>
          <w:szCs w:val="28"/>
          <w:highlight w:val="none"/>
        </w:rPr>
      </w:pPr>
    </w:p>
    <w:p w14:paraId="2D5B7BA2">
      <w:pPr>
        <w:autoSpaceDE w:val="0"/>
        <w:autoSpaceDN w:val="0"/>
        <w:adjustRightInd w:val="0"/>
        <w:spacing w:line="360" w:lineRule="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w:t>
      </w:r>
      <w:r>
        <w:rPr>
          <w:rFonts w:hint="eastAsia" w:ascii="宋体" w:hAnsi="宋体" w:eastAsia="宋体" w:cs="宋体"/>
          <w:b/>
          <w:bCs/>
          <w:color w:val="auto"/>
          <w:sz w:val="28"/>
          <w:szCs w:val="28"/>
          <w:highlight w:val="none"/>
          <w:lang w:val="zh-CN"/>
        </w:rPr>
        <w:t>合同范围</w:t>
      </w:r>
    </w:p>
    <w:p w14:paraId="15F7DC60">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3.1 </w:t>
      </w:r>
      <w:r>
        <w:rPr>
          <w:rFonts w:hint="eastAsia" w:ascii="宋体" w:hAnsi="宋体" w:eastAsia="宋体" w:cs="宋体"/>
          <w:color w:val="auto"/>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678A6956">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3.2 </w:t>
      </w:r>
      <w:r>
        <w:rPr>
          <w:rFonts w:hint="eastAsia" w:ascii="宋体" w:hAnsi="宋体" w:eastAsia="宋体" w:cs="宋体"/>
          <w:color w:val="auto"/>
          <w:highlight w:val="none"/>
          <w:lang w:val="zh-CN"/>
        </w:rPr>
        <w:t>乙方应负责培训甲方的技术人员。</w:t>
      </w:r>
    </w:p>
    <w:p w14:paraId="3E09E232">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3.3 </w:t>
      </w:r>
      <w:r>
        <w:rPr>
          <w:rFonts w:hint="eastAsia" w:ascii="宋体" w:hAnsi="宋体" w:eastAsia="宋体" w:cs="宋体"/>
          <w:color w:val="auto"/>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2341A2D7">
      <w:pPr>
        <w:autoSpaceDE w:val="0"/>
        <w:autoSpaceDN w:val="0"/>
        <w:adjustRightInd w:val="0"/>
        <w:spacing w:line="360" w:lineRule="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w:t>
      </w:r>
      <w:r>
        <w:rPr>
          <w:rFonts w:hint="eastAsia" w:ascii="宋体" w:hAnsi="宋体" w:eastAsia="宋体" w:cs="宋体"/>
          <w:b/>
          <w:bCs/>
          <w:color w:val="auto"/>
          <w:sz w:val="28"/>
          <w:szCs w:val="28"/>
          <w:highlight w:val="none"/>
          <w:lang w:val="zh-CN"/>
        </w:rPr>
        <w:t>合同文件和资料</w:t>
      </w:r>
    </w:p>
    <w:p w14:paraId="62EA7424">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4.1</w:t>
      </w:r>
      <w:r>
        <w:rPr>
          <w:rFonts w:hint="eastAsia" w:ascii="宋体" w:hAnsi="宋体" w:eastAsia="宋体" w:cs="宋体"/>
          <w:color w:val="auto"/>
          <w:highlight w:val="none"/>
          <w:lang w:val="zh-CN"/>
        </w:rPr>
        <w:t>乙方在提供仪器设备时应同时提供中文版相关的技术资料，如目录索引、图纸、操作手册、使用指南、维修指南、服务手册等。</w:t>
      </w:r>
    </w:p>
    <w:p w14:paraId="693BC488">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4.2</w:t>
      </w:r>
      <w:r>
        <w:rPr>
          <w:rFonts w:hint="eastAsia" w:ascii="宋体" w:hAnsi="宋体" w:eastAsia="宋体" w:cs="宋体"/>
          <w:color w:val="auto"/>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9088755">
      <w:pPr>
        <w:autoSpaceDE w:val="0"/>
        <w:autoSpaceDN w:val="0"/>
        <w:adjustRightInd w:val="0"/>
        <w:spacing w:line="360" w:lineRule="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zh-CN"/>
        </w:rPr>
        <w:t>知识产权</w:t>
      </w:r>
    </w:p>
    <w:p w14:paraId="474AF034">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5.1</w:t>
      </w:r>
      <w:r>
        <w:rPr>
          <w:rFonts w:hint="eastAsia" w:ascii="宋体" w:hAnsi="宋体" w:eastAsia="宋体" w:cs="宋体"/>
          <w:color w:val="auto"/>
          <w:highlight w:val="none"/>
          <w:lang w:val="zh-CN"/>
        </w:rPr>
        <w:t>乙方应保证甲方在使用该货物或其任何一部分时不受第三方提出的侵犯专利权、</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著作权、商标权和工业设计权等的起诉。</w:t>
      </w:r>
    </w:p>
    <w:p w14:paraId="216F953E">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5.2</w:t>
      </w:r>
      <w:r>
        <w:rPr>
          <w:rFonts w:hint="eastAsia" w:ascii="宋体" w:hAnsi="宋体" w:eastAsia="宋体" w:cs="宋体"/>
          <w:color w:val="auto"/>
          <w:highlight w:val="none"/>
          <w:lang w:val="zh-CN"/>
        </w:rPr>
        <w:t>任何第三方提出侵权指控，乙方须与第三方交涉并承担由此产生的一切责任、费用和经济赔偿。</w:t>
      </w:r>
    </w:p>
    <w:p w14:paraId="59B78B52">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14:paraId="281A3385">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5.4</w:t>
      </w:r>
      <w:r>
        <w:rPr>
          <w:rFonts w:hint="eastAsia" w:ascii="宋体" w:hAnsi="宋体" w:eastAsia="宋体" w:cs="宋体"/>
          <w:color w:val="auto"/>
          <w:highlight w:val="none"/>
          <w:lang w:val="zh-CN"/>
        </w:rPr>
        <w:t>在本合同生效时已经存在并为各方合法拥有或使用的所有技术、资料和信息的知识产权，仍应属于其各自的原权利人所有或享有，另有约定的除外。</w:t>
      </w:r>
    </w:p>
    <w:p w14:paraId="59B3B2B2">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5.5</w:t>
      </w:r>
      <w:r>
        <w:rPr>
          <w:rFonts w:hint="eastAsia" w:ascii="宋体" w:hAnsi="宋体" w:eastAsia="宋体" w:cs="宋体"/>
          <w:color w:val="auto"/>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16AA2AD8">
      <w:pPr>
        <w:numPr>
          <w:ilvl w:val="0"/>
          <w:numId w:val="10"/>
        </w:numPr>
        <w:autoSpaceDE w:val="0"/>
        <w:autoSpaceDN w:val="0"/>
        <w:adjustRightInd w:val="0"/>
        <w:spacing w:line="360" w:lineRule="auto"/>
        <w:outlineLvl w:val="9"/>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保密</w:t>
      </w:r>
    </w:p>
    <w:p w14:paraId="1A29BDDD">
      <w:pPr>
        <w:numPr>
          <w:ilvl w:val="0"/>
          <w:numId w:val="0"/>
        </w:numPr>
        <w:autoSpaceDE w:val="0"/>
        <w:autoSpaceDN w:val="0"/>
        <w:adjustRightInd w:val="0"/>
        <w:spacing w:line="360" w:lineRule="auto"/>
        <w:ind w:firstLine="48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6.1</w:t>
      </w:r>
      <w:r>
        <w:rPr>
          <w:rFonts w:hint="eastAsia" w:ascii="宋体" w:hAnsi="宋体" w:eastAsia="宋体" w:cs="宋体"/>
          <w:color w:val="auto"/>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205DF37">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6.2</w:t>
      </w:r>
      <w:r>
        <w:rPr>
          <w:rFonts w:hint="eastAsia" w:ascii="宋体" w:hAnsi="宋体" w:eastAsia="宋体" w:cs="宋体"/>
          <w:color w:val="auto"/>
          <w:highlight w:val="none"/>
          <w:lang w:val="zh-CN"/>
        </w:rPr>
        <w:t>保密信息指任何一方因履行本合同所知悉的任何以口头、书面、图表或电子形式存在的对方信息，具体包括：</w:t>
      </w:r>
    </w:p>
    <w:p w14:paraId="07D48BA9">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6.2.1</w:t>
      </w:r>
      <w:r>
        <w:rPr>
          <w:rFonts w:hint="eastAsia" w:ascii="宋体" w:hAnsi="宋体" w:eastAsia="宋体" w:cs="宋体"/>
          <w:color w:val="auto"/>
          <w:highlight w:val="none"/>
          <w:lang w:val="zh-CN"/>
        </w:rPr>
        <w:t>任何涉及对方过去、现在或将来的商业计划、规章制度、操作规程、处理手段、财务信息；</w:t>
      </w:r>
    </w:p>
    <w:p w14:paraId="774F3FEA">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6.2.2</w:t>
      </w:r>
      <w:r>
        <w:rPr>
          <w:rFonts w:hint="eastAsia" w:ascii="宋体" w:hAnsi="宋体" w:eastAsia="宋体" w:cs="宋体"/>
          <w:color w:val="auto"/>
          <w:highlight w:val="none"/>
          <w:lang w:val="zh-CN"/>
        </w:rPr>
        <w:t>任何对方的技术措施、技术方案、软件应用及开发，硬件设备的品种、质量、数量、品牌等；</w:t>
      </w:r>
    </w:p>
    <w:p w14:paraId="2B7B691E">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6.2.3</w:t>
      </w:r>
      <w:r>
        <w:rPr>
          <w:rFonts w:hint="eastAsia" w:ascii="宋体" w:hAnsi="宋体" w:eastAsia="宋体" w:cs="宋体"/>
          <w:color w:val="auto"/>
          <w:highlight w:val="none"/>
          <w:lang w:val="zh-CN"/>
        </w:rPr>
        <w:t>任何对方的技术秘密或专有知识、文件</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、报告、数据、客户软件、流程图、数据库、发明、知识、贸易秘密。</w:t>
      </w:r>
    </w:p>
    <w:p w14:paraId="22B7B924">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6.3</w:t>
      </w:r>
      <w:r>
        <w:rPr>
          <w:rFonts w:hint="eastAsia" w:ascii="宋体" w:hAnsi="宋体" w:eastAsia="宋体" w:cs="宋体"/>
          <w:color w:val="auto"/>
          <w:highlight w:val="none"/>
          <w:lang w:val="zh-CN"/>
        </w:rPr>
        <w:t>乙方应根据甲方的要求签署相应的保密协议，保密协议与本条款存在不一致的，以保密协议为准。</w:t>
      </w:r>
    </w:p>
    <w:p w14:paraId="702680F1">
      <w:pPr>
        <w:autoSpaceDE w:val="0"/>
        <w:autoSpaceDN w:val="0"/>
        <w:adjustRightInd w:val="0"/>
        <w:spacing w:line="360" w:lineRule="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7. </w:t>
      </w:r>
      <w:r>
        <w:rPr>
          <w:rFonts w:hint="eastAsia" w:ascii="宋体" w:hAnsi="宋体" w:eastAsia="宋体" w:cs="宋体"/>
          <w:b/>
          <w:bCs/>
          <w:color w:val="auto"/>
          <w:sz w:val="28"/>
          <w:szCs w:val="28"/>
          <w:highlight w:val="none"/>
          <w:lang w:val="zh-CN"/>
        </w:rPr>
        <w:t>质量保证</w:t>
      </w:r>
    </w:p>
    <w:p w14:paraId="2E5F7C3C">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7.1</w:t>
      </w:r>
      <w:r>
        <w:rPr>
          <w:rFonts w:hint="eastAsia" w:ascii="宋体" w:hAnsi="宋体" w:eastAsia="宋体" w:cs="宋体"/>
          <w:color w:val="auto"/>
          <w:highlight w:val="none"/>
          <w:lang w:val="zh-CN"/>
        </w:rPr>
        <w:t>货物质量保证</w:t>
      </w:r>
    </w:p>
    <w:p w14:paraId="724DEA7B">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7.1.1</w:t>
      </w:r>
      <w:r>
        <w:rPr>
          <w:rFonts w:hint="eastAsia" w:ascii="宋体" w:hAnsi="宋体" w:eastAsia="宋体" w:cs="宋体"/>
          <w:color w:val="auto"/>
          <w:highlight w:val="none"/>
          <w:lang w:val="zh-CN"/>
        </w:rPr>
        <w:t>乙方必须保证货物是全新、未使用过的，并完全符合强制性的国家技术质量规范和合同规定的质量、规格、性能和技术规范等的要求。</w:t>
      </w:r>
    </w:p>
    <w:p w14:paraId="5FCDD7C5">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7.1.2</w:t>
      </w:r>
      <w:r>
        <w:rPr>
          <w:rFonts w:hint="eastAsia" w:ascii="宋体" w:hAnsi="宋体" w:eastAsia="宋体" w:cs="宋体"/>
          <w:color w:val="auto"/>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C6E872F">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7.1.3</w:t>
      </w:r>
      <w:r>
        <w:rPr>
          <w:rFonts w:hint="eastAsia" w:ascii="宋体" w:hAnsi="宋体" w:eastAsia="宋体" w:cs="宋体"/>
          <w:color w:val="auto"/>
          <w:highlight w:val="none"/>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41737AE">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7.1.4</w:t>
      </w:r>
      <w:r>
        <w:rPr>
          <w:rFonts w:hint="eastAsia" w:ascii="宋体" w:hAnsi="宋体" w:eastAsia="宋体" w:cs="宋体"/>
          <w:color w:val="auto"/>
          <w:highlight w:val="none"/>
          <w:lang w:val="zh-CN"/>
        </w:rPr>
        <w:t>乙方在收到通知后虽答复，但没有弥补缺陷，甲方可采取必要的补救措施，但由此引发的风险和费用将由乙方承担。甲方可从合同款中扣款，不足部分，甲方有权要求乙方赔偿。甲方根据合同规定对卖方行使的其他权力不受影响。</w:t>
      </w:r>
    </w:p>
    <w:p w14:paraId="0538686C">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7.1.5 </w:t>
      </w:r>
      <w:r>
        <w:rPr>
          <w:rFonts w:hint="eastAsia" w:ascii="宋体" w:hAnsi="宋体" w:eastAsia="宋体" w:cs="宋体"/>
          <w:color w:val="auto"/>
          <w:highlight w:val="none"/>
          <w:lang w:val="zh-CN"/>
        </w:rPr>
        <w:t>合同条款下货物的质量保证期自货物通过最终验收起算，合同另行规定除外。</w:t>
      </w:r>
    </w:p>
    <w:p w14:paraId="1A417459">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7.2</w:t>
      </w:r>
      <w:r>
        <w:rPr>
          <w:rFonts w:hint="eastAsia" w:ascii="宋体" w:hAnsi="宋体" w:eastAsia="宋体" w:cs="宋体"/>
          <w:color w:val="auto"/>
          <w:highlight w:val="none"/>
          <w:lang w:val="zh-CN"/>
        </w:rPr>
        <w:t>辅助服务质量保证</w:t>
      </w:r>
    </w:p>
    <w:p w14:paraId="1B3322CE">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7.2.1</w:t>
      </w:r>
      <w:r>
        <w:rPr>
          <w:rFonts w:hint="eastAsia" w:ascii="宋体" w:hAnsi="宋体" w:eastAsia="宋体" w:cs="宋体"/>
          <w:color w:val="auto"/>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293E24F5">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7.2.2</w:t>
      </w:r>
      <w:r>
        <w:rPr>
          <w:rFonts w:hint="eastAsia" w:ascii="宋体" w:hAnsi="宋体" w:eastAsia="宋体" w:cs="宋体"/>
          <w:color w:val="auto"/>
          <w:highlight w:val="none"/>
          <w:lang w:val="zh-CN"/>
        </w:rPr>
        <w:t>乙方应保证合同条款下所提供的服务包括培训、安装指导、单机调试、系统联调和试验等，按合同规定方式进行，并保证不存在因乙方工作人员的过失、错误或疏忽而产生的缺陷。</w:t>
      </w:r>
    </w:p>
    <w:p w14:paraId="2A6F5357">
      <w:pPr>
        <w:autoSpaceDE w:val="0"/>
        <w:autoSpaceDN w:val="0"/>
        <w:adjustRightInd w:val="0"/>
        <w:spacing w:line="360" w:lineRule="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8.</w:t>
      </w:r>
      <w:r>
        <w:rPr>
          <w:rFonts w:hint="eastAsia" w:ascii="宋体" w:hAnsi="宋体" w:eastAsia="宋体" w:cs="宋体"/>
          <w:b/>
          <w:bCs/>
          <w:color w:val="auto"/>
          <w:sz w:val="28"/>
          <w:szCs w:val="28"/>
          <w:highlight w:val="none"/>
          <w:lang w:val="zh-CN"/>
        </w:rPr>
        <w:t>包装要求</w:t>
      </w:r>
    </w:p>
    <w:p w14:paraId="55C09DD4">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8.1 </w:t>
      </w:r>
      <w:r>
        <w:rPr>
          <w:rFonts w:hint="eastAsia" w:ascii="宋体" w:hAnsi="宋体" w:eastAsia="宋体" w:cs="宋体"/>
          <w:color w:val="auto"/>
          <w:highlight w:val="none"/>
          <w:lang w:val="zh-CN"/>
        </w:rPr>
        <w:t>除合同另有约定外</w:t>
      </w:r>
      <w:r>
        <w:rPr>
          <w:rFonts w:hint="eastAsia" w:ascii="宋体" w:hAnsi="宋体" w:eastAsia="宋体" w:cs="宋体"/>
          <w:color w:val="auto"/>
          <w:highlight w:val="none"/>
        </w:rPr>
        <w:t>,</w:t>
      </w:r>
      <w:r>
        <w:rPr>
          <w:rFonts w:hint="eastAsia" w:ascii="宋体" w:hAnsi="宋体" w:eastAsia="宋体" w:cs="宋体"/>
          <w:color w:val="auto"/>
          <w:highlight w:val="none"/>
          <w:lang w:val="zh-CN"/>
        </w:rPr>
        <w:t>乙方提供的全部货物</w:t>
      </w:r>
      <w:r>
        <w:rPr>
          <w:rFonts w:hint="eastAsia" w:ascii="宋体" w:hAnsi="宋体" w:eastAsia="宋体" w:cs="宋体"/>
          <w:color w:val="auto"/>
          <w:highlight w:val="none"/>
        </w:rPr>
        <w:t>,</w:t>
      </w:r>
      <w:r>
        <w:rPr>
          <w:rFonts w:hint="eastAsia" w:ascii="宋体" w:hAnsi="宋体" w:eastAsia="宋体" w:cs="宋体"/>
          <w:color w:val="auto"/>
          <w:highlight w:val="none"/>
          <w:lang w:val="zh-CN"/>
        </w:rPr>
        <w:t>均应采用本行业通用的方式进行包装，且该包装应符合国家有关包装的法律、法规的规定。</w:t>
      </w:r>
    </w:p>
    <w:p w14:paraId="75AEF1B3">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8.2 </w:t>
      </w:r>
      <w:r>
        <w:rPr>
          <w:rFonts w:hint="eastAsia" w:ascii="宋体" w:hAnsi="宋体" w:eastAsia="宋体" w:cs="宋体"/>
          <w:color w:val="auto"/>
          <w:highlight w:val="none"/>
          <w:lang w:val="zh-CN"/>
        </w:rPr>
        <w:t>包装应适应于远距离运输，并有良好的防潮、防震、防锈和防粗暴装卸等保护措施，以确保货物安全运抵现场。由于包装不善所引起的货物锈蚀、损坏和损失均由乙方承担。</w:t>
      </w:r>
    </w:p>
    <w:p w14:paraId="68D48567">
      <w:pPr>
        <w:autoSpaceDE w:val="0"/>
        <w:autoSpaceDN w:val="0"/>
        <w:adjustRightInd w:val="0"/>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lang w:val="zh-CN"/>
        </w:rPr>
        <w:t>乙方应提供货物运至合同规定的最终目的地所需要的包装，以防止货物在转运中损坏或变质。</w:t>
      </w:r>
    </w:p>
    <w:p w14:paraId="40383160">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8.3 </w:t>
      </w:r>
      <w:r>
        <w:rPr>
          <w:rFonts w:hint="eastAsia" w:ascii="宋体" w:hAnsi="宋体" w:eastAsia="宋体" w:cs="宋体"/>
          <w:color w:val="auto"/>
          <w:highlight w:val="none"/>
          <w:lang w:val="zh-CN"/>
        </w:rPr>
        <w:t>乙方所提供的货物包装均为出厂时原包装。</w:t>
      </w:r>
    </w:p>
    <w:p w14:paraId="3F19B7CC">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8.4 </w:t>
      </w:r>
      <w:r>
        <w:rPr>
          <w:rFonts w:hint="eastAsia" w:ascii="宋体" w:hAnsi="宋体" w:eastAsia="宋体" w:cs="宋体"/>
          <w:color w:val="auto"/>
          <w:highlight w:val="none"/>
          <w:lang w:val="zh-CN"/>
        </w:rPr>
        <w:t>乙方所提供货物必须附有质量合格证，装箱清单，主机、附件、各种零部件和消耗品，有清楚的与装箱单相对应的名称和编号。</w:t>
      </w:r>
    </w:p>
    <w:p w14:paraId="0A58CF6A">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8.5 </w:t>
      </w:r>
      <w:r>
        <w:rPr>
          <w:rFonts w:hint="eastAsia" w:ascii="宋体" w:hAnsi="宋体" w:eastAsia="宋体" w:cs="宋体"/>
          <w:color w:val="auto"/>
          <w:highlight w:val="none"/>
          <w:lang w:val="zh-CN"/>
        </w:rPr>
        <w:t>货物运输中的运输费用和保险费用均由乙方承担。运输过程中的一切损失、损坏均由乙方负责。</w:t>
      </w:r>
    </w:p>
    <w:p w14:paraId="54C1FACE">
      <w:pPr>
        <w:autoSpaceDE w:val="0"/>
        <w:autoSpaceDN w:val="0"/>
        <w:adjustRightInd w:val="0"/>
        <w:spacing w:line="360" w:lineRule="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9. </w:t>
      </w:r>
      <w:r>
        <w:rPr>
          <w:rFonts w:hint="eastAsia" w:ascii="宋体" w:hAnsi="宋体" w:eastAsia="宋体" w:cs="宋体"/>
          <w:b/>
          <w:bCs/>
          <w:color w:val="auto"/>
          <w:sz w:val="28"/>
          <w:szCs w:val="28"/>
          <w:highlight w:val="none"/>
          <w:lang w:val="zh-CN"/>
        </w:rPr>
        <w:t>价格</w:t>
      </w:r>
    </w:p>
    <w:p w14:paraId="7934542E">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9.1 </w:t>
      </w:r>
      <w:r>
        <w:rPr>
          <w:rFonts w:hint="eastAsia" w:ascii="宋体" w:hAnsi="宋体" w:eastAsia="宋体" w:cs="宋体"/>
          <w:color w:val="auto"/>
          <w:highlight w:val="none"/>
          <w:lang w:val="zh-CN"/>
        </w:rPr>
        <w:t>乙方履行合同所必须的所有费用，包括但不限于货物及部件的设计、监测与试验、制造、运输、装卸、保险、单机调试、安装调试指导、技术资料、培训、交通、人员、差旅、质量保证期服务费、其他管理费用、所有的检验、测试、调试、验收、试运行费用等均已包括在合同价格中。</w:t>
      </w:r>
    </w:p>
    <w:p w14:paraId="513D0477">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9.2 </w:t>
      </w:r>
      <w:r>
        <w:rPr>
          <w:rFonts w:hint="eastAsia" w:ascii="宋体" w:hAnsi="宋体" w:eastAsia="宋体" w:cs="宋体"/>
          <w:color w:val="auto"/>
          <w:highlight w:val="none"/>
          <w:lang w:val="zh-CN"/>
        </w:rPr>
        <w:t>本合同价格为固定价格，包括了乙方履行合同全过程产生的所有成本和费用以及乙方应承担的一切税费。</w:t>
      </w:r>
    </w:p>
    <w:p w14:paraId="2B49885F">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9.3</w:t>
      </w:r>
      <w:r>
        <w:rPr>
          <w:rFonts w:hint="eastAsia" w:ascii="宋体" w:hAnsi="宋体" w:eastAsia="宋体" w:cs="宋体"/>
          <w:color w:val="auto"/>
          <w:highlight w:val="none"/>
          <w:lang w:val="zh-CN"/>
        </w:rPr>
        <w:t>检验费用</w:t>
      </w:r>
    </w:p>
    <w:p w14:paraId="32ED76D6">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9.3.1 </w:t>
      </w:r>
      <w:r>
        <w:rPr>
          <w:rFonts w:hint="eastAsia" w:ascii="宋体" w:hAnsi="宋体" w:eastAsia="宋体" w:cs="宋体"/>
          <w:color w:val="auto"/>
          <w:highlight w:val="none"/>
          <w:lang w:val="zh-CN"/>
        </w:rPr>
        <w:t>乙方必须负担本条款下属于乙方负责的检验、测试、调试、试运行和验收的所有费用，并负责乙方派往买方组织的检验、测试和验收人员的所有费用。</w:t>
      </w:r>
    </w:p>
    <w:p w14:paraId="70BB1638">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9.3.2 </w:t>
      </w:r>
      <w:r>
        <w:rPr>
          <w:rFonts w:hint="eastAsia" w:ascii="宋体" w:hAnsi="宋体" w:eastAsia="宋体" w:cs="宋体"/>
          <w:color w:val="auto"/>
          <w:highlight w:val="none"/>
          <w:lang w:val="zh-CN"/>
        </w:rPr>
        <w:t>甲方按合同计划参加在乙方工厂所在地检验、测试和验收的费用全部由乙方负责并已包含在合同总价中。</w:t>
      </w:r>
    </w:p>
    <w:p w14:paraId="4FD2E5FE">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9.3.3</w:t>
      </w:r>
      <w:r>
        <w:rPr>
          <w:rFonts w:hint="eastAsia" w:ascii="宋体" w:hAnsi="宋体" w:eastAsia="宋体" w:cs="宋体"/>
          <w:color w:val="auto"/>
          <w:highlight w:val="none"/>
          <w:lang w:val="zh-CN"/>
        </w:rPr>
        <w:t>甲方检验人员已到卖方所在地，测试无法依照合同进行，</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而引起甲方人员延长逗留时间，所有由此产生的包括甲方人员在内的直接费用及成本由乙方承担。</w:t>
      </w:r>
    </w:p>
    <w:p w14:paraId="0DF9B244">
      <w:pPr>
        <w:autoSpaceDE w:val="0"/>
        <w:autoSpaceDN w:val="0"/>
        <w:adjustRightInd w:val="0"/>
        <w:spacing w:line="360" w:lineRule="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10.</w:t>
      </w:r>
      <w:r>
        <w:rPr>
          <w:rFonts w:hint="eastAsia" w:ascii="宋体" w:hAnsi="宋体" w:eastAsia="宋体" w:cs="宋体"/>
          <w:b/>
          <w:bCs/>
          <w:color w:val="auto"/>
          <w:sz w:val="28"/>
          <w:szCs w:val="28"/>
          <w:highlight w:val="none"/>
          <w:lang w:val="zh-CN"/>
        </w:rPr>
        <w:t>交货方式及交货日期</w:t>
      </w:r>
    </w:p>
    <w:p w14:paraId="3D1DBF39">
      <w:pPr>
        <w:autoSpaceDE w:val="0"/>
        <w:autoSpaceDN w:val="0"/>
        <w:adjustRightInd w:val="0"/>
        <w:spacing w:line="360" w:lineRule="auto"/>
        <w:ind w:firstLine="480"/>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服务期限：</w:t>
      </w:r>
    </w:p>
    <w:p w14:paraId="1C5A333A">
      <w:pPr>
        <w:autoSpaceDE w:val="0"/>
        <w:autoSpaceDN w:val="0"/>
        <w:adjustRightInd w:val="0"/>
        <w:spacing w:line="360" w:lineRule="auto"/>
        <w:ind w:firstLine="480"/>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服务地点：</w:t>
      </w:r>
    </w:p>
    <w:p w14:paraId="0B6A895A">
      <w:pPr>
        <w:autoSpaceDE w:val="0"/>
        <w:autoSpaceDN w:val="0"/>
        <w:adjustRightInd w:val="0"/>
        <w:spacing w:line="360" w:lineRule="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11.检验和验收</w:t>
      </w:r>
    </w:p>
    <w:p w14:paraId="5FC7FDB0">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11.1</w:t>
      </w:r>
      <w:r>
        <w:rPr>
          <w:rFonts w:hint="eastAsia" w:ascii="宋体" w:hAnsi="宋体" w:eastAsia="宋体" w:cs="宋体"/>
          <w:color w:val="auto"/>
          <w:highlight w:val="none"/>
          <w:lang w:val="zh-CN"/>
        </w:rPr>
        <w:t>开箱验收</w:t>
      </w:r>
    </w:p>
    <w:p w14:paraId="7DEC4110">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11.1.1</w:t>
      </w:r>
      <w:r>
        <w:rPr>
          <w:rFonts w:hint="eastAsia" w:ascii="宋体" w:hAnsi="宋体" w:eastAsia="宋体" w:cs="宋体"/>
          <w:color w:val="auto"/>
          <w:highlight w:val="none"/>
          <w:lang w:val="zh-CN"/>
        </w:rPr>
        <w:t>货物运抵现场后，双方应及时开箱验收，并制作验收记录，以确认与本合同约定的数量、型号等是否一致。</w:t>
      </w:r>
    </w:p>
    <w:p w14:paraId="2B88F7DE">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11.1.2 </w:t>
      </w:r>
      <w:r>
        <w:rPr>
          <w:rFonts w:hint="eastAsia" w:ascii="宋体" w:hAnsi="宋体" w:eastAsia="宋体" w:cs="宋体"/>
          <w:color w:val="auto"/>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D5C12CE">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11.1.3 </w:t>
      </w:r>
      <w:r>
        <w:rPr>
          <w:rFonts w:hint="eastAsia" w:ascii="宋体" w:hAnsi="宋体" w:eastAsia="宋体" w:cs="宋体"/>
          <w:color w:val="auto"/>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14:paraId="6806FCE4">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11.2  </w:t>
      </w:r>
      <w:r>
        <w:rPr>
          <w:rFonts w:hint="eastAsia" w:ascii="宋体" w:hAnsi="宋体" w:eastAsia="宋体" w:cs="宋体"/>
          <w:color w:val="auto"/>
          <w:highlight w:val="none"/>
          <w:lang w:val="zh-CN"/>
        </w:rPr>
        <w:t>检验验收</w:t>
      </w:r>
    </w:p>
    <w:p w14:paraId="7CDF40B8">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11.2.1 </w:t>
      </w:r>
      <w:r>
        <w:rPr>
          <w:rFonts w:hint="eastAsia" w:ascii="宋体" w:hAnsi="宋体" w:eastAsia="宋体" w:cs="宋体"/>
          <w:color w:val="auto"/>
          <w:highlight w:val="none"/>
          <w:lang w:val="zh-CN"/>
        </w:rPr>
        <w:t>交货完成后，乙方应及时组装、调试、试运行，按照合同专用条款规定的试运行完成后，双方及时组织对货物检验验收。合同双方均须派人参加合同要求双方参加的试验、检验。</w:t>
      </w:r>
    </w:p>
    <w:p w14:paraId="50F72A73">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11.2.2 </w:t>
      </w:r>
      <w:r>
        <w:rPr>
          <w:rFonts w:hint="eastAsia" w:ascii="宋体" w:hAnsi="宋体" w:eastAsia="宋体" w:cs="宋体"/>
          <w:color w:val="auto"/>
          <w:highlight w:val="none"/>
          <w:lang w:val="zh-CN"/>
        </w:rPr>
        <w:t>在具体实施合同规定的检验验收之前，乙方需提前提交相应的测试计划（包括测试程序、测试内容和检验标准、试验时间安排等）供甲方确认。</w:t>
      </w:r>
    </w:p>
    <w:p w14:paraId="79E85B61">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11.2.3  </w:t>
      </w:r>
      <w:r>
        <w:rPr>
          <w:rFonts w:hint="eastAsia" w:ascii="宋体" w:hAnsi="宋体" w:eastAsia="宋体" w:cs="宋体"/>
          <w:color w:val="auto"/>
          <w:highlight w:val="none"/>
          <w:lang w:val="zh-CN"/>
        </w:rPr>
        <w:t>除需甲方确认的试验验收外，乙方还应对所有检验验收测试的结果、步骤、原始数据等作妥善记录。如甲方要求，乙方应提供这些记录给买方。</w:t>
      </w:r>
    </w:p>
    <w:p w14:paraId="128BA6A9">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11.2.4  </w:t>
      </w:r>
      <w:r>
        <w:rPr>
          <w:rFonts w:hint="eastAsia" w:ascii="宋体" w:hAnsi="宋体" w:eastAsia="宋体" w:cs="宋体"/>
          <w:color w:val="auto"/>
          <w:highlight w:val="none"/>
          <w:lang w:val="zh-CN"/>
        </w:rPr>
        <w:t>检验测试出现全部或部分未达到本合同所约定的技术指标，甲方有权选择下列任一处理方式：</w:t>
      </w:r>
    </w:p>
    <w:p w14:paraId="55517536">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a.</w:t>
      </w:r>
      <w:r>
        <w:rPr>
          <w:rFonts w:hint="eastAsia" w:ascii="宋体" w:hAnsi="宋体" w:eastAsia="宋体" w:cs="宋体"/>
          <w:color w:val="auto"/>
          <w:highlight w:val="none"/>
          <w:lang w:val="zh-CN"/>
        </w:rPr>
        <w:t>重新测试直至合格为止；</w:t>
      </w:r>
    </w:p>
    <w:p w14:paraId="505B0D3D">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b.</w:t>
      </w:r>
      <w:r>
        <w:rPr>
          <w:rFonts w:hint="eastAsia" w:ascii="宋体" w:hAnsi="宋体" w:eastAsia="宋体" w:cs="宋体"/>
          <w:color w:val="auto"/>
          <w:highlight w:val="none"/>
          <w:lang w:val="zh-CN"/>
        </w:rPr>
        <w:t>要求乙方对货物进行免费更换，然后重新测试直至合格为止；</w:t>
      </w:r>
    </w:p>
    <w:p w14:paraId="702B48DE">
      <w:pPr>
        <w:autoSpaceDE w:val="0"/>
        <w:autoSpaceDN w:val="0"/>
        <w:adjustRightInd w:val="0"/>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lang w:val="zh-CN"/>
        </w:rPr>
        <w:t>无论选择何种方式，甲方因此而发生的因卖方原因引起的所有费用均由乙方负担。</w:t>
      </w:r>
    </w:p>
    <w:p w14:paraId="0864D628">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11.3  </w:t>
      </w:r>
      <w:r>
        <w:rPr>
          <w:rFonts w:hint="eastAsia" w:ascii="宋体" w:hAnsi="宋体" w:eastAsia="宋体" w:cs="宋体"/>
          <w:color w:val="auto"/>
          <w:highlight w:val="none"/>
          <w:lang w:val="zh-CN"/>
        </w:rPr>
        <w:t>使用过程检验</w:t>
      </w:r>
    </w:p>
    <w:p w14:paraId="1678B1A6">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11.3.1</w:t>
      </w:r>
      <w:r>
        <w:rPr>
          <w:rFonts w:hint="eastAsia" w:ascii="宋体" w:hAnsi="宋体" w:eastAsia="宋体" w:cs="宋体"/>
          <w:color w:val="auto"/>
          <w:highlight w:val="none"/>
          <w:lang w:val="zh-CN"/>
        </w:rPr>
        <w:t>在合同规定的质量保证期内，发现货物的质量或规格与合同规定不符，或证明货物有缺陷，包括潜在的缺陷或使用不合适的原材料等，由甲方组织质检（相关监测费用由卖方承担），据质检报告及质量保证条款向卖方提出索赔，此索赔并不免除乙方应承担的合同义务。</w:t>
      </w:r>
    </w:p>
    <w:p w14:paraId="1C7A2CA3">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11.3.2</w:t>
      </w:r>
      <w:r>
        <w:rPr>
          <w:rFonts w:hint="eastAsia" w:ascii="宋体" w:hAnsi="宋体" w:eastAsia="宋体" w:cs="宋体"/>
          <w:color w:val="auto"/>
          <w:highlight w:val="none"/>
          <w:lang w:val="zh-CN"/>
        </w:rPr>
        <w:t>如果合同双方对乙方提供的上述试验结果报告的解释有分歧，双方须于出现分歧后</w:t>
      </w:r>
      <w:r>
        <w:rPr>
          <w:rFonts w:hint="eastAsia" w:ascii="宋体" w:hAnsi="宋体" w:eastAsia="宋体" w:cs="宋体"/>
          <w:color w:val="auto"/>
          <w:highlight w:val="none"/>
        </w:rPr>
        <w:t>10</w:t>
      </w:r>
      <w:r>
        <w:rPr>
          <w:rFonts w:hint="eastAsia" w:ascii="宋体" w:hAnsi="宋体" w:eastAsia="宋体" w:cs="宋体"/>
          <w:color w:val="auto"/>
          <w:highlight w:val="none"/>
          <w:lang w:val="zh-CN"/>
        </w:rPr>
        <w:t>天内给对方声明，以陈述己方的观点。声明须附有关证据。分歧应通过协商解决。</w:t>
      </w:r>
    </w:p>
    <w:p w14:paraId="56AF1B42">
      <w:pPr>
        <w:autoSpaceDE w:val="0"/>
        <w:autoSpaceDN w:val="0"/>
        <w:adjustRightInd w:val="0"/>
        <w:spacing w:line="360" w:lineRule="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12.</w:t>
      </w:r>
      <w:r>
        <w:rPr>
          <w:rFonts w:hint="eastAsia" w:ascii="宋体" w:hAnsi="宋体" w:eastAsia="宋体" w:cs="宋体"/>
          <w:b/>
          <w:bCs/>
          <w:color w:val="auto"/>
          <w:sz w:val="28"/>
          <w:szCs w:val="28"/>
          <w:highlight w:val="none"/>
          <w:lang w:val="zh-CN"/>
        </w:rPr>
        <w:t>付款条件</w:t>
      </w:r>
    </w:p>
    <w:p w14:paraId="05F0172C">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lang w:val="zh-CN"/>
        </w:rPr>
        <w:t>本合同条款下的付款方法和条件在“青海省政府采购合同书”中具体规定。</w:t>
      </w:r>
    </w:p>
    <w:p w14:paraId="6F141C3F">
      <w:pPr>
        <w:autoSpaceDE w:val="0"/>
        <w:autoSpaceDN w:val="0"/>
        <w:adjustRightInd w:val="0"/>
        <w:spacing w:line="360" w:lineRule="auto"/>
        <w:outlineLvl w:val="9"/>
        <w:rPr>
          <w:rFonts w:hint="eastAsia" w:ascii="宋体" w:hAnsi="宋体" w:eastAsia="宋体" w:cs="宋体"/>
          <w:bCs/>
          <w:color w:val="auto"/>
          <w:sz w:val="28"/>
          <w:szCs w:val="28"/>
          <w:highlight w:val="none"/>
          <w:lang w:val="zh-CN"/>
        </w:rPr>
      </w:pPr>
      <w:r>
        <w:rPr>
          <w:rFonts w:hint="eastAsia" w:ascii="宋体" w:hAnsi="宋体" w:eastAsia="宋体" w:cs="宋体"/>
          <w:b/>
          <w:bCs/>
          <w:color w:val="auto"/>
          <w:sz w:val="28"/>
          <w:szCs w:val="28"/>
          <w:highlight w:val="none"/>
        </w:rPr>
        <w:t>13.</w:t>
      </w:r>
      <w:r>
        <w:rPr>
          <w:rFonts w:hint="eastAsia" w:ascii="宋体" w:hAnsi="宋体" w:eastAsia="宋体" w:cs="宋体"/>
          <w:b/>
          <w:bCs/>
          <w:color w:val="auto"/>
          <w:sz w:val="28"/>
          <w:szCs w:val="28"/>
          <w:highlight w:val="none"/>
          <w:lang w:val="zh-CN"/>
        </w:rPr>
        <w:t>履约保证金：</w:t>
      </w:r>
    </w:p>
    <w:p w14:paraId="043887FF">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13.1</w:t>
      </w:r>
      <w:r>
        <w:rPr>
          <w:rFonts w:hint="eastAsia" w:ascii="宋体" w:hAnsi="宋体" w:eastAsia="宋体" w:cs="宋体"/>
          <w:color w:val="auto"/>
          <w:highlight w:val="none"/>
          <w:lang w:val="zh-CN"/>
        </w:rPr>
        <w:t>乙方应在合同签订前，按磋商文件第二章 磋商须知 第9.5项的约定提交履约保证金。</w:t>
      </w:r>
    </w:p>
    <w:p w14:paraId="370A05EB">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13.2</w:t>
      </w:r>
      <w:r>
        <w:rPr>
          <w:rFonts w:hint="eastAsia" w:ascii="宋体" w:hAnsi="宋体" w:eastAsia="宋体" w:cs="宋体"/>
          <w:color w:val="auto"/>
          <w:highlight w:val="none"/>
          <w:lang w:val="zh-CN"/>
        </w:rPr>
        <w:t>履约保证金用于补偿甲方因乙方不能履行其合同义务而蒙受的损失。</w:t>
      </w:r>
    </w:p>
    <w:p w14:paraId="732AF4B5">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13.3</w:t>
      </w:r>
      <w:r>
        <w:rPr>
          <w:rFonts w:hint="eastAsia" w:ascii="宋体" w:hAnsi="宋体" w:eastAsia="宋体" w:cs="宋体"/>
          <w:color w:val="auto"/>
          <w:highlight w:val="none"/>
          <w:lang w:val="zh-CN"/>
        </w:rPr>
        <w:t>履约保证金应使用本合同货币，按下述方式之一提交（磋商文件中另有约定的除外）：</w:t>
      </w:r>
    </w:p>
    <w:p w14:paraId="1714946B">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13.3.1</w:t>
      </w:r>
      <w:r>
        <w:rPr>
          <w:rFonts w:hint="eastAsia" w:ascii="宋体" w:hAnsi="宋体" w:eastAsia="宋体" w:cs="宋体"/>
          <w:color w:val="auto"/>
          <w:highlight w:val="none"/>
          <w:lang w:val="zh-CN"/>
        </w:rPr>
        <w:t>甲方可接受的在中华人民共和国注册和营业的银行出具的履约保函；</w:t>
      </w:r>
    </w:p>
    <w:p w14:paraId="1DD629C8">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13.3.2 </w:t>
      </w:r>
      <w:r>
        <w:rPr>
          <w:rFonts w:hint="eastAsia" w:ascii="宋体" w:hAnsi="宋体" w:eastAsia="宋体" w:cs="宋体"/>
          <w:color w:val="auto"/>
          <w:highlight w:val="none"/>
          <w:lang w:val="zh-CN"/>
        </w:rPr>
        <w:t>支票。</w:t>
      </w:r>
    </w:p>
    <w:p w14:paraId="1C6DC91F">
      <w:pPr>
        <w:autoSpaceDE w:val="0"/>
        <w:autoSpaceDN w:val="0"/>
        <w:adjustRightInd w:val="0"/>
        <w:spacing w:line="360" w:lineRule="auto"/>
        <w:outlineLvl w:val="9"/>
        <w:rPr>
          <w:rFonts w:hint="eastAsia" w:ascii="宋体" w:hAnsi="宋体" w:eastAsia="宋体" w:cs="宋体"/>
          <w:bCs/>
          <w:color w:val="auto"/>
          <w:sz w:val="28"/>
          <w:szCs w:val="28"/>
          <w:highlight w:val="none"/>
        </w:rPr>
      </w:pPr>
      <w:r>
        <w:rPr>
          <w:rFonts w:hint="eastAsia" w:ascii="宋体" w:hAnsi="宋体" w:eastAsia="宋体" w:cs="宋体"/>
          <w:color w:val="auto"/>
          <w:highlight w:val="none"/>
        </w:rPr>
        <w:t>13.4</w:t>
      </w:r>
      <w:r>
        <w:rPr>
          <w:rFonts w:hint="eastAsia" w:ascii="宋体" w:hAnsi="宋体" w:eastAsia="宋体" w:cs="宋体"/>
          <w:color w:val="auto"/>
          <w:highlight w:val="none"/>
          <w:lang w:val="zh-CN"/>
        </w:rPr>
        <w:t>乙方未能按合同规定履行其义务，甲方有权从履约保证金中取得补偿。货物验收合格后，甲方将履约保证金退还乙方或转为质量保证金。</w:t>
      </w:r>
      <w:r>
        <w:rPr>
          <w:rFonts w:hint="eastAsia" w:ascii="宋体" w:hAnsi="宋体" w:eastAsia="宋体" w:cs="宋体"/>
          <w:bCs/>
          <w:color w:val="auto"/>
          <w:sz w:val="28"/>
          <w:szCs w:val="28"/>
          <w:highlight w:val="none"/>
        </w:rPr>
        <w:t xml:space="preserve"> </w:t>
      </w:r>
    </w:p>
    <w:p w14:paraId="3756A650">
      <w:pPr>
        <w:autoSpaceDE w:val="0"/>
        <w:autoSpaceDN w:val="0"/>
        <w:adjustRightInd w:val="0"/>
        <w:spacing w:line="360" w:lineRule="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14.</w:t>
      </w:r>
      <w:r>
        <w:rPr>
          <w:rFonts w:hint="eastAsia" w:ascii="宋体" w:hAnsi="宋体" w:eastAsia="宋体" w:cs="宋体"/>
          <w:b/>
          <w:bCs/>
          <w:color w:val="auto"/>
          <w:sz w:val="28"/>
          <w:szCs w:val="28"/>
          <w:highlight w:val="none"/>
          <w:lang w:val="zh-CN"/>
        </w:rPr>
        <w:t>索赔</w:t>
      </w:r>
    </w:p>
    <w:p w14:paraId="1D6EB647">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14.1</w:t>
      </w:r>
      <w:r>
        <w:rPr>
          <w:rFonts w:hint="eastAsia" w:ascii="宋体" w:hAnsi="宋体" w:eastAsia="宋体" w:cs="宋体"/>
          <w:color w:val="auto"/>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319AB9F2">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14.2</w:t>
      </w:r>
      <w:r>
        <w:rPr>
          <w:rFonts w:hint="eastAsia" w:ascii="宋体" w:hAnsi="宋体" w:eastAsia="宋体" w:cs="宋体"/>
          <w:color w:val="auto"/>
          <w:highlight w:val="none"/>
          <w:lang w:val="zh-CN"/>
        </w:rPr>
        <w:t>在履约保证期和检验期内，乙方对甲方提出的索赔负有责任，乙方应按照甲方同意的下列一种或多种方式解决索赔事宜：</w:t>
      </w:r>
    </w:p>
    <w:p w14:paraId="31ADB83C">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14.2.1</w:t>
      </w:r>
      <w:r>
        <w:rPr>
          <w:rFonts w:hint="eastAsia" w:ascii="宋体" w:hAnsi="宋体" w:eastAsia="宋体" w:cs="宋体"/>
          <w:color w:val="auto"/>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43CEC6FC">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14.2.2</w:t>
      </w:r>
      <w:r>
        <w:rPr>
          <w:rFonts w:hint="eastAsia" w:ascii="宋体" w:hAnsi="宋体" w:eastAsia="宋体" w:cs="宋体"/>
          <w:color w:val="auto"/>
          <w:highlight w:val="none"/>
          <w:lang w:val="zh-CN"/>
        </w:rPr>
        <w:t>根据货物低劣程度、损坏程度以及甲方所遭受损失的数额，经甲乙双方商定降低货物的价格，或由有资质的中介机构评估，以降低后的价格或评估价格为准。</w:t>
      </w:r>
    </w:p>
    <w:p w14:paraId="041C1CA5">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14.2.3</w:t>
      </w:r>
      <w:r>
        <w:rPr>
          <w:rFonts w:hint="eastAsia" w:ascii="宋体" w:hAnsi="宋体" w:eastAsia="宋体" w:cs="宋体"/>
          <w:color w:val="auto"/>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13B32197">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14.3</w:t>
      </w:r>
      <w:r>
        <w:rPr>
          <w:rFonts w:hint="eastAsia" w:ascii="宋体" w:hAnsi="宋体" w:eastAsia="宋体" w:cs="宋体"/>
          <w:color w:val="auto"/>
          <w:highlight w:val="none"/>
          <w:lang w:val="zh-CN"/>
        </w:rPr>
        <w:t>乙方收到甲方发出的索赔通知之日起</w:t>
      </w:r>
      <w:r>
        <w:rPr>
          <w:rFonts w:hint="eastAsia" w:ascii="宋体" w:hAnsi="宋体" w:eastAsia="宋体" w:cs="宋体"/>
          <w:color w:val="auto"/>
          <w:highlight w:val="none"/>
        </w:rPr>
        <w:t>5</w:t>
      </w:r>
      <w:r>
        <w:rPr>
          <w:rFonts w:hint="eastAsia" w:ascii="宋体" w:hAnsi="宋体" w:eastAsia="宋体" w:cs="宋体"/>
          <w:color w:val="auto"/>
          <w:highlight w:val="none"/>
          <w:lang w:val="zh-CN"/>
        </w:rPr>
        <w:t>个工作日内未作答复的，甲方可从合同款中扣回索赔金额，如金额不足以补偿索赔金额，乙方应补足差额部分。</w:t>
      </w:r>
    </w:p>
    <w:p w14:paraId="7AD08287">
      <w:pPr>
        <w:autoSpaceDE w:val="0"/>
        <w:autoSpaceDN w:val="0"/>
        <w:adjustRightInd w:val="0"/>
        <w:spacing w:line="360" w:lineRule="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15.</w:t>
      </w:r>
      <w:r>
        <w:rPr>
          <w:rFonts w:hint="eastAsia" w:ascii="宋体" w:hAnsi="宋体" w:eastAsia="宋体" w:cs="宋体"/>
          <w:b/>
          <w:bCs/>
          <w:color w:val="auto"/>
          <w:sz w:val="28"/>
          <w:szCs w:val="28"/>
          <w:highlight w:val="none"/>
          <w:lang w:val="zh-CN"/>
        </w:rPr>
        <w:t>迟延交货</w:t>
      </w:r>
    </w:p>
    <w:p w14:paraId="34E45AD4">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15.1 </w:t>
      </w:r>
      <w:r>
        <w:rPr>
          <w:rFonts w:hint="eastAsia" w:ascii="宋体" w:hAnsi="宋体" w:eastAsia="宋体" w:cs="宋体"/>
          <w:color w:val="auto"/>
          <w:highlight w:val="none"/>
          <w:lang w:val="zh-CN"/>
        </w:rPr>
        <w:t>乙方应按照合同约定的时间交货和提供服务。</w:t>
      </w:r>
    </w:p>
    <w:p w14:paraId="5B43B9A8">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15.2 </w:t>
      </w:r>
      <w:r>
        <w:rPr>
          <w:rFonts w:hint="eastAsia" w:ascii="宋体" w:hAnsi="宋体" w:eastAsia="宋体" w:cs="宋体"/>
          <w:color w:val="auto"/>
          <w:highlight w:val="none"/>
          <w:lang w:val="zh-CN"/>
        </w:rPr>
        <w:t>除不可抗力因素外，乙方迟延交货，甲方有权提出违约损失赔偿或解除合同。</w:t>
      </w:r>
    </w:p>
    <w:p w14:paraId="05CCBA8C">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15.3</w:t>
      </w:r>
      <w:r>
        <w:rPr>
          <w:rFonts w:hint="eastAsia" w:ascii="宋体" w:hAnsi="宋体" w:eastAsia="宋体" w:cs="宋体"/>
          <w:color w:val="auto"/>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54770303">
      <w:pPr>
        <w:autoSpaceDE w:val="0"/>
        <w:autoSpaceDN w:val="0"/>
        <w:adjustRightInd w:val="0"/>
        <w:spacing w:line="360" w:lineRule="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16.</w:t>
      </w:r>
      <w:r>
        <w:rPr>
          <w:rFonts w:hint="eastAsia" w:ascii="宋体" w:hAnsi="宋体" w:eastAsia="宋体" w:cs="宋体"/>
          <w:b/>
          <w:bCs/>
          <w:color w:val="auto"/>
          <w:sz w:val="28"/>
          <w:szCs w:val="28"/>
          <w:highlight w:val="none"/>
          <w:lang w:val="zh-CN"/>
        </w:rPr>
        <w:t>违约赔偿</w:t>
      </w:r>
    </w:p>
    <w:p w14:paraId="6C0E78DC">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lang w:val="zh-CN"/>
        </w:rPr>
        <w:t>除不可抗力因素外，乙方没有按照合同规定的时间交货和提供服务，甲方可要求乙方支付违约金。违约金每日按合同总价款的千分之五计收。</w:t>
      </w:r>
    </w:p>
    <w:p w14:paraId="1E417F41">
      <w:pPr>
        <w:autoSpaceDE w:val="0"/>
        <w:autoSpaceDN w:val="0"/>
        <w:adjustRightInd w:val="0"/>
        <w:spacing w:line="360" w:lineRule="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17.</w:t>
      </w:r>
      <w:r>
        <w:rPr>
          <w:rFonts w:hint="eastAsia" w:ascii="宋体" w:hAnsi="宋体" w:eastAsia="宋体" w:cs="宋体"/>
          <w:b/>
          <w:bCs/>
          <w:color w:val="auto"/>
          <w:sz w:val="28"/>
          <w:szCs w:val="28"/>
          <w:highlight w:val="none"/>
          <w:lang w:val="zh-CN"/>
        </w:rPr>
        <w:t>不可抗力</w:t>
      </w:r>
    </w:p>
    <w:p w14:paraId="6078178E">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17.1.</w:t>
      </w:r>
      <w:r>
        <w:rPr>
          <w:rFonts w:hint="eastAsia" w:ascii="宋体" w:hAnsi="宋体" w:eastAsia="宋体" w:cs="宋体"/>
          <w:color w:val="auto"/>
          <w:highlight w:val="none"/>
          <w:lang w:val="zh-CN"/>
        </w:rPr>
        <w:t>双方中任何一方遭遇法律规定的不可抗力，致使合同履行受阻时，履行合同的期限应予延长，延长的期限应相当于不可抗力所影响的时间。</w:t>
      </w:r>
    </w:p>
    <w:p w14:paraId="352735CA">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17.2</w:t>
      </w:r>
      <w:r>
        <w:rPr>
          <w:rFonts w:hint="eastAsia" w:ascii="宋体" w:hAnsi="宋体" w:eastAsia="宋体" w:cs="宋体"/>
          <w:color w:val="auto"/>
          <w:highlight w:val="none"/>
          <w:lang w:val="zh-CN"/>
        </w:rPr>
        <w:t>受事故影响的一方应在不可抗力的事故发生后以书面形式通知另一方。</w:t>
      </w:r>
    </w:p>
    <w:p w14:paraId="766EEB85">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17.3</w:t>
      </w:r>
      <w:r>
        <w:rPr>
          <w:rFonts w:hint="eastAsia" w:ascii="宋体" w:hAnsi="宋体" w:eastAsia="宋体" w:cs="宋体"/>
          <w:color w:val="auto"/>
          <w:highlight w:val="none"/>
          <w:lang w:val="zh-CN"/>
        </w:rPr>
        <w:t>不可抗力使合同的某些内容有变更必要的，</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双方应通过协商达成进一步履行合同的协议，因不可抗力致使合同不能履行的，合同终止。</w:t>
      </w:r>
    </w:p>
    <w:p w14:paraId="415BB255">
      <w:pPr>
        <w:autoSpaceDE w:val="0"/>
        <w:autoSpaceDN w:val="0"/>
        <w:adjustRightInd w:val="0"/>
        <w:spacing w:line="360" w:lineRule="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18.</w:t>
      </w:r>
      <w:r>
        <w:rPr>
          <w:rFonts w:hint="eastAsia" w:ascii="宋体" w:hAnsi="宋体" w:eastAsia="宋体" w:cs="宋体"/>
          <w:b/>
          <w:bCs/>
          <w:color w:val="auto"/>
          <w:sz w:val="28"/>
          <w:szCs w:val="28"/>
          <w:highlight w:val="none"/>
          <w:lang w:val="zh-CN"/>
        </w:rPr>
        <w:t>税费</w:t>
      </w:r>
    </w:p>
    <w:p w14:paraId="7ED06AF8">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lang w:val="zh-CN"/>
        </w:rPr>
        <w:t>与本合同有关的一切税费均由乙方承担。</w:t>
      </w:r>
    </w:p>
    <w:p w14:paraId="1E7A154C">
      <w:pPr>
        <w:autoSpaceDE w:val="0"/>
        <w:autoSpaceDN w:val="0"/>
        <w:adjustRightInd w:val="0"/>
        <w:spacing w:line="360" w:lineRule="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19.</w:t>
      </w:r>
      <w:r>
        <w:rPr>
          <w:rFonts w:hint="eastAsia" w:ascii="宋体" w:hAnsi="宋体" w:eastAsia="宋体" w:cs="宋体"/>
          <w:b/>
          <w:bCs/>
          <w:color w:val="auto"/>
          <w:sz w:val="28"/>
          <w:szCs w:val="28"/>
          <w:highlight w:val="none"/>
          <w:lang w:val="zh-CN"/>
        </w:rPr>
        <w:t>合同争议的解决</w:t>
      </w:r>
    </w:p>
    <w:p w14:paraId="640BBEB4">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19.1</w:t>
      </w:r>
      <w:r>
        <w:rPr>
          <w:rFonts w:hint="eastAsia" w:ascii="宋体" w:hAnsi="宋体" w:eastAsia="宋体" w:cs="宋体"/>
          <w:color w:val="auto"/>
          <w:highlight w:val="none"/>
          <w:lang w:val="zh-CN"/>
        </w:rPr>
        <w:t>甲方和乙方由于本合同的履行而发生任何争议时，双方可先通过协商解决。</w:t>
      </w:r>
    </w:p>
    <w:p w14:paraId="10B33C69">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19.2</w:t>
      </w:r>
      <w:r>
        <w:rPr>
          <w:rFonts w:hint="eastAsia" w:ascii="宋体" w:hAnsi="宋体" w:eastAsia="宋体" w:cs="宋体"/>
          <w:color w:val="auto"/>
          <w:highlight w:val="none"/>
          <w:lang w:val="zh-CN"/>
        </w:rPr>
        <w:t>任何一方不愿通过协商或通过协商仍不能解决争议，则双方中任何一方均应向甲方所在地人民法院起诉。</w:t>
      </w:r>
    </w:p>
    <w:p w14:paraId="0556634E">
      <w:pPr>
        <w:autoSpaceDE w:val="0"/>
        <w:autoSpaceDN w:val="0"/>
        <w:adjustRightInd w:val="0"/>
        <w:spacing w:line="360" w:lineRule="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20.</w:t>
      </w:r>
      <w:r>
        <w:rPr>
          <w:rFonts w:hint="eastAsia" w:ascii="宋体" w:hAnsi="宋体" w:eastAsia="宋体" w:cs="宋体"/>
          <w:b/>
          <w:bCs/>
          <w:color w:val="auto"/>
          <w:sz w:val="28"/>
          <w:szCs w:val="28"/>
          <w:highlight w:val="none"/>
          <w:lang w:val="zh-CN"/>
        </w:rPr>
        <w:t>违约解除合同</w:t>
      </w:r>
    </w:p>
    <w:p w14:paraId="5F0AD11F">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20.1</w:t>
      </w:r>
      <w:r>
        <w:rPr>
          <w:rFonts w:hint="eastAsia" w:ascii="宋体" w:hAnsi="宋体" w:eastAsia="宋体" w:cs="宋体"/>
          <w:color w:val="auto"/>
          <w:highlight w:val="none"/>
          <w:lang w:val="zh-CN"/>
        </w:rPr>
        <w:t>出现下列情形之一的，视为乙方违约。甲方可向乙方发出书面通知，部分或全部终止合同，同时保留向乙方索赔的权利。</w:t>
      </w:r>
    </w:p>
    <w:p w14:paraId="41C461A5">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20.1.1</w:t>
      </w:r>
      <w:r>
        <w:rPr>
          <w:rFonts w:hint="eastAsia" w:ascii="宋体" w:hAnsi="宋体" w:eastAsia="宋体" w:cs="宋体"/>
          <w:color w:val="auto"/>
          <w:highlight w:val="none"/>
          <w:lang w:val="zh-CN"/>
        </w:rPr>
        <w:t>乙方未能在合同规定的限期或甲方同意延长的限期内，提供全部或部分货物的；</w:t>
      </w:r>
    </w:p>
    <w:p w14:paraId="49C6A6F1">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20.1.2</w:t>
      </w:r>
      <w:r>
        <w:rPr>
          <w:rFonts w:hint="eastAsia" w:ascii="宋体" w:hAnsi="宋体" w:eastAsia="宋体" w:cs="宋体"/>
          <w:color w:val="auto"/>
          <w:highlight w:val="none"/>
          <w:lang w:val="zh-CN"/>
        </w:rPr>
        <w:t>乙方未能履行合同规定的其它主要义务的；</w:t>
      </w:r>
    </w:p>
    <w:p w14:paraId="4DCC2817">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20.1.3</w:t>
      </w:r>
      <w:r>
        <w:rPr>
          <w:rFonts w:hint="eastAsia" w:ascii="宋体" w:hAnsi="宋体" w:eastAsia="宋体" w:cs="宋体"/>
          <w:color w:val="auto"/>
          <w:highlight w:val="none"/>
          <w:lang w:val="zh-CN"/>
        </w:rPr>
        <w:t>乙方在本合同履行过程中有欺诈行为的。</w:t>
      </w:r>
    </w:p>
    <w:p w14:paraId="7F100551">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20.2</w:t>
      </w:r>
      <w:r>
        <w:rPr>
          <w:rFonts w:hint="eastAsia" w:ascii="宋体" w:hAnsi="宋体" w:eastAsia="宋体" w:cs="宋体"/>
          <w:color w:val="auto"/>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E790A7C">
      <w:pPr>
        <w:autoSpaceDE w:val="0"/>
        <w:autoSpaceDN w:val="0"/>
        <w:adjustRightInd w:val="0"/>
        <w:spacing w:line="360" w:lineRule="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21.</w:t>
      </w:r>
      <w:r>
        <w:rPr>
          <w:rFonts w:hint="eastAsia" w:ascii="宋体" w:hAnsi="宋体" w:eastAsia="宋体" w:cs="宋体"/>
          <w:b/>
          <w:bCs/>
          <w:color w:val="auto"/>
          <w:sz w:val="28"/>
          <w:szCs w:val="28"/>
          <w:highlight w:val="none"/>
          <w:lang w:val="zh-CN"/>
        </w:rPr>
        <w:t>破产终止合同</w:t>
      </w:r>
    </w:p>
    <w:p w14:paraId="281CD4CC">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14:paraId="7699BA21">
      <w:pPr>
        <w:autoSpaceDE w:val="0"/>
        <w:autoSpaceDN w:val="0"/>
        <w:adjustRightInd w:val="0"/>
        <w:spacing w:line="360" w:lineRule="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22.</w:t>
      </w:r>
      <w:r>
        <w:rPr>
          <w:rFonts w:hint="eastAsia" w:ascii="宋体" w:hAnsi="宋体" w:eastAsia="宋体" w:cs="宋体"/>
          <w:b/>
          <w:bCs/>
          <w:color w:val="auto"/>
          <w:sz w:val="28"/>
          <w:szCs w:val="28"/>
          <w:highlight w:val="none"/>
          <w:lang w:val="zh-CN"/>
        </w:rPr>
        <w:t>转让和分包</w:t>
      </w:r>
    </w:p>
    <w:p w14:paraId="459200EE">
      <w:pPr>
        <w:autoSpaceDE w:val="0"/>
        <w:autoSpaceDN w:val="0"/>
        <w:adjustRightInd w:val="0"/>
        <w:spacing w:line="360" w:lineRule="auto"/>
        <w:ind w:firstLine="360"/>
        <w:outlineLvl w:val="9"/>
        <w:rPr>
          <w:rFonts w:hint="eastAsia" w:ascii="宋体" w:hAnsi="宋体" w:eastAsia="宋体" w:cs="宋体"/>
          <w:color w:val="auto"/>
          <w:highlight w:val="none"/>
        </w:rPr>
      </w:pPr>
      <w:r>
        <w:rPr>
          <w:rFonts w:hint="eastAsia" w:ascii="宋体" w:hAnsi="宋体" w:eastAsia="宋体" w:cs="宋体"/>
          <w:color w:val="auto"/>
          <w:highlight w:val="none"/>
        </w:rPr>
        <w:t>22.1</w:t>
      </w:r>
      <w:r>
        <w:rPr>
          <w:rFonts w:hint="eastAsia" w:ascii="宋体" w:hAnsi="宋体" w:eastAsia="宋体" w:cs="宋体"/>
          <w:color w:val="auto"/>
          <w:highlight w:val="none"/>
          <w:lang w:val="zh-CN"/>
        </w:rPr>
        <w:t>政府采购合同不能转让。</w:t>
      </w:r>
    </w:p>
    <w:p w14:paraId="6EE70277">
      <w:pPr>
        <w:autoSpaceDE w:val="0"/>
        <w:autoSpaceDN w:val="0"/>
        <w:adjustRightInd w:val="0"/>
        <w:spacing w:line="360" w:lineRule="auto"/>
        <w:ind w:firstLine="360"/>
        <w:outlineLvl w:val="9"/>
        <w:rPr>
          <w:rFonts w:hint="eastAsia" w:ascii="宋体" w:hAnsi="宋体" w:eastAsia="宋体" w:cs="宋体"/>
          <w:color w:val="auto"/>
          <w:highlight w:val="none"/>
        </w:rPr>
      </w:pPr>
      <w:r>
        <w:rPr>
          <w:rFonts w:hint="eastAsia" w:ascii="宋体" w:hAnsi="宋体" w:eastAsia="宋体" w:cs="宋体"/>
          <w:color w:val="auto"/>
          <w:highlight w:val="none"/>
        </w:rPr>
        <w:t>22.2</w:t>
      </w:r>
      <w:r>
        <w:rPr>
          <w:rFonts w:hint="eastAsia" w:ascii="宋体" w:hAnsi="宋体" w:eastAsia="宋体" w:cs="宋体"/>
          <w:color w:val="auto"/>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5DEA0792">
      <w:pPr>
        <w:autoSpaceDE w:val="0"/>
        <w:autoSpaceDN w:val="0"/>
        <w:adjustRightInd w:val="0"/>
        <w:spacing w:line="360" w:lineRule="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23.</w:t>
      </w:r>
      <w:r>
        <w:rPr>
          <w:rFonts w:hint="eastAsia" w:ascii="宋体" w:hAnsi="宋体" w:eastAsia="宋体" w:cs="宋体"/>
          <w:b/>
          <w:bCs/>
          <w:color w:val="auto"/>
          <w:sz w:val="28"/>
          <w:szCs w:val="28"/>
          <w:highlight w:val="none"/>
          <w:lang w:val="zh-CN"/>
        </w:rPr>
        <w:t>合同修改</w:t>
      </w:r>
    </w:p>
    <w:p w14:paraId="22A96C12">
      <w:pPr>
        <w:autoSpaceDE w:val="0"/>
        <w:autoSpaceDN w:val="0"/>
        <w:adjustRightInd w:val="0"/>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lang w:val="zh-CN"/>
        </w:rPr>
        <w:t>甲方和乙方都不得擅自变更本合同，但合同继续履行将损害国家和社会公共利益的除外。如必须对合同条款进行改动时，当事人双方须共同签署书面文件，做为合同的补充。</w:t>
      </w:r>
    </w:p>
    <w:p w14:paraId="4EECC9DD">
      <w:pPr>
        <w:autoSpaceDE w:val="0"/>
        <w:autoSpaceDN w:val="0"/>
        <w:adjustRightInd w:val="0"/>
        <w:spacing w:line="360" w:lineRule="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24.</w:t>
      </w:r>
      <w:r>
        <w:rPr>
          <w:rFonts w:hint="eastAsia" w:ascii="宋体" w:hAnsi="宋体" w:eastAsia="宋体" w:cs="宋体"/>
          <w:b/>
          <w:bCs/>
          <w:color w:val="auto"/>
          <w:sz w:val="28"/>
          <w:szCs w:val="28"/>
          <w:highlight w:val="none"/>
          <w:lang w:val="zh-CN"/>
        </w:rPr>
        <w:t>通知</w:t>
      </w:r>
    </w:p>
    <w:p w14:paraId="26E89ED4">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lang w:val="zh-CN"/>
        </w:rPr>
        <w:t>本合同任何一方给另一方的通知，都应以书面形式发送，而另一方也应以书面形式确认并发送到对方明确的地址。</w:t>
      </w:r>
    </w:p>
    <w:p w14:paraId="54425D1B">
      <w:pPr>
        <w:autoSpaceDE w:val="0"/>
        <w:autoSpaceDN w:val="0"/>
        <w:adjustRightInd w:val="0"/>
        <w:spacing w:line="360" w:lineRule="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25.</w:t>
      </w:r>
      <w:r>
        <w:rPr>
          <w:rFonts w:hint="eastAsia" w:ascii="宋体" w:hAnsi="宋体" w:eastAsia="宋体" w:cs="宋体"/>
          <w:b/>
          <w:bCs/>
          <w:color w:val="auto"/>
          <w:sz w:val="28"/>
          <w:szCs w:val="28"/>
          <w:highlight w:val="none"/>
          <w:lang w:val="zh-CN"/>
        </w:rPr>
        <w:t>计量单位</w:t>
      </w:r>
    </w:p>
    <w:p w14:paraId="76890112">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lang w:val="zh-CN"/>
        </w:rPr>
        <w:t>除技术规范中另有规定外</w:t>
      </w:r>
      <w:r>
        <w:rPr>
          <w:rFonts w:hint="eastAsia" w:ascii="宋体" w:hAnsi="宋体" w:eastAsia="宋体" w:cs="宋体"/>
          <w:color w:val="auto"/>
          <w:highlight w:val="none"/>
        </w:rPr>
        <w:t>,</w:t>
      </w:r>
      <w:r>
        <w:rPr>
          <w:rFonts w:hint="eastAsia" w:ascii="宋体" w:hAnsi="宋体" w:eastAsia="宋体" w:cs="宋体"/>
          <w:color w:val="auto"/>
          <w:highlight w:val="none"/>
          <w:lang w:val="zh-CN"/>
        </w:rPr>
        <w:t>计量单位均使用国家法定计量单位。</w:t>
      </w:r>
    </w:p>
    <w:p w14:paraId="7CF577FA">
      <w:pPr>
        <w:autoSpaceDE w:val="0"/>
        <w:autoSpaceDN w:val="0"/>
        <w:adjustRightInd w:val="0"/>
        <w:spacing w:line="360" w:lineRule="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26.</w:t>
      </w:r>
      <w:r>
        <w:rPr>
          <w:rFonts w:hint="eastAsia" w:ascii="宋体" w:hAnsi="宋体" w:eastAsia="宋体" w:cs="宋体"/>
          <w:b/>
          <w:bCs/>
          <w:color w:val="auto"/>
          <w:sz w:val="28"/>
          <w:szCs w:val="28"/>
          <w:highlight w:val="none"/>
          <w:lang w:val="zh-CN"/>
        </w:rPr>
        <w:t>适用法律</w:t>
      </w:r>
    </w:p>
    <w:p w14:paraId="24D45030">
      <w:pPr>
        <w:autoSpaceDE w:val="0"/>
        <w:autoSpaceDN w:val="0"/>
        <w:adjustRightInd w:val="0"/>
        <w:spacing w:line="360" w:lineRule="auto"/>
        <w:ind w:firstLine="480"/>
        <w:outlineLvl w:val="9"/>
        <w:rPr>
          <w:rFonts w:ascii="Calibri" w:hAnsi="Calibri" w:cs="Calibri"/>
          <w:color w:val="auto"/>
          <w:sz w:val="28"/>
          <w:szCs w:val="28"/>
          <w:highlight w:val="none"/>
        </w:rPr>
      </w:pPr>
      <w:r>
        <w:rPr>
          <w:rFonts w:hint="eastAsia" w:ascii="宋体" w:hAnsi="宋体" w:eastAsia="宋体" w:cs="宋体"/>
          <w:color w:val="auto"/>
          <w:highlight w:val="none"/>
          <w:lang w:val="zh-CN"/>
        </w:rPr>
        <w:t>本合同按照中华人民共和国的相关法律进行解释。</w:t>
      </w:r>
    </w:p>
    <w:p w14:paraId="11F9B94B">
      <w:pPr>
        <w:autoSpaceDE w:val="0"/>
        <w:autoSpaceDN w:val="0"/>
        <w:adjustRightInd w:val="0"/>
        <w:spacing w:line="400" w:lineRule="exact"/>
        <w:outlineLvl w:val="9"/>
        <w:rPr>
          <w:rFonts w:hint="eastAsia" w:ascii="Calibri" w:hAnsi="Calibri" w:cs="Calibri"/>
          <w:color w:val="auto"/>
          <w:sz w:val="28"/>
          <w:szCs w:val="28"/>
          <w:highlight w:val="none"/>
        </w:rPr>
      </w:pPr>
    </w:p>
    <w:p w14:paraId="1373E585">
      <w:pPr>
        <w:autoSpaceDE w:val="0"/>
        <w:autoSpaceDN w:val="0"/>
        <w:adjustRightInd w:val="0"/>
        <w:spacing w:line="400" w:lineRule="exact"/>
        <w:outlineLvl w:val="9"/>
        <w:rPr>
          <w:rFonts w:hint="eastAsia" w:ascii="Calibri" w:hAnsi="Calibri" w:cs="Calibri"/>
          <w:color w:val="auto"/>
          <w:sz w:val="28"/>
          <w:szCs w:val="28"/>
          <w:highlight w:val="none"/>
        </w:rPr>
      </w:pPr>
    </w:p>
    <w:p w14:paraId="35FCB265">
      <w:pPr>
        <w:autoSpaceDE w:val="0"/>
        <w:autoSpaceDN w:val="0"/>
        <w:adjustRightInd w:val="0"/>
        <w:spacing w:line="400" w:lineRule="exact"/>
        <w:outlineLvl w:val="9"/>
        <w:rPr>
          <w:rFonts w:hint="eastAsia" w:ascii="Calibri" w:hAnsi="Calibri" w:cs="Calibri"/>
          <w:color w:val="auto"/>
          <w:sz w:val="28"/>
          <w:szCs w:val="28"/>
          <w:highlight w:val="none"/>
        </w:rPr>
      </w:pPr>
    </w:p>
    <w:p w14:paraId="2BDFB52D">
      <w:pPr>
        <w:autoSpaceDE w:val="0"/>
        <w:autoSpaceDN w:val="0"/>
        <w:adjustRightInd w:val="0"/>
        <w:spacing w:line="400" w:lineRule="exact"/>
        <w:outlineLvl w:val="9"/>
        <w:rPr>
          <w:rFonts w:hint="eastAsia" w:ascii="Calibri" w:hAnsi="Calibri" w:cs="Calibri"/>
          <w:color w:val="auto"/>
          <w:sz w:val="28"/>
          <w:szCs w:val="28"/>
          <w:highlight w:val="none"/>
        </w:rPr>
      </w:pPr>
    </w:p>
    <w:p w14:paraId="672D6D72">
      <w:pPr>
        <w:numPr>
          <w:ilvl w:val="0"/>
          <w:numId w:val="0"/>
        </w:numPr>
        <w:tabs>
          <w:tab w:val="left" w:pos="425"/>
          <w:tab w:val="left" w:pos="4265"/>
        </w:tabs>
        <w:outlineLvl w:val="9"/>
        <w:rPr>
          <w:rFonts w:hint="eastAsia" w:ascii="宋体" w:hAnsi="宋体" w:eastAsia="宋体" w:cs="宋体"/>
          <w:color w:val="auto"/>
          <w:sz w:val="28"/>
          <w:szCs w:val="28"/>
          <w:highlight w:val="none"/>
        </w:rPr>
      </w:pPr>
      <w:r>
        <w:rPr>
          <w:rFonts w:hint="eastAsia" w:ascii="宋体" w:hAnsi="宋体" w:eastAsia="宋体" w:cs="宋体"/>
          <w:b/>
          <w:color w:val="auto"/>
          <w:sz w:val="32"/>
          <w:highlight w:val="none"/>
          <w:lang w:val="en-US" w:eastAsia="zh-CN"/>
        </w:rPr>
        <w:t xml:space="preserve"> </w:t>
      </w:r>
      <w:r>
        <w:rPr>
          <w:rFonts w:hint="eastAsia" w:ascii="宋体" w:hAnsi="宋体" w:eastAsia="宋体" w:cs="宋体"/>
          <w:color w:val="auto"/>
          <w:sz w:val="28"/>
          <w:szCs w:val="28"/>
          <w:highlight w:val="none"/>
        </w:rPr>
        <w:t>响应文件（格式）</w:t>
      </w:r>
    </w:p>
    <w:p w14:paraId="15FDDC70">
      <w:pPr>
        <w:outlineLvl w:val="9"/>
        <w:rPr>
          <w:rFonts w:hint="eastAsia" w:ascii="宋体" w:hAnsi="宋体" w:eastAsia="宋体" w:cs="宋体"/>
          <w:b/>
          <w:color w:val="auto"/>
          <w:sz w:val="72"/>
          <w:highlight w:val="none"/>
        </w:rPr>
      </w:pPr>
    </w:p>
    <w:p w14:paraId="37027A36">
      <w:pPr>
        <w:jc w:val="center"/>
        <w:outlineLvl w:val="9"/>
        <w:rPr>
          <w:rFonts w:hint="eastAsia" w:ascii="宋体" w:hAnsi="宋体" w:eastAsia="宋体" w:cs="宋体"/>
          <w:b/>
          <w:color w:val="auto"/>
          <w:sz w:val="72"/>
          <w:highlight w:val="none"/>
        </w:rPr>
      </w:pPr>
      <w:r>
        <w:rPr>
          <w:rFonts w:hint="eastAsia" w:ascii="宋体" w:hAnsi="宋体" w:eastAsia="宋体" w:cs="宋体"/>
          <w:b/>
          <w:color w:val="auto"/>
          <w:sz w:val="72"/>
          <w:highlight w:val="none"/>
        </w:rPr>
        <w:t>政府采购项目</w:t>
      </w:r>
    </w:p>
    <w:p w14:paraId="6D609AC0">
      <w:pPr>
        <w:jc w:val="center"/>
        <w:outlineLvl w:val="9"/>
        <w:rPr>
          <w:rFonts w:hint="eastAsia" w:ascii="宋体" w:hAnsi="宋体" w:eastAsia="宋体" w:cs="宋体"/>
          <w:b/>
          <w:color w:val="auto"/>
          <w:sz w:val="72"/>
          <w:highlight w:val="none"/>
        </w:rPr>
      </w:pPr>
      <w:r>
        <w:rPr>
          <w:rFonts w:hint="eastAsia" w:ascii="宋体" w:hAnsi="宋体" w:eastAsia="宋体" w:cs="宋体"/>
          <w:b/>
          <w:color w:val="auto"/>
          <w:sz w:val="72"/>
          <w:highlight w:val="none"/>
        </w:rPr>
        <w:t>响 应 文 件</w:t>
      </w:r>
    </w:p>
    <w:p w14:paraId="03D1F1D1">
      <w:pPr>
        <w:jc w:val="center"/>
        <w:outlineLvl w:val="9"/>
        <w:rPr>
          <w:rFonts w:hint="eastAsia" w:ascii="宋体" w:hAnsi="宋体" w:eastAsia="宋体" w:cs="宋体"/>
          <w:b/>
          <w:color w:val="auto"/>
          <w:sz w:val="44"/>
          <w:highlight w:val="none"/>
        </w:rPr>
      </w:pPr>
      <w:r>
        <w:rPr>
          <w:rFonts w:hint="eastAsia" w:ascii="宋体" w:hAnsi="宋体" w:eastAsia="宋体" w:cs="宋体"/>
          <w:b/>
          <w:color w:val="auto"/>
          <w:sz w:val="44"/>
          <w:highlight w:val="none"/>
        </w:rPr>
        <w:t>（封面）</w:t>
      </w:r>
    </w:p>
    <w:p w14:paraId="240E335D">
      <w:pPr>
        <w:jc w:val="center"/>
        <w:outlineLvl w:val="9"/>
        <w:rPr>
          <w:rFonts w:hint="eastAsia" w:ascii="宋体" w:hAnsi="宋体" w:eastAsia="宋体" w:cs="宋体"/>
          <w:b/>
          <w:color w:val="auto"/>
          <w:sz w:val="36"/>
          <w:highlight w:val="none"/>
        </w:rPr>
      </w:pPr>
    </w:p>
    <w:p w14:paraId="4EF541AA">
      <w:pPr>
        <w:jc w:val="center"/>
        <w:outlineLvl w:val="9"/>
        <w:rPr>
          <w:rFonts w:hint="eastAsia" w:ascii="宋体" w:hAnsi="宋体" w:eastAsia="宋体" w:cs="宋体"/>
          <w:b/>
          <w:color w:val="auto"/>
          <w:sz w:val="36"/>
          <w:highlight w:val="none"/>
        </w:rPr>
      </w:pPr>
    </w:p>
    <w:p w14:paraId="08D6E7EE">
      <w:pPr>
        <w:jc w:val="center"/>
        <w:outlineLvl w:val="9"/>
        <w:rPr>
          <w:rFonts w:hint="eastAsia" w:ascii="宋体" w:hAnsi="宋体" w:eastAsia="宋体" w:cs="宋体"/>
          <w:b/>
          <w:color w:val="auto"/>
          <w:sz w:val="36"/>
          <w:highlight w:val="none"/>
        </w:rPr>
      </w:pPr>
    </w:p>
    <w:p w14:paraId="1B6E88DE">
      <w:pPr>
        <w:jc w:val="center"/>
        <w:outlineLvl w:val="9"/>
        <w:rPr>
          <w:rFonts w:hint="eastAsia" w:ascii="宋体" w:hAnsi="宋体" w:eastAsia="宋体" w:cs="宋体"/>
          <w:b/>
          <w:color w:val="auto"/>
          <w:sz w:val="36"/>
          <w:highlight w:val="none"/>
        </w:rPr>
      </w:pPr>
    </w:p>
    <w:p w14:paraId="06AE9DD4">
      <w:pPr>
        <w:ind w:firstLine="1970" w:firstLineChars="545"/>
        <w:outlineLvl w:val="9"/>
        <w:rPr>
          <w:rFonts w:hint="eastAsia" w:ascii="宋体" w:hAnsi="宋体" w:eastAsia="宋体" w:cs="宋体"/>
          <w:b/>
          <w:color w:val="auto"/>
          <w:sz w:val="36"/>
          <w:highlight w:val="none"/>
          <w:u w:val="single"/>
        </w:rPr>
      </w:pPr>
      <w:r>
        <w:rPr>
          <w:rFonts w:hint="eastAsia" w:ascii="宋体" w:hAnsi="宋体" w:eastAsia="宋体" w:cs="宋体"/>
          <w:b/>
          <w:color w:val="auto"/>
          <w:sz w:val="36"/>
          <w:highlight w:val="none"/>
        </w:rPr>
        <w:t>项目名称：</w:t>
      </w:r>
      <w:r>
        <w:rPr>
          <w:rFonts w:hint="eastAsia" w:ascii="宋体" w:hAnsi="宋体" w:eastAsia="宋体" w:cs="宋体"/>
          <w:b/>
          <w:color w:val="auto"/>
          <w:sz w:val="36"/>
          <w:highlight w:val="none"/>
          <w:u w:val="single"/>
        </w:rPr>
        <w:t xml:space="preserve">               </w:t>
      </w:r>
    </w:p>
    <w:p w14:paraId="1DA52361">
      <w:pPr>
        <w:ind w:firstLine="1970" w:firstLineChars="545"/>
        <w:outlineLvl w:val="9"/>
        <w:rPr>
          <w:rFonts w:hint="eastAsia" w:ascii="宋体" w:hAnsi="宋体" w:eastAsia="宋体" w:cs="宋体"/>
          <w:b/>
          <w:color w:val="auto"/>
          <w:sz w:val="36"/>
          <w:highlight w:val="none"/>
          <w:u w:val="single"/>
        </w:rPr>
      </w:pPr>
      <w:r>
        <w:rPr>
          <w:rFonts w:hint="eastAsia" w:ascii="宋体" w:hAnsi="宋体" w:eastAsia="宋体" w:cs="宋体"/>
          <w:b/>
          <w:color w:val="auto"/>
          <w:sz w:val="36"/>
          <w:highlight w:val="none"/>
        </w:rPr>
        <w:t>项目编号：</w:t>
      </w:r>
      <w:r>
        <w:rPr>
          <w:rFonts w:hint="eastAsia" w:ascii="宋体" w:hAnsi="宋体" w:eastAsia="宋体" w:cs="宋体"/>
          <w:b/>
          <w:color w:val="auto"/>
          <w:sz w:val="36"/>
          <w:highlight w:val="none"/>
          <w:u w:val="single"/>
        </w:rPr>
        <w:t xml:space="preserve">               </w:t>
      </w:r>
    </w:p>
    <w:p w14:paraId="2702CEF6">
      <w:pPr>
        <w:spacing w:line="360" w:lineRule="auto"/>
        <w:jc w:val="center"/>
        <w:outlineLvl w:val="9"/>
        <w:rPr>
          <w:rFonts w:hint="eastAsia" w:ascii="宋体" w:hAnsi="宋体" w:eastAsia="宋体" w:cs="宋体"/>
          <w:b/>
          <w:color w:val="auto"/>
          <w:sz w:val="36"/>
          <w:highlight w:val="none"/>
        </w:rPr>
      </w:pPr>
    </w:p>
    <w:p w14:paraId="14D1448F">
      <w:pPr>
        <w:spacing w:line="360" w:lineRule="auto"/>
        <w:jc w:val="center"/>
        <w:outlineLvl w:val="9"/>
        <w:rPr>
          <w:rFonts w:hint="eastAsia" w:ascii="宋体" w:hAnsi="宋体" w:eastAsia="宋体" w:cs="宋体"/>
          <w:b/>
          <w:color w:val="auto"/>
          <w:sz w:val="36"/>
          <w:highlight w:val="none"/>
        </w:rPr>
      </w:pPr>
    </w:p>
    <w:p w14:paraId="4CE816E6">
      <w:pPr>
        <w:jc w:val="center"/>
        <w:outlineLvl w:val="9"/>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（正本）</w:t>
      </w:r>
    </w:p>
    <w:p w14:paraId="50F386D1">
      <w:pPr>
        <w:outlineLvl w:val="9"/>
        <w:rPr>
          <w:rFonts w:hint="eastAsia" w:ascii="宋体" w:hAnsi="宋体" w:eastAsia="宋体" w:cs="宋体"/>
          <w:b/>
          <w:color w:val="auto"/>
          <w:sz w:val="36"/>
          <w:highlight w:val="none"/>
        </w:rPr>
      </w:pPr>
    </w:p>
    <w:p w14:paraId="1BA57F63">
      <w:pPr>
        <w:outlineLvl w:val="9"/>
        <w:rPr>
          <w:rFonts w:hint="eastAsia" w:ascii="宋体" w:hAnsi="宋体" w:eastAsia="宋体" w:cs="宋体"/>
          <w:b/>
          <w:color w:val="auto"/>
          <w:sz w:val="36"/>
          <w:highlight w:val="none"/>
        </w:rPr>
      </w:pPr>
    </w:p>
    <w:p w14:paraId="0A0CF7B6">
      <w:pPr>
        <w:outlineLvl w:val="9"/>
        <w:rPr>
          <w:rFonts w:hint="eastAsia" w:ascii="宋体" w:hAnsi="宋体" w:eastAsia="宋体" w:cs="宋体"/>
          <w:b/>
          <w:color w:val="auto"/>
          <w:sz w:val="36"/>
          <w:highlight w:val="none"/>
        </w:rPr>
      </w:pPr>
    </w:p>
    <w:p w14:paraId="57B6071F">
      <w:pPr>
        <w:outlineLvl w:val="9"/>
        <w:rPr>
          <w:rFonts w:hint="eastAsia" w:ascii="宋体" w:hAnsi="宋体" w:eastAsia="宋体" w:cs="宋体"/>
          <w:b/>
          <w:color w:val="auto"/>
          <w:sz w:val="36"/>
          <w:highlight w:val="none"/>
        </w:rPr>
      </w:pPr>
    </w:p>
    <w:p w14:paraId="07EB180C">
      <w:pPr>
        <w:outlineLvl w:val="9"/>
        <w:rPr>
          <w:rFonts w:hint="eastAsia" w:ascii="宋体" w:hAnsi="宋体" w:eastAsia="宋体" w:cs="宋体"/>
          <w:b/>
          <w:color w:val="auto"/>
          <w:sz w:val="36"/>
          <w:highlight w:val="none"/>
        </w:rPr>
      </w:pPr>
    </w:p>
    <w:p w14:paraId="061D6D75">
      <w:pPr>
        <w:spacing w:line="500" w:lineRule="exact"/>
        <w:outlineLvl w:val="9"/>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 xml:space="preserve">     供应商名称 ：</w:t>
      </w:r>
      <w:r>
        <w:rPr>
          <w:rFonts w:hint="eastAsia" w:ascii="宋体" w:hAnsi="宋体" w:eastAsia="宋体" w:cs="宋体"/>
          <w:b/>
          <w:color w:val="auto"/>
          <w:sz w:val="32"/>
          <w:highlight w:val="none"/>
          <w:u w:val="single"/>
        </w:rPr>
        <w:t xml:space="preserve">                                </w:t>
      </w:r>
    </w:p>
    <w:p w14:paraId="15EECC4D">
      <w:pPr>
        <w:spacing w:line="500" w:lineRule="exact"/>
        <w:ind w:firstLine="157" w:firstLineChars="49"/>
        <w:outlineLvl w:val="9"/>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 xml:space="preserve">    法定代表人姓名：</w:t>
      </w:r>
      <w:r>
        <w:rPr>
          <w:rFonts w:hint="eastAsia" w:ascii="宋体" w:hAnsi="宋体" w:eastAsia="宋体" w:cs="宋体"/>
          <w:b/>
          <w:color w:val="auto"/>
          <w:sz w:val="32"/>
          <w:highlight w:val="none"/>
          <w:u w:val="single"/>
        </w:rPr>
        <w:t xml:space="preserve">                 </w:t>
      </w:r>
    </w:p>
    <w:p w14:paraId="0ABD90E7">
      <w:pPr>
        <w:spacing w:line="500" w:lineRule="exact"/>
        <w:ind w:firstLine="790" w:firstLineChars="246"/>
        <w:outlineLvl w:val="9"/>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响应代表：</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 xml:space="preserve"> 签字：</w:t>
      </w:r>
      <w:r>
        <w:rPr>
          <w:rFonts w:hint="eastAsia" w:ascii="宋体" w:hAnsi="宋体" w:eastAsia="宋体" w:cs="宋体"/>
          <w:b/>
          <w:color w:val="auto"/>
          <w:sz w:val="32"/>
          <w:highlight w:val="none"/>
          <w:u w:val="single"/>
        </w:rPr>
        <w:t xml:space="preserve">          </w:t>
      </w:r>
    </w:p>
    <w:p w14:paraId="7977EAB7">
      <w:pPr>
        <w:spacing w:line="500" w:lineRule="exact"/>
        <w:ind w:firstLine="790" w:firstLineChars="246"/>
        <w:outlineLvl w:val="9"/>
        <w:rPr>
          <w:rFonts w:hint="eastAsia" w:ascii="宋体" w:hAnsi="宋体" w:eastAsia="宋体" w:cs="宋体"/>
          <w:b/>
          <w:color w:val="auto"/>
          <w:sz w:val="32"/>
          <w:highlight w:val="none"/>
        </w:rPr>
        <w:sectPr>
          <w:headerReference r:id="rId5" w:type="default"/>
          <w:footerReference r:id="rId6" w:type="default"/>
          <w:footerReference r:id="rId7" w:type="even"/>
          <w:type w:val="continuous"/>
          <w:pgSz w:w="11907" w:h="16840"/>
          <w:pgMar w:top="1440" w:right="1800" w:bottom="1440" w:left="1800" w:header="851" w:footer="992" w:gutter="0"/>
          <w:pgBorders w:offsetFrom="page">
            <w:top w:val="none" w:sz="0" w:space="0"/>
            <w:left w:val="none" w:sz="0" w:space="0"/>
            <w:bottom w:val="none" w:sz="0" w:space="0"/>
            <w:right w:val="none" w:sz="0" w:space="0"/>
          </w:pgBorders>
          <w:cols w:space="720" w:num="1"/>
          <w:docGrid w:linePitch="326" w:charSpace="0"/>
        </w:sectPr>
      </w:pPr>
      <w:r>
        <w:rPr>
          <w:rFonts w:hint="eastAsia" w:ascii="宋体" w:hAnsi="宋体" w:eastAsia="宋体" w:cs="宋体"/>
          <w:b/>
          <w:color w:val="auto"/>
          <w:sz w:val="32"/>
          <w:highlight w:val="none"/>
        </w:rPr>
        <w:t>日期 ：</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年</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月</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日</w:t>
      </w:r>
    </w:p>
    <w:p w14:paraId="0D1CEA3A">
      <w:pPr>
        <w:tabs>
          <w:tab w:val="left" w:pos="900"/>
        </w:tabs>
        <w:spacing w:line="360" w:lineRule="auto"/>
        <w:jc w:val="center"/>
        <w:outlineLvl w:val="9"/>
        <w:rPr>
          <w:rFonts w:hint="eastAsia" w:ascii="宋体" w:hAnsi="宋体" w:eastAsia="宋体" w:cs="宋体"/>
          <w:b/>
          <w:color w:val="auto"/>
          <w:sz w:val="32"/>
          <w:highlight w:val="none"/>
        </w:rPr>
      </w:pPr>
      <w:r>
        <w:rPr>
          <w:rFonts w:hint="eastAsia" w:ascii="宋体" w:hAnsi="宋体" w:cs="宋体"/>
          <w:b/>
          <w:color w:val="auto"/>
          <w:sz w:val="32"/>
          <w:highlight w:val="none"/>
          <w:lang w:val="en-US" w:eastAsia="zh-CN"/>
        </w:rPr>
        <w:t xml:space="preserve">      </w:t>
      </w:r>
      <w:r>
        <w:rPr>
          <w:rFonts w:hint="eastAsia" w:ascii="宋体" w:hAnsi="宋体" w:eastAsia="宋体" w:cs="宋体"/>
          <w:b/>
          <w:color w:val="auto"/>
          <w:sz w:val="32"/>
          <w:highlight w:val="none"/>
        </w:rPr>
        <w:t xml:space="preserve"> 资格性响应文件（格式）</w:t>
      </w:r>
    </w:p>
    <w:p w14:paraId="29076395">
      <w:pPr>
        <w:spacing w:line="360" w:lineRule="auto"/>
        <w:jc w:val="center"/>
        <w:outlineLvl w:val="9"/>
        <w:rPr>
          <w:rFonts w:hint="eastAsia" w:ascii="宋体" w:hAnsi="宋体" w:eastAsia="宋体" w:cs="宋体"/>
          <w:color w:val="auto"/>
          <w:highlight w:val="none"/>
        </w:rPr>
      </w:pPr>
      <w:r>
        <w:rPr>
          <w:rFonts w:hint="eastAsia" w:ascii="宋体" w:hAnsi="宋体" w:eastAsia="宋体" w:cs="宋体"/>
          <w:b/>
          <w:color w:val="auto"/>
          <w:highlight w:val="none"/>
        </w:rPr>
        <w:t>一、供应商的资格证明文件</w:t>
      </w:r>
    </w:p>
    <w:p w14:paraId="081907A0">
      <w:p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highlight w:val="none"/>
        </w:rPr>
        <w:t>附件1－1法定代表人证明书</w:t>
      </w:r>
    </w:p>
    <w:p w14:paraId="58E9C77C">
      <w:pPr>
        <w:ind w:firstLine="723"/>
        <w:jc w:val="center"/>
        <w:outlineLvl w:val="9"/>
        <w:rPr>
          <w:rFonts w:hint="eastAsia" w:ascii="宋体" w:hAnsi="宋体" w:eastAsia="宋体" w:cs="宋体"/>
          <w:b/>
          <w:bCs/>
          <w:color w:val="auto"/>
          <w:sz w:val="36"/>
          <w:szCs w:val="36"/>
          <w:highlight w:val="none"/>
        </w:rPr>
      </w:pPr>
    </w:p>
    <w:p w14:paraId="4730CD7C">
      <w:pPr>
        <w:ind w:firstLine="723"/>
        <w:jc w:val="center"/>
        <w:outlineLvl w:val="9"/>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法定代表人证明书</w:t>
      </w:r>
    </w:p>
    <w:p w14:paraId="75473AF0">
      <w:pPr>
        <w:outlineLvl w:val="9"/>
        <w:rPr>
          <w:rFonts w:hint="eastAsia" w:ascii="宋体" w:hAnsi="宋体" w:eastAsia="宋体" w:cs="宋体"/>
          <w:b/>
          <w:bCs/>
          <w:color w:val="auto"/>
          <w:highlight w:val="none"/>
        </w:rPr>
      </w:pPr>
    </w:p>
    <w:p w14:paraId="08CE49EA">
      <w:pPr>
        <w:outlineLvl w:val="9"/>
        <w:rPr>
          <w:rFonts w:hint="eastAsia" w:ascii="宋体" w:hAnsi="宋体" w:cs="宋体"/>
          <w:b/>
          <w:bCs/>
          <w:color w:val="auto"/>
          <w:highlight w:val="none"/>
          <w:u w:val="single"/>
          <w:lang w:val="en-US" w:eastAsia="zh-CN"/>
        </w:rPr>
      </w:pPr>
      <w:r>
        <w:rPr>
          <w:rFonts w:hint="eastAsia" w:ascii="宋体" w:hAnsi="宋体" w:eastAsia="宋体" w:cs="宋体"/>
          <w:b/>
          <w:bCs/>
          <w:color w:val="auto"/>
          <w:highlight w:val="none"/>
        </w:rPr>
        <w:t>致：</w:t>
      </w:r>
      <w:r>
        <w:rPr>
          <w:rFonts w:hint="eastAsia" w:ascii="宋体" w:hAnsi="宋体" w:cs="宋体"/>
          <w:b/>
          <w:bCs/>
          <w:color w:val="auto"/>
          <w:highlight w:val="none"/>
          <w:u w:val="single"/>
          <w:lang w:val="en-US" w:eastAsia="zh-CN"/>
        </w:rPr>
        <w:t xml:space="preserve">                         </w:t>
      </w:r>
    </w:p>
    <w:p w14:paraId="69664E84">
      <w:pPr>
        <w:pStyle w:val="2"/>
        <w:rPr>
          <w:rFonts w:hint="default"/>
          <w:color w:val="auto"/>
          <w:highlight w:val="none"/>
          <w:lang w:val="en-US"/>
        </w:rPr>
      </w:pPr>
    </w:p>
    <w:p w14:paraId="1DBA24B5">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（法定代表人姓名）  </w:t>
      </w:r>
      <w:r>
        <w:rPr>
          <w:rFonts w:hint="eastAsia" w:ascii="宋体" w:hAnsi="宋体" w:eastAsia="宋体" w:cs="宋体"/>
          <w:color w:val="auto"/>
          <w:highlight w:val="none"/>
        </w:rPr>
        <w:t>现任我单位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职务，为法定代表人，特此证明。</w:t>
      </w:r>
    </w:p>
    <w:p w14:paraId="11F60ABC">
      <w:pPr>
        <w:autoSpaceDE w:val="0"/>
        <w:autoSpaceDN w:val="0"/>
        <w:adjustRightInd w:val="0"/>
        <w:spacing w:line="360" w:lineRule="auto"/>
        <w:ind w:firstLine="480"/>
        <w:outlineLvl w:val="9"/>
        <w:rPr>
          <w:rFonts w:hint="eastAsia" w:ascii="宋体" w:hAnsi="宋体" w:eastAsia="宋体" w:cs="宋体"/>
          <w:color w:val="auto"/>
          <w:highlight w:val="none"/>
        </w:rPr>
      </w:pPr>
    </w:p>
    <w:p w14:paraId="1047674B">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法定代表人基本情况：</w:t>
      </w:r>
    </w:p>
    <w:p w14:paraId="43BEE26E">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民族：</w:t>
      </w:r>
      <w:r>
        <w:rPr>
          <w:rFonts w:hint="eastAsia" w:ascii="宋体" w:hAnsi="宋体" w:eastAsia="宋体" w:cs="宋体"/>
          <w:color w:val="auto"/>
          <w:highlight w:val="none"/>
          <w:u w:val="single"/>
        </w:rPr>
        <w:t xml:space="preserve">     </w:t>
      </w:r>
    </w:p>
    <w:p w14:paraId="063DE8BB">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p>
    <w:p w14:paraId="3DC1DA44">
      <w:pPr>
        <w:autoSpaceDE w:val="0"/>
        <w:autoSpaceDN w:val="0"/>
        <w:adjustRightInd w:val="0"/>
        <w:spacing w:line="360" w:lineRule="auto"/>
        <w:ind w:firstLine="480"/>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rPr>
        <w:t xml:space="preserve">                 </w:t>
      </w:r>
    </w:p>
    <w:p w14:paraId="46F66E52">
      <w:pPr>
        <w:autoSpaceDE w:val="0"/>
        <w:autoSpaceDN w:val="0"/>
        <w:adjustRightInd w:val="0"/>
        <w:spacing w:line="360" w:lineRule="auto"/>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rPr>
        <w:t>附法定代表人第二代身份证双面扫描（或复印）件</w:t>
      </w:r>
    </w:p>
    <w:p w14:paraId="1D0A0C65">
      <w:pPr>
        <w:autoSpaceDE w:val="0"/>
        <w:autoSpaceDN w:val="0"/>
        <w:adjustRightInd w:val="0"/>
        <w:ind w:firstLine="480"/>
        <w:outlineLvl w:val="9"/>
        <w:rPr>
          <w:rFonts w:hint="eastAsia" w:ascii="宋体" w:hAnsi="宋体" w:eastAsia="宋体" w:cs="宋体"/>
          <w:color w:val="auto"/>
          <w:highlight w:val="none"/>
        </w:rPr>
      </w:pPr>
    </w:p>
    <w:p w14:paraId="42CB7981">
      <w:pPr>
        <w:autoSpaceDE w:val="0"/>
        <w:autoSpaceDN w:val="0"/>
        <w:adjustRightInd w:val="0"/>
        <w:ind w:firstLine="480"/>
        <w:outlineLvl w:val="9"/>
        <w:rPr>
          <w:rFonts w:hint="eastAsia" w:ascii="宋体" w:hAnsi="宋体" w:eastAsia="宋体" w:cs="宋体"/>
          <w:color w:val="auto"/>
          <w:highlight w:val="none"/>
        </w:rPr>
      </w:pPr>
    </w:p>
    <w:p w14:paraId="169D2E35">
      <w:pPr>
        <w:autoSpaceDE w:val="0"/>
        <w:autoSpaceDN w:val="0"/>
        <w:adjustRightInd w:val="0"/>
        <w:ind w:firstLine="480"/>
        <w:outlineLvl w:val="9"/>
        <w:rPr>
          <w:rFonts w:hint="eastAsia" w:ascii="宋体" w:hAnsi="宋体" w:eastAsia="宋体" w:cs="宋体"/>
          <w:color w:val="auto"/>
          <w:highlight w:val="none"/>
        </w:rPr>
      </w:pPr>
    </w:p>
    <w:p w14:paraId="237D53DF">
      <w:pPr>
        <w:autoSpaceDE w:val="0"/>
        <w:autoSpaceDN w:val="0"/>
        <w:adjustRightInd w:val="0"/>
        <w:ind w:firstLine="480"/>
        <w:outlineLvl w:val="9"/>
        <w:rPr>
          <w:rFonts w:hint="eastAsia" w:ascii="宋体" w:hAnsi="宋体" w:eastAsia="宋体" w:cs="宋体"/>
          <w:color w:val="auto"/>
          <w:highlight w:val="none"/>
        </w:rPr>
      </w:pPr>
    </w:p>
    <w:p w14:paraId="07F1FB48">
      <w:pPr>
        <w:autoSpaceDE w:val="0"/>
        <w:autoSpaceDN w:val="0"/>
        <w:adjustRightInd w:val="0"/>
        <w:ind w:firstLine="480"/>
        <w:outlineLvl w:val="9"/>
        <w:rPr>
          <w:rFonts w:hint="eastAsia" w:ascii="宋体" w:hAnsi="宋体" w:eastAsia="宋体" w:cs="宋体"/>
          <w:color w:val="auto"/>
          <w:highlight w:val="none"/>
        </w:rPr>
      </w:pPr>
    </w:p>
    <w:p w14:paraId="42A65EDA">
      <w:pPr>
        <w:autoSpaceDE w:val="0"/>
        <w:autoSpaceDN w:val="0"/>
        <w:adjustRightInd w:val="0"/>
        <w:ind w:firstLine="480"/>
        <w:outlineLvl w:val="9"/>
        <w:rPr>
          <w:rFonts w:hint="eastAsia" w:ascii="宋体" w:hAnsi="宋体" w:eastAsia="宋体" w:cs="宋体"/>
          <w:color w:val="auto"/>
          <w:highlight w:val="none"/>
        </w:rPr>
      </w:pPr>
    </w:p>
    <w:p w14:paraId="0A65B2A5">
      <w:pPr>
        <w:autoSpaceDE w:val="0"/>
        <w:autoSpaceDN w:val="0"/>
        <w:adjustRightInd w:val="0"/>
        <w:ind w:firstLine="480"/>
        <w:outlineLvl w:val="9"/>
        <w:rPr>
          <w:rFonts w:hint="eastAsia" w:ascii="宋体" w:hAnsi="宋体" w:eastAsia="宋体" w:cs="宋体"/>
          <w:color w:val="auto"/>
          <w:highlight w:val="none"/>
        </w:rPr>
      </w:pPr>
    </w:p>
    <w:p w14:paraId="613B63A9">
      <w:pPr>
        <w:autoSpaceDE w:val="0"/>
        <w:autoSpaceDN w:val="0"/>
        <w:adjustRightInd w:val="0"/>
        <w:ind w:firstLine="480"/>
        <w:outlineLvl w:val="9"/>
        <w:rPr>
          <w:rFonts w:hint="eastAsia" w:ascii="宋体" w:hAnsi="宋体" w:eastAsia="宋体" w:cs="宋体"/>
          <w:color w:val="auto"/>
          <w:highlight w:val="none"/>
        </w:rPr>
      </w:pPr>
    </w:p>
    <w:p w14:paraId="7B260BBD">
      <w:pPr>
        <w:autoSpaceDE w:val="0"/>
        <w:autoSpaceDN w:val="0"/>
        <w:adjustRightInd w:val="0"/>
        <w:ind w:firstLine="480"/>
        <w:outlineLvl w:val="9"/>
        <w:rPr>
          <w:rFonts w:hint="eastAsia" w:ascii="宋体" w:hAnsi="宋体" w:eastAsia="宋体" w:cs="宋体"/>
          <w:color w:val="auto"/>
          <w:highlight w:val="none"/>
        </w:rPr>
      </w:pPr>
    </w:p>
    <w:p w14:paraId="55256392">
      <w:pPr>
        <w:autoSpaceDE w:val="0"/>
        <w:autoSpaceDN w:val="0"/>
        <w:adjustRightInd w:val="0"/>
        <w:ind w:firstLine="480"/>
        <w:outlineLvl w:val="9"/>
        <w:rPr>
          <w:rFonts w:hint="eastAsia" w:ascii="宋体" w:hAnsi="宋体" w:eastAsia="宋体" w:cs="宋体"/>
          <w:color w:val="auto"/>
          <w:highlight w:val="none"/>
        </w:rPr>
      </w:pPr>
    </w:p>
    <w:p w14:paraId="6A37ABA7">
      <w:pPr>
        <w:autoSpaceDE w:val="0"/>
        <w:autoSpaceDN w:val="0"/>
        <w:adjustRightInd w:val="0"/>
        <w:ind w:firstLine="480"/>
        <w:outlineLvl w:val="9"/>
        <w:rPr>
          <w:rFonts w:hint="eastAsia" w:ascii="宋体" w:hAnsi="宋体" w:eastAsia="宋体" w:cs="宋体"/>
          <w:color w:val="auto"/>
          <w:highlight w:val="none"/>
        </w:rPr>
      </w:pPr>
    </w:p>
    <w:p w14:paraId="4CF68694">
      <w:pPr>
        <w:autoSpaceDE w:val="0"/>
        <w:autoSpaceDN w:val="0"/>
        <w:adjustRightInd w:val="0"/>
        <w:ind w:firstLine="480"/>
        <w:outlineLvl w:val="9"/>
        <w:rPr>
          <w:rFonts w:hint="eastAsia" w:ascii="宋体" w:hAnsi="宋体" w:eastAsia="宋体" w:cs="宋体"/>
          <w:color w:val="auto"/>
          <w:highlight w:val="none"/>
        </w:rPr>
      </w:pPr>
    </w:p>
    <w:p w14:paraId="53D25866">
      <w:pPr>
        <w:autoSpaceDE w:val="0"/>
        <w:autoSpaceDN w:val="0"/>
        <w:adjustRightInd w:val="0"/>
        <w:ind w:firstLine="480"/>
        <w:outlineLvl w:val="9"/>
        <w:rPr>
          <w:rFonts w:hint="eastAsia" w:ascii="宋体" w:hAnsi="宋体" w:eastAsia="宋体" w:cs="宋体"/>
          <w:color w:val="auto"/>
          <w:highlight w:val="none"/>
        </w:rPr>
      </w:pPr>
    </w:p>
    <w:p w14:paraId="5715C5D8">
      <w:pPr>
        <w:pStyle w:val="2"/>
        <w:outlineLvl w:val="9"/>
        <w:rPr>
          <w:rFonts w:hint="eastAsia"/>
          <w:color w:val="auto"/>
          <w:highlight w:val="none"/>
        </w:rPr>
      </w:pPr>
    </w:p>
    <w:p w14:paraId="590B32E6">
      <w:pPr>
        <w:autoSpaceDE w:val="0"/>
        <w:autoSpaceDN w:val="0"/>
        <w:adjustRightInd w:val="0"/>
        <w:ind w:firstLine="480"/>
        <w:outlineLvl w:val="9"/>
        <w:rPr>
          <w:rFonts w:hint="eastAsia" w:ascii="宋体" w:hAnsi="宋体" w:eastAsia="宋体" w:cs="宋体"/>
          <w:color w:val="auto"/>
          <w:highlight w:val="none"/>
        </w:rPr>
      </w:pPr>
    </w:p>
    <w:p w14:paraId="0ED57C2D">
      <w:pPr>
        <w:autoSpaceDE w:val="0"/>
        <w:autoSpaceDN w:val="0"/>
        <w:adjustRightInd w:val="0"/>
        <w:outlineLvl w:val="9"/>
        <w:rPr>
          <w:rFonts w:hint="eastAsia" w:ascii="宋体" w:hAnsi="宋体" w:eastAsia="宋体" w:cs="宋体"/>
          <w:color w:val="auto"/>
          <w:highlight w:val="none"/>
        </w:rPr>
      </w:pPr>
    </w:p>
    <w:p w14:paraId="48E24A7B">
      <w:pPr>
        <w:ind w:firstLine="3614" w:firstLineChars="1500"/>
        <w:outlineLvl w:val="9"/>
        <w:rPr>
          <w:rFonts w:hint="eastAsia" w:ascii="宋体" w:hAnsi="宋体" w:eastAsia="宋体" w:cs="宋体"/>
          <w:b/>
          <w:color w:val="auto"/>
          <w:highlight w:val="none"/>
        </w:rPr>
      </w:pPr>
      <w:r>
        <w:rPr>
          <w:rFonts w:hint="eastAsia" w:ascii="宋体" w:hAnsi="宋体" w:eastAsia="宋体" w:cs="宋体"/>
          <w:b/>
          <w:color w:val="auto"/>
          <w:highlight w:val="none"/>
        </w:rPr>
        <w:t>投标人：</w:t>
      </w:r>
      <w:r>
        <w:rPr>
          <w:rFonts w:hint="eastAsia" w:ascii="宋体" w:hAnsi="宋体" w:eastAsia="宋体" w:cs="宋体"/>
          <w:color w:val="auto"/>
          <w:highlight w:val="none"/>
          <w:u w:val="single"/>
        </w:rPr>
        <w:t xml:space="preserve">       </w:t>
      </w:r>
      <w:r>
        <w:rPr>
          <w:rFonts w:hint="eastAsia" w:ascii="宋体" w:hAnsi="宋体" w:eastAsia="宋体" w:cs="宋体"/>
          <w:b/>
          <w:color w:val="auto"/>
          <w:highlight w:val="none"/>
        </w:rPr>
        <w:t>（公章）</w:t>
      </w:r>
    </w:p>
    <w:p w14:paraId="30E17440">
      <w:pPr>
        <w:ind w:firstLine="482"/>
        <w:jc w:val="center"/>
        <w:outlineLvl w:val="9"/>
        <w:rPr>
          <w:rFonts w:hint="eastAsia" w:ascii="宋体" w:hAnsi="宋体" w:eastAsia="宋体" w:cs="宋体"/>
          <w:b/>
          <w:color w:val="auto"/>
          <w:highlight w:val="none"/>
        </w:rPr>
      </w:pPr>
    </w:p>
    <w:p w14:paraId="2AD5CFB7">
      <w:pPr>
        <w:ind w:firstLine="482"/>
        <w:jc w:val="center"/>
        <w:outlineLvl w:val="9"/>
        <w:rPr>
          <w:rFonts w:hint="eastAsia" w:ascii="宋体" w:hAnsi="宋体" w:eastAsia="宋体" w:cs="宋体"/>
          <w:b/>
          <w:color w:val="auto"/>
          <w:highlight w:val="none"/>
        </w:rPr>
      </w:pPr>
      <w:r>
        <w:rPr>
          <w:rFonts w:hint="eastAsia" w:ascii="宋体" w:hAnsi="宋体" w:eastAsia="宋体" w:cs="宋体"/>
          <w:b/>
          <w:color w:val="auto"/>
          <w:highlight w:val="none"/>
        </w:rPr>
        <w:t xml:space="preserve">               年   月   日</w:t>
      </w:r>
    </w:p>
    <w:p w14:paraId="316442C3">
      <w:pPr>
        <w:outlineLvl w:val="9"/>
        <w:rPr>
          <w:rFonts w:hint="eastAsia" w:ascii="宋体" w:hAnsi="宋体" w:eastAsia="宋体" w:cs="宋体"/>
          <w:b/>
          <w:bCs/>
          <w:color w:val="auto"/>
          <w:highlight w:val="none"/>
        </w:rPr>
      </w:pPr>
    </w:p>
    <w:p w14:paraId="3D67DE37">
      <w:pPr>
        <w:spacing w:line="360" w:lineRule="auto"/>
        <w:ind w:right="480"/>
        <w:jc w:val="center"/>
        <w:outlineLvl w:val="9"/>
        <w:rPr>
          <w:rFonts w:hint="eastAsia" w:ascii="宋体" w:hAnsi="宋体" w:eastAsia="宋体" w:cs="宋体"/>
          <w:b/>
          <w:color w:val="auto"/>
          <w:highlight w:val="none"/>
        </w:rPr>
      </w:pPr>
      <w:r>
        <w:rPr>
          <w:rFonts w:hint="eastAsia" w:ascii="宋体" w:hAnsi="宋体" w:eastAsia="宋体" w:cs="宋体"/>
          <w:b/>
          <w:color w:val="auto"/>
          <w:highlight w:val="none"/>
        </w:rPr>
        <w:t xml:space="preserve">    </w:t>
      </w:r>
    </w:p>
    <w:p w14:paraId="264EF58E">
      <w:pPr>
        <w:spacing w:line="360" w:lineRule="auto"/>
        <w:ind w:right="480"/>
        <w:jc w:val="both"/>
        <w:outlineLvl w:val="9"/>
        <w:rPr>
          <w:rFonts w:hint="eastAsia" w:ascii="宋体" w:hAnsi="宋体" w:eastAsia="宋体" w:cs="宋体"/>
          <w:b/>
          <w:color w:val="auto"/>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 xml:space="preserve"> 附件1－2法定代表人授权书</w:t>
      </w:r>
    </w:p>
    <w:p w14:paraId="2D2D21C5">
      <w:pPr>
        <w:spacing w:line="360" w:lineRule="auto"/>
        <w:ind w:right="480"/>
        <w:jc w:val="both"/>
        <w:outlineLvl w:val="9"/>
        <w:rPr>
          <w:rFonts w:hint="eastAsia" w:ascii="宋体" w:hAnsi="宋体" w:eastAsia="宋体" w:cs="宋体"/>
          <w:b/>
          <w:color w:val="auto"/>
          <w:highlight w:val="none"/>
        </w:rPr>
      </w:pPr>
    </w:p>
    <w:p w14:paraId="2699CC73">
      <w:pPr>
        <w:pStyle w:val="137"/>
        <w:tabs>
          <w:tab w:val="clear" w:pos="1740"/>
        </w:tabs>
        <w:adjustRightInd/>
        <w:spacing w:before="0" w:line="360" w:lineRule="auto"/>
        <w:ind w:left="0" w:firstLine="0"/>
        <w:jc w:val="center"/>
        <w:outlineLvl w:val="9"/>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法定代表人授权书</w:t>
      </w:r>
    </w:p>
    <w:p w14:paraId="16800732">
      <w:pPr>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p>
    <w:p w14:paraId="3D1A0A28">
      <w:pPr>
        <w:pStyle w:val="23"/>
        <w:snapToGrid w:val="0"/>
        <w:spacing w:line="360" w:lineRule="auto"/>
        <w:ind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（供应商全称）</w:t>
      </w: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授权</w:t>
      </w:r>
      <w:r>
        <w:rPr>
          <w:rFonts w:hint="eastAsia" w:ascii="宋体" w:hAnsi="宋体" w:eastAsia="宋体" w:cs="宋体"/>
          <w:color w:val="auto"/>
          <w:sz w:val="24"/>
          <w:highlight w:val="none"/>
          <w:u w:val="single"/>
        </w:rPr>
        <w:t xml:space="preserve">  （响应代表姓名）</w:t>
      </w:r>
      <w:r>
        <w:rPr>
          <w:rFonts w:hint="eastAsia" w:ascii="宋体" w:hAnsi="宋体" w:eastAsia="宋体" w:cs="宋体"/>
          <w:color w:val="auto"/>
          <w:sz w:val="24"/>
          <w:highlight w:val="none"/>
        </w:rPr>
        <w:t>为响应代表，代表本公司参加贵司组织的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14:paraId="588D6822">
      <w:pPr>
        <w:pStyle w:val="23"/>
        <w:snapToGrid w:val="0"/>
        <w:spacing w:line="360" w:lineRule="auto"/>
        <w:ind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特此授权！本授权书自出具之日起生效。</w:t>
      </w:r>
    </w:p>
    <w:p w14:paraId="1E34C191">
      <w:pPr>
        <w:spacing w:line="360" w:lineRule="auto"/>
        <w:outlineLvl w:val="9"/>
        <w:rPr>
          <w:rFonts w:hint="eastAsia" w:ascii="宋体" w:hAnsi="宋体" w:eastAsia="宋体" w:cs="宋体"/>
          <w:color w:val="auto"/>
          <w:highlight w:val="none"/>
        </w:rPr>
      </w:pPr>
    </w:p>
    <w:p w14:paraId="74169AF5">
      <w:pPr>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签字或盖章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证件号：</w:t>
      </w:r>
      <w:r>
        <w:rPr>
          <w:rFonts w:hint="eastAsia" w:ascii="宋体" w:hAnsi="宋体" w:eastAsia="宋体" w:cs="宋体"/>
          <w:color w:val="auto"/>
          <w:highlight w:val="none"/>
          <w:u w:val="single"/>
        </w:rPr>
        <w:t xml:space="preserve">   </w:t>
      </w:r>
    </w:p>
    <w:p w14:paraId="3D227774">
      <w:pPr>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t>响应代表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签字或盖章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证件号：</w:t>
      </w:r>
      <w:r>
        <w:rPr>
          <w:rFonts w:hint="eastAsia" w:ascii="宋体" w:hAnsi="宋体" w:eastAsia="宋体" w:cs="宋体"/>
          <w:color w:val="auto"/>
          <w:highlight w:val="none"/>
          <w:u w:val="single"/>
        </w:rPr>
        <w:t xml:space="preserve">                  </w:t>
      </w:r>
    </w:p>
    <w:p w14:paraId="6525CF44">
      <w:pPr>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t>单位：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部门：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职务：</w:t>
      </w:r>
      <w:r>
        <w:rPr>
          <w:rFonts w:hint="eastAsia" w:ascii="宋体" w:hAnsi="宋体" w:eastAsia="宋体" w:cs="宋体"/>
          <w:color w:val="auto"/>
          <w:highlight w:val="none"/>
          <w:u w:val="single"/>
        </w:rPr>
        <w:t xml:space="preserve">                  </w:t>
      </w:r>
    </w:p>
    <w:p w14:paraId="61D7C80E">
      <w:pPr>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t>详细通讯地址：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b/>
          <w:color w:val="auto"/>
          <w:highlight w:val="none"/>
        </w:rPr>
        <w:t xml:space="preserve"> </w:t>
      </w: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电话：</w:t>
      </w:r>
      <w:r>
        <w:rPr>
          <w:rFonts w:hint="eastAsia" w:ascii="宋体" w:hAnsi="宋体" w:eastAsia="宋体" w:cs="宋体"/>
          <w:color w:val="auto"/>
          <w:highlight w:val="none"/>
          <w:u w:val="single"/>
        </w:rPr>
        <w:t xml:space="preserve">              </w:t>
      </w:r>
    </w:p>
    <w:p w14:paraId="20A0562E">
      <w:pPr>
        <w:spacing w:line="360" w:lineRule="auto"/>
        <w:outlineLvl w:val="9"/>
        <w:rPr>
          <w:rFonts w:hint="eastAsia" w:ascii="宋体" w:hAnsi="宋体" w:eastAsia="宋体" w:cs="宋体"/>
          <w:color w:val="auto"/>
          <w:highlight w:val="none"/>
        </w:rPr>
      </w:pPr>
    </w:p>
    <w:p w14:paraId="00A33686">
      <w:pPr>
        <w:widowControl w:val="0"/>
        <w:numPr>
          <w:ilvl w:val="0"/>
          <w:numId w:val="11"/>
        </w:numPr>
        <w:tabs>
          <w:tab w:val="left" w:pos="420"/>
          <w:tab w:val="left" w:pos="1134"/>
          <w:tab w:val="clear" w:pos="1320"/>
        </w:tabs>
        <w:ind w:left="420"/>
        <w:jc w:val="both"/>
        <w:outlineLvl w:val="9"/>
        <w:rPr>
          <w:rFonts w:hint="eastAsia" w:ascii="宋体" w:hAnsi="宋体" w:eastAsia="宋体" w:cs="宋体"/>
          <w:color w:val="auto"/>
          <w:highlight w:val="none"/>
        </w:rPr>
      </w:pPr>
      <w:r>
        <w:rPr>
          <w:rFonts w:hint="eastAsia" w:ascii="宋体" w:hAnsi="宋体" w:eastAsia="宋体" w:cs="宋体"/>
          <w:color w:val="auto"/>
          <w:highlight w:val="none"/>
        </w:rPr>
        <w:t>附：法定代表人和被授权人(响应代表)有效身份证明文件复印件。</w:t>
      </w:r>
    </w:p>
    <w:tbl>
      <w:tblPr>
        <w:tblStyle w:val="44"/>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416"/>
      </w:tblGrid>
      <w:tr w14:paraId="2101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4203" w:type="dxa"/>
            <w:vAlign w:val="center"/>
          </w:tcPr>
          <w:p w14:paraId="06CAE0F4">
            <w:pPr>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法定代表人身份证明文件粘贴处</w:t>
            </w:r>
          </w:p>
        </w:tc>
        <w:tc>
          <w:tcPr>
            <w:tcW w:w="4416" w:type="dxa"/>
            <w:vAlign w:val="center"/>
          </w:tcPr>
          <w:p w14:paraId="6429F036">
            <w:pPr>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被授权人(响应代表)身份证明文件粘贴处</w:t>
            </w:r>
          </w:p>
        </w:tc>
      </w:tr>
    </w:tbl>
    <w:p w14:paraId="2F538CFB">
      <w:pPr>
        <w:spacing w:line="360" w:lineRule="auto"/>
        <w:outlineLvl w:val="9"/>
        <w:rPr>
          <w:rFonts w:hint="eastAsia" w:ascii="宋体" w:hAnsi="宋体" w:eastAsia="宋体" w:cs="宋体"/>
          <w:color w:val="auto"/>
          <w:highlight w:val="none"/>
        </w:rPr>
      </w:pPr>
    </w:p>
    <w:p w14:paraId="5CC07652">
      <w:pPr>
        <w:keepNext w:val="0"/>
        <w:keepLines w:val="0"/>
        <w:pageBreakBefore w:val="0"/>
        <w:widowControl/>
        <w:kinsoku/>
        <w:wordWrap/>
        <w:overflowPunct/>
        <w:topLinePunct w:val="0"/>
        <w:autoSpaceDE/>
        <w:autoSpaceDN/>
        <w:bidi w:val="0"/>
        <w:adjustRightInd/>
        <w:snapToGrid/>
        <w:spacing w:line="50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供应商（全称并加盖公章）：</w:t>
      </w:r>
      <w:r>
        <w:rPr>
          <w:rFonts w:hint="eastAsia" w:ascii="宋体" w:hAnsi="宋体" w:eastAsia="宋体" w:cs="宋体"/>
          <w:color w:val="auto"/>
          <w:highlight w:val="none"/>
          <w:u w:val="single"/>
        </w:rPr>
        <w:t xml:space="preserve">            </w:t>
      </w:r>
    </w:p>
    <w:p w14:paraId="23618390">
      <w:pPr>
        <w:keepNext w:val="0"/>
        <w:keepLines w:val="0"/>
        <w:pageBreakBefore w:val="0"/>
        <w:widowControl/>
        <w:kinsoku/>
        <w:wordWrap/>
        <w:overflowPunct/>
        <w:topLinePunct w:val="0"/>
        <w:autoSpaceDE/>
        <w:autoSpaceDN/>
        <w:bidi w:val="0"/>
        <w:adjustRightInd/>
        <w:snapToGrid/>
        <w:spacing w:line="50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法定代表人（签字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r>
        <w:rPr>
          <w:rFonts w:hint="eastAsia" w:ascii="宋体" w:hAnsi="宋体" w:eastAsia="宋体" w:cs="宋体"/>
          <w:bCs/>
          <w:color w:val="auto"/>
          <w:highlight w:val="none"/>
        </w:rPr>
        <w:t>：</w:t>
      </w:r>
      <w:r>
        <w:rPr>
          <w:rFonts w:hint="eastAsia" w:ascii="宋体" w:hAnsi="宋体" w:eastAsia="宋体" w:cs="宋体"/>
          <w:color w:val="auto"/>
          <w:highlight w:val="none"/>
          <w:u w:val="single"/>
        </w:rPr>
        <w:t xml:space="preserve">                     </w:t>
      </w:r>
    </w:p>
    <w:p w14:paraId="02726137">
      <w:pPr>
        <w:keepNext w:val="0"/>
        <w:keepLines w:val="0"/>
        <w:pageBreakBefore w:val="0"/>
        <w:widowControl/>
        <w:kinsoku/>
        <w:wordWrap/>
        <w:overflowPunct/>
        <w:topLinePunct w:val="0"/>
        <w:autoSpaceDE/>
        <w:autoSpaceDN/>
        <w:bidi w:val="0"/>
        <w:adjustRightInd/>
        <w:snapToGrid/>
        <w:spacing w:line="500" w:lineRule="exact"/>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575DD1C0">
      <w:pPr>
        <w:spacing w:line="360" w:lineRule="auto"/>
        <w:ind w:right="480"/>
        <w:outlineLvl w:val="9"/>
        <w:rPr>
          <w:rFonts w:hint="eastAsia" w:ascii="宋体" w:hAnsi="宋体" w:eastAsia="宋体" w:cs="宋体"/>
          <w:b/>
          <w:color w:val="auto"/>
          <w:highlight w:val="none"/>
        </w:rPr>
      </w:pPr>
      <w:r>
        <w:rPr>
          <w:rFonts w:hint="eastAsia" w:ascii="宋体" w:hAnsi="宋体" w:eastAsia="宋体" w:cs="宋体"/>
          <w:color w:val="auto"/>
          <w:highlight w:val="none"/>
        </w:rPr>
        <w:br w:type="page"/>
      </w:r>
      <w:r>
        <w:rPr>
          <w:rFonts w:hint="eastAsia" w:ascii="宋体" w:hAnsi="宋体" w:eastAsia="宋体" w:cs="宋体"/>
          <w:b/>
          <w:color w:val="auto"/>
          <w:highlight w:val="none"/>
        </w:rPr>
        <w:t>附件1－3</w:t>
      </w:r>
    </w:p>
    <w:p w14:paraId="1DD8B262">
      <w:pPr>
        <w:spacing w:line="360" w:lineRule="auto"/>
        <w:ind w:right="480"/>
        <w:jc w:val="center"/>
        <w:outlineLvl w:val="9"/>
        <w:rPr>
          <w:rFonts w:hint="eastAsia" w:ascii="宋体" w:hAnsi="宋体" w:eastAsia="宋体" w:cs="宋体"/>
          <w:b/>
          <w:color w:val="auto"/>
          <w:highlight w:val="none"/>
        </w:rPr>
      </w:pPr>
      <w:r>
        <w:rPr>
          <w:rFonts w:hint="eastAsia" w:ascii="宋体" w:hAnsi="宋体" w:eastAsia="宋体" w:cs="宋体"/>
          <w:b/>
          <w:color w:val="auto"/>
          <w:highlight w:val="none"/>
        </w:rPr>
        <w:t>法人营业执照、税务登记证、组织机构代码证</w:t>
      </w:r>
    </w:p>
    <w:p w14:paraId="65B4F3CC">
      <w:pPr>
        <w:spacing w:line="360" w:lineRule="auto"/>
        <w:outlineLvl w:val="9"/>
        <w:rPr>
          <w:rFonts w:hint="eastAsia" w:ascii="宋体" w:hAnsi="宋体" w:eastAsia="宋体" w:cs="宋体"/>
          <w:color w:val="auto"/>
          <w:highlight w:val="none"/>
        </w:rPr>
      </w:pPr>
    </w:p>
    <w:p w14:paraId="7FFD70BB">
      <w:pPr>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p>
    <w:p w14:paraId="69A3C8D6">
      <w:pPr>
        <w:spacing w:line="360" w:lineRule="auto"/>
        <w:ind w:firstLine="48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现附上由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（签发机关名称）签发的我方法人营业执照副本复印件，该执照真实有效。</w:t>
      </w:r>
    </w:p>
    <w:p w14:paraId="736528D2">
      <w:pPr>
        <w:spacing w:line="360" w:lineRule="auto"/>
        <w:ind w:firstLine="480" w:firstLineChars="200"/>
        <w:outlineLvl w:val="9"/>
        <w:rPr>
          <w:rFonts w:hint="eastAsia" w:ascii="宋体" w:hAnsi="宋体" w:eastAsia="宋体" w:cs="宋体"/>
          <w:color w:val="auto"/>
          <w:highlight w:val="none"/>
        </w:rPr>
      </w:pPr>
    </w:p>
    <w:p w14:paraId="3D2B629A">
      <w:pPr>
        <w:spacing w:line="360" w:lineRule="auto"/>
        <w:outlineLvl w:val="9"/>
        <w:rPr>
          <w:rFonts w:hint="eastAsia" w:ascii="宋体" w:hAnsi="宋体" w:eastAsia="宋体" w:cs="宋体"/>
          <w:color w:val="auto"/>
          <w:highlight w:val="none"/>
        </w:rPr>
      </w:pPr>
    </w:p>
    <w:p w14:paraId="61B1B577">
      <w:pPr>
        <w:pStyle w:val="2"/>
        <w:spacing w:line="360" w:lineRule="auto"/>
        <w:ind w:firstLine="48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（注：法人营业执照、税务登记证、组织代码证等相关证明文件提供复印件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14:paraId="3E65D0C5">
      <w:pPr>
        <w:spacing w:line="360" w:lineRule="auto"/>
        <w:outlineLvl w:val="9"/>
        <w:rPr>
          <w:rFonts w:hint="eastAsia" w:ascii="宋体" w:hAnsi="宋体" w:eastAsia="宋体" w:cs="宋体"/>
          <w:color w:val="auto"/>
          <w:highlight w:val="none"/>
        </w:rPr>
      </w:pPr>
    </w:p>
    <w:p w14:paraId="1C816092">
      <w:pPr>
        <w:keepNext w:val="0"/>
        <w:keepLines w:val="0"/>
        <w:pageBreakBefore w:val="0"/>
        <w:widowControl/>
        <w:kinsoku/>
        <w:wordWrap/>
        <w:overflowPunct/>
        <w:topLinePunct w:val="0"/>
        <w:autoSpaceDE/>
        <w:autoSpaceDN/>
        <w:bidi w:val="0"/>
        <w:adjustRightInd/>
        <w:snapToGrid/>
        <w:spacing w:line="50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供应商（全称并加盖公章）：</w:t>
      </w:r>
      <w:r>
        <w:rPr>
          <w:rFonts w:hint="eastAsia" w:ascii="宋体" w:hAnsi="宋体" w:eastAsia="宋体" w:cs="宋体"/>
          <w:color w:val="auto"/>
          <w:highlight w:val="none"/>
          <w:u w:val="single"/>
        </w:rPr>
        <w:t xml:space="preserve">                 </w:t>
      </w:r>
    </w:p>
    <w:p w14:paraId="6950E0EE">
      <w:pPr>
        <w:keepNext w:val="0"/>
        <w:keepLines w:val="0"/>
        <w:pageBreakBefore w:val="0"/>
        <w:widowControl/>
        <w:kinsoku/>
        <w:wordWrap/>
        <w:overflowPunct/>
        <w:topLinePunct w:val="0"/>
        <w:autoSpaceDE/>
        <w:autoSpaceDN/>
        <w:bidi w:val="0"/>
        <w:adjustRightInd/>
        <w:snapToGrid/>
        <w:spacing w:line="50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r>
        <w:rPr>
          <w:rFonts w:hint="eastAsia" w:ascii="宋体" w:hAnsi="宋体" w:eastAsia="宋体" w:cs="宋体"/>
          <w:bCs/>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32A9A478">
      <w:pPr>
        <w:keepNext w:val="0"/>
        <w:keepLines w:val="0"/>
        <w:pageBreakBefore w:val="0"/>
        <w:widowControl/>
        <w:kinsoku/>
        <w:wordWrap/>
        <w:overflowPunct/>
        <w:topLinePunct w:val="0"/>
        <w:autoSpaceDE/>
        <w:autoSpaceDN/>
        <w:bidi w:val="0"/>
        <w:adjustRightInd/>
        <w:snapToGrid/>
        <w:spacing w:line="500" w:lineRule="exact"/>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791429CA">
      <w:pPr>
        <w:spacing w:line="360" w:lineRule="auto"/>
        <w:outlineLvl w:val="9"/>
        <w:rPr>
          <w:rFonts w:hint="eastAsia" w:ascii="宋体" w:hAnsi="宋体" w:eastAsia="宋体" w:cs="宋体"/>
          <w:color w:val="auto"/>
          <w:highlight w:val="none"/>
          <w:u w:val="single"/>
        </w:rPr>
      </w:pPr>
    </w:p>
    <w:p w14:paraId="0DDC2BC3">
      <w:pPr>
        <w:spacing w:line="360" w:lineRule="auto"/>
        <w:outlineLvl w:val="9"/>
        <w:rPr>
          <w:rFonts w:hint="eastAsia" w:ascii="宋体" w:hAnsi="宋体" w:eastAsia="宋体" w:cs="宋体"/>
          <w:color w:val="auto"/>
          <w:highlight w:val="none"/>
          <w:u w:val="single"/>
        </w:rPr>
      </w:pPr>
    </w:p>
    <w:p w14:paraId="6C635DBE">
      <w:pPr>
        <w:spacing w:line="360" w:lineRule="auto"/>
        <w:outlineLvl w:val="9"/>
        <w:rPr>
          <w:rFonts w:hint="eastAsia" w:ascii="宋体" w:hAnsi="宋体" w:eastAsia="宋体" w:cs="宋体"/>
          <w:color w:val="auto"/>
          <w:highlight w:val="none"/>
          <w:u w:val="single"/>
        </w:rPr>
      </w:pPr>
    </w:p>
    <w:p w14:paraId="6F84177B">
      <w:pPr>
        <w:spacing w:line="360" w:lineRule="auto"/>
        <w:outlineLvl w:val="9"/>
        <w:rPr>
          <w:rFonts w:hint="eastAsia" w:ascii="宋体" w:hAnsi="宋体" w:eastAsia="宋体" w:cs="宋体"/>
          <w:color w:val="auto"/>
          <w:highlight w:val="none"/>
          <w:u w:val="single"/>
        </w:rPr>
      </w:pPr>
    </w:p>
    <w:p w14:paraId="49D6482C">
      <w:pPr>
        <w:spacing w:line="360" w:lineRule="auto"/>
        <w:outlineLvl w:val="9"/>
        <w:rPr>
          <w:rFonts w:hint="eastAsia" w:ascii="宋体" w:hAnsi="宋体" w:eastAsia="宋体" w:cs="宋体"/>
          <w:color w:val="auto"/>
          <w:highlight w:val="none"/>
          <w:u w:val="single"/>
        </w:rPr>
      </w:pPr>
    </w:p>
    <w:p w14:paraId="698CB310">
      <w:pPr>
        <w:spacing w:line="360" w:lineRule="auto"/>
        <w:ind w:right="480"/>
        <w:outlineLvl w:val="9"/>
        <w:rPr>
          <w:rFonts w:hint="eastAsia" w:ascii="宋体" w:hAnsi="宋体" w:eastAsia="宋体" w:cs="宋体"/>
          <w:color w:val="auto"/>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附件1-4</w:t>
      </w:r>
    </w:p>
    <w:p w14:paraId="5C62BF71">
      <w:pPr>
        <w:spacing w:line="360" w:lineRule="auto"/>
        <w:ind w:right="480"/>
        <w:jc w:val="center"/>
        <w:outlineLvl w:val="9"/>
        <w:rPr>
          <w:rFonts w:hint="eastAsia" w:ascii="宋体" w:hAnsi="宋体" w:eastAsia="宋体" w:cs="宋体"/>
          <w:b/>
          <w:color w:val="auto"/>
          <w:highlight w:val="none"/>
        </w:rPr>
      </w:pPr>
      <w:r>
        <w:rPr>
          <w:rFonts w:hint="eastAsia" w:ascii="宋体" w:hAnsi="宋体" w:eastAsia="宋体" w:cs="宋体"/>
          <w:b/>
          <w:color w:val="auto"/>
          <w:highlight w:val="none"/>
        </w:rPr>
        <w:t>供应商符合《政府采购法》第二十二条规定条件的</w:t>
      </w:r>
    </w:p>
    <w:p w14:paraId="4D149C45">
      <w:pPr>
        <w:spacing w:line="360" w:lineRule="auto"/>
        <w:ind w:right="480"/>
        <w:jc w:val="center"/>
        <w:outlineLvl w:val="9"/>
        <w:rPr>
          <w:rFonts w:hint="eastAsia" w:ascii="宋体" w:hAnsi="宋体" w:eastAsia="宋体" w:cs="宋体"/>
          <w:bCs/>
          <w:color w:val="auto"/>
          <w:szCs w:val="28"/>
          <w:highlight w:val="none"/>
        </w:rPr>
      </w:pPr>
      <w:r>
        <w:rPr>
          <w:rFonts w:hint="eastAsia" w:ascii="宋体" w:hAnsi="宋体" w:eastAsia="宋体" w:cs="宋体"/>
          <w:b/>
          <w:color w:val="auto"/>
          <w:highlight w:val="none"/>
        </w:rPr>
        <w:t>承诺函</w:t>
      </w:r>
    </w:p>
    <w:p w14:paraId="253F94E7">
      <w:pPr>
        <w:outlineLvl w:val="9"/>
        <w:rPr>
          <w:rFonts w:hint="eastAsia" w:ascii="宋体" w:hAnsi="宋体" w:eastAsia="宋体" w:cs="宋体"/>
          <w:color w:val="auto"/>
          <w:highlight w:val="none"/>
        </w:rPr>
      </w:pPr>
    </w:p>
    <w:p w14:paraId="730F4CC7">
      <w:pPr>
        <w:outlineLvl w:val="9"/>
        <w:rPr>
          <w:rFonts w:hint="eastAsia" w:ascii="宋体" w:hAnsi="宋体" w:eastAsia="宋体" w:cs="宋体"/>
          <w:color w:val="auto"/>
          <w:highlight w:val="none"/>
        </w:rPr>
      </w:pPr>
    </w:p>
    <w:p w14:paraId="6F99BED4">
      <w:pPr>
        <w:pStyle w:val="3"/>
        <w:spacing w:line="400" w:lineRule="exact"/>
        <w:ind w:firstLine="432"/>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 xml:space="preserve">： </w:t>
      </w:r>
    </w:p>
    <w:p w14:paraId="2349B40E">
      <w:pPr>
        <w:pStyle w:val="3"/>
        <w:spacing w:line="400" w:lineRule="exact"/>
        <w:ind w:firstLineChars="22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w:t>
      </w:r>
      <w:r>
        <w:rPr>
          <w:rFonts w:hint="eastAsia" w:ascii="宋体" w:hAnsi="宋体" w:eastAsia="宋体" w:cs="宋体"/>
          <w:color w:val="auto"/>
          <w:sz w:val="24"/>
          <w:highlight w:val="none"/>
          <w:u w:val="single"/>
        </w:rPr>
        <w:t xml:space="preserve">                   （公司名称）</w:t>
      </w:r>
      <w:r>
        <w:rPr>
          <w:rFonts w:hint="eastAsia" w:ascii="宋体" w:hAnsi="宋体" w:eastAsia="宋体" w:cs="宋体"/>
          <w:color w:val="auto"/>
          <w:sz w:val="24"/>
          <w:highlight w:val="none"/>
        </w:rPr>
        <w:t>参加</w:t>
      </w:r>
      <w:r>
        <w:rPr>
          <w:rFonts w:hint="eastAsia" w:ascii="宋体" w:hAnsi="宋体" w:eastAsia="宋体" w:cs="宋体"/>
          <w:color w:val="auto"/>
          <w:sz w:val="24"/>
          <w:highlight w:val="none"/>
          <w:u w:val="single"/>
        </w:rPr>
        <w:t xml:space="preserve">                 （项目名称）</w:t>
      </w:r>
      <w:r>
        <w:rPr>
          <w:rFonts w:hint="eastAsia" w:ascii="宋体" w:hAnsi="宋体" w:eastAsia="宋体" w:cs="宋体"/>
          <w:color w:val="auto"/>
          <w:sz w:val="24"/>
          <w:highlight w:val="none"/>
        </w:rPr>
        <w:t>的磋商活动，现承诺：</w:t>
      </w:r>
    </w:p>
    <w:p w14:paraId="28A6363B">
      <w:pPr>
        <w:pStyle w:val="3"/>
        <w:spacing w:line="400" w:lineRule="exact"/>
        <w:ind w:firstLineChars="22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我公司满足政府采购法第二十二条关于供应商的资格要求：</w:t>
      </w:r>
    </w:p>
    <w:p w14:paraId="5858ECF8">
      <w:pPr>
        <w:pStyle w:val="3"/>
        <w:spacing w:line="400" w:lineRule="exact"/>
        <w:ind w:firstLine="432"/>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（一）具有独立承担民事责任的能力； </w:t>
      </w:r>
    </w:p>
    <w:p w14:paraId="631BC5F0">
      <w:pPr>
        <w:pStyle w:val="3"/>
        <w:spacing w:line="400" w:lineRule="exact"/>
        <w:ind w:firstLine="432"/>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（二）具有良好的商业信誉和健全的财务会计制度； </w:t>
      </w:r>
    </w:p>
    <w:p w14:paraId="395DDE48">
      <w:pPr>
        <w:pStyle w:val="3"/>
        <w:spacing w:line="400" w:lineRule="exact"/>
        <w:ind w:firstLine="432"/>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（三）具有履行合同所必需的设备和专业技术能力； </w:t>
      </w:r>
    </w:p>
    <w:p w14:paraId="67B0EFF7">
      <w:pPr>
        <w:pStyle w:val="3"/>
        <w:spacing w:line="400" w:lineRule="exact"/>
        <w:ind w:firstLine="432"/>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（四）有依法缴纳税收和社会保障资金的良好记录； </w:t>
      </w:r>
    </w:p>
    <w:p w14:paraId="4F2272CC">
      <w:pPr>
        <w:pStyle w:val="3"/>
        <w:spacing w:line="400" w:lineRule="exact"/>
        <w:ind w:firstLine="432"/>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（五）参加政府采购活动前三年内，在经营活动中没有重大违法记录。 </w:t>
      </w:r>
    </w:p>
    <w:p w14:paraId="5391C9DA">
      <w:pPr>
        <w:pStyle w:val="3"/>
        <w:spacing w:line="400" w:lineRule="exact"/>
        <w:ind w:firstLineChars="22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同时也满足本项目法律法规规章规定关于供应商的其他资格性条件，未参与本采购项目前期咨询论证，不属于禁止参加磋商的供应商。</w:t>
      </w:r>
    </w:p>
    <w:p w14:paraId="55849774">
      <w:pPr>
        <w:pStyle w:val="3"/>
        <w:spacing w:line="400" w:lineRule="exact"/>
        <w:ind w:firstLineChars="22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如违反以上承诺，本公司愿承担一切法律责任。</w:t>
      </w:r>
    </w:p>
    <w:p w14:paraId="5A79D2BA">
      <w:pPr>
        <w:pStyle w:val="3"/>
        <w:spacing w:line="400" w:lineRule="exact"/>
        <w:ind w:firstLine="432"/>
        <w:outlineLvl w:val="9"/>
        <w:rPr>
          <w:rFonts w:hint="eastAsia" w:ascii="宋体" w:hAnsi="宋体" w:eastAsia="宋体" w:cs="宋体"/>
          <w:color w:val="auto"/>
          <w:sz w:val="24"/>
          <w:highlight w:val="none"/>
        </w:rPr>
      </w:pPr>
    </w:p>
    <w:p w14:paraId="298C4411">
      <w:pPr>
        <w:pStyle w:val="3"/>
        <w:spacing w:line="400" w:lineRule="exact"/>
        <w:ind w:firstLine="432"/>
        <w:outlineLvl w:val="9"/>
        <w:rPr>
          <w:rFonts w:hint="eastAsia" w:ascii="宋体" w:hAnsi="宋体" w:eastAsia="宋体" w:cs="宋体"/>
          <w:color w:val="auto"/>
          <w:sz w:val="24"/>
          <w:highlight w:val="none"/>
        </w:rPr>
      </w:pPr>
    </w:p>
    <w:p w14:paraId="352BFC43">
      <w:pPr>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t>供应商（全称并加盖公章）：</w:t>
      </w:r>
      <w:r>
        <w:rPr>
          <w:rFonts w:hint="eastAsia" w:ascii="宋体" w:hAnsi="宋体" w:eastAsia="宋体" w:cs="宋体"/>
          <w:color w:val="auto"/>
          <w:highlight w:val="none"/>
          <w:u w:val="single"/>
        </w:rPr>
        <w:t xml:space="preserve">                 </w:t>
      </w:r>
    </w:p>
    <w:p w14:paraId="5E954CF4">
      <w:pPr>
        <w:spacing w:line="400" w:lineRule="exact"/>
        <w:outlineLvl w:val="9"/>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r>
        <w:rPr>
          <w:rFonts w:hint="eastAsia" w:ascii="宋体" w:hAnsi="宋体" w:eastAsia="宋体" w:cs="宋体"/>
          <w:bCs/>
          <w:color w:val="auto"/>
          <w:highlight w:val="none"/>
        </w:rPr>
        <w:t>：</w:t>
      </w:r>
      <w:r>
        <w:rPr>
          <w:rFonts w:hint="eastAsia" w:ascii="宋体" w:hAnsi="宋体" w:eastAsia="宋体" w:cs="宋体"/>
          <w:color w:val="auto"/>
          <w:highlight w:val="none"/>
          <w:u w:val="single"/>
        </w:rPr>
        <w:t xml:space="preserve">        </w:t>
      </w:r>
    </w:p>
    <w:p w14:paraId="2112434C">
      <w:pPr>
        <w:spacing w:line="360" w:lineRule="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2B3459D9">
      <w:pPr>
        <w:outlineLvl w:val="9"/>
        <w:rPr>
          <w:rFonts w:hint="eastAsia" w:ascii="宋体" w:hAnsi="宋体" w:eastAsia="宋体" w:cs="宋体"/>
          <w:color w:val="auto"/>
          <w:highlight w:val="none"/>
        </w:rPr>
      </w:pPr>
    </w:p>
    <w:p w14:paraId="735BC25E">
      <w:pPr>
        <w:outlineLvl w:val="9"/>
        <w:rPr>
          <w:rFonts w:hint="eastAsia" w:ascii="宋体" w:hAnsi="宋体" w:eastAsia="宋体" w:cs="宋体"/>
          <w:color w:val="auto"/>
          <w:highlight w:val="none"/>
        </w:rPr>
      </w:pPr>
    </w:p>
    <w:p w14:paraId="0ADF8DF8">
      <w:pPr>
        <w:outlineLvl w:val="9"/>
        <w:rPr>
          <w:rFonts w:hint="eastAsia" w:ascii="宋体" w:hAnsi="宋体" w:eastAsia="宋体" w:cs="宋体"/>
          <w:color w:val="auto"/>
          <w:highlight w:val="none"/>
        </w:rPr>
      </w:pPr>
      <w:r>
        <w:rPr>
          <w:rFonts w:hint="eastAsia" w:ascii="宋体" w:hAnsi="宋体" w:eastAsia="宋体" w:cs="宋体"/>
          <w:bCs/>
          <w:color w:val="auto"/>
          <w:highlight w:val="none"/>
        </w:rPr>
        <w:t>注：本承诺函可自行提供具有有效签字或盖章的格式。</w:t>
      </w:r>
    </w:p>
    <w:p w14:paraId="202B9214">
      <w:pPr>
        <w:spacing w:line="360" w:lineRule="auto"/>
        <w:ind w:right="480"/>
        <w:outlineLvl w:val="9"/>
        <w:rPr>
          <w:rFonts w:hint="eastAsia" w:ascii="宋体" w:hAnsi="宋体" w:eastAsia="宋体" w:cs="宋体"/>
          <w:color w:val="auto"/>
          <w:highlight w:val="none"/>
        </w:rPr>
      </w:pPr>
    </w:p>
    <w:p w14:paraId="2E35953F">
      <w:pPr>
        <w:pStyle w:val="43"/>
        <w:outlineLvl w:val="9"/>
        <w:rPr>
          <w:rFonts w:hint="eastAsia" w:ascii="宋体" w:hAnsi="宋体" w:eastAsia="宋体" w:cs="宋体"/>
          <w:color w:val="auto"/>
          <w:highlight w:val="none"/>
        </w:rPr>
      </w:pPr>
    </w:p>
    <w:p w14:paraId="1AD8EDBF">
      <w:pPr>
        <w:pStyle w:val="43"/>
        <w:outlineLvl w:val="9"/>
        <w:rPr>
          <w:rFonts w:hint="eastAsia" w:ascii="宋体" w:hAnsi="宋体" w:eastAsia="宋体" w:cs="宋体"/>
          <w:color w:val="auto"/>
          <w:highlight w:val="none"/>
        </w:rPr>
      </w:pPr>
    </w:p>
    <w:p w14:paraId="081A236C">
      <w:pPr>
        <w:pStyle w:val="43"/>
        <w:outlineLvl w:val="9"/>
        <w:rPr>
          <w:rFonts w:hint="eastAsia" w:ascii="宋体" w:hAnsi="宋体" w:eastAsia="宋体" w:cs="宋体"/>
          <w:color w:val="auto"/>
          <w:highlight w:val="none"/>
        </w:rPr>
      </w:pPr>
    </w:p>
    <w:p w14:paraId="2C7CF3FE">
      <w:pPr>
        <w:pStyle w:val="43"/>
        <w:outlineLvl w:val="9"/>
        <w:rPr>
          <w:rFonts w:hint="eastAsia" w:ascii="宋体" w:hAnsi="宋体" w:eastAsia="宋体" w:cs="宋体"/>
          <w:color w:val="auto"/>
          <w:highlight w:val="none"/>
        </w:rPr>
      </w:pPr>
    </w:p>
    <w:p w14:paraId="45A105E5">
      <w:pPr>
        <w:pStyle w:val="43"/>
        <w:outlineLvl w:val="9"/>
        <w:rPr>
          <w:rFonts w:hint="eastAsia" w:ascii="宋体" w:hAnsi="宋体" w:eastAsia="宋体" w:cs="宋体"/>
          <w:color w:val="auto"/>
          <w:highlight w:val="none"/>
        </w:rPr>
      </w:pPr>
    </w:p>
    <w:p w14:paraId="40625650">
      <w:pPr>
        <w:pStyle w:val="43"/>
        <w:outlineLvl w:val="9"/>
        <w:rPr>
          <w:rFonts w:hint="eastAsia" w:ascii="宋体" w:hAnsi="宋体" w:eastAsia="宋体" w:cs="宋体"/>
          <w:color w:val="auto"/>
          <w:highlight w:val="none"/>
        </w:rPr>
      </w:pPr>
    </w:p>
    <w:p w14:paraId="20C6C440">
      <w:pPr>
        <w:pStyle w:val="43"/>
        <w:outlineLvl w:val="9"/>
        <w:rPr>
          <w:rFonts w:hint="eastAsia" w:ascii="宋体" w:hAnsi="宋体" w:eastAsia="宋体" w:cs="宋体"/>
          <w:color w:val="auto"/>
          <w:highlight w:val="none"/>
        </w:rPr>
      </w:pPr>
    </w:p>
    <w:p w14:paraId="70D0F81E">
      <w:pPr>
        <w:pStyle w:val="43"/>
        <w:ind w:left="0" w:leftChars="0" w:firstLine="0" w:firstLineChars="0"/>
        <w:outlineLvl w:val="9"/>
        <w:rPr>
          <w:rFonts w:hint="eastAsia" w:ascii="宋体" w:hAnsi="宋体" w:eastAsia="宋体" w:cs="宋体"/>
          <w:color w:val="auto"/>
          <w:highlight w:val="none"/>
        </w:rPr>
      </w:pPr>
    </w:p>
    <w:p w14:paraId="3366057C">
      <w:pPr>
        <w:spacing w:line="360" w:lineRule="auto"/>
        <w:outlineLvl w:val="9"/>
        <w:rPr>
          <w:rFonts w:hint="eastAsia" w:ascii="宋体" w:hAnsi="宋体" w:eastAsia="宋体" w:cs="宋体"/>
          <w:b/>
          <w:color w:val="auto"/>
          <w:highlight w:val="none"/>
        </w:rPr>
      </w:pPr>
      <w:r>
        <w:rPr>
          <w:rFonts w:hint="eastAsia" w:ascii="宋体" w:hAnsi="宋体" w:eastAsia="宋体" w:cs="宋体"/>
          <w:b/>
          <w:color w:val="auto"/>
          <w:highlight w:val="none"/>
        </w:rPr>
        <w:br w:type="page"/>
      </w:r>
      <w:bookmarkStart w:id="16" w:name="_Toc4090"/>
      <w:r>
        <w:rPr>
          <w:rFonts w:hint="eastAsia" w:ascii="宋体" w:hAnsi="宋体" w:eastAsia="宋体" w:cs="宋体"/>
          <w:b/>
          <w:color w:val="auto"/>
          <w:highlight w:val="none"/>
        </w:rPr>
        <w:t>附件1－5</w:t>
      </w:r>
    </w:p>
    <w:p w14:paraId="20392D21">
      <w:pPr>
        <w:spacing w:line="360" w:lineRule="auto"/>
        <w:outlineLvl w:val="9"/>
        <w:rPr>
          <w:rFonts w:hint="eastAsia" w:ascii="宋体" w:hAnsi="宋体" w:eastAsia="宋体" w:cs="宋体"/>
          <w:b/>
          <w:color w:val="auto"/>
          <w:highlight w:val="none"/>
        </w:rPr>
      </w:pPr>
    </w:p>
    <w:p w14:paraId="6CB8A779">
      <w:pPr>
        <w:pageBreakBefore w:val="0"/>
        <w:wordWrap/>
        <w:topLinePunct w:val="0"/>
        <w:autoSpaceDE w:val="0"/>
        <w:autoSpaceDN w:val="0"/>
        <w:bidi w:val="0"/>
        <w:spacing w:line="360" w:lineRule="auto"/>
        <w:jc w:val="center"/>
        <w:outlineLvl w:val="9"/>
        <w:rPr>
          <w:rFonts w:hint="eastAsia" w:ascii="宋体" w:hAnsi="宋体" w:cs="宋体"/>
          <w:b/>
          <w:bCs/>
          <w:color w:val="auto"/>
          <w:sz w:val="36"/>
          <w:szCs w:val="36"/>
          <w:highlight w:val="none"/>
          <w:lang w:val="zh-CN"/>
        </w:rPr>
      </w:pPr>
      <w:r>
        <w:rPr>
          <w:rFonts w:hint="eastAsia" w:ascii="宋体" w:hAnsi="宋体" w:cs="宋体"/>
          <w:b/>
          <w:bCs/>
          <w:color w:val="auto"/>
          <w:sz w:val="28"/>
          <w:szCs w:val="28"/>
          <w:highlight w:val="none"/>
          <w:lang w:val="zh-CN"/>
        </w:rPr>
        <w:t>财务状况报告，依法缴纳税收和社会保障资金的相关材料</w:t>
      </w:r>
    </w:p>
    <w:p w14:paraId="0E440EB7">
      <w:pPr>
        <w:pageBreakBefore w:val="0"/>
        <w:wordWrap/>
        <w:topLinePunct w:val="0"/>
        <w:autoSpaceDE w:val="0"/>
        <w:autoSpaceDN w:val="0"/>
        <w:bidi w:val="0"/>
        <w:spacing w:line="360" w:lineRule="auto"/>
        <w:outlineLvl w:val="9"/>
        <w:rPr>
          <w:rFonts w:hint="eastAsia" w:ascii="宋体" w:hAnsi="宋体" w:cs="宋体"/>
          <w:color w:val="auto"/>
          <w:sz w:val="28"/>
          <w:szCs w:val="28"/>
          <w:highlight w:val="none"/>
          <w:lang w:val="zh-CN"/>
        </w:rPr>
      </w:pPr>
    </w:p>
    <w:p w14:paraId="2E7749F2">
      <w:pPr>
        <w:pageBreakBefore w:val="0"/>
        <w:wordWrap/>
        <w:topLinePunct w:val="0"/>
        <w:autoSpaceDE w:val="0"/>
        <w:autoSpaceDN w:val="0"/>
        <w:bidi w:val="0"/>
        <w:spacing w:line="360" w:lineRule="auto"/>
        <w:ind w:firstLine="480"/>
        <w:outlineLvl w:val="9"/>
        <w:rPr>
          <w:rFonts w:hint="eastAsia" w:ascii="宋体" w:hAnsi="宋体" w:cs="宋体"/>
          <w:color w:val="auto"/>
          <w:highlight w:val="none"/>
          <w:lang w:val="zh-CN"/>
        </w:rPr>
      </w:pPr>
      <w:r>
        <w:rPr>
          <w:rFonts w:hint="eastAsia" w:ascii="宋体" w:hAnsi="宋体" w:cs="宋体"/>
          <w:color w:val="auto"/>
          <w:highlight w:val="none"/>
          <w:lang w:val="zh-CN"/>
        </w:rPr>
        <w:t>按照招标文件第2.2款（1）中第&lt;2&gt;条规定提供以下相关材料。</w:t>
      </w:r>
    </w:p>
    <w:p w14:paraId="03FCF83B">
      <w:pPr>
        <w:pageBreakBefore w:val="0"/>
        <w:wordWrap/>
        <w:topLinePunct w:val="0"/>
        <w:autoSpaceDE w:val="0"/>
        <w:autoSpaceDN w:val="0"/>
        <w:bidi w:val="0"/>
        <w:spacing w:line="360" w:lineRule="auto"/>
        <w:ind w:firstLine="480"/>
        <w:outlineLvl w:val="9"/>
        <w:rPr>
          <w:rFonts w:hint="eastAsia" w:ascii="宋体" w:hAnsi="宋体" w:cs="宋体"/>
          <w:color w:val="auto"/>
          <w:highlight w:val="none"/>
          <w:lang w:val="zh-CN"/>
        </w:rPr>
      </w:pPr>
      <w:r>
        <w:rPr>
          <w:rFonts w:hint="eastAsia" w:ascii="宋体" w:hAnsi="宋体" w:cs="宋体"/>
          <w:color w:val="auto"/>
          <w:highlight w:val="none"/>
          <w:lang w:val="zh-CN"/>
        </w:rPr>
        <w:t>1、投标人是法人的，提供基本开户银行近三个月内出具的资信证明或</w:t>
      </w:r>
      <w:r>
        <w:rPr>
          <w:rFonts w:hint="eastAsia" w:ascii="宋体" w:hAnsi="宋体" w:cs="宋体"/>
          <w:color w:val="auto"/>
          <w:highlight w:val="none"/>
          <w:lang w:val="en-US" w:eastAsia="zh-CN"/>
        </w:rPr>
        <w:t>2023年度</w:t>
      </w:r>
      <w:r>
        <w:rPr>
          <w:rFonts w:hint="eastAsia" w:ascii="宋体" w:hAnsi="宋体" w:cs="宋体"/>
          <w:color w:val="auto"/>
          <w:highlight w:val="none"/>
          <w:lang w:val="zh-CN"/>
        </w:rPr>
        <w:t>经第三方审计的财务状况报告，包括资产负债表、现金流量表、利润表和财务（会计）报表附注。</w:t>
      </w:r>
      <w:r>
        <w:rPr>
          <w:rFonts w:hint="eastAsia" w:ascii="宋体" w:hAnsi="宋体"/>
          <w:color w:val="auto"/>
          <w:highlight w:val="none"/>
        </w:rPr>
        <w:t>投标人是其他组织和自然人，没有经审计的财务报告，可以提供基本开户银行出具的资信证明。</w:t>
      </w:r>
    </w:p>
    <w:p w14:paraId="23D915F2">
      <w:pPr>
        <w:pageBreakBefore w:val="0"/>
        <w:wordWrap/>
        <w:topLinePunct w:val="0"/>
        <w:autoSpaceDE w:val="0"/>
        <w:autoSpaceDN w:val="0"/>
        <w:bidi w:val="0"/>
        <w:spacing w:line="360" w:lineRule="auto"/>
        <w:ind w:firstLine="480"/>
        <w:outlineLvl w:val="9"/>
        <w:rPr>
          <w:rFonts w:hint="eastAsia" w:ascii="宋体" w:hAnsi="宋体" w:cs="宋体"/>
          <w:color w:val="auto"/>
          <w:highlight w:val="none"/>
          <w:lang w:val="zh-CN"/>
        </w:rPr>
      </w:pPr>
      <w:r>
        <w:rPr>
          <w:rFonts w:hint="eastAsia" w:ascii="宋体" w:hAnsi="宋体" w:cs="宋体"/>
          <w:color w:val="auto"/>
          <w:highlight w:val="none"/>
          <w:lang w:val="zh-CN"/>
        </w:rPr>
        <w:t>2、近半年内任意月份依法缴纳税收和社会保障资金记录的证明材料；依法免税或不需要缴纳社会保障资金的投标人须提供相应文件证明其依法免税或不需要缴纳社会保障资金。</w:t>
      </w:r>
    </w:p>
    <w:p w14:paraId="390993B4">
      <w:pPr>
        <w:spacing w:line="360" w:lineRule="auto"/>
        <w:jc w:val="both"/>
        <w:outlineLvl w:val="9"/>
        <w:rPr>
          <w:rFonts w:hint="eastAsia" w:ascii="宋体" w:hAnsi="宋体" w:eastAsia="宋体" w:cs="宋体"/>
          <w:color w:val="auto"/>
          <w:highlight w:val="none"/>
        </w:rPr>
      </w:pPr>
      <w:r>
        <w:rPr>
          <w:rFonts w:hint="eastAsia" w:ascii="宋体" w:hAnsi="宋体"/>
          <w:color w:val="auto"/>
          <w:highlight w:val="none"/>
        </w:rPr>
        <w:t xml:space="preserve"> </w:t>
      </w:r>
    </w:p>
    <w:p w14:paraId="48369192">
      <w:pPr>
        <w:pageBreakBefore w:val="0"/>
        <w:wordWrap/>
        <w:topLinePunct w:val="0"/>
        <w:bidi w:val="0"/>
        <w:spacing w:line="360" w:lineRule="auto"/>
        <w:outlineLvl w:val="9"/>
        <w:rPr>
          <w:rFonts w:hint="eastAsia" w:ascii="宋体" w:hAnsi="宋体"/>
          <w:b/>
          <w:color w:val="auto"/>
          <w:highlight w:val="none"/>
        </w:rPr>
      </w:pPr>
      <w:r>
        <w:rPr>
          <w:rFonts w:hint="eastAsia" w:ascii="宋体" w:hAnsi="宋体" w:eastAsia="宋体" w:cs="宋体"/>
          <w:color w:val="auto"/>
          <w:highlight w:val="none"/>
        </w:rPr>
        <w:br w:type="page"/>
      </w:r>
      <w:r>
        <w:rPr>
          <w:rFonts w:ascii="宋体" w:hAnsi="宋体"/>
          <w:b/>
          <w:color w:val="auto"/>
          <w:highlight w:val="none"/>
        </w:rPr>
        <w:t>附件1－</w:t>
      </w:r>
      <w:r>
        <w:rPr>
          <w:rFonts w:hint="eastAsia" w:ascii="宋体" w:hAnsi="宋体"/>
          <w:b/>
          <w:color w:val="auto"/>
          <w:highlight w:val="none"/>
        </w:rPr>
        <w:t>6</w:t>
      </w:r>
    </w:p>
    <w:p w14:paraId="020BB2FC">
      <w:pPr>
        <w:pStyle w:val="43"/>
        <w:outlineLvl w:val="9"/>
        <w:rPr>
          <w:rFonts w:hint="eastAsia" w:ascii="宋体" w:hAnsi="宋体"/>
          <w:b/>
          <w:color w:val="auto"/>
          <w:highlight w:val="none"/>
        </w:rPr>
      </w:pPr>
    </w:p>
    <w:p w14:paraId="350F64FD">
      <w:pPr>
        <w:pStyle w:val="43"/>
        <w:outlineLvl w:val="9"/>
        <w:rPr>
          <w:rFonts w:hint="eastAsia" w:ascii="宋体" w:hAnsi="宋体"/>
          <w:b/>
          <w:color w:val="auto"/>
          <w:highlight w:val="none"/>
        </w:rPr>
      </w:pPr>
    </w:p>
    <w:p w14:paraId="45405D34">
      <w:pPr>
        <w:pageBreakBefore w:val="0"/>
        <w:wordWrap/>
        <w:topLinePunct w:val="0"/>
        <w:bidi w:val="0"/>
        <w:spacing w:line="360" w:lineRule="auto"/>
        <w:jc w:val="center"/>
        <w:outlineLvl w:val="9"/>
        <w:rPr>
          <w:color w:val="auto"/>
          <w:highlight w:val="none"/>
        </w:rPr>
      </w:pPr>
      <w:r>
        <w:rPr>
          <w:rFonts w:hint="eastAsia" w:ascii="宋体" w:hAnsi="宋体" w:cs="宋体"/>
          <w:b/>
          <w:color w:val="auto"/>
          <w:sz w:val="28"/>
          <w:szCs w:val="28"/>
          <w:highlight w:val="none"/>
          <w:lang w:bidi="ar"/>
        </w:rPr>
        <w:t>无重大违法记录声明</w:t>
      </w:r>
    </w:p>
    <w:p w14:paraId="792951F7">
      <w:pPr>
        <w:pageBreakBefore w:val="0"/>
        <w:wordWrap/>
        <w:topLinePunct w:val="0"/>
        <w:bidi w:val="0"/>
        <w:spacing w:line="360" w:lineRule="auto"/>
        <w:outlineLvl w:val="9"/>
        <w:rPr>
          <w:rFonts w:hint="eastAsia"/>
          <w:color w:val="auto"/>
          <w:highlight w:val="none"/>
          <w:u w:val="single"/>
          <w:lang w:val="en-US" w:eastAsia="zh-CN"/>
        </w:rPr>
      </w:pPr>
      <w:r>
        <w:rPr>
          <w:rFonts w:hint="eastAsia" w:ascii="宋体" w:hAnsi="宋体" w:cs="宋体"/>
          <w:b/>
          <w:color w:val="auto"/>
          <w:highlight w:val="none"/>
          <w:lang w:bidi="ar"/>
        </w:rPr>
        <w:t>致：</w:t>
      </w:r>
      <w:r>
        <w:rPr>
          <w:rFonts w:hint="eastAsia"/>
          <w:color w:val="auto"/>
          <w:highlight w:val="none"/>
          <w:u w:val="single"/>
          <w:lang w:val="en-US" w:eastAsia="zh-CN"/>
        </w:rPr>
        <w:t xml:space="preserve">                     </w:t>
      </w:r>
    </w:p>
    <w:p w14:paraId="30419350">
      <w:pPr>
        <w:pageBreakBefore w:val="0"/>
        <w:wordWrap/>
        <w:topLinePunct w:val="0"/>
        <w:bidi w:val="0"/>
        <w:spacing w:line="360" w:lineRule="auto"/>
        <w:outlineLvl w:val="9"/>
        <w:rPr>
          <w:rFonts w:hint="eastAsia"/>
          <w:color w:val="auto"/>
          <w:highlight w:val="none"/>
          <w:u w:val="single"/>
          <w:lang w:val="en-US" w:eastAsia="zh-CN"/>
        </w:rPr>
      </w:pPr>
    </w:p>
    <w:p w14:paraId="37D6CCED">
      <w:pPr>
        <w:pageBreakBefore w:val="0"/>
        <w:wordWrap/>
        <w:topLinePunct w:val="0"/>
        <w:bidi w:val="0"/>
        <w:spacing w:line="360" w:lineRule="auto"/>
        <w:ind w:firstLine="480" w:firstLineChars="200"/>
        <w:outlineLvl w:val="9"/>
        <w:rPr>
          <w:color w:val="auto"/>
          <w:highlight w:val="none"/>
        </w:rPr>
      </w:pPr>
      <w:r>
        <w:rPr>
          <w:rFonts w:hint="eastAsia" w:ascii="宋体" w:hAnsi="宋体" w:cs="宋体"/>
          <w:color w:val="auto"/>
          <w:highlight w:val="none"/>
          <w:lang w:bidi="ar"/>
        </w:rPr>
        <w:t xml:space="preserve">我单位参加本次政府采购项目活动前三年内，在经营活动中无重大违法活动记录，符合《政府采购法》规定的供应商资格条件。我方对此声明负全部法律责任。 </w:t>
      </w:r>
    </w:p>
    <w:p w14:paraId="1453C8B3">
      <w:pPr>
        <w:pageBreakBefore w:val="0"/>
        <w:wordWrap/>
        <w:topLinePunct w:val="0"/>
        <w:bidi w:val="0"/>
        <w:spacing w:line="360" w:lineRule="auto"/>
        <w:outlineLvl w:val="9"/>
        <w:rPr>
          <w:color w:val="auto"/>
          <w:highlight w:val="none"/>
        </w:rPr>
      </w:pPr>
      <w:r>
        <w:rPr>
          <w:rFonts w:hint="eastAsia" w:ascii="宋体" w:hAnsi="宋体" w:cs="宋体"/>
          <w:color w:val="auto"/>
          <w:highlight w:val="none"/>
          <w:lang w:bidi="ar"/>
        </w:rPr>
        <w:t xml:space="preserve">特此声明。 </w:t>
      </w:r>
    </w:p>
    <w:p w14:paraId="24AFF712">
      <w:pPr>
        <w:pageBreakBefore w:val="0"/>
        <w:wordWrap/>
        <w:topLinePunct w:val="0"/>
        <w:bidi w:val="0"/>
        <w:spacing w:line="360" w:lineRule="auto"/>
        <w:ind w:firstLine="480" w:firstLineChars="200"/>
        <w:jc w:val="both"/>
        <w:outlineLvl w:val="9"/>
        <w:rPr>
          <w:rFonts w:hint="eastAsia" w:ascii="宋体" w:hAnsi="宋体" w:cs="宋体"/>
          <w:color w:val="auto"/>
          <w:highlight w:val="none"/>
          <w:lang w:bidi="ar"/>
        </w:rPr>
      </w:pPr>
      <w:r>
        <w:rPr>
          <w:rFonts w:hint="eastAsia" w:ascii="宋体" w:hAnsi="宋体" w:cs="宋体"/>
          <w:color w:val="auto"/>
          <w:highlight w:val="none"/>
          <w:lang w:bidi="ar"/>
        </w:rPr>
        <w:t>附“信用中国”网站查询截图，时间为投标截止时间前</w:t>
      </w:r>
      <w:r>
        <w:rPr>
          <w:rFonts w:hint="eastAsia" w:ascii="宋体" w:hAnsi="宋体" w:cs="宋体"/>
          <w:color w:val="auto"/>
          <w:highlight w:val="none"/>
          <w:lang w:val="en-US" w:eastAsia="zh-CN" w:bidi="ar"/>
        </w:rPr>
        <w:t>10</w:t>
      </w:r>
      <w:r>
        <w:rPr>
          <w:rFonts w:hint="eastAsia" w:ascii="宋体" w:hAnsi="宋体" w:cs="宋体"/>
          <w:color w:val="auto"/>
          <w:highlight w:val="none"/>
          <w:lang w:bidi="ar"/>
        </w:rPr>
        <w:t>天内。</w:t>
      </w:r>
    </w:p>
    <w:p w14:paraId="5E0E5130">
      <w:pPr>
        <w:tabs>
          <w:tab w:val="left" w:pos="720"/>
        </w:tabs>
        <w:outlineLvl w:val="9"/>
        <w:rPr>
          <w:color w:val="auto"/>
          <w:highlight w:val="none"/>
        </w:rPr>
      </w:pPr>
    </w:p>
    <w:p w14:paraId="40F58E64">
      <w:pPr>
        <w:pStyle w:val="64"/>
        <w:outlineLvl w:val="9"/>
        <w:rPr>
          <w:color w:val="auto"/>
          <w:highlight w:val="none"/>
        </w:rPr>
      </w:pPr>
    </w:p>
    <w:p w14:paraId="01226FF0">
      <w:pPr>
        <w:pageBreakBefore w:val="0"/>
        <w:wordWrap/>
        <w:topLinePunct w:val="0"/>
        <w:bidi w:val="0"/>
        <w:spacing w:line="360" w:lineRule="auto"/>
        <w:jc w:val="center"/>
        <w:outlineLvl w:val="9"/>
        <w:rPr>
          <w:color w:val="auto"/>
          <w:highlight w:val="none"/>
        </w:rPr>
      </w:pPr>
      <w:r>
        <w:rPr>
          <w:rFonts w:hint="eastAsia" w:ascii="宋体" w:hAnsi="宋体" w:cs="宋体"/>
          <w:b/>
          <w:color w:val="auto"/>
          <w:highlight w:val="none"/>
          <w:lang w:bidi="ar"/>
        </w:rPr>
        <w:t>投标人：             （公章）</w:t>
      </w:r>
    </w:p>
    <w:p w14:paraId="67BB5E8D">
      <w:pPr>
        <w:pageBreakBefore w:val="0"/>
        <w:wordWrap/>
        <w:topLinePunct w:val="0"/>
        <w:bidi w:val="0"/>
        <w:spacing w:line="360" w:lineRule="auto"/>
        <w:jc w:val="center"/>
        <w:outlineLvl w:val="9"/>
        <w:rPr>
          <w:color w:val="auto"/>
          <w:highlight w:val="none"/>
        </w:rPr>
      </w:pPr>
      <w:r>
        <w:rPr>
          <w:rFonts w:hint="eastAsia" w:ascii="宋体" w:hAnsi="宋体" w:cs="宋体"/>
          <w:b/>
          <w:color w:val="auto"/>
          <w:highlight w:val="none"/>
          <w:lang w:bidi="ar"/>
        </w:rPr>
        <w:t>法定代表人或委托代理人：           （签字或盖章）</w:t>
      </w:r>
    </w:p>
    <w:p w14:paraId="7E2869A1">
      <w:pPr>
        <w:pageBreakBefore w:val="0"/>
        <w:wordWrap/>
        <w:topLinePunct w:val="0"/>
        <w:bidi w:val="0"/>
        <w:spacing w:line="360" w:lineRule="auto"/>
        <w:jc w:val="center"/>
        <w:outlineLvl w:val="9"/>
        <w:rPr>
          <w:color w:val="auto"/>
          <w:highlight w:val="none"/>
        </w:rPr>
      </w:pPr>
      <w:r>
        <w:rPr>
          <w:rFonts w:hint="eastAsia" w:ascii="宋体" w:hAnsi="宋体" w:cs="宋体"/>
          <w:b/>
          <w:color w:val="auto"/>
          <w:highlight w:val="none"/>
          <w:lang w:bidi="ar"/>
        </w:rPr>
        <w:t>年     月     日</w:t>
      </w:r>
    </w:p>
    <w:p w14:paraId="5B2555BF">
      <w:pPr>
        <w:pageBreakBefore w:val="0"/>
        <w:wordWrap/>
        <w:topLinePunct w:val="0"/>
        <w:bidi w:val="0"/>
        <w:spacing w:line="360" w:lineRule="auto"/>
        <w:jc w:val="center"/>
        <w:outlineLvl w:val="9"/>
        <w:rPr>
          <w:rFonts w:ascii="宋体" w:hAnsi="宋体"/>
          <w:color w:val="auto"/>
          <w:highlight w:val="none"/>
        </w:rPr>
      </w:pPr>
    </w:p>
    <w:p w14:paraId="64ADA4BF">
      <w:pPr>
        <w:pageBreakBefore w:val="0"/>
        <w:tabs>
          <w:tab w:val="left" w:pos="900"/>
        </w:tabs>
        <w:wordWrap/>
        <w:topLinePunct w:val="0"/>
        <w:bidi w:val="0"/>
        <w:spacing w:line="360" w:lineRule="auto"/>
        <w:jc w:val="center"/>
        <w:outlineLvl w:val="9"/>
        <w:rPr>
          <w:rFonts w:ascii="宋体" w:hAnsi="宋体"/>
          <w:color w:val="auto"/>
          <w:highlight w:val="none"/>
        </w:rPr>
      </w:pPr>
    </w:p>
    <w:p w14:paraId="2B329C9C">
      <w:pPr>
        <w:pageBreakBefore w:val="0"/>
        <w:tabs>
          <w:tab w:val="left" w:pos="900"/>
        </w:tabs>
        <w:wordWrap/>
        <w:topLinePunct w:val="0"/>
        <w:bidi w:val="0"/>
        <w:spacing w:line="360" w:lineRule="auto"/>
        <w:jc w:val="center"/>
        <w:outlineLvl w:val="9"/>
        <w:rPr>
          <w:rFonts w:ascii="宋体" w:hAnsi="宋体"/>
          <w:color w:val="auto"/>
          <w:highlight w:val="none"/>
        </w:rPr>
      </w:pPr>
    </w:p>
    <w:p w14:paraId="3C862D77">
      <w:pPr>
        <w:pageBreakBefore w:val="0"/>
        <w:tabs>
          <w:tab w:val="left" w:pos="900"/>
        </w:tabs>
        <w:wordWrap/>
        <w:topLinePunct w:val="0"/>
        <w:bidi w:val="0"/>
        <w:spacing w:line="360" w:lineRule="auto"/>
        <w:jc w:val="center"/>
        <w:outlineLvl w:val="9"/>
        <w:rPr>
          <w:rFonts w:ascii="宋体" w:hAnsi="宋体"/>
          <w:color w:val="auto"/>
          <w:highlight w:val="none"/>
        </w:rPr>
      </w:pPr>
    </w:p>
    <w:p w14:paraId="557BFD70">
      <w:pPr>
        <w:pageBreakBefore w:val="0"/>
        <w:tabs>
          <w:tab w:val="left" w:pos="900"/>
        </w:tabs>
        <w:wordWrap/>
        <w:topLinePunct w:val="0"/>
        <w:bidi w:val="0"/>
        <w:spacing w:line="360" w:lineRule="auto"/>
        <w:jc w:val="center"/>
        <w:outlineLvl w:val="9"/>
        <w:rPr>
          <w:rFonts w:ascii="宋体" w:hAnsi="宋体"/>
          <w:color w:val="auto"/>
          <w:highlight w:val="none"/>
        </w:rPr>
      </w:pPr>
    </w:p>
    <w:p w14:paraId="38286106">
      <w:pPr>
        <w:pageBreakBefore w:val="0"/>
        <w:tabs>
          <w:tab w:val="left" w:pos="900"/>
        </w:tabs>
        <w:wordWrap/>
        <w:topLinePunct w:val="0"/>
        <w:bidi w:val="0"/>
        <w:spacing w:line="360" w:lineRule="auto"/>
        <w:jc w:val="center"/>
        <w:outlineLvl w:val="9"/>
        <w:rPr>
          <w:rFonts w:ascii="宋体" w:hAnsi="宋体"/>
          <w:color w:val="auto"/>
          <w:highlight w:val="none"/>
        </w:rPr>
      </w:pPr>
    </w:p>
    <w:p w14:paraId="313C6A30">
      <w:pPr>
        <w:pageBreakBefore w:val="0"/>
        <w:tabs>
          <w:tab w:val="left" w:pos="900"/>
        </w:tabs>
        <w:wordWrap/>
        <w:topLinePunct w:val="0"/>
        <w:bidi w:val="0"/>
        <w:spacing w:line="360" w:lineRule="auto"/>
        <w:jc w:val="center"/>
        <w:outlineLvl w:val="9"/>
        <w:rPr>
          <w:rFonts w:ascii="宋体" w:hAnsi="宋体"/>
          <w:color w:val="auto"/>
          <w:highlight w:val="none"/>
        </w:rPr>
      </w:pPr>
    </w:p>
    <w:p w14:paraId="7B9C17E2">
      <w:pPr>
        <w:pageBreakBefore w:val="0"/>
        <w:tabs>
          <w:tab w:val="left" w:pos="900"/>
        </w:tabs>
        <w:wordWrap/>
        <w:topLinePunct w:val="0"/>
        <w:bidi w:val="0"/>
        <w:spacing w:line="360" w:lineRule="auto"/>
        <w:jc w:val="center"/>
        <w:outlineLvl w:val="9"/>
        <w:rPr>
          <w:rFonts w:ascii="宋体" w:hAnsi="宋体"/>
          <w:color w:val="auto"/>
          <w:highlight w:val="none"/>
        </w:rPr>
      </w:pPr>
    </w:p>
    <w:p w14:paraId="2F5554E8">
      <w:pPr>
        <w:pageBreakBefore w:val="0"/>
        <w:tabs>
          <w:tab w:val="left" w:pos="900"/>
        </w:tabs>
        <w:wordWrap/>
        <w:topLinePunct w:val="0"/>
        <w:bidi w:val="0"/>
        <w:spacing w:line="360" w:lineRule="auto"/>
        <w:jc w:val="center"/>
        <w:outlineLvl w:val="9"/>
        <w:rPr>
          <w:rFonts w:ascii="宋体" w:hAnsi="宋体"/>
          <w:color w:val="auto"/>
          <w:highlight w:val="none"/>
        </w:rPr>
      </w:pPr>
    </w:p>
    <w:p w14:paraId="1290E104">
      <w:pPr>
        <w:pageBreakBefore w:val="0"/>
        <w:tabs>
          <w:tab w:val="left" w:pos="900"/>
        </w:tabs>
        <w:wordWrap/>
        <w:topLinePunct w:val="0"/>
        <w:bidi w:val="0"/>
        <w:spacing w:line="360" w:lineRule="auto"/>
        <w:jc w:val="center"/>
        <w:outlineLvl w:val="9"/>
        <w:rPr>
          <w:rFonts w:ascii="宋体" w:hAnsi="宋体"/>
          <w:color w:val="auto"/>
          <w:highlight w:val="none"/>
        </w:rPr>
      </w:pPr>
    </w:p>
    <w:p w14:paraId="08851C1B">
      <w:pPr>
        <w:pageBreakBefore w:val="0"/>
        <w:tabs>
          <w:tab w:val="left" w:pos="900"/>
        </w:tabs>
        <w:wordWrap/>
        <w:topLinePunct w:val="0"/>
        <w:bidi w:val="0"/>
        <w:spacing w:line="360" w:lineRule="auto"/>
        <w:jc w:val="center"/>
        <w:outlineLvl w:val="9"/>
        <w:rPr>
          <w:rFonts w:ascii="宋体" w:hAnsi="宋体"/>
          <w:color w:val="auto"/>
          <w:highlight w:val="none"/>
        </w:rPr>
      </w:pPr>
    </w:p>
    <w:p w14:paraId="1B8ACE10">
      <w:pPr>
        <w:pageBreakBefore w:val="0"/>
        <w:tabs>
          <w:tab w:val="left" w:pos="900"/>
        </w:tabs>
        <w:wordWrap/>
        <w:topLinePunct w:val="0"/>
        <w:bidi w:val="0"/>
        <w:spacing w:line="360" w:lineRule="auto"/>
        <w:jc w:val="center"/>
        <w:outlineLvl w:val="9"/>
        <w:rPr>
          <w:rFonts w:ascii="宋体" w:hAnsi="宋体"/>
          <w:color w:val="auto"/>
          <w:highlight w:val="none"/>
        </w:rPr>
      </w:pPr>
    </w:p>
    <w:p w14:paraId="1ECB60B8">
      <w:pPr>
        <w:pageBreakBefore w:val="0"/>
        <w:tabs>
          <w:tab w:val="left" w:pos="900"/>
        </w:tabs>
        <w:wordWrap/>
        <w:topLinePunct w:val="0"/>
        <w:bidi w:val="0"/>
        <w:spacing w:line="360" w:lineRule="auto"/>
        <w:jc w:val="center"/>
        <w:outlineLvl w:val="9"/>
        <w:rPr>
          <w:rFonts w:ascii="宋体" w:hAnsi="宋体"/>
          <w:color w:val="auto"/>
          <w:highlight w:val="none"/>
        </w:rPr>
      </w:pPr>
    </w:p>
    <w:p w14:paraId="62985692">
      <w:pPr>
        <w:pageBreakBefore w:val="0"/>
        <w:tabs>
          <w:tab w:val="left" w:pos="900"/>
        </w:tabs>
        <w:wordWrap/>
        <w:topLinePunct w:val="0"/>
        <w:bidi w:val="0"/>
        <w:spacing w:line="360" w:lineRule="auto"/>
        <w:jc w:val="center"/>
        <w:outlineLvl w:val="9"/>
        <w:rPr>
          <w:rFonts w:ascii="宋体" w:hAnsi="宋体"/>
          <w:color w:val="auto"/>
          <w:highlight w:val="none"/>
        </w:rPr>
      </w:pPr>
    </w:p>
    <w:p w14:paraId="71CC838D">
      <w:pPr>
        <w:widowControl/>
        <w:snapToGrid w:val="0"/>
        <w:spacing w:line="360" w:lineRule="auto"/>
        <w:outlineLvl w:val="9"/>
        <w:rPr>
          <w:rFonts w:hint="eastAsia"/>
          <w:b/>
          <w:color w:val="auto"/>
          <w:sz w:val="32"/>
          <w:szCs w:val="40"/>
          <w:highlight w:val="none"/>
          <w:lang w:bidi="ar"/>
        </w:rPr>
      </w:pPr>
      <w:r>
        <w:rPr>
          <w:rFonts w:hint="eastAsia" w:ascii="宋体" w:hAnsi="宋体" w:eastAsia="宋体" w:cs="宋体"/>
          <w:b/>
          <w:color w:val="auto"/>
          <w:highlight w:val="none"/>
        </w:rPr>
        <w:br w:type="page"/>
      </w:r>
      <w:bookmarkStart w:id="17" w:name="_Toc496004044"/>
      <w:bookmarkStart w:id="18" w:name="_Toc28078205"/>
      <w:bookmarkStart w:id="19" w:name="_Toc22156"/>
      <w:bookmarkStart w:id="20" w:name="_Toc28017"/>
      <w:r>
        <w:rPr>
          <w:rFonts w:hint="eastAsia" w:ascii="宋体"/>
          <w:b/>
          <w:color w:val="auto"/>
          <w:sz w:val="28"/>
          <w:szCs w:val="28"/>
          <w:highlight w:val="none"/>
        </w:rPr>
        <w:t>附件1</w:t>
      </w:r>
      <w:r>
        <w:rPr>
          <w:rFonts w:hint="eastAsia" w:ascii="宋体"/>
          <w:b/>
          <w:color w:val="auto"/>
          <w:sz w:val="28"/>
          <w:szCs w:val="28"/>
          <w:highlight w:val="none"/>
          <w:lang w:val="en-US" w:eastAsia="zh-CN"/>
        </w:rPr>
        <w:t>-7</w:t>
      </w:r>
      <w:r>
        <w:rPr>
          <w:rFonts w:hint="eastAsia" w:ascii="宋体"/>
          <w:b/>
          <w:color w:val="auto"/>
          <w:sz w:val="28"/>
          <w:szCs w:val="28"/>
          <w:highlight w:val="none"/>
        </w:rPr>
        <w:t>：</w:t>
      </w:r>
      <w:bookmarkEnd w:id="17"/>
      <w:bookmarkEnd w:id="18"/>
      <w:r>
        <w:rPr>
          <w:rFonts w:hint="eastAsia" w:ascii="宋体"/>
          <w:b/>
          <w:color w:val="auto"/>
          <w:sz w:val="28"/>
          <w:szCs w:val="28"/>
          <w:highlight w:val="none"/>
        </w:rPr>
        <w:t>中小企业声明函</w:t>
      </w:r>
      <w:bookmarkEnd w:id="19"/>
      <w:bookmarkEnd w:id="20"/>
    </w:p>
    <w:p w14:paraId="616775F2">
      <w:pPr>
        <w:autoSpaceDE w:val="0"/>
        <w:autoSpaceDN w:val="0"/>
        <w:spacing w:line="360" w:lineRule="auto"/>
        <w:jc w:val="center"/>
        <w:outlineLvl w:val="9"/>
        <w:rPr>
          <w:rFonts w:hint="eastAsia" w:ascii="宋体" w:hAnsi="宋体" w:eastAsia="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rPr>
        <w:t>中小企业声明函（货物）</w:t>
      </w:r>
      <w:r>
        <w:rPr>
          <w:rFonts w:hint="eastAsia" w:ascii="宋体" w:hAnsi="宋体" w:cs="宋体"/>
          <w:b/>
          <w:bCs/>
          <w:color w:val="auto"/>
          <w:kern w:val="0"/>
          <w:sz w:val="28"/>
          <w:szCs w:val="28"/>
          <w:highlight w:val="none"/>
          <w:lang w:val="en-US" w:eastAsia="zh-CN"/>
        </w:rPr>
        <w:t>包一：</w:t>
      </w:r>
    </w:p>
    <w:p w14:paraId="1477E83A">
      <w:pPr>
        <w:spacing w:line="460" w:lineRule="exact"/>
        <w:ind w:firstLine="48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本公司（联合体）郑重声明，根据《政府采购促进中小企业发展管理办法》（财库﹝2020﹞46 号）的规定，本公司 （联合体）参加</w:t>
      </w:r>
      <w:r>
        <w:rPr>
          <w:rFonts w:hint="eastAsia" w:asciiTheme="minorEastAsia" w:hAnsiTheme="minorEastAsia" w:eastAsiaTheme="minorEastAsia" w:cstheme="minorEastAsia"/>
          <w:color w:val="auto"/>
          <w:sz w:val="24"/>
          <w:szCs w:val="24"/>
          <w:highlight w:val="none"/>
          <w:u w:val="single"/>
          <w:lang w:bidi="ar"/>
        </w:rPr>
        <w:t>（单位名称）</w:t>
      </w:r>
      <w:r>
        <w:rPr>
          <w:rFonts w:hint="eastAsia" w:asciiTheme="minorEastAsia" w:hAnsiTheme="minorEastAsia" w:eastAsiaTheme="minorEastAsia" w:cstheme="minorEastAsia"/>
          <w:color w:val="auto"/>
          <w:sz w:val="24"/>
          <w:szCs w:val="24"/>
          <w:highlight w:val="none"/>
          <w:lang w:bidi="ar"/>
        </w:rPr>
        <w:t>的</w:t>
      </w:r>
      <w:r>
        <w:rPr>
          <w:rFonts w:hint="eastAsia" w:asciiTheme="minorEastAsia" w:hAnsiTheme="minorEastAsia" w:eastAsiaTheme="minorEastAsia" w:cstheme="minorEastAsia"/>
          <w:color w:val="auto"/>
          <w:sz w:val="24"/>
          <w:szCs w:val="24"/>
          <w:highlight w:val="none"/>
          <w:u w:val="single"/>
          <w:lang w:bidi="ar"/>
        </w:rPr>
        <w:t>（项目名称）</w:t>
      </w:r>
      <w:r>
        <w:rPr>
          <w:rFonts w:hint="eastAsia" w:asciiTheme="minorEastAsia" w:hAnsiTheme="minorEastAsia" w:eastAsiaTheme="minorEastAsia" w:cstheme="minorEastAsia"/>
          <w:color w:val="auto"/>
          <w:sz w:val="24"/>
          <w:szCs w:val="24"/>
          <w:highlight w:val="none"/>
          <w:lang w:bidi="ar"/>
        </w:rPr>
        <w:t xml:space="preserve">采购活动，提供的货物全部由符合政策要求的中小企业制造。相关企业 （含联合体中的中小企业、签订分包意向协议的中小企业） 的具体情况如下： </w:t>
      </w:r>
    </w:p>
    <w:p w14:paraId="056EBDF2">
      <w:pPr>
        <w:numPr>
          <w:ilvl w:val="0"/>
          <w:numId w:val="12"/>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bidi="ar"/>
        </w:rPr>
        <w:t>（教师机）</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02357831">
      <w:pPr>
        <w:numPr>
          <w:ilvl w:val="0"/>
          <w:numId w:val="12"/>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r>
        <w:rPr>
          <w:rFonts w:hint="eastAsia" w:asciiTheme="minorEastAsia" w:hAnsiTheme="minorEastAsia" w:eastAsiaTheme="minorEastAsia" w:cstheme="minorEastAsia"/>
          <w:color w:val="auto"/>
          <w:sz w:val="24"/>
          <w:szCs w:val="24"/>
          <w:highlight w:val="none"/>
          <w:u w:val="single"/>
          <w:lang w:bidi="ar"/>
        </w:rPr>
        <w:t>（</w:t>
      </w:r>
      <w:r>
        <w:rPr>
          <w:rFonts w:hint="eastAsia" w:asciiTheme="minorEastAsia" w:hAnsiTheme="minorEastAsia" w:eastAsiaTheme="minorEastAsia" w:cstheme="minorEastAsia"/>
          <w:color w:val="auto"/>
          <w:sz w:val="24"/>
          <w:szCs w:val="24"/>
          <w:highlight w:val="none"/>
          <w:u w:val="single"/>
          <w:lang w:val="en-US" w:eastAsia="zh-CN" w:bidi="ar"/>
        </w:rPr>
        <w:t>学生终端</w:t>
      </w:r>
      <w:r>
        <w:rPr>
          <w:rFonts w:hint="eastAsia" w:asciiTheme="minorEastAsia" w:hAnsiTheme="minorEastAsia" w:eastAsiaTheme="minorEastAsia" w:cstheme="minorEastAsia"/>
          <w:color w:val="auto"/>
          <w:sz w:val="24"/>
          <w:szCs w:val="24"/>
          <w:highlight w:val="none"/>
          <w:u w:val="single"/>
          <w:lang w:bidi="ar"/>
        </w:rPr>
        <w:t>）</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179FC73A">
      <w:pPr>
        <w:numPr>
          <w:ilvl w:val="0"/>
          <w:numId w:val="12"/>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r>
        <w:rPr>
          <w:rFonts w:hint="eastAsia" w:asciiTheme="minorEastAsia" w:hAnsiTheme="minorEastAsia" w:eastAsiaTheme="minorEastAsia" w:cstheme="minorEastAsia"/>
          <w:color w:val="auto"/>
          <w:sz w:val="24"/>
          <w:szCs w:val="24"/>
          <w:highlight w:val="none"/>
          <w:u w:val="single"/>
          <w:lang w:bidi="ar"/>
        </w:rPr>
        <w:t>（云服务器）</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6F91E8AF">
      <w:pPr>
        <w:numPr>
          <w:ilvl w:val="0"/>
          <w:numId w:val="12"/>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r>
        <w:rPr>
          <w:rFonts w:hint="eastAsia" w:asciiTheme="minorEastAsia" w:hAnsiTheme="minorEastAsia" w:eastAsiaTheme="minorEastAsia" w:cstheme="minorEastAsia"/>
          <w:color w:val="auto"/>
          <w:sz w:val="24"/>
          <w:szCs w:val="24"/>
          <w:highlight w:val="none"/>
          <w:u w:val="single"/>
          <w:lang w:bidi="ar"/>
        </w:rPr>
        <w:t>（平台管理软件）</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495C41E6">
      <w:pPr>
        <w:numPr>
          <w:ilvl w:val="0"/>
          <w:numId w:val="12"/>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r>
        <w:rPr>
          <w:rFonts w:hint="eastAsia" w:asciiTheme="minorEastAsia" w:hAnsiTheme="minorEastAsia" w:eastAsiaTheme="minorEastAsia" w:cstheme="minorEastAsia"/>
          <w:color w:val="auto"/>
          <w:sz w:val="24"/>
          <w:szCs w:val="24"/>
          <w:highlight w:val="none"/>
          <w:u w:val="single"/>
          <w:lang w:bidi="ar"/>
        </w:rPr>
        <w:t>（电脑桌）</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251FF985">
      <w:pPr>
        <w:numPr>
          <w:ilvl w:val="0"/>
          <w:numId w:val="12"/>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r>
        <w:rPr>
          <w:rFonts w:hint="eastAsia" w:asciiTheme="minorEastAsia" w:hAnsiTheme="minorEastAsia" w:eastAsiaTheme="minorEastAsia" w:cstheme="minorEastAsia"/>
          <w:color w:val="auto"/>
          <w:sz w:val="24"/>
          <w:szCs w:val="24"/>
          <w:highlight w:val="none"/>
          <w:u w:val="single"/>
          <w:lang w:bidi="ar"/>
        </w:rPr>
        <w:t>（凳子）</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3C7C3F9E">
      <w:pPr>
        <w:numPr>
          <w:ilvl w:val="0"/>
          <w:numId w:val="12"/>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r>
        <w:rPr>
          <w:rFonts w:hint="eastAsia" w:asciiTheme="minorEastAsia" w:hAnsiTheme="minorEastAsia" w:eastAsiaTheme="minorEastAsia" w:cstheme="minorEastAsia"/>
          <w:color w:val="auto"/>
          <w:sz w:val="24"/>
          <w:szCs w:val="24"/>
          <w:highlight w:val="none"/>
          <w:u w:val="single"/>
          <w:lang w:bidi="ar"/>
        </w:rPr>
        <w:t>（机柜）</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67B529F1">
      <w:pPr>
        <w:numPr>
          <w:ilvl w:val="0"/>
          <w:numId w:val="12"/>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r>
        <w:rPr>
          <w:rFonts w:hint="eastAsia" w:asciiTheme="minorEastAsia" w:hAnsiTheme="minorEastAsia" w:eastAsiaTheme="minorEastAsia" w:cstheme="minorEastAsia"/>
          <w:color w:val="auto"/>
          <w:sz w:val="24"/>
          <w:szCs w:val="24"/>
          <w:highlight w:val="none"/>
          <w:u w:val="single"/>
          <w:lang w:bidi="ar"/>
        </w:rPr>
        <w:t>（交换机）</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7AB7D68B">
      <w:pPr>
        <w:numPr>
          <w:ilvl w:val="0"/>
          <w:numId w:val="12"/>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r>
        <w:rPr>
          <w:rFonts w:hint="eastAsia" w:asciiTheme="minorEastAsia" w:hAnsiTheme="minorEastAsia" w:eastAsiaTheme="minorEastAsia" w:cstheme="minorEastAsia"/>
          <w:color w:val="auto"/>
          <w:sz w:val="24"/>
          <w:szCs w:val="24"/>
          <w:highlight w:val="none"/>
          <w:u w:val="single"/>
          <w:lang w:bidi="ar"/>
        </w:rPr>
        <w:t>（辅材）</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6ADEEE4D">
      <w:pPr>
        <w:numPr>
          <w:ilvl w:val="0"/>
          <w:numId w:val="12"/>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r>
        <w:rPr>
          <w:rFonts w:hint="eastAsia" w:asciiTheme="minorEastAsia" w:hAnsiTheme="minorEastAsia" w:eastAsiaTheme="minorEastAsia" w:cstheme="minorEastAsia"/>
          <w:color w:val="auto"/>
          <w:sz w:val="24"/>
          <w:szCs w:val="24"/>
          <w:highlight w:val="none"/>
          <w:u w:val="single"/>
          <w:lang w:bidi="ar"/>
        </w:rPr>
        <w:t>（智慧黑板）</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54ABA57E">
      <w:pPr>
        <w:numPr>
          <w:ilvl w:val="0"/>
          <w:numId w:val="12"/>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bidi="ar"/>
        </w:rPr>
        <w:t>（实物展台）</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0AAAC771">
      <w:pPr>
        <w:numPr>
          <w:ilvl w:val="0"/>
          <w:numId w:val="12"/>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bidi="ar"/>
        </w:rPr>
        <w:t>（智能笔）</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58C8CF16">
      <w:pPr>
        <w:numPr>
          <w:ilvl w:val="0"/>
          <w:numId w:val="12"/>
        </w:numPr>
        <w:spacing w:line="360" w:lineRule="auto"/>
        <w:rPr>
          <w:rFonts w:hint="eastAsia"/>
        </w:rPr>
      </w:pPr>
      <w:r>
        <w:rPr>
          <w:rFonts w:hint="eastAsia" w:asciiTheme="minorEastAsia" w:hAnsiTheme="minorEastAsia" w:eastAsiaTheme="minorEastAsia" w:cstheme="minorEastAsia"/>
          <w:color w:val="auto"/>
          <w:sz w:val="24"/>
          <w:szCs w:val="24"/>
          <w:highlight w:val="none"/>
          <w:u w:val="single"/>
          <w:lang w:bidi="ar"/>
        </w:rPr>
        <w:t>（扩音设备）</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59411B2F">
      <w:pPr>
        <w:spacing w:line="460" w:lineRule="exact"/>
        <w:ind w:firstLine="48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w:t>
      </w:r>
    </w:p>
    <w:p w14:paraId="206AADF6">
      <w:pPr>
        <w:spacing w:line="460" w:lineRule="exact"/>
        <w:outlineLvl w:val="9"/>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以上企业，不属于大企业的分支机构，不存在控股股东 为大企业的情形，也不存在与大企业的负责人为同一人的情形。</w:t>
      </w:r>
    </w:p>
    <w:p w14:paraId="34FD530F">
      <w:pPr>
        <w:spacing w:line="360" w:lineRule="auto"/>
        <w:ind w:firstLine="482" w:firstLineChars="200"/>
        <w:rPr>
          <w:rFonts w:ascii="宋体" w:hAnsi="宋体" w:cs="宋体"/>
          <w:b/>
          <w:bCs/>
          <w:color w:val="auto"/>
        </w:rPr>
      </w:pPr>
      <w:r>
        <w:rPr>
          <w:rFonts w:hint="eastAsia" w:ascii="宋体" w:hAnsi="宋体" w:cs="宋体"/>
          <w:b/>
          <w:bCs/>
          <w:color w:val="auto"/>
        </w:rPr>
        <w:t>磋商文件中采购标的对应的所属行业如若与中小企业划型标准规定不符，请供应商以最新的中小企业划型标准规定进行填写。</w:t>
      </w:r>
    </w:p>
    <w:p w14:paraId="65AA0C34">
      <w:pPr>
        <w:spacing w:line="460" w:lineRule="exac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本企业对上述声明内容的真实性负责。如有虚假，将依法承担相应责任。 </w:t>
      </w:r>
    </w:p>
    <w:p w14:paraId="37809BBC">
      <w:pPr>
        <w:spacing w:line="460" w:lineRule="exact"/>
        <w:outlineLvl w:val="9"/>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从业人员、营业收入、资产总额填报上一年度数据，无上一年度数据的新成立企业可不填报。</w:t>
      </w:r>
    </w:p>
    <w:p w14:paraId="6FD609AC">
      <w:pPr>
        <w:wordWrap w:val="0"/>
        <w:adjustRightInd w:val="0"/>
        <w:snapToGrid w:val="0"/>
        <w:spacing w:line="440" w:lineRule="exact"/>
        <w:ind w:left="6987" w:hanging="6987" w:hangingChars="2900"/>
        <w:jc w:val="right"/>
        <w:outlineLvl w:val="9"/>
        <w:rPr>
          <w:rFonts w:hint="eastAsia" w:ascii="宋体" w:hAnsi="宋体" w:cs="宋体"/>
          <w:b/>
          <w:color w:val="auto"/>
          <w:sz w:val="24"/>
          <w:highlight w:val="none"/>
        </w:rPr>
      </w:pPr>
      <w:r>
        <w:rPr>
          <w:rFonts w:hint="eastAsia" w:ascii="宋体" w:hAnsi="宋体" w:cs="宋体"/>
          <w:b/>
          <w:color w:val="auto"/>
          <w:sz w:val="24"/>
          <w:highlight w:val="none"/>
        </w:rPr>
        <w:t xml:space="preserve">       </w:t>
      </w:r>
    </w:p>
    <w:p w14:paraId="5379AEB7">
      <w:pPr>
        <w:wordWrap w:val="0"/>
        <w:adjustRightInd w:val="0"/>
        <w:snapToGrid w:val="0"/>
        <w:spacing w:line="440" w:lineRule="exact"/>
        <w:ind w:left="6987" w:hanging="6987" w:hangingChars="2900"/>
        <w:jc w:val="right"/>
        <w:outlineLvl w:val="9"/>
        <w:rPr>
          <w:rFonts w:hint="eastAsia" w:ascii="宋体" w:hAnsi="宋体" w:cs="宋体"/>
          <w:b/>
          <w:color w:val="auto"/>
          <w:sz w:val="24"/>
          <w:highlight w:val="none"/>
        </w:rPr>
      </w:pPr>
    </w:p>
    <w:p w14:paraId="41EECFFD">
      <w:pPr>
        <w:autoSpaceDE w:val="0"/>
        <w:autoSpaceDN w:val="0"/>
        <w:spacing w:line="360" w:lineRule="auto"/>
        <w:jc w:val="center"/>
        <w:rPr>
          <w:rFonts w:ascii="宋体" w:hAnsi="宋体" w:cs="宋体"/>
          <w:b/>
          <w:bCs/>
          <w:color w:val="auto"/>
          <w:kern w:val="0"/>
          <w:lang w:val="zh-CN"/>
        </w:rPr>
      </w:pPr>
      <w:r>
        <w:rPr>
          <w:rFonts w:hint="eastAsia" w:ascii="宋体" w:hAnsi="宋体" w:cs="宋体"/>
          <w:b/>
          <w:bCs/>
          <w:color w:val="auto"/>
        </w:rPr>
        <w:t xml:space="preserve">     </w:t>
      </w:r>
      <w:r>
        <w:rPr>
          <w:rFonts w:hint="eastAsia" w:ascii="宋体" w:hAnsi="宋体" w:cs="宋体"/>
          <w:b/>
          <w:bCs/>
          <w:color w:val="auto"/>
          <w:kern w:val="0"/>
          <w:lang w:val="zh-CN"/>
        </w:rPr>
        <w:t>供应商：           （公章）</w:t>
      </w:r>
    </w:p>
    <w:p w14:paraId="3903B7BE">
      <w:pPr>
        <w:autoSpaceDE w:val="0"/>
        <w:autoSpaceDN w:val="0"/>
        <w:spacing w:line="360" w:lineRule="auto"/>
        <w:jc w:val="center"/>
        <w:rPr>
          <w:rFonts w:ascii="宋体" w:hAnsi="宋体" w:cs="宋体"/>
          <w:b/>
          <w:bCs/>
          <w:color w:val="auto"/>
          <w:kern w:val="0"/>
          <w:lang w:val="zh-CN"/>
        </w:rPr>
      </w:pPr>
      <w:r>
        <w:rPr>
          <w:rFonts w:hint="eastAsia" w:ascii="宋体" w:hAnsi="宋体" w:cs="宋体"/>
          <w:b/>
          <w:bCs/>
          <w:color w:val="auto"/>
          <w:kern w:val="0"/>
          <w:lang w:val="zh-CN"/>
        </w:rPr>
        <w:t xml:space="preserve">              法定代表人或委托代理人：  （签字或盖章）</w:t>
      </w:r>
    </w:p>
    <w:p w14:paraId="4CB5A037">
      <w:pPr>
        <w:wordWrap w:val="0"/>
        <w:adjustRightInd w:val="0"/>
        <w:snapToGrid w:val="0"/>
        <w:spacing w:line="440" w:lineRule="exact"/>
        <w:ind w:right="560" w:firstLine="5542" w:firstLineChars="2300"/>
        <w:rPr>
          <w:rFonts w:hint="eastAsia" w:ascii="宋体" w:hAnsi="宋体" w:cs="宋体"/>
          <w:color w:val="auto"/>
          <w:sz w:val="28"/>
          <w:szCs w:val="28"/>
          <w:lang w:val="zh-CN"/>
        </w:rPr>
      </w:pPr>
      <w:r>
        <w:rPr>
          <w:rFonts w:hint="eastAsia" w:ascii="宋体" w:hAnsi="宋体" w:cs="宋体"/>
          <w:b/>
          <w:bCs/>
          <w:color w:val="auto"/>
          <w:kern w:val="0"/>
          <w:lang w:val="zh-CN"/>
        </w:rPr>
        <w:t>年  月  日</w:t>
      </w:r>
    </w:p>
    <w:p w14:paraId="7C43772E">
      <w:pPr>
        <w:rPr>
          <w:rFonts w:hint="eastAsia" w:ascii="宋体" w:hAnsi="宋体" w:cs="宋体"/>
          <w:color w:val="auto"/>
          <w:kern w:val="0"/>
          <w:highlight w:val="none"/>
          <w:lang w:val="zh-CN"/>
        </w:rPr>
      </w:pPr>
      <w:r>
        <w:rPr>
          <w:rFonts w:hint="eastAsia" w:ascii="宋体" w:hAnsi="宋体" w:cs="宋体"/>
          <w:color w:val="auto"/>
          <w:kern w:val="0"/>
          <w:highlight w:val="none"/>
          <w:lang w:val="zh-CN"/>
        </w:rPr>
        <w:br w:type="page"/>
      </w:r>
    </w:p>
    <w:p w14:paraId="1DE95688">
      <w:pPr>
        <w:autoSpaceDE w:val="0"/>
        <w:autoSpaceDN w:val="0"/>
        <w:spacing w:line="360" w:lineRule="auto"/>
        <w:jc w:val="center"/>
        <w:outlineLvl w:val="9"/>
        <w:rPr>
          <w:rFonts w:hint="eastAsia" w:ascii="宋体" w:hAnsi="宋体" w:eastAsia="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rPr>
        <w:t>中小企业声明函（货物）</w:t>
      </w:r>
      <w:r>
        <w:rPr>
          <w:rFonts w:hint="eastAsia" w:ascii="宋体" w:hAnsi="宋体" w:cs="宋体"/>
          <w:b/>
          <w:bCs/>
          <w:color w:val="auto"/>
          <w:kern w:val="0"/>
          <w:sz w:val="28"/>
          <w:szCs w:val="28"/>
          <w:highlight w:val="none"/>
          <w:lang w:val="en-US" w:eastAsia="zh-CN"/>
        </w:rPr>
        <w:t>包二：</w:t>
      </w:r>
    </w:p>
    <w:p w14:paraId="4B8CE3CB">
      <w:pPr>
        <w:spacing w:line="460" w:lineRule="exact"/>
        <w:ind w:firstLine="48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本公司（联合体）郑重声明，根据《政府采购促进中小企业发展管理办法》（财库﹝2020﹞46 号）的规定，本公司 （联合体）参加</w:t>
      </w:r>
      <w:r>
        <w:rPr>
          <w:rFonts w:hint="eastAsia" w:asciiTheme="minorEastAsia" w:hAnsiTheme="minorEastAsia" w:eastAsiaTheme="minorEastAsia" w:cstheme="minorEastAsia"/>
          <w:color w:val="auto"/>
          <w:sz w:val="24"/>
          <w:szCs w:val="24"/>
          <w:highlight w:val="none"/>
          <w:u w:val="single"/>
          <w:lang w:bidi="ar"/>
        </w:rPr>
        <w:t>（单位名称）</w:t>
      </w:r>
      <w:r>
        <w:rPr>
          <w:rFonts w:hint="eastAsia" w:asciiTheme="minorEastAsia" w:hAnsiTheme="minorEastAsia" w:eastAsiaTheme="minorEastAsia" w:cstheme="minorEastAsia"/>
          <w:color w:val="auto"/>
          <w:sz w:val="24"/>
          <w:szCs w:val="24"/>
          <w:highlight w:val="none"/>
          <w:lang w:bidi="ar"/>
        </w:rPr>
        <w:t>的</w:t>
      </w:r>
      <w:r>
        <w:rPr>
          <w:rFonts w:hint="eastAsia" w:asciiTheme="minorEastAsia" w:hAnsiTheme="minorEastAsia" w:eastAsiaTheme="minorEastAsia" w:cstheme="minorEastAsia"/>
          <w:color w:val="auto"/>
          <w:sz w:val="24"/>
          <w:szCs w:val="24"/>
          <w:highlight w:val="none"/>
          <w:u w:val="single"/>
          <w:lang w:bidi="ar"/>
        </w:rPr>
        <w:t>（项目名称）</w:t>
      </w:r>
      <w:r>
        <w:rPr>
          <w:rFonts w:hint="eastAsia" w:asciiTheme="minorEastAsia" w:hAnsiTheme="minorEastAsia" w:eastAsiaTheme="minorEastAsia" w:cstheme="minorEastAsia"/>
          <w:color w:val="auto"/>
          <w:sz w:val="24"/>
          <w:szCs w:val="24"/>
          <w:highlight w:val="none"/>
          <w:lang w:bidi="ar"/>
        </w:rPr>
        <w:t xml:space="preserve">采购活动，提供的货物全部由符合政策要求的中小企业制造。相关企业 （含联合体中的中小企业、签订分包意向协议的中小企业） 的具体情况如下： </w:t>
      </w:r>
    </w:p>
    <w:p w14:paraId="6F6A8916">
      <w:pPr>
        <w:numPr>
          <w:ilvl w:val="0"/>
          <w:numId w:val="1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bidi="ar"/>
        </w:rPr>
        <w:t>（户外全彩LED屏）</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4BAB90F8">
      <w:pPr>
        <w:numPr>
          <w:ilvl w:val="0"/>
          <w:numId w:val="1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r>
        <w:rPr>
          <w:rFonts w:hint="eastAsia" w:asciiTheme="minorEastAsia" w:hAnsiTheme="minorEastAsia" w:eastAsiaTheme="minorEastAsia" w:cstheme="minorEastAsia"/>
          <w:color w:val="auto"/>
          <w:sz w:val="24"/>
          <w:szCs w:val="24"/>
          <w:highlight w:val="none"/>
          <w:u w:val="single"/>
          <w:lang w:bidi="ar"/>
        </w:rPr>
        <w:t>（简易箱体）</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7CC5F550">
      <w:pPr>
        <w:numPr>
          <w:ilvl w:val="0"/>
          <w:numId w:val="1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r>
        <w:rPr>
          <w:rFonts w:hint="eastAsia" w:asciiTheme="minorEastAsia" w:hAnsiTheme="minorEastAsia" w:eastAsiaTheme="minorEastAsia" w:cstheme="minorEastAsia"/>
          <w:color w:val="auto"/>
          <w:sz w:val="24"/>
          <w:szCs w:val="24"/>
          <w:highlight w:val="none"/>
          <w:u w:val="single"/>
          <w:lang w:bidi="ar"/>
        </w:rPr>
        <w:t>（接收卡）</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16319578">
      <w:pPr>
        <w:numPr>
          <w:ilvl w:val="0"/>
          <w:numId w:val="1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r>
        <w:rPr>
          <w:rFonts w:hint="eastAsia" w:asciiTheme="minorEastAsia" w:hAnsiTheme="minorEastAsia" w:eastAsiaTheme="minorEastAsia" w:cstheme="minorEastAsia"/>
          <w:color w:val="auto"/>
          <w:sz w:val="24"/>
          <w:szCs w:val="24"/>
          <w:highlight w:val="none"/>
          <w:u w:val="single"/>
          <w:lang w:bidi="ar"/>
        </w:rPr>
        <w:t>（独立主控）</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61B90970">
      <w:pPr>
        <w:numPr>
          <w:ilvl w:val="0"/>
          <w:numId w:val="1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r>
        <w:rPr>
          <w:rFonts w:hint="eastAsia" w:asciiTheme="minorEastAsia" w:hAnsiTheme="minorEastAsia" w:eastAsiaTheme="minorEastAsia" w:cstheme="minorEastAsia"/>
          <w:color w:val="auto"/>
          <w:sz w:val="24"/>
          <w:szCs w:val="24"/>
          <w:highlight w:val="none"/>
          <w:u w:val="single"/>
          <w:lang w:bidi="ar"/>
        </w:rPr>
        <w:t>（开关电源）</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755BA9B5">
      <w:pPr>
        <w:numPr>
          <w:ilvl w:val="0"/>
          <w:numId w:val="1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r>
        <w:rPr>
          <w:rFonts w:hint="eastAsia" w:asciiTheme="minorEastAsia" w:hAnsiTheme="minorEastAsia" w:eastAsiaTheme="minorEastAsia" w:cstheme="minorEastAsia"/>
          <w:color w:val="auto"/>
          <w:sz w:val="24"/>
          <w:szCs w:val="24"/>
          <w:highlight w:val="none"/>
          <w:u w:val="single"/>
          <w:lang w:bidi="ar"/>
        </w:rPr>
        <w:t>（配电柜）</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7E252A96">
      <w:pPr>
        <w:numPr>
          <w:ilvl w:val="0"/>
          <w:numId w:val="13"/>
        </w:numPr>
        <w:spacing w:line="360" w:lineRule="auto"/>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lang w:eastAsia="zh-CN"/>
        </w:rPr>
        <w:t>（</w:t>
      </w:r>
      <w:r>
        <w:rPr>
          <w:rFonts w:hint="eastAsia" w:ascii="宋体" w:hAnsi="宋体" w:cs="宋体"/>
          <w:color w:val="auto"/>
          <w:u w:val="single"/>
        </w:rPr>
        <w:t>轴流风机</w:t>
      </w:r>
      <w:r>
        <w:rPr>
          <w:rFonts w:hint="eastAsia" w:asciiTheme="minorEastAsia" w:hAnsiTheme="minorEastAsia" w:eastAsiaTheme="minorEastAsia" w:cstheme="minorEastAsia"/>
          <w:color w:val="auto"/>
          <w:sz w:val="24"/>
          <w:szCs w:val="24"/>
          <w:highlight w:val="none"/>
          <w:u w:val="single"/>
          <w:lang w:bidi="ar"/>
        </w:rPr>
        <w:t>）</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5796D3C9">
      <w:pPr>
        <w:numPr>
          <w:ilvl w:val="0"/>
          <w:numId w:val="1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r>
        <w:rPr>
          <w:rFonts w:hint="eastAsia" w:asciiTheme="minorEastAsia" w:hAnsiTheme="minorEastAsia" w:eastAsiaTheme="minorEastAsia" w:cstheme="minorEastAsia"/>
          <w:color w:val="auto"/>
          <w:sz w:val="24"/>
          <w:szCs w:val="24"/>
          <w:highlight w:val="none"/>
          <w:u w:val="single"/>
          <w:lang w:bidi="ar"/>
        </w:rPr>
        <w:t>（室外音柱）</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7778E636">
      <w:pPr>
        <w:numPr>
          <w:ilvl w:val="0"/>
          <w:numId w:val="1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r>
        <w:rPr>
          <w:rFonts w:hint="eastAsia" w:asciiTheme="minorEastAsia" w:hAnsiTheme="minorEastAsia" w:eastAsiaTheme="minorEastAsia" w:cstheme="minorEastAsia"/>
          <w:color w:val="auto"/>
          <w:sz w:val="24"/>
          <w:szCs w:val="24"/>
          <w:highlight w:val="none"/>
          <w:u w:val="single"/>
          <w:lang w:bidi="ar"/>
        </w:rPr>
        <w:t>（功放）</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247131C2">
      <w:pPr>
        <w:numPr>
          <w:ilvl w:val="0"/>
          <w:numId w:val="1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r>
        <w:rPr>
          <w:rFonts w:hint="eastAsia" w:asciiTheme="minorEastAsia" w:hAnsiTheme="minorEastAsia" w:eastAsiaTheme="minorEastAsia" w:cstheme="minorEastAsia"/>
          <w:color w:val="auto"/>
          <w:sz w:val="24"/>
          <w:szCs w:val="24"/>
          <w:highlight w:val="none"/>
          <w:u w:val="single"/>
          <w:lang w:bidi="ar"/>
        </w:rPr>
        <w:t>（控制电脑（兼容机））</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7D6CF57D">
      <w:pPr>
        <w:numPr>
          <w:ilvl w:val="0"/>
          <w:numId w:val="1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bidi="ar"/>
        </w:rPr>
        <w:t>（安装调试）</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4844F806">
      <w:pPr>
        <w:numPr>
          <w:ilvl w:val="0"/>
          <w:numId w:val="1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bidi="ar"/>
        </w:rPr>
        <w:t>（钢结构）</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37DA4BA7">
      <w:pPr>
        <w:numPr>
          <w:ilvl w:val="0"/>
          <w:numId w:val="13"/>
        </w:numPr>
        <w:spacing w:line="360" w:lineRule="auto"/>
        <w:rPr>
          <w:rFonts w:hint="eastAsia"/>
        </w:rPr>
      </w:pPr>
      <w:r>
        <w:rPr>
          <w:rFonts w:hint="eastAsia" w:asciiTheme="minorEastAsia" w:hAnsiTheme="minorEastAsia" w:eastAsiaTheme="minorEastAsia" w:cstheme="minorEastAsia"/>
          <w:color w:val="auto"/>
          <w:sz w:val="24"/>
          <w:szCs w:val="24"/>
          <w:highlight w:val="none"/>
          <w:u w:val="single"/>
          <w:lang w:bidi="ar"/>
        </w:rPr>
        <w:t>（屏体外线材）</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32E61A9B">
      <w:pPr>
        <w:spacing w:line="460" w:lineRule="exact"/>
        <w:ind w:firstLine="48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w:t>
      </w:r>
    </w:p>
    <w:p w14:paraId="2F87D250">
      <w:pPr>
        <w:spacing w:line="460" w:lineRule="exact"/>
        <w:outlineLvl w:val="9"/>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以上企业，不属于大企业的分支机构，不存在控股股东 为大企业的情形，也不存在与大企业的负责人为同一人的情形。</w:t>
      </w:r>
    </w:p>
    <w:p w14:paraId="16466DE6">
      <w:pPr>
        <w:spacing w:line="360" w:lineRule="auto"/>
        <w:ind w:firstLine="482" w:firstLineChars="200"/>
        <w:rPr>
          <w:rFonts w:ascii="宋体" w:hAnsi="宋体" w:cs="宋体"/>
          <w:b/>
          <w:bCs/>
          <w:color w:val="auto"/>
        </w:rPr>
      </w:pPr>
      <w:r>
        <w:rPr>
          <w:rFonts w:hint="eastAsia" w:ascii="宋体" w:hAnsi="宋体" w:cs="宋体"/>
          <w:b/>
          <w:bCs/>
          <w:color w:val="auto"/>
        </w:rPr>
        <w:t>磋商文件中采购标的对应的所属行业如若与中小企业划型标准规定不符，请供应商以最新的中小企业划型标准规定进行填写。</w:t>
      </w:r>
    </w:p>
    <w:p w14:paraId="5C771347">
      <w:pPr>
        <w:spacing w:line="460" w:lineRule="exac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本企业对上述声明内容的真实性负责。如有虚假，将依法承担相应责任。 </w:t>
      </w:r>
    </w:p>
    <w:p w14:paraId="737F1DBB">
      <w:pPr>
        <w:spacing w:line="460" w:lineRule="exact"/>
        <w:outlineLvl w:val="9"/>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从业人员、营业收入、资产总额填报上一年度数据，无上一年度数据的新成立企业可不填报。</w:t>
      </w:r>
    </w:p>
    <w:p w14:paraId="6FE77252">
      <w:pPr>
        <w:wordWrap w:val="0"/>
        <w:adjustRightInd w:val="0"/>
        <w:snapToGrid w:val="0"/>
        <w:spacing w:line="440" w:lineRule="exact"/>
        <w:ind w:left="6987" w:hanging="6987" w:hangingChars="2900"/>
        <w:jc w:val="right"/>
        <w:outlineLvl w:val="9"/>
        <w:rPr>
          <w:rFonts w:hint="eastAsia" w:ascii="宋体" w:hAnsi="宋体" w:cs="宋体"/>
          <w:b/>
          <w:color w:val="auto"/>
          <w:sz w:val="24"/>
          <w:highlight w:val="none"/>
        </w:rPr>
      </w:pPr>
      <w:r>
        <w:rPr>
          <w:rFonts w:hint="eastAsia" w:ascii="宋体" w:hAnsi="宋体" w:cs="宋体"/>
          <w:b/>
          <w:color w:val="auto"/>
          <w:sz w:val="24"/>
          <w:highlight w:val="none"/>
        </w:rPr>
        <w:t xml:space="preserve">       </w:t>
      </w:r>
    </w:p>
    <w:p w14:paraId="16A394DD">
      <w:pPr>
        <w:wordWrap w:val="0"/>
        <w:adjustRightInd w:val="0"/>
        <w:snapToGrid w:val="0"/>
        <w:spacing w:line="440" w:lineRule="exact"/>
        <w:ind w:left="6987" w:hanging="6987" w:hangingChars="2900"/>
        <w:jc w:val="right"/>
        <w:outlineLvl w:val="9"/>
        <w:rPr>
          <w:rFonts w:hint="eastAsia" w:ascii="宋体" w:hAnsi="宋体" w:cs="宋体"/>
          <w:b/>
          <w:color w:val="auto"/>
          <w:sz w:val="24"/>
          <w:highlight w:val="none"/>
        </w:rPr>
      </w:pPr>
    </w:p>
    <w:p w14:paraId="275A884B">
      <w:pPr>
        <w:autoSpaceDE w:val="0"/>
        <w:autoSpaceDN w:val="0"/>
        <w:spacing w:line="360" w:lineRule="auto"/>
        <w:jc w:val="center"/>
        <w:rPr>
          <w:rFonts w:ascii="宋体" w:hAnsi="宋体" w:cs="宋体"/>
          <w:b/>
          <w:bCs/>
          <w:color w:val="auto"/>
          <w:kern w:val="0"/>
          <w:lang w:val="zh-CN"/>
        </w:rPr>
      </w:pPr>
      <w:r>
        <w:rPr>
          <w:rFonts w:hint="eastAsia" w:ascii="宋体" w:hAnsi="宋体" w:cs="宋体"/>
          <w:b/>
          <w:bCs/>
          <w:color w:val="auto"/>
        </w:rPr>
        <w:t xml:space="preserve">     </w:t>
      </w:r>
      <w:r>
        <w:rPr>
          <w:rFonts w:hint="eastAsia" w:ascii="宋体" w:hAnsi="宋体" w:cs="宋体"/>
          <w:b/>
          <w:bCs/>
          <w:color w:val="auto"/>
          <w:kern w:val="0"/>
          <w:lang w:val="zh-CN"/>
        </w:rPr>
        <w:t>供应商：           （公章）</w:t>
      </w:r>
    </w:p>
    <w:p w14:paraId="2C93076A">
      <w:pPr>
        <w:autoSpaceDE w:val="0"/>
        <w:autoSpaceDN w:val="0"/>
        <w:spacing w:line="360" w:lineRule="auto"/>
        <w:jc w:val="center"/>
        <w:rPr>
          <w:rFonts w:ascii="宋体" w:hAnsi="宋体" w:cs="宋体"/>
          <w:b/>
          <w:bCs/>
          <w:color w:val="auto"/>
          <w:kern w:val="0"/>
          <w:lang w:val="zh-CN"/>
        </w:rPr>
      </w:pPr>
      <w:r>
        <w:rPr>
          <w:rFonts w:hint="eastAsia" w:ascii="宋体" w:hAnsi="宋体" w:cs="宋体"/>
          <w:b/>
          <w:bCs/>
          <w:color w:val="auto"/>
          <w:kern w:val="0"/>
          <w:lang w:val="zh-CN"/>
        </w:rPr>
        <w:t xml:space="preserve">              法定代表人或委托代理人：  （签字或盖章）</w:t>
      </w:r>
    </w:p>
    <w:p w14:paraId="055B154C">
      <w:pPr>
        <w:wordWrap w:val="0"/>
        <w:adjustRightInd w:val="0"/>
        <w:snapToGrid w:val="0"/>
        <w:spacing w:line="440" w:lineRule="exact"/>
        <w:ind w:right="560" w:firstLine="5542" w:firstLineChars="2300"/>
        <w:rPr>
          <w:rFonts w:hint="eastAsia" w:ascii="宋体" w:hAnsi="宋体" w:cs="宋体"/>
          <w:b/>
          <w:bCs/>
          <w:color w:val="auto"/>
          <w:kern w:val="0"/>
          <w:lang w:val="zh-CN"/>
        </w:rPr>
      </w:pPr>
      <w:r>
        <w:rPr>
          <w:rFonts w:hint="eastAsia" w:ascii="宋体" w:hAnsi="宋体" w:cs="宋体"/>
          <w:b/>
          <w:bCs/>
          <w:color w:val="auto"/>
          <w:kern w:val="0"/>
          <w:lang w:val="zh-CN"/>
        </w:rPr>
        <w:t>年  月  日</w:t>
      </w:r>
    </w:p>
    <w:p w14:paraId="24AA10B4">
      <w:pPr>
        <w:rPr>
          <w:rFonts w:hint="eastAsia" w:ascii="宋体" w:hAnsi="宋体" w:cs="宋体"/>
          <w:b/>
          <w:bCs/>
          <w:color w:val="auto"/>
          <w:kern w:val="0"/>
          <w:lang w:val="zh-CN"/>
        </w:rPr>
      </w:pPr>
      <w:r>
        <w:rPr>
          <w:rFonts w:hint="eastAsia" w:ascii="宋体" w:hAnsi="宋体" w:cs="宋体"/>
          <w:b/>
          <w:bCs/>
          <w:color w:val="auto"/>
          <w:kern w:val="0"/>
          <w:lang w:val="zh-CN"/>
        </w:rPr>
        <w:br w:type="page"/>
      </w:r>
    </w:p>
    <w:p w14:paraId="0633BBDF">
      <w:pPr>
        <w:autoSpaceDE w:val="0"/>
        <w:autoSpaceDN w:val="0"/>
        <w:spacing w:line="360" w:lineRule="auto"/>
        <w:jc w:val="center"/>
        <w:outlineLvl w:val="9"/>
        <w:rPr>
          <w:rFonts w:hint="eastAsia" w:ascii="宋体" w:hAnsi="宋体" w:eastAsia="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rPr>
        <w:t>中小企业声明函（货物）</w:t>
      </w:r>
      <w:r>
        <w:rPr>
          <w:rFonts w:hint="eastAsia" w:ascii="宋体" w:hAnsi="宋体" w:cs="宋体"/>
          <w:b/>
          <w:bCs/>
          <w:color w:val="auto"/>
          <w:kern w:val="0"/>
          <w:sz w:val="28"/>
          <w:szCs w:val="28"/>
          <w:highlight w:val="none"/>
          <w:lang w:val="en-US" w:eastAsia="zh-CN"/>
        </w:rPr>
        <w:t>包三：</w:t>
      </w:r>
    </w:p>
    <w:p w14:paraId="26FB6240">
      <w:pPr>
        <w:spacing w:line="460" w:lineRule="exact"/>
        <w:ind w:firstLine="48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本公司（联合体）郑重声明，根据《政府采购促进中小企业发展管理办法》（财库﹝2020﹞46 号）的规定，本公司 （联合体）参加</w:t>
      </w:r>
      <w:r>
        <w:rPr>
          <w:rFonts w:hint="eastAsia" w:asciiTheme="minorEastAsia" w:hAnsiTheme="minorEastAsia" w:eastAsiaTheme="minorEastAsia" w:cstheme="minorEastAsia"/>
          <w:color w:val="auto"/>
          <w:sz w:val="24"/>
          <w:szCs w:val="24"/>
          <w:highlight w:val="none"/>
          <w:u w:val="single"/>
          <w:lang w:bidi="ar"/>
        </w:rPr>
        <w:t>（单位名称）</w:t>
      </w:r>
      <w:r>
        <w:rPr>
          <w:rFonts w:hint="eastAsia" w:asciiTheme="minorEastAsia" w:hAnsiTheme="minorEastAsia" w:eastAsiaTheme="minorEastAsia" w:cstheme="minorEastAsia"/>
          <w:color w:val="auto"/>
          <w:sz w:val="24"/>
          <w:szCs w:val="24"/>
          <w:highlight w:val="none"/>
          <w:lang w:bidi="ar"/>
        </w:rPr>
        <w:t>的</w:t>
      </w:r>
      <w:r>
        <w:rPr>
          <w:rFonts w:hint="eastAsia" w:asciiTheme="minorEastAsia" w:hAnsiTheme="minorEastAsia" w:eastAsiaTheme="minorEastAsia" w:cstheme="minorEastAsia"/>
          <w:color w:val="auto"/>
          <w:sz w:val="24"/>
          <w:szCs w:val="24"/>
          <w:highlight w:val="none"/>
          <w:u w:val="single"/>
          <w:lang w:bidi="ar"/>
        </w:rPr>
        <w:t>（项目名称）</w:t>
      </w:r>
      <w:r>
        <w:rPr>
          <w:rFonts w:hint="eastAsia" w:asciiTheme="minorEastAsia" w:hAnsiTheme="minorEastAsia" w:eastAsiaTheme="minorEastAsia" w:cstheme="minorEastAsia"/>
          <w:color w:val="auto"/>
          <w:sz w:val="24"/>
          <w:szCs w:val="24"/>
          <w:highlight w:val="none"/>
          <w:lang w:bidi="ar"/>
        </w:rPr>
        <w:t xml:space="preserve">采购活动，提供的货物全部由符合政策要求的中小企业制造。相关企业 （含联合体中的中小企业、签订分包意向协议的中小企业） 的具体情况如下： </w:t>
      </w:r>
    </w:p>
    <w:p w14:paraId="484DEA4B">
      <w:pPr>
        <w:numPr>
          <w:ilvl w:val="0"/>
          <w:numId w:val="14"/>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bidi="ar"/>
        </w:rPr>
        <w:t>（户内全彩LED屏）</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576FEE2E">
      <w:pPr>
        <w:numPr>
          <w:ilvl w:val="0"/>
          <w:numId w:val="14"/>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r>
        <w:rPr>
          <w:rFonts w:hint="eastAsia" w:asciiTheme="minorEastAsia" w:hAnsiTheme="minorEastAsia" w:eastAsiaTheme="minorEastAsia" w:cstheme="minorEastAsia"/>
          <w:color w:val="auto"/>
          <w:sz w:val="24"/>
          <w:szCs w:val="24"/>
          <w:highlight w:val="none"/>
          <w:u w:val="single"/>
          <w:lang w:bidi="ar"/>
        </w:rPr>
        <w:t>（备品备件）</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70198839">
      <w:pPr>
        <w:numPr>
          <w:ilvl w:val="0"/>
          <w:numId w:val="14"/>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r>
        <w:rPr>
          <w:rFonts w:hint="eastAsia" w:asciiTheme="minorEastAsia" w:hAnsiTheme="minorEastAsia" w:eastAsiaTheme="minorEastAsia" w:cstheme="minorEastAsia"/>
          <w:color w:val="auto"/>
          <w:sz w:val="24"/>
          <w:szCs w:val="24"/>
          <w:highlight w:val="none"/>
          <w:u w:val="single"/>
          <w:lang w:bidi="ar"/>
        </w:rPr>
        <w:t>（接收卡）</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1B63AF6B">
      <w:pPr>
        <w:numPr>
          <w:ilvl w:val="0"/>
          <w:numId w:val="14"/>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r>
        <w:rPr>
          <w:rFonts w:hint="eastAsia" w:asciiTheme="minorEastAsia" w:hAnsiTheme="minorEastAsia" w:eastAsiaTheme="minorEastAsia" w:cstheme="minorEastAsia"/>
          <w:color w:val="auto"/>
          <w:sz w:val="24"/>
          <w:szCs w:val="24"/>
          <w:highlight w:val="none"/>
          <w:u w:val="single"/>
          <w:lang w:bidi="ar"/>
        </w:rPr>
        <w:t>（独立主控）</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55F934D6">
      <w:pPr>
        <w:numPr>
          <w:ilvl w:val="0"/>
          <w:numId w:val="14"/>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r>
        <w:rPr>
          <w:rFonts w:hint="eastAsia" w:asciiTheme="minorEastAsia" w:hAnsiTheme="minorEastAsia" w:eastAsiaTheme="minorEastAsia" w:cstheme="minorEastAsia"/>
          <w:color w:val="auto"/>
          <w:sz w:val="24"/>
          <w:szCs w:val="24"/>
          <w:highlight w:val="none"/>
          <w:u w:val="single"/>
          <w:lang w:bidi="ar"/>
        </w:rPr>
        <w:t>（开关电源）</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1D6C9A8E">
      <w:pPr>
        <w:numPr>
          <w:ilvl w:val="0"/>
          <w:numId w:val="14"/>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r>
        <w:rPr>
          <w:rFonts w:hint="eastAsia" w:asciiTheme="minorEastAsia" w:hAnsiTheme="minorEastAsia" w:eastAsiaTheme="minorEastAsia" w:cstheme="minorEastAsia"/>
          <w:color w:val="auto"/>
          <w:sz w:val="24"/>
          <w:szCs w:val="24"/>
          <w:highlight w:val="none"/>
          <w:u w:val="single"/>
          <w:lang w:bidi="ar"/>
        </w:rPr>
        <w:t>（配电柜）</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2018F51F">
      <w:pPr>
        <w:numPr>
          <w:ilvl w:val="0"/>
          <w:numId w:val="14"/>
        </w:numPr>
        <w:spacing w:line="360" w:lineRule="auto"/>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lang w:eastAsia="zh-CN"/>
        </w:rPr>
        <w:t>（控制电脑</w:t>
      </w:r>
      <w:r>
        <w:rPr>
          <w:rFonts w:hint="eastAsia" w:asciiTheme="minorEastAsia" w:hAnsiTheme="minorEastAsia" w:eastAsiaTheme="minorEastAsia" w:cstheme="minorEastAsia"/>
          <w:color w:val="auto"/>
          <w:sz w:val="24"/>
          <w:szCs w:val="24"/>
          <w:highlight w:val="none"/>
          <w:u w:val="single"/>
          <w:lang w:bidi="ar"/>
        </w:rPr>
        <w:t>）</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0AB1188B">
      <w:pPr>
        <w:numPr>
          <w:ilvl w:val="0"/>
          <w:numId w:val="14"/>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r>
        <w:rPr>
          <w:rFonts w:hint="eastAsia" w:asciiTheme="minorEastAsia" w:hAnsiTheme="minorEastAsia" w:eastAsiaTheme="minorEastAsia" w:cstheme="minorEastAsia"/>
          <w:color w:val="auto"/>
          <w:sz w:val="24"/>
          <w:szCs w:val="24"/>
          <w:highlight w:val="none"/>
          <w:u w:val="single"/>
          <w:lang w:bidi="ar"/>
        </w:rPr>
        <w:t>（钢结构）</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03B03B6E">
      <w:pPr>
        <w:numPr>
          <w:ilvl w:val="0"/>
          <w:numId w:val="14"/>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r>
        <w:rPr>
          <w:rFonts w:hint="eastAsia" w:asciiTheme="minorEastAsia" w:hAnsiTheme="minorEastAsia" w:eastAsiaTheme="minorEastAsia" w:cstheme="minorEastAsia"/>
          <w:color w:val="auto"/>
          <w:sz w:val="24"/>
          <w:szCs w:val="24"/>
          <w:highlight w:val="none"/>
          <w:u w:val="single"/>
          <w:lang w:bidi="ar"/>
        </w:rPr>
        <w:t>（线材、机柜）</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51D3695D">
      <w:pPr>
        <w:numPr>
          <w:ilvl w:val="0"/>
          <w:numId w:val="14"/>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 </w:t>
      </w:r>
      <w:r>
        <w:rPr>
          <w:rFonts w:hint="eastAsia" w:asciiTheme="minorEastAsia" w:hAnsiTheme="minorEastAsia" w:eastAsiaTheme="minorEastAsia" w:cstheme="minorEastAsia"/>
          <w:color w:val="auto"/>
          <w:sz w:val="24"/>
          <w:szCs w:val="24"/>
          <w:highlight w:val="none"/>
          <w:u w:val="single"/>
          <w:lang w:bidi="ar"/>
        </w:rPr>
        <w:t>（功放）</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3E15A974">
      <w:pPr>
        <w:numPr>
          <w:ilvl w:val="0"/>
          <w:numId w:val="14"/>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bidi="ar"/>
        </w:rPr>
        <w:t>（调音台）</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580F0569">
      <w:pPr>
        <w:numPr>
          <w:ilvl w:val="0"/>
          <w:numId w:val="14"/>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bidi="ar"/>
        </w:rPr>
        <w:t>（无线话筒）</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18B27FC5">
      <w:pPr>
        <w:numPr>
          <w:ilvl w:val="0"/>
          <w:numId w:val="14"/>
        </w:numPr>
        <w:spacing w:line="360" w:lineRule="auto"/>
        <w:rPr>
          <w:rFonts w:hint="eastAsia"/>
        </w:rPr>
      </w:pPr>
      <w:r>
        <w:rPr>
          <w:rFonts w:hint="eastAsia" w:asciiTheme="minorEastAsia" w:hAnsiTheme="minorEastAsia" w:eastAsiaTheme="minorEastAsia" w:cstheme="minorEastAsia"/>
          <w:color w:val="auto"/>
          <w:sz w:val="24"/>
          <w:szCs w:val="24"/>
          <w:highlight w:val="none"/>
          <w:u w:val="single"/>
          <w:lang w:bidi="ar"/>
        </w:rPr>
        <w:t>（音频处理器）</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6431F230">
      <w:pPr>
        <w:numPr>
          <w:ilvl w:val="0"/>
          <w:numId w:val="14"/>
        </w:numPr>
        <w:spacing w:line="360" w:lineRule="auto"/>
        <w:rPr>
          <w:rFonts w:hint="eastAsia"/>
        </w:rPr>
      </w:pPr>
      <w:r>
        <w:rPr>
          <w:rFonts w:hint="eastAsia" w:asciiTheme="minorEastAsia" w:hAnsiTheme="minorEastAsia" w:eastAsiaTheme="minorEastAsia" w:cstheme="minorEastAsia"/>
          <w:color w:val="auto"/>
          <w:sz w:val="24"/>
          <w:szCs w:val="24"/>
          <w:highlight w:val="none"/>
          <w:u w:val="single"/>
          <w:lang w:bidi="ar"/>
        </w:rPr>
        <w:t>（音响）</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1E5D83DA">
      <w:pPr>
        <w:numPr>
          <w:ilvl w:val="0"/>
          <w:numId w:val="14"/>
        </w:numPr>
        <w:spacing w:line="360" w:lineRule="auto"/>
        <w:rPr>
          <w:rFonts w:hint="eastAsia"/>
        </w:rPr>
      </w:pPr>
      <w:r>
        <w:rPr>
          <w:rFonts w:hint="eastAsia" w:asciiTheme="minorEastAsia" w:hAnsiTheme="minorEastAsia" w:eastAsiaTheme="minorEastAsia" w:cstheme="minorEastAsia"/>
          <w:color w:val="auto"/>
          <w:sz w:val="24"/>
          <w:szCs w:val="24"/>
          <w:highlight w:val="none"/>
          <w:u w:val="single"/>
          <w:lang w:bidi="ar"/>
        </w:rPr>
        <w:t>（电源时序器）</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7A5F8DC6">
      <w:pPr>
        <w:numPr>
          <w:ilvl w:val="0"/>
          <w:numId w:val="14"/>
        </w:numPr>
        <w:spacing w:line="360" w:lineRule="auto"/>
        <w:rPr>
          <w:rFonts w:hint="eastAsia"/>
        </w:rPr>
      </w:pPr>
      <w:r>
        <w:rPr>
          <w:rFonts w:hint="eastAsia" w:asciiTheme="minorEastAsia" w:hAnsiTheme="minorEastAsia" w:eastAsiaTheme="minorEastAsia" w:cstheme="minorEastAsia"/>
          <w:color w:val="auto"/>
          <w:sz w:val="24"/>
          <w:szCs w:val="24"/>
          <w:highlight w:val="none"/>
          <w:u w:val="single"/>
          <w:lang w:bidi="ar"/>
        </w:rPr>
        <w:t>（音箱线）</w:t>
      </w:r>
      <w:r>
        <w:rPr>
          <w:rFonts w:hint="eastAsia" w:asciiTheme="minorEastAsia" w:hAnsiTheme="minorEastAsia" w:eastAsiaTheme="minorEastAsia" w:cstheme="minorEastAsia"/>
          <w:color w:val="auto"/>
          <w:sz w:val="24"/>
          <w:szCs w:val="24"/>
          <w:highlight w:val="none"/>
          <w:lang w:bidi="ar"/>
        </w:rPr>
        <w:t xml:space="preserve"> ，</w:t>
      </w:r>
      <w:r>
        <w:rPr>
          <w:rFonts w:hint="eastAsia" w:ascii="宋体" w:hAnsi="宋体" w:cs="宋体"/>
          <w:color w:val="auto"/>
        </w:rPr>
        <w:t>属于</w:t>
      </w:r>
      <w:r>
        <w:rPr>
          <w:rFonts w:hint="eastAsia" w:ascii="宋体" w:hAnsi="宋体" w:cs="宋体"/>
          <w:b/>
          <w:bCs/>
          <w:color w:val="auto"/>
          <w:u w:val="single"/>
        </w:rPr>
        <w:t>工业</w:t>
      </w:r>
      <w:r>
        <w:rPr>
          <w:rFonts w:hint="eastAsia" w:ascii="宋体" w:hAnsi="宋体" w:cs="宋体"/>
          <w:color w:val="auto"/>
        </w:rPr>
        <w:t>；制造商为（</w:t>
      </w:r>
      <w:r>
        <w:rPr>
          <w:rFonts w:hint="eastAsia" w:ascii="宋体" w:hAnsi="宋体" w:cs="宋体"/>
          <w:color w:val="auto"/>
          <w:u w:val="single"/>
        </w:rPr>
        <w:t xml:space="preserve"> </w:t>
      </w:r>
      <w:r>
        <w:rPr>
          <w:rFonts w:hint="eastAsia" w:ascii="宋体" w:hAnsi="宋体" w:cs="宋体"/>
          <w:b/>
          <w:bCs/>
          <w:color w:val="auto"/>
          <w:u w:val="single"/>
        </w:rPr>
        <w:t xml:space="preserve">企业名称 </w:t>
      </w:r>
      <w:r>
        <w:rPr>
          <w:rFonts w:hint="eastAsia" w:ascii="宋体" w:hAnsi="宋体" w:cs="宋体"/>
          <w:color w:val="auto"/>
        </w:rPr>
        <w:t>），从业人员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元，资产总额为</w:t>
      </w:r>
      <w:r>
        <w:rPr>
          <w:rFonts w:hint="eastAsia" w:ascii="宋体" w:hAnsi="宋体" w:cs="宋体"/>
          <w:color w:val="auto"/>
          <w:u w:val="single"/>
        </w:rPr>
        <w:t xml:space="preserve"> / </w:t>
      </w:r>
      <w:r>
        <w:rPr>
          <w:rFonts w:hint="eastAsia" w:ascii="宋体" w:hAnsi="宋体" w:cs="宋体"/>
          <w:color w:val="auto"/>
        </w:rPr>
        <w:t>万元，属于</w:t>
      </w:r>
      <w:r>
        <w:rPr>
          <w:rFonts w:hint="eastAsia" w:ascii="宋体" w:hAnsi="宋体" w:cs="宋体"/>
          <w:color w:val="auto"/>
          <w:u w:val="single"/>
        </w:rPr>
        <w:t xml:space="preserve">     </w:t>
      </w:r>
      <w:r>
        <w:rPr>
          <w:rFonts w:hint="eastAsia" w:ascii="宋体" w:hAnsi="宋体" w:cs="宋体"/>
          <w:color w:val="auto"/>
        </w:rPr>
        <w:t>（中型企业、小型企业、微型企业）；</w:t>
      </w:r>
    </w:p>
    <w:p w14:paraId="6293FE18">
      <w:pPr>
        <w:pStyle w:val="2"/>
        <w:rPr>
          <w:rFonts w:hint="eastAsia"/>
        </w:rPr>
      </w:pPr>
    </w:p>
    <w:p w14:paraId="37572BA3">
      <w:pPr>
        <w:spacing w:line="460" w:lineRule="exact"/>
        <w:ind w:firstLine="48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w:t>
      </w:r>
    </w:p>
    <w:p w14:paraId="7AC6FCA5">
      <w:pPr>
        <w:spacing w:line="460" w:lineRule="exact"/>
        <w:outlineLvl w:val="9"/>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以上企业，不属于大企业的分支机构，不存在控股股东 为大企业的情形，也不存在与大企业的负责人为同一人的情形。</w:t>
      </w:r>
    </w:p>
    <w:p w14:paraId="629631FF">
      <w:pPr>
        <w:spacing w:line="360" w:lineRule="auto"/>
        <w:ind w:firstLine="482" w:firstLineChars="200"/>
        <w:rPr>
          <w:rFonts w:ascii="宋体" w:hAnsi="宋体" w:cs="宋体"/>
          <w:b/>
          <w:bCs/>
          <w:color w:val="auto"/>
        </w:rPr>
      </w:pPr>
      <w:r>
        <w:rPr>
          <w:rFonts w:hint="eastAsia" w:ascii="宋体" w:hAnsi="宋体" w:cs="宋体"/>
          <w:b/>
          <w:bCs/>
          <w:color w:val="auto"/>
        </w:rPr>
        <w:t>磋商文件中采购标的对应的所属行业如若与中小企业划型标准规定不符，请供应商以最新的中小企业划型标准规定进行填写。</w:t>
      </w:r>
    </w:p>
    <w:p w14:paraId="0EF78C91">
      <w:pPr>
        <w:spacing w:line="460" w:lineRule="exac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本企业对上述声明内容的真实性负责。如有虚假，将依法承担相应责任。 </w:t>
      </w:r>
    </w:p>
    <w:p w14:paraId="484CF022">
      <w:pPr>
        <w:spacing w:line="460" w:lineRule="exact"/>
        <w:outlineLvl w:val="9"/>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从业人员、营业收入、资产总额填报上一年度数据，无上一年度数据的新成立企业可不填报。</w:t>
      </w:r>
    </w:p>
    <w:p w14:paraId="2C2AF96F">
      <w:pPr>
        <w:wordWrap w:val="0"/>
        <w:adjustRightInd w:val="0"/>
        <w:snapToGrid w:val="0"/>
        <w:spacing w:line="440" w:lineRule="exact"/>
        <w:ind w:left="6987" w:hanging="6987" w:hangingChars="2900"/>
        <w:jc w:val="right"/>
        <w:outlineLvl w:val="9"/>
        <w:rPr>
          <w:rFonts w:hint="eastAsia" w:ascii="宋体" w:hAnsi="宋体" w:cs="宋体"/>
          <w:b/>
          <w:color w:val="auto"/>
          <w:sz w:val="24"/>
          <w:highlight w:val="none"/>
        </w:rPr>
      </w:pPr>
      <w:r>
        <w:rPr>
          <w:rFonts w:hint="eastAsia" w:ascii="宋体" w:hAnsi="宋体" w:cs="宋体"/>
          <w:b/>
          <w:color w:val="auto"/>
          <w:sz w:val="24"/>
          <w:highlight w:val="none"/>
        </w:rPr>
        <w:t xml:space="preserve">       </w:t>
      </w:r>
    </w:p>
    <w:p w14:paraId="35DC0CDF">
      <w:pPr>
        <w:wordWrap w:val="0"/>
        <w:adjustRightInd w:val="0"/>
        <w:snapToGrid w:val="0"/>
        <w:spacing w:line="440" w:lineRule="exact"/>
        <w:ind w:left="6987" w:hanging="6987" w:hangingChars="2900"/>
        <w:jc w:val="right"/>
        <w:outlineLvl w:val="9"/>
        <w:rPr>
          <w:rFonts w:hint="eastAsia" w:ascii="宋体" w:hAnsi="宋体" w:cs="宋体"/>
          <w:b/>
          <w:color w:val="auto"/>
          <w:sz w:val="24"/>
          <w:highlight w:val="none"/>
        </w:rPr>
      </w:pPr>
    </w:p>
    <w:p w14:paraId="3D3D5EBD">
      <w:pPr>
        <w:autoSpaceDE w:val="0"/>
        <w:autoSpaceDN w:val="0"/>
        <w:spacing w:line="360" w:lineRule="auto"/>
        <w:jc w:val="center"/>
        <w:rPr>
          <w:rFonts w:ascii="宋体" w:hAnsi="宋体" w:cs="宋体"/>
          <w:b/>
          <w:bCs/>
          <w:color w:val="auto"/>
          <w:kern w:val="0"/>
          <w:lang w:val="zh-CN"/>
        </w:rPr>
      </w:pPr>
      <w:r>
        <w:rPr>
          <w:rFonts w:hint="eastAsia" w:ascii="宋体" w:hAnsi="宋体" w:cs="宋体"/>
          <w:b/>
          <w:bCs/>
          <w:color w:val="auto"/>
        </w:rPr>
        <w:t xml:space="preserve">     </w:t>
      </w:r>
      <w:r>
        <w:rPr>
          <w:rFonts w:hint="eastAsia" w:ascii="宋体" w:hAnsi="宋体" w:cs="宋体"/>
          <w:b/>
          <w:bCs/>
          <w:color w:val="auto"/>
          <w:kern w:val="0"/>
          <w:lang w:val="zh-CN"/>
        </w:rPr>
        <w:t>供应商：           （公章）</w:t>
      </w:r>
    </w:p>
    <w:p w14:paraId="19065F53">
      <w:pPr>
        <w:autoSpaceDE w:val="0"/>
        <w:autoSpaceDN w:val="0"/>
        <w:spacing w:line="360" w:lineRule="auto"/>
        <w:jc w:val="center"/>
        <w:rPr>
          <w:rFonts w:ascii="宋体" w:hAnsi="宋体" w:cs="宋体"/>
          <w:b/>
          <w:bCs/>
          <w:color w:val="auto"/>
          <w:kern w:val="0"/>
          <w:lang w:val="zh-CN"/>
        </w:rPr>
      </w:pPr>
      <w:r>
        <w:rPr>
          <w:rFonts w:hint="eastAsia" w:ascii="宋体" w:hAnsi="宋体" w:cs="宋体"/>
          <w:b/>
          <w:bCs/>
          <w:color w:val="auto"/>
          <w:kern w:val="0"/>
          <w:lang w:val="zh-CN"/>
        </w:rPr>
        <w:t xml:space="preserve">              法定代表人或委托代理人：  （签字或盖章）</w:t>
      </w:r>
    </w:p>
    <w:p w14:paraId="72F5CCF3">
      <w:pPr>
        <w:wordWrap w:val="0"/>
        <w:adjustRightInd w:val="0"/>
        <w:snapToGrid w:val="0"/>
        <w:spacing w:line="440" w:lineRule="exact"/>
        <w:ind w:right="560" w:firstLine="5542" w:firstLineChars="2300"/>
        <w:rPr>
          <w:rFonts w:hint="eastAsia" w:ascii="宋体" w:hAnsi="宋体" w:cs="宋体"/>
          <w:color w:val="auto"/>
          <w:sz w:val="28"/>
          <w:szCs w:val="28"/>
          <w:lang w:val="zh-CN"/>
        </w:rPr>
      </w:pPr>
      <w:r>
        <w:rPr>
          <w:rFonts w:hint="eastAsia" w:ascii="宋体" w:hAnsi="宋体" w:cs="宋体"/>
          <w:b/>
          <w:bCs/>
          <w:color w:val="auto"/>
          <w:kern w:val="0"/>
          <w:lang w:val="zh-CN"/>
        </w:rPr>
        <w:t>年  月  日</w:t>
      </w:r>
    </w:p>
    <w:p w14:paraId="696C1C27">
      <w:pPr>
        <w:pStyle w:val="2"/>
        <w:rPr>
          <w:rFonts w:hint="eastAsia"/>
          <w:lang w:val="zh-CN"/>
        </w:rPr>
      </w:pPr>
    </w:p>
    <w:p w14:paraId="5E3F11CE">
      <w:pPr>
        <w:jc w:val="both"/>
        <w:outlineLvl w:val="9"/>
        <w:rPr>
          <w:rFonts w:hint="eastAsia" w:ascii="宋体" w:hAnsi="宋体" w:eastAsia="宋体" w:cs="宋体"/>
          <w:b/>
          <w:color w:val="auto"/>
          <w:highlight w:val="none"/>
          <w:lang w:val="en-US" w:eastAsia="zh-CN"/>
        </w:rPr>
      </w:pPr>
      <w:r>
        <w:rPr>
          <w:rFonts w:hint="eastAsia" w:ascii="宋体" w:hAnsi="宋体" w:cs="宋体"/>
          <w:color w:val="auto"/>
          <w:kern w:val="0"/>
          <w:highlight w:val="none"/>
          <w:lang w:val="zh-CN"/>
        </w:rPr>
        <w:br w:type="page"/>
      </w:r>
      <w:bookmarkStart w:id="21" w:name="OLE_LINK13"/>
      <w:bookmarkStart w:id="22" w:name="OLE_LINK14"/>
      <w:r>
        <w:rPr>
          <w:rFonts w:hint="eastAsia" w:ascii="宋体" w:hAnsi="宋体" w:eastAsia="宋体" w:cs="宋体"/>
          <w:b/>
          <w:color w:val="auto"/>
          <w:highlight w:val="none"/>
        </w:rPr>
        <w:t>附件1－</w:t>
      </w:r>
      <w:r>
        <w:rPr>
          <w:rFonts w:hint="eastAsia" w:ascii="宋体" w:hAnsi="宋体" w:eastAsia="宋体" w:cs="宋体"/>
          <w:b/>
          <w:color w:val="auto"/>
          <w:highlight w:val="none"/>
          <w:lang w:val="en-US" w:eastAsia="zh-CN"/>
        </w:rPr>
        <w:t>8</w:t>
      </w:r>
    </w:p>
    <w:p w14:paraId="320E0A89">
      <w:pPr>
        <w:pStyle w:val="43"/>
        <w:outlineLvl w:val="9"/>
        <w:rPr>
          <w:rFonts w:hint="eastAsia" w:ascii="宋体" w:hAnsi="宋体" w:eastAsia="宋体" w:cs="宋体"/>
          <w:b/>
          <w:color w:val="auto"/>
          <w:highlight w:val="none"/>
          <w:lang w:val="en-US" w:eastAsia="zh-CN"/>
        </w:rPr>
      </w:pPr>
    </w:p>
    <w:p w14:paraId="0E19CB3A">
      <w:pPr>
        <w:pStyle w:val="43"/>
        <w:outlineLvl w:val="9"/>
        <w:rPr>
          <w:rFonts w:hint="eastAsia" w:ascii="宋体" w:hAnsi="宋体" w:eastAsia="宋体" w:cs="宋体"/>
          <w:b/>
          <w:color w:val="auto"/>
          <w:highlight w:val="none"/>
          <w:lang w:val="en-US" w:eastAsia="zh-CN"/>
        </w:rPr>
      </w:pPr>
    </w:p>
    <w:p w14:paraId="3A3169B8">
      <w:pPr>
        <w:autoSpaceDE w:val="0"/>
        <w:autoSpaceDN w:val="0"/>
        <w:spacing w:line="360" w:lineRule="auto"/>
        <w:jc w:val="center"/>
        <w:outlineLvl w:val="9"/>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残疾人福利性单位声明函</w:t>
      </w:r>
    </w:p>
    <w:bookmarkEnd w:id="21"/>
    <w:bookmarkEnd w:id="22"/>
    <w:p w14:paraId="46AF37A0">
      <w:pPr>
        <w:spacing w:after="120" w:afterLines="50"/>
        <w:outlineLvl w:val="9"/>
        <w:rPr>
          <w:rFonts w:hint="eastAsia" w:ascii="宋体" w:hAnsi="宋体" w:cs="宋体"/>
          <w:bCs/>
          <w:color w:val="auto"/>
          <w:highlight w:val="none"/>
        </w:rPr>
      </w:pPr>
    </w:p>
    <w:p w14:paraId="5562429B">
      <w:pPr>
        <w:spacing w:after="120" w:afterLines="50"/>
        <w:outlineLvl w:val="9"/>
        <w:rPr>
          <w:rFonts w:hint="default" w:ascii="宋体" w:hAnsi="宋体" w:eastAsia="宋体" w:cs="宋体"/>
          <w:b/>
          <w:bCs/>
          <w:color w:val="auto"/>
          <w:highlight w:val="none"/>
          <w:lang w:val="en-US" w:eastAsia="zh-CN"/>
        </w:rPr>
      </w:pPr>
      <w:r>
        <w:rPr>
          <w:rFonts w:hint="eastAsia" w:ascii="宋体" w:hAnsi="宋体" w:cs="宋体"/>
          <w:b/>
          <w:bCs/>
          <w:color w:val="auto"/>
          <w:highlight w:val="none"/>
        </w:rPr>
        <w:t>致：</w:t>
      </w:r>
      <w:r>
        <w:rPr>
          <w:rFonts w:hint="eastAsia" w:ascii="宋体" w:hAnsi="宋体" w:cs="宋体"/>
          <w:b/>
          <w:bCs/>
          <w:color w:val="auto"/>
          <w:kern w:val="0"/>
          <w:highlight w:val="none"/>
          <w:u w:val="single"/>
          <w:lang w:val="en-US" w:eastAsia="zh-CN"/>
        </w:rPr>
        <w:t xml:space="preserve">                   </w:t>
      </w:r>
    </w:p>
    <w:p w14:paraId="05B15F73">
      <w:pPr>
        <w:spacing w:line="360" w:lineRule="auto"/>
        <w:ind w:firstLine="480"/>
        <w:outlineLvl w:val="9"/>
        <w:rPr>
          <w:rFonts w:hint="eastAsia" w:ascii="宋体" w:hAnsi="宋体" w:cs="宋体"/>
          <w:color w:val="auto"/>
          <w:highlight w:val="none"/>
        </w:rPr>
      </w:pPr>
    </w:p>
    <w:p w14:paraId="21854467">
      <w:pPr>
        <w:spacing w:line="360" w:lineRule="auto"/>
        <w:ind w:firstLine="480"/>
        <w:outlineLvl w:val="9"/>
        <w:rPr>
          <w:rFonts w:hint="eastAsia" w:ascii="宋体" w:hAnsi="宋体" w:cs="宋体"/>
          <w:color w:val="auto"/>
          <w:highlight w:val="none"/>
        </w:rPr>
      </w:pPr>
      <w:r>
        <w:rPr>
          <w:rFonts w:hint="eastAsia" w:ascii="宋体" w:hAnsi="宋体" w:cs="宋体"/>
          <w:color w:val="auto"/>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auto"/>
          <w:highlight w:val="none"/>
          <w:u w:val="single"/>
        </w:rPr>
        <w:t xml:space="preserve">       </w:t>
      </w:r>
      <w:r>
        <w:rPr>
          <w:rFonts w:hint="eastAsia" w:ascii="宋体" w:hAnsi="宋体" w:cs="宋体"/>
          <w:color w:val="auto"/>
          <w:highlight w:val="none"/>
        </w:rPr>
        <w:t>人，安置的残疾人人数</w:t>
      </w:r>
      <w:r>
        <w:rPr>
          <w:rFonts w:hint="eastAsia" w:ascii="宋体" w:hAnsi="宋体" w:cs="宋体"/>
          <w:color w:val="auto"/>
          <w:highlight w:val="none"/>
          <w:u w:val="single"/>
        </w:rPr>
        <w:t xml:space="preserve">      </w:t>
      </w:r>
      <w:r>
        <w:rPr>
          <w:rFonts w:hint="eastAsia" w:ascii="宋体" w:hAnsi="宋体" w:cs="宋体"/>
          <w:color w:val="auto"/>
          <w:highlight w:val="none"/>
        </w:rPr>
        <w:t>人。且本单位参加______单位的______项目采购活动提供本单位制造的</w:t>
      </w:r>
      <w:r>
        <w:rPr>
          <w:rFonts w:hint="eastAsia" w:ascii="宋体" w:hAnsi="宋体" w:cs="宋体"/>
          <w:color w:val="auto"/>
          <w:highlight w:val="none"/>
          <w:lang w:eastAsia="zh-CN"/>
        </w:rPr>
        <w:t>货物/服务</w:t>
      </w:r>
      <w:r>
        <w:rPr>
          <w:rFonts w:hint="eastAsia" w:ascii="宋体" w:hAnsi="宋体" w:cs="宋体"/>
          <w:color w:val="auto"/>
          <w:highlight w:val="none"/>
        </w:rPr>
        <w:t>（由本单位承担工程/提供服务），或者提供其他残疾人福利性单位制造的</w:t>
      </w:r>
      <w:r>
        <w:rPr>
          <w:rFonts w:hint="eastAsia" w:ascii="宋体" w:hAnsi="宋体" w:cs="宋体"/>
          <w:color w:val="auto"/>
          <w:highlight w:val="none"/>
          <w:lang w:eastAsia="zh-CN"/>
        </w:rPr>
        <w:t>货物/服务</w:t>
      </w:r>
      <w:r>
        <w:rPr>
          <w:rFonts w:hint="eastAsia" w:ascii="宋体" w:hAnsi="宋体" w:cs="宋体"/>
          <w:color w:val="auto"/>
          <w:highlight w:val="none"/>
        </w:rPr>
        <w:t>（不包括使用非残疾人福利性单位注册商标的</w:t>
      </w:r>
      <w:r>
        <w:rPr>
          <w:rFonts w:hint="eastAsia" w:ascii="宋体" w:hAnsi="宋体" w:cs="宋体"/>
          <w:color w:val="auto"/>
          <w:highlight w:val="none"/>
          <w:lang w:eastAsia="zh-CN"/>
        </w:rPr>
        <w:t>货物/服务</w:t>
      </w:r>
      <w:r>
        <w:rPr>
          <w:rFonts w:hint="eastAsia" w:ascii="宋体" w:hAnsi="宋体" w:cs="宋体"/>
          <w:color w:val="auto"/>
          <w:highlight w:val="none"/>
        </w:rPr>
        <w:t>）。</w:t>
      </w:r>
    </w:p>
    <w:p w14:paraId="6D469FC0">
      <w:pPr>
        <w:spacing w:line="360" w:lineRule="auto"/>
        <w:ind w:firstLine="480"/>
        <w:outlineLvl w:val="9"/>
        <w:rPr>
          <w:rFonts w:hint="eastAsia" w:ascii="宋体" w:hAnsi="宋体" w:cs="宋体"/>
          <w:color w:val="auto"/>
          <w:highlight w:val="none"/>
        </w:rPr>
      </w:pPr>
      <w:r>
        <w:rPr>
          <w:rFonts w:hint="eastAsia" w:ascii="宋体" w:hAnsi="宋体" w:cs="宋体"/>
          <w:color w:val="auto"/>
          <w:highlight w:val="none"/>
        </w:rPr>
        <w:t>本单位对上述声明的真实性负责。如有虚假，将依法承担相应责任。</w:t>
      </w:r>
    </w:p>
    <w:p w14:paraId="6DA6758F">
      <w:pPr>
        <w:spacing w:line="360" w:lineRule="auto"/>
        <w:ind w:firstLine="480"/>
        <w:outlineLvl w:val="9"/>
        <w:rPr>
          <w:rFonts w:hint="eastAsia" w:ascii="宋体" w:hAnsi="宋体" w:cs="宋体"/>
          <w:color w:val="auto"/>
          <w:highlight w:val="none"/>
        </w:rPr>
      </w:pPr>
    </w:p>
    <w:p w14:paraId="4BED1BB7">
      <w:pPr>
        <w:spacing w:line="360" w:lineRule="auto"/>
        <w:outlineLvl w:val="9"/>
        <w:rPr>
          <w:rFonts w:hint="eastAsia" w:ascii="宋体" w:hAnsi="宋体" w:cs="宋体"/>
          <w:color w:val="auto"/>
          <w:highlight w:val="none"/>
        </w:rPr>
      </w:pPr>
      <w:r>
        <w:rPr>
          <w:rFonts w:hint="eastAsia" w:ascii="宋体" w:hAnsi="宋体" w:cs="宋体"/>
          <w:color w:val="auto"/>
          <w:highlight w:val="none"/>
        </w:rPr>
        <w:t>注：若无此项内容，可不提供此函。</w:t>
      </w:r>
    </w:p>
    <w:p w14:paraId="5CA8477C">
      <w:pPr>
        <w:spacing w:line="360" w:lineRule="auto"/>
        <w:ind w:firstLine="480"/>
        <w:outlineLvl w:val="9"/>
        <w:rPr>
          <w:rFonts w:hint="eastAsia" w:ascii="宋体" w:hAnsi="宋体" w:cs="宋体"/>
          <w:color w:val="auto"/>
          <w:highlight w:val="none"/>
        </w:rPr>
      </w:pPr>
    </w:p>
    <w:p w14:paraId="29721ECE">
      <w:pPr>
        <w:spacing w:line="360" w:lineRule="auto"/>
        <w:jc w:val="center"/>
        <w:outlineLvl w:val="9"/>
        <w:rPr>
          <w:rFonts w:hint="eastAsia" w:ascii="宋体" w:hAnsi="宋体" w:cs="宋体"/>
          <w:b/>
          <w:color w:val="auto"/>
          <w:highlight w:val="none"/>
        </w:rPr>
      </w:pPr>
      <w:r>
        <w:rPr>
          <w:rFonts w:hint="eastAsia" w:ascii="宋体" w:hAnsi="宋体" w:cs="宋体"/>
          <w:b/>
          <w:color w:val="auto"/>
          <w:highlight w:val="none"/>
        </w:rPr>
        <w:t xml:space="preserve">                                企业名称：</w:t>
      </w:r>
      <w:r>
        <w:rPr>
          <w:rFonts w:hint="eastAsia" w:ascii="宋体" w:hAnsi="宋体" w:cs="宋体"/>
          <w:color w:val="auto"/>
          <w:kern w:val="0"/>
          <w:sz w:val="28"/>
          <w:szCs w:val="28"/>
          <w:highlight w:val="none"/>
          <w:u w:val="single"/>
        </w:rPr>
        <w:t xml:space="preserve">       </w:t>
      </w:r>
      <w:r>
        <w:rPr>
          <w:rFonts w:hint="eastAsia" w:ascii="宋体" w:hAnsi="宋体" w:cs="宋体"/>
          <w:b/>
          <w:color w:val="auto"/>
          <w:highlight w:val="none"/>
        </w:rPr>
        <w:t>（公章）</w:t>
      </w:r>
    </w:p>
    <w:p w14:paraId="6E9DEB61">
      <w:pPr>
        <w:spacing w:line="360" w:lineRule="auto"/>
        <w:ind w:firstLine="482"/>
        <w:jc w:val="right"/>
        <w:outlineLvl w:val="9"/>
        <w:rPr>
          <w:rFonts w:hint="eastAsia" w:ascii="宋体" w:hAnsi="宋体" w:cs="宋体"/>
          <w:b/>
          <w:color w:val="auto"/>
          <w:highlight w:val="none"/>
        </w:rPr>
      </w:pPr>
      <w:r>
        <w:rPr>
          <w:rFonts w:hint="eastAsia" w:ascii="宋体" w:hAnsi="宋体" w:cs="宋体"/>
          <w:b/>
          <w:color w:val="auto"/>
          <w:highlight w:val="none"/>
        </w:rPr>
        <w:t xml:space="preserve">       企业法定代表人：</w:t>
      </w:r>
      <w:r>
        <w:rPr>
          <w:rFonts w:hint="eastAsia" w:ascii="宋体" w:hAnsi="宋体" w:cs="宋体"/>
          <w:color w:val="auto"/>
          <w:kern w:val="0"/>
          <w:sz w:val="28"/>
          <w:szCs w:val="28"/>
          <w:highlight w:val="none"/>
          <w:u w:val="single"/>
        </w:rPr>
        <w:t xml:space="preserve">       </w:t>
      </w:r>
      <w:r>
        <w:rPr>
          <w:rFonts w:hint="eastAsia" w:ascii="宋体" w:hAnsi="宋体" w:cs="宋体"/>
          <w:b/>
          <w:color w:val="auto"/>
          <w:highlight w:val="none"/>
        </w:rPr>
        <w:t>（签字或盖章）</w:t>
      </w:r>
    </w:p>
    <w:p w14:paraId="74950FB2">
      <w:pPr>
        <w:ind w:firstLine="482"/>
        <w:jc w:val="center"/>
        <w:outlineLvl w:val="9"/>
        <w:rPr>
          <w:rFonts w:hint="eastAsia" w:ascii="宋体" w:hAnsi="宋体" w:cs="宋体"/>
          <w:b/>
          <w:color w:val="auto"/>
          <w:highlight w:val="none"/>
        </w:rPr>
      </w:pPr>
      <w:r>
        <w:rPr>
          <w:rFonts w:hint="eastAsia" w:ascii="宋体" w:hAnsi="宋体" w:cs="宋体"/>
          <w:b/>
          <w:color w:val="auto"/>
          <w:highlight w:val="none"/>
        </w:rPr>
        <w:t xml:space="preserve">              年   月  日</w:t>
      </w:r>
    </w:p>
    <w:p w14:paraId="26AD6935">
      <w:pPr>
        <w:jc w:val="both"/>
        <w:outlineLvl w:val="9"/>
        <w:rPr>
          <w:rFonts w:hint="eastAsia" w:ascii="宋体" w:hAnsi="宋体" w:cs="宋体"/>
          <w:b/>
          <w:color w:val="auto"/>
          <w:highlight w:val="none"/>
        </w:rPr>
      </w:pPr>
    </w:p>
    <w:p w14:paraId="60048375">
      <w:pPr>
        <w:jc w:val="both"/>
        <w:outlineLvl w:val="9"/>
        <w:rPr>
          <w:rFonts w:hint="eastAsia" w:ascii="宋体" w:hAnsi="宋体" w:cs="宋体"/>
          <w:b/>
          <w:color w:val="auto"/>
          <w:highlight w:val="none"/>
        </w:rPr>
      </w:pPr>
    </w:p>
    <w:p w14:paraId="04B2ABA5">
      <w:pPr>
        <w:jc w:val="both"/>
        <w:outlineLvl w:val="9"/>
        <w:rPr>
          <w:rFonts w:hint="eastAsia" w:ascii="宋体" w:hAnsi="宋体" w:cs="宋体"/>
          <w:b/>
          <w:color w:val="auto"/>
          <w:highlight w:val="none"/>
        </w:rPr>
      </w:pPr>
    </w:p>
    <w:p w14:paraId="46456237">
      <w:pPr>
        <w:jc w:val="both"/>
        <w:outlineLvl w:val="9"/>
        <w:rPr>
          <w:rFonts w:hint="eastAsia" w:ascii="宋体" w:hAnsi="宋体" w:cs="宋体"/>
          <w:b/>
          <w:color w:val="auto"/>
          <w:highlight w:val="none"/>
        </w:rPr>
      </w:pPr>
    </w:p>
    <w:p w14:paraId="73E4CE75">
      <w:pPr>
        <w:jc w:val="both"/>
        <w:outlineLvl w:val="9"/>
        <w:rPr>
          <w:rFonts w:hint="eastAsia" w:ascii="宋体" w:hAnsi="宋体" w:cs="宋体"/>
          <w:b/>
          <w:color w:val="auto"/>
          <w:highlight w:val="none"/>
        </w:rPr>
      </w:pPr>
    </w:p>
    <w:p w14:paraId="7011AFB0">
      <w:pPr>
        <w:jc w:val="both"/>
        <w:outlineLvl w:val="9"/>
        <w:rPr>
          <w:rFonts w:hint="eastAsia" w:ascii="宋体" w:hAnsi="宋体" w:cs="宋体"/>
          <w:b/>
          <w:color w:val="auto"/>
          <w:highlight w:val="none"/>
        </w:rPr>
      </w:pPr>
    </w:p>
    <w:p w14:paraId="2CF4DDE3">
      <w:pPr>
        <w:jc w:val="both"/>
        <w:outlineLvl w:val="9"/>
        <w:rPr>
          <w:rFonts w:hint="eastAsia" w:ascii="宋体" w:hAnsi="宋体" w:cs="宋体"/>
          <w:b/>
          <w:color w:val="auto"/>
          <w:highlight w:val="none"/>
        </w:rPr>
      </w:pPr>
    </w:p>
    <w:p w14:paraId="7D1CDA65">
      <w:pPr>
        <w:jc w:val="both"/>
        <w:outlineLvl w:val="9"/>
        <w:rPr>
          <w:rFonts w:hint="eastAsia" w:ascii="宋体" w:hAnsi="宋体" w:cs="宋体"/>
          <w:b/>
          <w:color w:val="auto"/>
          <w:highlight w:val="none"/>
        </w:rPr>
      </w:pPr>
    </w:p>
    <w:p w14:paraId="31993490">
      <w:pPr>
        <w:jc w:val="both"/>
        <w:outlineLvl w:val="9"/>
        <w:rPr>
          <w:rFonts w:hint="eastAsia" w:ascii="宋体" w:hAnsi="宋体" w:cs="宋体"/>
          <w:b/>
          <w:color w:val="auto"/>
          <w:highlight w:val="none"/>
        </w:rPr>
      </w:pPr>
    </w:p>
    <w:p w14:paraId="00F850A1">
      <w:pPr>
        <w:jc w:val="both"/>
        <w:outlineLvl w:val="9"/>
        <w:rPr>
          <w:rFonts w:hint="eastAsia" w:ascii="宋体" w:hAnsi="宋体" w:cs="宋体"/>
          <w:b/>
          <w:color w:val="auto"/>
          <w:highlight w:val="none"/>
        </w:rPr>
      </w:pPr>
    </w:p>
    <w:p w14:paraId="5529D808">
      <w:pPr>
        <w:jc w:val="both"/>
        <w:outlineLvl w:val="9"/>
        <w:rPr>
          <w:rFonts w:hint="eastAsia" w:ascii="宋体" w:hAnsi="宋体" w:cs="宋体"/>
          <w:b/>
          <w:color w:val="auto"/>
          <w:highlight w:val="none"/>
        </w:rPr>
      </w:pPr>
    </w:p>
    <w:p w14:paraId="068A859C">
      <w:pPr>
        <w:jc w:val="both"/>
        <w:outlineLvl w:val="9"/>
        <w:rPr>
          <w:rFonts w:hint="eastAsia" w:ascii="宋体" w:hAnsi="宋体" w:cs="宋体"/>
          <w:b/>
          <w:color w:val="auto"/>
          <w:highlight w:val="none"/>
        </w:rPr>
      </w:pPr>
    </w:p>
    <w:p w14:paraId="23D27B0E">
      <w:pPr>
        <w:jc w:val="both"/>
        <w:outlineLvl w:val="9"/>
        <w:rPr>
          <w:rFonts w:hint="eastAsia" w:ascii="宋体" w:hAnsi="宋体" w:cs="宋体"/>
          <w:b/>
          <w:color w:val="auto"/>
          <w:highlight w:val="none"/>
        </w:rPr>
      </w:pPr>
    </w:p>
    <w:p w14:paraId="3707E526">
      <w:pPr>
        <w:jc w:val="both"/>
        <w:outlineLvl w:val="9"/>
        <w:rPr>
          <w:rFonts w:hint="eastAsia" w:ascii="宋体" w:hAnsi="宋体" w:cs="宋体"/>
          <w:b/>
          <w:color w:val="auto"/>
          <w:highlight w:val="none"/>
        </w:rPr>
      </w:pPr>
    </w:p>
    <w:p w14:paraId="49888D71">
      <w:pPr>
        <w:jc w:val="both"/>
        <w:outlineLvl w:val="9"/>
        <w:rPr>
          <w:rFonts w:hint="eastAsia" w:ascii="宋体" w:hAnsi="宋体" w:cs="宋体"/>
          <w:b/>
          <w:color w:val="auto"/>
          <w:highlight w:val="none"/>
        </w:rPr>
      </w:pPr>
    </w:p>
    <w:p w14:paraId="2C52DF34">
      <w:pPr>
        <w:jc w:val="both"/>
        <w:outlineLvl w:val="9"/>
        <w:rPr>
          <w:rFonts w:hint="eastAsia" w:ascii="宋体" w:hAnsi="宋体" w:cs="宋体"/>
          <w:b/>
          <w:color w:val="auto"/>
          <w:highlight w:val="none"/>
        </w:rPr>
      </w:pPr>
    </w:p>
    <w:p w14:paraId="3838CD2C">
      <w:pPr>
        <w:jc w:val="both"/>
        <w:outlineLvl w:val="9"/>
        <w:rPr>
          <w:rFonts w:hint="eastAsia" w:ascii="宋体" w:hAnsi="宋体" w:cs="宋体"/>
          <w:b/>
          <w:color w:val="auto"/>
          <w:highlight w:val="none"/>
        </w:rPr>
      </w:pPr>
    </w:p>
    <w:p w14:paraId="20E508F6">
      <w:pPr>
        <w:jc w:val="both"/>
        <w:outlineLvl w:val="9"/>
        <w:rPr>
          <w:rFonts w:hint="eastAsia" w:ascii="宋体" w:hAnsi="宋体" w:cs="宋体"/>
          <w:b/>
          <w:color w:val="auto"/>
          <w:highlight w:val="none"/>
        </w:rPr>
      </w:pPr>
    </w:p>
    <w:p w14:paraId="4B17CBC7">
      <w:pPr>
        <w:jc w:val="both"/>
        <w:outlineLvl w:val="9"/>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rPr>
        <w:t>附件1－</w:t>
      </w:r>
      <w:r>
        <w:rPr>
          <w:rFonts w:hint="eastAsia" w:ascii="宋体" w:hAnsi="宋体" w:eastAsia="宋体" w:cs="宋体"/>
          <w:b/>
          <w:color w:val="auto"/>
          <w:highlight w:val="none"/>
          <w:lang w:val="en-US" w:eastAsia="zh-CN"/>
        </w:rPr>
        <w:t>9</w:t>
      </w:r>
    </w:p>
    <w:p w14:paraId="52DC75AC">
      <w:pPr>
        <w:pStyle w:val="2"/>
        <w:spacing w:line="360" w:lineRule="auto"/>
        <w:ind w:firstLine="0" w:firstLineChars="0"/>
        <w:jc w:val="center"/>
        <w:outlineLvl w:val="9"/>
        <w:rPr>
          <w:rFonts w:hint="eastAsia" w:ascii="宋体" w:hAnsi="宋体" w:cs="宋体"/>
          <w:b/>
          <w:color w:val="auto"/>
          <w:sz w:val="28"/>
          <w:szCs w:val="28"/>
          <w:highlight w:val="none"/>
        </w:rPr>
      </w:pPr>
    </w:p>
    <w:p w14:paraId="056807CD">
      <w:pPr>
        <w:pStyle w:val="2"/>
        <w:spacing w:line="360" w:lineRule="auto"/>
        <w:ind w:firstLine="0" w:firstLineChars="0"/>
        <w:jc w:val="center"/>
        <w:outlineLvl w:val="9"/>
        <w:rPr>
          <w:rFonts w:hint="eastAsia" w:ascii="宋体" w:hAnsi="宋体" w:cs="宋体"/>
          <w:color w:val="auto"/>
          <w:highlight w:val="none"/>
        </w:rPr>
      </w:pPr>
      <w:r>
        <w:rPr>
          <w:rFonts w:hint="eastAsia" w:ascii="宋体" w:hAnsi="宋体" w:cs="宋体"/>
          <w:b/>
          <w:color w:val="auto"/>
          <w:sz w:val="28"/>
          <w:szCs w:val="28"/>
          <w:highlight w:val="none"/>
        </w:rPr>
        <w:t>监狱企业证明资料</w:t>
      </w:r>
    </w:p>
    <w:p w14:paraId="18067E37">
      <w:pPr>
        <w:spacing w:line="480" w:lineRule="auto"/>
        <w:ind w:firstLine="480"/>
        <w:rPr>
          <w:rFonts w:hint="eastAsia" w:ascii="宋体" w:hAnsi="宋体" w:cs="宋体"/>
          <w:color w:val="auto"/>
          <w:sz w:val="22"/>
          <w:szCs w:val="28"/>
          <w:highlight w:val="none"/>
        </w:rPr>
      </w:pPr>
      <w:r>
        <w:rPr>
          <w:rFonts w:hint="eastAsia" w:hAnsi="宋体" w:cs="宋体"/>
          <w:color w:val="auto"/>
          <w:szCs w:val="28"/>
          <w:highlight w:val="none"/>
        </w:rPr>
        <w:t xml:space="preserve"> </w:t>
      </w:r>
      <w:r>
        <w:rPr>
          <w:rFonts w:hint="eastAsia" w:ascii="宋体" w:hAnsi="宋体" w:cs="宋体"/>
          <w:color w:val="auto"/>
          <w:sz w:val="22"/>
          <w:szCs w:val="28"/>
          <w:highlight w:val="none"/>
        </w:rPr>
        <w:t>备注：按《财政部 司法部关于政府采购支持监狱企业发展有关问题的通知》(财库〔2014〕68号)文件规定提供证明文件（复印件）。</w:t>
      </w:r>
    </w:p>
    <w:p w14:paraId="33674057">
      <w:pPr>
        <w:spacing w:line="480" w:lineRule="auto"/>
        <w:ind w:firstLine="480"/>
        <w:rPr>
          <w:rFonts w:ascii="宋体" w:hAnsi="宋体" w:cs="宋体"/>
          <w:color w:val="auto"/>
          <w:sz w:val="22"/>
          <w:szCs w:val="28"/>
          <w:highlight w:val="none"/>
        </w:rPr>
      </w:pPr>
      <w:bookmarkStart w:id="23" w:name="_Toc22071_WPSOffice_Level3"/>
      <w:r>
        <w:rPr>
          <w:rFonts w:hint="eastAsia" w:ascii="宋体" w:hAnsi="宋体" w:cs="宋体"/>
          <w:color w:val="auto"/>
          <w:sz w:val="22"/>
          <w:szCs w:val="28"/>
          <w:highlight w:val="none"/>
        </w:rPr>
        <w:t>说明：</w:t>
      </w:r>
      <w:r>
        <w:rPr>
          <w:rFonts w:ascii="宋体" w:hAnsi="宋体" w:cs="宋体"/>
          <w:color w:val="auto"/>
          <w:sz w:val="22"/>
          <w:szCs w:val="28"/>
          <w:highlight w:val="none"/>
        </w:rPr>
        <w:t>①监狱企业参加政府采购活动时，应当提供由省级以上监狱管理局、戒毒管理局</w:t>
      </w:r>
      <w:r>
        <w:rPr>
          <w:rFonts w:hint="eastAsia" w:ascii="宋体" w:hAnsi="宋体" w:cs="宋体"/>
          <w:color w:val="auto"/>
          <w:sz w:val="22"/>
          <w:szCs w:val="28"/>
          <w:highlight w:val="none"/>
        </w:rPr>
        <w:t>(</w:t>
      </w:r>
      <w:r>
        <w:rPr>
          <w:rFonts w:ascii="宋体" w:hAnsi="宋体" w:cs="宋体"/>
          <w:color w:val="auto"/>
          <w:sz w:val="22"/>
          <w:szCs w:val="28"/>
          <w:highlight w:val="none"/>
        </w:rPr>
        <w:t>含新疆生产建设兵团)出具的属于监狱企业的证明文件。</w:t>
      </w:r>
    </w:p>
    <w:p w14:paraId="5CA17BF4">
      <w:pPr>
        <w:spacing w:line="480" w:lineRule="auto"/>
        <w:ind w:firstLine="480"/>
        <w:rPr>
          <w:rFonts w:ascii="宋体" w:hAnsi="宋体" w:cs="宋体"/>
          <w:color w:val="auto"/>
          <w:sz w:val="22"/>
          <w:szCs w:val="28"/>
          <w:highlight w:val="none"/>
        </w:rPr>
      </w:pPr>
      <w:r>
        <w:rPr>
          <w:rFonts w:ascii="宋体" w:hAnsi="宋体" w:cs="宋体"/>
          <w:color w:val="auto"/>
          <w:sz w:val="22"/>
          <w:szCs w:val="28"/>
          <w:highlight w:val="none"/>
        </w:rPr>
        <w:t>②如未提供监狱企业相关证明材料的，则其评审中的监狱企业不能享受</w:t>
      </w:r>
      <w:r>
        <w:rPr>
          <w:rFonts w:hint="eastAsia" w:ascii="宋体" w:hAnsi="宋体" w:cs="宋体"/>
          <w:color w:val="auto"/>
          <w:sz w:val="22"/>
          <w:szCs w:val="28"/>
          <w:highlight w:val="none"/>
        </w:rPr>
        <w:t>竞争性磋商文件</w:t>
      </w:r>
      <w:r>
        <w:rPr>
          <w:rFonts w:ascii="宋体" w:hAnsi="宋体" w:cs="宋体"/>
          <w:color w:val="auto"/>
          <w:sz w:val="22"/>
          <w:szCs w:val="28"/>
          <w:highlight w:val="none"/>
        </w:rPr>
        <w:t>规定的价格扣除，但不影响供应</w:t>
      </w:r>
      <w:r>
        <w:rPr>
          <w:rFonts w:hint="eastAsia" w:ascii="宋体" w:hAnsi="宋体" w:cs="宋体"/>
          <w:color w:val="auto"/>
          <w:sz w:val="22"/>
          <w:szCs w:val="28"/>
          <w:highlight w:val="none"/>
        </w:rPr>
        <w:t>响应文件</w:t>
      </w:r>
      <w:r>
        <w:rPr>
          <w:rFonts w:ascii="宋体" w:hAnsi="宋体" w:cs="宋体"/>
          <w:color w:val="auto"/>
          <w:sz w:val="22"/>
          <w:szCs w:val="28"/>
          <w:highlight w:val="none"/>
        </w:rPr>
        <w:t>的有效性。</w:t>
      </w:r>
    </w:p>
    <w:p w14:paraId="32EE020A">
      <w:pPr>
        <w:spacing w:line="480" w:lineRule="auto"/>
        <w:ind w:firstLine="480"/>
        <w:jc w:val="left"/>
        <w:rPr>
          <w:rFonts w:ascii="宋体" w:hAnsi="宋体" w:cs="宋体"/>
          <w:color w:val="auto"/>
          <w:sz w:val="22"/>
          <w:szCs w:val="28"/>
          <w:highlight w:val="none"/>
        </w:rPr>
      </w:pPr>
      <w:r>
        <w:rPr>
          <w:rFonts w:ascii="宋体" w:hAnsi="宋体" w:cs="宋体"/>
          <w:color w:val="auto"/>
          <w:sz w:val="22"/>
          <w:szCs w:val="28"/>
          <w:highlight w:val="none"/>
        </w:rPr>
        <w:t>③非监狱企业无需提供证明材料。</w:t>
      </w:r>
    </w:p>
    <w:p w14:paraId="1D64AD22">
      <w:pPr>
        <w:pStyle w:val="14"/>
        <w:rPr>
          <w:rFonts w:ascii="宋体" w:hAnsi="宋体" w:cs="宋体"/>
          <w:color w:val="auto"/>
          <w:sz w:val="22"/>
          <w:szCs w:val="28"/>
          <w:highlight w:val="none"/>
        </w:rPr>
      </w:pPr>
    </w:p>
    <w:p w14:paraId="4D32A8A4">
      <w:pPr>
        <w:pStyle w:val="14"/>
        <w:rPr>
          <w:rFonts w:ascii="宋体" w:hAnsi="宋体" w:cs="宋体"/>
          <w:color w:val="auto"/>
          <w:sz w:val="22"/>
          <w:szCs w:val="28"/>
          <w:highlight w:val="none"/>
        </w:rPr>
      </w:pPr>
    </w:p>
    <w:p w14:paraId="338A06BF">
      <w:pPr>
        <w:pStyle w:val="14"/>
        <w:rPr>
          <w:rFonts w:hint="eastAsia" w:ascii="宋体" w:hAnsi="宋体" w:cs="宋体"/>
          <w:color w:val="auto"/>
          <w:sz w:val="22"/>
          <w:szCs w:val="28"/>
          <w:highlight w:val="none"/>
        </w:rPr>
      </w:pPr>
    </w:p>
    <w:bookmarkEnd w:id="23"/>
    <w:p w14:paraId="427FF084">
      <w:pPr>
        <w:spacing w:line="360" w:lineRule="auto"/>
        <w:jc w:val="right"/>
        <w:rPr>
          <w:rFonts w:hint="eastAsia" w:ascii="宋体" w:hAnsi="宋体" w:cs="宋体"/>
          <w:b/>
          <w:color w:val="auto"/>
          <w:highlight w:val="none"/>
        </w:rPr>
      </w:pPr>
      <w:r>
        <w:rPr>
          <w:rFonts w:hint="eastAsia" w:ascii="宋体" w:hAnsi="宋体" w:cs="宋体"/>
          <w:b/>
          <w:color w:val="auto"/>
          <w:highlight w:val="none"/>
        </w:rPr>
        <w:t xml:space="preserve">     企业名称：</w:t>
      </w:r>
      <w:r>
        <w:rPr>
          <w:rFonts w:hint="eastAsia" w:ascii="宋体" w:hAnsi="宋体" w:cs="宋体"/>
          <w:color w:val="auto"/>
          <w:kern w:val="0"/>
          <w:sz w:val="28"/>
          <w:szCs w:val="28"/>
          <w:highlight w:val="none"/>
          <w:u w:val="single"/>
        </w:rPr>
        <w:t xml:space="preserve">       </w:t>
      </w:r>
      <w:r>
        <w:rPr>
          <w:rFonts w:hint="eastAsia" w:ascii="宋体" w:hAnsi="宋体" w:cs="宋体"/>
          <w:b/>
          <w:color w:val="auto"/>
          <w:highlight w:val="none"/>
        </w:rPr>
        <w:t>（公章）</w:t>
      </w:r>
    </w:p>
    <w:p w14:paraId="32052A43">
      <w:pPr>
        <w:spacing w:line="360" w:lineRule="auto"/>
        <w:ind w:firstLine="482"/>
        <w:jc w:val="right"/>
        <w:rPr>
          <w:rFonts w:hint="eastAsia" w:ascii="宋体" w:hAnsi="宋体" w:cs="宋体"/>
          <w:b/>
          <w:color w:val="auto"/>
          <w:highlight w:val="none"/>
        </w:rPr>
      </w:pPr>
      <w:r>
        <w:rPr>
          <w:rFonts w:hint="eastAsia" w:ascii="宋体" w:hAnsi="宋体" w:cs="宋体"/>
          <w:b/>
          <w:color w:val="auto"/>
          <w:highlight w:val="none"/>
        </w:rPr>
        <w:t xml:space="preserve">       企业法定代表人：</w:t>
      </w:r>
      <w:r>
        <w:rPr>
          <w:rFonts w:hint="eastAsia" w:ascii="宋体" w:hAnsi="宋体" w:cs="宋体"/>
          <w:color w:val="auto"/>
          <w:kern w:val="0"/>
          <w:sz w:val="28"/>
          <w:szCs w:val="28"/>
          <w:highlight w:val="none"/>
          <w:u w:val="single"/>
        </w:rPr>
        <w:t xml:space="preserve">       </w:t>
      </w:r>
      <w:r>
        <w:rPr>
          <w:rFonts w:hint="eastAsia" w:ascii="宋体" w:hAnsi="宋体" w:cs="宋体"/>
          <w:b/>
          <w:color w:val="auto"/>
          <w:highlight w:val="none"/>
        </w:rPr>
        <w:t>（签字或盖章）</w:t>
      </w:r>
    </w:p>
    <w:p w14:paraId="106CAC98">
      <w:pPr>
        <w:ind w:firstLine="482"/>
        <w:jc w:val="center"/>
        <w:rPr>
          <w:rFonts w:hint="eastAsia" w:ascii="宋体" w:hAnsi="宋体" w:cs="宋体"/>
          <w:b/>
          <w:color w:val="auto"/>
          <w:highlight w:val="none"/>
        </w:rPr>
      </w:pPr>
      <w:r>
        <w:rPr>
          <w:rFonts w:hint="eastAsia" w:ascii="宋体" w:hAnsi="宋体" w:cs="宋体"/>
          <w:b/>
          <w:color w:val="auto"/>
          <w:highlight w:val="none"/>
        </w:rPr>
        <w:t xml:space="preserve">            </w:t>
      </w:r>
      <w:r>
        <w:rPr>
          <w:rFonts w:hint="eastAsia" w:ascii="宋体" w:hAnsi="宋体" w:cs="宋体"/>
          <w:b/>
          <w:color w:val="auto"/>
          <w:highlight w:val="none"/>
          <w:lang w:val="en-US" w:eastAsia="zh-CN"/>
        </w:rPr>
        <w:t xml:space="preserve">                              </w:t>
      </w:r>
      <w:r>
        <w:rPr>
          <w:rFonts w:hint="eastAsia" w:ascii="宋体" w:hAnsi="宋体" w:cs="宋体"/>
          <w:b/>
          <w:color w:val="auto"/>
          <w:highlight w:val="none"/>
        </w:rPr>
        <w:t xml:space="preserve">  年   月  日</w:t>
      </w:r>
    </w:p>
    <w:p w14:paraId="395FAB51">
      <w:pPr>
        <w:pStyle w:val="2"/>
        <w:rPr>
          <w:color w:val="auto"/>
          <w:sz w:val="28"/>
          <w:szCs w:val="28"/>
          <w:highlight w:val="none"/>
        </w:rPr>
      </w:pPr>
    </w:p>
    <w:p w14:paraId="064DD5B2">
      <w:pPr>
        <w:jc w:val="left"/>
        <w:rPr>
          <w:rFonts w:hint="eastAsia" w:ascii="宋体" w:hAnsi="宋体" w:cs="宋体"/>
          <w:b/>
          <w:color w:val="auto"/>
          <w:sz w:val="28"/>
          <w:szCs w:val="28"/>
          <w:highlight w:val="none"/>
        </w:rPr>
      </w:pPr>
      <w:r>
        <w:rPr>
          <w:rFonts w:ascii="宋体" w:hAnsi="宋体" w:cs="宋体"/>
          <w:b/>
          <w:bCs/>
          <w:color w:val="auto"/>
          <w:sz w:val="22"/>
          <w:szCs w:val="28"/>
          <w:highlight w:val="none"/>
        </w:rPr>
        <w:t>注：投标人参加本次采购活动时，提供虚假监狱企业声明函的，以提供虚假材料谋取成交处理。</w:t>
      </w:r>
    </w:p>
    <w:p w14:paraId="0A9EBB6E">
      <w:pPr>
        <w:tabs>
          <w:tab w:val="left" w:pos="168"/>
        </w:tabs>
        <w:adjustRightInd w:val="0"/>
        <w:spacing w:line="360" w:lineRule="auto"/>
        <w:ind w:firstLine="480"/>
        <w:jc w:val="right"/>
        <w:textAlignment w:val="baseline"/>
        <w:outlineLvl w:val="9"/>
        <w:rPr>
          <w:rFonts w:hint="eastAsia" w:ascii="宋体" w:hAnsi="宋体" w:cs="宋体"/>
          <w:bCs/>
          <w:color w:val="auto"/>
          <w:highlight w:val="none"/>
        </w:rPr>
      </w:pPr>
    </w:p>
    <w:p w14:paraId="6AE33A47">
      <w:pPr>
        <w:jc w:val="both"/>
        <w:outlineLvl w:val="9"/>
        <w:rPr>
          <w:rFonts w:hint="default" w:ascii="宋体" w:hAnsi="宋体" w:eastAsia="宋体" w:cs="宋体"/>
          <w:b/>
          <w:color w:val="auto"/>
          <w:highlight w:val="none"/>
          <w:lang w:val="en-US" w:eastAsia="zh-CN"/>
        </w:rPr>
      </w:pPr>
      <w:r>
        <w:rPr>
          <w:rFonts w:hint="eastAsia" w:ascii="宋体" w:hAnsi="宋体" w:cs="宋体"/>
          <w:b/>
          <w:color w:val="auto"/>
          <w:highlight w:val="none"/>
        </w:rPr>
        <w:br w:type="page"/>
      </w:r>
      <w:r>
        <w:rPr>
          <w:rFonts w:hint="eastAsia" w:ascii="宋体" w:hAnsi="宋体" w:eastAsia="宋体" w:cs="宋体"/>
          <w:b/>
          <w:color w:val="auto"/>
          <w:highlight w:val="none"/>
        </w:rPr>
        <w:t>附件1－</w:t>
      </w:r>
      <w:r>
        <w:rPr>
          <w:rFonts w:hint="eastAsia" w:ascii="宋体" w:hAnsi="宋体" w:cs="宋体"/>
          <w:b/>
          <w:color w:val="auto"/>
          <w:highlight w:val="none"/>
          <w:lang w:val="en-US" w:eastAsia="zh-CN"/>
        </w:rPr>
        <w:t>10</w:t>
      </w:r>
    </w:p>
    <w:p w14:paraId="3B8AA5CF">
      <w:pPr>
        <w:tabs>
          <w:tab w:val="left" w:pos="900"/>
        </w:tabs>
        <w:spacing w:line="360" w:lineRule="auto"/>
        <w:jc w:val="center"/>
        <w:outlineLvl w:val="9"/>
        <w:rPr>
          <w:rFonts w:hint="eastAsia" w:ascii="宋体" w:hAnsi="宋体" w:eastAsia="宋体" w:cs="宋体"/>
          <w:color w:val="auto"/>
          <w:highlight w:val="none"/>
        </w:rPr>
      </w:pPr>
    </w:p>
    <w:p w14:paraId="1BFFA7D3">
      <w:pPr>
        <w:pStyle w:val="2"/>
        <w:outlineLvl w:val="9"/>
        <w:rPr>
          <w:rFonts w:hint="eastAsia"/>
          <w:color w:val="auto"/>
          <w:highlight w:val="none"/>
        </w:rPr>
      </w:pPr>
    </w:p>
    <w:p w14:paraId="621A5EBF">
      <w:pPr>
        <w:tabs>
          <w:tab w:val="left" w:pos="900"/>
        </w:tabs>
        <w:spacing w:line="360" w:lineRule="auto"/>
        <w:jc w:val="center"/>
        <w:outlineLvl w:val="9"/>
        <w:rPr>
          <w:rFonts w:hint="eastAsia" w:ascii="宋体" w:hAnsi="宋体" w:eastAsia="宋体" w:cs="宋体"/>
          <w:b/>
          <w:bCs/>
          <w:color w:val="auto"/>
          <w:highlight w:val="none"/>
        </w:rPr>
      </w:pPr>
    </w:p>
    <w:p w14:paraId="283241D3">
      <w:pPr>
        <w:tabs>
          <w:tab w:val="left" w:pos="900"/>
        </w:tabs>
        <w:spacing w:line="360" w:lineRule="auto"/>
        <w:jc w:val="center"/>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磋商文件要求提供的其他证明文件。</w:t>
      </w:r>
    </w:p>
    <w:p w14:paraId="0886EF10">
      <w:pPr>
        <w:tabs>
          <w:tab w:val="left" w:pos="900"/>
        </w:tabs>
        <w:spacing w:line="360" w:lineRule="auto"/>
        <w:jc w:val="center"/>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br w:type="column"/>
      </w:r>
    </w:p>
    <w:p w14:paraId="5F99F7E2">
      <w:pPr>
        <w:numPr>
          <w:ilvl w:val="0"/>
          <w:numId w:val="15"/>
        </w:numPr>
        <w:tabs>
          <w:tab w:val="left" w:pos="900"/>
        </w:tabs>
        <w:spacing w:line="360" w:lineRule="auto"/>
        <w:ind w:firstLine="642"/>
        <w:jc w:val="center"/>
        <w:outlineLvl w:val="9"/>
        <w:rPr>
          <w:rFonts w:ascii="宋体" w:hAnsi="宋体"/>
          <w:b/>
          <w:color w:val="auto"/>
          <w:sz w:val="32"/>
          <w:highlight w:val="none"/>
        </w:rPr>
      </w:pPr>
      <w:r>
        <w:rPr>
          <w:rFonts w:ascii="宋体" w:hAnsi="宋体"/>
          <w:b/>
          <w:color w:val="auto"/>
          <w:sz w:val="32"/>
          <w:highlight w:val="none"/>
        </w:rPr>
        <w:t>技术性响应文件（格式）</w:t>
      </w:r>
      <w:bookmarkEnd w:id="16"/>
    </w:p>
    <w:p w14:paraId="75837E9C">
      <w:pPr>
        <w:numPr>
          <w:ilvl w:val="0"/>
          <w:numId w:val="0"/>
        </w:numPr>
        <w:tabs>
          <w:tab w:val="left" w:pos="900"/>
        </w:tabs>
        <w:spacing w:line="360" w:lineRule="auto"/>
        <w:jc w:val="both"/>
        <w:outlineLvl w:val="9"/>
        <w:rPr>
          <w:rFonts w:ascii="宋体" w:hAnsi="宋体" w:cs="宋体"/>
          <w:b/>
          <w:bCs/>
          <w:color w:val="000000" w:themeColor="text1"/>
          <w:sz w:val="24"/>
          <w14:textFill>
            <w14:solidFill>
              <w14:schemeClr w14:val="tx1"/>
            </w14:solidFill>
          </w14:textFill>
        </w:rPr>
      </w:pPr>
      <w:r>
        <w:rPr>
          <w:rFonts w:ascii="宋体" w:hAnsi="宋体"/>
          <w:b/>
          <w:color w:val="auto"/>
          <w:highlight w:val="none"/>
        </w:rPr>
        <w:t xml:space="preserve"> </w:t>
      </w:r>
      <w:bookmarkStart w:id="24" w:name="_Toc14975"/>
      <w:r>
        <w:rPr>
          <w:rFonts w:hint="eastAsia" w:ascii="宋体" w:hAnsi="宋体" w:cs="宋体"/>
          <w:b/>
          <w:bCs/>
          <w:color w:val="000000" w:themeColor="text1"/>
          <w:sz w:val="24"/>
          <w14:textFill>
            <w14:solidFill>
              <w14:schemeClr w14:val="tx1"/>
            </w14:solidFill>
          </w14:textFill>
        </w:rPr>
        <w:t>附件</w:t>
      </w:r>
      <w:r>
        <w:rPr>
          <w:rFonts w:hint="eastAsia" w:ascii="宋体" w:hAnsi="宋体" w:cs="宋体"/>
          <w:b/>
          <w:bCs/>
          <w:color w:val="000000" w:themeColor="text1"/>
          <w:sz w:val="24"/>
          <w:lang w:val="en-US" w:eastAsia="zh-CN"/>
          <w14:textFill>
            <w14:solidFill>
              <w14:schemeClr w14:val="tx1"/>
            </w14:solidFill>
          </w14:textFill>
        </w:rPr>
        <w:t>2-1</w:t>
      </w:r>
      <w:r>
        <w:rPr>
          <w:rFonts w:hint="eastAsia" w:ascii="宋体" w:hAnsi="宋体" w:cs="宋体"/>
          <w:b/>
          <w:bCs/>
          <w:color w:val="000000" w:themeColor="text1"/>
          <w:sz w:val="24"/>
          <w14:textFill>
            <w14:solidFill>
              <w14:schemeClr w14:val="tx1"/>
            </w14:solidFill>
          </w14:textFill>
        </w:rPr>
        <w:t>：竞争性磋商首次报价表</w:t>
      </w:r>
      <w:bookmarkEnd w:id="24"/>
    </w:p>
    <w:p w14:paraId="4F79968D">
      <w:pPr>
        <w:ind w:firstLine="2711" w:firstLineChars="75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竞争性磋商首次报价表</w:t>
      </w:r>
    </w:p>
    <w:p w14:paraId="6DD88F69">
      <w:pPr>
        <w:ind w:firstLine="2711" w:firstLineChars="750"/>
        <w:rPr>
          <w:rFonts w:ascii="宋体" w:hAnsi="宋体"/>
          <w:b/>
          <w:color w:val="000000" w:themeColor="text1"/>
          <w:sz w:val="36"/>
          <w:szCs w:val="36"/>
          <w14:textFill>
            <w14:solidFill>
              <w14:schemeClr w14:val="tx1"/>
            </w14:solidFill>
          </w14:textFill>
        </w:rPr>
      </w:pPr>
    </w:p>
    <w:p w14:paraId="57435169">
      <w:pPr>
        <w:spacing w:line="360" w:lineRule="auto"/>
        <w:ind w:right="480"/>
        <w:jc w:val="left"/>
        <w:rPr>
          <w:rFonts w:ascii="宋体" w:hAnsi="宋体"/>
          <w:color w:val="000000" w:themeColor="text1"/>
          <w:sz w:val="24"/>
          <w14:textFill>
            <w14:solidFill>
              <w14:schemeClr w14:val="tx1"/>
            </w14:solidFill>
          </w14:textFill>
        </w:rPr>
      </w:pPr>
    </w:p>
    <w:p w14:paraId="6EE31163">
      <w:pPr>
        <w:autoSpaceDE w:val="0"/>
        <w:autoSpaceDN w:val="0"/>
        <w:spacing w:line="360" w:lineRule="auto"/>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24"/>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kern w:val="0"/>
          <w:sz w:val="24"/>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24"/>
          <w:lang w:val="zh-CN"/>
          <w14:textFill>
            <w14:solidFill>
              <w14:schemeClr w14:val="tx1"/>
            </w14:solidFill>
          </w14:textFill>
        </w:rPr>
        <w:t>单位：人民币(元)</w:t>
      </w:r>
    </w:p>
    <w:tbl>
      <w:tblPr>
        <w:tblStyle w:val="44"/>
        <w:tblpPr w:leftFromText="180" w:rightFromText="180" w:vertAnchor="text" w:horzAnchor="margin" w:tblpX="204" w:tblpY="147"/>
        <w:tblW w:w="9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0"/>
        <w:gridCol w:w="3827"/>
        <w:gridCol w:w="2106"/>
        <w:gridCol w:w="1111"/>
      </w:tblGrid>
      <w:tr w14:paraId="5506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360" w:type="dxa"/>
            <w:vAlign w:val="center"/>
          </w:tcPr>
          <w:p w14:paraId="2E32FE32">
            <w:pPr>
              <w:adjustRightInd w:val="0"/>
              <w:spacing w:line="360" w:lineRule="auto"/>
              <w:ind w:firstLine="482"/>
              <w:textAlignment w:val="baseline"/>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项目名称</w:t>
            </w:r>
          </w:p>
        </w:tc>
        <w:tc>
          <w:tcPr>
            <w:tcW w:w="3827" w:type="dxa"/>
            <w:vAlign w:val="center"/>
          </w:tcPr>
          <w:p w14:paraId="4C20E88A">
            <w:pPr>
              <w:adjustRightInd w:val="0"/>
              <w:spacing w:line="360" w:lineRule="auto"/>
              <w:ind w:firstLine="482"/>
              <w:jc w:val="center"/>
              <w:textAlignment w:val="baseline"/>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竞争性磋商首次报价</w:t>
            </w:r>
          </w:p>
        </w:tc>
        <w:tc>
          <w:tcPr>
            <w:tcW w:w="2106" w:type="dxa"/>
            <w:vAlign w:val="center"/>
          </w:tcPr>
          <w:p w14:paraId="1BD61140">
            <w:pPr>
              <w:adjustRightInd w:val="0"/>
              <w:spacing w:line="360" w:lineRule="auto"/>
              <w:ind w:left="279" w:leftChars="16" w:hanging="241" w:hangingChars="100"/>
              <w:jc w:val="center"/>
              <w:textAlignment w:val="baseline"/>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交货时间</w:t>
            </w:r>
          </w:p>
        </w:tc>
        <w:tc>
          <w:tcPr>
            <w:tcW w:w="1111" w:type="dxa"/>
            <w:vAlign w:val="center"/>
          </w:tcPr>
          <w:p w14:paraId="682EFB8E">
            <w:pPr>
              <w:adjustRightInd w:val="0"/>
              <w:spacing w:line="360" w:lineRule="auto"/>
              <w:jc w:val="center"/>
              <w:textAlignment w:val="baseline"/>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14:paraId="0A1A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360" w:type="dxa"/>
            <w:vMerge w:val="restart"/>
            <w:vAlign w:val="center"/>
          </w:tcPr>
          <w:p w14:paraId="1584490F">
            <w:pPr>
              <w:adjustRightInd w:val="0"/>
              <w:spacing w:line="360" w:lineRule="auto"/>
              <w:ind w:firstLine="482"/>
              <w:textAlignment w:val="baseline"/>
              <w:rPr>
                <w:rFonts w:ascii="宋体" w:hAnsi="宋体"/>
                <w:b/>
                <w:bCs/>
                <w:color w:val="000000" w:themeColor="text1"/>
                <w:szCs w:val="21"/>
                <w14:textFill>
                  <w14:solidFill>
                    <w14:schemeClr w14:val="tx1"/>
                  </w14:solidFill>
                </w14:textFill>
              </w:rPr>
            </w:pPr>
          </w:p>
        </w:tc>
        <w:tc>
          <w:tcPr>
            <w:tcW w:w="3827" w:type="dxa"/>
            <w:vAlign w:val="center"/>
          </w:tcPr>
          <w:p w14:paraId="0A38DDE0">
            <w:pPr>
              <w:adjustRightInd w:val="0"/>
              <w:spacing w:line="360" w:lineRule="auto"/>
              <w:textAlignment w:val="baseline"/>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大写：</w:t>
            </w:r>
          </w:p>
        </w:tc>
        <w:tc>
          <w:tcPr>
            <w:tcW w:w="2106" w:type="dxa"/>
            <w:vMerge w:val="restart"/>
          </w:tcPr>
          <w:p w14:paraId="1453FF2B">
            <w:pPr>
              <w:adjustRightInd w:val="0"/>
              <w:spacing w:line="360" w:lineRule="auto"/>
              <w:textAlignment w:val="baseline"/>
              <w:rPr>
                <w:rFonts w:ascii="宋体" w:hAnsi="宋体"/>
                <w:b/>
                <w:color w:val="000000" w:themeColor="text1"/>
                <w:szCs w:val="21"/>
                <w14:textFill>
                  <w14:solidFill>
                    <w14:schemeClr w14:val="tx1"/>
                  </w14:solidFill>
                </w14:textFill>
              </w:rPr>
            </w:pPr>
          </w:p>
        </w:tc>
        <w:tc>
          <w:tcPr>
            <w:tcW w:w="1111" w:type="dxa"/>
            <w:vMerge w:val="restart"/>
          </w:tcPr>
          <w:p w14:paraId="6B474CE4">
            <w:pPr>
              <w:adjustRightInd w:val="0"/>
              <w:spacing w:line="360" w:lineRule="auto"/>
              <w:textAlignment w:val="baseline"/>
              <w:rPr>
                <w:rFonts w:ascii="宋体" w:hAnsi="宋体"/>
                <w:b/>
                <w:color w:val="000000" w:themeColor="text1"/>
                <w:szCs w:val="21"/>
                <w14:textFill>
                  <w14:solidFill>
                    <w14:schemeClr w14:val="tx1"/>
                  </w14:solidFill>
                </w14:textFill>
              </w:rPr>
            </w:pPr>
          </w:p>
        </w:tc>
      </w:tr>
      <w:tr w14:paraId="05FE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360" w:type="dxa"/>
            <w:vMerge w:val="continue"/>
            <w:vAlign w:val="center"/>
          </w:tcPr>
          <w:p w14:paraId="5261EA74">
            <w:pPr>
              <w:adjustRightInd w:val="0"/>
              <w:spacing w:line="360" w:lineRule="auto"/>
              <w:ind w:firstLine="482"/>
              <w:textAlignment w:val="baseline"/>
              <w:rPr>
                <w:rFonts w:ascii="宋体" w:hAnsi="宋体"/>
                <w:b/>
                <w:bCs/>
                <w:color w:val="000000" w:themeColor="text1"/>
                <w:szCs w:val="21"/>
                <w14:textFill>
                  <w14:solidFill>
                    <w14:schemeClr w14:val="tx1"/>
                  </w14:solidFill>
                </w14:textFill>
              </w:rPr>
            </w:pPr>
          </w:p>
        </w:tc>
        <w:tc>
          <w:tcPr>
            <w:tcW w:w="3827" w:type="dxa"/>
            <w:vAlign w:val="center"/>
          </w:tcPr>
          <w:p w14:paraId="3ECD2BDE">
            <w:pPr>
              <w:adjustRightInd w:val="0"/>
              <w:spacing w:line="360" w:lineRule="auto"/>
              <w:textAlignment w:val="baseline"/>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小写：</w:t>
            </w:r>
          </w:p>
        </w:tc>
        <w:tc>
          <w:tcPr>
            <w:tcW w:w="2106" w:type="dxa"/>
            <w:vMerge w:val="continue"/>
          </w:tcPr>
          <w:p w14:paraId="4605595A">
            <w:pPr>
              <w:adjustRightInd w:val="0"/>
              <w:spacing w:line="360" w:lineRule="auto"/>
              <w:textAlignment w:val="baseline"/>
              <w:rPr>
                <w:rFonts w:ascii="宋体" w:hAnsi="宋体"/>
                <w:b/>
                <w:color w:val="000000" w:themeColor="text1"/>
                <w:szCs w:val="21"/>
                <w14:textFill>
                  <w14:solidFill>
                    <w14:schemeClr w14:val="tx1"/>
                  </w14:solidFill>
                </w14:textFill>
              </w:rPr>
            </w:pPr>
          </w:p>
        </w:tc>
        <w:tc>
          <w:tcPr>
            <w:tcW w:w="1111" w:type="dxa"/>
            <w:vMerge w:val="continue"/>
          </w:tcPr>
          <w:p w14:paraId="603E9AC6">
            <w:pPr>
              <w:adjustRightInd w:val="0"/>
              <w:spacing w:line="360" w:lineRule="auto"/>
              <w:textAlignment w:val="baseline"/>
              <w:rPr>
                <w:rFonts w:ascii="宋体" w:hAnsi="宋体"/>
                <w:b/>
                <w:color w:val="000000" w:themeColor="text1"/>
                <w:szCs w:val="21"/>
                <w14:textFill>
                  <w14:solidFill>
                    <w14:schemeClr w14:val="tx1"/>
                  </w14:solidFill>
                </w14:textFill>
              </w:rPr>
            </w:pPr>
          </w:p>
        </w:tc>
      </w:tr>
      <w:tr w14:paraId="1508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9404" w:type="dxa"/>
            <w:gridSpan w:val="4"/>
            <w:vAlign w:val="center"/>
          </w:tcPr>
          <w:p w14:paraId="1D34C075">
            <w:pPr>
              <w:adjustRightInd w:val="0"/>
              <w:spacing w:line="360" w:lineRule="auto"/>
              <w:textAlignment w:val="baseline"/>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其他承诺及需要说明的事项：</w:t>
            </w:r>
          </w:p>
        </w:tc>
      </w:tr>
    </w:tbl>
    <w:p w14:paraId="1BA507C5">
      <w:pPr>
        <w:adjustRightInd w:val="0"/>
        <w:spacing w:line="360" w:lineRule="auto"/>
        <w:ind w:firstLine="482" w:firstLineChars="200"/>
        <w:textAlignment w:val="baseline"/>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注：</w:t>
      </w:r>
      <w:r>
        <w:rPr>
          <w:rFonts w:hint="eastAsia" w:ascii="宋体" w:hAnsi="宋体"/>
          <w:color w:val="000000" w:themeColor="text1"/>
          <w:sz w:val="24"/>
          <w14:textFill>
            <w14:solidFill>
              <w14:schemeClr w14:val="tx1"/>
            </w14:solidFill>
          </w14:textFill>
        </w:rPr>
        <w:t>1、填写此表时不得改变表格形式。</w:t>
      </w:r>
    </w:p>
    <w:p w14:paraId="5EF86FFE">
      <w:pPr>
        <w:adjustRightInd w:val="0"/>
        <w:spacing w:line="360" w:lineRule="auto"/>
        <w:ind w:firstLine="480" w:firstLineChars="200"/>
        <w:textAlignment w:val="baseline"/>
        <w:rPr>
          <w:rFonts w:ascii="宋体" w:hAnsi="宋体" w:cs="宋体"/>
          <w:color w:val="000000" w:themeColor="text1"/>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2、磋商报价为总报价。合同总价包括：</w:t>
      </w:r>
      <w:r>
        <w:rPr>
          <w:rFonts w:hint="eastAsia" w:ascii="宋体" w:hAnsi="宋体" w:cs="宋体"/>
          <w:color w:val="000000" w:themeColor="text1"/>
          <w:sz w:val="24"/>
          <w:lang w:val="zh-CN"/>
          <w14:textFill>
            <w14:solidFill>
              <w14:schemeClr w14:val="tx1"/>
            </w14:solidFill>
          </w14:textFill>
        </w:rPr>
        <w:t>产品费、验收费、手续费、包装费、运输费、保险费、安装费、调试费、培训费、售前、售中、售后服务费、招标代理服务费、税金及不可预见费等全部费用。</w:t>
      </w:r>
    </w:p>
    <w:p w14:paraId="7A18EF7F">
      <w:pPr>
        <w:adjustRightInd w:val="0"/>
        <w:spacing w:line="360" w:lineRule="auto"/>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3、“交货时间”是指项目的具体实施期限。</w:t>
      </w:r>
    </w:p>
    <w:p w14:paraId="44FC86A4">
      <w:pPr>
        <w:adjustRightInd w:val="0"/>
        <w:spacing w:line="360" w:lineRule="auto"/>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4、除在响应文件中编制此表以外，供应商应在政采云平台（https://www.zcygov.cn/）中进行网上报价，网上报价应和此表报价一致，否则以网上报价为准，不接受者投标无效。</w:t>
      </w:r>
    </w:p>
    <w:p w14:paraId="444868DB">
      <w:pPr>
        <w:autoSpaceDE w:val="0"/>
        <w:autoSpaceDN w:val="0"/>
        <w:adjustRightInd w:val="0"/>
        <w:rPr>
          <w:rFonts w:ascii="宋体" w:hAnsi="宋体" w:cs="宋体"/>
          <w:color w:val="000000" w:themeColor="text1"/>
          <w:kern w:val="0"/>
          <w:szCs w:val="21"/>
          <w14:textFill>
            <w14:solidFill>
              <w14:schemeClr w14:val="tx1"/>
            </w14:solidFill>
          </w14:textFill>
        </w:rPr>
      </w:pPr>
    </w:p>
    <w:p w14:paraId="7AE52BDC">
      <w:pPr>
        <w:autoSpaceDE w:val="0"/>
        <w:autoSpaceDN w:val="0"/>
        <w:adjustRightInd w:val="0"/>
        <w:rPr>
          <w:rFonts w:ascii="宋体" w:hAnsi="宋体" w:cs="宋体"/>
          <w:color w:val="000000" w:themeColor="text1"/>
          <w:kern w:val="0"/>
          <w:szCs w:val="21"/>
          <w14:textFill>
            <w14:solidFill>
              <w14:schemeClr w14:val="tx1"/>
            </w14:solidFill>
          </w14:textFill>
        </w:rPr>
      </w:pPr>
    </w:p>
    <w:p w14:paraId="212379DC">
      <w:pPr>
        <w:pStyle w:val="42"/>
        <w:rPr>
          <w:rFonts w:ascii="宋体" w:hAnsi="宋体" w:cs="宋体"/>
          <w:color w:val="000000" w:themeColor="text1"/>
          <w:kern w:val="0"/>
          <w:sz w:val="21"/>
          <w:szCs w:val="21"/>
          <w14:textFill>
            <w14:solidFill>
              <w14:schemeClr w14:val="tx1"/>
            </w14:solidFill>
          </w14:textFill>
        </w:rPr>
      </w:pPr>
    </w:p>
    <w:p w14:paraId="50503CEA">
      <w:pPr>
        <w:pStyle w:val="42"/>
        <w:rPr>
          <w:rFonts w:ascii="宋体" w:hAnsi="宋体" w:cs="宋体"/>
          <w:color w:val="000000" w:themeColor="text1"/>
          <w:kern w:val="0"/>
          <w14:textFill>
            <w14:solidFill>
              <w14:schemeClr w14:val="tx1"/>
            </w14:solidFill>
          </w14:textFill>
        </w:rPr>
      </w:pPr>
    </w:p>
    <w:p w14:paraId="15C27929">
      <w:pPr>
        <w:pStyle w:val="42"/>
        <w:rPr>
          <w:rFonts w:ascii="宋体" w:hAnsi="宋体" w:cs="宋体"/>
          <w:color w:val="000000" w:themeColor="text1"/>
          <w:kern w:val="0"/>
          <w14:textFill>
            <w14:solidFill>
              <w14:schemeClr w14:val="tx1"/>
            </w14:solidFill>
          </w14:textFill>
        </w:rPr>
      </w:pPr>
    </w:p>
    <w:p w14:paraId="4E970C7C">
      <w:pPr>
        <w:autoSpaceDE w:val="0"/>
        <w:autoSpaceDN w:val="0"/>
        <w:spacing w:line="360" w:lineRule="auto"/>
        <w:jc w:val="center"/>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供应商：             （公章）</w:t>
      </w:r>
    </w:p>
    <w:p w14:paraId="109C2D2A">
      <w:pPr>
        <w:autoSpaceDE w:val="0"/>
        <w:autoSpaceDN w:val="0"/>
        <w:spacing w:line="360" w:lineRule="auto"/>
        <w:jc w:val="center"/>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法定代表人或委托代理人：        （签字或盖章）</w:t>
      </w:r>
    </w:p>
    <w:p w14:paraId="408EE95D">
      <w:pPr>
        <w:pStyle w:val="42"/>
        <w:jc w:val="center"/>
        <w:rPr>
          <w:rFonts w:ascii="宋体" w:hAnsi="宋体" w:cs="宋体"/>
          <w:color w:val="000000" w:themeColor="text1"/>
          <w:kern w:val="0"/>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年   月   日</w:t>
      </w:r>
    </w:p>
    <w:p w14:paraId="6D2646AF">
      <w:pPr>
        <w:pStyle w:val="42"/>
        <w:rPr>
          <w:rFonts w:ascii="宋体" w:hAnsi="宋体" w:cs="宋体"/>
          <w:color w:val="000000" w:themeColor="text1"/>
          <w:kern w:val="0"/>
          <w14:textFill>
            <w14:solidFill>
              <w14:schemeClr w14:val="tx1"/>
            </w14:solidFill>
          </w14:textFill>
        </w:rPr>
      </w:pPr>
    </w:p>
    <w:p w14:paraId="129F1589">
      <w:pPr>
        <w:pStyle w:val="42"/>
        <w:rPr>
          <w:rFonts w:ascii="宋体" w:hAnsi="宋体" w:cs="宋体"/>
          <w:color w:val="000000" w:themeColor="text1"/>
          <w:kern w:val="0"/>
          <w14:textFill>
            <w14:solidFill>
              <w14:schemeClr w14:val="tx1"/>
            </w14:solidFill>
          </w14:textFill>
        </w:rPr>
      </w:pPr>
    </w:p>
    <w:p w14:paraId="2CE14389">
      <w:pPr>
        <w:pStyle w:val="42"/>
        <w:rPr>
          <w:rFonts w:ascii="宋体" w:hAnsi="宋体" w:cs="宋体"/>
          <w:color w:val="000000" w:themeColor="text1"/>
          <w:kern w:val="0"/>
          <w14:textFill>
            <w14:solidFill>
              <w14:schemeClr w14:val="tx1"/>
            </w14:solidFill>
          </w14:textFill>
        </w:rPr>
      </w:pPr>
    </w:p>
    <w:p w14:paraId="72C649C1">
      <w:pPr>
        <w:pStyle w:val="42"/>
        <w:rPr>
          <w:rFonts w:ascii="宋体" w:hAnsi="宋体" w:cs="宋体"/>
          <w:color w:val="000000" w:themeColor="text1"/>
          <w:kern w:val="0"/>
          <w14:textFill>
            <w14:solidFill>
              <w14:schemeClr w14:val="tx1"/>
            </w14:solidFill>
          </w14:textFill>
        </w:rPr>
      </w:pPr>
    </w:p>
    <w:p w14:paraId="48AA821F">
      <w:pPr>
        <w:keepNext/>
        <w:pageBreakBefore/>
        <w:widowControl/>
        <w:spacing w:line="360" w:lineRule="auto"/>
        <w:outlineLvl w:val="1"/>
        <w:rPr>
          <w:rFonts w:ascii="宋体" w:hAnsi="宋体" w:cs="宋体"/>
          <w:b/>
          <w:bCs/>
          <w:color w:val="000000" w:themeColor="text1"/>
          <w:sz w:val="24"/>
          <w14:textFill>
            <w14:solidFill>
              <w14:schemeClr w14:val="tx1"/>
            </w14:solidFill>
          </w14:textFill>
        </w:rPr>
      </w:pPr>
      <w:bookmarkStart w:id="25" w:name="_Toc22466"/>
      <w:r>
        <w:rPr>
          <w:rFonts w:hint="eastAsia" w:ascii="宋体" w:hAnsi="宋体" w:cs="宋体"/>
          <w:b/>
          <w:bCs/>
          <w:color w:val="000000" w:themeColor="text1"/>
          <w:sz w:val="24"/>
          <w14:textFill>
            <w14:solidFill>
              <w14:schemeClr w14:val="tx1"/>
            </w14:solidFill>
          </w14:textFill>
        </w:rPr>
        <w:t>附件</w:t>
      </w:r>
      <w:r>
        <w:rPr>
          <w:rFonts w:hint="eastAsia" w:ascii="宋体" w:hAnsi="宋体" w:cs="宋体"/>
          <w:b/>
          <w:bCs/>
          <w:color w:val="000000" w:themeColor="text1"/>
          <w:sz w:val="24"/>
          <w:lang w:val="en-US" w:eastAsia="zh-CN"/>
          <w14:textFill>
            <w14:solidFill>
              <w14:schemeClr w14:val="tx1"/>
            </w14:solidFill>
          </w14:textFill>
        </w:rPr>
        <w:t>2-2</w:t>
      </w:r>
      <w:r>
        <w:rPr>
          <w:rFonts w:hint="eastAsia" w:ascii="宋体" w:hAnsi="宋体" w:cs="宋体"/>
          <w:b/>
          <w:bCs/>
          <w:color w:val="000000" w:themeColor="text1"/>
          <w:sz w:val="24"/>
          <w14:textFill>
            <w14:solidFill>
              <w14:schemeClr w14:val="tx1"/>
            </w14:solidFill>
          </w14:textFill>
        </w:rPr>
        <w:t>：分项报价表</w:t>
      </w:r>
      <w:bookmarkEnd w:id="25"/>
    </w:p>
    <w:p w14:paraId="2DCAF92E">
      <w:pPr>
        <w:ind w:firstLine="3795" w:firstLineChars="1050"/>
        <w:rPr>
          <w:rFonts w:ascii="宋体" w:hAnsi="宋体"/>
          <w:b/>
          <w:color w:val="000000" w:themeColor="text1"/>
          <w:sz w:val="36"/>
          <w:szCs w:val="36"/>
          <w:lang w:val="zh-CN"/>
          <w14:textFill>
            <w14:solidFill>
              <w14:schemeClr w14:val="tx1"/>
            </w14:solidFill>
          </w14:textFill>
        </w:rPr>
      </w:pPr>
      <w:r>
        <w:rPr>
          <w:rFonts w:hint="eastAsia" w:ascii="宋体" w:hAnsi="宋体"/>
          <w:b/>
          <w:color w:val="000000" w:themeColor="text1"/>
          <w:sz w:val="36"/>
          <w:szCs w:val="36"/>
          <w:lang w:val="zh-CN"/>
          <w14:textFill>
            <w14:solidFill>
              <w14:schemeClr w14:val="tx1"/>
            </w14:solidFill>
          </w14:textFill>
        </w:rPr>
        <w:t>分项报价表</w:t>
      </w:r>
    </w:p>
    <w:p w14:paraId="7D0D79B2">
      <w:pPr>
        <w:autoSpaceDE w:val="0"/>
        <w:autoSpaceDN w:val="0"/>
        <w:spacing w:line="360" w:lineRule="auto"/>
        <w:rPr>
          <w:rFonts w:ascii="宋体" w:hAnsi="宋体" w:cs="宋体"/>
          <w:b/>
          <w:bCs/>
          <w:color w:val="000000" w:themeColor="text1"/>
          <w:kern w:val="0"/>
          <w:sz w:val="28"/>
          <w:szCs w:val="28"/>
          <w:lang w:val="zh-CN"/>
          <w14:textFill>
            <w14:solidFill>
              <w14:schemeClr w14:val="tx1"/>
            </w14:solidFill>
          </w14:textFill>
        </w:rPr>
      </w:pPr>
    </w:p>
    <w:p w14:paraId="6B325E73">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 xml:space="preserve">  </w:t>
      </w:r>
      <w:r>
        <w:rPr>
          <w:rFonts w:hint="eastAsia" w:ascii="宋体" w:hAnsi="宋体" w:cs="宋体"/>
          <w:b/>
          <w:bCs/>
          <w:color w:val="000000" w:themeColor="text1"/>
          <w:kern w:val="0"/>
          <w:sz w:val="24"/>
          <w:lang w:val="zh-CN"/>
          <w14:textFill>
            <w14:solidFill>
              <w14:schemeClr w14:val="tx1"/>
            </w14:solidFill>
          </w14:textFill>
        </w:rPr>
        <w:t>供应商名称</w:t>
      </w:r>
      <w:r>
        <w:rPr>
          <w:rFonts w:hint="eastAsia" w:ascii="宋体" w:hAnsi="宋体" w:cs="宋体"/>
          <w:b/>
          <w:bCs/>
          <w:color w:val="000000" w:themeColor="text1"/>
          <w:kern w:val="0"/>
          <w:sz w:val="24"/>
          <w14:textFill>
            <w14:solidFill>
              <w14:schemeClr w14:val="tx1"/>
            </w14:solidFill>
          </w14:textFill>
        </w:rPr>
        <w:t xml:space="preserve">：                                          </w:t>
      </w:r>
      <w:r>
        <w:rPr>
          <w:rFonts w:hint="eastAsia" w:ascii="宋体" w:hAnsi="宋体" w:cs="宋体"/>
          <w:b/>
          <w:bCs/>
          <w:color w:val="000000" w:themeColor="text1"/>
          <w:kern w:val="0"/>
          <w:sz w:val="24"/>
          <w:lang w:val="zh-CN"/>
          <w14:textFill>
            <w14:solidFill>
              <w14:schemeClr w14:val="tx1"/>
            </w14:solidFill>
          </w14:textFill>
        </w:rPr>
        <w:t>单位：人民币(元)</w:t>
      </w:r>
    </w:p>
    <w:tbl>
      <w:tblPr>
        <w:tblStyle w:val="44"/>
        <w:tblW w:w="10246" w:type="dxa"/>
        <w:jc w:val="center"/>
        <w:tblLayout w:type="fixed"/>
        <w:tblCellMar>
          <w:top w:w="0" w:type="dxa"/>
          <w:left w:w="28" w:type="dxa"/>
          <w:bottom w:w="0" w:type="dxa"/>
          <w:right w:w="28" w:type="dxa"/>
        </w:tblCellMar>
      </w:tblPr>
      <w:tblGrid>
        <w:gridCol w:w="840"/>
        <w:gridCol w:w="1879"/>
        <w:gridCol w:w="1116"/>
        <w:gridCol w:w="943"/>
        <w:gridCol w:w="913"/>
        <w:gridCol w:w="1284"/>
        <w:gridCol w:w="740"/>
        <w:gridCol w:w="949"/>
        <w:gridCol w:w="791"/>
        <w:gridCol w:w="791"/>
      </w:tblGrid>
      <w:tr w14:paraId="335293B0">
        <w:tblPrEx>
          <w:tblCellMar>
            <w:top w:w="0" w:type="dxa"/>
            <w:left w:w="28" w:type="dxa"/>
            <w:bottom w:w="0" w:type="dxa"/>
            <w:right w:w="28" w:type="dxa"/>
          </w:tblCellMar>
        </w:tblPrEx>
        <w:trPr>
          <w:trHeight w:val="23" w:hRule="atLeast"/>
          <w:jc w:val="center"/>
        </w:trPr>
        <w:tc>
          <w:tcPr>
            <w:tcW w:w="840" w:type="dxa"/>
            <w:tcBorders>
              <w:top w:val="single" w:color="000000" w:sz="8" w:space="0"/>
              <w:left w:val="single" w:color="000000" w:sz="8" w:space="0"/>
              <w:bottom w:val="single" w:color="000000" w:sz="6" w:space="0"/>
              <w:right w:val="single" w:color="000000" w:sz="6" w:space="0"/>
            </w:tcBorders>
            <w:vAlign w:val="center"/>
          </w:tcPr>
          <w:p w14:paraId="725E455E">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序号</w:t>
            </w:r>
          </w:p>
        </w:tc>
        <w:tc>
          <w:tcPr>
            <w:tcW w:w="1879" w:type="dxa"/>
            <w:tcBorders>
              <w:top w:val="single" w:color="000000" w:sz="8" w:space="0"/>
              <w:left w:val="single" w:color="000000" w:sz="6" w:space="0"/>
              <w:bottom w:val="single" w:color="000000" w:sz="6" w:space="0"/>
              <w:right w:val="single" w:color="000000" w:sz="6" w:space="0"/>
            </w:tcBorders>
            <w:vAlign w:val="center"/>
          </w:tcPr>
          <w:p w14:paraId="7A211BEF">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产品名称</w:t>
            </w:r>
          </w:p>
        </w:tc>
        <w:tc>
          <w:tcPr>
            <w:tcW w:w="1116" w:type="dxa"/>
            <w:tcBorders>
              <w:top w:val="single" w:color="000000" w:sz="8" w:space="0"/>
              <w:left w:val="single" w:color="000000" w:sz="6" w:space="0"/>
              <w:bottom w:val="single" w:color="000000" w:sz="6" w:space="0"/>
              <w:right w:val="single" w:color="000000" w:sz="6" w:space="0"/>
            </w:tcBorders>
            <w:vAlign w:val="center"/>
          </w:tcPr>
          <w:p w14:paraId="195B1BC9">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品牌</w:t>
            </w:r>
          </w:p>
        </w:tc>
        <w:tc>
          <w:tcPr>
            <w:tcW w:w="943" w:type="dxa"/>
            <w:tcBorders>
              <w:top w:val="single" w:color="000000" w:sz="8" w:space="0"/>
              <w:left w:val="single" w:color="000000" w:sz="6" w:space="0"/>
              <w:bottom w:val="single" w:color="000000" w:sz="6" w:space="0"/>
              <w:right w:val="single" w:color="000000" w:sz="6" w:space="0"/>
            </w:tcBorders>
            <w:vAlign w:val="center"/>
          </w:tcPr>
          <w:p w14:paraId="2807FB3D">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型号</w:t>
            </w:r>
          </w:p>
        </w:tc>
        <w:tc>
          <w:tcPr>
            <w:tcW w:w="913" w:type="dxa"/>
            <w:tcBorders>
              <w:top w:val="single" w:color="000000" w:sz="8" w:space="0"/>
              <w:left w:val="single" w:color="000000" w:sz="6" w:space="0"/>
              <w:bottom w:val="single" w:color="000000" w:sz="6" w:space="0"/>
              <w:right w:val="single" w:color="000000" w:sz="6" w:space="0"/>
            </w:tcBorders>
            <w:vAlign w:val="center"/>
          </w:tcPr>
          <w:p w14:paraId="62513B0A">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生产厂家</w:t>
            </w:r>
          </w:p>
        </w:tc>
        <w:tc>
          <w:tcPr>
            <w:tcW w:w="1284" w:type="dxa"/>
            <w:tcBorders>
              <w:top w:val="single" w:color="000000" w:sz="8" w:space="0"/>
              <w:left w:val="single" w:color="000000" w:sz="6" w:space="0"/>
              <w:bottom w:val="single" w:color="000000" w:sz="6" w:space="0"/>
              <w:right w:val="single" w:color="000000" w:sz="6" w:space="0"/>
            </w:tcBorders>
            <w:vAlign w:val="center"/>
          </w:tcPr>
          <w:p w14:paraId="1D394EF5">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数量及单位</w:t>
            </w:r>
          </w:p>
        </w:tc>
        <w:tc>
          <w:tcPr>
            <w:tcW w:w="740" w:type="dxa"/>
            <w:tcBorders>
              <w:top w:val="single" w:color="000000" w:sz="8" w:space="0"/>
              <w:left w:val="single" w:color="000000" w:sz="6" w:space="0"/>
              <w:bottom w:val="single" w:color="000000" w:sz="6" w:space="0"/>
              <w:right w:val="single" w:color="000000" w:sz="6" w:space="0"/>
            </w:tcBorders>
            <w:vAlign w:val="center"/>
          </w:tcPr>
          <w:p w14:paraId="5093F49B">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单价</w:t>
            </w:r>
          </w:p>
        </w:tc>
        <w:tc>
          <w:tcPr>
            <w:tcW w:w="949" w:type="dxa"/>
            <w:tcBorders>
              <w:top w:val="single" w:color="000000" w:sz="8" w:space="0"/>
              <w:left w:val="single" w:color="000000" w:sz="6" w:space="0"/>
              <w:bottom w:val="single" w:color="000000" w:sz="6" w:space="0"/>
              <w:right w:val="single" w:color="000000" w:sz="6" w:space="0"/>
            </w:tcBorders>
            <w:vAlign w:val="center"/>
          </w:tcPr>
          <w:p w14:paraId="7096A465">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合计</w:t>
            </w:r>
          </w:p>
        </w:tc>
        <w:tc>
          <w:tcPr>
            <w:tcW w:w="791" w:type="dxa"/>
            <w:tcBorders>
              <w:top w:val="single" w:color="000000" w:sz="8" w:space="0"/>
              <w:left w:val="single" w:color="000000" w:sz="6" w:space="0"/>
              <w:bottom w:val="single" w:color="000000" w:sz="6" w:space="0"/>
              <w:right w:val="single" w:color="000000" w:sz="8" w:space="0"/>
            </w:tcBorders>
            <w:vAlign w:val="center"/>
          </w:tcPr>
          <w:p w14:paraId="377B595E">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免费质保期</w:t>
            </w:r>
          </w:p>
        </w:tc>
        <w:tc>
          <w:tcPr>
            <w:tcW w:w="791" w:type="dxa"/>
            <w:tcBorders>
              <w:top w:val="single" w:color="000000" w:sz="8" w:space="0"/>
              <w:left w:val="single" w:color="000000" w:sz="6" w:space="0"/>
              <w:bottom w:val="single" w:color="000000" w:sz="6" w:space="0"/>
              <w:right w:val="single" w:color="000000" w:sz="8" w:space="0"/>
            </w:tcBorders>
            <w:vAlign w:val="center"/>
          </w:tcPr>
          <w:p w14:paraId="77D550BF">
            <w:pPr>
              <w:autoSpaceDE w:val="0"/>
              <w:autoSpaceDN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r>
      <w:tr w14:paraId="70DCBA78">
        <w:tblPrEx>
          <w:tblCellMar>
            <w:top w:w="0" w:type="dxa"/>
            <w:left w:w="28" w:type="dxa"/>
            <w:bottom w:w="0" w:type="dxa"/>
            <w:right w:w="28" w:type="dxa"/>
          </w:tblCellMar>
        </w:tblPrEx>
        <w:trPr>
          <w:trHeight w:val="23" w:hRule="atLeast"/>
          <w:jc w:val="center"/>
        </w:trPr>
        <w:tc>
          <w:tcPr>
            <w:tcW w:w="840" w:type="dxa"/>
            <w:tcBorders>
              <w:top w:val="single" w:color="000000" w:sz="6" w:space="0"/>
              <w:left w:val="single" w:color="000000" w:sz="8" w:space="0"/>
              <w:bottom w:val="single" w:color="000000" w:sz="6" w:space="0"/>
              <w:right w:val="single" w:color="000000" w:sz="6" w:space="0"/>
            </w:tcBorders>
            <w:vAlign w:val="center"/>
          </w:tcPr>
          <w:p w14:paraId="4C55AB61">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1</w:t>
            </w:r>
          </w:p>
        </w:tc>
        <w:tc>
          <w:tcPr>
            <w:tcW w:w="1879" w:type="dxa"/>
            <w:tcBorders>
              <w:top w:val="single" w:color="000000" w:sz="6" w:space="0"/>
              <w:left w:val="single" w:color="000000" w:sz="6" w:space="0"/>
              <w:bottom w:val="single" w:color="000000" w:sz="6" w:space="0"/>
              <w:right w:val="single" w:color="000000" w:sz="6" w:space="0"/>
            </w:tcBorders>
            <w:vAlign w:val="center"/>
          </w:tcPr>
          <w:p w14:paraId="74BB5BC8">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c>
          <w:tcPr>
            <w:tcW w:w="1116" w:type="dxa"/>
            <w:tcBorders>
              <w:top w:val="single" w:color="000000" w:sz="6" w:space="0"/>
              <w:left w:val="single" w:color="000000" w:sz="6" w:space="0"/>
              <w:bottom w:val="single" w:color="000000" w:sz="6" w:space="0"/>
              <w:right w:val="single" w:color="000000" w:sz="6" w:space="0"/>
            </w:tcBorders>
            <w:vAlign w:val="center"/>
          </w:tcPr>
          <w:p w14:paraId="0E57F64A">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c>
          <w:tcPr>
            <w:tcW w:w="943" w:type="dxa"/>
            <w:tcBorders>
              <w:top w:val="single" w:color="000000" w:sz="6" w:space="0"/>
              <w:left w:val="single" w:color="000000" w:sz="6" w:space="0"/>
              <w:bottom w:val="single" w:color="000000" w:sz="6" w:space="0"/>
              <w:right w:val="single" w:color="000000" w:sz="6" w:space="0"/>
            </w:tcBorders>
            <w:vAlign w:val="center"/>
          </w:tcPr>
          <w:p w14:paraId="21E2EFDA">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c>
          <w:tcPr>
            <w:tcW w:w="913" w:type="dxa"/>
            <w:tcBorders>
              <w:top w:val="single" w:color="000000" w:sz="6" w:space="0"/>
              <w:left w:val="single" w:color="000000" w:sz="6" w:space="0"/>
              <w:bottom w:val="single" w:color="000000" w:sz="6" w:space="0"/>
              <w:right w:val="single" w:color="000000" w:sz="6" w:space="0"/>
            </w:tcBorders>
            <w:vAlign w:val="center"/>
          </w:tcPr>
          <w:p w14:paraId="2FE7F7AC">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c>
          <w:tcPr>
            <w:tcW w:w="1284" w:type="dxa"/>
            <w:tcBorders>
              <w:top w:val="single" w:color="000000" w:sz="6" w:space="0"/>
              <w:left w:val="single" w:color="000000" w:sz="6" w:space="0"/>
              <w:bottom w:val="single" w:color="000000" w:sz="6" w:space="0"/>
              <w:right w:val="single" w:color="000000" w:sz="6" w:space="0"/>
            </w:tcBorders>
            <w:vAlign w:val="center"/>
          </w:tcPr>
          <w:p w14:paraId="3089C319">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c>
          <w:tcPr>
            <w:tcW w:w="740" w:type="dxa"/>
            <w:tcBorders>
              <w:top w:val="single" w:color="000000" w:sz="6" w:space="0"/>
              <w:left w:val="single" w:color="000000" w:sz="6" w:space="0"/>
              <w:bottom w:val="single" w:color="000000" w:sz="6" w:space="0"/>
              <w:right w:val="single" w:color="000000" w:sz="6" w:space="0"/>
            </w:tcBorders>
            <w:vAlign w:val="center"/>
          </w:tcPr>
          <w:p w14:paraId="17C006FC">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c>
          <w:tcPr>
            <w:tcW w:w="949" w:type="dxa"/>
            <w:tcBorders>
              <w:top w:val="single" w:color="000000" w:sz="6" w:space="0"/>
              <w:left w:val="single" w:color="000000" w:sz="6" w:space="0"/>
              <w:bottom w:val="single" w:color="000000" w:sz="6" w:space="0"/>
              <w:right w:val="single" w:color="000000" w:sz="6" w:space="0"/>
            </w:tcBorders>
            <w:vAlign w:val="center"/>
          </w:tcPr>
          <w:p w14:paraId="1CFE947C">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c>
          <w:tcPr>
            <w:tcW w:w="791" w:type="dxa"/>
            <w:tcBorders>
              <w:top w:val="single" w:color="000000" w:sz="6" w:space="0"/>
              <w:left w:val="single" w:color="000000" w:sz="6" w:space="0"/>
              <w:bottom w:val="single" w:color="000000" w:sz="6" w:space="0"/>
              <w:right w:val="single" w:color="000000" w:sz="8" w:space="0"/>
            </w:tcBorders>
            <w:vAlign w:val="center"/>
          </w:tcPr>
          <w:p w14:paraId="56A3CAE6">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c>
          <w:tcPr>
            <w:tcW w:w="791" w:type="dxa"/>
            <w:tcBorders>
              <w:top w:val="single" w:color="000000" w:sz="6" w:space="0"/>
              <w:left w:val="single" w:color="000000" w:sz="6" w:space="0"/>
              <w:bottom w:val="single" w:color="000000" w:sz="6" w:space="0"/>
              <w:right w:val="single" w:color="000000" w:sz="8" w:space="0"/>
            </w:tcBorders>
            <w:vAlign w:val="center"/>
          </w:tcPr>
          <w:p w14:paraId="2D90B80D">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r>
      <w:tr w14:paraId="16885D2C">
        <w:tblPrEx>
          <w:tblCellMar>
            <w:top w:w="0" w:type="dxa"/>
            <w:left w:w="28" w:type="dxa"/>
            <w:bottom w:w="0" w:type="dxa"/>
            <w:right w:w="28" w:type="dxa"/>
          </w:tblCellMar>
        </w:tblPrEx>
        <w:trPr>
          <w:trHeight w:val="23" w:hRule="atLeast"/>
          <w:jc w:val="center"/>
        </w:trPr>
        <w:tc>
          <w:tcPr>
            <w:tcW w:w="840" w:type="dxa"/>
            <w:tcBorders>
              <w:top w:val="single" w:color="000000" w:sz="6" w:space="0"/>
              <w:left w:val="single" w:color="000000" w:sz="8" w:space="0"/>
              <w:bottom w:val="single" w:color="000000" w:sz="6" w:space="0"/>
              <w:right w:val="single" w:color="000000" w:sz="6" w:space="0"/>
            </w:tcBorders>
            <w:vAlign w:val="center"/>
          </w:tcPr>
          <w:p w14:paraId="667D6A3A">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2</w:t>
            </w:r>
          </w:p>
        </w:tc>
        <w:tc>
          <w:tcPr>
            <w:tcW w:w="1879" w:type="dxa"/>
            <w:tcBorders>
              <w:top w:val="single" w:color="000000" w:sz="6" w:space="0"/>
              <w:left w:val="single" w:color="000000" w:sz="6" w:space="0"/>
              <w:bottom w:val="single" w:color="000000" w:sz="6" w:space="0"/>
              <w:right w:val="single" w:color="000000" w:sz="6" w:space="0"/>
            </w:tcBorders>
            <w:vAlign w:val="center"/>
          </w:tcPr>
          <w:p w14:paraId="6556965B">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c>
          <w:tcPr>
            <w:tcW w:w="1116" w:type="dxa"/>
            <w:tcBorders>
              <w:top w:val="single" w:color="000000" w:sz="6" w:space="0"/>
              <w:left w:val="single" w:color="000000" w:sz="6" w:space="0"/>
              <w:bottom w:val="single" w:color="000000" w:sz="6" w:space="0"/>
              <w:right w:val="single" w:color="000000" w:sz="6" w:space="0"/>
            </w:tcBorders>
            <w:vAlign w:val="center"/>
          </w:tcPr>
          <w:p w14:paraId="0C3B92DD">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c>
          <w:tcPr>
            <w:tcW w:w="943" w:type="dxa"/>
            <w:tcBorders>
              <w:top w:val="single" w:color="000000" w:sz="6" w:space="0"/>
              <w:left w:val="single" w:color="000000" w:sz="6" w:space="0"/>
              <w:bottom w:val="single" w:color="000000" w:sz="6" w:space="0"/>
              <w:right w:val="single" w:color="000000" w:sz="6" w:space="0"/>
            </w:tcBorders>
            <w:vAlign w:val="center"/>
          </w:tcPr>
          <w:p w14:paraId="4B7AB842">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c>
          <w:tcPr>
            <w:tcW w:w="913" w:type="dxa"/>
            <w:tcBorders>
              <w:top w:val="single" w:color="000000" w:sz="6" w:space="0"/>
              <w:left w:val="single" w:color="000000" w:sz="6" w:space="0"/>
              <w:bottom w:val="single" w:color="000000" w:sz="6" w:space="0"/>
              <w:right w:val="single" w:color="000000" w:sz="6" w:space="0"/>
            </w:tcBorders>
            <w:vAlign w:val="center"/>
          </w:tcPr>
          <w:p w14:paraId="3E06E530">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c>
          <w:tcPr>
            <w:tcW w:w="1284" w:type="dxa"/>
            <w:tcBorders>
              <w:top w:val="single" w:color="000000" w:sz="6" w:space="0"/>
              <w:left w:val="single" w:color="000000" w:sz="6" w:space="0"/>
              <w:bottom w:val="single" w:color="000000" w:sz="6" w:space="0"/>
              <w:right w:val="single" w:color="000000" w:sz="6" w:space="0"/>
            </w:tcBorders>
            <w:vAlign w:val="center"/>
          </w:tcPr>
          <w:p w14:paraId="1D7FBAD6">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c>
          <w:tcPr>
            <w:tcW w:w="740" w:type="dxa"/>
            <w:tcBorders>
              <w:top w:val="single" w:color="000000" w:sz="6" w:space="0"/>
              <w:left w:val="single" w:color="000000" w:sz="6" w:space="0"/>
              <w:bottom w:val="single" w:color="000000" w:sz="6" w:space="0"/>
              <w:right w:val="single" w:color="000000" w:sz="6" w:space="0"/>
            </w:tcBorders>
            <w:vAlign w:val="center"/>
          </w:tcPr>
          <w:p w14:paraId="7BC43B43">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c>
          <w:tcPr>
            <w:tcW w:w="949" w:type="dxa"/>
            <w:tcBorders>
              <w:top w:val="single" w:color="000000" w:sz="6" w:space="0"/>
              <w:left w:val="single" w:color="000000" w:sz="6" w:space="0"/>
              <w:bottom w:val="single" w:color="000000" w:sz="6" w:space="0"/>
              <w:right w:val="single" w:color="000000" w:sz="6" w:space="0"/>
            </w:tcBorders>
            <w:vAlign w:val="center"/>
          </w:tcPr>
          <w:p w14:paraId="4F935587">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c>
          <w:tcPr>
            <w:tcW w:w="791" w:type="dxa"/>
            <w:tcBorders>
              <w:top w:val="single" w:color="000000" w:sz="6" w:space="0"/>
              <w:left w:val="single" w:color="000000" w:sz="6" w:space="0"/>
              <w:bottom w:val="single" w:color="000000" w:sz="6" w:space="0"/>
              <w:right w:val="single" w:color="000000" w:sz="8" w:space="0"/>
            </w:tcBorders>
            <w:vAlign w:val="center"/>
          </w:tcPr>
          <w:p w14:paraId="3442CCD8">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c>
          <w:tcPr>
            <w:tcW w:w="791" w:type="dxa"/>
            <w:tcBorders>
              <w:top w:val="single" w:color="000000" w:sz="6" w:space="0"/>
              <w:left w:val="single" w:color="000000" w:sz="6" w:space="0"/>
              <w:bottom w:val="single" w:color="000000" w:sz="6" w:space="0"/>
              <w:right w:val="single" w:color="000000" w:sz="8" w:space="0"/>
            </w:tcBorders>
            <w:vAlign w:val="center"/>
          </w:tcPr>
          <w:p w14:paraId="21222D56">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r>
      <w:tr w14:paraId="5DE0FF7B">
        <w:tblPrEx>
          <w:tblCellMar>
            <w:top w:w="0" w:type="dxa"/>
            <w:left w:w="28" w:type="dxa"/>
            <w:bottom w:w="0" w:type="dxa"/>
            <w:right w:w="28" w:type="dxa"/>
          </w:tblCellMar>
        </w:tblPrEx>
        <w:trPr>
          <w:trHeight w:val="23" w:hRule="atLeast"/>
          <w:jc w:val="center"/>
        </w:trPr>
        <w:tc>
          <w:tcPr>
            <w:tcW w:w="840" w:type="dxa"/>
            <w:tcBorders>
              <w:top w:val="single" w:color="000000" w:sz="6" w:space="0"/>
              <w:left w:val="single" w:color="000000" w:sz="8" w:space="0"/>
              <w:bottom w:val="single" w:color="000000" w:sz="6" w:space="0"/>
              <w:right w:val="single" w:color="000000" w:sz="6" w:space="0"/>
            </w:tcBorders>
            <w:vAlign w:val="center"/>
          </w:tcPr>
          <w:p w14:paraId="04257FC1">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3</w:t>
            </w:r>
          </w:p>
        </w:tc>
        <w:tc>
          <w:tcPr>
            <w:tcW w:w="1879" w:type="dxa"/>
            <w:tcBorders>
              <w:top w:val="single" w:color="000000" w:sz="6" w:space="0"/>
              <w:left w:val="single" w:color="000000" w:sz="6" w:space="0"/>
              <w:bottom w:val="single" w:color="000000" w:sz="6" w:space="0"/>
              <w:right w:val="single" w:color="000000" w:sz="6" w:space="0"/>
            </w:tcBorders>
            <w:vAlign w:val="center"/>
          </w:tcPr>
          <w:p w14:paraId="033627FC">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c>
          <w:tcPr>
            <w:tcW w:w="1116" w:type="dxa"/>
            <w:tcBorders>
              <w:top w:val="single" w:color="000000" w:sz="6" w:space="0"/>
              <w:left w:val="single" w:color="000000" w:sz="6" w:space="0"/>
              <w:bottom w:val="single" w:color="000000" w:sz="6" w:space="0"/>
              <w:right w:val="single" w:color="000000" w:sz="6" w:space="0"/>
            </w:tcBorders>
            <w:vAlign w:val="center"/>
          </w:tcPr>
          <w:p w14:paraId="766AE3B3">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c>
          <w:tcPr>
            <w:tcW w:w="943" w:type="dxa"/>
            <w:tcBorders>
              <w:top w:val="single" w:color="000000" w:sz="6" w:space="0"/>
              <w:left w:val="single" w:color="000000" w:sz="6" w:space="0"/>
              <w:bottom w:val="single" w:color="000000" w:sz="6" w:space="0"/>
              <w:right w:val="single" w:color="000000" w:sz="6" w:space="0"/>
            </w:tcBorders>
            <w:vAlign w:val="center"/>
          </w:tcPr>
          <w:p w14:paraId="4E1A1224">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c>
          <w:tcPr>
            <w:tcW w:w="913" w:type="dxa"/>
            <w:tcBorders>
              <w:top w:val="single" w:color="000000" w:sz="6" w:space="0"/>
              <w:left w:val="single" w:color="000000" w:sz="6" w:space="0"/>
              <w:bottom w:val="single" w:color="000000" w:sz="6" w:space="0"/>
              <w:right w:val="single" w:color="000000" w:sz="6" w:space="0"/>
            </w:tcBorders>
            <w:vAlign w:val="center"/>
          </w:tcPr>
          <w:p w14:paraId="496AB5BE">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c>
          <w:tcPr>
            <w:tcW w:w="1284" w:type="dxa"/>
            <w:tcBorders>
              <w:top w:val="single" w:color="000000" w:sz="6" w:space="0"/>
              <w:left w:val="single" w:color="000000" w:sz="6" w:space="0"/>
              <w:bottom w:val="single" w:color="000000" w:sz="6" w:space="0"/>
              <w:right w:val="single" w:color="000000" w:sz="6" w:space="0"/>
            </w:tcBorders>
            <w:vAlign w:val="center"/>
          </w:tcPr>
          <w:p w14:paraId="59038156">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c>
          <w:tcPr>
            <w:tcW w:w="740" w:type="dxa"/>
            <w:tcBorders>
              <w:top w:val="single" w:color="000000" w:sz="6" w:space="0"/>
              <w:left w:val="single" w:color="000000" w:sz="6" w:space="0"/>
              <w:bottom w:val="single" w:color="000000" w:sz="6" w:space="0"/>
              <w:right w:val="single" w:color="000000" w:sz="6" w:space="0"/>
            </w:tcBorders>
            <w:vAlign w:val="center"/>
          </w:tcPr>
          <w:p w14:paraId="332A7126">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c>
          <w:tcPr>
            <w:tcW w:w="949" w:type="dxa"/>
            <w:tcBorders>
              <w:top w:val="single" w:color="000000" w:sz="6" w:space="0"/>
              <w:left w:val="single" w:color="000000" w:sz="6" w:space="0"/>
              <w:bottom w:val="single" w:color="000000" w:sz="6" w:space="0"/>
              <w:right w:val="single" w:color="000000" w:sz="6" w:space="0"/>
            </w:tcBorders>
            <w:vAlign w:val="center"/>
          </w:tcPr>
          <w:p w14:paraId="457888BF">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c>
          <w:tcPr>
            <w:tcW w:w="791" w:type="dxa"/>
            <w:tcBorders>
              <w:top w:val="single" w:color="000000" w:sz="6" w:space="0"/>
              <w:left w:val="single" w:color="000000" w:sz="6" w:space="0"/>
              <w:bottom w:val="single" w:color="000000" w:sz="6" w:space="0"/>
              <w:right w:val="single" w:color="000000" w:sz="8" w:space="0"/>
            </w:tcBorders>
            <w:vAlign w:val="center"/>
          </w:tcPr>
          <w:p w14:paraId="0C32728D">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c>
          <w:tcPr>
            <w:tcW w:w="791" w:type="dxa"/>
            <w:tcBorders>
              <w:top w:val="single" w:color="000000" w:sz="6" w:space="0"/>
              <w:left w:val="single" w:color="000000" w:sz="6" w:space="0"/>
              <w:bottom w:val="single" w:color="000000" w:sz="6" w:space="0"/>
              <w:right w:val="single" w:color="000000" w:sz="8" w:space="0"/>
            </w:tcBorders>
            <w:vAlign w:val="center"/>
          </w:tcPr>
          <w:p w14:paraId="72AD4224">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r>
      <w:tr w14:paraId="441604BA">
        <w:tblPrEx>
          <w:tblCellMar>
            <w:top w:w="0" w:type="dxa"/>
            <w:left w:w="28" w:type="dxa"/>
            <w:bottom w:w="0" w:type="dxa"/>
            <w:right w:w="28" w:type="dxa"/>
          </w:tblCellMar>
        </w:tblPrEx>
        <w:trPr>
          <w:trHeight w:val="23" w:hRule="atLeast"/>
          <w:jc w:val="center"/>
        </w:trPr>
        <w:tc>
          <w:tcPr>
            <w:tcW w:w="840" w:type="dxa"/>
            <w:tcBorders>
              <w:top w:val="single" w:color="000000" w:sz="6" w:space="0"/>
              <w:left w:val="single" w:color="000000" w:sz="8" w:space="0"/>
              <w:bottom w:val="single" w:color="000000" w:sz="6" w:space="0"/>
              <w:right w:val="single" w:color="000000" w:sz="6" w:space="0"/>
            </w:tcBorders>
            <w:vAlign w:val="center"/>
          </w:tcPr>
          <w:p w14:paraId="3EA14079">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4</w:t>
            </w:r>
          </w:p>
        </w:tc>
        <w:tc>
          <w:tcPr>
            <w:tcW w:w="1879" w:type="dxa"/>
            <w:tcBorders>
              <w:top w:val="single" w:color="000000" w:sz="6" w:space="0"/>
              <w:left w:val="single" w:color="000000" w:sz="6" w:space="0"/>
              <w:bottom w:val="single" w:color="000000" w:sz="6" w:space="0"/>
              <w:right w:val="single" w:color="000000" w:sz="6" w:space="0"/>
            </w:tcBorders>
            <w:vAlign w:val="center"/>
          </w:tcPr>
          <w:p w14:paraId="2C65481D">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c>
          <w:tcPr>
            <w:tcW w:w="1116" w:type="dxa"/>
            <w:tcBorders>
              <w:top w:val="single" w:color="000000" w:sz="6" w:space="0"/>
              <w:left w:val="single" w:color="000000" w:sz="6" w:space="0"/>
              <w:bottom w:val="single" w:color="000000" w:sz="6" w:space="0"/>
              <w:right w:val="single" w:color="000000" w:sz="6" w:space="0"/>
            </w:tcBorders>
            <w:vAlign w:val="center"/>
          </w:tcPr>
          <w:p w14:paraId="7EE50142">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c>
          <w:tcPr>
            <w:tcW w:w="943" w:type="dxa"/>
            <w:tcBorders>
              <w:top w:val="single" w:color="000000" w:sz="6" w:space="0"/>
              <w:left w:val="single" w:color="000000" w:sz="6" w:space="0"/>
              <w:bottom w:val="single" w:color="000000" w:sz="6" w:space="0"/>
              <w:right w:val="single" w:color="000000" w:sz="6" w:space="0"/>
            </w:tcBorders>
            <w:vAlign w:val="center"/>
          </w:tcPr>
          <w:p w14:paraId="7C365F0D">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c>
          <w:tcPr>
            <w:tcW w:w="913" w:type="dxa"/>
            <w:tcBorders>
              <w:top w:val="single" w:color="000000" w:sz="6" w:space="0"/>
              <w:left w:val="single" w:color="000000" w:sz="6" w:space="0"/>
              <w:bottom w:val="single" w:color="000000" w:sz="6" w:space="0"/>
              <w:right w:val="single" w:color="000000" w:sz="6" w:space="0"/>
            </w:tcBorders>
            <w:vAlign w:val="center"/>
          </w:tcPr>
          <w:p w14:paraId="49CED570">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c>
          <w:tcPr>
            <w:tcW w:w="1284" w:type="dxa"/>
            <w:tcBorders>
              <w:top w:val="single" w:color="000000" w:sz="6" w:space="0"/>
              <w:left w:val="single" w:color="000000" w:sz="6" w:space="0"/>
              <w:bottom w:val="single" w:color="000000" w:sz="6" w:space="0"/>
              <w:right w:val="single" w:color="000000" w:sz="6" w:space="0"/>
            </w:tcBorders>
            <w:vAlign w:val="center"/>
          </w:tcPr>
          <w:p w14:paraId="16367398">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c>
          <w:tcPr>
            <w:tcW w:w="740" w:type="dxa"/>
            <w:tcBorders>
              <w:top w:val="single" w:color="000000" w:sz="6" w:space="0"/>
              <w:left w:val="single" w:color="000000" w:sz="6" w:space="0"/>
              <w:bottom w:val="single" w:color="000000" w:sz="6" w:space="0"/>
              <w:right w:val="single" w:color="000000" w:sz="6" w:space="0"/>
            </w:tcBorders>
            <w:vAlign w:val="center"/>
          </w:tcPr>
          <w:p w14:paraId="4EAA08B2">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c>
          <w:tcPr>
            <w:tcW w:w="949" w:type="dxa"/>
            <w:tcBorders>
              <w:top w:val="single" w:color="000000" w:sz="6" w:space="0"/>
              <w:left w:val="single" w:color="000000" w:sz="6" w:space="0"/>
              <w:bottom w:val="single" w:color="000000" w:sz="6" w:space="0"/>
              <w:right w:val="single" w:color="000000" w:sz="6" w:space="0"/>
            </w:tcBorders>
            <w:vAlign w:val="center"/>
          </w:tcPr>
          <w:p w14:paraId="1874969B">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c>
          <w:tcPr>
            <w:tcW w:w="791" w:type="dxa"/>
            <w:tcBorders>
              <w:top w:val="single" w:color="000000" w:sz="6" w:space="0"/>
              <w:left w:val="single" w:color="000000" w:sz="6" w:space="0"/>
              <w:bottom w:val="single" w:color="000000" w:sz="6" w:space="0"/>
              <w:right w:val="single" w:color="000000" w:sz="8" w:space="0"/>
            </w:tcBorders>
            <w:vAlign w:val="center"/>
          </w:tcPr>
          <w:p w14:paraId="41EFF8D7">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c>
          <w:tcPr>
            <w:tcW w:w="791" w:type="dxa"/>
            <w:tcBorders>
              <w:top w:val="single" w:color="000000" w:sz="6" w:space="0"/>
              <w:left w:val="single" w:color="000000" w:sz="6" w:space="0"/>
              <w:bottom w:val="single" w:color="000000" w:sz="6" w:space="0"/>
              <w:right w:val="single" w:color="000000" w:sz="8" w:space="0"/>
            </w:tcBorders>
            <w:vAlign w:val="center"/>
          </w:tcPr>
          <w:p w14:paraId="0639C8A9">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p>
        </w:tc>
      </w:tr>
      <w:tr w14:paraId="2DC05CB5">
        <w:tblPrEx>
          <w:tblCellMar>
            <w:top w:w="0" w:type="dxa"/>
            <w:left w:w="28" w:type="dxa"/>
            <w:bottom w:w="0" w:type="dxa"/>
            <w:right w:w="28" w:type="dxa"/>
          </w:tblCellMar>
        </w:tblPrEx>
        <w:trPr>
          <w:trHeight w:val="23" w:hRule="atLeast"/>
          <w:jc w:val="center"/>
        </w:trPr>
        <w:tc>
          <w:tcPr>
            <w:tcW w:w="840" w:type="dxa"/>
            <w:tcBorders>
              <w:top w:val="single" w:color="000000" w:sz="6" w:space="0"/>
              <w:left w:val="single" w:color="000000" w:sz="8" w:space="0"/>
              <w:bottom w:val="single" w:color="000000" w:sz="6" w:space="0"/>
              <w:right w:val="single" w:color="000000" w:sz="6" w:space="0"/>
            </w:tcBorders>
            <w:vAlign w:val="center"/>
          </w:tcPr>
          <w:p w14:paraId="7248AD77">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w:t>
            </w:r>
          </w:p>
        </w:tc>
        <w:tc>
          <w:tcPr>
            <w:tcW w:w="1879" w:type="dxa"/>
            <w:tcBorders>
              <w:top w:val="single" w:color="000000" w:sz="6" w:space="0"/>
              <w:left w:val="single" w:color="000000" w:sz="6" w:space="0"/>
              <w:bottom w:val="single" w:color="000000" w:sz="6" w:space="0"/>
              <w:right w:val="single" w:color="000000" w:sz="6" w:space="0"/>
            </w:tcBorders>
            <w:vAlign w:val="center"/>
          </w:tcPr>
          <w:p w14:paraId="5E592CBA">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p>
        </w:tc>
        <w:tc>
          <w:tcPr>
            <w:tcW w:w="1116" w:type="dxa"/>
            <w:tcBorders>
              <w:top w:val="single" w:color="000000" w:sz="6" w:space="0"/>
              <w:left w:val="single" w:color="000000" w:sz="6" w:space="0"/>
              <w:bottom w:val="single" w:color="000000" w:sz="6" w:space="0"/>
              <w:right w:val="single" w:color="000000" w:sz="6" w:space="0"/>
            </w:tcBorders>
            <w:vAlign w:val="center"/>
          </w:tcPr>
          <w:p w14:paraId="3B65442E">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p>
        </w:tc>
        <w:tc>
          <w:tcPr>
            <w:tcW w:w="943" w:type="dxa"/>
            <w:tcBorders>
              <w:top w:val="single" w:color="000000" w:sz="6" w:space="0"/>
              <w:left w:val="single" w:color="000000" w:sz="6" w:space="0"/>
              <w:bottom w:val="single" w:color="000000" w:sz="6" w:space="0"/>
              <w:right w:val="single" w:color="000000" w:sz="6" w:space="0"/>
            </w:tcBorders>
            <w:vAlign w:val="center"/>
          </w:tcPr>
          <w:p w14:paraId="261FB678">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p>
        </w:tc>
        <w:tc>
          <w:tcPr>
            <w:tcW w:w="913" w:type="dxa"/>
            <w:tcBorders>
              <w:top w:val="single" w:color="000000" w:sz="6" w:space="0"/>
              <w:left w:val="single" w:color="000000" w:sz="6" w:space="0"/>
              <w:bottom w:val="single" w:color="000000" w:sz="6" w:space="0"/>
              <w:right w:val="single" w:color="000000" w:sz="6" w:space="0"/>
            </w:tcBorders>
            <w:vAlign w:val="center"/>
          </w:tcPr>
          <w:p w14:paraId="62DDFF31">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p>
        </w:tc>
        <w:tc>
          <w:tcPr>
            <w:tcW w:w="1284" w:type="dxa"/>
            <w:tcBorders>
              <w:top w:val="single" w:color="000000" w:sz="6" w:space="0"/>
              <w:left w:val="single" w:color="000000" w:sz="6" w:space="0"/>
              <w:bottom w:val="single" w:color="000000" w:sz="6" w:space="0"/>
              <w:right w:val="single" w:color="000000" w:sz="6" w:space="0"/>
            </w:tcBorders>
            <w:vAlign w:val="center"/>
          </w:tcPr>
          <w:p w14:paraId="596604B0">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p>
        </w:tc>
        <w:tc>
          <w:tcPr>
            <w:tcW w:w="740" w:type="dxa"/>
            <w:tcBorders>
              <w:top w:val="single" w:color="000000" w:sz="6" w:space="0"/>
              <w:left w:val="single" w:color="000000" w:sz="6" w:space="0"/>
              <w:bottom w:val="single" w:color="000000" w:sz="6" w:space="0"/>
              <w:right w:val="single" w:color="000000" w:sz="6" w:space="0"/>
            </w:tcBorders>
            <w:vAlign w:val="center"/>
          </w:tcPr>
          <w:p w14:paraId="1BD4F0B7">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p>
        </w:tc>
        <w:tc>
          <w:tcPr>
            <w:tcW w:w="949" w:type="dxa"/>
            <w:tcBorders>
              <w:top w:val="single" w:color="000000" w:sz="6" w:space="0"/>
              <w:left w:val="single" w:color="000000" w:sz="6" w:space="0"/>
              <w:bottom w:val="single" w:color="000000" w:sz="6" w:space="0"/>
              <w:right w:val="single" w:color="000000" w:sz="6" w:space="0"/>
            </w:tcBorders>
            <w:vAlign w:val="center"/>
          </w:tcPr>
          <w:p w14:paraId="340E08D7">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p>
        </w:tc>
        <w:tc>
          <w:tcPr>
            <w:tcW w:w="791" w:type="dxa"/>
            <w:tcBorders>
              <w:top w:val="single" w:color="000000" w:sz="6" w:space="0"/>
              <w:left w:val="single" w:color="000000" w:sz="6" w:space="0"/>
              <w:bottom w:val="single" w:color="000000" w:sz="6" w:space="0"/>
              <w:right w:val="single" w:color="000000" w:sz="8" w:space="0"/>
            </w:tcBorders>
            <w:vAlign w:val="center"/>
          </w:tcPr>
          <w:p w14:paraId="6F46DDA0">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p>
        </w:tc>
        <w:tc>
          <w:tcPr>
            <w:tcW w:w="791" w:type="dxa"/>
            <w:tcBorders>
              <w:top w:val="single" w:color="000000" w:sz="6" w:space="0"/>
              <w:left w:val="single" w:color="000000" w:sz="6" w:space="0"/>
              <w:bottom w:val="single" w:color="000000" w:sz="6" w:space="0"/>
              <w:right w:val="single" w:color="000000" w:sz="8" w:space="0"/>
            </w:tcBorders>
            <w:vAlign w:val="center"/>
          </w:tcPr>
          <w:p w14:paraId="3F0B0E8A">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p>
        </w:tc>
      </w:tr>
      <w:tr w14:paraId="32189738">
        <w:tblPrEx>
          <w:tblCellMar>
            <w:top w:w="0" w:type="dxa"/>
            <w:left w:w="28" w:type="dxa"/>
            <w:bottom w:w="0" w:type="dxa"/>
            <w:right w:w="28" w:type="dxa"/>
          </w:tblCellMar>
        </w:tblPrEx>
        <w:trPr>
          <w:trHeight w:val="23" w:hRule="atLeast"/>
          <w:jc w:val="center"/>
        </w:trPr>
        <w:tc>
          <w:tcPr>
            <w:tcW w:w="2719" w:type="dxa"/>
            <w:gridSpan w:val="2"/>
            <w:tcBorders>
              <w:top w:val="single" w:color="000000" w:sz="6" w:space="0"/>
              <w:left w:val="single" w:color="000000" w:sz="8" w:space="0"/>
              <w:bottom w:val="single" w:color="000000" w:sz="8" w:space="0"/>
              <w:right w:val="single" w:color="000000" w:sz="6" w:space="0"/>
            </w:tcBorders>
            <w:vAlign w:val="center"/>
          </w:tcPr>
          <w:p w14:paraId="2BEFE671">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投标总价</w:t>
            </w:r>
          </w:p>
        </w:tc>
        <w:tc>
          <w:tcPr>
            <w:tcW w:w="7527" w:type="dxa"/>
            <w:gridSpan w:val="8"/>
            <w:tcBorders>
              <w:top w:val="single" w:color="000000" w:sz="6" w:space="0"/>
              <w:left w:val="single" w:color="000000" w:sz="6" w:space="0"/>
              <w:bottom w:val="single" w:color="000000" w:sz="8" w:space="0"/>
              <w:right w:val="single" w:color="000000" w:sz="8" w:space="0"/>
            </w:tcBorders>
            <w:vAlign w:val="center"/>
          </w:tcPr>
          <w:p w14:paraId="3139B5DE">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大写：</w:t>
            </w:r>
          </w:p>
          <w:p w14:paraId="477CA464">
            <w:pPr>
              <w:autoSpaceDE w:val="0"/>
              <w:autoSpaceDN w:val="0"/>
              <w:spacing w:line="360" w:lineRule="auto"/>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小写：</w:t>
            </w:r>
          </w:p>
        </w:tc>
      </w:tr>
    </w:tbl>
    <w:p w14:paraId="3683DDEE">
      <w:pPr>
        <w:autoSpaceDE w:val="0"/>
        <w:autoSpaceDN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注：本表应依照“项目概况及技术参数”中的产品序号按顺序逐项填写，不得遗漏，否则，按无效投标处理。</w:t>
      </w:r>
    </w:p>
    <w:p w14:paraId="52A7D514">
      <w:pPr>
        <w:pStyle w:val="365"/>
        <w:ind w:left="420"/>
        <w:rPr>
          <w:color w:val="000000" w:themeColor="text1"/>
          <w:lang w:val="zh-CN"/>
          <w14:textFill>
            <w14:solidFill>
              <w14:schemeClr w14:val="tx1"/>
            </w14:solidFill>
          </w14:textFill>
        </w:rPr>
      </w:pPr>
    </w:p>
    <w:p w14:paraId="79CE6381">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p>
    <w:p w14:paraId="5109D3BA">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p>
    <w:p w14:paraId="6B7396FE">
      <w:pPr>
        <w:autoSpaceDE w:val="0"/>
        <w:autoSpaceDN w:val="0"/>
        <w:spacing w:line="360" w:lineRule="auto"/>
        <w:jc w:val="center"/>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供应商：             （公章）</w:t>
      </w:r>
    </w:p>
    <w:p w14:paraId="29D59B0F">
      <w:pPr>
        <w:autoSpaceDE w:val="0"/>
        <w:autoSpaceDN w:val="0"/>
        <w:spacing w:line="360" w:lineRule="auto"/>
        <w:jc w:val="center"/>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法定代表人或委托代理人：        （签字或盖章）</w:t>
      </w:r>
    </w:p>
    <w:p w14:paraId="0FA07198">
      <w:pPr>
        <w:jc w:val="center"/>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年   月   日</w:t>
      </w:r>
    </w:p>
    <w:p w14:paraId="775DC884">
      <w:pPr>
        <w:rPr>
          <w:rFonts w:ascii="宋体" w:hAnsi="宋体" w:cs="宋体"/>
          <w:color w:val="000000" w:themeColor="text1"/>
          <w14:textFill>
            <w14:solidFill>
              <w14:schemeClr w14:val="tx1"/>
            </w14:solidFill>
          </w14:textFill>
        </w:rPr>
      </w:pPr>
    </w:p>
    <w:p w14:paraId="6721B5A8">
      <w:pPr>
        <w:rPr>
          <w:rFonts w:ascii="宋体" w:hAnsi="宋体" w:cs="宋体"/>
          <w:color w:val="000000" w:themeColor="text1"/>
          <w14:textFill>
            <w14:solidFill>
              <w14:schemeClr w14:val="tx1"/>
            </w14:solidFill>
          </w14:textFill>
        </w:rPr>
      </w:pPr>
    </w:p>
    <w:p w14:paraId="7047733D">
      <w:pPr>
        <w:rPr>
          <w:rFonts w:ascii="宋体" w:hAnsi="宋体" w:cs="宋体"/>
          <w:color w:val="000000" w:themeColor="text1"/>
          <w14:textFill>
            <w14:solidFill>
              <w14:schemeClr w14:val="tx1"/>
            </w14:solidFill>
          </w14:textFill>
        </w:rPr>
      </w:pPr>
    </w:p>
    <w:p w14:paraId="2EB9346E">
      <w:pPr>
        <w:rPr>
          <w:rFonts w:ascii="宋体" w:hAnsi="宋体" w:cs="宋体"/>
          <w:color w:val="000000" w:themeColor="text1"/>
          <w14:textFill>
            <w14:solidFill>
              <w14:schemeClr w14:val="tx1"/>
            </w14:solidFill>
          </w14:textFill>
        </w:rPr>
      </w:pPr>
    </w:p>
    <w:p w14:paraId="2B4DD4F6">
      <w:pPr>
        <w:rPr>
          <w:rFonts w:ascii="宋体" w:hAnsi="宋体" w:cs="宋体"/>
          <w:color w:val="000000" w:themeColor="text1"/>
          <w14:textFill>
            <w14:solidFill>
              <w14:schemeClr w14:val="tx1"/>
            </w14:solidFill>
          </w14:textFill>
        </w:rPr>
      </w:pPr>
    </w:p>
    <w:p w14:paraId="5E87EA91">
      <w:pPr>
        <w:keepNext/>
        <w:pageBreakBefore/>
        <w:widowControl/>
        <w:spacing w:line="360" w:lineRule="auto"/>
        <w:outlineLvl w:val="1"/>
        <w:rPr>
          <w:rFonts w:ascii="宋体" w:hAnsi="宋体" w:cs="宋体"/>
          <w:color w:val="000000" w:themeColor="text1"/>
          <w:kern w:val="0"/>
          <w:sz w:val="24"/>
          <w:lang w:val="zh-CN"/>
          <w14:textFill>
            <w14:solidFill>
              <w14:schemeClr w14:val="tx1"/>
            </w14:solidFill>
          </w14:textFill>
        </w:rPr>
      </w:pPr>
      <w:bookmarkStart w:id="26" w:name="_Toc4823"/>
      <w:bookmarkStart w:id="27" w:name="_Toc105511207"/>
      <w:bookmarkStart w:id="28" w:name="_Toc18426"/>
      <w:r>
        <w:rPr>
          <w:rFonts w:hint="eastAsia" w:ascii="宋体" w:hAnsi="宋体" w:cs="宋体"/>
          <w:b/>
          <w:bCs/>
          <w:color w:val="000000" w:themeColor="text1"/>
          <w:sz w:val="24"/>
          <w14:textFill>
            <w14:solidFill>
              <w14:schemeClr w14:val="tx1"/>
            </w14:solidFill>
          </w14:textFill>
        </w:rPr>
        <w:t>附件</w:t>
      </w:r>
      <w:r>
        <w:rPr>
          <w:rFonts w:hint="eastAsia" w:ascii="宋体" w:hAnsi="宋体" w:cs="宋体"/>
          <w:b/>
          <w:bCs/>
          <w:color w:val="000000" w:themeColor="text1"/>
          <w:sz w:val="24"/>
          <w:lang w:val="en-US" w:eastAsia="zh-CN"/>
          <w14:textFill>
            <w14:solidFill>
              <w14:schemeClr w14:val="tx1"/>
            </w14:solidFill>
          </w14:textFill>
        </w:rPr>
        <w:t>2-3</w:t>
      </w:r>
      <w:r>
        <w:rPr>
          <w:rFonts w:hint="eastAsia" w:ascii="宋体" w:hAnsi="宋体" w:cs="宋体"/>
          <w:b/>
          <w:bCs/>
          <w:color w:val="000000" w:themeColor="text1"/>
          <w:sz w:val="24"/>
          <w14:textFill>
            <w14:solidFill>
              <w14:schemeClr w14:val="tx1"/>
            </w14:solidFill>
          </w14:textFill>
        </w:rPr>
        <w:t>：</w:t>
      </w:r>
      <w:bookmarkEnd w:id="26"/>
      <w:bookmarkEnd w:id="27"/>
      <w:r>
        <w:rPr>
          <w:rFonts w:hint="eastAsia" w:ascii="宋体" w:hAnsi="宋体" w:cs="宋体"/>
          <w:b/>
          <w:bCs/>
          <w:color w:val="000000" w:themeColor="text1"/>
          <w:sz w:val="24"/>
          <w14:textFill>
            <w14:solidFill>
              <w14:schemeClr w14:val="tx1"/>
            </w14:solidFill>
          </w14:textFill>
        </w:rPr>
        <w:t>技术规格响应表</w:t>
      </w:r>
      <w:bookmarkEnd w:id="28"/>
    </w:p>
    <w:p w14:paraId="79D04946">
      <w:pPr>
        <w:ind w:firstLine="3795" w:firstLineChars="1050"/>
        <w:rPr>
          <w:rFonts w:ascii="宋体" w:hAnsi="宋体"/>
          <w:b/>
          <w:color w:val="000000" w:themeColor="text1"/>
          <w:sz w:val="36"/>
          <w:szCs w:val="36"/>
          <w:lang w:val="zh-CN"/>
          <w14:textFill>
            <w14:solidFill>
              <w14:schemeClr w14:val="tx1"/>
            </w14:solidFill>
          </w14:textFill>
        </w:rPr>
      </w:pPr>
      <w:r>
        <w:rPr>
          <w:rFonts w:hint="eastAsia" w:ascii="宋体" w:hAnsi="宋体"/>
          <w:b/>
          <w:color w:val="000000" w:themeColor="text1"/>
          <w:sz w:val="36"/>
          <w:szCs w:val="36"/>
          <w:lang w:val="zh-CN"/>
          <w14:textFill>
            <w14:solidFill>
              <w14:schemeClr w14:val="tx1"/>
            </w14:solidFill>
          </w14:textFill>
        </w:rPr>
        <w:t>技术规格响应表</w:t>
      </w:r>
    </w:p>
    <w:p w14:paraId="3BFB1AF7">
      <w:pPr>
        <w:autoSpaceDE w:val="0"/>
        <w:autoSpaceDN w:val="0"/>
        <w:spacing w:line="360" w:lineRule="auto"/>
        <w:ind w:firstLine="723" w:firstLineChars="3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供应商名称</w:t>
      </w:r>
      <w:r>
        <w:rPr>
          <w:rFonts w:hint="eastAsia" w:ascii="宋体" w:hAnsi="宋体" w:cs="宋体"/>
          <w:b/>
          <w:bCs/>
          <w:color w:val="000000" w:themeColor="text1"/>
          <w:kern w:val="0"/>
          <w:sz w:val="24"/>
          <w14:textFill>
            <w14:solidFill>
              <w14:schemeClr w14:val="tx1"/>
            </w14:solidFill>
          </w14:textFill>
        </w:rPr>
        <w:t xml:space="preserve">：                                         </w:t>
      </w:r>
      <w:r>
        <w:rPr>
          <w:rFonts w:hint="eastAsia" w:ascii="宋体" w:hAnsi="宋体" w:cs="宋体"/>
          <w:b/>
          <w:bCs/>
          <w:color w:val="000000" w:themeColor="text1"/>
          <w:kern w:val="0"/>
          <w:sz w:val="24"/>
          <w:lang w:val="zh-CN"/>
          <w14:textFill>
            <w14:solidFill>
              <w14:schemeClr w14:val="tx1"/>
            </w14:solidFill>
          </w14:textFill>
        </w:rPr>
        <w:t>包号：/</w:t>
      </w:r>
    </w:p>
    <w:tbl>
      <w:tblPr>
        <w:tblStyle w:val="44"/>
        <w:tblW w:w="9677" w:type="dxa"/>
        <w:jc w:val="center"/>
        <w:tblLayout w:type="fixed"/>
        <w:tblCellMar>
          <w:top w:w="0" w:type="dxa"/>
          <w:left w:w="28" w:type="dxa"/>
          <w:bottom w:w="0" w:type="dxa"/>
          <w:right w:w="28" w:type="dxa"/>
        </w:tblCellMar>
      </w:tblPr>
      <w:tblGrid>
        <w:gridCol w:w="691"/>
        <w:gridCol w:w="1385"/>
        <w:gridCol w:w="2671"/>
        <w:gridCol w:w="1400"/>
        <w:gridCol w:w="2772"/>
        <w:gridCol w:w="758"/>
      </w:tblGrid>
      <w:tr w14:paraId="3825F6F6">
        <w:tblPrEx>
          <w:tblCellMar>
            <w:top w:w="0" w:type="dxa"/>
            <w:left w:w="28" w:type="dxa"/>
            <w:bottom w:w="0" w:type="dxa"/>
            <w:right w:w="28" w:type="dxa"/>
          </w:tblCellMar>
        </w:tblPrEx>
        <w:trPr>
          <w:trHeight w:val="471" w:hRule="atLeast"/>
          <w:jc w:val="center"/>
        </w:trPr>
        <w:tc>
          <w:tcPr>
            <w:tcW w:w="691" w:type="dxa"/>
            <w:tcBorders>
              <w:top w:val="single" w:color="000000" w:sz="6" w:space="0"/>
              <w:left w:val="single" w:color="000000" w:sz="6" w:space="0"/>
              <w:bottom w:val="single" w:color="000000" w:sz="6" w:space="0"/>
              <w:right w:val="single" w:color="000000" w:sz="6" w:space="0"/>
            </w:tcBorders>
            <w:vAlign w:val="center"/>
          </w:tcPr>
          <w:p w14:paraId="23A455D2">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p>
        </w:tc>
        <w:tc>
          <w:tcPr>
            <w:tcW w:w="4056" w:type="dxa"/>
            <w:gridSpan w:val="2"/>
            <w:tcBorders>
              <w:top w:val="single" w:color="000000" w:sz="6" w:space="0"/>
              <w:left w:val="single" w:color="000000" w:sz="6" w:space="0"/>
              <w:bottom w:val="single" w:color="000000" w:sz="6" w:space="0"/>
              <w:right w:val="single" w:color="000000" w:sz="6" w:space="0"/>
            </w:tcBorders>
            <w:vAlign w:val="center"/>
          </w:tcPr>
          <w:p w14:paraId="03A88B55">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采购需求技术参数、指标</w:t>
            </w:r>
          </w:p>
        </w:tc>
        <w:tc>
          <w:tcPr>
            <w:tcW w:w="4172" w:type="dxa"/>
            <w:gridSpan w:val="2"/>
            <w:tcBorders>
              <w:top w:val="single" w:color="000000" w:sz="6" w:space="0"/>
              <w:left w:val="single" w:color="000000" w:sz="6" w:space="0"/>
              <w:bottom w:val="single" w:color="000000" w:sz="6" w:space="0"/>
              <w:right w:val="single" w:color="000000" w:sz="6" w:space="0"/>
            </w:tcBorders>
            <w:vAlign w:val="center"/>
          </w:tcPr>
          <w:p w14:paraId="10242418">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投标产品技术参数、指标</w:t>
            </w:r>
          </w:p>
        </w:tc>
        <w:tc>
          <w:tcPr>
            <w:tcW w:w="758" w:type="dxa"/>
            <w:tcBorders>
              <w:top w:val="single" w:color="000000" w:sz="6" w:space="0"/>
              <w:left w:val="single" w:color="000000" w:sz="6" w:space="0"/>
              <w:bottom w:val="single" w:color="000000" w:sz="6" w:space="0"/>
              <w:right w:val="single" w:color="000000" w:sz="6" w:space="0"/>
            </w:tcBorders>
            <w:vAlign w:val="center"/>
          </w:tcPr>
          <w:p w14:paraId="1614F554">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偏离</w:t>
            </w:r>
          </w:p>
        </w:tc>
      </w:tr>
      <w:tr w14:paraId="58197479">
        <w:tblPrEx>
          <w:tblCellMar>
            <w:top w:w="0" w:type="dxa"/>
            <w:left w:w="28" w:type="dxa"/>
            <w:bottom w:w="0" w:type="dxa"/>
            <w:right w:w="28" w:type="dxa"/>
          </w:tblCellMar>
        </w:tblPrEx>
        <w:trPr>
          <w:trHeight w:val="471" w:hRule="atLeast"/>
          <w:jc w:val="center"/>
        </w:trPr>
        <w:tc>
          <w:tcPr>
            <w:tcW w:w="691" w:type="dxa"/>
            <w:tcBorders>
              <w:top w:val="single" w:color="000000" w:sz="6" w:space="0"/>
              <w:left w:val="single" w:color="000000" w:sz="6" w:space="0"/>
              <w:bottom w:val="single" w:color="000000" w:sz="6" w:space="0"/>
              <w:right w:val="single" w:color="000000" w:sz="6" w:space="0"/>
            </w:tcBorders>
            <w:vAlign w:val="center"/>
          </w:tcPr>
          <w:p w14:paraId="585D17D0">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序号</w:t>
            </w:r>
          </w:p>
        </w:tc>
        <w:tc>
          <w:tcPr>
            <w:tcW w:w="1385" w:type="dxa"/>
            <w:tcBorders>
              <w:top w:val="single" w:color="000000" w:sz="6" w:space="0"/>
              <w:left w:val="single" w:color="000000" w:sz="6" w:space="0"/>
              <w:bottom w:val="single" w:color="000000" w:sz="6" w:space="0"/>
              <w:right w:val="single" w:color="000000" w:sz="6" w:space="0"/>
            </w:tcBorders>
            <w:vAlign w:val="center"/>
          </w:tcPr>
          <w:p w14:paraId="7E837771">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名称</w:t>
            </w:r>
          </w:p>
        </w:tc>
        <w:tc>
          <w:tcPr>
            <w:tcW w:w="2671" w:type="dxa"/>
            <w:tcBorders>
              <w:top w:val="single" w:color="000000" w:sz="6" w:space="0"/>
              <w:left w:val="single" w:color="000000" w:sz="6" w:space="0"/>
              <w:bottom w:val="single" w:color="000000" w:sz="6" w:space="0"/>
              <w:right w:val="single" w:color="000000" w:sz="6" w:space="0"/>
            </w:tcBorders>
            <w:vAlign w:val="center"/>
          </w:tcPr>
          <w:p w14:paraId="592A95FE">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技术参数及配置</w:t>
            </w:r>
          </w:p>
        </w:tc>
        <w:tc>
          <w:tcPr>
            <w:tcW w:w="1400" w:type="dxa"/>
            <w:tcBorders>
              <w:top w:val="single" w:color="000000" w:sz="6" w:space="0"/>
              <w:left w:val="single" w:color="000000" w:sz="6" w:space="0"/>
              <w:bottom w:val="single" w:color="000000" w:sz="6" w:space="0"/>
              <w:right w:val="single" w:color="000000" w:sz="6" w:space="0"/>
            </w:tcBorders>
            <w:vAlign w:val="center"/>
          </w:tcPr>
          <w:p w14:paraId="068E7955">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名称</w:t>
            </w:r>
          </w:p>
        </w:tc>
        <w:tc>
          <w:tcPr>
            <w:tcW w:w="2772" w:type="dxa"/>
            <w:tcBorders>
              <w:top w:val="single" w:color="000000" w:sz="6" w:space="0"/>
              <w:left w:val="single" w:color="000000" w:sz="6" w:space="0"/>
              <w:bottom w:val="single" w:color="000000" w:sz="6" w:space="0"/>
              <w:right w:val="single" w:color="000000" w:sz="6" w:space="0"/>
            </w:tcBorders>
            <w:vAlign w:val="center"/>
          </w:tcPr>
          <w:p w14:paraId="2EE8EA83">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技术参数及配置</w:t>
            </w:r>
          </w:p>
        </w:tc>
        <w:tc>
          <w:tcPr>
            <w:tcW w:w="758" w:type="dxa"/>
            <w:tcBorders>
              <w:top w:val="single" w:color="000000" w:sz="6" w:space="0"/>
              <w:left w:val="single" w:color="000000" w:sz="6" w:space="0"/>
              <w:bottom w:val="single" w:color="000000" w:sz="6" w:space="0"/>
              <w:right w:val="single" w:color="000000" w:sz="6" w:space="0"/>
            </w:tcBorders>
            <w:vAlign w:val="center"/>
          </w:tcPr>
          <w:p w14:paraId="2E91A8D9">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p>
        </w:tc>
      </w:tr>
      <w:tr w14:paraId="7BE69785">
        <w:tblPrEx>
          <w:tblCellMar>
            <w:top w:w="0" w:type="dxa"/>
            <w:left w:w="28" w:type="dxa"/>
            <w:bottom w:w="0" w:type="dxa"/>
            <w:right w:w="28" w:type="dxa"/>
          </w:tblCellMar>
        </w:tblPrEx>
        <w:trPr>
          <w:trHeight w:val="471" w:hRule="atLeast"/>
          <w:jc w:val="center"/>
        </w:trPr>
        <w:tc>
          <w:tcPr>
            <w:tcW w:w="691" w:type="dxa"/>
            <w:tcBorders>
              <w:top w:val="single" w:color="000000" w:sz="6" w:space="0"/>
              <w:left w:val="single" w:color="000000" w:sz="6" w:space="0"/>
              <w:bottom w:val="single" w:color="000000" w:sz="6" w:space="0"/>
              <w:right w:val="single" w:color="000000" w:sz="6" w:space="0"/>
            </w:tcBorders>
            <w:vAlign w:val="center"/>
          </w:tcPr>
          <w:p w14:paraId="52BD5D08">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1</w:t>
            </w:r>
          </w:p>
        </w:tc>
        <w:tc>
          <w:tcPr>
            <w:tcW w:w="1385" w:type="dxa"/>
            <w:tcBorders>
              <w:top w:val="single" w:color="000000" w:sz="6" w:space="0"/>
              <w:left w:val="single" w:color="000000" w:sz="6" w:space="0"/>
              <w:bottom w:val="single" w:color="000000" w:sz="6" w:space="0"/>
              <w:right w:val="single" w:color="000000" w:sz="6" w:space="0"/>
            </w:tcBorders>
            <w:vAlign w:val="center"/>
          </w:tcPr>
          <w:p w14:paraId="370A3BD9">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p>
        </w:tc>
        <w:tc>
          <w:tcPr>
            <w:tcW w:w="2671" w:type="dxa"/>
            <w:tcBorders>
              <w:top w:val="single" w:color="000000" w:sz="6" w:space="0"/>
              <w:left w:val="single" w:color="000000" w:sz="6" w:space="0"/>
              <w:bottom w:val="single" w:color="000000" w:sz="6" w:space="0"/>
              <w:right w:val="single" w:color="000000" w:sz="6" w:space="0"/>
            </w:tcBorders>
            <w:vAlign w:val="center"/>
          </w:tcPr>
          <w:p w14:paraId="5BB77982">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p>
        </w:tc>
        <w:tc>
          <w:tcPr>
            <w:tcW w:w="1400" w:type="dxa"/>
            <w:tcBorders>
              <w:top w:val="single" w:color="000000" w:sz="6" w:space="0"/>
              <w:left w:val="single" w:color="000000" w:sz="6" w:space="0"/>
              <w:bottom w:val="single" w:color="000000" w:sz="6" w:space="0"/>
              <w:right w:val="single" w:color="000000" w:sz="6" w:space="0"/>
            </w:tcBorders>
            <w:vAlign w:val="center"/>
          </w:tcPr>
          <w:p w14:paraId="549B43DF">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p>
        </w:tc>
        <w:tc>
          <w:tcPr>
            <w:tcW w:w="2772" w:type="dxa"/>
            <w:tcBorders>
              <w:top w:val="single" w:color="000000" w:sz="6" w:space="0"/>
              <w:left w:val="single" w:color="000000" w:sz="6" w:space="0"/>
              <w:bottom w:val="single" w:color="000000" w:sz="6" w:space="0"/>
              <w:right w:val="single" w:color="000000" w:sz="6" w:space="0"/>
            </w:tcBorders>
            <w:vAlign w:val="center"/>
          </w:tcPr>
          <w:p w14:paraId="0C892F45">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p>
        </w:tc>
        <w:tc>
          <w:tcPr>
            <w:tcW w:w="758" w:type="dxa"/>
            <w:tcBorders>
              <w:top w:val="single" w:color="000000" w:sz="6" w:space="0"/>
              <w:left w:val="single" w:color="000000" w:sz="6" w:space="0"/>
              <w:bottom w:val="single" w:color="000000" w:sz="6" w:space="0"/>
              <w:right w:val="single" w:color="000000" w:sz="6" w:space="0"/>
            </w:tcBorders>
            <w:vAlign w:val="center"/>
          </w:tcPr>
          <w:p w14:paraId="34BE4211">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p>
        </w:tc>
      </w:tr>
      <w:tr w14:paraId="3A38772A">
        <w:tblPrEx>
          <w:tblCellMar>
            <w:top w:w="0" w:type="dxa"/>
            <w:left w:w="28" w:type="dxa"/>
            <w:bottom w:w="0" w:type="dxa"/>
            <w:right w:w="28" w:type="dxa"/>
          </w:tblCellMar>
        </w:tblPrEx>
        <w:trPr>
          <w:trHeight w:val="471" w:hRule="atLeast"/>
          <w:jc w:val="center"/>
        </w:trPr>
        <w:tc>
          <w:tcPr>
            <w:tcW w:w="691" w:type="dxa"/>
            <w:tcBorders>
              <w:top w:val="single" w:color="000000" w:sz="6" w:space="0"/>
              <w:left w:val="single" w:color="000000" w:sz="6" w:space="0"/>
              <w:bottom w:val="single" w:color="000000" w:sz="6" w:space="0"/>
              <w:right w:val="single" w:color="000000" w:sz="6" w:space="0"/>
            </w:tcBorders>
            <w:vAlign w:val="center"/>
          </w:tcPr>
          <w:p w14:paraId="5F8CCA73">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2</w:t>
            </w:r>
          </w:p>
        </w:tc>
        <w:tc>
          <w:tcPr>
            <w:tcW w:w="1385" w:type="dxa"/>
            <w:tcBorders>
              <w:top w:val="single" w:color="000000" w:sz="6" w:space="0"/>
              <w:left w:val="single" w:color="000000" w:sz="6" w:space="0"/>
              <w:bottom w:val="single" w:color="000000" w:sz="6" w:space="0"/>
              <w:right w:val="single" w:color="000000" w:sz="6" w:space="0"/>
            </w:tcBorders>
            <w:vAlign w:val="center"/>
          </w:tcPr>
          <w:p w14:paraId="5700F681">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p>
        </w:tc>
        <w:tc>
          <w:tcPr>
            <w:tcW w:w="2671" w:type="dxa"/>
            <w:tcBorders>
              <w:top w:val="single" w:color="000000" w:sz="6" w:space="0"/>
              <w:left w:val="single" w:color="000000" w:sz="6" w:space="0"/>
              <w:bottom w:val="single" w:color="000000" w:sz="6" w:space="0"/>
              <w:right w:val="single" w:color="000000" w:sz="6" w:space="0"/>
            </w:tcBorders>
            <w:vAlign w:val="center"/>
          </w:tcPr>
          <w:p w14:paraId="10558B6F">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p>
        </w:tc>
        <w:tc>
          <w:tcPr>
            <w:tcW w:w="1400" w:type="dxa"/>
            <w:tcBorders>
              <w:top w:val="single" w:color="000000" w:sz="6" w:space="0"/>
              <w:left w:val="single" w:color="000000" w:sz="6" w:space="0"/>
              <w:bottom w:val="single" w:color="000000" w:sz="6" w:space="0"/>
              <w:right w:val="single" w:color="000000" w:sz="6" w:space="0"/>
            </w:tcBorders>
            <w:vAlign w:val="center"/>
          </w:tcPr>
          <w:p w14:paraId="3F89D604">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p>
        </w:tc>
        <w:tc>
          <w:tcPr>
            <w:tcW w:w="2772" w:type="dxa"/>
            <w:tcBorders>
              <w:top w:val="single" w:color="000000" w:sz="6" w:space="0"/>
              <w:left w:val="single" w:color="000000" w:sz="6" w:space="0"/>
              <w:bottom w:val="single" w:color="000000" w:sz="6" w:space="0"/>
              <w:right w:val="single" w:color="000000" w:sz="6" w:space="0"/>
            </w:tcBorders>
            <w:vAlign w:val="center"/>
          </w:tcPr>
          <w:p w14:paraId="047C226B">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p>
        </w:tc>
        <w:tc>
          <w:tcPr>
            <w:tcW w:w="758" w:type="dxa"/>
            <w:tcBorders>
              <w:top w:val="single" w:color="000000" w:sz="6" w:space="0"/>
              <w:left w:val="single" w:color="000000" w:sz="6" w:space="0"/>
              <w:bottom w:val="single" w:color="000000" w:sz="6" w:space="0"/>
              <w:right w:val="single" w:color="000000" w:sz="6" w:space="0"/>
            </w:tcBorders>
            <w:vAlign w:val="center"/>
          </w:tcPr>
          <w:p w14:paraId="755C6DAA">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p>
        </w:tc>
      </w:tr>
      <w:tr w14:paraId="5E008A81">
        <w:tblPrEx>
          <w:tblCellMar>
            <w:top w:w="0" w:type="dxa"/>
            <w:left w:w="28" w:type="dxa"/>
            <w:bottom w:w="0" w:type="dxa"/>
            <w:right w:w="28" w:type="dxa"/>
          </w:tblCellMar>
        </w:tblPrEx>
        <w:trPr>
          <w:trHeight w:val="500" w:hRule="atLeast"/>
          <w:jc w:val="center"/>
        </w:trPr>
        <w:tc>
          <w:tcPr>
            <w:tcW w:w="691" w:type="dxa"/>
            <w:tcBorders>
              <w:top w:val="single" w:color="000000" w:sz="6" w:space="0"/>
              <w:left w:val="single" w:color="000000" w:sz="6" w:space="0"/>
              <w:bottom w:val="single" w:color="000000" w:sz="6" w:space="0"/>
              <w:right w:val="single" w:color="000000" w:sz="6" w:space="0"/>
            </w:tcBorders>
            <w:vAlign w:val="center"/>
          </w:tcPr>
          <w:p w14:paraId="2986BF30">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w:t>
            </w:r>
          </w:p>
        </w:tc>
        <w:tc>
          <w:tcPr>
            <w:tcW w:w="1385" w:type="dxa"/>
            <w:tcBorders>
              <w:top w:val="single" w:color="000000" w:sz="6" w:space="0"/>
              <w:left w:val="single" w:color="000000" w:sz="6" w:space="0"/>
              <w:bottom w:val="single" w:color="000000" w:sz="6" w:space="0"/>
              <w:right w:val="single" w:color="000000" w:sz="6" w:space="0"/>
            </w:tcBorders>
            <w:vAlign w:val="center"/>
          </w:tcPr>
          <w:p w14:paraId="6FCC980C">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p>
        </w:tc>
        <w:tc>
          <w:tcPr>
            <w:tcW w:w="2671" w:type="dxa"/>
            <w:tcBorders>
              <w:top w:val="single" w:color="000000" w:sz="6" w:space="0"/>
              <w:left w:val="single" w:color="000000" w:sz="6" w:space="0"/>
              <w:bottom w:val="single" w:color="000000" w:sz="6" w:space="0"/>
              <w:right w:val="single" w:color="000000" w:sz="6" w:space="0"/>
            </w:tcBorders>
            <w:vAlign w:val="center"/>
          </w:tcPr>
          <w:p w14:paraId="42FBC498">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p>
        </w:tc>
        <w:tc>
          <w:tcPr>
            <w:tcW w:w="1400" w:type="dxa"/>
            <w:tcBorders>
              <w:top w:val="single" w:color="000000" w:sz="6" w:space="0"/>
              <w:left w:val="single" w:color="000000" w:sz="6" w:space="0"/>
              <w:bottom w:val="single" w:color="000000" w:sz="6" w:space="0"/>
              <w:right w:val="single" w:color="000000" w:sz="6" w:space="0"/>
            </w:tcBorders>
            <w:vAlign w:val="center"/>
          </w:tcPr>
          <w:p w14:paraId="1C529E3D">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p>
        </w:tc>
        <w:tc>
          <w:tcPr>
            <w:tcW w:w="2772" w:type="dxa"/>
            <w:tcBorders>
              <w:top w:val="single" w:color="000000" w:sz="6" w:space="0"/>
              <w:left w:val="single" w:color="000000" w:sz="6" w:space="0"/>
              <w:bottom w:val="single" w:color="000000" w:sz="6" w:space="0"/>
              <w:right w:val="single" w:color="000000" w:sz="6" w:space="0"/>
            </w:tcBorders>
            <w:vAlign w:val="center"/>
          </w:tcPr>
          <w:p w14:paraId="6C7447EC">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p>
        </w:tc>
        <w:tc>
          <w:tcPr>
            <w:tcW w:w="758" w:type="dxa"/>
            <w:tcBorders>
              <w:top w:val="single" w:color="000000" w:sz="6" w:space="0"/>
              <w:left w:val="single" w:color="000000" w:sz="6" w:space="0"/>
              <w:bottom w:val="single" w:color="000000" w:sz="6" w:space="0"/>
              <w:right w:val="single" w:color="000000" w:sz="6" w:space="0"/>
            </w:tcBorders>
            <w:vAlign w:val="center"/>
          </w:tcPr>
          <w:p w14:paraId="23C5C333">
            <w:pPr>
              <w:autoSpaceDE w:val="0"/>
              <w:autoSpaceDN w:val="0"/>
              <w:spacing w:line="360" w:lineRule="auto"/>
              <w:jc w:val="center"/>
              <w:rPr>
                <w:rFonts w:ascii="宋体" w:hAnsi="宋体" w:cs="宋体"/>
                <w:color w:val="000000" w:themeColor="text1"/>
                <w:kern w:val="0"/>
                <w:szCs w:val="21"/>
                <w:lang w:val="zh-CN"/>
                <w14:textFill>
                  <w14:solidFill>
                    <w14:schemeClr w14:val="tx1"/>
                  </w14:solidFill>
                </w14:textFill>
              </w:rPr>
            </w:pPr>
          </w:p>
        </w:tc>
      </w:tr>
    </w:tbl>
    <w:p w14:paraId="4B401D7E">
      <w:pPr>
        <w:autoSpaceDE w:val="0"/>
        <w:autoSpaceDN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注：1.本表应按照“项目概况及技术参数”中产品序号的指标逐项填写，不得遗漏，否则，按无效投标处理。</w:t>
      </w:r>
    </w:p>
    <w:p w14:paraId="1DAE116F">
      <w:pPr>
        <w:numPr>
          <w:ilvl w:val="0"/>
          <w:numId w:val="16"/>
        </w:numPr>
        <w:autoSpaceDE w:val="0"/>
        <w:autoSpaceDN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应按提供产品实际情况填写，“产品技术参数、指标”需与响应文件中提供的产品检测报告、彩页等证明材料的实质性响应情况相一致。若在评审环节发现该项与磋商响应文件中提供的产品检测报告、彩页（或厂家公开发布的资料参数）等证明材料的实质性响应情况不一致，仅作为扣分依据，不作为否决投标条款。若直接复制磋商文件“采购需求技术参 数、指标”内容的，则视为投标无效。</w:t>
      </w:r>
    </w:p>
    <w:p w14:paraId="2F66DBE4">
      <w:pPr>
        <w:numPr>
          <w:ilvl w:val="0"/>
          <w:numId w:val="16"/>
        </w:numPr>
        <w:autoSpaceDE w:val="0"/>
        <w:autoSpaceDN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填写此表时以招标项目参数要求为基本投标要求，满足招标项目参数要求的指标需列出“</w:t>
      </w:r>
      <w:r>
        <w:rPr>
          <w:rFonts w:hint="eastAsia" w:ascii="宋体" w:hAnsi="宋体" w:cs="宋体"/>
          <w:color w:val="000000" w:themeColor="text1"/>
          <w:kern w:val="0"/>
          <w:sz w:val="24"/>
          <w14:textFill>
            <w14:solidFill>
              <w14:schemeClr w14:val="tx1"/>
            </w14:solidFill>
          </w14:textFill>
        </w:rPr>
        <w:t>0</w:t>
      </w:r>
      <w:r>
        <w:rPr>
          <w:rFonts w:hint="eastAsia" w:ascii="宋体" w:hAnsi="宋体" w:cs="宋体"/>
          <w:color w:val="000000" w:themeColor="text1"/>
          <w:kern w:val="0"/>
          <w:sz w:val="24"/>
          <w:lang w:val="zh-CN"/>
          <w14:textFill>
            <w14:solidFill>
              <w14:schemeClr w14:val="tx1"/>
            </w14:solidFill>
          </w14:textFill>
        </w:rPr>
        <w:t>”；超出、不满足招标项目参数要求的指标需列出“+”、“-”偏差，并做出详细说明；如果只注明“+”、“-”或未填写，将视为该项指标不响应。</w:t>
      </w:r>
    </w:p>
    <w:p w14:paraId="362063D8">
      <w:pPr>
        <w:numPr>
          <w:ilvl w:val="0"/>
          <w:numId w:val="16"/>
        </w:numPr>
        <w:autoSpaceDE w:val="0"/>
        <w:autoSpaceDN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供应商响应采购需求应具体、明确，含糊不清、不确切或伪造、编造证明材料的，按照实质性不响应处理。对伪造、编造证明材料的，将报告本级财政部门。</w:t>
      </w:r>
    </w:p>
    <w:p w14:paraId="349827C1">
      <w:pPr>
        <w:autoSpaceDE w:val="0"/>
        <w:autoSpaceDN w:val="0"/>
        <w:spacing w:line="360" w:lineRule="auto"/>
        <w:ind w:firstLine="480"/>
        <w:rPr>
          <w:rFonts w:ascii="宋体" w:hAnsi="宋体" w:cs="宋体"/>
          <w:color w:val="000000" w:themeColor="text1"/>
          <w:kern w:val="0"/>
          <w:szCs w:val="21"/>
          <w:lang w:val="zh-CN"/>
          <w14:textFill>
            <w14:solidFill>
              <w14:schemeClr w14:val="tx1"/>
            </w14:solidFill>
          </w14:textFill>
        </w:rPr>
      </w:pPr>
    </w:p>
    <w:p w14:paraId="08401677">
      <w:pPr>
        <w:autoSpaceDE w:val="0"/>
        <w:autoSpaceDN w:val="0"/>
        <w:spacing w:line="360" w:lineRule="auto"/>
        <w:ind w:firstLine="480"/>
        <w:rPr>
          <w:rFonts w:ascii="宋体" w:hAnsi="宋体" w:cs="宋体"/>
          <w:color w:val="000000" w:themeColor="text1"/>
          <w:kern w:val="0"/>
          <w:sz w:val="24"/>
          <w:lang w:val="zh-CN"/>
          <w14:textFill>
            <w14:solidFill>
              <w14:schemeClr w14:val="tx1"/>
            </w14:solidFill>
          </w14:textFill>
        </w:rPr>
      </w:pPr>
    </w:p>
    <w:p w14:paraId="62A1C864">
      <w:pPr>
        <w:autoSpaceDE w:val="0"/>
        <w:autoSpaceDN w:val="0"/>
        <w:spacing w:line="360" w:lineRule="auto"/>
        <w:jc w:val="center"/>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 xml:space="preserve">                      供应商：           （公章）</w:t>
      </w:r>
    </w:p>
    <w:p w14:paraId="7B2239DD">
      <w:pPr>
        <w:autoSpaceDE w:val="0"/>
        <w:autoSpaceDN w:val="0"/>
        <w:spacing w:line="360" w:lineRule="auto"/>
        <w:jc w:val="center"/>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 xml:space="preserve">              法定代表人或委托代理人：  （签字或盖章）</w:t>
      </w:r>
    </w:p>
    <w:p w14:paraId="5C3E4628">
      <w:pPr>
        <w:autoSpaceDE w:val="0"/>
        <w:autoSpaceDN w:val="0"/>
        <w:spacing w:line="360" w:lineRule="auto"/>
        <w:ind w:firstLine="5662" w:firstLineChars="235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年  月  日</w:t>
      </w:r>
    </w:p>
    <w:p w14:paraId="49DB41C9">
      <w:pPr>
        <w:autoSpaceDE w:val="0"/>
        <w:autoSpaceDN w:val="0"/>
        <w:adjustRightInd w:val="0"/>
        <w:spacing w:line="400" w:lineRule="exact"/>
        <w:jc w:val="left"/>
        <w:rPr>
          <w:rFonts w:ascii="宋体" w:hAnsi="宋体" w:cs="宋体"/>
          <w:b/>
          <w:bCs/>
          <w:color w:val="000000" w:themeColor="text1"/>
          <w:kern w:val="0"/>
          <w:szCs w:val="21"/>
          <w14:textFill>
            <w14:solidFill>
              <w14:schemeClr w14:val="tx1"/>
            </w14:solidFill>
          </w14:textFill>
        </w:rPr>
      </w:pPr>
    </w:p>
    <w:p w14:paraId="01A92A55">
      <w:pPr>
        <w:keepNext/>
        <w:pageBreakBefore/>
        <w:widowControl/>
        <w:spacing w:line="360" w:lineRule="auto"/>
        <w:outlineLvl w:val="1"/>
        <w:rPr>
          <w:rFonts w:ascii="宋体" w:hAnsi="宋体" w:cs="宋体"/>
          <w:b/>
          <w:bCs/>
          <w:color w:val="000000" w:themeColor="text1"/>
          <w:sz w:val="24"/>
          <w14:textFill>
            <w14:solidFill>
              <w14:schemeClr w14:val="tx1"/>
            </w14:solidFill>
          </w14:textFill>
        </w:rPr>
      </w:pPr>
      <w:bookmarkStart w:id="29" w:name="_Toc24898"/>
      <w:bookmarkStart w:id="30" w:name="_Toc12730"/>
      <w:bookmarkStart w:id="31" w:name="_Toc22088"/>
      <w:bookmarkStart w:id="32" w:name="_Toc17461"/>
      <w:bookmarkStart w:id="33" w:name="_Toc105511208"/>
      <w:r>
        <w:rPr>
          <w:rFonts w:hint="eastAsia" w:ascii="宋体" w:hAnsi="宋体" w:cs="宋体"/>
          <w:b/>
          <w:bCs/>
          <w:color w:val="000000" w:themeColor="text1"/>
          <w:sz w:val="24"/>
          <w14:textFill>
            <w14:solidFill>
              <w14:schemeClr w14:val="tx1"/>
            </w14:solidFill>
          </w14:textFill>
        </w:rPr>
        <w:t>附件</w:t>
      </w:r>
      <w:r>
        <w:rPr>
          <w:rFonts w:hint="eastAsia" w:ascii="宋体" w:hAnsi="宋体" w:cs="宋体"/>
          <w:b/>
          <w:bCs/>
          <w:color w:val="000000" w:themeColor="text1"/>
          <w:sz w:val="24"/>
          <w:lang w:val="en-US" w:eastAsia="zh-CN"/>
          <w14:textFill>
            <w14:solidFill>
              <w14:schemeClr w14:val="tx1"/>
            </w14:solidFill>
          </w14:textFill>
        </w:rPr>
        <w:t>2-4</w:t>
      </w:r>
      <w:r>
        <w:rPr>
          <w:rFonts w:hint="eastAsia" w:ascii="宋体" w:hAnsi="宋体" w:cs="宋体"/>
          <w:b/>
          <w:bCs/>
          <w:color w:val="000000" w:themeColor="text1"/>
          <w:sz w:val="24"/>
          <w14:textFill>
            <w14:solidFill>
              <w14:schemeClr w14:val="tx1"/>
            </w14:solidFill>
          </w14:textFill>
        </w:rPr>
        <w:t>：投标产品相关资料</w:t>
      </w:r>
      <w:bookmarkEnd w:id="29"/>
      <w:bookmarkEnd w:id="30"/>
      <w:bookmarkEnd w:id="31"/>
    </w:p>
    <w:p w14:paraId="36D51A11">
      <w:pPr>
        <w:autoSpaceDE w:val="0"/>
        <w:autoSpaceDN w:val="0"/>
        <w:spacing w:line="360" w:lineRule="auto"/>
        <w:rPr>
          <w:rFonts w:ascii="宋体" w:hAnsi="宋体" w:cs="宋体"/>
          <w:color w:val="000000" w:themeColor="text1"/>
          <w:kern w:val="0"/>
          <w:sz w:val="28"/>
          <w:szCs w:val="28"/>
          <w:lang w:val="zh-CN"/>
          <w14:textFill>
            <w14:solidFill>
              <w14:schemeClr w14:val="tx1"/>
            </w14:solidFill>
          </w14:textFill>
        </w:rPr>
      </w:pPr>
    </w:p>
    <w:p w14:paraId="5767F1F0">
      <w:pPr>
        <w:ind w:firstLine="3795" w:firstLineChars="1050"/>
        <w:rPr>
          <w:rFonts w:ascii="宋体" w:hAnsi="宋体"/>
          <w:b/>
          <w:color w:val="000000" w:themeColor="text1"/>
          <w:sz w:val="36"/>
          <w:szCs w:val="36"/>
          <w:lang w:val="zh-CN"/>
          <w14:textFill>
            <w14:solidFill>
              <w14:schemeClr w14:val="tx1"/>
            </w14:solidFill>
          </w14:textFill>
        </w:rPr>
      </w:pPr>
      <w:r>
        <w:rPr>
          <w:rFonts w:hint="eastAsia" w:ascii="宋体" w:hAnsi="宋体"/>
          <w:b/>
          <w:color w:val="000000" w:themeColor="text1"/>
          <w:sz w:val="36"/>
          <w:szCs w:val="36"/>
          <w:lang w:val="zh-CN"/>
          <w14:textFill>
            <w14:solidFill>
              <w14:schemeClr w14:val="tx1"/>
            </w14:solidFill>
          </w14:textFill>
        </w:rPr>
        <w:t>投标产品相关资料</w:t>
      </w:r>
    </w:p>
    <w:p w14:paraId="0F430442">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p>
    <w:p w14:paraId="03105347">
      <w:pPr>
        <w:spacing w:line="360" w:lineRule="auto"/>
        <w:ind w:firstLine="482"/>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根据采购项目内容，投标时提供国家认可的质监机构出具的投标产品的产品检验报告或证明技术参数响应的相关资料或彩页（或厂家公开发布的资料参数）或相关认证等资料。</w:t>
      </w:r>
    </w:p>
    <w:p w14:paraId="3A3B1DBE">
      <w:pPr>
        <w:keepNext/>
        <w:pageBreakBefore/>
        <w:widowControl/>
        <w:spacing w:line="360" w:lineRule="auto"/>
        <w:outlineLvl w:val="1"/>
        <w:rPr>
          <w:rFonts w:ascii="宋体" w:hAnsi="宋体" w:cs="宋体"/>
          <w:b/>
          <w:bCs/>
          <w:color w:val="000000" w:themeColor="text1"/>
          <w:sz w:val="24"/>
          <w14:textFill>
            <w14:solidFill>
              <w14:schemeClr w14:val="tx1"/>
            </w14:solidFill>
          </w14:textFill>
        </w:rPr>
      </w:pPr>
      <w:bookmarkStart w:id="34" w:name="_Toc19948"/>
      <w:r>
        <w:rPr>
          <w:rFonts w:hint="eastAsia" w:ascii="宋体" w:hAnsi="宋体" w:cs="宋体"/>
          <w:b/>
          <w:bCs/>
          <w:color w:val="000000" w:themeColor="text1"/>
          <w:sz w:val="24"/>
          <w14:textFill>
            <w14:solidFill>
              <w14:schemeClr w14:val="tx1"/>
            </w14:solidFill>
          </w14:textFill>
        </w:rPr>
        <w:t>附件</w:t>
      </w:r>
      <w:r>
        <w:rPr>
          <w:rFonts w:hint="eastAsia" w:ascii="宋体" w:hAnsi="宋体" w:cs="宋体"/>
          <w:b/>
          <w:bCs/>
          <w:color w:val="000000" w:themeColor="text1"/>
          <w:sz w:val="24"/>
          <w:lang w:val="en-US" w:eastAsia="zh-CN"/>
          <w14:textFill>
            <w14:solidFill>
              <w14:schemeClr w14:val="tx1"/>
            </w14:solidFill>
          </w14:textFill>
        </w:rPr>
        <w:t>2-5</w:t>
      </w:r>
      <w:r>
        <w:rPr>
          <w:rFonts w:hint="eastAsia" w:ascii="宋体" w:hAnsi="宋体" w:cs="宋体"/>
          <w:b/>
          <w:bCs/>
          <w:color w:val="000000" w:themeColor="text1"/>
          <w:sz w:val="24"/>
          <w14:textFill>
            <w14:solidFill>
              <w14:schemeClr w14:val="tx1"/>
            </w14:solidFill>
          </w14:textFill>
        </w:rPr>
        <w:t>：供应商的类似业绩证明材料</w:t>
      </w:r>
      <w:bookmarkEnd w:id="32"/>
      <w:bookmarkEnd w:id="34"/>
    </w:p>
    <w:p w14:paraId="49F74813">
      <w:pPr>
        <w:autoSpaceDE w:val="0"/>
        <w:autoSpaceDN w:val="0"/>
        <w:adjustRightInd w:val="0"/>
        <w:rPr>
          <w:rFonts w:ascii="宋体" w:hAnsi="Cambria" w:cs="宋体"/>
          <w:color w:val="000000" w:themeColor="text1"/>
          <w:kern w:val="0"/>
          <w:sz w:val="24"/>
          <w:lang w:val="zh-CN"/>
          <w14:textFill>
            <w14:solidFill>
              <w14:schemeClr w14:val="tx1"/>
            </w14:solidFill>
          </w14:textFill>
        </w:rPr>
      </w:pPr>
    </w:p>
    <w:p w14:paraId="6AAEA325">
      <w:pPr>
        <w:jc w:val="center"/>
        <w:rPr>
          <w:rFonts w:ascii="宋体" w:hAnsi="宋体"/>
          <w:b/>
          <w:color w:val="000000" w:themeColor="text1"/>
          <w:sz w:val="36"/>
          <w:szCs w:val="36"/>
          <w:lang w:val="zh-CN"/>
          <w14:textFill>
            <w14:solidFill>
              <w14:schemeClr w14:val="tx1"/>
            </w14:solidFill>
          </w14:textFill>
        </w:rPr>
      </w:pPr>
      <w:r>
        <w:rPr>
          <w:rFonts w:hint="eastAsia" w:ascii="宋体" w:hAnsi="宋体"/>
          <w:b/>
          <w:color w:val="000000" w:themeColor="text1"/>
          <w:sz w:val="36"/>
          <w:szCs w:val="36"/>
          <w:lang w:val="zh-CN"/>
          <w14:textFill>
            <w14:solidFill>
              <w14:schemeClr w14:val="tx1"/>
            </w14:solidFill>
          </w14:textFill>
        </w:rPr>
        <w:t>供应商的类似业绩证明材料</w:t>
      </w:r>
    </w:p>
    <w:p w14:paraId="7CACBAA0">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435BB60C">
      <w:pPr>
        <w:spacing w:line="360" w:lineRule="auto"/>
        <w:ind w:firstLine="482"/>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202</w:t>
      </w:r>
      <w:r>
        <w:rPr>
          <w:rFonts w:hint="eastAsia" w:ascii="宋体" w:hAnsi="宋体" w:cs="宋体"/>
          <w:color w:val="000000" w:themeColor="text1"/>
          <w:sz w:val="24"/>
          <w:szCs w:val="32"/>
          <w:lang w:val="en-US" w:eastAsia="zh-CN"/>
          <w14:textFill>
            <w14:solidFill>
              <w14:schemeClr w14:val="tx1"/>
            </w14:solidFill>
          </w14:textFill>
        </w:rPr>
        <w:t>1</w:t>
      </w:r>
      <w:r>
        <w:rPr>
          <w:rFonts w:hint="eastAsia" w:ascii="宋体" w:hAnsi="宋体" w:cs="宋体"/>
          <w:color w:val="000000" w:themeColor="text1"/>
          <w:sz w:val="24"/>
          <w:szCs w:val="32"/>
          <w:lang w:val="zh-CN"/>
          <w14:textFill>
            <w14:solidFill>
              <w14:schemeClr w14:val="tx1"/>
            </w14:solidFill>
          </w14:textFill>
        </w:rPr>
        <w:t>年</w:t>
      </w:r>
      <w:r>
        <w:rPr>
          <w:rFonts w:hint="eastAsia" w:ascii="宋体" w:hAnsi="宋体" w:cs="宋体"/>
          <w:color w:val="000000" w:themeColor="text1"/>
          <w:sz w:val="24"/>
          <w:szCs w:val="32"/>
          <w14:textFill>
            <w14:solidFill>
              <w14:schemeClr w14:val="tx1"/>
            </w14:solidFill>
          </w14:textFill>
        </w:rPr>
        <w:t>01</w:t>
      </w:r>
      <w:r>
        <w:rPr>
          <w:rFonts w:hint="eastAsia" w:ascii="宋体" w:hAnsi="宋体" w:cs="宋体"/>
          <w:color w:val="000000" w:themeColor="text1"/>
          <w:sz w:val="24"/>
          <w:szCs w:val="32"/>
          <w:lang w:val="zh-CN"/>
          <w14:textFill>
            <w14:solidFill>
              <w14:schemeClr w14:val="tx1"/>
            </w14:solidFill>
          </w14:textFill>
        </w:rPr>
        <w:t>月</w:t>
      </w:r>
      <w:r>
        <w:rPr>
          <w:rFonts w:hint="eastAsia" w:ascii="宋体" w:hAnsi="宋体" w:cs="宋体"/>
          <w:color w:val="000000" w:themeColor="text1"/>
          <w:sz w:val="24"/>
          <w:szCs w:val="32"/>
          <w14:textFill>
            <w14:solidFill>
              <w14:schemeClr w14:val="tx1"/>
            </w14:solidFill>
          </w14:textFill>
        </w:rPr>
        <w:t>0</w:t>
      </w:r>
      <w:r>
        <w:rPr>
          <w:rFonts w:hint="eastAsia" w:ascii="宋体" w:hAnsi="宋体" w:cs="宋体"/>
          <w:color w:val="000000" w:themeColor="text1"/>
          <w:sz w:val="24"/>
          <w:szCs w:val="32"/>
          <w:lang w:val="zh-CN"/>
          <w14:textFill>
            <w14:solidFill>
              <w14:schemeClr w14:val="tx1"/>
            </w14:solidFill>
          </w14:textFill>
        </w:rPr>
        <w:t>1日至今以来的类似业绩证明材料。类似业绩是指与采购项目在产品类型、使用功能、合同规模等方面相同或相近的项目。（业绩以生效的合同</w:t>
      </w:r>
      <w:r>
        <w:rPr>
          <w:rFonts w:hint="eastAsia" w:ascii="宋体" w:hAnsi="宋体" w:cs="宋体"/>
          <w:color w:val="000000" w:themeColor="text1"/>
          <w:sz w:val="24"/>
          <w:szCs w:val="32"/>
          <w:lang w:val="en-US" w:eastAsia="zh-CN"/>
          <w14:textFill>
            <w14:solidFill>
              <w14:schemeClr w14:val="tx1"/>
            </w14:solidFill>
          </w14:textFill>
        </w:rPr>
        <w:t>或</w:t>
      </w:r>
      <w:r>
        <w:rPr>
          <w:rFonts w:hint="eastAsia" w:ascii="宋体" w:hAnsi="宋体" w:cs="宋体"/>
          <w:color w:val="000000" w:themeColor="text1"/>
          <w:sz w:val="24"/>
          <w:szCs w:val="32"/>
          <w:lang w:val="zh-CN"/>
          <w14:textFill>
            <w14:solidFill>
              <w14:schemeClr w14:val="tx1"/>
            </w14:solidFill>
          </w14:textFill>
        </w:rPr>
        <w:t>中标通知书复印件为准）</w:t>
      </w:r>
    </w:p>
    <w:p w14:paraId="2D3DC5EB">
      <w:pPr>
        <w:rPr>
          <w:rFonts w:ascii="宋体" w:hAnsi="宋体" w:cs="宋体"/>
          <w:b/>
          <w:bCs/>
          <w:color w:val="000000" w:themeColor="text1"/>
          <w14:textFill>
            <w14:solidFill>
              <w14:schemeClr w14:val="tx1"/>
            </w14:solidFill>
          </w14:textFill>
        </w:rPr>
      </w:pPr>
    </w:p>
    <w:p w14:paraId="06F68E3D">
      <w:pPr>
        <w:pStyle w:val="61"/>
        <w:rPr>
          <w:color w:val="000000" w:themeColor="text1"/>
          <w:lang w:val="zh-CN"/>
          <w14:textFill>
            <w14:solidFill>
              <w14:schemeClr w14:val="tx1"/>
            </w14:solidFill>
          </w14:textFill>
        </w:rPr>
        <w:sectPr>
          <w:type w:val="continuous"/>
          <w:pgSz w:w="11906" w:h="16838"/>
          <w:pgMar w:top="1088" w:right="947" w:bottom="1440" w:left="1077" w:header="851" w:footer="850" w:gutter="0"/>
          <w:cols w:space="720" w:num="1"/>
          <w:docGrid w:linePitch="312" w:charSpace="0"/>
        </w:sectPr>
      </w:pPr>
    </w:p>
    <w:bookmarkEnd w:id="33"/>
    <w:p w14:paraId="4FE29036">
      <w:pPr>
        <w:pStyle w:val="5"/>
        <w:rPr>
          <w:rFonts w:ascii="宋体" w:hAnsi="宋体" w:cs="宋体"/>
          <w:bCs w:val="0"/>
          <w:color w:val="000000" w:themeColor="text1"/>
          <w:sz w:val="24"/>
          <w:szCs w:val="24"/>
          <w14:textFill>
            <w14:solidFill>
              <w14:schemeClr w14:val="tx1"/>
            </w14:solidFill>
          </w14:textFill>
        </w:rPr>
      </w:pPr>
      <w:bookmarkStart w:id="35" w:name="_Toc496004045"/>
      <w:bookmarkStart w:id="36" w:name="_Toc28078206"/>
      <w:bookmarkStart w:id="37" w:name="_Toc430937688"/>
      <w:bookmarkStart w:id="38" w:name="_Toc105511210"/>
      <w:bookmarkStart w:id="39" w:name="_Toc17711"/>
      <w:r>
        <w:rPr>
          <w:rFonts w:hint="eastAsia" w:ascii="宋体" w:hAnsi="宋体" w:cs="宋体"/>
          <w:bCs w:val="0"/>
          <w:color w:val="000000" w:themeColor="text1"/>
          <w:sz w:val="24"/>
          <w14:textFill>
            <w14:solidFill>
              <w14:schemeClr w14:val="tx1"/>
            </w14:solidFill>
          </w14:textFill>
        </w:rPr>
        <w:t>附件</w:t>
      </w:r>
      <w:r>
        <w:rPr>
          <w:rFonts w:hint="eastAsia" w:ascii="宋体" w:hAnsi="宋体" w:cs="宋体"/>
          <w:b/>
          <w:bCs/>
          <w:color w:val="000000" w:themeColor="text1"/>
          <w:sz w:val="24"/>
          <w:lang w:val="en-US" w:eastAsia="zh-CN"/>
          <w14:textFill>
            <w14:solidFill>
              <w14:schemeClr w14:val="tx1"/>
            </w14:solidFill>
          </w14:textFill>
        </w:rPr>
        <w:t>2-6</w:t>
      </w:r>
      <w:r>
        <w:rPr>
          <w:rFonts w:hint="eastAsia" w:ascii="宋体" w:hAnsi="宋体" w:cs="宋体"/>
          <w:bCs w:val="0"/>
          <w:color w:val="000000" w:themeColor="text1"/>
          <w:sz w:val="24"/>
          <w14:textFill>
            <w14:solidFill>
              <w14:schemeClr w14:val="tx1"/>
            </w14:solidFill>
          </w14:textFill>
        </w:rPr>
        <w:t>：</w:t>
      </w:r>
      <w:bookmarkEnd w:id="35"/>
      <w:bookmarkEnd w:id="36"/>
      <w:r>
        <w:rPr>
          <w:rFonts w:hint="eastAsia" w:ascii="宋体" w:hAnsi="宋体" w:cs="宋体"/>
          <w:bCs w:val="0"/>
          <w:color w:val="000000" w:themeColor="text1"/>
          <w:sz w:val="24"/>
          <w:szCs w:val="24"/>
          <w14:textFill>
            <w14:solidFill>
              <w14:schemeClr w14:val="tx1"/>
            </w14:solidFill>
          </w14:textFill>
        </w:rPr>
        <w:t>供应商认为在其他方面有必要说明的事项</w:t>
      </w:r>
      <w:bookmarkEnd w:id="37"/>
      <w:bookmarkEnd w:id="38"/>
      <w:bookmarkEnd w:id="39"/>
    </w:p>
    <w:p w14:paraId="73010BA1">
      <w:pPr>
        <w:autoSpaceDE w:val="0"/>
        <w:autoSpaceDN w:val="0"/>
        <w:adjustRightInd w:val="0"/>
        <w:ind w:firstLine="480"/>
        <w:rPr>
          <w:rFonts w:ascii="宋体" w:hAnsi="宋体" w:cs="宋体"/>
          <w:color w:val="000000" w:themeColor="text1"/>
          <w:sz w:val="24"/>
          <w:lang w:val="zh-CN"/>
          <w14:textFill>
            <w14:solidFill>
              <w14:schemeClr w14:val="tx1"/>
            </w14:solidFill>
          </w14:textFill>
        </w:rPr>
      </w:pPr>
    </w:p>
    <w:p w14:paraId="762117CA">
      <w:pPr>
        <w:autoSpaceDE w:val="0"/>
        <w:autoSpaceDN w:val="0"/>
        <w:adjustRightInd w:val="0"/>
        <w:jc w:val="center"/>
        <w:rPr>
          <w:rFonts w:ascii="宋体" w:hAnsi="宋体" w:cs="宋体"/>
          <w:b/>
          <w:bCs/>
          <w:color w:val="000000" w:themeColor="text1"/>
          <w:sz w:val="32"/>
          <w:szCs w:val="36"/>
          <w:lang w:val="zh-CN"/>
          <w14:textFill>
            <w14:solidFill>
              <w14:schemeClr w14:val="tx1"/>
            </w14:solidFill>
          </w14:textFill>
        </w:rPr>
      </w:pPr>
      <w:r>
        <w:rPr>
          <w:rFonts w:hint="eastAsia" w:ascii="宋体" w:hAnsi="宋体" w:cs="宋体"/>
          <w:b/>
          <w:bCs/>
          <w:color w:val="000000" w:themeColor="text1"/>
          <w:sz w:val="32"/>
          <w:szCs w:val="36"/>
          <w:lang w:val="zh-CN"/>
          <w14:textFill>
            <w14:solidFill>
              <w14:schemeClr w14:val="tx1"/>
            </w14:solidFill>
          </w14:textFill>
        </w:rPr>
        <w:t>供应商认为在其他方面有必要说明的事项</w:t>
      </w:r>
    </w:p>
    <w:p w14:paraId="4E4A2281">
      <w:pPr>
        <w:autoSpaceDE w:val="0"/>
        <w:autoSpaceDN w:val="0"/>
        <w:adjustRightInd w:val="0"/>
        <w:ind w:firstLine="480"/>
        <w:rPr>
          <w:rFonts w:ascii="宋体" w:hAnsi="宋体" w:cs="宋体"/>
          <w:color w:val="000000" w:themeColor="text1"/>
          <w:sz w:val="24"/>
          <w:lang w:val="zh-CN"/>
          <w14:textFill>
            <w14:solidFill>
              <w14:schemeClr w14:val="tx1"/>
            </w14:solidFill>
          </w14:textFill>
        </w:rPr>
      </w:pPr>
    </w:p>
    <w:p w14:paraId="74CC7EAA">
      <w:pPr>
        <w:spacing w:line="360" w:lineRule="auto"/>
        <w:ind w:firstLine="482"/>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供应商在参加本项目投标中根据采购文件的要求认为需要说明的事项，但不做为评标依据。如没有说明事项，此项可忽略。（格式可自定）</w:t>
      </w:r>
    </w:p>
    <w:p w14:paraId="58E516BF">
      <w:pPr>
        <w:autoSpaceDE w:val="0"/>
        <w:autoSpaceDN w:val="0"/>
        <w:adjustRightInd w:val="0"/>
        <w:ind w:firstLine="480"/>
        <w:jc w:val="left"/>
        <w:rPr>
          <w:rFonts w:ascii="宋体" w:hAnsi="宋体" w:cs="宋体"/>
          <w:color w:val="000000" w:themeColor="text1"/>
          <w:sz w:val="24"/>
          <w:lang w:val="zh-CN"/>
          <w14:textFill>
            <w14:solidFill>
              <w14:schemeClr w14:val="tx1"/>
            </w14:solidFill>
          </w14:textFill>
        </w:rPr>
      </w:pPr>
    </w:p>
    <w:p w14:paraId="696AF507">
      <w:pPr>
        <w:autoSpaceDE w:val="0"/>
        <w:autoSpaceDN w:val="0"/>
        <w:adjustRightInd w:val="0"/>
        <w:ind w:firstLine="480"/>
        <w:jc w:val="left"/>
        <w:rPr>
          <w:rFonts w:ascii="宋体" w:hAnsi="宋体" w:cs="宋体"/>
          <w:color w:val="000000" w:themeColor="text1"/>
          <w:sz w:val="24"/>
          <w:lang w:val="zh-CN"/>
          <w14:textFill>
            <w14:solidFill>
              <w14:schemeClr w14:val="tx1"/>
            </w14:solidFill>
          </w14:textFill>
        </w:rPr>
      </w:pPr>
    </w:p>
    <w:p w14:paraId="02E1EA7B">
      <w:pPr>
        <w:autoSpaceDE w:val="0"/>
        <w:autoSpaceDN w:val="0"/>
        <w:adjustRightInd w:val="0"/>
        <w:ind w:firstLine="480"/>
        <w:jc w:val="left"/>
        <w:rPr>
          <w:rFonts w:ascii="宋体" w:hAnsi="宋体" w:cs="宋体"/>
          <w:color w:val="000000" w:themeColor="text1"/>
          <w:sz w:val="24"/>
          <w:lang w:val="zh-CN"/>
          <w14:textFill>
            <w14:solidFill>
              <w14:schemeClr w14:val="tx1"/>
            </w14:solidFill>
          </w14:textFill>
        </w:rPr>
        <w:sectPr>
          <w:pgSz w:w="11906" w:h="16838"/>
          <w:pgMar w:top="1088" w:right="947" w:bottom="1440" w:left="1077" w:header="851" w:footer="850" w:gutter="0"/>
          <w:cols w:space="720" w:num="1"/>
          <w:docGrid w:linePitch="312" w:charSpace="0"/>
        </w:sectPr>
      </w:pPr>
    </w:p>
    <w:p w14:paraId="48D85C53">
      <w:pPr>
        <w:rPr>
          <w:rFonts w:hint="eastAsia" w:ascii="宋体" w:hAnsi="宋体" w:cs="宋体"/>
          <w:bCs w:val="0"/>
          <w:color w:val="000000" w:themeColor="text1"/>
          <w:sz w:val="24"/>
          <w:szCs w:val="24"/>
          <w14:textFill>
            <w14:solidFill>
              <w14:schemeClr w14:val="tx1"/>
            </w14:solidFill>
          </w14:textFill>
        </w:rPr>
      </w:pPr>
      <w:bookmarkStart w:id="40" w:name="_Toc32751"/>
      <w:bookmarkStart w:id="41" w:name="_Toc28215"/>
      <w:r>
        <w:rPr>
          <w:rFonts w:hint="eastAsia" w:ascii="宋体" w:hAnsi="宋体" w:cs="宋体"/>
          <w:bCs w:val="0"/>
          <w:color w:val="000000" w:themeColor="text1"/>
          <w:sz w:val="24"/>
          <w:szCs w:val="24"/>
          <w14:textFill>
            <w14:solidFill>
              <w14:schemeClr w14:val="tx1"/>
            </w14:solidFill>
          </w14:textFill>
        </w:rPr>
        <w:br w:type="page"/>
      </w:r>
    </w:p>
    <w:p w14:paraId="70C7C5BD">
      <w:pPr>
        <w:pStyle w:val="5"/>
        <w:rPr>
          <w:rFonts w:ascii="宋体" w:hAnsi="宋体" w:cs="宋体"/>
          <w:bCs w:val="0"/>
          <w:color w:val="000000" w:themeColor="text1"/>
          <w:sz w:val="24"/>
          <w:szCs w:val="24"/>
          <w14:textFill>
            <w14:solidFill>
              <w14:schemeClr w14:val="tx1"/>
            </w14:solidFill>
          </w14:textFill>
        </w:rPr>
      </w:pPr>
      <w:r>
        <w:rPr>
          <w:rFonts w:hint="eastAsia" w:ascii="宋体" w:hAnsi="宋体" w:cs="宋体"/>
          <w:bCs w:val="0"/>
          <w:color w:val="000000" w:themeColor="text1"/>
          <w:sz w:val="24"/>
          <w:szCs w:val="24"/>
          <w14:textFill>
            <w14:solidFill>
              <w14:schemeClr w14:val="tx1"/>
            </w14:solidFill>
          </w14:textFill>
        </w:rPr>
        <w:t>附件</w:t>
      </w:r>
      <w:r>
        <w:rPr>
          <w:rFonts w:hint="eastAsia" w:ascii="宋体" w:hAnsi="宋体" w:cs="宋体"/>
          <w:b/>
          <w:bCs/>
          <w:color w:val="000000" w:themeColor="text1"/>
          <w:sz w:val="24"/>
          <w:lang w:val="en-US" w:eastAsia="zh-CN"/>
          <w14:textFill>
            <w14:solidFill>
              <w14:schemeClr w14:val="tx1"/>
            </w14:solidFill>
          </w14:textFill>
        </w:rPr>
        <w:t>2-7</w:t>
      </w:r>
      <w:r>
        <w:rPr>
          <w:rFonts w:hint="eastAsia" w:ascii="宋体" w:hAnsi="宋体" w:cs="宋体"/>
          <w:bCs w:val="0"/>
          <w:color w:val="000000" w:themeColor="text1"/>
          <w:sz w:val="24"/>
          <w:szCs w:val="24"/>
          <w14:textFill>
            <w14:solidFill>
              <w14:schemeClr w14:val="tx1"/>
            </w14:solidFill>
          </w14:textFill>
        </w:rPr>
        <w:t>：最终报价表</w:t>
      </w:r>
      <w:bookmarkEnd w:id="40"/>
      <w:bookmarkEnd w:id="41"/>
    </w:p>
    <w:p w14:paraId="74191AF8">
      <w:pPr>
        <w:spacing w:before="120" w:after="120" w:line="400" w:lineRule="exact"/>
        <w:jc w:val="center"/>
        <w:rPr>
          <w:rFonts w:ascii="宋体" w:hAnsi="宋体" w:cs="TimesNewRomanPSMT"/>
          <w:b/>
          <w:bCs/>
          <w:color w:val="000000" w:themeColor="text1"/>
          <w:kern w:val="0"/>
          <w:sz w:val="28"/>
          <w:szCs w:val="28"/>
          <w14:textFill>
            <w14:solidFill>
              <w14:schemeClr w14:val="tx1"/>
            </w14:solidFill>
          </w14:textFill>
        </w:rPr>
      </w:pPr>
      <w:bookmarkStart w:id="42" w:name="_Toc26133"/>
      <w:bookmarkStart w:id="43" w:name="_Toc10016"/>
      <w:bookmarkStart w:id="44" w:name="_Toc15781"/>
      <w:bookmarkStart w:id="45" w:name="_Toc28929"/>
      <w:bookmarkStart w:id="46" w:name="_Toc11914"/>
      <w:r>
        <w:rPr>
          <w:rFonts w:hint="eastAsia" w:ascii="宋体" w:hAnsi="宋体" w:cs="TimesNewRomanPSMT"/>
          <w:b/>
          <w:bCs/>
          <w:color w:val="000000" w:themeColor="text1"/>
          <w:kern w:val="0"/>
          <w:sz w:val="28"/>
          <w:szCs w:val="28"/>
          <w14:textFill>
            <w14:solidFill>
              <w14:schemeClr w14:val="tx1"/>
            </w14:solidFill>
          </w14:textFill>
        </w:rPr>
        <w:t>最终报价确定表</w:t>
      </w:r>
      <w:bookmarkEnd w:id="42"/>
      <w:bookmarkEnd w:id="43"/>
      <w:bookmarkEnd w:id="44"/>
      <w:bookmarkEnd w:id="45"/>
      <w:bookmarkEnd w:id="46"/>
    </w:p>
    <w:p w14:paraId="14D7F455">
      <w:pPr>
        <w:spacing w:line="360" w:lineRule="auto"/>
        <w:ind w:firstLine="480" w:firstLineChars="200"/>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项目名称：                                    单位：元（人民币）</w:t>
      </w:r>
    </w:p>
    <w:tbl>
      <w:tblPr>
        <w:tblStyle w:val="44"/>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3704"/>
        <w:gridCol w:w="2538"/>
        <w:gridCol w:w="2418"/>
      </w:tblGrid>
      <w:tr w14:paraId="69D8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4" w:hRule="atLeast"/>
          <w:jc w:val="center"/>
        </w:trPr>
        <w:tc>
          <w:tcPr>
            <w:tcW w:w="1160" w:type="dxa"/>
            <w:vAlign w:val="center"/>
          </w:tcPr>
          <w:p w14:paraId="67827263">
            <w:pPr>
              <w:spacing w:line="360" w:lineRule="auto"/>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序号</w:t>
            </w:r>
          </w:p>
        </w:tc>
        <w:tc>
          <w:tcPr>
            <w:tcW w:w="3704" w:type="dxa"/>
            <w:vAlign w:val="center"/>
          </w:tcPr>
          <w:p w14:paraId="1E84F464">
            <w:pPr>
              <w:spacing w:line="360" w:lineRule="auto"/>
              <w:ind w:firstLine="480" w:firstLineChars="200"/>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最终报价</w:t>
            </w:r>
          </w:p>
        </w:tc>
        <w:tc>
          <w:tcPr>
            <w:tcW w:w="2538" w:type="dxa"/>
            <w:vAlign w:val="center"/>
          </w:tcPr>
          <w:p w14:paraId="18C1773B">
            <w:pP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交货时间</w:t>
            </w:r>
          </w:p>
        </w:tc>
        <w:tc>
          <w:tcPr>
            <w:tcW w:w="2418" w:type="dxa"/>
            <w:vAlign w:val="center"/>
          </w:tcPr>
          <w:p w14:paraId="567D307C">
            <w:pPr>
              <w:spacing w:line="360" w:lineRule="auto"/>
              <w:ind w:firstLine="480" w:firstLineChars="200"/>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调整因素</w:t>
            </w:r>
          </w:p>
        </w:tc>
      </w:tr>
      <w:tr w14:paraId="2A36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Align w:val="center"/>
          </w:tcPr>
          <w:p w14:paraId="035D043B">
            <w:pPr>
              <w:spacing w:line="360" w:lineRule="auto"/>
              <w:ind w:firstLine="480" w:firstLineChars="200"/>
              <w:rPr>
                <w:rFonts w:ascii="宋体" w:hAnsi="宋体" w:cs="宋体"/>
                <w:color w:val="000000" w:themeColor="text1"/>
                <w:sz w:val="24"/>
                <w:szCs w:val="32"/>
                <w:lang w:val="zh-CN"/>
                <w14:textFill>
                  <w14:solidFill>
                    <w14:schemeClr w14:val="tx1"/>
                  </w14:solidFill>
                </w14:textFill>
              </w:rPr>
            </w:pPr>
          </w:p>
        </w:tc>
        <w:tc>
          <w:tcPr>
            <w:tcW w:w="3704" w:type="dxa"/>
            <w:vAlign w:val="center"/>
          </w:tcPr>
          <w:p w14:paraId="75D40EC7">
            <w:pPr>
              <w:spacing w:line="360" w:lineRule="auto"/>
              <w:ind w:firstLine="480" w:firstLineChars="200"/>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(大写)</w:t>
            </w:r>
          </w:p>
          <w:p w14:paraId="3F73A87E">
            <w:pPr>
              <w:spacing w:line="360" w:lineRule="auto"/>
              <w:ind w:firstLine="480" w:firstLineChars="200"/>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(小写)</w:t>
            </w:r>
          </w:p>
        </w:tc>
        <w:tc>
          <w:tcPr>
            <w:tcW w:w="2538" w:type="dxa"/>
            <w:vAlign w:val="center"/>
          </w:tcPr>
          <w:p w14:paraId="7D50B4B6">
            <w:pPr>
              <w:spacing w:line="360" w:lineRule="auto"/>
              <w:ind w:firstLine="480" w:firstLineChars="200"/>
              <w:rPr>
                <w:rFonts w:ascii="宋体" w:hAnsi="宋体" w:cs="宋体"/>
                <w:color w:val="000000" w:themeColor="text1"/>
                <w:sz w:val="24"/>
                <w:szCs w:val="32"/>
                <w:lang w:val="zh-CN"/>
                <w14:textFill>
                  <w14:solidFill>
                    <w14:schemeClr w14:val="tx1"/>
                  </w14:solidFill>
                </w14:textFill>
              </w:rPr>
            </w:pPr>
          </w:p>
        </w:tc>
        <w:tc>
          <w:tcPr>
            <w:tcW w:w="2418" w:type="dxa"/>
            <w:vAlign w:val="center"/>
          </w:tcPr>
          <w:p w14:paraId="4B44EE9B">
            <w:pPr>
              <w:spacing w:line="360" w:lineRule="auto"/>
              <w:ind w:firstLine="480" w:firstLineChars="200"/>
              <w:rPr>
                <w:rFonts w:ascii="宋体" w:hAnsi="宋体" w:cs="宋体"/>
                <w:color w:val="000000" w:themeColor="text1"/>
                <w:sz w:val="24"/>
                <w:szCs w:val="32"/>
                <w:lang w:val="zh-CN"/>
                <w14:textFill>
                  <w14:solidFill>
                    <w14:schemeClr w14:val="tx1"/>
                  </w14:solidFill>
                </w14:textFill>
              </w:rPr>
            </w:pPr>
          </w:p>
        </w:tc>
      </w:tr>
      <w:tr w14:paraId="3FB5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6" w:hRule="atLeast"/>
          <w:jc w:val="center"/>
        </w:trPr>
        <w:tc>
          <w:tcPr>
            <w:tcW w:w="1160" w:type="dxa"/>
            <w:tcBorders>
              <w:bottom w:val="single" w:color="auto" w:sz="4" w:space="0"/>
            </w:tcBorders>
            <w:vAlign w:val="center"/>
          </w:tcPr>
          <w:p w14:paraId="5C49B6C6">
            <w:pPr>
              <w:spacing w:line="360" w:lineRule="auto"/>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最终确定的质量保证及服务承诺</w:t>
            </w:r>
          </w:p>
        </w:tc>
        <w:tc>
          <w:tcPr>
            <w:tcW w:w="8660" w:type="dxa"/>
            <w:gridSpan w:val="3"/>
            <w:tcBorders>
              <w:bottom w:val="single" w:color="auto" w:sz="4" w:space="0"/>
            </w:tcBorders>
            <w:vAlign w:val="center"/>
          </w:tcPr>
          <w:p w14:paraId="45B07DCB">
            <w:pPr>
              <w:spacing w:line="360" w:lineRule="auto"/>
              <w:ind w:firstLine="480" w:firstLineChars="200"/>
              <w:rPr>
                <w:rFonts w:ascii="宋体" w:hAnsi="宋体" w:cs="宋体"/>
                <w:color w:val="000000" w:themeColor="text1"/>
                <w:sz w:val="24"/>
                <w:szCs w:val="32"/>
                <w:lang w:val="zh-CN"/>
                <w14:textFill>
                  <w14:solidFill>
                    <w14:schemeClr w14:val="tx1"/>
                  </w14:solidFill>
                </w14:textFill>
              </w:rPr>
            </w:pPr>
          </w:p>
        </w:tc>
      </w:tr>
    </w:tbl>
    <w:p w14:paraId="176AB603">
      <w:pPr>
        <w:spacing w:line="360" w:lineRule="auto"/>
        <w:ind w:firstLine="480" w:firstLineChars="200"/>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注：1、在磋商过程中，磋商最后报价与首次报价的价格发生的浮动比例，在项目签订合同时对首次报价单价的基础上进行同比例浮动，作为签订合同的最终单价。</w:t>
      </w:r>
    </w:p>
    <w:p w14:paraId="5D6A8520">
      <w:pPr>
        <w:spacing w:line="360" w:lineRule="auto"/>
        <w:ind w:firstLine="480" w:firstLineChars="200"/>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w:t>
      </w:r>
      <w:r>
        <w:rPr>
          <w:rFonts w:hint="eastAsia" w:ascii="宋体" w:hAnsi="宋体" w:cs="宋体"/>
          <w:color w:val="000000" w:themeColor="text1"/>
          <w:sz w:val="24"/>
          <w:szCs w:val="32"/>
          <w:lang w:val="zh-CN"/>
          <w14:textFill>
            <w14:solidFill>
              <w14:schemeClr w14:val="tx1"/>
            </w14:solidFill>
          </w14:textFill>
        </w:rPr>
        <w:t>此表不需要编制在响应文件中，二轮报价开启时进行线上填报，如果供应商未在政采云平台（https://www.zcygov.cn/）上按规定的时间填写最后报价的，视为自动放弃填写最终报价表。</w:t>
      </w:r>
    </w:p>
    <w:p w14:paraId="6D1A08AB">
      <w:pPr>
        <w:autoSpaceDE w:val="0"/>
        <w:autoSpaceDN w:val="0"/>
        <w:adjustRightInd w:val="0"/>
        <w:jc w:val="left"/>
        <w:rPr>
          <w:rFonts w:ascii="宋体" w:hAnsi="宋体"/>
          <w:color w:val="000000" w:themeColor="text1"/>
          <w:szCs w:val="21"/>
          <w14:textFill>
            <w14:solidFill>
              <w14:schemeClr w14:val="tx1"/>
            </w14:solidFill>
          </w14:textFill>
        </w:rPr>
      </w:pPr>
    </w:p>
    <w:p w14:paraId="767DBBD3">
      <w:pPr>
        <w:autoSpaceDE w:val="0"/>
        <w:autoSpaceDN w:val="0"/>
        <w:adjustRightInd w:val="0"/>
        <w:jc w:val="both"/>
        <w:rPr>
          <w:rFonts w:ascii="宋体" w:hAnsi="宋体"/>
          <w:color w:val="000000" w:themeColor="text1"/>
          <w:szCs w:val="21"/>
          <w14:textFill>
            <w14:solidFill>
              <w14:schemeClr w14:val="tx1"/>
            </w14:solidFill>
          </w14:textFill>
        </w:rPr>
      </w:pPr>
    </w:p>
    <w:p w14:paraId="67A5E008">
      <w:pPr>
        <w:autoSpaceDE w:val="0"/>
        <w:autoSpaceDN w:val="0"/>
        <w:adjustRightInd w:val="0"/>
        <w:jc w:val="right"/>
        <w:rPr>
          <w:rFonts w:ascii="宋体" w:hAnsi="宋体"/>
          <w:color w:val="000000" w:themeColor="text1"/>
          <w:szCs w:val="21"/>
          <w14:textFill>
            <w14:solidFill>
              <w14:schemeClr w14:val="tx1"/>
            </w14:solidFill>
          </w14:textFill>
        </w:rPr>
      </w:pPr>
    </w:p>
    <w:p w14:paraId="5F102EB4">
      <w:pPr>
        <w:autoSpaceDE w:val="0"/>
        <w:autoSpaceDN w:val="0"/>
        <w:spacing w:line="360" w:lineRule="auto"/>
        <w:jc w:val="center"/>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供应商：             （公章）</w:t>
      </w:r>
    </w:p>
    <w:p w14:paraId="643A059F">
      <w:pPr>
        <w:autoSpaceDE w:val="0"/>
        <w:autoSpaceDN w:val="0"/>
        <w:spacing w:line="360" w:lineRule="auto"/>
        <w:jc w:val="center"/>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法定代表人或委托代理人：        （签字或盖章）</w:t>
      </w:r>
    </w:p>
    <w:p w14:paraId="7943A9ED">
      <w:pPr>
        <w:jc w:val="center"/>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年   月   日</w:t>
      </w:r>
    </w:p>
    <w:p w14:paraId="63139B04">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p>
    <w:p w14:paraId="52B9D5D7">
      <w:pPr>
        <w:spacing w:line="360" w:lineRule="auto"/>
        <w:ind w:firstLine="480" w:firstLineChars="200"/>
        <w:jc w:val="right"/>
        <w:outlineLvl w:val="9"/>
        <w:rPr>
          <w:rFonts w:ascii="宋体" w:hAnsi="宋体"/>
          <w:color w:val="auto"/>
          <w:sz w:val="24"/>
          <w:szCs w:val="24"/>
          <w:highlight w:val="none"/>
        </w:rPr>
      </w:pPr>
    </w:p>
    <w:p w14:paraId="71D70E66">
      <w:pPr>
        <w:spacing w:line="360" w:lineRule="auto"/>
        <w:jc w:val="center"/>
        <w:outlineLvl w:val="9"/>
        <w:rPr>
          <w:rFonts w:hint="eastAsia" w:ascii="宋体" w:hAnsi="宋体" w:eastAsia="宋体" w:cs="Times New Roman"/>
          <w:b/>
          <w:color w:val="auto"/>
          <w:kern w:val="28"/>
          <w:sz w:val="36"/>
          <w:szCs w:val="20"/>
          <w:highlight w:val="none"/>
        </w:rPr>
      </w:pPr>
      <w:r>
        <w:rPr>
          <w:rFonts w:hint="eastAsia" w:ascii="宋体" w:hAnsi="宋体"/>
          <w:b/>
          <w:color w:val="auto"/>
          <w:highlight w:val="none"/>
        </w:rPr>
        <w:br w:type="column"/>
      </w:r>
      <w:r>
        <w:rPr>
          <w:rFonts w:hint="eastAsia" w:ascii="宋体" w:hAnsi="宋体" w:cs="宋体"/>
          <w:color w:val="000000" w:themeColor="text1"/>
          <w:sz w:val="44"/>
          <w:szCs w:val="44"/>
          <w:lang w:val="zh-CN"/>
          <w14:textFill>
            <w14:solidFill>
              <w14:schemeClr w14:val="tx1"/>
            </w14:solidFill>
          </w14:textFill>
        </w:rPr>
        <w:t>采购项目要求及技术参数</w:t>
      </w:r>
    </w:p>
    <w:p w14:paraId="7FCDC59E">
      <w:pPr>
        <w:pStyle w:val="40"/>
        <w:numPr>
          <w:ilvl w:val="0"/>
          <w:numId w:val="0"/>
        </w:numPr>
        <w:spacing w:before="0" w:after="0"/>
        <w:jc w:val="center"/>
        <w:outlineLvl w:val="1"/>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（一）商务要求</w:t>
      </w:r>
    </w:p>
    <w:p w14:paraId="3F6B9F0D">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1.交货期及地点</w:t>
      </w:r>
    </w:p>
    <w:p w14:paraId="5591780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 交货期：20个工作日；</w:t>
      </w:r>
    </w:p>
    <w:p w14:paraId="110DA31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 交货地点：按合同约定执行。</w:t>
      </w:r>
    </w:p>
    <w:p w14:paraId="5CD8A2B8">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2.付款方式：</w:t>
      </w:r>
    </w:p>
    <w:p w14:paraId="5284003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en-US" w:eastAsia="zh-CN"/>
        </w:rPr>
        <w:t>付款</w:t>
      </w:r>
      <w:r>
        <w:rPr>
          <w:rFonts w:hint="eastAsia" w:ascii="宋体" w:hAnsi="宋体" w:cs="宋体"/>
          <w:color w:val="auto"/>
          <w:sz w:val="24"/>
          <w:szCs w:val="24"/>
          <w:highlight w:val="none"/>
          <w:lang w:val="en-US" w:eastAsia="zh-CN"/>
        </w:rPr>
        <w:t>方式</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lang w:eastAsia="zh-CN"/>
        </w:rPr>
        <w:t>签订合同前供应商缴纳合同金额的10%到天峻县教育局账户</w:t>
      </w:r>
      <w:r>
        <w:rPr>
          <w:rFonts w:hint="eastAsia" w:ascii="宋体" w:hAnsi="宋体" w:eastAsia="宋体" w:cs="宋体"/>
          <w:color w:val="auto"/>
          <w:kern w:val="0"/>
          <w:lang w:val="en-US" w:eastAsia="zh-CN"/>
        </w:rPr>
        <w:t>为履约保证金</w:t>
      </w:r>
      <w:r>
        <w:rPr>
          <w:rFonts w:hint="eastAsia" w:ascii="宋体" w:hAnsi="宋体" w:eastAsia="宋体" w:cs="宋体"/>
          <w:color w:val="auto"/>
          <w:kern w:val="0"/>
          <w:lang w:eastAsia="zh-CN"/>
        </w:rPr>
        <w:t>，签订合同后</w:t>
      </w:r>
      <w:r>
        <w:rPr>
          <w:rFonts w:hint="eastAsia" w:ascii="宋体" w:hAnsi="宋体" w:eastAsia="宋体" w:cs="宋体"/>
          <w:color w:val="auto"/>
          <w:kern w:val="0"/>
          <w:lang w:val="en-US" w:eastAsia="zh-CN"/>
        </w:rPr>
        <w:t>采购人</w:t>
      </w:r>
      <w:r>
        <w:rPr>
          <w:rFonts w:hint="eastAsia" w:ascii="宋体" w:hAnsi="宋体" w:eastAsia="宋体" w:cs="宋体"/>
          <w:color w:val="auto"/>
          <w:kern w:val="0"/>
          <w:lang w:eastAsia="zh-CN"/>
        </w:rPr>
        <w:t>支付合同金额的30%，验收合格后</w:t>
      </w:r>
      <w:r>
        <w:rPr>
          <w:rFonts w:hint="eastAsia" w:ascii="宋体" w:hAnsi="宋体" w:eastAsia="宋体" w:cs="宋体"/>
          <w:color w:val="auto"/>
          <w:kern w:val="0"/>
          <w:lang w:val="en-US" w:eastAsia="zh-CN"/>
        </w:rPr>
        <w:t>采购人</w:t>
      </w:r>
      <w:r>
        <w:rPr>
          <w:rFonts w:hint="eastAsia" w:ascii="宋体" w:hAnsi="宋体" w:eastAsia="宋体" w:cs="宋体"/>
          <w:color w:val="auto"/>
          <w:kern w:val="0"/>
          <w:lang w:eastAsia="zh-CN"/>
        </w:rPr>
        <w:t>支付合同金额的67%并退还履约保证金，剩余合同金额的3%为质保金</w:t>
      </w:r>
      <w:r>
        <w:rPr>
          <w:rFonts w:hint="eastAsia" w:ascii="宋体" w:hAnsi="宋体" w:cs="宋体"/>
          <w:color w:val="auto"/>
          <w:kern w:val="0"/>
          <w:lang w:eastAsia="zh-CN"/>
        </w:rPr>
        <w:t>。</w:t>
      </w:r>
    </w:p>
    <w:p w14:paraId="76BF8BB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2.2.质保期2年。</w:t>
      </w:r>
    </w:p>
    <w:p w14:paraId="3B1577C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lang w:val="en-US" w:eastAsia="zh-CN"/>
        </w:rPr>
      </w:pPr>
      <w:r>
        <w:rPr>
          <w:rFonts w:hint="eastAsia" w:ascii="宋体" w:hAnsi="宋体" w:cs="宋体"/>
          <w:color w:val="auto"/>
          <w:sz w:val="24"/>
          <w:szCs w:val="24"/>
          <w:highlight w:val="none"/>
          <w:lang w:val="en-US" w:eastAsia="zh-CN"/>
        </w:rPr>
        <w:t>2.3.其他未列明事项，待签订合同时，双方协商。</w:t>
      </w:r>
    </w:p>
    <w:p w14:paraId="36E848BB">
      <w:pPr>
        <w:pStyle w:val="14"/>
        <w:ind w:left="0" w:leftChars="0" w:firstLine="0" w:firstLineChars="0"/>
        <w:jc w:val="center"/>
        <w:outlineLvl w:val="9"/>
        <w:rPr>
          <w:rFonts w:hint="eastAsia" w:ascii="宋体" w:hAnsi="宋体" w:cs="宋体"/>
          <w:b/>
          <w:bCs/>
          <w:color w:val="auto"/>
          <w:sz w:val="28"/>
          <w:szCs w:val="28"/>
          <w:highlight w:val="none"/>
          <w:lang w:val="en-US" w:eastAsia="zh-CN"/>
        </w:rPr>
      </w:pPr>
    </w:p>
    <w:p w14:paraId="10D7A6A8">
      <w:pPr>
        <w:pStyle w:val="14"/>
        <w:ind w:left="0" w:leftChars="0" w:firstLine="0" w:firstLineChars="0"/>
        <w:jc w:val="center"/>
        <w:outlineLvl w:val="9"/>
        <w:rPr>
          <w:rFonts w:hint="eastAsia" w:ascii="宋体" w:hAnsi="宋体" w:cs="宋体"/>
          <w:b/>
          <w:bCs/>
          <w:color w:val="auto"/>
          <w:sz w:val="28"/>
          <w:szCs w:val="28"/>
          <w:highlight w:val="none"/>
          <w:lang w:val="en-US" w:eastAsia="zh-CN"/>
        </w:rPr>
      </w:pPr>
    </w:p>
    <w:p w14:paraId="098E308B">
      <w:pPr>
        <w:pStyle w:val="14"/>
        <w:ind w:left="0" w:leftChars="0" w:firstLine="0" w:firstLineChars="0"/>
        <w:jc w:val="center"/>
        <w:outlineLvl w:val="9"/>
        <w:rPr>
          <w:rFonts w:hint="eastAsia" w:ascii="宋体" w:hAnsi="宋体" w:cs="宋体"/>
          <w:b/>
          <w:bCs/>
          <w:color w:val="auto"/>
          <w:sz w:val="28"/>
          <w:szCs w:val="28"/>
          <w:highlight w:val="none"/>
          <w:lang w:val="en-US" w:eastAsia="zh-CN"/>
        </w:rPr>
      </w:pPr>
    </w:p>
    <w:p w14:paraId="40932F87">
      <w:pPr>
        <w:pStyle w:val="14"/>
        <w:ind w:left="0" w:leftChars="0" w:firstLine="0" w:firstLineChars="0"/>
        <w:jc w:val="center"/>
        <w:outlineLvl w:val="9"/>
        <w:rPr>
          <w:rFonts w:hint="eastAsia" w:ascii="宋体" w:hAnsi="宋体" w:cs="宋体"/>
          <w:b/>
          <w:bCs/>
          <w:color w:val="auto"/>
          <w:sz w:val="28"/>
          <w:szCs w:val="28"/>
          <w:highlight w:val="none"/>
          <w:lang w:val="en-US" w:eastAsia="zh-CN"/>
        </w:rPr>
      </w:pPr>
    </w:p>
    <w:p w14:paraId="22E293C4">
      <w:pPr>
        <w:pStyle w:val="14"/>
        <w:ind w:left="0" w:leftChars="0" w:firstLine="0" w:firstLineChars="0"/>
        <w:jc w:val="center"/>
        <w:outlineLvl w:val="9"/>
        <w:rPr>
          <w:rFonts w:hint="eastAsia" w:ascii="宋体" w:hAnsi="宋体" w:cs="宋体"/>
          <w:b/>
          <w:bCs/>
          <w:color w:val="auto"/>
          <w:sz w:val="28"/>
          <w:szCs w:val="28"/>
          <w:highlight w:val="none"/>
          <w:lang w:val="en-US" w:eastAsia="zh-CN"/>
        </w:rPr>
      </w:pPr>
    </w:p>
    <w:p w14:paraId="7FE4A0FF">
      <w:pPr>
        <w:pStyle w:val="14"/>
        <w:ind w:left="0" w:leftChars="0" w:firstLine="0" w:firstLineChars="0"/>
        <w:jc w:val="center"/>
        <w:outlineLvl w:val="9"/>
        <w:rPr>
          <w:rFonts w:hint="eastAsia" w:ascii="宋体" w:hAnsi="宋体" w:cs="宋体"/>
          <w:b/>
          <w:bCs/>
          <w:color w:val="auto"/>
          <w:sz w:val="28"/>
          <w:szCs w:val="28"/>
          <w:highlight w:val="none"/>
          <w:lang w:val="en-US" w:eastAsia="zh-CN"/>
        </w:rPr>
      </w:pPr>
    </w:p>
    <w:p w14:paraId="1B62C117">
      <w:pPr>
        <w:pStyle w:val="14"/>
        <w:ind w:left="0" w:leftChars="0" w:firstLine="0" w:firstLineChars="0"/>
        <w:jc w:val="center"/>
        <w:outlineLvl w:val="9"/>
        <w:rPr>
          <w:rFonts w:hint="eastAsia" w:ascii="宋体" w:hAnsi="宋体" w:cs="宋体"/>
          <w:b/>
          <w:bCs/>
          <w:color w:val="auto"/>
          <w:sz w:val="28"/>
          <w:szCs w:val="28"/>
          <w:highlight w:val="none"/>
          <w:lang w:val="en-US" w:eastAsia="zh-CN"/>
        </w:rPr>
      </w:pPr>
    </w:p>
    <w:p w14:paraId="36F6176E">
      <w:pPr>
        <w:pStyle w:val="14"/>
        <w:ind w:left="0" w:leftChars="0" w:firstLine="0" w:firstLineChars="0"/>
        <w:jc w:val="center"/>
        <w:outlineLvl w:val="9"/>
        <w:rPr>
          <w:rFonts w:hint="eastAsia" w:ascii="宋体" w:hAnsi="宋体" w:cs="宋体"/>
          <w:b/>
          <w:bCs/>
          <w:color w:val="auto"/>
          <w:sz w:val="28"/>
          <w:szCs w:val="28"/>
          <w:highlight w:val="none"/>
          <w:lang w:val="en-US" w:eastAsia="zh-CN"/>
        </w:rPr>
      </w:pPr>
    </w:p>
    <w:p w14:paraId="29BC2843">
      <w:pPr>
        <w:pStyle w:val="14"/>
        <w:ind w:left="0" w:leftChars="0" w:firstLine="0" w:firstLineChars="0"/>
        <w:jc w:val="both"/>
        <w:outlineLvl w:val="9"/>
        <w:rPr>
          <w:rFonts w:hint="default" w:ascii="宋体" w:hAnsi="宋体" w:cs="宋体"/>
          <w:b/>
          <w:bCs/>
          <w:color w:val="auto"/>
          <w:sz w:val="28"/>
          <w:szCs w:val="28"/>
          <w:highlight w:val="none"/>
          <w:lang w:val="en-US" w:eastAsia="zh-CN"/>
        </w:rPr>
        <w:sectPr>
          <w:headerReference r:id="rId8" w:type="default"/>
          <w:footerReference r:id="rId9" w:type="default"/>
          <w:type w:val="continuous"/>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26" w:charSpace="0"/>
        </w:sectPr>
      </w:pPr>
    </w:p>
    <w:p w14:paraId="63642097">
      <w:pPr>
        <w:pStyle w:val="40"/>
        <w:numPr>
          <w:ilvl w:val="0"/>
          <w:numId w:val="17"/>
        </w:numPr>
        <w:spacing w:before="0" w:after="0"/>
        <w:outlineLvl w:val="1"/>
        <w:rPr>
          <w:color w:val="000000" w:themeColor="text1"/>
          <w:lang w:val="zh-CN"/>
          <w14:textFill>
            <w14:solidFill>
              <w14:schemeClr w14:val="tx1"/>
            </w14:solidFill>
          </w14:textFill>
        </w:rPr>
      </w:pPr>
      <w:bookmarkStart w:id="47" w:name="_Toc25502"/>
      <w:r>
        <w:rPr>
          <w:rFonts w:hint="eastAsia" w:ascii="宋体" w:hAnsi="宋体" w:cs="宋体"/>
          <w:color w:val="000000" w:themeColor="text1"/>
          <w:lang w:val="zh-CN"/>
          <w14:textFill>
            <w14:solidFill>
              <w14:schemeClr w14:val="tx1"/>
            </w14:solidFill>
          </w14:textFill>
        </w:rPr>
        <w:t>技术参数要求</w:t>
      </w:r>
    </w:p>
    <w:bookmarkEnd w:id="47"/>
    <w:p w14:paraId="49A7A00C">
      <w:pPr>
        <w:pStyle w:val="14"/>
        <w:ind w:left="0" w:leftChars="0" w:firstLine="0" w:firstLineChars="0"/>
        <w:jc w:val="both"/>
        <w:outlineLvl w:val="9"/>
        <w:rPr>
          <w:rFonts w:hint="default"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包一：</w:t>
      </w:r>
    </w:p>
    <w:tbl>
      <w:tblPr>
        <w:tblStyle w:val="44"/>
        <w:tblW w:w="8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9"/>
        <w:gridCol w:w="1104"/>
        <w:gridCol w:w="573"/>
        <w:gridCol w:w="467"/>
        <w:gridCol w:w="5456"/>
      </w:tblGrid>
      <w:tr w14:paraId="3FAFB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EA4B">
            <w:pPr>
              <w:keepNext w:val="0"/>
              <w:keepLines w:val="0"/>
              <w:widowControl/>
              <w:suppressLineNumbers w:val="0"/>
              <w:jc w:val="center"/>
              <w:textAlignment w:val="center"/>
              <w:rPr>
                <w:rFonts w:ascii="仿宋" w:hAnsi="仿宋" w:eastAsia="仿宋" w:cs="仿宋"/>
                <w:i w:val="0"/>
                <w:iCs w:val="0"/>
                <w:color w:val="000000"/>
                <w:sz w:val="18"/>
                <w:szCs w:val="18"/>
                <w:u w:val="none"/>
              </w:rPr>
            </w:pPr>
            <w:bookmarkStart w:id="48" w:name="bookmark52"/>
            <w:bookmarkEnd w:id="48"/>
            <w:r>
              <w:rPr>
                <w:rStyle w:val="361"/>
                <w:sz w:val="18"/>
                <w:szCs w:val="18"/>
                <w:lang w:val="en-US" w:eastAsia="zh-CN" w:bidi="ar"/>
              </w:rPr>
              <w:t>名称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1F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Style w:val="361"/>
                <w:sz w:val="18"/>
                <w:szCs w:val="18"/>
                <w:lang w:val="en-US" w:eastAsia="zh-CN" w:bidi="ar"/>
              </w:rPr>
              <w:t>设备名称</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6D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Style w:val="361"/>
                <w:sz w:val="18"/>
                <w:szCs w:val="18"/>
                <w:lang w:val="en-US" w:eastAsia="zh-CN" w:bidi="ar"/>
              </w:rPr>
              <w:t>数量</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C3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Style w:val="361"/>
                <w:sz w:val="18"/>
                <w:szCs w:val="18"/>
                <w:lang w:val="en-US" w:eastAsia="zh-CN" w:bidi="ar"/>
              </w:rPr>
              <w:t>单位</w:t>
            </w:r>
          </w:p>
        </w:tc>
        <w:tc>
          <w:tcPr>
            <w:tcW w:w="5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9C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Style w:val="361"/>
                <w:sz w:val="18"/>
                <w:szCs w:val="18"/>
                <w:lang w:val="en-US" w:eastAsia="zh-CN" w:bidi="ar"/>
              </w:rPr>
              <w:t>主要参数</w:t>
            </w:r>
          </w:p>
        </w:tc>
      </w:tr>
      <w:tr w14:paraId="43955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015A">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0A9B">
            <w:pPr>
              <w:jc w:val="left"/>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EF00">
            <w:pPr>
              <w:jc w:val="center"/>
              <w:rPr>
                <w:rFonts w:hint="eastAsia" w:ascii="仿宋" w:hAnsi="仿宋" w:eastAsia="仿宋" w:cs="仿宋"/>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43CF">
            <w:pPr>
              <w:jc w:val="center"/>
              <w:rPr>
                <w:rFonts w:hint="eastAsia" w:ascii="仿宋" w:hAnsi="仿宋" w:eastAsia="仿宋" w:cs="仿宋"/>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46DCDC6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计算机教室（每间教室：1教师机+1云服务器+学生机）</w:t>
            </w:r>
          </w:p>
        </w:tc>
      </w:tr>
      <w:tr w14:paraId="06DD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687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计算机教室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261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教师机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34A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8B2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D7C3">
            <w:pPr>
              <w:keepNext w:val="0"/>
              <w:keepLines w:val="0"/>
              <w:widowControl/>
              <w:suppressLineNumbers w:val="0"/>
              <w:spacing w:after="360" w:afterAutospacing="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 CPU：≧I5-13500同性能处理器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2.主板：Q670及以上商用芯片组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3.内存：≧16G DDR4 3200MHz 内存，提供4个内存槽位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4.显卡：集成显卡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5.声卡：5.1声道集成声卡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6.硬盘：≧512G M.2 NVME SSD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7.网卡：集成10/100/1000M以太网卡；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8.扩展槽：1个PCI-E*16、2个PCI-E*4</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9.键盘、鼠标：原厂防水键盘、抗菌鼠标；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10.接口： ≧6个USB接口(其中至少4个USB 3.2 G1接口 )、VGA+1*HDMI接口（VGA非转接）；                                                                                显示器：≧23.8英寸屏，，1920*1080全高清分辨率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11.电源：≧180W 节能电源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12.安全特性：USB屏蔽技术，仅识别USB键盘、鼠标，无法识别USB读取设备，有效防止数据泄露；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13.机箱：标准MATX立式机箱，采用蜂窝结构，散热更为有效；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14.机箱顶置提手，顶置电源开关键；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15.操作系统：正版操作系统；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售后服务：原厂3年保修，投标时提供原厂售后服务承诺函原件。</w:t>
            </w:r>
          </w:p>
        </w:tc>
      </w:tr>
      <w:tr w14:paraId="2009B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6"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F4F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计算机教室</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6A3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学生终端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E2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108</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14:paraId="73C63A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45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BB65921">
            <w:pPr>
              <w:keepNext w:val="0"/>
              <w:keepLines w:val="0"/>
              <w:widowControl/>
              <w:suppressLineNumbers w:val="0"/>
              <w:spacing w:after="400" w:afterAutospacing="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1.CPU：≧I5-13500同性能处理器；2.主板：Q670及以上商用芯片组；3.内存：≧8G DDR4 3200MHz 内存，提供4个内存槽位；4.显卡：集成显卡；5.声卡：5.1声道，集成声卡；6.硬盘：≧512G M.2 NVME SSD ；7.网卡：集成10/100/1000M以太网卡；8.扩展槽：1个PCI-E*16、2个PCI-E*4；9.键盘、鼠标：原厂防水键盘、抗菌鼠标；10.接口： ≧6个USB接口(其中至少4个USB 3.2 G1接口 )、VGA+1*HDMI接口（VGA非转接）；                                                                            11.显示器：≧21.45英寸屏，，1920*1080全高清分辨率 ；12.电源：≧180W 节能电源 ；13.安全特性：USB屏蔽技术，仅识别USB键盘、鼠标，无法识别USB读取设备，有效防止数据泄露； 14.机箱：标准MATX立式机箱，采用蜂窝结构，散热更为有效；强力散热风扇；15.机箱顶置提手，顶置电源开关键； 16.操作系统：正版操作系统；                                                               售后服务：原厂3年保修，投标时提供原厂售后服务承诺函原件并加盖鲜章。17.支持终端的双盘管理，支持双盘固态和机械盘混合缓存载入。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18.客户端缓存功能:客户端支持将服务器镜像文件缓存至本地硬盘，支持小容量固态硬盘以增量非分区的方式缓存至少五个以上的镜像；客户端需要支持多盘缓存模式，固体盘和机械盘混合盘。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19.镜像出厂内置安装同品牌的电脑管理软件，实现对桌面进行安全防护，深度查杀，弹窗管理等功能。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20.支持管理平台同时具有导航管理界面和专业管理界面，随意切换，导航管理界面提供常用操作功能，点击根据导航指导步骤完成操作，特殊位置有手册说明。</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21.支持Legacy与UEFI两种方式启动系统，支持管理双网卡、双硬盘，支持NVME，M.2新型高速固态硬盘，同时兼容新老机型部署。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22.硬件资产管理：收集平台中所有终端硬件配置信息，包括终端名称、主板型号、CPU型号、内存容量、最近运行时间、合计运行时间、硬件变更和记录信息等。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23.硬件状态：收集平台中所有运行状态信息，至少包括设备地点、终端名称、CPU温度、主板温度、CPU风扇转速、开机时间、硬盘信息等。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24.软件资产管理，支持收集软件列表，软件安装时间，使用时长并计算使用率。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25.集群及负载均衡:系统支持服务器集群及高性能负载均衡功能，可配置多I/O服务器多通道同时协同工作,将客户端独立分配至服务器集群的某一I/O服务器中某一网卡通道下进行流量及压力分解，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26.具有平台运维驾驶舱展示平台，重点展示管理服务器的基本信息、设备详情、资产信息、开关机对比、日志信息、运行计划、系统软件图形统计、系统使用情况等。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27.支持保修已经过期和保修即将过期提醒服务。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28.支持课表管理，新建课表，按照设定的上下课时间进行开机、关机和切换桌面模版操作，可以把课表进行复制、导出、启用、禁用等操作。                                                                                                                            29.所投设备需要具备CCC认证；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30.所投设备需要具备节能认证；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31.要求所投产品符合中国环境标志产品认证；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32.教师演示：教师可对单一、部分或全体学生进行屏幕演示，全屏、窗口方式均可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33.分组教学：教师分派组长执行指定的功能，组长代替教师进行小组教学，小组不需要再临时创建，可以直接使用既有分组信息，教师可以监控每个分组的教学过程，以了解分组教学的进度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34.分组讨论：教师可以创建多个小组进行讨论活动，并可任意选择分组加入讨论活动。同组师生支持多种方式进行交流，包括文字，表情，图片等。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35.屏幕录制：教师机可以将本地的操作和讲解过程录制为ASF录像文件；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36.文件分发：允许教师将教师机不同盘符中的目录或文件一起发送至生机的某目录下。目录不存在自动新建此目录；盘符不存在或路径非法不允许分发；文件已存在选择自动覆盖或保留原始文件。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37.作业提交：学生把做好的作业直接提交到教师机。通过特殊设置，学生提交作业时必需经过教师审批通过后才可提交，教师可以选择接收和拒绝学生提交的文件。并且教师可以限制学生提交文件的数目和大小。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38.上网限制：设定学生访问网站的黑名单或白名单，对学生可以访问的Internet站点进行管理。支持多浏览器限制。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39.程序限制：通过各种策略的应用，可防止学生在教学过程中打游戏，或使用QQ，MSN等聊天工具。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40.远程设置：远程设置学生桌面主题、桌面背景、屏幕保护方案、学生的频道号和音量、学生端密码，是否启用进程保护，断线锁屏，热键退出等。</w:t>
            </w:r>
          </w:p>
        </w:tc>
      </w:tr>
      <w:tr w14:paraId="2A67E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7"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6A2F6">
            <w:pPr>
              <w:jc w:val="center"/>
              <w:rPr>
                <w:rFonts w:hint="eastAsia" w:ascii="仿宋" w:hAnsi="仿宋" w:eastAsia="仿宋" w:cs="仿宋"/>
                <w:i w:val="0"/>
                <w:iCs w:val="0"/>
                <w:color w:val="000000"/>
                <w:sz w:val="18"/>
                <w:szCs w:val="18"/>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FCF16">
            <w:pPr>
              <w:jc w:val="center"/>
              <w:rPr>
                <w:rFonts w:hint="eastAsia" w:ascii="仿宋" w:hAnsi="仿宋" w:eastAsia="仿宋" w:cs="仿宋"/>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76368">
            <w:pPr>
              <w:jc w:val="center"/>
              <w:rPr>
                <w:rFonts w:hint="eastAsia" w:ascii="仿宋" w:hAnsi="仿宋" w:eastAsia="仿宋" w:cs="仿宋"/>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00E6953E">
            <w:pPr>
              <w:jc w:val="center"/>
              <w:rPr>
                <w:rFonts w:hint="eastAsia" w:ascii="仿宋" w:hAnsi="仿宋" w:eastAsia="仿宋" w:cs="仿宋"/>
                <w:i w:val="0"/>
                <w:iCs w:val="0"/>
                <w:color w:val="000000"/>
                <w:sz w:val="18"/>
                <w:szCs w:val="18"/>
                <w:u w:val="none"/>
              </w:rPr>
            </w:pPr>
          </w:p>
        </w:tc>
        <w:tc>
          <w:tcPr>
            <w:tcW w:w="545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A5D146A">
            <w:pPr>
              <w:jc w:val="left"/>
              <w:rPr>
                <w:rFonts w:hint="eastAsia" w:ascii="仿宋" w:hAnsi="仿宋" w:eastAsia="仿宋" w:cs="仿宋"/>
                <w:i w:val="0"/>
                <w:iCs w:val="0"/>
                <w:color w:val="000000"/>
                <w:sz w:val="18"/>
                <w:szCs w:val="18"/>
                <w:u w:val="none"/>
              </w:rPr>
            </w:pPr>
          </w:p>
        </w:tc>
      </w:tr>
      <w:tr w14:paraId="571D2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526BD">
            <w:pPr>
              <w:jc w:val="center"/>
              <w:rPr>
                <w:rFonts w:hint="eastAsia" w:ascii="仿宋" w:hAnsi="仿宋" w:eastAsia="仿宋" w:cs="仿宋"/>
                <w:i w:val="0"/>
                <w:iCs w:val="0"/>
                <w:color w:val="000000"/>
                <w:sz w:val="18"/>
                <w:szCs w:val="18"/>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E8672">
            <w:pPr>
              <w:jc w:val="center"/>
              <w:rPr>
                <w:rFonts w:hint="eastAsia" w:ascii="仿宋" w:hAnsi="仿宋" w:eastAsia="仿宋" w:cs="仿宋"/>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3D33">
            <w:pPr>
              <w:jc w:val="center"/>
              <w:rPr>
                <w:rFonts w:hint="eastAsia" w:ascii="仿宋" w:hAnsi="仿宋" w:eastAsia="仿宋" w:cs="仿宋"/>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4A1F7979">
            <w:pPr>
              <w:jc w:val="center"/>
              <w:rPr>
                <w:rFonts w:hint="eastAsia" w:ascii="仿宋" w:hAnsi="仿宋" w:eastAsia="仿宋" w:cs="仿宋"/>
                <w:i w:val="0"/>
                <w:iCs w:val="0"/>
                <w:color w:val="000000"/>
                <w:sz w:val="18"/>
                <w:szCs w:val="18"/>
                <w:u w:val="none"/>
              </w:rPr>
            </w:pPr>
          </w:p>
        </w:tc>
        <w:tc>
          <w:tcPr>
            <w:tcW w:w="545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ED3DE18">
            <w:pPr>
              <w:jc w:val="left"/>
              <w:rPr>
                <w:rFonts w:hint="eastAsia" w:ascii="仿宋" w:hAnsi="仿宋" w:eastAsia="仿宋" w:cs="仿宋"/>
                <w:i w:val="0"/>
                <w:iCs w:val="0"/>
                <w:color w:val="000000"/>
                <w:sz w:val="18"/>
                <w:szCs w:val="18"/>
                <w:u w:val="none"/>
              </w:rPr>
            </w:pPr>
          </w:p>
        </w:tc>
      </w:tr>
      <w:tr w14:paraId="50758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3"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C2F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计算机机房</w:t>
            </w:r>
          </w:p>
        </w:tc>
        <w:tc>
          <w:tcPr>
            <w:tcW w:w="1104" w:type="dxa"/>
            <w:tcBorders>
              <w:top w:val="single" w:color="000000" w:sz="4" w:space="0"/>
              <w:left w:val="single" w:color="000000" w:sz="4" w:space="0"/>
              <w:bottom w:val="nil"/>
              <w:right w:val="single" w:color="000000" w:sz="4" w:space="0"/>
            </w:tcBorders>
            <w:shd w:val="clear" w:color="auto" w:fill="auto"/>
            <w:vAlign w:val="center"/>
          </w:tcPr>
          <w:p w14:paraId="0D7552E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云服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务器</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7F3405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EA0CD5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456" w:type="dxa"/>
            <w:tcBorders>
              <w:top w:val="nil"/>
              <w:left w:val="single" w:color="000000" w:sz="8" w:space="0"/>
              <w:bottom w:val="nil"/>
              <w:right w:val="single" w:color="000000" w:sz="8" w:space="0"/>
            </w:tcBorders>
            <w:shd w:val="clear" w:color="auto" w:fill="auto"/>
            <w:vAlign w:val="center"/>
          </w:tcPr>
          <w:p w14:paraId="2EBBBBB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1.采用塔式管理服务器，非机架式服务器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2.CPU：≥i5-13500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3.内存：实配内存≥16GB，整机最大支持128GB内存，配置≥4个DDR4 内存插槽，内存速度≥3200MHz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4.硬盘：整机配置≥1块512G M.2 SSD硬盘，支持512GB，1.0TB，2.0TB多种规格M.2硬盘，整机配置≥1块1TBSATA硬盘，支持1TB、2TB、4TB规格SATA硬盘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5.网口：整机支持不少于1块以上的千兆物理网卡；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6.电源：配置≥180W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7.USB：配置≥6个USB接口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8.显示器：≥21.45英寸屏，≥1920*1080全高清分辨率，支持VGA+HDMI接口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9.为了保证兼容性，要求所投服务器、云终端、教师机、显示器、云桌面相关软件、电子教室软件为同一品牌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10.单台管理设备要求同时支持≥1000点云终端的连接、管理和配置，以满足学校后期的扩容需求。</w:t>
            </w:r>
          </w:p>
        </w:tc>
      </w:tr>
      <w:tr w14:paraId="3DA60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7" w:hRule="atLeast"/>
        </w:trPr>
        <w:tc>
          <w:tcPr>
            <w:tcW w:w="679" w:type="dxa"/>
            <w:vMerge w:val="restart"/>
            <w:tcBorders>
              <w:top w:val="single" w:color="000000" w:sz="4" w:space="0"/>
              <w:left w:val="single" w:color="000000" w:sz="4" w:space="0"/>
              <w:bottom w:val="nil"/>
              <w:right w:val="single" w:color="000000" w:sz="4" w:space="0"/>
            </w:tcBorders>
            <w:shd w:val="clear" w:color="auto" w:fill="auto"/>
            <w:vAlign w:val="center"/>
          </w:tcPr>
          <w:p w14:paraId="14D0D3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计算机机房</w:t>
            </w:r>
          </w:p>
        </w:tc>
        <w:tc>
          <w:tcPr>
            <w:tcW w:w="1104" w:type="dxa"/>
            <w:vMerge w:val="restart"/>
            <w:tcBorders>
              <w:top w:val="single" w:color="000000" w:sz="4" w:space="0"/>
              <w:left w:val="single" w:color="000000" w:sz="4" w:space="0"/>
              <w:bottom w:val="nil"/>
              <w:right w:val="single" w:color="000000" w:sz="4" w:space="0"/>
            </w:tcBorders>
            <w:shd w:val="clear" w:color="auto" w:fill="auto"/>
            <w:vAlign w:val="center"/>
          </w:tcPr>
          <w:p w14:paraId="242D12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平台管理软件</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106600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67" w:type="dxa"/>
            <w:vMerge w:val="restart"/>
            <w:tcBorders>
              <w:top w:val="single" w:color="000000" w:sz="4" w:space="0"/>
              <w:left w:val="single" w:color="000000" w:sz="4" w:space="0"/>
              <w:bottom w:val="nil"/>
              <w:right w:val="single" w:color="000000" w:sz="4" w:space="0"/>
            </w:tcBorders>
            <w:shd w:val="clear" w:color="auto" w:fill="auto"/>
            <w:vAlign w:val="center"/>
          </w:tcPr>
          <w:p w14:paraId="332F48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456" w:type="dxa"/>
            <w:vMerge w:val="restart"/>
            <w:tcBorders>
              <w:top w:val="single" w:color="000000" w:sz="4" w:space="0"/>
              <w:left w:val="single" w:color="000000" w:sz="4" w:space="0"/>
              <w:bottom w:val="nil"/>
              <w:right w:val="single" w:color="000000" w:sz="4" w:space="0"/>
            </w:tcBorders>
            <w:shd w:val="clear" w:color="auto" w:fill="auto"/>
            <w:vAlign w:val="top"/>
          </w:tcPr>
          <w:p w14:paraId="3E9A6948">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1.支持管理平台同时具有导航管理界面和专业管理界面，随意切换，导航管理界面提供常用操作功能，点击根据导航指导步骤完成操作，特殊位置有手册说明。</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2.支持Legacy与UEFI两种方式启动系统，支持管理双网卡、双硬盘，支持NVME，M.2新型高速固态硬盘，同时兼容新老机型部署。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3.支持批量管理设置终端机计算机名、IP地址、分辨率、时间同步等配置信息。针对不同的群组指定不同的安全管控策略。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4.支持超级镜像功能，可通过一个标准镜像可以支持多种不同硬件配置，可覆盖不同品牌、跨越不同代的CPU。</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管理分组及桌面分配：支持将客户端进行分组的方式管理，管理员可根据配置好的镜像分配给相应的用户或用户组，支持P2P边用边载的背景载入功能，可在正常上课的同时完成缓存载入，同一网络机器可互相分享数据，支持断点续传，不需要强制一次下发完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6.支持同传网络探测与网络速度测试，发现所管理的终端的网络速度是千兆或者百兆，提前优化下发策略。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7.支持复杂网络环境、跨校区跨互联网部署 。 IP可达即可部署。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8.多环境教学组合:自定义多个教学系统环境的复原组合，独立设置某一系统盘数据盘的还原、写入模式，支持对操作系统进行复原后，计算机名、IP地址、域用户等信息保存功能。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9.支持管理老师做好模板进行系统同传完成后的自动实现关机、重启等操作。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10.支持从服务器端发起对客户端进行远程开机、关机、发送通知消息，发送远程命令，在提供授权情况下，支持管理员远程桌面协助排错功能。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11.硬件资产管理：收集平台中所有终端硬件配置信息，包括终端名称、主板型号、CPU型号、内存容量、最近运行时间、合计运行时间、硬件变更和记录信息等。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12.硬件状态：收集平台中所有运行状态信息，至少包括设备地点、终端名称、CPU温度、主板温度、CPU风扇转速、开机时间、硬盘信息等。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13.软件资产管理，支持收集软件列表，软件安装时间，使用时长并计算使用率。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14.集群及负载均衡:系统支持服务器集群及高性能负载均衡功能，可配置多I/O服务器多通道同时协同工作,将客户端独立分配至服务器集群的某一I/O服务器中某一网卡通道下进行流量及压力分解。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15.平台可以进行计划任务设置，可以设置固定时间、每天、每周、每月进行定时执行各种任务类型，包括开机、关机、切换模板、还原数据盘。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16.具有平台运维驾驶舱展示平台，重点展示管理服务器的基本信息、设备详情、资产信息、开关机对比、日志信息、运行计划、系统软件图形统计、系统使用情况等。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17.支持保修已经过期和保修即将过期提醒服务。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18.管理平台支持服务器使用的网络端口检测功能，及时发现哪些端口被占用，通过端口占用情况来快速判断问题和解决问题。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19.支持课表管理，新建课表，按照设定的上下课时间进行开机、关机和切换桌面模版操作，可以把课表进行复制、导出、启用、禁用等操作。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20.支持上机管理功能：通过学生登录账户记录学生上机记录，可以展示上机情况，并可以对登录上机情况进行记录，支持上机记录导出功能。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21.要求支持个人网盘和公共网盘，实现不同的用户有不同私人存储空间和公共存储空间。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22.要求所投教师机、学生终端、显示器、桌面相关软件、电子教室软件为同一品牌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23.同时支持≥1000点云终端的连接、管理和配置。</w:t>
            </w:r>
          </w:p>
        </w:tc>
      </w:tr>
      <w:tr w14:paraId="46432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5" w:hRule="atLeast"/>
        </w:trPr>
        <w:tc>
          <w:tcPr>
            <w:tcW w:w="679" w:type="dxa"/>
            <w:vMerge w:val="continue"/>
            <w:tcBorders>
              <w:top w:val="single" w:color="000000" w:sz="4" w:space="0"/>
              <w:left w:val="single" w:color="000000" w:sz="4" w:space="0"/>
              <w:bottom w:val="nil"/>
              <w:right w:val="single" w:color="000000" w:sz="4" w:space="0"/>
            </w:tcBorders>
            <w:shd w:val="clear" w:color="auto" w:fill="auto"/>
            <w:vAlign w:val="center"/>
          </w:tcPr>
          <w:p w14:paraId="2366D6A7">
            <w:pPr>
              <w:jc w:val="center"/>
              <w:rPr>
                <w:rFonts w:hint="eastAsia" w:ascii="仿宋" w:hAnsi="仿宋" w:eastAsia="仿宋" w:cs="仿宋"/>
                <w:i w:val="0"/>
                <w:iCs w:val="0"/>
                <w:color w:val="000000"/>
                <w:sz w:val="18"/>
                <w:szCs w:val="18"/>
                <w:u w:val="none"/>
              </w:rPr>
            </w:pPr>
          </w:p>
        </w:tc>
        <w:tc>
          <w:tcPr>
            <w:tcW w:w="1104" w:type="dxa"/>
            <w:vMerge w:val="continue"/>
            <w:tcBorders>
              <w:top w:val="single" w:color="000000" w:sz="4" w:space="0"/>
              <w:left w:val="single" w:color="000000" w:sz="4" w:space="0"/>
              <w:bottom w:val="nil"/>
              <w:right w:val="single" w:color="000000" w:sz="4" w:space="0"/>
            </w:tcBorders>
            <w:shd w:val="clear" w:color="auto" w:fill="auto"/>
            <w:vAlign w:val="center"/>
          </w:tcPr>
          <w:p w14:paraId="53D5E0D2">
            <w:pPr>
              <w:jc w:val="center"/>
              <w:rPr>
                <w:rFonts w:hint="eastAsia" w:ascii="仿宋" w:hAnsi="仿宋" w:eastAsia="仿宋" w:cs="仿宋"/>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15EB608B">
            <w:pPr>
              <w:jc w:val="center"/>
              <w:rPr>
                <w:rFonts w:hint="eastAsia" w:ascii="仿宋" w:hAnsi="仿宋" w:eastAsia="仿宋" w:cs="仿宋"/>
                <w:i w:val="0"/>
                <w:iCs w:val="0"/>
                <w:color w:val="000000"/>
                <w:sz w:val="18"/>
                <w:szCs w:val="18"/>
                <w:u w:val="none"/>
              </w:rPr>
            </w:pPr>
          </w:p>
        </w:tc>
        <w:tc>
          <w:tcPr>
            <w:tcW w:w="467" w:type="dxa"/>
            <w:vMerge w:val="continue"/>
            <w:tcBorders>
              <w:top w:val="single" w:color="000000" w:sz="4" w:space="0"/>
              <w:left w:val="single" w:color="000000" w:sz="4" w:space="0"/>
              <w:bottom w:val="nil"/>
              <w:right w:val="single" w:color="000000" w:sz="4" w:space="0"/>
            </w:tcBorders>
            <w:shd w:val="clear" w:color="auto" w:fill="auto"/>
            <w:vAlign w:val="center"/>
          </w:tcPr>
          <w:p w14:paraId="6D64A89B">
            <w:pPr>
              <w:jc w:val="center"/>
              <w:rPr>
                <w:rFonts w:hint="eastAsia" w:ascii="仿宋" w:hAnsi="仿宋" w:eastAsia="仿宋" w:cs="仿宋"/>
                <w:i w:val="0"/>
                <w:iCs w:val="0"/>
                <w:color w:val="000000"/>
                <w:sz w:val="18"/>
                <w:szCs w:val="18"/>
                <w:u w:val="none"/>
              </w:rPr>
            </w:pPr>
          </w:p>
        </w:tc>
        <w:tc>
          <w:tcPr>
            <w:tcW w:w="5456" w:type="dxa"/>
            <w:vMerge w:val="continue"/>
            <w:tcBorders>
              <w:top w:val="single" w:color="000000" w:sz="4" w:space="0"/>
              <w:left w:val="single" w:color="000000" w:sz="4" w:space="0"/>
              <w:bottom w:val="nil"/>
              <w:right w:val="single" w:color="000000" w:sz="4" w:space="0"/>
            </w:tcBorders>
            <w:shd w:val="clear" w:color="auto" w:fill="auto"/>
            <w:vAlign w:val="top"/>
          </w:tcPr>
          <w:p w14:paraId="7ACA315D">
            <w:pPr>
              <w:jc w:val="left"/>
              <w:rPr>
                <w:rFonts w:hint="eastAsia" w:ascii="仿宋" w:hAnsi="仿宋" w:eastAsia="仿宋" w:cs="仿宋"/>
                <w:i w:val="0"/>
                <w:iCs w:val="0"/>
                <w:color w:val="000000"/>
                <w:sz w:val="18"/>
                <w:szCs w:val="18"/>
                <w:u w:val="none"/>
              </w:rPr>
            </w:pPr>
          </w:p>
        </w:tc>
      </w:tr>
      <w:tr w14:paraId="6226E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5"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8359">
            <w:pPr>
              <w:jc w:val="center"/>
              <w:rPr>
                <w:rFonts w:hint="eastAsia" w:ascii="仿宋" w:hAnsi="仿宋" w:eastAsia="仿宋" w:cs="仿宋"/>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D7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电脑桌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02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0D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5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FC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1.台面：规格：1200*600mm；采用25mm厚E1级环保板材，桌面须进行防菌防霉检测并能够提供检测报告。采用1.5mm厚PVC本色封边,易清洁、耐磨、耐烟酌、抗污染。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2.台身：“蝴蝶”型桌架，台脚上梁采用50*15*1.1MM扁管，立柱采用40D型管材，壁厚1.1mm。桌腿内部可以走线，预留加装电源插座空间。封闭式电脑主机箱，电脑主机横向在桌下靠后位置安装，背板采用0.6mm厚优质冷轧钢板折弯成型前上横梁采用25*25*1.1方管，台架整体外表经酸洗、磷化、静电喷涂工艺。台架整体采用拆装结构，主机箱分左右两门，门带旋转锁具，台架底部含4个水平调整脚。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3.产品须通过针对桌体钣金、桌面木板（含涂层）等部件甲醛释放量、重金属含量等9项有害物质的检测，其中产品重金属，甲醛符合</w:t>
            </w:r>
          </w:p>
        </w:tc>
      </w:tr>
      <w:tr w14:paraId="1AEA1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2"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C1A8">
            <w:pPr>
              <w:jc w:val="center"/>
              <w:rPr>
                <w:rFonts w:hint="eastAsia" w:ascii="仿宋" w:hAnsi="仿宋" w:eastAsia="仿宋" w:cs="仿宋"/>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D3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凳子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B7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108</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71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B08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1.凳面采用：340*240mm、三聚氰胺板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 凳腿凳架：采用25*25*1.2mm 矩形管焊制而成，配脚套；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 底套：采用优质工程聚丙防滑脚垫，自堵安装；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4.钢制件外表面处理工艺：全部采用除油、除锈、磷化、清洗、静电喷涂；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5.涂层要求 ：涂层外观：无花斑、无“桔皮”，不允许有肉眼能见机械杂质、污浊、气泡、针孔。</w:t>
            </w:r>
          </w:p>
        </w:tc>
      </w:tr>
      <w:tr w14:paraId="78ABB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7"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D0A5">
            <w:pPr>
              <w:jc w:val="center"/>
              <w:rPr>
                <w:rFonts w:hint="eastAsia" w:ascii="仿宋" w:hAnsi="仿宋" w:eastAsia="仿宋" w:cs="仿宋"/>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19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6D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71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862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42U机柜，600*800*2055mm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8口PDU国标电源插排×1，固定板部件×3,风扇×4,2"重型脚轮×4，M12支脚×4，M6方螺母螺钉×40，内六角扳手×1</w:t>
            </w:r>
          </w:p>
        </w:tc>
      </w:tr>
      <w:tr w14:paraId="405EF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00FD">
            <w:pPr>
              <w:jc w:val="center"/>
              <w:rPr>
                <w:rFonts w:hint="eastAsia" w:ascii="仿宋" w:hAnsi="仿宋" w:eastAsia="仿宋" w:cs="仿宋"/>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DB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782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5F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83B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24x100M/1G/2.5G/5G/10GBase-T以太网端口，4x10GE SFP+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1个扩展插槽；可插拔双电源，支持交流供电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支持USB  ；包转发率:780Mpps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交换容量:256Tbps/23.04Tbps</w:t>
            </w:r>
          </w:p>
        </w:tc>
      </w:tr>
      <w:tr w14:paraId="6BD30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0D50">
            <w:pPr>
              <w:jc w:val="center"/>
              <w:rPr>
                <w:rFonts w:hint="eastAsia" w:ascii="仿宋" w:hAnsi="仿宋" w:eastAsia="仿宋" w:cs="仿宋"/>
                <w:i w:val="0"/>
                <w:iCs w:val="0"/>
                <w:color w:val="00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9A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A3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9C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c>
          <w:tcPr>
            <w:tcW w:w="5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8EA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国标六类网线、电源线、水晶头、PDU等</w:t>
            </w:r>
          </w:p>
        </w:tc>
      </w:tr>
      <w:tr w14:paraId="4C00B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94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2135">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143E">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0D6F">
            <w:pPr>
              <w:rPr>
                <w:rFonts w:hint="eastAsia" w:ascii="仿宋" w:hAnsi="仿宋" w:eastAsia="仿宋" w:cs="仿宋"/>
                <w:i w:val="0"/>
                <w:iCs w:val="0"/>
                <w:color w:val="000000"/>
                <w:sz w:val="18"/>
                <w:szCs w:val="18"/>
                <w:u w:val="none"/>
              </w:rPr>
            </w:pPr>
          </w:p>
        </w:tc>
        <w:tc>
          <w:tcPr>
            <w:tcW w:w="5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081C">
            <w:pPr>
              <w:jc w:val="left"/>
              <w:rPr>
                <w:rFonts w:hint="eastAsia" w:ascii="仿宋" w:hAnsi="仿宋" w:eastAsia="仿宋" w:cs="仿宋"/>
                <w:i w:val="0"/>
                <w:iCs w:val="0"/>
                <w:color w:val="000000"/>
                <w:sz w:val="18"/>
                <w:szCs w:val="18"/>
                <w:u w:val="none"/>
              </w:rPr>
            </w:pPr>
          </w:p>
        </w:tc>
      </w:tr>
      <w:tr w14:paraId="18AFF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5"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C0F6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班班通设备</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5177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智慧黑板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BC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1D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45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6286DEF">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一：整机硬件参数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1.整机尺寸：长度≥4200mm、高度≥1200mm、厚度≤100mm，整机采用三拼接平面一体化设计，无推拉式结构及外露连接线。屏幕边缘采用超薄金属圆角包边防护，背板采用金属材质；防潮耐盐雾蚀锈。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2.中央主屏幕显示采用≥86 英寸 UHD 超高清 LED 液晶屏，屏幕分辨率≥3840*2160，显示比例 16:9。支持 sRGB 模式，在 sRGB 模式下可做到高色准△E≤1.5。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3.整机中间主屏及两侧副屏可支持多种媒介进行板书书写。书写面板采用耐磨玻璃材质。书写面板采用防眩光全钢化防爆玻璃面板，玻璃面板通过国家强制玻璃标准，表面压力≥100Mpa。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4.采用电容触控技术，支持 Windows 和 Android 系统中进行 20 点或以上触控。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5.中间显示屏采用防眩钢化玻璃设计，玻璃厚度≤3mm，防划防撞耐磨，具备防眩光功能，透光率≥90%，表面硬度≥9H。</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6.前置输入接口：≥1 路 TypeC、≥2 路 USB3.0，支持 Android 系统、Windows系统读取外接移动存储设备。侧置输入接口：≥1 路 HDMI、≥1 路 RS232；侧置输出接口：≥1 路音频输出、≥1 路触控输出 USB。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7.整机内置 2.2 声道立体声扬声器，顶置发声设计，具备中高低音扬声器，总功率≥60W。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8.设备支持 5 个自定义前置按键，“设置”、“音量-”，“音量+”，“录屏”“护眼”按键，可通过自定义设置实现前置面板功能按键一键启用任一全局小工具、快捷开关。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9.整机能感应并自动调节屏幕亮度来达到在不同光照环境下的不同亮度显示效果。在任意通道任意画面任意软件所在显示内容下可实时调整画面纹理。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10.智能交互黑板屏体采用物理防蓝光技术，厂家出具符合 GB/T 40070-2021 检测报告。</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11.内置摄像头支持≥1600W 像素的视频采集，支持输出≥4K；支持对角视场角≥135°，水平视场角≥120°；支持扫描二维码功能，快速调用信息，使用摄像头可实现远程巡课。可 AI 识别人像，人像识别距离≥10 米。摄像头支持人脸识别、快速点人数、随机抽人，可识别镜头前的所有学生，并显示人脸标记、随机抽选。支持同时显示标记≥60 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12.整机内置非独立外扩展的麦克风，麦克风拾音距离≥10m。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13.整机支持蓝牙 Bluetooth 5.2 标准。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14.整机支持搭配具有 NFC 功能的手机、即可实现手机、平板与大屏的连接并同步手机、平板的画面到设备上，无需其它操作设置，支持≥4 台手机、平板同时连接并显示。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15.系统版本≥Android 13.0，内存＞2GB，存储空间＞8GB。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16.有线网络：部署单根网线可实现 Android、Windows 双系统有线网络联通。整机无需外接无线网卡，在嵌入式系统下接入无线网络，切换到 Windows 系统下可同时实现无线上网功能，不需手动重复设置。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17.内置无线传屏接收器。整机内置硬件自检维护工具。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18.智能交互黑板具备前置笔槽设计。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19.整机开机后自动进入教学桌面，支持账号登录/退出。可自动获取个人云端教学课件列表、并可进入全部课件列表。支持多种身份识别方式，可通过账号登录、手机扫码登录，并支持账号安全登录检测。支持统一互通的用户身份认证服务，账号登录后，打开教学白板软件、学生行为评价软件的教学应用工具时无需再次输入账号密码重复登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20.整机设备教学桌面支持教学常用的教学白板软件、文件管理软件、学生行为评价软件；教学桌面首页支持自定义桌面应用，支持展示 8 个应用入口。并提供快速进入本机所有应用的入口。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二、Windows 系统电脑配置要求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1.搭载Intel系列12代或以上CPU i7 ，主频≥3.0GHz，内存：≥16GB DDR4，硬盘：≥256GB SSD（M.2）固态硬盘。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2.采用抽拉（插拔）内置式模块化电脑。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3.具有独立非外扩展的电脑 USB 接口：PC 模块上 USB3.0≥3 个，USB2.0≥1 个，HDMI≥1，1000M RJ45≥1 个，MIC-IN≥1。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4.安装正版操作系统。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三、交互式白板软件功能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1、备授课一体化，具有备课模式及授课模式。课件云存储。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2、书写工具:提供多种书写工具。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3.白板软件可支持一对一分享云课件，用户通过注册手机号登录云空间，用户可在软件中直接接收并打开课件。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4.提供快捷抠图功能。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5.学科工具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语文学科工具：需提供拼音教学工具，可实现声母韵母的读音、笔画顺序演示等。支持输入英文单词，生成包含释义和读音的单词卡，可插入多个单词卡，同时支持老师备课模式下编辑单词释义，或自定义创建未被收录的单词，并在授课模式下进行展示。提供覆盖小学、初中的古诗词、古文资源，包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原文、翻译、背景介绍、作者介绍、朗诵音频等。支持用户根据年级、朝代、诗人等进行分类查找，也可直接搜索诗词、古文名称或作者名查找。每篇古诗词、古文均提供原文及翻译、背景介绍、作者介绍等，同时支持一键跳转打开网页或本地资源，展示对应的背景或作者介绍。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数学学科工具：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几何图形绘制：支持输入任意长度线条，并可设置为线段、射线；支持输入任意边数及角度的图形，可显示或隐藏角度大小，并可直接通过修改角度编辑图形；支持输入任意角度的扇形及圆形，可显示角度大小；支持绘制立方体、圆柱体等立体几何图形；支 持任意调节立体几何图形的尺寸，改变长宽高比例支持为长方体 6 个面分别涂色，并且可通过任意旋转观察涂色与未涂色的表面。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（2）支持复杂数学公式输入。可缩放函数图像与坐标轴，可显示坐标网格，函数图生成后可重新编辑，支持输入函数表达式后，即时生成对应的函数 图像，软件自带专业函数输入键盘，支持同时绘制 6 个及以上函数表达式，可显示函数与函数图像彼此相交、函数与坐标轴相交的交点坐标。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地理学科工具：3D 星球模型：提供 3D 立体星球模型，。地球教学工具：提供立体地球教学工具，化学学科工具：需提供化学器械、化学器皿等多种实验素材，提供化学元素周期表工具。仿真实验:初高中物理、化学、等学科的本地仿真实验资源。音乐工具：提供钢琴琴键的展示形式。支持点击琴键进行乐曲弹奏，同时支持延音、刮键等效果呈现。弹奏时支持实时显示对应的五线谱及简谱音符。支持对弹奏的音乐进行录音，并在录音回播时支持实时显示琴键弹奏的过程及对应的音符。提供乐理学习模块，老师点击琴键即可显示该音对应的资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英语工具：（1）AI 音标助手：支持浏览和插入国际音标表，可直接点击发音，支持以整表和单个音标卡片插入。支持将字母、单词、句子智能转写为音标，并可一键插入到备课课件中形成文本。</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（2）软件内置的 AI 智能语义分析模块，可对输入的英文文本的拼写、句型、语法进行错误检查，并支持一键纠错。提供英汉字典，支持输入英文单词生成单词卡和详解页，可插入多个单词卡，同时支持教师自定义编辑单词释义、创建未收录的生僻单词供授课使用；配置听写工具，覆盖 8000 个英语单词，支持自定义选择单词，根据单词智能生成读音；支持自定义听写频率和次数，一键生成听写卡；授课模式支持一键开启听写朗读，结束后可公布答案。美术画板：支持美术画板工具，提供铅笔、毛笔、油画笔，可实现模拟调色盘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6、思维导图：提供思维导图、鱼骨图及组织结构图编辑功能，可轻松增删或拖拽编辑内容节点，并支持在节点上插入图片、音频、视频、网页链接、课件页面链接。支持思维导 图逐级、逐个节点展开，并可任意缩放。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7、同品牌白板软件支持 AI 智能备课，在备课场景即可快速搜索课件库课件资源，支持整份课件或按照课件页插入课件中，能按照教学环节筛选对应课件页一键插入课件中，能按照元素类型思维导图、课堂活动选取需要的部分补充课件缺失的部分；支持 AI 智能生成课堂活动，具有课堂活动智能填写功能，支持选词填空、判断对错和趣味选择三大课堂活动，输入文本后可以一键解析，自动将文本内容结构化填充至题干和正确选项，完成课堂活动的制作；课堂活动支持云储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8、软件需带直播课堂功能。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9、在直播课堂中，教师可指定授权学生远程互动，学生可在直播的课件画面进行书写、移动、擦除、参与互动活动等，学生操作过程实时同步至班级其他学生，可支持≥5 位学生同时参与远程互动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10、远程考勤管理：直播课程结束后，后台自动统计报名学生名单和学生学习清单。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11、课程回放：课程结束后自动生成直播回放，回放课程自动保存在云端，支持人工删除。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12、微课功能：支持内置于多媒体课件制作与展示软件的交互式课作件工具、独立客户端启动两种运行方式。支持一键开始录制微课，微课可录制保存音频、笔迹、课件元素互动完整操作过程。支持 PC 录制、APP 录制两种录制方式。录制的微课内容存储于云端。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录制模式：支持选择云端课件录制，本地文件录制、模板录制三种模式，本地文件录制模式支持≥3 种文件格式，模板录制模式提供至少 5 种模板类型。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录制清晰度：支持修改录制清晰度，提供 720p、1080p、原画三种清晰度切换；麦克风/音量：支持麦克风切换，测试音量功能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录制工具条：提供微课录制工具条，工具条未遮挡录制画面。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编辑调整：支持录制过程中随时进行编辑调整，在不退出当前录制画面下，支持一键切换剪辑模式、录制模式，用于调整微课内容。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微课插入文件格式：支持在微课中插入图片、视频、答题板、课堂活动。课堂活动支持插入知识配对、选词填空、记忆卡片、知识排序、拼词、分类≥7 种模式，习题支持插入选择题答题板、主观题答题板，支持限制答题时长。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发布微课：发布微课时，支持自动生成微课封面，可自定义封面、微课简介、设置分类标签、学科学段归属、分享权限基础信息, 支持二次编辑修改。观看结果：支持回收微课的观看结果，辅助教师分析学情。支持查看微课整体数据，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微课列表：微课列表支持查找所有已录制微课，并可查看录制详情，学生观看微课时可进行多种互动，可在控制课件模式下移动、删除克隆课件内的元素，参与课堂活动互动练习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13、云教案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（1）云教案内容可自动同步至云空间，支持以链接方式进行定向式分享和开放式分享。接收者可直接在桌面浏览器、微信浏览器内打开预览，可将云教案转存至个人云空间。云教案支持导出为 PDF 格式。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（2）支持将 Word 文档转换为云教案，支持解析文本、表格通用元素。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（3）云教案支持插入表格、图片、音视频、文档等附件。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（4）提供教案模板，方便老师撰写教案，预置模板包含表格式、提纲式、集体备课式、多课时式、单元设计式等≥7 个。支持校本模板，管理员在教研管理后台设置校本模板后，老师可在云教案模板调用。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（5）云教案与云课件可一对多关联绑定，产生绑定后，在课件页和教案页均支持在同一面板打开关联的云课件或云教案预览。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14、课堂活动（1）具有课堂活动智能填写功能，支持选词填空、判断对错和趣味选择三大课堂活动。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15、微课视频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党建微课视频：提供 100 节党建微课视频，包含革命篇、建设篇、改革篇、复兴篇 4 个篇章。微课内容可在线点播，下载至课件播放。微课视频支持视频关键帧打点标记，播放过程中可一键跳转至标记位置，同时支持一键对视频内容进行截图插入课件。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16、试题批量上传  支持多种格式的试题批量上传，并可自动转换为电子试题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17、集体备课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（1）发起集体备课：支持选择教案、课件、资源上传发起集体备课研讨，能够设置多重访问权限，可通过手机号搜索邀请外校老师，用于跨校教研场景。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（2）进入集体备课：可通过搜索集体备课名称/老师昵称、或按照学科/学段/年级/教材章节、我参与的/我发起的几个维度进行筛选查看，支持电脑端进入集体备课页面。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（3）集体研讨：参备人可通过评论区发表观点，可对他人评论的观点进行点赞，评论消息会实时提醒，支持图片的上传。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（4）在线批注：参备人可在线对教案进行随文式批注，追加批注，回复以及查看实时批注消息。能够对课件进行打点式批注，可通过批注定位研讨内容，完成协同备课。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（5）稿件编辑：完成本次研讨后，主备人可直接进入编辑页面编辑课件/教案，发布新稿件后，备课组进入下一轮研讨，更新稿件后会给参备老师同步教研动态。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（6）稿件对比：可对集体备课中多稿的课件/教案/资源进行内容的横向对比，支持批注研讨过程数据对比回溯；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（7）获取稿件：参备成员可以随时获取和下载每一稿中的集体备课稿件到云课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件，进行编辑或引用。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（8）完成集体备课：完成研讨后，可生成集体备课报告。集体备课终稿会自动上传到校本资源库，主备人可自定义上传目录，参备人可前往校本资源库获取集体备课终稿。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（9）生成集体备课报告：支持生成集体备课报告，报告生成后，参备人可查看具体报告内容和下载集体备课报告。报告内包含集体备课信息、数据统计、研讨记录的具体内容。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18、为了方便教师随时随地查看课件，提供白板软件手机版，在手机上登录账号后，支持以列表的方式查看该账号里所有的云课件，打开云课件可对课件中的形状、文本、图片等元素克隆、删除等操作；云课件可通过微信、朋友圈、钉钉、手机号、二维码、加密链接等多种方式实现快速分享。APP 具备课件回收站功能，按支持教师在 3 天内恢复或彻底删除单份/多份/全部已删除课件。支持手机端录制课件讲解同步的微课视频，视频可直接同步到教师个人云空间。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四、其他要求：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设备使用培训服务：要求≥ 3 次厂商认证培训讲师针对此项目设备开展的操作使用培训课，每次培训≥ 2 课时。硬件设备至少提供三年的原厂质保。</w:t>
            </w:r>
          </w:p>
        </w:tc>
      </w:tr>
      <w:tr w14:paraId="19B71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8"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36050">
            <w:pPr>
              <w:jc w:val="center"/>
              <w:rPr>
                <w:rFonts w:hint="eastAsia" w:ascii="仿宋" w:hAnsi="仿宋" w:eastAsia="仿宋" w:cs="仿宋"/>
                <w:i w:val="0"/>
                <w:iCs w:val="0"/>
                <w:color w:val="000000"/>
                <w:sz w:val="18"/>
                <w:szCs w:val="18"/>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B36F8">
            <w:pPr>
              <w:jc w:val="center"/>
              <w:rPr>
                <w:rFonts w:hint="eastAsia" w:ascii="仿宋" w:hAnsi="仿宋" w:eastAsia="仿宋" w:cs="仿宋"/>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5810">
            <w:pPr>
              <w:jc w:val="center"/>
              <w:rPr>
                <w:rFonts w:hint="eastAsia" w:ascii="仿宋" w:hAnsi="仿宋" w:eastAsia="仿宋" w:cs="仿宋"/>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FAA4">
            <w:pPr>
              <w:jc w:val="center"/>
              <w:rPr>
                <w:rFonts w:hint="eastAsia" w:ascii="仿宋" w:hAnsi="仿宋" w:eastAsia="仿宋" w:cs="仿宋"/>
                <w:i w:val="0"/>
                <w:iCs w:val="0"/>
                <w:color w:val="000000"/>
                <w:sz w:val="18"/>
                <w:szCs w:val="18"/>
                <w:u w:val="none"/>
              </w:rPr>
            </w:pPr>
          </w:p>
        </w:tc>
        <w:tc>
          <w:tcPr>
            <w:tcW w:w="545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00A3EC4">
            <w:pPr>
              <w:jc w:val="left"/>
              <w:rPr>
                <w:rFonts w:hint="eastAsia" w:ascii="仿宋" w:hAnsi="仿宋" w:eastAsia="仿宋" w:cs="仿宋"/>
                <w:i w:val="0"/>
                <w:iCs w:val="0"/>
                <w:color w:val="000000"/>
                <w:sz w:val="18"/>
                <w:szCs w:val="18"/>
                <w:u w:val="none"/>
              </w:rPr>
            </w:pPr>
          </w:p>
        </w:tc>
      </w:tr>
      <w:tr w14:paraId="750E7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EC1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336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57E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B52CE">
            <w:pPr>
              <w:rPr>
                <w:rFonts w:hint="eastAsia" w:ascii="宋体" w:hAnsi="宋体" w:eastAsia="宋体" w:cs="宋体"/>
                <w:i w:val="0"/>
                <w:iCs w:val="0"/>
                <w:color w:val="000000"/>
                <w:sz w:val="18"/>
                <w:szCs w:val="18"/>
                <w:u w:val="none"/>
              </w:rPr>
            </w:pPr>
          </w:p>
        </w:tc>
        <w:tc>
          <w:tcPr>
            <w:tcW w:w="545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A877EFE">
            <w:pPr>
              <w:jc w:val="left"/>
              <w:rPr>
                <w:rFonts w:hint="eastAsia" w:ascii="仿宋" w:hAnsi="仿宋" w:eastAsia="仿宋" w:cs="仿宋"/>
                <w:i w:val="0"/>
                <w:iCs w:val="0"/>
                <w:color w:val="000000"/>
                <w:sz w:val="18"/>
                <w:szCs w:val="18"/>
                <w:u w:val="none"/>
              </w:rPr>
            </w:pPr>
          </w:p>
        </w:tc>
      </w:tr>
      <w:tr w14:paraId="41D08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1E088ED">
            <w:pPr>
              <w:rPr>
                <w:rFonts w:hint="eastAsia" w:ascii="宋体" w:hAnsi="宋体" w:eastAsia="宋体" w:cs="宋体"/>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1157CBE">
            <w:pPr>
              <w:rPr>
                <w:rFonts w:hint="eastAsia" w:ascii="宋体" w:hAnsi="宋体" w:eastAsia="宋体" w:cs="宋体"/>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9B524A1">
            <w:pPr>
              <w:rPr>
                <w:rFonts w:hint="eastAsia" w:ascii="宋体" w:hAnsi="宋体" w:eastAsia="宋体" w:cs="宋体"/>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7395E95">
            <w:pPr>
              <w:rPr>
                <w:rFonts w:hint="eastAsia" w:ascii="宋体" w:hAnsi="宋体" w:eastAsia="宋体" w:cs="宋体"/>
                <w:i w:val="0"/>
                <w:iCs w:val="0"/>
                <w:color w:val="000000"/>
                <w:sz w:val="18"/>
                <w:szCs w:val="18"/>
                <w:u w:val="none"/>
              </w:rPr>
            </w:pPr>
          </w:p>
        </w:tc>
        <w:tc>
          <w:tcPr>
            <w:tcW w:w="545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D89534F">
            <w:pPr>
              <w:jc w:val="left"/>
              <w:rPr>
                <w:rFonts w:hint="eastAsia" w:ascii="仿宋" w:hAnsi="仿宋" w:eastAsia="仿宋" w:cs="仿宋"/>
                <w:i w:val="0"/>
                <w:iCs w:val="0"/>
                <w:color w:val="000000"/>
                <w:sz w:val="18"/>
                <w:szCs w:val="18"/>
                <w:u w:val="none"/>
              </w:rPr>
            </w:pPr>
          </w:p>
        </w:tc>
      </w:tr>
      <w:tr w14:paraId="355DF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7068EAD">
            <w:pPr>
              <w:rPr>
                <w:rFonts w:hint="eastAsia" w:ascii="宋体" w:hAnsi="宋体" w:eastAsia="宋体" w:cs="宋体"/>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9AE903B">
            <w:pPr>
              <w:rPr>
                <w:rFonts w:hint="eastAsia" w:ascii="宋体" w:hAnsi="宋体" w:eastAsia="宋体" w:cs="宋体"/>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2082338">
            <w:pPr>
              <w:rPr>
                <w:rFonts w:hint="eastAsia" w:ascii="宋体" w:hAnsi="宋体" w:eastAsia="宋体" w:cs="宋体"/>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0351347">
            <w:pPr>
              <w:rPr>
                <w:rFonts w:hint="eastAsia" w:ascii="宋体" w:hAnsi="宋体" w:eastAsia="宋体" w:cs="宋体"/>
                <w:i w:val="0"/>
                <w:iCs w:val="0"/>
                <w:color w:val="000000"/>
                <w:sz w:val="18"/>
                <w:szCs w:val="18"/>
                <w:u w:val="none"/>
              </w:rPr>
            </w:pPr>
          </w:p>
        </w:tc>
        <w:tc>
          <w:tcPr>
            <w:tcW w:w="545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7AF61F">
            <w:pPr>
              <w:jc w:val="left"/>
              <w:rPr>
                <w:rFonts w:hint="eastAsia" w:ascii="仿宋" w:hAnsi="仿宋" w:eastAsia="仿宋" w:cs="仿宋"/>
                <w:i w:val="0"/>
                <w:iCs w:val="0"/>
                <w:color w:val="000000"/>
                <w:sz w:val="18"/>
                <w:szCs w:val="18"/>
                <w:u w:val="none"/>
              </w:rPr>
            </w:pPr>
          </w:p>
        </w:tc>
      </w:tr>
      <w:tr w14:paraId="6A6C1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2744230">
            <w:pPr>
              <w:rPr>
                <w:rFonts w:hint="eastAsia" w:ascii="宋体" w:hAnsi="宋体" w:eastAsia="宋体" w:cs="宋体"/>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2301D9B">
            <w:pPr>
              <w:rPr>
                <w:rFonts w:hint="eastAsia" w:ascii="宋体" w:hAnsi="宋体" w:eastAsia="宋体" w:cs="宋体"/>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61E3B69">
            <w:pPr>
              <w:rPr>
                <w:rFonts w:hint="eastAsia" w:ascii="宋体" w:hAnsi="宋体" w:eastAsia="宋体" w:cs="宋体"/>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A184FEA">
            <w:pPr>
              <w:rPr>
                <w:rFonts w:hint="eastAsia" w:ascii="宋体" w:hAnsi="宋体" w:eastAsia="宋体" w:cs="宋体"/>
                <w:i w:val="0"/>
                <w:iCs w:val="0"/>
                <w:color w:val="000000"/>
                <w:sz w:val="18"/>
                <w:szCs w:val="18"/>
                <w:u w:val="none"/>
              </w:rPr>
            </w:pPr>
          </w:p>
        </w:tc>
        <w:tc>
          <w:tcPr>
            <w:tcW w:w="545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F902EA2">
            <w:pPr>
              <w:jc w:val="left"/>
              <w:rPr>
                <w:rFonts w:hint="eastAsia" w:ascii="仿宋" w:hAnsi="仿宋" w:eastAsia="仿宋" w:cs="仿宋"/>
                <w:i w:val="0"/>
                <w:iCs w:val="0"/>
                <w:color w:val="000000"/>
                <w:sz w:val="18"/>
                <w:szCs w:val="18"/>
                <w:u w:val="none"/>
              </w:rPr>
            </w:pPr>
          </w:p>
        </w:tc>
      </w:tr>
      <w:tr w14:paraId="4C3EE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0817B5B">
            <w:pPr>
              <w:rPr>
                <w:rFonts w:hint="eastAsia" w:ascii="宋体" w:hAnsi="宋体" w:eastAsia="宋体" w:cs="宋体"/>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AC7C10B">
            <w:pPr>
              <w:rPr>
                <w:rFonts w:hint="eastAsia" w:ascii="宋体" w:hAnsi="宋体" w:eastAsia="宋体" w:cs="宋体"/>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AC65CF5">
            <w:pPr>
              <w:rPr>
                <w:rFonts w:hint="eastAsia" w:ascii="宋体" w:hAnsi="宋体" w:eastAsia="宋体" w:cs="宋体"/>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1462B2C">
            <w:pPr>
              <w:rPr>
                <w:rFonts w:hint="eastAsia" w:ascii="宋体" w:hAnsi="宋体" w:eastAsia="宋体" w:cs="宋体"/>
                <w:i w:val="0"/>
                <w:iCs w:val="0"/>
                <w:color w:val="000000"/>
                <w:sz w:val="18"/>
                <w:szCs w:val="18"/>
                <w:u w:val="none"/>
              </w:rPr>
            </w:pPr>
          </w:p>
        </w:tc>
        <w:tc>
          <w:tcPr>
            <w:tcW w:w="545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6C4560F">
            <w:pPr>
              <w:jc w:val="left"/>
              <w:rPr>
                <w:rFonts w:hint="eastAsia" w:ascii="仿宋" w:hAnsi="仿宋" w:eastAsia="仿宋" w:cs="仿宋"/>
                <w:i w:val="0"/>
                <w:iCs w:val="0"/>
                <w:color w:val="000000"/>
                <w:sz w:val="18"/>
                <w:szCs w:val="18"/>
                <w:u w:val="none"/>
              </w:rPr>
            </w:pPr>
          </w:p>
        </w:tc>
      </w:tr>
      <w:tr w14:paraId="73427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568317D">
            <w:pPr>
              <w:rPr>
                <w:rFonts w:hint="eastAsia" w:ascii="宋体" w:hAnsi="宋体" w:eastAsia="宋体" w:cs="宋体"/>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2A6AD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实物展台</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29B19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EB756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456" w:type="dxa"/>
            <w:tcBorders>
              <w:top w:val="nil"/>
              <w:left w:val="single" w:color="000000" w:sz="4" w:space="0"/>
              <w:bottom w:val="single" w:color="000000" w:sz="4" w:space="0"/>
              <w:right w:val="single" w:color="000000" w:sz="4" w:space="0"/>
            </w:tcBorders>
            <w:shd w:val="clear" w:color="auto" w:fill="auto"/>
            <w:vAlign w:val="top"/>
          </w:tcPr>
          <w:p w14:paraId="3107EF39">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1.视频展台为壁挂式安装，托板采用三折叠开合设计，展开后托板尺寸≥A4 面积。整机无锐角设计。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2.视频展台采用 USB 接口，使用一根连接线实现供电和高清数据数据传输。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3.采用≥1300 万像素自动对焦摄像头，可拍摄 A4 画幅，最高分辨率≥3840×2160；支持使用者通过双击屏幕画面任意位置，实时改变摄像头对焦位置。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4.支持实时降噪功能，并可开关控制。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5.展台按键为电容式触摸按键，通过轻触按键可实现一键启动展台画面、放大画面、缩小画面、旋转画面、拍照截图等功能，同样的操作支持在展台软件上进行。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6.软件支持对展台画面进行实时批注，对标注的笔迹可以选择颜色和笔迹粗细，且支持批注内容联同展台画面同步进行缩放及移动。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7.软件支持拍照进行多图对比预览，并且可以对任一图片进行全屏展示。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8.软件支持延时拍照功能，预留时间调整拍摄内容，支持 5 秒或 10 秒延时模式。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1.9.支持故障自动检测，在软件无法出现展台拍摄画面时，自动出现检测链接，检测“无画面”的原因，并给出引导性解决方案。可由此判断为硬件连接、显卡驱动、摄像头占用、软件版本等问题。</w:t>
            </w:r>
          </w:p>
        </w:tc>
      </w:tr>
      <w:tr w14:paraId="4FC0E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7"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BC4E64C">
            <w:pPr>
              <w:rPr>
                <w:rFonts w:hint="eastAsia" w:ascii="宋体" w:hAnsi="宋体" w:eastAsia="宋体" w:cs="宋体"/>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CB133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智能笔</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D3E20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4C053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456" w:type="dxa"/>
            <w:tcBorders>
              <w:top w:val="nil"/>
              <w:left w:val="single" w:color="000000" w:sz="4" w:space="0"/>
              <w:bottom w:val="single" w:color="000000" w:sz="4" w:space="0"/>
              <w:right w:val="single" w:color="000000" w:sz="4" w:space="0"/>
            </w:tcBorders>
            <w:shd w:val="clear" w:color="auto" w:fill="auto"/>
            <w:vAlign w:val="top"/>
          </w:tcPr>
          <w:p w14:paraId="56E0A1D1">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1.一体化笔型设计。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2.笔身配置不少于五个按键，具备教学软件/PPT 等文档上下翻页，智能语音，远程聚光灯/放大，书写颜色切换，兼顾触摸书写以及远程操控。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3.笔头采用锥型笔尖设计，同时支持电容、红外触控设备书写。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4.内置麦克风，支持按键唤醒语音识别功能，唤醒语音识别时，支持直接通过语音打开已安装的应用，支持语音控制屏幕黑屏、亮屏，音量大小调整，返回桌面，截屏，关机等基础操作。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5.支持按键调起批注功能，可通过按键实现批注颜色切换，长按按键可实现橡皮擦功能。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6.支持无线 dongle 及蓝牙两种连接方式，覆盖标准教室。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7.智能笔内置锂电池，支持 type-c 充电，支持智能休眠节电。</w:t>
            </w:r>
          </w:p>
        </w:tc>
      </w:tr>
      <w:tr w14:paraId="349A9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CA82EC5">
            <w:pPr>
              <w:rPr>
                <w:rFonts w:hint="eastAsia" w:ascii="宋体" w:hAnsi="宋体" w:eastAsia="宋体" w:cs="宋体"/>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B7FF4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扩音设备</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8F85A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8876E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5456" w:type="dxa"/>
            <w:tcBorders>
              <w:top w:val="nil"/>
              <w:left w:val="single" w:color="000000" w:sz="4" w:space="0"/>
              <w:bottom w:val="single" w:color="000000" w:sz="4" w:space="0"/>
              <w:right w:val="single" w:color="000000" w:sz="4" w:space="0"/>
            </w:tcBorders>
            <w:shd w:val="clear" w:color="auto" w:fill="auto"/>
            <w:vAlign w:val="top"/>
          </w:tcPr>
          <w:p w14:paraId="43E5AD6D">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一、有源音响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1.采用功放与有源音箱一体化设计，内置麦克风无线接收模块。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2.有源音箱输出额定功率≥2×15W，配置独立音频数字信号处理芯片，支持啸叫抑制功能。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3.设备具备 1 路 USB 接口，用于 USB 接口外接 U 盘设备对音箱固件进行升级。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4.支持无线麦克风扩音接收，采用 Wi-Fi 射频 2.4GHz 与 5GHz 双频段传输。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5.支持安卓手机通过蓝牙无线连接音箱。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二、无线麦克风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1.无线麦克风集音频发射处理器、天线、电池、拾音麦克风于一体，配合一体化有源音箱，无需任何外接辅助设备即可实现本地扩声功能。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2.具备 3.5mm 外置麦克风接口。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3.采用 Wi-Fi 射频频段传输，支持 2.4GHz 与 5GHz 双频段工作。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4.采用红外对码方式连接。可在 5S 内快速完成与教学扩声音箱对码。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5.支持两个无线麦克风同时配对一套一体化有源音箱使用，实现两个麦克风混音输出进行扩音。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6.空旷无干扰的环境，无线传输有效距离≥15 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要求质保三年</w:t>
            </w:r>
          </w:p>
        </w:tc>
      </w:tr>
    </w:tbl>
    <w:p w14:paraId="24E695E6">
      <w:pPr>
        <w:rPr>
          <w:rFonts w:hint="eastAsia" w:ascii="仿宋" w:hAnsi="仿宋" w:eastAsia="仿宋" w:cs="仿宋"/>
          <w:color w:val="auto"/>
          <w:spacing w:val="-3"/>
          <w:sz w:val="32"/>
          <w:szCs w:val="32"/>
          <w:highlight w:val="none"/>
          <w:lang w:val="en-US" w:eastAsia="zh-CN"/>
        </w:rPr>
      </w:pPr>
      <w:r>
        <w:rPr>
          <w:rFonts w:hint="eastAsia" w:ascii="仿宋" w:hAnsi="仿宋" w:eastAsia="仿宋" w:cs="仿宋"/>
          <w:color w:val="auto"/>
          <w:spacing w:val="-3"/>
          <w:sz w:val="32"/>
          <w:szCs w:val="32"/>
          <w:highlight w:val="none"/>
          <w:lang w:val="en-US" w:eastAsia="zh-CN"/>
        </w:rPr>
        <w:br w:type="page"/>
      </w:r>
    </w:p>
    <w:p w14:paraId="6298AC75">
      <w:pPr>
        <w:pStyle w:val="2"/>
        <w:rPr>
          <w:rFonts w:hint="eastAsia"/>
          <w:lang w:val="en-US" w:eastAsia="zh-CN"/>
        </w:rPr>
      </w:pPr>
      <w:r>
        <w:rPr>
          <w:rFonts w:hint="eastAsia"/>
          <w:lang w:val="en-US" w:eastAsia="zh-CN"/>
        </w:rPr>
        <w:t>包二：</w:t>
      </w:r>
    </w:p>
    <w:tbl>
      <w:tblPr>
        <w:tblStyle w:val="44"/>
        <w:tblW w:w="86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5"/>
        <w:gridCol w:w="576"/>
        <w:gridCol w:w="576"/>
        <w:gridCol w:w="1011"/>
        <w:gridCol w:w="396"/>
        <w:gridCol w:w="5578"/>
      </w:tblGrid>
      <w:tr w14:paraId="337B7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9759">
            <w:pPr>
              <w:keepNext w:val="0"/>
              <w:keepLines w:val="0"/>
              <w:widowControl/>
              <w:suppressLineNumbers w:val="0"/>
              <w:jc w:val="center"/>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D1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名称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F5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设备名称</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33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87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单位</w:t>
            </w:r>
          </w:p>
        </w:tc>
        <w:tc>
          <w:tcPr>
            <w:tcW w:w="5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E3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主要参数</w:t>
            </w:r>
          </w:p>
        </w:tc>
      </w:tr>
      <w:tr w14:paraId="17DE9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21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262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一、屏体部分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A9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户外全彩LED屏</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23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25.8048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45E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5578" w:type="dxa"/>
            <w:tcBorders>
              <w:top w:val="single" w:color="000000" w:sz="4" w:space="0"/>
              <w:left w:val="single" w:color="000000" w:sz="4" w:space="0"/>
              <w:bottom w:val="single" w:color="000000" w:sz="4" w:space="0"/>
              <w:right w:val="single" w:color="000000" w:sz="4" w:space="0"/>
            </w:tcBorders>
            <w:shd w:val="clear" w:color="auto" w:fill="auto"/>
            <w:vAlign w:val="top"/>
          </w:tcPr>
          <w:p w14:paraId="4E38F4D8">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像素结构 三合一LED;像素间距（mm） 2.5 ;模组分辨率（W×H） 128×64=8192 ;模组尺寸（mm） 320×160 ; 模组输入电压（V） 5±0.1 ;模组最大电流（A） ≤8 ; 模组最大功耗（W） ≤40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箱体参数: 箱体模组组成（W×H） 3×6; 箱体分辨率（W×H） 384×384;箱体尺寸（mm） 960×960×80 ;箱体面积（m2） 0.9216;箱体重量（kg）36-38 ;箱体像素密度（点/m2） 160000;箱体平整度（mm）≤0.3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维护方式: 后维护;箱体材质 铁;光学参数: 单点亮度校正 有 ;    单点色度校正 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白平衡亮度（nits） ≥4500;     色温（K） 2000～9500可调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视角（水平/垂直°） 140/120  ;亮度/色度均匀性 ≥99%</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对比度   5000:1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电气参数 箱体最大功耗（W）750 ;箱体平均功耗（W） 230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供电要求   AC186V－264V，频率47Hz～63Hz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性能参数 换帧频率（Hz） 50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驱动方式    恒流驱动，16扫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灰度级别 16384   ;刷新率（Hz） 3840Hz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颜色处理位数 14bit  ;寿命典型值（hrs） 100,000H</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工作温/湿度范围（℃/RH） -20℃～50℃ / 10%RH～65%RH（无结露）存储温/湿度范围（℃/RH） -10℃～30℃ / 10%RH～60%RH（无结露）</w:t>
            </w:r>
          </w:p>
        </w:tc>
      </w:tr>
      <w:tr w14:paraId="61462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6981">
            <w:pPr>
              <w:jc w:val="center"/>
              <w:rPr>
                <w:rFonts w:hint="eastAsia" w:ascii="仿宋" w:hAnsi="仿宋" w:eastAsia="仿宋" w:cs="仿宋"/>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37B62">
            <w:pPr>
              <w:jc w:val="center"/>
              <w:rPr>
                <w:rFonts w:hint="eastAsia" w:ascii="仿宋" w:hAnsi="仿宋" w:eastAsia="仿宋" w:cs="仿宋"/>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4C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简易箱体</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19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B7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5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4F9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960*960</w:t>
            </w:r>
          </w:p>
        </w:tc>
      </w:tr>
      <w:tr w14:paraId="064CA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E6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FD02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二、控制部分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F3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接收卡</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D0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52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5578" w:type="dxa"/>
            <w:tcBorders>
              <w:top w:val="single" w:color="000000" w:sz="4" w:space="0"/>
              <w:left w:val="single" w:color="000000" w:sz="4" w:space="0"/>
              <w:bottom w:val="single" w:color="000000" w:sz="4" w:space="0"/>
              <w:right w:val="single" w:color="000000" w:sz="4" w:space="0"/>
            </w:tcBorders>
            <w:shd w:val="clear" w:color="auto" w:fill="auto"/>
            <w:vAlign w:val="top"/>
          </w:tcPr>
          <w:p w14:paraId="04F781A9">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单卡带载 512×384像素 ； 支持逐点亮色度校正；支持接收卡预存画面设置；支持温度、电压、 网线通讯和视频源信号状态检测；集成 16个标准 HUB75 接口，免接 HUB 板。采用千兆网口， 可以连接 PC 端 ；支持程序回读；</w:t>
            </w:r>
          </w:p>
        </w:tc>
      </w:tr>
      <w:tr w14:paraId="77E6C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E1B3">
            <w:pPr>
              <w:jc w:val="center"/>
              <w:rPr>
                <w:rFonts w:hint="eastAsia" w:ascii="仿宋" w:hAnsi="仿宋" w:eastAsia="仿宋" w:cs="仿宋"/>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243DB">
            <w:pPr>
              <w:jc w:val="center"/>
              <w:rPr>
                <w:rFonts w:hint="eastAsia" w:ascii="仿宋" w:hAnsi="仿宋" w:eastAsia="仿宋" w:cs="仿宋"/>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79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独立主控</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06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C4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0E1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括1路3G-SDI（IN+LOOP)，2路HDMI1.4，1路DVI，一路AUDIO；支持3个窗口；支持快捷配屏和高级配屏功能；支持HDMI、DVI输入分辨率自定义调节；支持设备间备份设置；视频输出最大带载高达650万像素；支持带载屏体亮度调节；支持一键全屏缩放、输入截取等功能；支持创建10个用户场景作为模板保存；</w:t>
            </w:r>
          </w:p>
        </w:tc>
      </w:tr>
      <w:tr w14:paraId="1D878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C3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43A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三、配套设备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05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开关电源</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5B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8E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5B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额定输入电压：200-240VAC;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输入频率：50Hz；冷启动冲击电流：50A；效率≥86%；空载功耗：5W；额输出电压：5±0.15VDC;额定输出电流：0～40A；短路保护，过流保护；</w:t>
            </w:r>
          </w:p>
        </w:tc>
      </w:tr>
      <w:tr w14:paraId="5D6E2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009C">
            <w:pPr>
              <w:jc w:val="center"/>
              <w:rPr>
                <w:rFonts w:hint="eastAsia" w:ascii="仿宋" w:hAnsi="仿宋" w:eastAsia="仿宋" w:cs="仿宋"/>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87522">
            <w:pPr>
              <w:jc w:val="center"/>
              <w:rPr>
                <w:rFonts w:hint="eastAsia" w:ascii="仿宋" w:hAnsi="仿宋" w:eastAsia="仿宋" w:cs="仿宋"/>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B9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配电柜</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12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5D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41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80(KW)带电表、空开、远程上电、带漏电保护等</w:t>
            </w:r>
          </w:p>
        </w:tc>
      </w:tr>
      <w:tr w14:paraId="39CA0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E7C6">
            <w:pPr>
              <w:jc w:val="center"/>
              <w:rPr>
                <w:rFonts w:hint="eastAsia" w:ascii="仿宋" w:hAnsi="仿宋" w:eastAsia="仿宋" w:cs="仿宋"/>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9B62D">
            <w:pPr>
              <w:jc w:val="center"/>
              <w:rPr>
                <w:rFonts w:hint="eastAsia" w:ascii="仿宋" w:hAnsi="仿宋" w:eastAsia="仿宋" w:cs="仿宋"/>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724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轴流风机</w:t>
            </w: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133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B3A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752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w:t>
            </w:r>
          </w:p>
        </w:tc>
      </w:tr>
      <w:tr w14:paraId="49FB6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018E">
            <w:pPr>
              <w:jc w:val="center"/>
              <w:rPr>
                <w:rFonts w:hint="eastAsia" w:ascii="仿宋" w:hAnsi="仿宋" w:eastAsia="仿宋" w:cs="仿宋"/>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0F249">
            <w:pPr>
              <w:jc w:val="center"/>
              <w:rPr>
                <w:rFonts w:hint="eastAsia" w:ascii="仿宋" w:hAnsi="仿宋" w:eastAsia="仿宋" w:cs="仿宋"/>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EE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室外音柱</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E8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F9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5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99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高清音质120W</w:t>
            </w:r>
          </w:p>
        </w:tc>
      </w:tr>
      <w:tr w14:paraId="51A8C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5E81">
            <w:pPr>
              <w:jc w:val="center"/>
              <w:rPr>
                <w:rFonts w:hint="eastAsia" w:ascii="仿宋" w:hAnsi="仿宋" w:eastAsia="仿宋" w:cs="仿宋"/>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41BE0">
            <w:pPr>
              <w:jc w:val="center"/>
              <w:rPr>
                <w:rFonts w:hint="eastAsia" w:ascii="仿宋" w:hAnsi="仿宋" w:eastAsia="仿宋" w:cs="仿宋"/>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915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功放</w:t>
            </w: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333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A6D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C9C5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标准2U高度机柜式设计，安装铝把手后,适合安装在标准的19吋机柜内。2、二路话筒/线路(MIC/LINE)输入并带独立音量控制，输入端口为6.35和XLR通用插座；话筒带优先功能选择和幻象电源(+48V）。3、三路AUX输入并带独立音量控制。4、话筒和线路带独立的高低音音调控制；5、AUX带LINK功能、并带功放前置信号输出接口，便于系统拓展应用。6、带分级优先权限控制接口。7、内置智能自动压限电路，有效限制大动态信号削波，确保音色悦耳、保护扬声器系统。8、100V定压、70V定压和4-16ohm定阻三种输出方式。采用接线柱输出端口连接方便牢固。9、电源、信号、过载和保护指示（LED），工作状态一目了然。10、具备开机软启动保护；直流、过热、过载和短路保护功能。11、隧道式散热器结合风速可变风冷散热系统，有效降低工作温度确保使用稳定。12、内置高品质的MP3蓝牙播放器，带SD卡槽和USB接口，并带蓝牙和FM收音机功能；并具备断电记忆工作模式和输出音量功能；带遥控功能，附带遥控器。遥控器功能：播放/暂停、上一曲、下一曲、音量增减、静音、模式选择、场景模式、自动搜台等。；13、内置4分区，每个分区带手动选择按键和音量调节旋钮。；14、额定功率：700W；15、消耗功率：1400W；16、输入灵敏度：话筒  -42dB（±0.5dB）；线路  -10dB（±0.5dB）；17、辅助LINK输出灵敏度：150mV(-14dB) ±0.5dB；18、AUX1/MP3直通信号输出灵敏度：150mV(-14dB) ±0.5dB；19、前置放大信号输出灵敏度：500MV(-4dB)，±0.5dB；20、高音音调调节：±9dB（10KHz）；21、低音音调调节：±6dB（100Hz）；22、频率响应：80Hz-20KHz （+1/-3dB,1/2额定功率）；23、失真度：线路：＜1%@1KHz；24、信噪比（A计权）：话筒：≥70dB；线路：≥80dB；25、尺寸：430(W)×400(D)×88(H)mm；26、额定工作电源：AC220V,50Hz。</w:t>
            </w:r>
          </w:p>
        </w:tc>
      </w:tr>
      <w:tr w14:paraId="7F073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4512">
            <w:pPr>
              <w:jc w:val="center"/>
              <w:rPr>
                <w:rFonts w:hint="eastAsia" w:ascii="仿宋" w:hAnsi="仿宋" w:eastAsia="仿宋" w:cs="仿宋"/>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B5B83">
            <w:pPr>
              <w:jc w:val="center"/>
              <w:rPr>
                <w:rFonts w:hint="eastAsia" w:ascii="仿宋" w:hAnsi="仿宋" w:eastAsia="仿宋" w:cs="仿宋"/>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3F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控制电脑（兼容机）</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ED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D4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E0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I5-13500  16G内存  1T固态硬盘  730 4G显卡  23.8 寸屏含鼠键</w:t>
            </w:r>
          </w:p>
        </w:tc>
      </w:tr>
      <w:tr w14:paraId="7391A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4B5CE9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76" w:type="dxa"/>
            <w:vMerge w:val="restart"/>
            <w:tcBorders>
              <w:top w:val="single" w:color="000000" w:sz="4" w:space="0"/>
              <w:left w:val="single" w:color="000000" w:sz="4" w:space="0"/>
              <w:bottom w:val="nil"/>
              <w:right w:val="single" w:color="000000" w:sz="4" w:space="0"/>
            </w:tcBorders>
            <w:shd w:val="clear" w:color="auto" w:fill="auto"/>
            <w:vAlign w:val="center"/>
          </w:tcPr>
          <w:p w14:paraId="3E7442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四、其他</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ED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安装调试</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19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6B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5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AE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根据项目地路程及货物数量确定实际需要量</w:t>
            </w:r>
          </w:p>
        </w:tc>
      </w:tr>
      <w:tr w14:paraId="7E2B5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1"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737A391D">
            <w:pPr>
              <w:jc w:val="center"/>
              <w:rPr>
                <w:rFonts w:hint="eastAsia" w:ascii="仿宋" w:hAnsi="仿宋" w:eastAsia="仿宋" w:cs="仿宋"/>
                <w:i w:val="0"/>
                <w:iCs w:val="0"/>
                <w:color w:val="000000"/>
                <w:sz w:val="18"/>
                <w:szCs w:val="18"/>
                <w:u w:val="none"/>
              </w:rPr>
            </w:pPr>
          </w:p>
        </w:tc>
        <w:tc>
          <w:tcPr>
            <w:tcW w:w="576" w:type="dxa"/>
            <w:vMerge w:val="continue"/>
            <w:tcBorders>
              <w:top w:val="single" w:color="000000" w:sz="4" w:space="0"/>
              <w:left w:val="single" w:color="000000" w:sz="4" w:space="0"/>
              <w:bottom w:val="nil"/>
              <w:right w:val="single" w:color="000000" w:sz="4" w:space="0"/>
            </w:tcBorders>
            <w:shd w:val="clear" w:color="auto" w:fill="auto"/>
            <w:vAlign w:val="center"/>
          </w:tcPr>
          <w:p w14:paraId="4D49DA36">
            <w:pPr>
              <w:jc w:val="center"/>
              <w:rPr>
                <w:rFonts w:hint="eastAsia" w:ascii="仿宋" w:hAnsi="仿宋" w:eastAsia="仿宋" w:cs="仿宋"/>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EA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钢结构</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83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29.05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51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5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05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主框架采用:采用镀锌钢材、角铁、方管、膨胀螺钉和辅材；主框架为保证安全以及平整度，需要采用焊接方式，牢固焊接制作。双立柱</w:t>
            </w:r>
          </w:p>
        </w:tc>
      </w:tr>
      <w:tr w14:paraId="6900A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1B5B23C3">
            <w:pPr>
              <w:jc w:val="center"/>
              <w:rPr>
                <w:rFonts w:hint="eastAsia" w:ascii="仿宋" w:hAnsi="仿宋" w:eastAsia="仿宋" w:cs="仿宋"/>
                <w:i w:val="0"/>
                <w:iCs w:val="0"/>
                <w:color w:val="000000"/>
                <w:sz w:val="18"/>
                <w:szCs w:val="18"/>
                <w:u w:val="none"/>
              </w:rPr>
            </w:pPr>
          </w:p>
        </w:tc>
        <w:tc>
          <w:tcPr>
            <w:tcW w:w="576" w:type="dxa"/>
            <w:vMerge w:val="continue"/>
            <w:tcBorders>
              <w:top w:val="single" w:color="000000" w:sz="4" w:space="0"/>
              <w:left w:val="single" w:color="000000" w:sz="4" w:space="0"/>
              <w:bottom w:val="nil"/>
              <w:right w:val="single" w:color="000000" w:sz="4" w:space="0"/>
            </w:tcBorders>
            <w:shd w:val="clear" w:color="auto" w:fill="auto"/>
            <w:vAlign w:val="center"/>
          </w:tcPr>
          <w:p w14:paraId="6674EBC6">
            <w:pPr>
              <w:jc w:val="center"/>
              <w:rPr>
                <w:rFonts w:hint="eastAsia" w:ascii="仿宋" w:hAnsi="仿宋" w:eastAsia="仿宋" w:cs="仿宋"/>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9D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屏体外线材</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F4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C5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5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0F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光纤、电缆线等。根据现场实际情况而定</w:t>
            </w:r>
          </w:p>
        </w:tc>
      </w:tr>
    </w:tbl>
    <w:p w14:paraId="74432F90">
      <w:pPr>
        <w:rPr>
          <w:rFonts w:hint="default"/>
          <w:lang w:val="en-US" w:eastAsia="zh-CN"/>
        </w:rPr>
      </w:pPr>
      <w:r>
        <w:rPr>
          <w:rFonts w:hint="default"/>
          <w:lang w:val="en-US" w:eastAsia="zh-CN"/>
        </w:rPr>
        <w:br w:type="page"/>
      </w:r>
    </w:p>
    <w:p w14:paraId="72F71B41">
      <w:pPr>
        <w:rPr>
          <w:rFonts w:hint="eastAsia"/>
          <w:lang w:val="en-US" w:eastAsia="zh-CN"/>
        </w:rPr>
      </w:pPr>
      <w:r>
        <w:rPr>
          <w:rFonts w:hint="eastAsia"/>
          <w:lang w:val="en-US" w:eastAsia="zh-CN"/>
        </w:rPr>
        <w:t>包三：</w:t>
      </w:r>
    </w:p>
    <w:tbl>
      <w:tblPr>
        <w:tblStyle w:val="44"/>
        <w:tblW w:w="82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5"/>
        <w:gridCol w:w="576"/>
        <w:gridCol w:w="606"/>
        <w:gridCol w:w="846"/>
        <w:gridCol w:w="396"/>
        <w:gridCol w:w="5368"/>
      </w:tblGrid>
      <w:tr w14:paraId="71F41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5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B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62"/>
                <w:sz w:val="18"/>
                <w:szCs w:val="18"/>
                <w:lang w:val="en-US" w:eastAsia="zh-CN" w:bidi="ar"/>
              </w:rPr>
              <w:t>名称</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0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62"/>
                <w:sz w:val="18"/>
                <w:szCs w:val="18"/>
                <w:lang w:val="en-US" w:eastAsia="zh-CN" w:bidi="ar"/>
              </w:rPr>
              <w:t>设备名称</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C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62"/>
                <w:sz w:val="18"/>
                <w:szCs w:val="18"/>
                <w:lang w:val="en-US" w:eastAsia="zh-CN" w:bidi="ar"/>
              </w:rPr>
              <w:t>数量</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4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62"/>
                <w:sz w:val="18"/>
                <w:szCs w:val="18"/>
                <w:lang w:val="en-US" w:eastAsia="zh-CN" w:bidi="ar"/>
              </w:rPr>
              <w:t>单位</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2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62"/>
                <w:sz w:val="18"/>
                <w:szCs w:val="18"/>
                <w:lang w:val="en-US" w:eastAsia="zh-CN" w:bidi="ar"/>
              </w:rPr>
              <w:t>主要参数</w:t>
            </w:r>
          </w:p>
        </w:tc>
      </w:tr>
      <w:tr w14:paraId="42AD9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5" w:hRule="atLeast"/>
        </w:trPr>
        <w:tc>
          <w:tcPr>
            <w:tcW w:w="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C7782">
            <w:pPr>
              <w:keepNext w:val="0"/>
              <w:keepLines w:val="0"/>
              <w:widowControl/>
              <w:suppressLineNumbers w:val="0"/>
              <w:jc w:val="center"/>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FA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一、屏体部分</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BA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户内全彩LED屏</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F5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15.5648</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A7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top"/>
          </w:tcPr>
          <w:p w14:paraId="3FA37CB8">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像素结构 三合一LED</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像素间距（mm） ≤1.8</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模组分辨率（W×H） 172×86=14792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模组尺寸（mm） 320×160×12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模组输入电压（V） 4.5±0.1V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模组最大电流（A） ≤5.0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模组最大功耗（W） ≤23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箱体模组组成（W×H） 2×3；箱体分辨率（W×H） 344×258</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箱体尺寸（mm）640×480×70；箱体面积（m2）0.3072；箱体重量（kg）6～8；箱体像素密度（点/m2） 288906；箱体平整度（mm）≤0.2；维护方式 前维护；箱体材质 压铸铝；单点亮度校正 有；单点色度校正 有；白平衡亮度（nits） ≥450；色温（K） 3000～14000可调；视角（水平/垂直°） 140/120；亮度/色度均匀性 ≥99%；对比度   5000:1；箱体最大功耗（W） 138；箱体平均功耗（W） 46；供电要求 AC186V－264V，频率47Hz～63Hz；换帧频率（Hz） 50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驱动方式  恒流驱动，43扫；灰度级别 16384；刷新率（Hz） 3840Hz；颜色处理位数 14bit；寿命典型值（hrs） 100,000H</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工作温/湿度范围（℃/RH） -20℃～50℃ / 10%RH～65%RH（无结露）存储温/湿度范围（℃/RH） -10℃～30℃ / 10%RH～60%RH（无结露）</w:t>
            </w:r>
          </w:p>
        </w:tc>
      </w:tr>
      <w:tr w14:paraId="01EB9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62061">
            <w:pPr>
              <w:jc w:val="center"/>
              <w:rPr>
                <w:rFonts w:hint="eastAsia" w:ascii="仿宋" w:hAnsi="仿宋" w:eastAsia="仿宋" w:cs="仿宋"/>
                <w:i w:val="0"/>
                <w:iCs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24BF">
            <w:pPr>
              <w:jc w:val="center"/>
              <w:rPr>
                <w:rFonts w:hint="eastAsia" w:ascii="仿宋" w:hAnsi="仿宋" w:eastAsia="仿宋" w:cs="仿宋"/>
                <w:i w:val="0"/>
                <w:iCs w:val="0"/>
                <w:color w:val="000000"/>
                <w:sz w:val="18"/>
                <w:szCs w:val="18"/>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F9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备品备件</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31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E5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CE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2张模组，两张接收卡，两个电源</w:t>
            </w:r>
          </w:p>
        </w:tc>
      </w:tr>
      <w:tr w14:paraId="28E5E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915F3">
            <w:pPr>
              <w:jc w:val="center"/>
              <w:rPr>
                <w:rFonts w:hint="eastAsia" w:ascii="仿宋" w:hAnsi="仿宋" w:eastAsia="仿宋" w:cs="仿宋"/>
                <w:i w:val="0"/>
                <w:iCs w:val="0"/>
                <w:color w:val="000000"/>
                <w:sz w:val="18"/>
                <w:szCs w:val="18"/>
                <w:u w:val="none"/>
              </w:rPr>
            </w:pPr>
          </w:p>
        </w:tc>
        <w:tc>
          <w:tcPr>
            <w:tcW w:w="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624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二、控制部分</w:t>
            </w:r>
          </w:p>
        </w:tc>
        <w:tc>
          <w:tcPr>
            <w:tcW w:w="6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3C731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接收卡</w:t>
            </w:r>
          </w:p>
        </w:tc>
        <w:tc>
          <w:tcPr>
            <w:tcW w:w="61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7E734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3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30CFD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5649" w:type="dxa"/>
            <w:tcBorders>
              <w:top w:val="single" w:color="000000" w:sz="4" w:space="0"/>
              <w:left w:val="single" w:color="000000" w:sz="4" w:space="0"/>
              <w:bottom w:val="single" w:color="7F7F7F" w:sz="4" w:space="0"/>
              <w:right w:val="nil"/>
            </w:tcBorders>
            <w:shd w:val="clear" w:color="auto" w:fill="auto"/>
            <w:vAlign w:val="center"/>
          </w:tcPr>
          <w:p w14:paraId="473001B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单卡带载 512×512 像素 ； 支持逐点亮色度校正；支持接收卡预存画面设置；支持温度、电压、 网线通讯和视频源信号状态检测；集成 12个标准 HUB75 接口，免接 HUB 板；支持Mapping定位；采用千兆网口， 可以连接 PC 端 ；支持程序回读；为保障LED大屏的系统稳定性，需与LED大屏厂家为同一厂家</w:t>
            </w:r>
          </w:p>
        </w:tc>
      </w:tr>
      <w:tr w14:paraId="2A451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4C5AA">
            <w:pPr>
              <w:jc w:val="center"/>
              <w:rPr>
                <w:rFonts w:hint="eastAsia" w:ascii="仿宋" w:hAnsi="仿宋" w:eastAsia="仿宋" w:cs="仿宋"/>
                <w:i w:val="0"/>
                <w:iCs w:val="0"/>
                <w:color w:val="000000"/>
                <w:sz w:val="18"/>
                <w:szCs w:val="18"/>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67711">
            <w:pPr>
              <w:jc w:val="center"/>
              <w:rPr>
                <w:rFonts w:hint="eastAsia" w:ascii="仿宋" w:hAnsi="仿宋" w:eastAsia="仿宋" w:cs="仿宋"/>
                <w:i w:val="0"/>
                <w:iCs w:val="0"/>
                <w:color w:val="000000"/>
                <w:sz w:val="18"/>
                <w:szCs w:val="18"/>
                <w:u w:val="none"/>
              </w:rPr>
            </w:pPr>
          </w:p>
        </w:tc>
        <w:tc>
          <w:tcPr>
            <w:tcW w:w="608" w:type="dxa"/>
            <w:tcBorders>
              <w:top w:val="single" w:color="7F7F7F" w:sz="4" w:space="0"/>
              <w:left w:val="single" w:color="7F7F7F" w:sz="4" w:space="0"/>
              <w:bottom w:val="single" w:color="7F7F7F" w:sz="4" w:space="0"/>
              <w:right w:val="single" w:color="7F7F7F" w:sz="4" w:space="0"/>
            </w:tcBorders>
            <w:shd w:val="clear" w:color="auto" w:fill="auto"/>
            <w:vAlign w:val="center"/>
          </w:tcPr>
          <w:p w14:paraId="69D8A2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独立主控</w:t>
            </w:r>
          </w:p>
        </w:tc>
        <w:tc>
          <w:tcPr>
            <w:tcW w:w="612" w:type="dxa"/>
            <w:tcBorders>
              <w:top w:val="single" w:color="7F7F7F" w:sz="4" w:space="0"/>
              <w:left w:val="single" w:color="7F7F7F" w:sz="4" w:space="0"/>
              <w:bottom w:val="single" w:color="7F7F7F" w:sz="4" w:space="0"/>
              <w:right w:val="single" w:color="7F7F7F" w:sz="4" w:space="0"/>
            </w:tcBorders>
            <w:shd w:val="clear" w:color="auto" w:fill="auto"/>
            <w:vAlign w:val="center"/>
          </w:tcPr>
          <w:p w14:paraId="0D3AC4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5" w:type="dxa"/>
            <w:tcBorders>
              <w:top w:val="single" w:color="7F7F7F" w:sz="4" w:space="0"/>
              <w:left w:val="single" w:color="7F7F7F" w:sz="4" w:space="0"/>
              <w:bottom w:val="single" w:color="7F7F7F" w:sz="4" w:space="0"/>
              <w:right w:val="single" w:color="7F7F7F" w:sz="4" w:space="0"/>
            </w:tcBorders>
            <w:shd w:val="clear" w:color="auto" w:fill="auto"/>
            <w:vAlign w:val="center"/>
          </w:tcPr>
          <w:p w14:paraId="5882BB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49" w:type="dxa"/>
            <w:tcBorders>
              <w:top w:val="single" w:color="7F7F7F" w:sz="4" w:space="0"/>
              <w:left w:val="single" w:color="000000" w:sz="4" w:space="0"/>
              <w:bottom w:val="single" w:color="000000" w:sz="4" w:space="0"/>
              <w:right w:val="nil"/>
            </w:tcBorders>
            <w:shd w:val="clear" w:color="auto" w:fill="auto"/>
            <w:vAlign w:val="center"/>
          </w:tcPr>
          <w:p w14:paraId="510DA10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括1路3G-SDI（IN+LOOP)，2路HDMI1.4，1路DVI，一路AUDIO；支持3个窗口；支持快捷配屏和高级配屏功能；支持HDMI、DVI输入分辨率自定义调节；支持设备间备份设置；视频输出最大带载高达650万像素；支持带载屏体亮度调节；支持一键全屏缩放、输入截取等功能；支持创建10个用户场景作为模板保存；</w:t>
            </w:r>
          </w:p>
        </w:tc>
      </w:tr>
      <w:tr w14:paraId="5A0E5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3" w:hRule="atLeast"/>
        </w:trPr>
        <w:tc>
          <w:tcPr>
            <w:tcW w:w="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82994">
            <w:pPr>
              <w:jc w:val="center"/>
              <w:rPr>
                <w:rFonts w:hint="eastAsia" w:ascii="仿宋" w:hAnsi="仿宋" w:eastAsia="仿宋" w:cs="仿宋"/>
                <w:i w:val="0"/>
                <w:iCs w:val="0"/>
                <w:color w:val="000000"/>
                <w:sz w:val="18"/>
                <w:szCs w:val="18"/>
                <w:u w:val="none"/>
              </w:rPr>
            </w:pPr>
          </w:p>
        </w:tc>
        <w:tc>
          <w:tcPr>
            <w:tcW w:w="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619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三、配套设备</w:t>
            </w:r>
          </w:p>
        </w:tc>
        <w:tc>
          <w:tcPr>
            <w:tcW w:w="6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32D35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开关电源</w:t>
            </w:r>
          </w:p>
        </w:tc>
        <w:tc>
          <w:tcPr>
            <w:tcW w:w="61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41B6B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w:t>
            </w:r>
          </w:p>
        </w:tc>
        <w:tc>
          <w:tcPr>
            <w:tcW w:w="3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6EEC7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649" w:type="dxa"/>
            <w:tcBorders>
              <w:top w:val="nil"/>
              <w:left w:val="single" w:color="000000" w:sz="4" w:space="0"/>
              <w:bottom w:val="single" w:color="808080" w:sz="4" w:space="0"/>
              <w:right w:val="nil"/>
            </w:tcBorders>
            <w:shd w:val="clear" w:color="auto" w:fill="auto"/>
            <w:vAlign w:val="center"/>
          </w:tcPr>
          <w:p w14:paraId="374619D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额定输入电压：200-240VAC;输入频率：50Hz；冷启动冲击电流：50A；效率≥86%；空载功耗：5W；额定输出电压：5±0.15VDC;额定输出电流：0～40A；短路保护，过流保护；</w:t>
            </w:r>
          </w:p>
        </w:tc>
      </w:tr>
      <w:tr w14:paraId="5489A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BE420">
            <w:pPr>
              <w:jc w:val="center"/>
              <w:rPr>
                <w:rFonts w:hint="eastAsia" w:ascii="仿宋" w:hAnsi="仿宋" w:eastAsia="仿宋" w:cs="仿宋"/>
                <w:i w:val="0"/>
                <w:iCs w:val="0"/>
                <w:color w:val="000000"/>
                <w:sz w:val="18"/>
                <w:szCs w:val="18"/>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A5D29">
            <w:pPr>
              <w:jc w:val="center"/>
              <w:rPr>
                <w:rFonts w:hint="eastAsia" w:ascii="仿宋" w:hAnsi="仿宋" w:eastAsia="仿宋" w:cs="仿宋"/>
                <w:i w:val="0"/>
                <w:iCs w:val="0"/>
                <w:color w:val="000000"/>
                <w:sz w:val="18"/>
                <w:szCs w:val="18"/>
                <w:u w:val="none"/>
              </w:rPr>
            </w:pPr>
          </w:p>
        </w:tc>
        <w:tc>
          <w:tcPr>
            <w:tcW w:w="6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FDF19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配电柜</w:t>
            </w:r>
          </w:p>
        </w:tc>
        <w:tc>
          <w:tcPr>
            <w:tcW w:w="612"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654BB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0398E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64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F4718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10(KW)含电表、空开、漏电保护器等</w:t>
            </w:r>
          </w:p>
        </w:tc>
      </w:tr>
      <w:tr w14:paraId="28630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DC0A6">
            <w:pPr>
              <w:jc w:val="center"/>
              <w:rPr>
                <w:rFonts w:hint="eastAsia" w:ascii="仿宋" w:hAnsi="仿宋" w:eastAsia="仿宋" w:cs="仿宋"/>
                <w:i w:val="0"/>
                <w:iCs w:val="0"/>
                <w:color w:val="000000"/>
                <w:sz w:val="18"/>
                <w:szCs w:val="18"/>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90A8F">
            <w:pPr>
              <w:jc w:val="center"/>
              <w:rPr>
                <w:rFonts w:hint="eastAsia" w:ascii="仿宋" w:hAnsi="仿宋" w:eastAsia="仿宋" w:cs="仿宋"/>
                <w:i w:val="0"/>
                <w:iCs w:val="0"/>
                <w:color w:val="000000"/>
                <w:sz w:val="18"/>
                <w:szCs w:val="18"/>
                <w:u w:val="none"/>
              </w:rPr>
            </w:pPr>
          </w:p>
        </w:tc>
        <w:tc>
          <w:tcPr>
            <w:tcW w:w="608" w:type="dxa"/>
            <w:tcBorders>
              <w:top w:val="single" w:color="808080" w:sz="4" w:space="0"/>
              <w:left w:val="nil"/>
              <w:bottom w:val="single" w:color="808080" w:sz="4" w:space="0"/>
              <w:right w:val="nil"/>
            </w:tcBorders>
            <w:shd w:val="clear" w:color="auto" w:fill="auto"/>
            <w:vAlign w:val="center"/>
          </w:tcPr>
          <w:p w14:paraId="1AB8A5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控制电脑</w:t>
            </w:r>
          </w:p>
        </w:tc>
        <w:tc>
          <w:tcPr>
            <w:tcW w:w="612" w:type="dxa"/>
            <w:tcBorders>
              <w:top w:val="single" w:color="808080" w:sz="4" w:space="0"/>
              <w:left w:val="nil"/>
              <w:bottom w:val="single" w:color="808080" w:sz="4" w:space="0"/>
              <w:right w:val="nil"/>
            </w:tcBorders>
            <w:shd w:val="clear" w:color="auto" w:fill="auto"/>
            <w:vAlign w:val="center"/>
          </w:tcPr>
          <w:p w14:paraId="3E8C6E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5" w:type="dxa"/>
            <w:tcBorders>
              <w:top w:val="single" w:color="808080" w:sz="4" w:space="0"/>
              <w:left w:val="nil"/>
              <w:bottom w:val="single" w:color="808080" w:sz="4" w:space="0"/>
              <w:right w:val="nil"/>
            </w:tcBorders>
            <w:shd w:val="clear" w:color="auto" w:fill="auto"/>
            <w:vAlign w:val="center"/>
          </w:tcPr>
          <w:p w14:paraId="51C8F4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49" w:type="dxa"/>
            <w:tcBorders>
              <w:top w:val="single" w:color="808080" w:sz="4" w:space="0"/>
              <w:left w:val="single" w:color="000000" w:sz="4" w:space="0"/>
              <w:bottom w:val="single" w:color="000000" w:sz="4" w:space="0"/>
              <w:right w:val="nil"/>
            </w:tcBorders>
            <w:shd w:val="clear" w:color="auto" w:fill="auto"/>
            <w:vAlign w:val="center"/>
          </w:tcPr>
          <w:p w14:paraId="0DC0497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i5-13500 16G内存  1T固态  730 4G显卡 23.8寸屏，含键鼠等</w:t>
            </w:r>
          </w:p>
        </w:tc>
      </w:tr>
      <w:tr w14:paraId="116A5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trPr>
        <w:tc>
          <w:tcPr>
            <w:tcW w:w="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77945">
            <w:pPr>
              <w:jc w:val="center"/>
              <w:rPr>
                <w:rFonts w:hint="eastAsia" w:ascii="仿宋" w:hAnsi="仿宋" w:eastAsia="仿宋" w:cs="仿宋"/>
                <w:i w:val="0"/>
                <w:iCs w:val="0"/>
                <w:color w:val="000000"/>
                <w:sz w:val="18"/>
                <w:szCs w:val="18"/>
                <w:u w:val="none"/>
              </w:rPr>
            </w:pPr>
          </w:p>
        </w:tc>
        <w:tc>
          <w:tcPr>
            <w:tcW w:w="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AAB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四、其他</w:t>
            </w:r>
          </w:p>
        </w:tc>
        <w:tc>
          <w:tcPr>
            <w:tcW w:w="608"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BA023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钢结构</w:t>
            </w:r>
          </w:p>
        </w:tc>
        <w:tc>
          <w:tcPr>
            <w:tcW w:w="612" w:type="dxa"/>
            <w:tcBorders>
              <w:top w:val="single" w:color="808080" w:sz="4" w:space="0"/>
              <w:left w:val="single" w:color="808080" w:sz="4" w:space="0"/>
              <w:bottom w:val="nil"/>
              <w:right w:val="single" w:color="808080" w:sz="4" w:space="0"/>
            </w:tcBorders>
            <w:shd w:val="clear" w:color="auto" w:fill="auto"/>
            <w:vAlign w:val="center"/>
          </w:tcPr>
          <w:p w14:paraId="511FF1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w:t>
            </w:r>
          </w:p>
        </w:tc>
        <w:tc>
          <w:tcPr>
            <w:tcW w:w="365" w:type="dxa"/>
            <w:tcBorders>
              <w:top w:val="single" w:color="808080" w:sz="4" w:space="0"/>
              <w:left w:val="single" w:color="808080" w:sz="4" w:space="0"/>
              <w:bottom w:val="nil"/>
              <w:right w:val="single" w:color="808080" w:sz="4" w:space="0"/>
            </w:tcBorders>
            <w:shd w:val="clear" w:color="auto" w:fill="auto"/>
            <w:vAlign w:val="center"/>
          </w:tcPr>
          <w:p w14:paraId="2A9C0B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5649" w:type="dxa"/>
            <w:tcBorders>
              <w:top w:val="nil"/>
              <w:left w:val="single" w:color="000000" w:sz="4" w:space="0"/>
              <w:bottom w:val="nil"/>
              <w:right w:val="nil"/>
            </w:tcBorders>
            <w:shd w:val="clear" w:color="auto" w:fill="auto"/>
            <w:vAlign w:val="center"/>
          </w:tcPr>
          <w:p w14:paraId="5B87B35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主框架采用:采用镀锌钢材、角铁、方管、膨胀螺钉和辅材；主框架为保证安全以及平整度，需要采用焊接方式，牢固焊接制作。</w:t>
            </w:r>
          </w:p>
        </w:tc>
      </w:tr>
      <w:tr w14:paraId="74E49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B71B4">
            <w:pPr>
              <w:jc w:val="center"/>
              <w:rPr>
                <w:rFonts w:hint="eastAsia" w:ascii="仿宋" w:hAnsi="仿宋" w:eastAsia="仿宋" w:cs="仿宋"/>
                <w:i w:val="0"/>
                <w:iCs w:val="0"/>
                <w:color w:val="000000"/>
                <w:sz w:val="18"/>
                <w:szCs w:val="18"/>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66BB8">
            <w:pPr>
              <w:jc w:val="center"/>
              <w:rPr>
                <w:rFonts w:hint="eastAsia" w:ascii="仿宋" w:hAnsi="仿宋" w:eastAsia="仿宋" w:cs="仿宋"/>
                <w:i w:val="0"/>
                <w:iCs w:val="0"/>
                <w:color w:val="000000"/>
                <w:sz w:val="18"/>
                <w:szCs w:val="18"/>
                <w:u w:val="none"/>
              </w:rPr>
            </w:pPr>
          </w:p>
        </w:tc>
        <w:tc>
          <w:tcPr>
            <w:tcW w:w="608" w:type="dxa"/>
            <w:tcBorders>
              <w:top w:val="single" w:color="808080" w:sz="4" w:space="0"/>
              <w:left w:val="single" w:color="808080" w:sz="4" w:space="0"/>
              <w:bottom w:val="nil"/>
              <w:right w:val="nil"/>
            </w:tcBorders>
            <w:shd w:val="clear" w:color="auto" w:fill="auto"/>
            <w:vAlign w:val="center"/>
          </w:tcPr>
          <w:p w14:paraId="6C9B86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线材、机柜</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C3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55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99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根据现场实际测绘，以实际现场为准。根据现场实际情况而定</w:t>
            </w:r>
          </w:p>
        </w:tc>
      </w:tr>
      <w:tr w14:paraId="5A764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2"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5346E">
            <w:pPr>
              <w:jc w:val="center"/>
              <w:rPr>
                <w:rFonts w:hint="eastAsia" w:ascii="仿宋" w:hAnsi="仿宋" w:eastAsia="仿宋" w:cs="仿宋"/>
                <w:i w:val="0"/>
                <w:iCs w:val="0"/>
                <w:color w:val="000000"/>
                <w:sz w:val="18"/>
                <w:szCs w:val="18"/>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9E550">
            <w:pPr>
              <w:jc w:val="center"/>
              <w:rPr>
                <w:rFonts w:hint="eastAsia" w:ascii="仿宋" w:hAnsi="仿宋" w:eastAsia="仿宋" w:cs="仿宋"/>
                <w:i w:val="0"/>
                <w:iCs w:val="0"/>
                <w:color w:val="000000"/>
                <w:sz w:val="18"/>
                <w:szCs w:val="18"/>
                <w:u w:val="none"/>
              </w:rPr>
            </w:pPr>
          </w:p>
        </w:tc>
        <w:tc>
          <w:tcPr>
            <w:tcW w:w="608" w:type="dxa"/>
            <w:tcBorders>
              <w:top w:val="single" w:color="808080" w:sz="4" w:space="0"/>
              <w:left w:val="single" w:color="000000" w:sz="4" w:space="0"/>
              <w:bottom w:val="nil"/>
              <w:right w:val="nil"/>
            </w:tcBorders>
            <w:shd w:val="clear" w:color="auto" w:fill="FFFFFF"/>
            <w:vAlign w:val="center"/>
          </w:tcPr>
          <w:p w14:paraId="0983912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功放</w:t>
            </w:r>
          </w:p>
        </w:tc>
        <w:tc>
          <w:tcPr>
            <w:tcW w:w="612" w:type="dxa"/>
            <w:tcBorders>
              <w:top w:val="nil"/>
              <w:left w:val="single" w:color="000000" w:sz="4" w:space="0"/>
              <w:bottom w:val="nil"/>
              <w:right w:val="nil"/>
            </w:tcBorders>
            <w:shd w:val="clear" w:color="auto" w:fill="FFFFFF"/>
            <w:vAlign w:val="center"/>
          </w:tcPr>
          <w:p w14:paraId="5999C22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5" w:type="dxa"/>
            <w:tcBorders>
              <w:top w:val="nil"/>
              <w:left w:val="single" w:color="000000" w:sz="4" w:space="0"/>
              <w:bottom w:val="nil"/>
              <w:right w:val="nil"/>
            </w:tcBorders>
            <w:shd w:val="clear" w:color="auto" w:fill="FFFFFF"/>
            <w:vAlign w:val="center"/>
          </w:tcPr>
          <w:p w14:paraId="4C6647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2735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前面板独立通道，电源指示灯和输出信号、过载或故障LED 信号指示桥接、立体声、并联工作模式切换；灵敏度调节，支持2档切换（0DdBu与32dB）；智能削峰限幅器，控制功率模块及扬声器系统在安全范围内工作；XLR平衡音频输入，Speakon与快速接线柱扬声器连接；可恢复的电源过载保护器，电源开机浪涌电流限位，无需进行电源时序控制；具有完善的软启动、消波限幅、过温、过压、过流保护功能；智能控制强制散热设计，风机噪音小，散热效率高；全新设计的放大电路，最低能支持1ohm并联低阻驱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立体声：300W/8Ω ；450W/4Ω；600W/2Ω ；桥接功率：900W/8Ω ；1200W/4Ω ；并接功率：900W/2Ω ；1200W/1Ω ；总谐波失真：正常工作条件1KHz   ＜0.025％；互调失真：正常工作条件60Hz/7KHz-4/1  ＜0.075％；频率响应 ：正常工作条件20Hz-20KHz    ＜+/-0.25；信噪比 ：1KHz 0.75V Input A Weight   ＞110dB；总谐波失真：正常工作条件1KHz  ＜0.025％；互调失真：正常工作条件60Hz/7KHz-4/1  ＜0.075％；频率响应 ：正常工作条件20Hz-20KHz    ＜+/-0.25；信噪比 ：1KHz 0.75V Input A Weight  ＞110dB；阻尼系数：正常工作条件 63Hz  ＞1500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转换速率：1KHz 窄脉冲40dB增益   ＞100V/us；输入灵敏度：1.20v；增益：×62；输入阻抗：正常工作条件1KHz平衡输入   20kohm；正常功耗：380VA；正常电流：1.65A；过载功耗：760VA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过载电流：3.3A；</w:t>
            </w:r>
          </w:p>
        </w:tc>
      </w:tr>
      <w:tr w14:paraId="55596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2"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2A703">
            <w:pPr>
              <w:jc w:val="center"/>
              <w:rPr>
                <w:rFonts w:hint="eastAsia" w:ascii="仿宋" w:hAnsi="仿宋" w:eastAsia="仿宋" w:cs="仿宋"/>
                <w:i w:val="0"/>
                <w:iCs w:val="0"/>
                <w:color w:val="000000"/>
                <w:sz w:val="18"/>
                <w:szCs w:val="18"/>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6BBD0">
            <w:pPr>
              <w:jc w:val="center"/>
              <w:rPr>
                <w:rFonts w:hint="eastAsia" w:ascii="仿宋" w:hAnsi="仿宋" w:eastAsia="仿宋" w:cs="仿宋"/>
                <w:i w:val="0"/>
                <w:iCs w:val="0"/>
                <w:color w:val="000000"/>
                <w:sz w:val="18"/>
                <w:szCs w:val="18"/>
                <w:u w:val="none"/>
              </w:rPr>
            </w:pPr>
          </w:p>
        </w:tc>
        <w:tc>
          <w:tcPr>
            <w:tcW w:w="608" w:type="dxa"/>
            <w:tcBorders>
              <w:top w:val="single" w:color="808080" w:sz="4" w:space="0"/>
              <w:left w:val="single" w:color="000000" w:sz="4" w:space="0"/>
              <w:bottom w:val="nil"/>
              <w:right w:val="nil"/>
            </w:tcBorders>
            <w:shd w:val="clear" w:color="auto" w:fill="FFFFFF"/>
            <w:vAlign w:val="center"/>
          </w:tcPr>
          <w:p w14:paraId="1301FA3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调音台</w:t>
            </w:r>
          </w:p>
        </w:tc>
        <w:tc>
          <w:tcPr>
            <w:tcW w:w="612" w:type="dxa"/>
            <w:tcBorders>
              <w:top w:val="single" w:color="808080" w:sz="4" w:space="0"/>
              <w:left w:val="single" w:color="000000" w:sz="4" w:space="0"/>
              <w:bottom w:val="nil"/>
              <w:right w:val="nil"/>
            </w:tcBorders>
            <w:shd w:val="clear" w:color="auto" w:fill="FFFFFF"/>
            <w:vAlign w:val="center"/>
          </w:tcPr>
          <w:p w14:paraId="73C2F27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5" w:type="dxa"/>
            <w:tcBorders>
              <w:top w:val="single" w:color="808080" w:sz="4" w:space="0"/>
              <w:left w:val="single" w:color="000000" w:sz="4" w:space="0"/>
              <w:bottom w:val="nil"/>
              <w:right w:val="nil"/>
            </w:tcBorders>
            <w:shd w:val="clear" w:color="auto" w:fill="FFFFFF"/>
            <w:vAlign w:val="center"/>
          </w:tcPr>
          <w:p w14:paraId="5F12E8D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C5E3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应用于安装,录音,多功能厅中小型活动,独奏表演有全面的现声乐队演出等应用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16路单声输入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通道3段均衡加中频可选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二组编组，三组输助输出，一组返回</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100MM高精度对数式衰减推子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256/24Bit DSP效果器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9段主控均衡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一组立体声输出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+48V幻象电源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USB录音，蓝牙播放功能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通道哑音功能</w:t>
            </w:r>
          </w:p>
        </w:tc>
      </w:tr>
      <w:tr w14:paraId="7C2BB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9"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B3BE2">
            <w:pPr>
              <w:jc w:val="center"/>
              <w:rPr>
                <w:rFonts w:hint="eastAsia" w:ascii="仿宋" w:hAnsi="仿宋" w:eastAsia="仿宋" w:cs="仿宋"/>
                <w:i w:val="0"/>
                <w:iCs w:val="0"/>
                <w:color w:val="000000"/>
                <w:sz w:val="18"/>
                <w:szCs w:val="18"/>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A0D1D">
            <w:pPr>
              <w:jc w:val="center"/>
              <w:rPr>
                <w:rFonts w:hint="eastAsia" w:ascii="仿宋" w:hAnsi="仿宋" w:eastAsia="仿宋" w:cs="仿宋"/>
                <w:i w:val="0"/>
                <w:iCs w:val="0"/>
                <w:color w:val="000000"/>
                <w:sz w:val="18"/>
                <w:szCs w:val="18"/>
                <w:u w:val="none"/>
              </w:rPr>
            </w:pPr>
          </w:p>
        </w:tc>
        <w:tc>
          <w:tcPr>
            <w:tcW w:w="608" w:type="dxa"/>
            <w:tcBorders>
              <w:top w:val="single" w:color="808080" w:sz="4" w:space="0"/>
              <w:left w:val="single" w:color="000000" w:sz="4" w:space="0"/>
              <w:bottom w:val="nil"/>
              <w:right w:val="nil"/>
            </w:tcBorders>
            <w:shd w:val="clear" w:color="auto" w:fill="FFFFFF"/>
            <w:vAlign w:val="center"/>
          </w:tcPr>
          <w:p w14:paraId="5E52DF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无线话筒</w:t>
            </w:r>
          </w:p>
        </w:tc>
        <w:tc>
          <w:tcPr>
            <w:tcW w:w="612" w:type="dxa"/>
            <w:vMerge w:val="restart"/>
            <w:tcBorders>
              <w:top w:val="single" w:color="808080" w:sz="4" w:space="0"/>
              <w:left w:val="single" w:color="000000" w:sz="4" w:space="0"/>
              <w:bottom w:val="nil"/>
              <w:right w:val="nil"/>
            </w:tcBorders>
            <w:shd w:val="clear" w:color="auto" w:fill="FFFFFF"/>
            <w:vAlign w:val="center"/>
          </w:tcPr>
          <w:p w14:paraId="5957A0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5" w:type="dxa"/>
            <w:vMerge w:val="restart"/>
            <w:tcBorders>
              <w:top w:val="single" w:color="808080" w:sz="4" w:space="0"/>
              <w:left w:val="single" w:color="000000" w:sz="4" w:space="0"/>
              <w:bottom w:val="nil"/>
              <w:right w:val="nil"/>
            </w:tcBorders>
            <w:shd w:val="clear" w:color="auto" w:fill="FFFFFF"/>
            <w:vAlign w:val="center"/>
          </w:tcPr>
          <w:p w14:paraId="51673C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649"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14:paraId="4E2BCC96">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采用2U标准机箱，系统菜单彩色大屏显示，内容更清楚，每通道射频与音频工作状态由独立的LED灯显示；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四通道音量独立可调，</w:t>
            </w:r>
            <w:r>
              <w:rPr>
                <w:rStyle w:val="363"/>
                <w:rFonts w:eastAsia="仿宋"/>
                <w:sz w:val="18"/>
                <w:szCs w:val="18"/>
                <w:lang w:val="en-US" w:eastAsia="zh-CN" w:bidi="ar"/>
              </w:rPr>
              <w:t xml:space="preserve"> </w:t>
            </w:r>
            <w:r>
              <w:rPr>
                <w:rStyle w:val="364"/>
                <w:sz w:val="18"/>
                <w:szCs w:val="18"/>
                <w:lang w:val="en-US" w:eastAsia="zh-CN" w:bidi="ar"/>
              </w:rPr>
              <w:t>SQ独立可调， IR红外对频独立控制. 提供4+2音频输出模式；</w:t>
            </w:r>
            <w:r>
              <w:rPr>
                <w:rStyle w:val="364"/>
                <w:sz w:val="18"/>
                <w:szCs w:val="18"/>
                <w:lang w:val="en-US" w:eastAsia="zh-CN" w:bidi="ar"/>
              </w:rPr>
              <w:br w:type="textWrapping"/>
            </w:r>
            <w:r>
              <w:rPr>
                <w:rStyle w:val="364"/>
                <w:sz w:val="18"/>
                <w:szCs w:val="18"/>
                <w:lang w:val="en-US" w:eastAsia="zh-CN" w:bidi="ar"/>
              </w:rPr>
              <w:t>发射器电池电量实时监控，</w:t>
            </w:r>
            <w:r>
              <w:rPr>
                <w:rStyle w:val="363"/>
                <w:rFonts w:eastAsia="仿宋"/>
                <w:sz w:val="18"/>
                <w:szCs w:val="18"/>
                <w:lang w:val="en-US" w:eastAsia="zh-CN" w:bidi="ar"/>
              </w:rPr>
              <w:t xml:space="preserve"> </w:t>
            </w:r>
            <w:r>
              <w:rPr>
                <w:rStyle w:val="364"/>
                <w:sz w:val="18"/>
                <w:szCs w:val="18"/>
                <w:lang w:val="en-US" w:eastAsia="zh-CN" w:bidi="ar"/>
              </w:rPr>
              <w:t>系统菜单内存了3组叠机频率可以调取使用，发射器会议/手持/领夹可以混搭使用；</w:t>
            </w:r>
            <w:r>
              <w:rPr>
                <w:rStyle w:val="364"/>
                <w:sz w:val="18"/>
                <w:szCs w:val="18"/>
                <w:lang w:val="en-US" w:eastAsia="zh-CN" w:bidi="ar"/>
              </w:rPr>
              <w:br w:type="textWrapping"/>
            </w:r>
            <w:r>
              <w:rPr>
                <w:rStyle w:val="364"/>
                <w:sz w:val="18"/>
                <w:szCs w:val="18"/>
                <w:lang w:val="en-US" w:eastAsia="zh-CN" w:bidi="ar"/>
              </w:rPr>
              <w:t>系统工作频率设定为4 X 50频点. 每个通道均设有50个频点可调 . 系统频率范围默认为640-690 MHZ ；话筒数量1拖4设备2套；</w:t>
            </w:r>
            <w:r>
              <w:rPr>
                <w:rStyle w:val="364"/>
                <w:sz w:val="18"/>
                <w:szCs w:val="18"/>
                <w:lang w:val="en-US" w:eastAsia="zh-CN" w:bidi="ar"/>
              </w:rPr>
              <w:br w:type="textWrapping"/>
            </w:r>
            <w:r>
              <w:rPr>
                <w:rStyle w:val="364"/>
                <w:sz w:val="18"/>
                <w:szCs w:val="18"/>
                <w:lang w:val="en-US" w:eastAsia="zh-CN" w:bidi="ar"/>
              </w:rPr>
              <w:t>专业演出级别的相位锁定电路，配合杂讯锁定静噪控制与数码导频技术，当发射器关闭时，导频控制将AF信号静音以抑制噪声，同时将对应的接收机静音，保证了对干忧信号的有效阻隔；</w:t>
            </w:r>
            <w:r>
              <w:rPr>
                <w:rStyle w:val="364"/>
                <w:sz w:val="18"/>
                <w:szCs w:val="18"/>
                <w:lang w:val="en-US" w:eastAsia="zh-CN" w:bidi="ar"/>
              </w:rPr>
              <w:br w:type="textWrapping"/>
            </w:r>
            <w:r>
              <w:rPr>
                <w:rStyle w:val="364"/>
                <w:sz w:val="18"/>
                <w:szCs w:val="18"/>
                <w:lang w:val="en-US" w:eastAsia="zh-CN" w:bidi="ar"/>
              </w:rPr>
              <w:t>接收机规格：</w:t>
            </w:r>
            <w:r>
              <w:rPr>
                <w:rStyle w:val="364"/>
                <w:sz w:val="18"/>
                <w:szCs w:val="18"/>
                <w:lang w:val="en-US" w:eastAsia="zh-CN" w:bidi="ar"/>
              </w:rPr>
              <w:br w:type="textWrapping"/>
            </w:r>
            <w:r>
              <w:rPr>
                <w:rStyle w:val="364"/>
                <w:sz w:val="18"/>
                <w:szCs w:val="18"/>
                <w:lang w:val="en-US" w:eastAsia="zh-CN" w:bidi="ar"/>
              </w:rPr>
              <w:t>振荡模式：PLL相位锁定频率合成</w:t>
            </w:r>
            <w:r>
              <w:rPr>
                <w:rStyle w:val="364"/>
                <w:sz w:val="18"/>
                <w:szCs w:val="18"/>
                <w:lang w:val="en-US" w:eastAsia="zh-CN" w:bidi="ar"/>
              </w:rPr>
              <w:br w:type="textWrapping"/>
            </w:r>
            <w:r>
              <w:rPr>
                <w:rStyle w:val="364"/>
                <w:sz w:val="18"/>
                <w:szCs w:val="18"/>
                <w:lang w:val="en-US" w:eastAsia="zh-CN" w:bidi="ar"/>
              </w:rPr>
              <w:t>射频稳定度：±0.005%（-10~50℃）</w:t>
            </w:r>
            <w:r>
              <w:rPr>
                <w:rStyle w:val="364"/>
                <w:sz w:val="18"/>
                <w:szCs w:val="18"/>
                <w:lang w:val="en-US" w:eastAsia="zh-CN" w:bidi="ar"/>
              </w:rPr>
              <w:br w:type="textWrapping"/>
            </w:r>
            <w:r>
              <w:rPr>
                <w:rStyle w:val="364"/>
                <w:sz w:val="18"/>
                <w:szCs w:val="18"/>
                <w:lang w:val="en-US" w:eastAsia="zh-CN" w:bidi="ar"/>
              </w:rPr>
              <w:t>载波频率：UHF640~690MHz</w:t>
            </w:r>
            <w:r>
              <w:rPr>
                <w:rStyle w:val="364"/>
                <w:sz w:val="18"/>
                <w:szCs w:val="18"/>
                <w:lang w:val="en-US" w:eastAsia="zh-CN" w:bidi="ar"/>
              </w:rPr>
              <w:br w:type="textWrapping"/>
            </w:r>
            <w:r>
              <w:rPr>
                <w:rStyle w:val="364"/>
                <w:sz w:val="18"/>
                <w:szCs w:val="18"/>
                <w:lang w:val="en-US" w:eastAsia="zh-CN" w:bidi="ar"/>
              </w:rPr>
              <w:t>频率宽度：50MHz</w:t>
            </w:r>
            <w:r>
              <w:rPr>
                <w:rStyle w:val="364"/>
                <w:sz w:val="18"/>
                <w:szCs w:val="18"/>
                <w:lang w:val="en-US" w:eastAsia="zh-CN" w:bidi="ar"/>
              </w:rPr>
              <w:br w:type="textWrapping"/>
            </w:r>
            <w:r>
              <w:rPr>
                <w:rStyle w:val="364"/>
                <w:sz w:val="18"/>
                <w:szCs w:val="18"/>
                <w:lang w:val="en-US" w:eastAsia="zh-CN" w:bidi="ar"/>
              </w:rPr>
              <w:t>信道：200CH（以250KHz步进）</w:t>
            </w:r>
            <w:r>
              <w:rPr>
                <w:rStyle w:val="364"/>
                <w:sz w:val="18"/>
                <w:szCs w:val="18"/>
                <w:lang w:val="en-US" w:eastAsia="zh-CN" w:bidi="ar"/>
              </w:rPr>
              <w:br w:type="textWrapping"/>
            </w:r>
            <w:r>
              <w:rPr>
                <w:rStyle w:val="364"/>
                <w:sz w:val="18"/>
                <w:szCs w:val="18"/>
                <w:lang w:val="en-US" w:eastAsia="zh-CN" w:bidi="ar"/>
              </w:rPr>
              <w:t>操作方式：手动调整</w:t>
            </w:r>
            <w:r>
              <w:rPr>
                <w:rStyle w:val="364"/>
                <w:sz w:val="18"/>
                <w:szCs w:val="18"/>
                <w:lang w:val="en-US" w:eastAsia="zh-CN" w:bidi="ar"/>
              </w:rPr>
              <w:br w:type="textWrapping"/>
            </w:r>
            <w:r>
              <w:rPr>
                <w:rStyle w:val="364"/>
                <w:sz w:val="18"/>
                <w:szCs w:val="18"/>
                <w:lang w:val="en-US" w:eastAsia="zh-CN" w:bidi="ar"/>
              </w:rPr>
              <w:t>灵敏度：在偏移度等于25KHz。输入–95dBm时，S/N＞80Db</w:t>
            </w:r>
            <w:r>
              <w:rPr>
                <w:rStyle w:val="364"/>
                <w:sz w:val="18"/>
                <w:szCs w:val="18"/>
                <w:lang w:val="en-US" w:eastAsia="zh-CN" w:bidi="ar"/>
              </w:rPr>
              <w:br w:type="textWrapping"/>
            </w:r>
            <w:r>
              <w:rPr>
                <w:rStyle w:val="364"/>
                <w:sz w:val="18"/>
                <w:szCs w:val="18"/>
                <w:lang w:val="en-US" w:eastAsia="zh-CN" w:bidi="ar"/>
              </w:rPr>
              <w:t>最大偏移度：±48KHz</w:t>
            </w:r>
            <w:r>
              <w:rPr>
                <w:rStyle w:val="364"/>
                <w:sz w:val="18"/>
                <w:szCs w:val="18"/>
                <w:lang w:val="en-US" w:eastAsia="zh-CN" w:bidi="ar"/>
              </w:rPr>
              <w:br w:type="textWrapping"/>
            </w:r>
            <w:r>
              <w:rPr>
                <w:rStyle w:val="364"/>
                <w:sz w:val="18"/>
                <w:szCs w:val="18"/>
                <w:lang w:val="en-US" w:eastAsia="zh-CN" w:bidi="ar"/>
              </w:rPr>
              <w:t>综合S/N比：＞102Db</w:t>
            </w:r>
            <w:r>
              <w:rPr>
                <w:rStyle w:val="364"/>
                <w:sz w:val="18"/>
                <w:szCs w:val="18"/>
                <w:lang w:val="en-US" w:eastAsia="zh-CN" w:bidi="ar"/>
              </w:rPr>
              <w:br w:type="textWrapping"/>
            </w:r>
            <w:r>
              <w:rPr>
                <w:rStyle w:val="364"/>
                <w:sz w:val="18"/>
                <w:szCs w:val="18"/>
                <w:lang w:val="en-US" w:eastAsia="zh-CN" w:bidi="ar"/>
              </w:rPr>
              <w:t>综合T.H.D：＜0.5%@1KHz</w:t>
            </w:r>
            <w:r>
              <w:rPr>
                <w:rStyle w:val="364"/>
                <w:sz w:val="18"/>
                <w:szCs w:val="18"/>
                <w:lang w:val="en-US" w:eastAsia="zh-CN" w:bidi="ar"/>
              </w:rPr>
              <w:br w:type="textWrapping"/>
            </w:r>
            <w:r>
              <w:rPr>
                <w:rStyle w:val="364"/>
                <w:sz w:val="18"/>
                <w:szCs w:val="18"/>
                <w:lang w:val="en-US" w:eastAsia="zh-CN" w:bidi="ar"/>
              </w:rPr>
              <w:t>频率响应：60Hz~15KHz</w:t>
            </w:r>
            <w:r>
              <w:rPr>
                <w:rStyle w:val="364"/>
                <w:sz w:val="18"/>
                <w:szCs w:val="18"/>
                <w:lang w:val="en-US" w:eastAsia="zh-CN" w:bidi="ar"/>
              </w:rPr>
              <w:br w:type="textWrapping"/>
            </w:r>
            <w:r>
              <w:rPr>
                <w:rStyle w:val="364"/>
                <w:sz w:val="18"/>
                <w:szCs w:val="18"/>
                <w:lang w:val="en-US" w:eastAsia="zh-CN" w:bidi="ar"/>
              </w:rPr>
              <w:t>最大输出电压：0dbV@45KHz</w:t>
            </w:r>
            <w:r>
              <w:rPr>
                <w:rStyle w:val="364"/>
                <w:sz w:val="18"/>
                <w:szCs w:val="18"/>
                <w:lang w:val="en-US" w:eastAsia="zh-CN" w:bidi="ar"/>
              </w:rPr>
              <w:br w:type="textWrapping"/>
            </w:r>
            <w:r>
              <w:rPr>
                <w:rStyle w:val="364"/>
                <w:sz w:val="18"/>
                <w:szCs w:val="18"/>
                <w:lang w:val="en-US" w:eastAsia="zh-CN" w:bidi="ar"/>
              </w:rPr>
              <w:t>输出插座：XLR平衡式及6.3不平衡式</w:t>
            </w:r>
            <w:r>
              <w:rPr>
                <w:rStyle w:val="364"/>
                <w:sz w:val="18"/>
                <w:szCs w:val="18"/>
                <w:lang w:val="en-US" w:eastAsia="zh-CN" w:bidi="ar"/>
              </w:rPr>
              <w:br w:type="textWrapping"/>
            </w:r>
            <w:r>
              <w:rPr>
                <w:rStyle w:val="364"/>
                <w:sz w:val="18"/>
                <w:szCs w:val="18"/>
                <w:lang w:val="en-US" w:eastAsia="zh-CN" w:bidi="ar"/>
              </w:rPr>
              <w:t>音量输出调整：电位器式</w:t>
            </w:r>
            <w:r>
              <w:rPr>
                <w:rStyle w:val="364"/>
                <w:sz w:val="18"/>
                <w:szCs w:val="18"/>
                <w:lang w:val="en-US" w:eastAsia="zh-CN" w:bidi="ar"/>
              </w:rPr>
              <w:br w:type="textWrapping"/>
            </w:r>
            <w:r>
              <w:rPr>
                <w:rStyle w:val="364"/>
                <w:sz w:val="18"/>
                <w:szCs w:val="18"/>
                <w:lang w:val="en-US" w:eastAsia="zh-CN" w:bidi="ar"/>
              </w:rPr>
              <w:t>静音控制模式：音码及杂讯双重静音控制</w:t>
            </w:r>
            <w:r>
              <w:rPr>
                <w:rStyle w:val="364"/>
                <w:sz w:val="18"/>
                <w:szCs w:val="18"/>
                <w:lang w:val="en-US" w:eastAsia="zh-CN" w:bidi="ar"/>
              </w:rPr>
              <w:br w:type="textWrapping"/>
            </w:r>
            <w:r>
              <w:rPr>
                <w:rStyle w:val="364"/>
                <w:sz w:val="18"/>
                <w:szCs w:val="18"/>
                <w:lang w:val="en-US" w:eastAsia="zh-CN" w:bidi="ar"/>
              </w:rPr>
              <w:t>静音调整：-65dB~-100dB</w:t>
            </w:r>
            <w:r>
              <w:rPr>
                <w:rStyle w:val="364"/>
                <w:sz w:val="18"/>
                <w:szCs w:val="18"/>
                <w:lang w:val="en-US" w:eastAsia="zh-CN" w:bidi="ar"/>
              </w:rPr>
              <w:br w:type="textWrapping"/>
            </w:r>
            <w:r>
              <w:rPr>
                <w:rStyle w:val="364"/>
                <w:sz w:val="18"/>
                <w:szCs w:val="18"/>
                <w:lang w:val="en-US" w:eastAsia="zh-CN" w:bidi="ar"/>
              </w:rPr>
              <w:t>SQ可调:</w:t>
            </w:r>
            <w:r>
              <w:rPr>
                <w:rStyle w:val="363"/>
                <w:rFonts w:eastAsia="仿宋"/>
                <w:sz w:val="18"/>
                <w:szCs w:val="18"/>
                <w:lang w:val="en-US" w:eastAsia="zh-CN" w:bidi="ar"/>
              </w:rPr>
              <w:t xml:space="preserve"> </w:t>
            </w:r>
            <w:r>
              <w:rPr>
                <w:rStyle w:val="364"/>
                <w:sz w:val="18"/>
                <w:szCs w:val="18"/>
                <w:lang w:val="en-US" w:eastAsia="zh-CN" w:bidi="ar"/>
              </w:rPr>
              <w:t>SQ可调（约30米~200米离距离可调）</w:t>
            </w:r>
            <w:r>
              <w:rPr>
                <w:rStyle w:val="364"/>
                <w:sz w:val="18"/>
                <w:szCs w:val="18"/>
                <w:lang w:val="en-US" w:eastAsia="zh-CN" w:bidi="ar"/>
              </w:rPr>
              <w:br w:type="textWrapping"/>
            </w:r>
            <w:r>
              <w:rPr>
                <w:rStyle w:val="364"/>
                <w:sz w:val="18"/>
                <w:szCs w:val="18"/>
                <w:lang w:val="en-US" w:eastAsia="zh-CN" w:bidi="ar"/>
              </w:rPr>
              <w:t>电源供应：DC12~15V/1000-2000mA</w:t>
            </w:r>
            <w:r>
              <w:rPr>
                <w:rStyle w:val="364"/>
                <w:sz w:val="18"/>
                <w:szCs w:val="18"/>
                <w:lang w:val="en-US" w:eastAsia="zh-CN" w:bidi="ar"/>
              </w:rPr>
              <w:br w:type="textWrapping"/>
            </w:r>
            <w:r>
              <w:rPr>
                <w:rStyle w:val="364"/>
                <w:sz w:val="18"/>
                <w:szCs w:val="18"/>
                <w:lang w:val="en-US" w:eastAsia="zh-CN" w:bidi="ar"/>
              </w:rPr>
              <w:t>发射机规格：</w:t>
            </w:r>
            <w:r>
              <w:rPr>
                <w:rStyle w:val="364"/>
                <w:sz w:val="18"/>
                <w:szCs w:val="18"/>
                <w:lang w:val="en-US" w:eastAsia="zh-CN" w:bidi="ar"/>
              </w:rPr>
              <w:br w:type="textWrapping"/>
            </w:r>
            <w:r>
              <w:rPr>
                <w:rStyle w:val="364"/>
                <w:sz w:val="18"/>
                <w:szCs w:val="18"/>
                <w:lang w:val="en-US" w:eastAsia="zh-CN" w:bidi="ar"/>
              </w:rPr>
              <w:t>底座采用CNC加工，铝合金氧化面板，简约庄重；</w:t>
            </w:r>
            <w:r>
              <w:rPr>
                <w:rStyle w:val="364"/>
                <w:sz w:val="18"/>
                <w:szCs w:val="18"/>
                <w:lang w:val="en-US" w:eastAsia="zh-CN" w:bidi="ar"/>
              </w:rPr>
              <w:br w:type="textWrapping"/>
            </w:r>
            <w:r>
              <w:rPr>
                <w:rStyle w:val="364"/>
                <w:sz w:val="18"/>
                <w:szCs w:val="18"/>
                <w:lang w:val="en-US" w:eastAsia="zh-CN" w:bidi="ar"/>
              </w:rPr>
              <w:t>采用铝合金方管话筒设计，内置高保真传声器，拾音灵敏，语音清晰；</w:t>
            </w:r>
            <w:r>
              <w:rPr>
                <w:rStyle w:val="364"/>
                <w:sz w:val="18"/>
                <w:szCs w:val="18"/>
                <w:lang w:val="en-US" w:eastAsia="zh-CN" w:bidi="ar"/>
              </w:rPr>
              <w:br w:type="textWrapping"/>
            </w:r>
            <w:r>
              <w:rPr>
                <w:rStyle w:val="364"/>
                <w:sz w:val="18"/>
                <w:szCs w:val="18"/>
                <w:lang w:val="en-US" w:eastAsia="zh-CN" w:bidi="ar"/>
              </w:rPr>
              <w:t>2.4寸屏幕，具有电量显示、频道显示、ID号、电平大小显示；</w:t>
            </w:r>
            <w:r>
              <w:rPr>
                <w:rStyle w:val="364"/>
                <w:sz w:val="18"/>
                <w:szCs w:val="18"/>
                <w:lang w:val="en-US" w:eastAsia="zh-CN" w:bidi="ar"/>
              </w:rPr>
              <w:br w:type="textWrapping"/>
            </w:r>
            <w:r>
              <w:rPr>
                <w:rStyle w:val="364"/>
                <w:sz w:val="18"/>
                <w:szCs w:val="18"/>
                <w:lang w:val="en-US" w:eastAsia="zh-CN" w:bidi="ar"/>
              </w:rPr>
              <w:t>具有发言时间计时显示；</w:t>
            </w:r>
            <w:r>
              <w:rPr>
                <w:rStyle w:val="364"/>
                <w:sz w:val="18"/>
                <w:szCs w:val="18"/>
                <w:lang w:val="en-US" w:eastAsia="zh-CN" w:bidi="ar"/>
              </w:rPr>
              <w:br w:type="textWrapping"/>
            </w:r>
            <w:r>
              <w:rPr>
                <w:rStyle w:val="364"/>
                <w:sz w:val="18"/>
                <w:szCs w:val="18"/>
                <w:lang w:val="en-US" w:eastAsia="zh-CN" w:bidi="ar"/>
              </w:rPr>
              <w:t>振荡模式：PLL相位锁定频率合成</w:t>
            </w:r>
            <w:r>
              <w:rPr>
                <w:rStyle w:val="364"/>
                <w:sz w:val="18"/>
                <w:szCs w:val="18"/>
                <w:lang w:val="en-US" w:eastAsia="zh-CN" w:bidi="ar"/>
              </w:rPr>
              <w:br w:type="textWrapping"/>
            </w:r>
            <w:r>
              <w:rPr>
                <w:rStyle w:val="364"/>
                <w:sz w:val="18"/>
                <w:szCs w:val="18"/>
                <w:lang w:val="en-US" w:eastAsia="zh-CN" w:bidi="ar"/>
              </w:rPr>
              <w:t>载波频段：UHF640~690MHz</w:t>
            </w:r>
            <w:r>
              <w:rPr>
                <w:rStyle w:val="364"/>
                <w:sz w:val="18"/>
                <w:szCs w:val="18"/>
                <w:lang w:val="en-US" w:eastAsia="zh-CN" w:bidi="ar"/>
              </w:rPr>
              <w:br w:type="textWrapping"/>
            </w:r>
            <w:r>
              <w:rPr>
                <w:rStyle w:val="364"/>
                <w:sz w:val="18"/>
                <w:szCs w:val="18"/>
                <w:lang w:val="en-US" w:eastAsia="zh-CN" w:bidi="ar"/>
              </w:rPr>
              <w:t>频带宽度：50MHz</w:t>
            </w:r>
            <w:r>
              <w:rPr>
                <w:rStyle w:val="364"/>
                <w:sz w:val="18"/>
                <w:szCs w:val="18"/>
                <w:lang w:val="en-US" w:eastAsia="zh-CN" w:bidi="ar"/>
              </w:rPr>
              <w:br w:type="textWrapping"/>
            </w:r>
            <w:r>
              <w:rPr>
                <w:rStyle w:val="364"/>
                <w:sz w:val="18"/>
                <w:szCs w:val="18"/>
                <w:lang w:val="en-US" w:eastAsia="zh-CN" w:bidi="ar"/>
              </w:rPr>
              <w:t>频率调整：自动追锁接收机工作频道/手动调节</w:t>
            </w:r>
            <w:r>
              <w:rPr>
                <w:rStyle w:val="364"/>
                <w:sz w:val="18"/>
                <w:szCs w:val="18"/>
                <w:lang w:val="en-US" w:eastAsia="zh-CN" w:bidi="ar"/>
              </w:rPr>
              <w:br w:type="textWrapping"/>
            </w:r>
            <w:r>
              <w:rPr>
                <w:rStyle w:val="364"/>
                <w:sz w:val="18"/>
                <w:szCs w:val="18"/>
                <w:lang w:val="en-US" w:eastAsia="zh-CN" w:bidi="ar"/>
              </w:rPr>
              <w:t>输出功率：15mW</w:t>
            </w:r>
            <w:r>
              <w:rPr>
                <w:rStyle w:val="364"/>
                <w:sz w:val="18"/>
                <w:szCs w:val="18"/>
                <w:lang w:val="en-US" w:eastAsia="zh-CN" w:bidi="ar"/>
              </w:rPr>
              <w:br w:type="textWrapping"/>
            </w:r>
            <w:r>
              <w:rPr>
                <w:rStyle w:val="364"/>
                <w:sz w:val="18"/>
                <w:szCs w:val="18"/>
                <w:lang w:val="en-US" w:eastAsia="zh-CN" w:bidi="ar"/>
              </w:rPr>
              <w:t>谐波幅射：＜55dBc</w:t>
            </w:r>
            <w:r>
              <w:rPr>
                <w:rStyle w:val="364"/>
                <w:sz w:val="18"/>
                <w:szCs w:val="18"/>
                <w:lang w:val="en-US" w:eastAsia="zh-CN" w:bidi="ar"/>
              </w:rPr>
              <w:br w:type="textWrapping"/>
            </w:r>
            <w:r>
              <w:rPr>
                <w:rStyle w:val="364"/>
                <w:sz w:val="18"/>
                <w:szCs w:val="18"/>
                <w:lang w:val="en-US" w:eastAsia="zh-CN" w:bidi="ar"/>
              </w:rPr>
              <w:t>最大偏移度：±48KHz</w:t>
            </w:r>
            <w:r>
              <w:rPr>
                <w:rStyle w:val="364"/>
                <w:sz w:val="18"/>
                <w:szCs w:val="18"/>
                <w:lang w:val="en-US" w:eastAsia="zh-CN" w:bidi="ar"/>
              </w:rPr>
              <w:br w:type="textWrapping"/>
            </w:r>
            <w:r>
              <w:rPr>
                <w:rStyle w:val="364"/>
                <w:sz w:val="18"/>
                <w:szCs w:val="18"/>
                <w:lang w:val="en-US" w:eastAsia="zh-CN" w:bidi="ar"/>
              </w:rPr>
              <w:t>音头：电容式</w:t>
            </w:r>
            <w:r>
              <w:rPr>
                <w:rStyle w:val="364"/>
                <w:sz w:val="18"/>
                <w:szCs w:val="18"/>
                <w:lang w:val="en-US" w:eastAsia="zh-CN" w:bidi="ar"/>
              </w:rPr>
              <w:br w:type="textWrapping"/>
            </w:r>
            <w:r>
              <w:rPr>
                <w:rStyle w:val="364"/>
                <w:sz w:val="18"/>
                <w:szCs w:val="18"/>
                <w:lang w:val="en-US" w:eastAsia="zh-CN" w:bidi="ar"/>
              </w:rPr>
              <w:t>使用电池：五号（AA）电池3只</w:t>
            </w:r>
            <w:r>
              <w:rPr>
                <w:rStyle w:val="364"/>
                <w:sz w:val="18"/>
                <w:szCs w:val="18"/>
                <w:lang w:val="en-US" w:eastAsia="zh-CN" w:bidi="ar"/>
              </w:rPr>
              <w:br w:type="textWrapping"/>
            </w:r>
            <w:r>
              <w:rPr>
                <w:rStyle w:val="364"/>
                <w:sz w:val="18"/>
                <w:szCs w:val="18"/>
                <w:lang w:val="en-US" w:eastAsia="zh-CN" w:bidi="ar"/>
              </w:rPr>
              <w:t>操作显示：LCD同时显示电池容量、频道</w:t>
            </w:r>
          </w:p>
        </w:tc>
      </w:tr>
      <w:tr w14:paraId="0E5E8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8"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BEAC3">
            <w:pPr>
              <w:jc w:val="center"/>
              <w:rPr>
                <w:rFonts w:hint="eastAsia" w:ascii="仿宋" w:hAnsi="仿宋" w:eastAsia="仿宋" w:cs="仿宋"/>
                <w:i w:val="0"/>
                <w:iCs w:val="0"/>
                <w:color w:val="000000"/>
                <w:sz w:val="18"/>
                <w:szCs w:val="18"/>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C3FD2">
            <w:pPr>
              <w:jc w:val="center"/>
              <w:rPr>
                <w:rFonts w:hint="eastAsia" w:ascii="仿宋" w:hAnsi="仿宋" w:eastAsia="仿宋" w:cs="仿宋"/>
                <w:i w:val="0"/>
                <w:iCs w:val="0"/>
                <w:color w:val="000000"/>
                <w:sz w:val="18"/>
                <w:szCs w:val="18"/>
                <w:u w:val="none"/>
              </w:rPr>
            </w:pPr>
          </w:p>
        </w:tc>
        <w:tc>
          <w:tcPr>
            <w:tcW w:w="608" w:type="dxa"/>
            <w:tcBorders>
              <w:top w:val="single" w:color="808080" w:sz="4" w:space="0"/>
              <w:left w:val="single" w:color="000000" w:sz="4" w:space="0"/>
              <w:bottom w:val="nil"/>
              <w:right w:val="nil"/>
            </w:tcBorders>
            <w:shd w:val="clear" w:color="auto" w:fill="FFFFFF"/>
            <w:vAlign w:val="center"/>
          </w:tcPr>
          <w:p w14:paraId="13EF60D2">
            <w:pPr>
              <w:rPr>
                <w:rFonts w:hint="eastAsia" w:ascii="仿宋" w:hAnsi="仿宋" w:eastAsia="仿宋" w:cs="仿宋"/>
                <w:i w:val="0"/>
                <w:iCs w:val="0"/>
                <w:color w:val="000000"/>
                <w:sz w:val="18"/>
                <w:szCs w:val="18"/>
                <w:u w:val="none"/>
              </w:rPr>
            </w:pPr>
          </w:p>
        </w:tc>
        <w:tc>
          <w:tcPr>
            <w:tcW w:w="612" w:type="dxa"/>
            <w:vMerge w:val="continue"/>
            <w:tcBorders>
              <w:top w:val="single" w:color="808080" w:sz="4" w:space="0"/>
              <w:left w:val="single" w:color="000000" w:sz="4" w:space="0"/>
              <w:bottom w:val="nil"/>
              <w:right w:val="nil"/>
            </w:tcBorders>
            <w:shd w:val="clear" w:color="auto" w:fill="FFFFFF"/>
            <w:vAlign w:val="center"/>
          </w:tcPr>
          <w:p w14:paraId="006CD573">
            <w:pPr>
              <w:jc w:val="center"/>
              <w:rPr>
                <w:rFonts w:hint="eastAsia" w:ascii="仿宋" w:hAnsi="仿宋" w:eastAsia="仿宋" w:cs="仿宋"/>
                <w:i w:val="0"/>
                <w:iCs w:val="0"/>
                <w:color w:val="000000"/>
                <w:sz w:val="18"/>
                <w:szCs w:val="18"/>
                <w:u w:val="none"/>
              </w:rPr>
            </w:pPr>
          </w:p>
        </w:tc>
        <w:tc>
          <w:tcPr>
            <w:tcW w:w="365" w:type="dxa"/>
            <w:vMerge w:val="continue"/>
            <w:tcBorders>
              <w:top w:val="single" w:color="808080" w:sz="4" w:space="0"/>
              <w:left w:val="single" w:color="000000" w:sz="4" w:space="0"/>
              <w:bottom w:val="nil"/>
              <w:right w:val="nil"/>
            </w:tcBorders>
            <w:shd w:val="clear" w:color="auto" w:fill="FFFFFF"/>
            <w:vAlign w:val="center"/>
          </w:tcPr>
          <w:p w14:paraId="7F4B6DC4">
            <w:pPr>
              <w:jc w:val="center"/>
              <w:rPr>
                <w:rFonts w:hint="eastAsia" w:ascii="仿宋" w:hAnsi="仿宋" w:eastAsia="仿宋" w:cs="仿宋"/>
                <w:i w:val="0"/>
                <w:iCs w:val="0"/>
                <w:color w:val="000000"/>
                <w:sz w:val="18"/>
                <w:szCs w:val="18"/>
                <w:u w:val="none"/>
              </w:rPr>
            </w:pPr>
          </w:p>
        </w:tc>
        <w:tc>
          <w:tcPr>
            <w:tcW w:w="5649"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174E543E">
            <w:pPr>
              <w:jc w:val="left"/>
              <w:rPr>
                <w:rFonts w:hint="eastAsia" w:ascii="仿宋" w:hAnsi="仿宋" w:eastAsia="仿宋" w:cs="仿宋"/>
                <w:i w:val="0"/>
                <w:iCs w:val="0"/>
                <w:color w:val="000000"/>
                <w:sz w:val="18"/>
                <w:szCs w:val="18"/>
                <w:u w:val="none"/>
              </w:rPr>
            </w:pPr>
          </w:p>
        </w:tc>
      </w:tr>
      <w:tr w14:paraId="4BF95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0"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B80FD">
            <w:pPr>
              <w:jc w:val="center"/>
              <w:rPr>
                <w:rFonts w:hint="eastAsia" w:ascii="仿宋" w:hAnsi="仿宋" w:eastAsia="仿宋" w:cs="仿宋"/>
                <w:i w:val="0"/>
                <w:iCs w:val="0"/>
                <w:color w:val="000000"/>
                <w:sz w:val="18"/>
                <w:szCs w:val="18"/>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30964">
            <w:pPr>
              <w:jc w:val="center"/>
              <w:rPr>
                <w:rFonts w:hint="eastAsia" w:ascii="仿宋" w:hAnsi="仿宋" w:eastAsia="仿宋" w:cs="仿宋"/>
                <w:i w:val="0"/>
                <w:iCs w:val="0"/>
                <w:color w:val="000000"/>
                <w:sz w:val="18"/>
                <w:szCs w:val="18"/>
                <w:u w:val="none"/>
              </w:rPr>
            </w:pPr>
          </w:p>
        </w:tc>
        <w:tc>
          <w:tcPr>
            <w:tcW w:w="608" w:type="dxa"/>
            <w:tcBorders>
              <w:top w:val="single" w:color="808080" w:sz="4" w:space="0"/>
              <w:left w:val="single" w:color="000000" w:sz="4" w:space="0"/>
              <w:bottom w:val="nil"/>
              <w:right w:val="nil"/>
            </w:tcBorders>
            <w:shd w:val="clear" w:color="auto" w:fill="FFFFFF"/>
            <w:vAlign w:val="center"/>
          </w:tcPr>
          <w:p w14:paraId="5A39333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音频处理器</w:t>
            </w:r>
          </w:p>
        </w:tc>
        <w:tc>
          <w:tcPr>
            <w:tcW w:w="612" w:type="dxa"/>
            <w:tcBorders>
              <w:top w:val="single" w:color="808080" w:sz="4" w:space="0"/>
              <w:left w:val="single" w:color="000000" w:sz="4" w:space="0"/>
              <w:bottom w:val="nil"/>
              <w:right w:val="nil"/>
            </w:tcBorders>
            <w:shd w:val="clear" w:color="auto" w:fill="FFFFFF"/>
            <w:vAlign w:val="center"/>
          </w:tcPr>
          <w:p w14:paraId="61391E1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5" w:type="dxa"/>
            <w:tcBorders>
              <w:top w:val="single" w:color="808080" w:sz="4" w:space="0"/>
              <w:left w:val="single" w:color="000000" w:sz="4" w:space="0"/>
              <w:bottom w:val="nil"/>
              <w:right w:val="nil"/>
            </w:tcBorders>
            <w:shd w:val="clear" w:color="auto" w:fill="FFFFFF"/>
            <w:vAlign w:val="center"/>
          </w:tcPr>
          <w:p w14:paraId="2BE53F6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5087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路模拟平衡输入4路模拟平衡输出，最大输入输出17dBu（5.48Vrms）不失真；输入每通道带48V幻像电源；输入每通道带麦克风放大器，0~40dB增益可调，步进1dB；立体声USB声卡功能，支持播放和录音；USB接口，电脑软件控制和USB声卡传输功能；RS232接口，电脑软件控制和中控功能；RS485接口，电脑软件控制和中控功能；网络接口，电脑软件控制和中控功能，通过网络连接可同时管理多设备；外置8路GPIO接口；液晶屏，支持配置设备名称、设备预设、设备IP、输入音量、输出音量、输入模式、设备版本查看等功能；DSP功能：AFC（反馈抑制）、AEC（回声消除）、ANC（噪声消除）、AGC（自动增益）AUTO MIX（自动混音）、MATRIX MIX（矩阵混音）、噪声门、PEQ（参量均衡器）、延时器、FIR滤波器、高低通分频、压缩器、限幅器；输入15段PEQ，输出10段PEQ；每通道输入2000ms延时器，输出2000ms延时器；输出每通道512 Tap FIR；输入每通道语音激励功能（摄像跟踪），支持带PELCO-D、PELCO-P、VISCA协议；摄像头控制:60个预设记忆位置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支持线控盒控制；安卓APP网络控制；支持存档加锁；                                                                                                                        供电：AC90V---264V  50/60 Hz；工作温度： -20℃-80℃；</w:t>
            </w:r>
          </w:p>
        </w:tc>
      </w:tr>
      <w:tr w14:paraId="5D87E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0"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B8D5D">
            <w:pPr>
              <w:jc w:val="center"/>
              <w:rPr>
                <w:rFonts w:hint="eastAsia" w:ascii="仿宋" w:hAnsi="仿宋" w:eastAsia="仿宋" w:cs="仿宋"/>
                <w:i w:val="0"/>
                <w:iCs w:val="0"/>
                <w:color w:val="000000"/>
                <w:sz w:val="18"/>
                <w:szCs w:val="18"/>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9686D">
            <w:pPr>
              <w:jc w:val="center"/>
              <w:rPr>
                <w:rFonts w:hint="eastAsia" w:ascii="仿宋" w:hAnsi="仿宋" w:eastAsia="仿宋" w:cs="仿宋"/>
                <w:i w:val="0"/>
                <w:iCs w:val="0"/>
                <w:color w:val="000000"/>
                <w:sz w:val="18"/>
                <w:szCs w:val="18"/>
                <w:u w:val="none"/>
              </w:rPr>
            </w:pPr>
          </w:p>
        </w:tc>
        <w:tc>
          <w:tcPr>
            <w:tcW w:w="608" w:type="dxa"/>
            <w:tcBorders>
              <w:top w:val="single" w:color="808080" w:sz="4" w:space="0"/>
              <w:left w:val="single" w:color="000000" w:sz="4" w:space="0"/>
              <w:bottom w:val="nil"/>
              <w:right w:val="nil"/>
            </w:tcBorders>
            <w:shd w:val="clear" w:color="auto" w:fill="FFFFFF"/>
            <w:vAlign w:val="center"/>
          </w:tcPr>
          <w:p w14:paraId="26BD7B7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音响</w:t>
            </w:r>
          </w:p>
        </w:tc>
        <w:tc>
          <w:tcPr>
            <w:tcW w:w="612" w:type="dxa"/>
            <w:tcBorders>
              <w:top w:val="single" w:color="808080" w:sz="4" w:space="0"/>
              <w:left w:val="single" w:color="000000" w:sz="4" w:space="0"/>
              <w:bottom w:val="nil"/>
              <w:right w:val="nil"/>
            </w:tcBorders>
            <w:shd w:val="clear" w:color="auto" w:fill="FFFFFF"/>
            <w:vAlign w:val="center"/>
          </w:tcPr>
          <w:p w14:paraId="0F15B60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365" w:type="dxa"/>
            <w:tcBorders>
              <w:top w:val="single" w:color="808080" w:sz="4" w:space="0"/>
              <w:left w:val="single" w:color="000000" w:sz="4" w:space="0"/>
              <w:bottom w:val="nil"/>
              <w:right w:val="nil"/>
            </w:tcBorders>
            <w:shd w:val="clear" w:color="auto" w:fill="FFFFFF"/>
            <w:vAlign w:val="center"/>
          </w:tcPr>
          <w:p w14:paraId="7EF6F8D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8693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频响范围:55Hz~19KHz；低音:LF:10"×1（140 Magnet 50mm)；高音:HF:3"×1（75 Magnet)26</w:t>
            </w:r>
            <w:r>
              <w:rPr>
                <w:rFonts w:hint="eastAsia" w:ascii="宋体" w:hAnsi="宋体" w:eastAsia="宋体" w:cs="宋体"/>
                <w:i w:val="0"/>
                <w:iCs w:val="0"/>
                <w:color w:val="000000"/>
                <w:kern w:val="0"/>
                <w:sz w:val="18"/>
                <w:szCs w:val="18"/>
                <w:u w:val="none"/>
                <w:lang w:val="en-US" w:eastAsia="zh-CN" w:bidi="ar"/>
              </w:rPr>
              <w:t>∅；</w:t>
            </w:r>
            <w:r>
              <w:rPr>
                <w:rFonts w:hint="eastAsia" w:ascii="仿宋" w:hAnsi="仿宋" w:eastAsia="仿宋" w:cs="仿宋"/>
                <w:i w:val="0"/>
                <w:iCs w:val="0"/>
                <w:color w:val="000000"/>
                <w:kern w:val="0"/>
                <w:sz w:val="18"/>
                <w:szCs w:val="18"/>
                <w:u w:val="none"/>
                <w:lang w:val="en-US" w:eastAsia="zh-CN" w:bidi="ar"/>
              </w:rPr>
              <w:t>额定功率:200W；峰值功率:800W；阻抗:8 Ω；灵敏度:102dB (1w@1m)；连续声压级:117dB(Cmax@1m)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；最大声压级:119dB (Pmax@1m)；扩散角度:90° Hor×90° Ver (HF-Horn)；箱体材质:15mm(0.6") MDF；连接方法:Wiring Column；</w:t>
            </w:r>
          </w:p>
        </w:tc>
      </w:tr>
      <w:tr w14:paraId="4ACCC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7"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B0407">
            <w:pPr>
              <w:jc w:val="center"/>
              <w:rPr>
                <w:rFonts w:hint="eastAsia" w:ascii="仿宋" w:hAnsi="仿宋" w:eastAsia="仿宋" w:cs="仿宋"/>
                <w:i w:val="0"/>
                <w:iCs w:val="0"/>
                <w:color w:val="000000"/>
                <w:sz w:val="18"/>
                <w:szCs w:val="18"/>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83CD0">
            <w:pPr>
              <w:jc w:val="center"/>
              <w:rPr>
                <w:rFonts w:hint="eastAsia" w:ascii="仿宋" w:hAnsi="仿宋" w:eastAsia="仿宋" w:cs="仿宋"/>
                <w:i w:val="0"/>
                <w:iCs w:val="0"/>
                <w:color w:val="000000"/>
                <w:sz w:val="18"/>
                <w:szCs w:val="18"/>
                <w:u w:val="none"/>
              </w:rPr>
            </w:pPr>
          </w:p>
        </w:tc>
        <w:tc>
          <w:tcPr>
            <w:tcW w:w="608" w:type="dxa"/>
            <w:tcBorders>
              <w:top w:val="single" w:color="808080" w:sz="4" w:space="0"/>
              <w:left w:val="single" w:color="000000" w:sz="4" w:space="0"/>
              <w:bottom w:val="nil"/>
              <w:right w:val="nil"/>
            </w:tcBorders>
            <w:shd w:val="clear" w:color="auto" w:fill="FFFFFF"/>
            <w:vAlign w:val="center"/>
          </w:tcPr>
          <w:p w14:paraId="364F0D7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电源时序器</w:t>
            </w:r>
          </w:p>
        </w:tc>
        <w:tc>
          <w:tcPr>
            <w:tcW w:w="612" w:type="dxa"/>
            <w:tcBorders>
              <w:top w:val="single" w:color="808080" w:sz="4" w:space="0"/>
              <w:left w:val="single" w:color="000000" w:sz="4" w:space="0"/>
              <w:bottom w:val="nil"/>
              <w:right w:val="nil"/>
            </w:tcBorders>
            <w:shd w:val="clear" w:color="auto" w:fill="FFFFFF"/>
            <w:vAlign w:val="center"/>
          </w:tcPr>
          <w:p w14:paraId="1476958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5" w:type="dxa"/>
            <w:tcBorders>
              <w:top w:val="single" w:color="808080" w:sz="4" w:space="0"/>
              <w:left w:val="single" w:color="000000" w:sz="4" w:space="0"/>
              <w:bottom w:val="nil"/>
              <w:right w:val="nil"/>
            </w:tcBorders>
            <w:shd w:val="clear" w:color="auto" w:fill="FFFFFF"/>
            <w:vAlign w:val="center"/>
          </w:tcPr>
          <w:p w14:paraId="05C54DA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48D4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路大功率电源输出，带有欠压、过压检测与报警；可定时开关机，保存调用预设场景；可单独对每路通道单独控制开关与延时；配有RS232接口，可受中控控制；可多台设备级联，自动检测与设置设备ID。显示方式：320*240 TFT屏幕；8路通道输出，每路延时开启和关闭时间可自由设置(范围0—999S)；额定功率：单路功率达到2100W,8路总功率达到6200W，容量30A  3*4.0平方交流电源线； 级联/中控：通过6.3接口可以将多台时序器级联并自动编号，通过RS232接口与中控设备连接，实现统一管理、控制。10组设备开关场景数据保存/调用，场景管理应用简单便捷;定时开关机功能，可根据日期时间设定，内置时钟芯片;可实现远程控制，每台设备自带设备编码ID检测和设置功能;支持面板Lock锁定功能；输入电压：AC220V/50Hz ；</w:t>
            </w:r>
          </w:p>
        </w:tc>
      </w:tr>
      <w:tr w14:paraId="20DAE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6"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26692">
            <w:pPr>
              <w:jc w:val="center"/>
              <w:rPr>
                <w:rFonts w:hint="eastAsia" w:ascii="仿宋" w:hAnsi="仿宋" w:eastAsia="仿宋" w:cs="仿宋"/>
                <w:i w:val="0"/>
                <w:iCs w:val="0"/>
                <w:color w:val="000000"/>
                <w:sz w:val="18"/>
                <w:szCs w:val="18"/>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15AF7">
            <w:pPr>
              <w:jc w:val="center"/>
              <w:rPr>
                <w:rFonts w:hint="eastAsia" w:ascii="仿宋" w:hAnsi="仿宋" w:eastAsia="仿宋" w:cs="仿宋"/>
                <w:i w:val="0"/>
                <w:iCs w:val="0"/>
                <w:color w:val="000000"/>
                <w:sz w:val="18"/>
                <w:szCs w:val="18"/>
                <w:u w:val="none"/>
              </w:rPr>
            </w:pPr>
          </w:p>
        </w:tc>
        <w:tc>
          <w:tcPr>
            <w:tcW w:w="608" w:type="dxa"/>
            <w:tcBorders>
              <w:top w:val="single" w:color="808080" w:sz="4" w:space="0"/>
              <w:left w:val="single" w:color="000000" w:sz="4" w:space="0"/>
              <w:bottom w:val="nil"/>
              <w:right w:val="nil"/>
            </w:tcBorders>
            <w:shd w:val="clear" w:color="auto" w:fill="FFFFFF"/>
            <w:vAlign w:val="center"/>
          </w:tcPr>
          <w:p w14:paraId="3A2D623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音箱线</w:t>
            </w:r>
          </w:p>
        </w:tc>
        <w:tc>
          <w:tcPr>
            <w:tcW w:w="612" w:type="dxa"/>
            <w:tcBorders>
              <w:top w:val="single" w:color="808080" w:sz="4" w:space="0"/>
              <w:left w:val="single" w:color="000000" w:sz="4" w:space="0"/>
              <w:bottom w:val="nil"/>
              <w:right w:val="nil"/>
            </w:tcBorders>
            <w:shd w:val="clear" w:color="auto" w:fill="FFFFFF"/>
            <w:vAlign w:val="center"/>
          </w:tcPr>
          <w:p w14:paraId="7A6AFF5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320</w:t>
            </w:r>
          </w:p>
        </w:tc>
        <w:tc>
          <w:tcPr>
            <w:tcW w:w="365" w:type="dxa"/>
            <w:tcBorders>
              <w:top w:val="single" w:color="808080" w:sz="4" w:space="0"/>
              <w:left w:val="single" w:color="000000" w:sz="4" w:space="0"/>
              <w:bottom w:val="nil"/>
              <w:right w:val="nil"/>
            </w:tcBorders>
            <w:shd w:val="clear" w:color="auto" w:fill="FFFFFF"/>
            <w:vAlign w:val="center"/>
          </w:tcPr>
          <w:p w14:paraId="3DFF3FD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56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74F4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芯线材料 多股绞合无氧铜丝、镀锡无氧铜丝；线芯数量 2芯；标称截面积 0.50、1.0、2.0、4.0mm</w:t>
            </w:r>
            <w:r>
              <w:rPr>
                <w:rFonts w:hint="eastAsia" w:ascii="宋体" w:hAnsi="宋体" w:eastAsia="宋体" w:cs="宋体"/>
                <w:i w:val="0"/>
                <w:iCs w:val="0"/>
                <w:color w:val="000000"/>
                <w:kern w:val="0"/>
                <w:sz w:val="18"/>
                <w:szCs w:val="18"/>
                <w:u w:val="none"/>
                <w:lang w:val="en-US" w:eastAsia="zh-CN" w:bidi="ar"/>
              </w:rPr>
              <w:t>²；</w:t>
            </w:r>
            <w:r>
              <w:rPr>
                <w:rFonts w:hint="eastAsia" w:ascii="仿宋" w:hAnsi="仿宋" w:eastAsia="仿宋" w:cs="仿宋"/>
                <w:i w:val="0"/>
                <w:iCs w:val="0"/>
                <w:color w:val="000000"/>
                <w:kern w:val="0"/>
                <w:sz w:val="18"/>
                <w:szCs w:val="18"/>
                <w:u w:val="none"/>
                <w:lang w:val="en-US" w:eastAsia="zh-CN" w:bidi="ar"/>
              </w:rPr>
              <w:t>绝缘材料 环保聚氯乙烯（PVC）；</w:t>
            </w:r>
          </w:p>
        </w:tc>
      </w:tr>
    </w:tbl>
    <w:p w14:paraId="27B880BF">
      <w:pPr>
        <w:pStyle w:val="2"/>
        <w:rPr>
          <w:rFonts w:hint="default"/>
          <w:lang w:val="en-US" w:eastAsia="zh-CN"/>
        </w:rPr>
      </w:pPr>
    </w:p>
    <w:sectPr>
      <w:headerReference r:id="rId10" w:type="default"/>
      <w:footerReference r:id="rId11"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长城仿宋">
    <w:altName w:val="微软雅黑"/>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思源宋体 CN">
    <w:altName w:val="宋体"/>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à.ā">
    <w:altName w:val="宋体"/>
    <w:panose1 w:val="00000000000000000000"/>
    <w:charset w:val="86"/>
    <w:family w:val="modern"/>
    <w:pitch w:val="default"/>
    <w:sig w:usb0="00000000" w:usb1="00000000" w:usb2="0000001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moder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E682E">
    <w:pPr>
      <w:pStyle w:val="28"/>
      <w:jc w:val="center"/>
    </w:pPr>
    <w:r>
      <w:fldChar w:fldCharType="begin"/>
    </w:r>
    <w:r>
      <w:rPr>
        <w:rStyle w:val="48"/>
      </w:rPr>
      <w:instrText xml:space="preserve"> PAGE </w:instrText>
    </w:r>
    <w:r>
      <w:fldChar w:fldCharType="separate"/>
    </w:r>
    <w:r>
      <w:rPr>
        <w:rStyle w:val="48"/>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02DE3">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16</w:t>
    </w:r>
    <w:r>
      <w:fldChar w:fldCharType="end"/>
    </w:r>
  </w:p>
  <w:p w14:paraId="293209FC">
    <w:pPr>
      <w:pStyle w:val="28"/>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B121B">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32</w:t>
    </w:r>
    <w:r>
      <w:fldChar w:fldCharType="end"/>
    </w:r>
  </w:p>
  <w:p w14:paraId="153A3C22">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F5E57">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16</w:t>
    </w:r>
    <w:r>
      <w:fldChar w:fldCharType="end"/>
    </w:r>
  </w:p>
  <w:p w14:paraId="0D586ADC">
    <w:pPr>
      <w:pStyle w:val="28"/>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70550">
    <w:pPr>
      <w:spacing w:line="167" w:lineRule="auto"/>
      <w:rPr>
        <w:rFonts w:ascii="Calibri" w:hAnsi="Calibri" w:eastAsia="Calibri" w:cs="Calibri"/>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2352F">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CAFEE">
    <w:pPr>
      <w:pStyle w:val="29"/>
      <w:pBdr>
        <w:bottom w:val="none" w:color="auto" w:sz="0" w:space="1"/>
      </w:pBdr>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0755D">
    <w:pPr>
      <w:pStyle w:val="29"/>
      <w:pBdr>
        <w:bottom w:val="none" w:color="auto" w:sz="0" w:space="1"/>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27420">
    <w:pPr>
      <w:spacing w:before="53" w:line="76"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1D34E"/>
    <w:multiLevelType w:val="singleLevel"/>
    <w:tmpl w:val="86F1D34E"/>
    <w:lvl w:ilvl="0" w:tentative="0">
      <w:start w:val="1"/>
      <w:numFmt w:val="decimal"/>
      <w:lvlText w:val="%1."/>
      <w:lvlJc w:val="left"/>
      <w:pPr>
        <w:tabs>
          <w:tab w:val="left" w:pos="312"/>
        </w:tabs>
      </w:pPr>
    </w:lvl>
  </w:abstractNum>
  <w:abstractNum w:abstractNumId="1">
    <w:nsid w:val="93186921"/>
    <w:multiLevelType w:val="singleLevel"/>
    <w:tmpl w:val="93186921"/>
    <w:lvl w:ilvl="0" w:tentative="0">
      <w:start w:val="1"/>
      <w:numFmt w:val="decimal"/>
      <w:suff w:val="nothing"/>
      <w:lvlText w:val="%1．"/>
      <w:lvlJc w:val="left"/>
      <w:pPr>
        <w:ind w:left="0" w:firstLine="400"/>
      </w:pPr>
      <w:rPr>
        <w:rFonts w:hint="default" w:ascii="宋体" w:hAnsi="宋体" w:eastAsia="宋体" w:cs="宋体"/>
      </w:rPr>
    </w:lvl>
  </w:abstractNum>
  <w:abstractNum w:abstractNumId="2">
    <w:nsid w:val="9A62361A"/>
    <w:multiLevelType w:val="singleLevel"/>
    <w:tmpl w:val="9A62361A"/>
    <w:lvl w:ilvl="0" w:tentative="0">
      <w:start w:val="2"/>
      <w:numFmt w:val="chineseCounting"/>
      <w:suff w:val="space"/>
      <w:lvlText w:val="第%1部分"/>
      <w:lvlJc w:val="left"/>
      <w:rPr>
        <w:rFonts w:hint="eastAsia"/>
      </w:rPr>
    </w:lvl>
  </w:abstractNum>
  <w:abstractNum w:abstractNumId="3">
    <w:nsid w:val="E0F72AFF"/>
    <w:multiLevelType w:val="singleLevel"/>
    <w:tmpl w:val="E0F72AFF"/>
    <w:lvl w:ilvl="0" w:tentative="0">
      <w:start w:val="1"/>
      <w:numFmt w:val="decimal"/>
      <w:suff w:val="nothing"/>
      <w:lvlText w:val="%1、"/>
      <w:lvlJc w:val="left"/>
      <w:pPr>
        <w:ind w:left="480" w:firstLine="0"/>
      </w:pPr>
    </w:lvl>
  </w:abstractNum>
  <w:abstractNum w:abstractNumId="4">
    <w:nsid w:val="EBD11DA0"/>
    <w:multiLevelType w:val="singleLevel"/>
    <w:tmpl w:val="EBD11DA0"/>
    <w:lvl w:ilvl="0" w:tentative="0">
      <w:start w:val="6"/>
      <w:numFmt w:val="decimal"/>
      <w:lvlText w:val="%1."/>
      <w:lvlJc w:val="left"/>
      <w:pPr>
        <w:tabs>
          <w:tab w:val="left" w:pos="312"/>
        </w:tabs>
      </w:pPr>
    </w:lvl>
  </w:abstractNum>
  <w:abstractNum w:abstractNumId="5">
    <w:nsid w:val="F41592A2"/>
    <w:multiLevelType w:val="singleLevel"/>
    <w:tmpl w:val="F41592A2"/>
    <w:lvl w:ilvl="0" w:tentative="0">
      <w:start w:val="2"/>
      <w:numFmt w:val="chineseCounting"/>
      <w:suff w:val="nothing"/>
      <w:lvlText w:val="（%1）"/>
      <w:lvlJc w:val="left"/>
      <w:rPr>
        <w:rFonts w:hint="eastAsia"/>
      </w:rPr>
    </w:lvl>
  </w:abstractNum>
  <w:abstractNum w:abstractNumId="6">
    <w:nsid w:val="00000004"/>
    <w:multiLevelType w:val="multilevel"/>
    <w:tmpl w:val="00000004"/>
    <w:lvl w:ilvl="0" w:tentative="0">
      <w:start w:val="1"/>
      <w:numFmt w:val="decimal"/>
      <w:pStyle w:val="330"/>
      <w:lvlText w:val="%1."/>
      <w:lvlJc w:val="left"/>
      <w:pPr>
        <w:tabs>
          <w:tab w:val="left" w:pos="360"/>
        </w:tabs>
        <w:ind w:left="360" w:hanging="360"/>
      </w:pPr>
      <w:rPr>
        <w:rFonts w:hint="eastAsia"/>
      </w:rPr>
    </w:lvl>
    <w:lvl w:ilvl="1" w:tentative="0">
      <w:start w:val="1"/>
      <w:numFmt w:val="lowerLetter"/>
      <w:pStyle w:val="180"/>
      <w:lvlText w:val="%2)"/>
      <w:lvlJc w:val="left"/>
      <w:pPr>
        <w:tabs>
          <w:tab w:val="left" w:pos="840"/>
        </w:tabs>
        <w:ind w:left="840" w:hanging="420"/>
      </w:pPr>
    </w:lvl>
    <w:lvl w:ilvl="2" w:tentative="0">
      <w:start w:val="1"/>
      <w:numFmt w:val="lowerRoman"/>
      <w:pStyle w:val="322"/>
      <w:lvlText w:val="%3."/>
      <w:lvlJc w:val="right"/>
      <w:pPr>
        <w:tabs>
          <w:tab w:val="left" w:pos="1260"/>
        </w:tabs>
        <w:ind w:left="1260" w:hanging="420"/>
      </w:pPr>
    </w:lvl>
    <w:lvl w:ilvl="3" w:tentative="0">
      <w:start w:val="1"/>
      <w:numFmt w:val="decimal"/>
      <w:pStyle w:val="321"/>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5"/>
    <w:multiLevelType w:val="multilevel"/>
    <w:tmpl w:val="00000005"/>
    <w:lvl w:ilvl="0" w:tentative="0">
      <w:start w:val="1"/>
      <w:numFmt w:val="decimal"/>
      <w:lvlText w:val="第%1章"/>
      <w:lvlJc w:val="left"/>
      <w:pPr>
        <w:tabs>
          <w:tab w:val="left" w:pos="537"/>
        </w:tabs>
        <w:ind w:left="537" w:hanging="432"/>
      </w:pPr>
      <w:rPr>
        <w:rFonts w:hint="default" w:ascii="Times New Roman" w:hAnsi="Times New Roman" w:eastAsia="宋体"/>
        <w:b/>
        <w:i w:val="0"/>
        <w:sz w:val="30"/>
        <w:szCs w:val="30"/>
      </w:rPr>
    </w:lvl>
    <w:lvl w:ilvl="1" w:tentative="0">
      <w:start w:val="1"/>
      <w:numFmt w:val="decimal"/>
      <w:pStyle w:val="343"/>
      <w:lvlText w:val="%1.%2"/>
      <w:lvlJc w:val="left"/>
      <w:pPr>
        <w:tabs>
          <w:tab w:val="left" w:pos="576"/>
        </w:tabs>
        <w:ind w:left="576" w:hanging="576"/>
      </w:pPr>
      <w:rPr>
        <w:rFonts w:hint="default" w:ascii="Times New Roman" w:hAnsi="Times New Roman" w:eastAsia="宋体"/>
        <w:b/>
        <w:i w:val="0"/>
        <w:sz w:val="28"/>
        <w:szCs w:val="28"/>
      </w:rPr>
    </w:lvl>
    <w:lvl w:ilvl="2" w:tentative="0">
      <w:start w:val="1"/>
      <w:numFmt w:val="decimal"/>
      <w:lvlText w:val="%1.%2.%3"/>
      <w:lvlJc w:val="left"/>
      <w:pPr>
        <w:tabs>
          <w:tab w:val="left" w:pos="720"/>
        </w:tabs>
        <w:ind w:left="720" w:hanging="720"/>
      </w:pPr>
      <w:rPr>
        <w:rFonts w:hint="default" w:ascii="Times New Roman" w:hAnsi="Times New Roman" w:eastAsia="宋体" w:cs="Times New Roman"/>
        <w:b/>
        <w:i w:val="0"/>
        <w:iCs w:val="0"/>
        <w:caps w:val="0"/>
        <w:strike w:val="0"/>
        <w:dstrike w:val="0"/>
        <w:outline w:val="0"/>
        <w:shadow w:val="0"/>
        <w:emboss w:val="0"/>
        <w:imprint w:val="0"/>
        <w:vanish w:val="0"/>
        <w:spacing w:val="0"/>
        <w:kern w:val="0"/>
        <w:position w:val="0"/>
        <w:sz w:val="28"/>
        <w:szCs w:val="28"/>
        <w:u w:val="none"/>
        <w:vertAlign w:val="baseline"/>
      </w:rPr>
    </w:lvl>
    <w:lvl w:ilvl="3" w:tentative="0">
      <w:start w:val="1"/>
      <w:numFmt w:val="decimal"/>
      <w:lvlText w:val="%1.%2.%3.%4"/>
      <w:lvlJc w:val="left"/>
      <w:pPr>
        <w:tabs>
          <w:tab w:val="left" w:pos="864"/>
        </w:tabs>
        <w:ind w:left="864" w:hanging="864"/>
      </w:pPr>
      <w:rPr>
        <w:rFonts w:hint="default" w:ascii="Times New Roman" w:hAnsi="Times New Roman" w:eastAsia="宋体"/>
        <w:b/>
        <w:i w:val="0"/>
        <w:sz w:val="28"/>
        <w:szCs w:val="28"/>
      </w:rPr>
    </w:lvl>
    <w:lvl w:ilvl="4" w:tentative="0">
      <w:start w:val="1"/>
      <w:numFmt w:val="decimal"/>
      <w:lvlText w:val="%1.%2.%3.%4.%5"/>
      <w:lvlJc w:val="left"/>
      <w:pPr>
        <w:tabs>
          <w:tab w:val="left" w:pos="1113"/>
        </w:tabs>
        <w:ind w:left="1113" w:hanging="1008"/>
      </w:pPr>
      <w:rPr>
        <w:rFonts w:hint="default" w:ascii="Times New Roman" w:hAnsi="Times New Roman" w:eastAsia="宋体"/>
        <w:b/>
        <w:i w:val="0"/>
        <w:sz w:val="28"/>
        <w:szCs w:val="28"/>
      </w:rPr>
    </w:lvl>
    <w:lvl w:ilvl="5" w:tentative="0">
      <w:start w:val="1"/>
      <w:numFmt w:val="decimal"/>
      <w:lvlText w:val="%1.%2.%3.%4.%5.%6"/>
      <w:lvlJc w:val="left"/>
      <w:pPr>
        <w:tabs>
          <w:tab w:val="left" w:pos="1257"/>
        </w:tabs>
        <w:ind w:left="1257" w:hanging="1152"/>
      </w:pPr>
      <w:rPr>
        <w:rFonts w:hint="eastAsia"/>
      </w:rPr>
    </w:lvl>
    <w:lvl w:ilvl="6" w:tentative="0">
      <w:start w:val="1"/>
      <w:numFmt w:val="decimal"/>
      <w:lvlText w:val="%1.%2.%3.%4.%5.%6.%7"/>
      <w:lvlJc w:val="left"/>
      <w:pPr>
        <w:tabs>
          <w:tab w:val="left" w:pos="1401"/>
        </w:tabs>
        <w:ind w:left="1401" w:hanging="1296"/>
      </w:pPr>
      <w:rPr>
        <w:rFonts w:hint="eastAsia"/>
      </w:rPr>
    </w:lvl>
    <w:lvl w:ilvl="7" w:tentative="0">
      <w:start w:val="1"/>
      <w:numFmt w:val="decimal"/>
      <w:lvlText w:val="%1.%2.%3.%4.%5.%6.%7.%8"/>
      <w:lvlJc w:val="left"/>
      <w:pPr>
        <w:tabs>
          <w:tab w:val="left" w:pos="1545"/>
        </w:tabs>
        <w:ind w:left="1545" w:hanging="1440"/>
      </w:pPr>
      <w:rPr>
        <w:rFonts w:hint="eastAsia"/>
      </w:rPr>
    </w:lvl>
    <w:lvl w:ilvl="8" w:tentative="0">
      <w:start w:val="1"/>
      <w:numFmt w:val="decimal"/>
      <w:lvlText w:val="%1.%2.%3.%4.%5.%6.%7.%8.%9"/>
      <w:lvlJc w:val="left"/>
      <w:pPr>
        <w:tabs>
          <w:tab w:val="left" w:pos="1689"/>
        </w:tabs>
        <w:ind w:left="1689" w:hanging="1584"/>
      </w:pPr>
      <w:rPr>
        <w:rFonts w:hint="eastAsia"/>
      </w:rPr>
    </w:lvl>
  </w:abstractNum>
  <w:abstractNum w:abstractNumId="8">
    <w:nsid w:val="00000006"/>
    <w:multiLevelType w:val="multilevel"/>
    <w:tmpl w:val="00000006"/>
    <w:lvl w:ilvl="0" w:tentative="0">
      <w:start w:val="1"/>
      <w:numFmt w:val="decimal"/>
      <w:pStyle w:val="114"/>
      <w:lvlText w:val="2.3.%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9">
    <w:nsid w:val="00000007"/>
    <w:multiLevelType w:val="multilevel"/>
    <w:tmpl w:val="00000007"/>
    <w:lvl w:ilvl="0" w:tentative="0">
      <w:start w:val="1"/>
      <w:numFmt w:val="decimal"/>
      <w:pStyle w:val="21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8"/>
    <w:multiLevelType w:val="multilevel"/>
    <w:tmpl w:val="00000008"/>
    <w:lvl w:ilvl="0" w:tentative="0">
      <w:start w:val="1"/>
      <w:numFmt w:val="decimal"/>
      <w:lvlText w:val="%1)"/>
      <w:lvlJc w:val="left"/>
      <w:pPr>
        <w:tabs>
          <w:tab w:val="left" w:pos="1320"/>
        </w:tabs>
        <w:ind w:left="1320"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0000000C"/>
    <w:multiLevelType w:val="multilevel"/>
    <w:tmpl w:val="0000000C"/>
    <w:lvl w:ilvl="0" w:tentative="0">
      <w:start w:val="1"/>
      <w:numFmt w:val="decimal"/>
      <w:pStyle w:val="84"/>
      <w:lvlText w:val="2.2.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0F"/>
    <w:multiLevelType w:val="multilevel"/>
    <w:tmpl w:val="0000000F"/>
    <w:lvl w:ilvl="0" w:tentative="0">
      <w:start w:val="1"/>
      <w:numFmt w:val="decimal"/>
      <w:pStyle w:val="4"/>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pStyle w:val="6"/>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pStyle w:val="205"/>
      <w:lvlText w:val="%1.1.%2.%4."/>
      <w:lvlJc w:val="left"/>
      <w:pPr>
        <w:tabs>
          <w:tab w:val="left" w:pos="6131"/>
        </w:tabs>
        <w:ind w:left="6131" w:hanging="851"/>
      </w:pPr>
      <w:rPr>
        <w:rFonts w:hint="default" w:ascii="Times New Roman" w:hAnsi="Times New Roman" w:eastAsia="宋体" w:cs="Times New Roman"/>
        <w:b/>
        <w:i w:val="0"/>
        <w:iCs w:val="0"/>
        <w:caps w:val="0"/>
        <w:smallCaps w:val="0"/>
        <w:strike w:val="0"/>
        <w:dstrike w:val="0"/>
        <w:outline w:val="0"/>
        <w:shadow w:val="0"/>
        <w:emboss w:val="0"/>
        <w:imprint w:val="0"/>
        <w:vanish w:val="0"/>
        <w:spacing w:val="0"/>
        <w:kern w:val="0"/>
        <w:position w:val="0"/>
        <w:sz w:val="28"/>
        <w:szCs w:val="28"/>
        <w:u w:val="none"/>
        <w:vertAlign w:val="baseline"/>
      </w:rPr>
    </w:lvl>
    <w:lvl w:ilvl="4" w:tentative="0">
      <w:start w:val="1"/>
      <w:numFmt w:val="decimal"/>
      <w:pStyle w:val="8"/>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pStyle w:val="9"/>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pStyle w:val="338"/>
      <w:lvlText w:val="%1.%2.%3.%4.%5.%6.%7.%8."/>
      <w:lvlJc w:val="left"/>
      <w:pPr>
        <w:tabs>
          <w:tab w:val="left" w:pos="5258"/>
        </w:tabs>
        <w:ind w:left="5258" w:hanging="1418"/>
      </w:pPr>
      <w:rPr>
        <w:rFonts w:hint="eastAsia"/>
      </w:rPr>
    </w:lvl>
    <w:lvl w:ilvl="8" w:tentative="0">
      <w:start w:val="1"/>
      <w:numFmt w:val="decimal"/>
      <w:pStyle w:val="204"/>
      <w:lvlText w:val="%1.%2.%3.%4.%5.%6.%7.%8.%9."/>
      <w:lvlJc w:val="left"/>
      <w:pPr>
        <w:tabs>
          <w:tab w:val="left" w:pos="5399"/>
        </w:tabs>
        <w:ind w:left="5399" w:hanging="1559"/>
      </w:pPr>
      <w:rPr>
        <w:rFonts w:hint="eastAsia"/>
      </w:rPr>
    </w:lvl>
  </w:abstractNum>
  <w:abstractNum w:abstractNumId="13">
    <w:nsid w:val="0CCE3814"/>
    <w:multiLevelType w:val="singleLevel"/>
    <w:tmpl w:val="0CCE3814"/>
    <w:lvl w:ilvl="0" w:tentative="0">
      <w:start w:val="1"/>
      <w:numFmt w:val="decimal"/>
      <w:suff w:val="nothing"/>
      <w:lvlText w:val="%1．"/>
      <w:lvlJc w:val="left"/>
      <w:pPr>
        <w:ind w:left="0" w:firstLine="400"/>
      </w:pPr>
      <w:rPr>
        <w:rFonts w:hint="default" w:ascii="宋体" w:hAnsi="宋体" w:eastAsia="宋体" w:cs="宋体"/>
      </w:rPr>
    </w:lvl>
  </w:abstractNum>
  <w:abstractNum w:abstractNumId="14">
    <w:nsid w:val="1D78B1FE"/>
    <w:multiLevelType w:val="singleLevel"/>
    <w:tmpl w:val="1D78B1FE"/>
    <w:lvl w:ilvl="0" w:tentative="0">
      <w:start w:val="1"/>
      <w:numFmt w:val="decimal"/>
      <w:suff w:val="nothing"/>
      <w:lvlText w:val="%1．"/>
      <w:lvlJc w:val="left"/>
      <w:pPr>
        <w:ind w:left="0" w:firstLine="400"/>
      </w:pPr>
      <w:rPr>
        <w:rFonts w:hint="default" w:ascii="宋体" w:hAnsi="宋体" w:eastAsia="宋体" w:cs="宋体"/>
      </w:rPr>
    </w:lvl>
  </w:abstractNum>
  <w:abstractNum w:abstractNumId="15">
    <w:nsid w:val="4062EB1F"/>
    <w:multiLevelType w:val="singleLevel"/>
    <w:tmpl w:val="4062EB1F"/>
    <w:lvl w:ilvl="0" w:tentative="0">
      <w:start w:val="1"/>
      <w:numFmt w:val="chineseCounting"/>
      <w:suff w:val="nothing"/>
      <w:lvlText w:val="%1、"/>
      <w:lvlJc w:val="left"/>
      <w:rPr>
        <w:rFonts w:hint="eastAsia"/>
      </w:rPr>
    </w:lvl>
  </w:abstractNum>
  <w:abstractNum w:abstractNumId="16">
    <w:nsid w:val="561F42AC"/>
    <w:multiLevelType w:val="multilevel"/>
    <w:tmpl w:val="561F42AC"/>
    <w:lvl w:ilvl="0" w:tentative="0">
      <w:start w:val="2"/>
      <w:numFmt w:val="decimal"/>
      <w:suff w:val="nothing"/>
      <w:lvlText w:val="%1."/>
      <w:lvlJc w:val="left"/>
    </w:lvl>
    <w:lvl w:ilvl="1" w:tentative="0">
      <w:start w:val="4"/>
      <w:numFmt w:val="decimal"/>
      <w:isLgl/>
      <w:lvlText w:val="%1.%2"/>
      <w:lvlJc w:val="left"/>
      <w:pPr>
        <w:ind w:left="864" w:hanging="864"/>
      </w:pPr>
      <w:rPr>
        <w:rFonts w:hint="default"/>
      </w:rPr>
    </w:lvl>
    <w:lvl w:ilvl="2" w:tentative="0">
      <w:start w:val="1"/>
      <w:numFmt w:val="decimal"/>
      <w:isLgl/>
      <w:lvlText w:val="%1.%2.%3"/>
      <w:lvlJc w:val="left"/>
      <w:pPr>
        <w:ind w:left="864" w:hanging="864"/>
      </w:pPr>
      <w:rPr>
        <w:rFonts w:hint="default"/>
      </w:rPr>
    </w:lvl>
    <w:lvl w:ilvl="3" w:tentative="0">
      <w:start w:val="2"/>
      <w:numFmt w:val="decimal"/>
      <w:isLgl/>
      <w:lvlText w:val="%1.%2.%3.%4"/>
      <w:lvlJc w:val="left"/>
      <w:pPr>
        <w:ind w:left="1080" w:hanging="1080"/>
      </w:pPr>
      <w:rPr>
        <w:rFonts w:hint="default"/>
        <w:sz w:val="24"/>
        <w:szCs w:val="24"/>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num w:numId="1">
    <w:abstractNumId w:val="12"/>
  </w:num>
  <w:num w:numId="2">
    <w:abstractNumId w:val="11"/>
  </w:num>
  <w:num w:numId="3">
    <w:abstractNumId w:val="8"/>
  </w:num>
  <w:num w:numId="4">
    <w:abstractNumId w:val="6"/>
  </w:num>
  <w:num w:numId="5">
    <w:abstractNumId w:val="9"/>
  </w:num>
  <w:num w:numId="6">
    <w:abstractNumId w:val="7"/>
  </w:num>
  <w:num w:numId="7">
    <w:abstractNumId w:val="15"/>
  </w:num>
  <w:num w:numId="8">
    <w:abstractNumId w:val="0"/>
  </w:num>
  <w:num w:numId="9">
    <w:abstractNumId w:val="3"/>
  </w:num>
  <w:num w:numId="10">
    <w:abstractNumId w:val="4"/>
  </w:num>
  <w:num w:numId="11">
    <w:abstractNumId w:val="10"/>
  </w:num>
  <w:num w:numId="12">
    <w:abstractNumId w:val="1"/>
  </w:num>
  <w:num w:numId="13">
    <w:abstractNumId w:val="14"/>
  </w:num>
  <w:num w:numId="14">
    <w:abstractNumId w:val="13"/>
  </w:num>
  <w:num w:numId="15">
    <w:abstractNumId w:val="2"/>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NzliY2NlNWNlMDk3MDQwODQ2YmI4NGY2YTMzZTAifQ=="/>
  </w:docVars>
  <w:rsids>
    <w:rsidRoot w:val="00172A27"/>
    <w:rsid w:val="00002635"/>
    <w:rsid w:val="000049B9"/>
    <w:rsid w:val="00005186"/>
    <w:rsid w:val="0001077A"/>
    <w:rsid w:val="000128D5"/>
    <w:rsid w:val="000128E2"/>
    <w:rsid w:val="00012D87"/>
    <w:rsid w:val="0001432C"/>
    <w:rsid w:val="000160BE"/>
    <w:rsid w:val="0002171E"/>
    <w:rsid w:val="000223D1"/>
    <w:rsid w:val="00023B9C"/>
    <w:rsid w:val="000309A1"/>
    <w:rsid w:val="00032D9B"/>
    <w:rsid w:val="000352F9"/>
    <w:rsid w:val="000371BE"/>
    <w:rsid w:val="0003769B"/>
    <w:rsid w:val="000419B3"/>
    <w:rsid w:val="00050970"/>
    <w:rsid w:val="00061002"/>
    <w:rsid w:val="00062C13"/>
    <w:rsid w:val="00067056"/>
    <w:rsid w:val="00072D78"/>
    <w:rsid w:val="0007681D"/>
    <w:rsid w:val="0007725F"/>
    <w:rsid w:val="00081498"/>
    <w:rsid w:val="000827C8"/>
    <w:rsid w:val="00091973"/>
    <w:rsid w:val="00093A01"/>
    <w:rsid w:val="0009608B"/>
    <w:rsid w:val="000B1513"/>
    <w:rsid w:val="000B54E8"/>
    <w:rsid w:val="000C05E9"/>
    <w:rsid w:val="000C61AA"/>
    <w:rsid w:val="000C6243"/>
    <w:rsid w:val="000D02E6"/>
    <w:rsid w:val="000D7434"/>
    <w:rsid w:val="000E3002"/>
    <w:rsid w:val="000E69F6"/>
    <w:rsid w:val="000F0D41"/>
    <w:rsid w:val="000F10C2"/>
    <w:rsid w:val="000F3F32"/>
    <w:rsid w:val="001052A7"/>
    <w:rsid w:val="00106311"/>
    <w:rsid w:val="001122C3"/>
    <w:rsid w:val="001175A5"/>
    <w:rsid w:val="00120384"/>
    <w:rsid w:val="00120A55"/>
    <w:rsid w:val="00121E73"/>
    <w:rsid w:val="001233F5"/>
    <w:rsid w:val="00127791"/>
    <w:rsid w:val="001331D2"/>
    <w:rsid w:val="0013692E"/>
    <w:rsid w:val="00137A0F"/>
    <w:rsid w:val="00141309"/>
    <w:rsid w:val="00145E7C"/>
    <w:rsid w:val="001638D2"/>
    <w:rsid w:val="001717F8"/>
    <w:rsid w:val="00177161"/>
    <w:rsid w:val="00182165"/>
    <w:rsid w:val="00185729"/>
    <w:rsid w:val="001876F4"/>
    <w:rsid w:val="0018771A"/>
    <w:rsid w:val="00194ACD"/>
    <w:rsid w:val="00194FBD"/>
    <w:rsid w:val="001A2369"/>
    <w:rsid w:val="001A4891"/>
    <w:rsid w:val="001B62B3"/>
    <w:rsid w:val="001B74F9"/>
    <w:rsid w:val="001C15B4"/>
    <w:rsid w:val="001C2441"/>
    <w:rsid w:val="001C2B8E"/>
    <w:rsid w:val="001C3199"/>
    <w:rsid w:val="001C3B6A"/>
    <w:rsid w:val="001C73EA"/>
    <w:rsid w:val="001C7A46"/>
    <w:rsid w:val="001D341F"/>
    <w:rsid w:val="001D438B"/>
    <w:rsid w:val="001E47DD"/>
    <w:rsid w:val="001F1459"/>
    <w:rsid w:val="001F4530"/>
    <w:rsid w:val="00202B66"/>
    <w:rsid w:val="0020543A"/>
    <w:rsid w:val="00205A7A"/>
    <w:rsid w:val="00212CF3"/>
    <w:rsid w:val="00213E89"/>
    <w:rsid w:val="0021400A"/>
    <w:rsid w:val="002151EE"/>
    <w:rsid w:val="00215723"/>
    <w:rsid w:val="00221303"/>
    <w:rsid w:val="0022430E"/>
    <w:rsid w:val="00225D30"/>
    <w:rsid w:val="00226F00"/>
    <w:rsid w:val="002326A3"/>
    <w:rsid w:val="00240393"/>
    <w:rsid w:val="002431F3"/>
    <w:rsid w:val="00244587"/>
    <w:rsid w:val="0024493E"/>
    <w:rsid w:val="002451CE"/>
    <w:rsid w:val="002527D3"/>
    <w:rsid w:val="002545F0"/>
    <w:rsid w:val="00254A3E"/>
    <w:rsid w:val="002627D1"/>
    <w:rsid w:val="00263A72"/>
    <w:rsid w:val="00271E22"/>
    <w:rsid w:val="00280E0D"/>
    <w:rsid w:val="00291DFB"/>
    <w:rsid w:val="00291FD1"/>
    <w:rsid w:val="002A6C33"/>
    <w:rsid w:val="002A7444"/>
    <w:rsid w:val="002B525F"/>
    <w:rsid w:val="002C76DE"/>
    <w:rsid w:val="002D307E"/>
    <w:rsid w:val="002D44F6"/>
    <w:rsid w:val="002E0248"/>
    <w:rsid w:val="002E3ACE"/>
    <w:rsid w:val="002E71CA"/>
    <w:rsid w:val="002E71D5"/>
    <w:rsid w:val="002E749D"/>
    <w:rsid w:val="002E79D6"/>
    <w:rsid w:val="002F3FF6"/>
    <w:rsid w:val="00300EBF"/>
    <w:rsid w:val="00303C61"/>
    <w:rsid w:val="003103FF"/>
    <w:rsid w:val="00315594"/>
    <w:rsid w:val="00330E5B"/>
    <w:rsid w:val="00333C55"/>
    <w:rsid w:val="00336B98"/>
    <w:rsid w:val="0034355E"/>
    <w:rsid w:val="00353DA8"/>
    <w:rsid w:val="00360315"/>
    <w:rsid w:val="00360D03"/>
    <w:rsid w:val="00361661"/>
    <w:rsid w:val="00361EEE"/>
    <w:rsid w:val="00362857"/>
    <w:rsid w:val="003720A9"/>
    <w:rsid w:val="00372197"/>
    <w:rsid w:val="003803A4"/>
    <w:rsid w:val="00381F5C"/>
    <w:rsid w:val="003932FE"/>
    <w:rsid w:val="003A2CAE"/>
    <w:rsid w:val="003A3E4F"/>
    <w:rsid w:val="003A479E"/>
    <w:rsid w:val="003A6516"/>
    <w:rsid w:val="003B225E"/>
    <w:rsid w:val="003B271A"/>
    <w:rsid w:val="003B2D66"/>
    <w:rsid w:val="003B3AE2"/>
    <w:rsid w:val="003B7A9D"/>
    <w:rsid w:val="003C2D61"/>
    <w:rsid w:val="003D0946"/>
    <w:rsid w:val="003D5F34"/>
    <w:rsid w:val="003D7074"/>
    <w:rsid w:val="003E0EC1"/>
    <w:rsid w:val="003E3C49"/>
    <w:rsid w:val="003E6DCE"/>
    <w:rsid w:val="0040202A"/>
    <w:rsid w:val="00402549"/>
    <w:rsid w:val="00404CA9"/>
    <w:rsid w:val="004054A9"/>
    <w:rsid w:val="00406F86"/>
    <w:rsid w:val="00410831"/>
    <w:rsid w:val="004141B4"/>
    <w:rsid w:val="00420EC5"/>
    <w:rsid w:val="00426971"/>
    <w:rsid w:val="00430548"/>
    <w:rsid w:val="00432F8E"/>
    <w:rsid w:val="00435ACB"/>
    <w:rsid w:val="0045541B"/>
    <w:rsid w:val="00456407"/>
    <w:rsid w:val="00456AA5"/>
    <w:rsid w:val="00457982"/>
    <w:rsid w:val="00463B2E"/>
    <w:rsid w:val="00465D36"/>
    <w:rsid w:val="00467EFA"/>
    <w:rsid w:val="0047646F"/>
    <w:rsid w:val="00477E54"/>
    <w:rsid w:val="0049725B"/>
    <w:rsid w:val="004A3B52"/>
    <w:rsid w:val="004A41AD"/>
    <w:rsid w:val="004A5769"/>
    <w:rsid w:val="004B2186"/>
    <w:rsid w:val="004B3890"/>
    <w:rsid w:val="004C0D22"/>
    <w:rsid w:val="004C18DF"/>
    <w:rsid w:val="004C2411"/>
    <w:rsid w:val="004C2B60"/>
    <w:rsid w:val="004C4F04"/>
    <w:rsid w:val="004D39A9"/>
    <w:rsid w:val="004D5AD1"/>
    <w:rsid w:val="004E673B"/>
    <w:rsid w:val="004E7874"/>
    <w:rsid w:val="004F203B"/>
    <w:rsid w:val="004F236A"/>
    <w:rsid w:val="004F72BB"/>
    <w:rsid w:val="00512318"/>
    <w:rsid w:val="00513AB6"/>
    <w:rsid w:val="0051540D"/>
    <w:rsid w:val="0051683A"/>
    <w:rsid w:val="00527D25"/>
    <w:rsid w:val="00530B51"/>
    <w:rsid w:val="00530ED7"/>
    <w:rsid w:val="0053628D"/>
    <w:rsid w:val="0054174D"/>
    <w:rsid w:val="00544E9D"/>
    <w:rsid w:val="00544F30"/>
    <w:rsid w:val="0054712D"/>
    <w:rsid w:val="00547EC1"/>
    <w:rsid w:val="00553086"/>
    <w:rsid w:val="005556F3"/>
    <w:rsid w:val="00562904"/>
    <w:rsid w:val="005773AF"/>
    <w:rsid w:val="005827F9"/>
    <w:rsid w:val="00590008"/>
    <w:rsid w:val="005A2EE5"/>
    <w:rsid w:val="005A4879"/>
    <w:rsid w:val="005A669E"/>
    <w:rsid w:val="005A67C6"/>
    <w:rsid w:val="005A77E8"/>
    <w:rsid w:val="005B24B5"/>
    <w:rsid w:val="005B3281"/>
    <w:rsid w:val="005B674A"/>
    <w:rsid w:val="005B7D0A"/>
    <w:rsid w:val="005C7C13"/>
    <w:rsid w:val="005D4D66"/>
    <w:rsid w:val="005D6DA2"/>
    <w:rsid w:val="005E188B"/>
    <w:rsid w:val="005E45F1"/>
    <w:rsid w:val="005E4794"/>
    <w:rsid w:val="005E6A69"/>
    <w:rsid w:val="005F3C53"/>
    <w:rsid w:val="00616BB6"/>
    <w:rsid w:val="006252CA"/>
    <w:rsid w:val="00627D3B"/>
    <w:rsid w:val="006419E7"/>
    <w:rsid w:val="00642241"/>
    <w:rsid w:val="00650AA7"/>
    <w:rsid w:val="00650E6D"/>
    <w:rsid w:val="00662488"/>
    <w:rsid w:val="00672BF5"/>
    <w:rsid w:val="00680058"/>
    <w:rsid w:val="00680A14"/>
    <w:rsid w:val="0069180D"/>
    <w:rsid w:val="00692397"/>
    <w:rsid w:val="00696C26"/>
    <w:rsid w:val="006A2375"/>
    <w:rsid w:val="006A4428"/>
    <w:rsid w:val="006A51E9"/>
    <w:rsid w:val="006A7CFA"/>
    <w:rsid w:val="006B6D40"/>
    <w:rsid w:val="006B727D"/>
    <w:rsid w:val="006E09C6"/>
    <w:rsid w:val="006E380F"/>
    <w:rsid w:val="006E6512"/>
    <w:rsid w:val="006E6E42"/>
    <w:rsid w:val="006F11CB"/>
    <w:rsid w:val="006F208F"/>
    <w:rsid w:val="006F5460"/>
    <w:rsid w:val="006F76A3"/>
    <w:rsid w:val="007026FB"/>
    <w:rsid w:val="00704596"/>
    <w:rsid w:val="007051BB"/>
    <w:rsid w:val="00707A43"/>
    <w:rsid w:val="0071021A"/>
    <w:rsid w:val="00711D06"/>
    <w:rsid w:val="00726C0E"/>
    <w:rsid w:val="00726DD3"/>
    <w:rsid w:val="00727655"/>
    <w:rsid w:val="00727D3E"/>
    <w:rsid w:val="00731707"/>
    <w:rsid w:val="00732983"/>
    <w:rsid w:val="0073635C"/>
    <w:rsid w:val="00741893"/>
    <w:rsid w:val="00743EEF"/>
    <w:rsid w:val="007467DB"/>
    <w:rsid w:val="00746B28"/>
    <w:rsid w:val="00753121"/>
    <w:rsid w:val="00756C72"/>
    <w:rsid w:val="00760159"/>
    <w:rsid w:val="00761E7B"/>
    <w:rsid w:val="00762EF2"/>
    <w:rsid w:val="007722A5"/>
    <w:rsid w:val="00772805"/>
    <w:rsid w:val="00772B2F"/>
    <w:rsid w:val="00776296"/>
    <w:rsid w:val="00781E62"/>
    <w:rsid w:val="00783E8E"/>
    <w:rsid w:val="00790561"/>
    <w:rsid w:val="00790AEB"/>
    <w:rsid w:val="00793763"/>
    <w:rsid w:val="007968EB"/>
    <w:rsid w:val="00797685"/>
    <w:rsid w:val="007A0347"/>
    <w:rsid w:val="007A3CEB"/>
    <w:rsid w:val="007A726E"/>
    <w:rsid w:val="007B78E1"/>
    <w:rsid w:val="007C0110"/>
    <w:rsid w:val="007D17ED"/>
    <w:rsid w:val="007D345D"/>
    <w:rsid w:val="007D3DBC"/>
    <w:rsid w:val="007D50BD"/>
    <w:rsid w:val="007D5BA0"/>
    <w:rsid w:val="007E411A"/>
    <w:rsid w:val="007E4A66"/>
    <w:rsid w:val="007E58FE"/>
    <w:rsid w:val="007F0C42"/>
    <w:rsid w:val="007F11A7"/>
    <w:rsid w:val="00800144"/>
    <w:rsid w:val="00807091"/>
    <w:rsid w:val="00813054"/>
    <w:rsid w:val="0081452C"/>
    <w:rsid w:val="00815AD3"/>
    <w:rsid w:val="00815E44"/>
    <w:rsid w:val="00817080"/>
    <w:rsid w:val="00820970"/>
    <w:rsid w:val="00820B82"/>
    <w:rsid w:val="00822FBD"/>
    <w:rsid w:val="008256FD"/>
    <w:rsid w:val="00827A27"/>
    <w:rsid w:val="008303C1"/>
    <w:rsid w:val="008310F3"/>
    <w:rsid w:val="00836522"/>
    <w:rsid w:val="00836FB9"/>
    <w:rsid w:val="008435E2"/>
    <w:rsid w:val="00843A8D"/>
    <w:rsid w:val="00847631"/>
    <w:rsid w:val="00851BD5"/>
    <w:rsid w:val="008521E6"/>
    <w:rsid w:val="00872F1A"/>
    <w:rsid w:val="00873A17"/>
    <w:rsid w:val="0088020D"/>
    <w:rsid w:val="00880C7A"/>
    <w:rsid w:val="00882006"/>
    <w:rsid w:val="00882923"/>
    <w:rsid w:val="008849C0"/>
    <w:rsid w:val="0088784A"/>
    <w:rsid w:val="008930C5"/>
    <w:rsid w:val="00895B6B"/>
    <w:rsid w:val="008A2681"/>
    <w:rsid w:val="008B445B"/>
    <w:rsid w:val="008B612D"/>
    <w:rsid w:val="008C219C"/>
    <w:rsid w:val="008C749F"/>
    <w:rsid w:val="008D1580"/>
    <w:rsid w:val="008D1F2F"/>
    <w:rsid w:val="008D268B"/>
    <w:rsid w:val="008D29F1"/>
    <w:rsid w:val="008D3092"/>
    <w:rsid w:val="008D6F9E"/>
    <w:rsid w:val="008E2539"/>
    <w:rsid w:val="008E69C6"/>
    <w:rsid w:val="008F1B08"/>
    <w:rsid w:val="008F7FBA"/>
    <w:rsid w:val="009064D4"/>
    <w:rsid w:val="009064E2"/>
    <w:rsid w:val="00906E63"/>
    <w:rsid w:val="00916E42"/>
    <w:rsid w:val="00921773"/>
    <w:rsid w:val="00924EC1"/>
    <w:rsid w:val="0092797F"/>
    <w:rsid w:val="00930149"/>
    <w:rsid w:val="00930588"/>
    <w:rsid w:val="00931204"/>
    <w:rsid w:val="0093318C"/>
    <w:rsid w:val="00937302"/>
    <w:rsid w:val="0094397A"/>
    <w:rsid w:val="00945AB5"/>
    <w:rsid w:val="00946BEE"/>
    <w:rsid w:val="00947D56"/>
    <w:rsid w:val="00952FF8"/>
    <w:rsid w:val="0095385C"/>
    <w:rsid w:val="0095660F"/>
    <w:rsid w:val="00957DEA"/>
    <w:rsid w:val="00960449"/>
    <w:rsid w:val="00962913"/>
    <w:rsid w:val="00967FEB"/>
    <w:rsid w:val="009740A1"/>
    <w:rsid w:val="00983537"/>
    <w:rsid w:val="009B31C5"/>
    <w:rsid w:val="009B3B08"/>
    <w:rsid w:val="009B497D"/>
    <w:rsid w:val="009C1D0C"/>
    <w:rsid w:val="009C308C"/>
    <w:rsid w:val="009C4D5C"/>
    <w:rsid w:val="009D4C07"/>
    <w:rsid w:val="009D671D"/>
    <w:rsid w:val="009D6845"/>
    <w:rsid w:val="009E09BF"/>
    <w:rsid w:val="009E1FC8"/>
    <w:rsid w:val="009E33A0"/>
    <w:rsid w:val="00A02CFD"/>
    <w:rsid w:val="00A05BE0"/>
    <w:rsid w:val="00A06A71"/>
    <w:rsid w:val="00A13D57"/>
    <w:rsid w:val="00A15369"/>
    <w:rsid w:val="00A15EAD"/>
    <w:rsid w:val="00A27A4C"/>
    <w:rsid w:val="00A32463"/>
    <w:rsid w:val="00A32E8F"/>
    <w:rsid w:val="00A47BED"/>
    <w:rsid w:val="00A5448C"/>
    <w:rsid w:val="00A6395A"/>
    <w:rsid w:val="00A64A42"/>
    <w:rsid w:val="00A65176"/>
    <w:rsid w:val="00A70714"/>
    <w:rsid w:val="00A7389B"/>
    <w:rsid w:val="00A739E9"/>
    <w:rsid w:val="00A745E2"/>
    <w:rsid w:val="00A827A5"/>
    <w:rsid w:val="00A875D9"/>
    <w:rsid w:val="00A876B7"/>
    <w:rsid w:val="00A94CD9"/>
    <w:rsid w:val="00A9695C"/>
    <w:rsid w:val="00AA1981"/>
    <w:rsid w:val="00AA41C2"/>
    <w:rsid w:val="00AA4638"/>
    <w:rsid w:val="00AB4F61"/>
    <w:rsid w:val="00AB74B9"/>
    <w:rsid w:val="00AD1E93"/>
    <w:rsid w:val="00AD3407"/>
    <w:rsid w:val="00AE0AE4"/>
    <w:rsid w:val="00AE1621"/>
    <w:rsid w:val="00AE383B"/>
    <w:rsid w:val="00AF0710"/>
    <w:rsid w:val="00AF3626"/>
    <w:rsid w:val="00AF52D8"/>
    <w:rsid w:val="00B026AF"/>
    <w:rsid w:val="00B0767A"/>
    <w:rsid w:val="00B1300A"/>
    <w:rsid w:val="00B22520"/>
    <w:rsid w:val="00B256E8"/>
    <w:rsid w:val="00B32DB9"/>
    <w:rsid w:val="00B34D90"/>
    <w:rsid w:val="00B44506"/>
    <w:rsid w:val="00B47A56"/>
    <w:rsid w:val="00B572FE"/>
    <w:rsid w:val="00B6210E"/>
    <w:rsid w:val="00B63143"/>
    <w:rsid w:val="00B644D7"/>
    <w:rsid w:val="00B72AAD"/>
    <w:rsid w:val="00B75FA7"/>
    <w:rsid w:val="00B80D6F"/>
    <w:rsid w:val="00B82E95"/>
    <w:rsid w:val="00B83AF0"/>
    <w:rsid w:val="00B855D4"/>
    <w:rsid w:val="00B92AD0"/>
    <w:rsid w:val="00B92CCC"/>
    <w:rsid w:val="00B95C18"/>
    <w:rsid w:val="00B96EB6"/>
    <w:rsid w:val="00BA0966"/>
    <w:rsid w:val="00BA48CC"/>
    <w:rsid w:val="00BA53A2"/>
    <w:rsid w:val="00BB0B83"/>
    <w:rsid w:val="00BB44B0"/>
    <w:rsid w:val="00BB5AFF"/>
    <w:rsid w:val="00BB747E"/>
    <w:rsid w:val="00BB74D7"/>
    <w:rsid w:val="00BC7DB4"/>
    <w:rsid w:val="00BD0A94"/>
    <w:rsid w:val="00BD79D3"/>
    <w:rsid w:val="00BE17F8"/>
    <w:rsid w:val="00BE4ED2"/>
    <w:rsid w:val="00BF45A0"/>
    <w:rsid w:val="00BF7D13"/>
    <w:rsid w:val="00C0069F"/>
    <w:rsid w:val="00C034EC"/>
    <w:rsid w:val="00C0352C"/>
    <w:rsid w:val="00C11C6F"/>
    <w:rsid w:val="00C36A3C"/>
    <w:rsid w:val="00C37329"/>
    <w:rsid w:val="00C40DDD"/>
    <w:rsid w:val="00C42626"/>
    <w:rsid w:val="00C47F66"/>
    <w:rsid w:val="00C47FB1"/>
    <w:rsid w:val="00C505F4"/>
    <w:rsid w:val="00C51F67"/>
    <w:rsid w:val="00C54ADB"/>
    <w:rsid w:val="00C571DF"/>
    <w:rsid w:val="00C60EB3"/>
    <w:rsid w:val="00C62E94"/>
    <w:rsid w:val="00C8153B"/>
    <w:rsid w:val="00C82F2B"/>
    <w:rsid w:val="00C86695"/>
    <w:rsid w:val="00C904FA"/>
    <w:rsid w:val="00C922E9"/>
    <w:rsid w:val="00C93F0E"/>
    <w:rsid w:val="00C93FD9"/>
    <w:rsid w:val="00C959D0"/>
    <w:rsid w:val="00C95E87"/>
    <w:rsid w:val="00CA17F7"/>
    <w:rsid w:val="00CA1E39"/>
    <w:rsid w:val="00CA32AE"/>
    <w:rsid w:val="00CA3BE8"/>
    <w:rsid w:val="00CA406C"/>
    <w:rsid w:val="00CA40C3"/>
    <w:rsid w:val="00CA5A5D"/>
    <w:rsid w:val="00CA709D"/>
    <w:rsid w:val="00CB0C25"/>
    <w:rsid w:val="00CB125C"/>
    <w:rsid w:val="00CB3EA0"/>
    <w:rsid w:val="00CB6837"/>
    <w:rsid w:val="00CB724B"/>
    <w:rsid w:val="00CB7BB0"/>
    <w:rsid w:val="00CC0EB1"/>
    <w:rsid w:val="00CC5869"/>
    <w:rsid w:val="00CC5DC7"/>
    <w:rsid w:val="00CD071F"/>
    <w:rsid w:val="00CD27C2"/>
    <w:rsid w:val="00CE3EC5"/>
    <w:rsid w:val="00CE5087"/>
    <w:rsid w:val="00CE74B3"/>
    <w:rsid w:val="00CE780A"/>
    <w:rsid w:val="00CF1BE9"/>
    <w:rsid w:val="00D01E53"/>
    <w:rsid w:val="00D02E26"/>
    <w:rsid w:val="00D10A43"/>
    <w:rsid w:val="00D13D51"/>
    <w:rsid w:val="00D1477E"/>
    <w:rsid w:val="00D14C1A"/>
    <w:rsid w:val="00D17AE9"/>
    <w:rsid w:val="00D22BC0"/>
    <w:rsid w:val="00D246D9"/>
    <w:rsid w:val="00D319D3"/>
    <w:rsid w:val="00D33433"/>
    <w:rsid w:val="00D34373"/>
    <w:rsid w:val="00D524B7"/>
    <w:rsid w:val="00D53A24"/>
    <w:rsid w:val="00D542CC"/>
    <w:rsid w:val="00D56225"/>
    <w:rsid w:val="00D60FFB"/>
    <w:rsid w:val="00D61D0D"/>
    <w:rsid w:val="00D6359B"/>
    <w:rsid w:val="00D6752B"/>
    <w:rsid w:val="00D676EC"/>
    <w:rsid w:val="00D7389B"/>
    <w:rsid w:val="00D832A7"/>
    <w:rsid w:val="00D84982"/>
    <w:rsid w:val="00D86D75"/>
    <w:rsid w:val="00DA3795"/>
    <w:rsid w:val="00DA479F"/>
    <w:rsid w:val="00DA7D17"/>
    <w:rsid w:val="00DB3EDF"/>
    <w:rsid w:val="00DB409C"/>
    <w:rsid w:val="00DB5087"/>
    <w:rsid w:val="00DB762D"/>
    <w:rsid w:val="00DC0713"/>
    <w:rsid w:val="00DC184F"/>
    <w:rsid w:val="00DC4701"/>
    <w:rsid w:val="00DC4FDE"/>
    <w:rsid w:val="00DD4407"/>
    <w:rsid w:val="00DD51C1"/>
    <w:rsid w:val="00DD7021"/>
    <w:rsid w:val="00DE5069"/>
    <w:rsid w:val="00DE53D0"/>
    <w:rsid w:val="00DE57A8"/>
    <w:rsid w:val="00DE5DBB"/>
    <w:rsid w:val="00E0097A"/>
    <w:rsid w:val="00E02F76"/>
    <w:rsid w:val="00E059BA"/>
    <w:rsid w:val="00E1184D"/>
    <w:rsid w:val="00E141C1"/>
    <w:rsid w:val="00E211CF"/>
    <w:rsid w:val="00E25263"/>
    <w:rsid w:val="00E25F1D"/>
    <w:rsid w:val="00E260BD"/>
    <w:rsid w:val="00E27A83"/>
    <w:rsid w:val="00E35324"/>
    <w:rsid w:val="00E43F8B"/>
    <w:rsid w:val="00E45686"/>
    <w:rsid w:val="00E458E7"/>
    <w:rsid w:val="00E508C4"/>
    <w:rsid w:val="00E50B99"/>
    <w:rsid w:val="00E54AC1"/>
    <w:rsid w:val="00E560F2"/>
    <w:rsid w:val="00E631B8"/>
    <w:rsid w:val="00E73F62"/>
    <w:rsid w:val="00E80447"/>
    <w:rsid w:val="00E8340E"/>
    <w:rsid w:val="00E84478"/>
    <w:rsid w:val="00E8786D"/>
    <w:rsid w:val="00E96AFE"/>
    <w:rsid w:val="00E97A8D"/>
    <w:rsid w:val="00EA038B"/>
    <w:rsid w:val="00EA1A10"/>
    <w:rsid w:val="00EA46E8"/>
    <w:rsid w:val="00EB4E97"/>
    <w:rsid w:val="00EB5714"/>
    <w:rsid w:val="00EB74F9"/>
    <w:rsid w:val="00EC1F31"/>
    <w:rsid w:val="00EC20F6"/>
    <w:rsid w:val="00EC3791"/>
    <w:rsid w:val="00ED25DC"/>
    <w:rsid w:val="00EE177C"/>
    <w:rsid w:val="00EE2D28"/>
    <w:rsid w:val="00EE6CB2"/>
    <w:rsid w:val="00F02AE3"/>
    <w:rsid w:val="00F11A6E"/>
    <w:rsid w:val="00F14EC6"/>
    <w:rsid w:val="00F15E10"/>
    <w:rsid w:val="00F17AB6"/>
    <w:rsid w:val="00F21782"/>
    <w:rsid w:val="00F36D03"/>
    <w:rsid w:val="00F5042E"/>
    <w:rsid w:val="00F5738C"/>
    <w:rsid w:val="00F60426"/>
    <w:rsid w:val="00F75620"/>
    <w:rsid w:val="00F84865"/>
    <w:rsid w:val="00F84B2E"/>
    <w:rsid w:val="00F84C23"/>
    <w:rsid w:val="00F94C88"/>
    <w:rsid w:val="00F95C10"/>
    <w:rsid w:val="00F96D9E"/>
    <w:rsid w:val="00FA57D1"/>
    <w:rsid w:val="00FB7500"/>
    <w:rsid w:val="00FC039C"/>
    <w:rsid w:val="00FC13E9"/>
    <w:rsid w:val="00FC23D0"/>
    <w:rsid w:val="00FC297A"/>
    <w:rsid w:val="00FC3E57"/>
    <w:rsid w:val="00FC6845"/>
    <w:rsid w:val="00FD070E"/>
    <w:rsid w:val="00FD3117"/>
    <w:rsid w:val="00FD6DDC"/>
    <w:rsid w:val="00FE32E0"/>
    <w:rsid w:val="00FF1EFE"/>
    <w:rsid w:val="00FF4E45"/>
    <w:rsid w:val="00FF65C6"/>
    <w:rsid w:val="01177261"/>
    <w:rsid w:val="013A793E"/>
    <w:rsid w:val="014E5C9D"/>
    <w:rsid w:val="01516B1C"/>
    <w:rsid w:val="01883647"/>
    <w:rsid w:val="019249CF"/>
    <w:rsid w:val="01BD35AB"/>
    <w:rsid w:val="01C75E03"/>
    <w:rsid w:val="01DD3C4D"/>
    <w:rsid w:val="020B6A0C"/>
    <w:rsid w:val="02361CB6"/>
    <w:rsid w:val="02463BF6"/>
    <w:rsid w:val="02754AEC"/>
    <w:rsid w:val="028813DA"/>
    <w:rsid w:val="0292348F"/>
    <w:rsid w:val="02B74B8A"/>
    <w:rsid w:val="02ED3B95"/>
    <w:rsid w:val="0362704E"/>
    <w:rsid w:val="0373176C"/>
    <w:rsid w:val="03A47B83"/>
    <w:rsid w:val="03B00EF2"/>
    <w:rsid w:val="03BC76A4"/>
    <w:rsid w:val="03D41080"/>
    <w:rsid w:val="03E070B2"/>
    <w:rsid w:val="03F42812"/>
    <w:rsid w:val="04185410"/>
    <w:rsid w:val="041A0A32"/>
    <w:rsid w:val="042C7A34"/>
    <w:rsid w:val="04693406"/>
    <w:rsid w:val="04873C67"/>
    <w:rsid w:val="048E535F"/>
    <w:rsid w:val="04914841"/>
    <w:rsid w:val="04AC0B3C"/>
    <w:rsid w:val="04B64021"/>
    <w:rsid w:val="04CE6DA6"/>
    <w:rsid w:val="04DA4582"/>
    <w:rsid w:val="04FF3C89"/>
    <w:rsid w:val="050A0412"/>
    <w:rsid w:val="05307EDB"/>
    <w:rsid w:val="05876E68"/>
    <w:rsid w:val="058F4DAC"/>
    <w:rsid w:val="059A5276"/>
    <w:rsid w:val="05A70EAD"/>
    <w:rsid w:val="05E27B25"/>
    <w:rsid w:val="062A17EC"/>
    <w:rsid w:val="063564B6"/>
    <w:rsid w:val="066C3F56"/>
    <w:rsid w:val="06C34539"/>
    <w:rsid w:val="06DB44D3"/>
    <w:rsid w:val="06E1697C"/>
    <w:rsid w:val="06FD66C2"/>
    <w:rsid w:val="07623E6D"/>
    <w:rsid w:val="07750D24"/>
    <w:rsid w:val="07763B94"/>
    <w:rsid w:val="078D1255"/>
    <w:rsid w:val="07945D58"/>
    <w:rsid w:val="07FA19A3"/>
    <w:rsid w:val="07FB02ED"/>
    <w:rsid w:val="083640B7"/>
    <w:rsid w:val="08A732B5"/>
    <w:rsid w:val="08CE0793"/>
    <w:rsid w:val="08DB1FC0"/>
    <w:rsid w:val="0924536D"/>
    <w:rsid w:val="09943AC6"/>
    <w:rsid w:val="099532AE"/>
    <w:rsid w:val="099E60E1"/>
    <w:rsid w:val="09B0693F"/>
    <w:rsid w:val="09C15923"/>
    <w:rsid w:val="09C464BE"/>
    <w:rsid w:val="09EE1697"/>
    <w:rsid w:val="0A023D04"/>
    <w:rsid w:val="0A18079F"/>
    <w:rsid w:val="0A26352D"/>
    <w:rsid w:val="0A2C6E0A"/>
    <w:rsid w:val="0A66087D"/>
    <w:rsid w:val="0A6E6188"/>
    <w:rsid w:val="0A871661"/>
    <w:rsid w:val="0A895589"/>
    <w:rsid w:val="0A9E1B03"/>
    <w:rsid w:val="0AAF7CDF"/>
    <w:rsid w:val="0B1C30CC"/>
    <w:rsid w:val="0B2863C2"/>
    <w:rsid w:val="0B2A0567"/>
    <w:rsid w:val="0B30303F"/>
    <w:rsid w:val="0B3F75B2"/>
    <w:rsid w:val="0B6A52FD"/>
    <w:rsid w:val="0B975E85"/>
    <w:rsid w:val="0BAA5D47"/>
    <w:rsid w:val="0BBA6759"/>
    <w:rsid w:val="0BF566C7"/>
    <w:rsid w:val="0C2F1549"/>
    <w:rsid w:val="0C886038"/>
    <w:rsid w:val="0CB31713"/>
    <w:rsid w:val="0CF03FF4"/>
    <w:rsid w:val="0CF24531"/>
    <w:rsid w:val="0D075F6B"/>
    <w:rsid w:val="0D093B48"/>
    <w:rsid w:val="0D202483"/>
    <w:rsid w:val="0D5E3C29"/>
    <w:rsid w:val="0D7969A9"/>
    <w:rsid w:val="0D855E8A"/>
    <w:rsid w:val="0D8851A4"/>
    <w:rsid w:val="0D965A5F"/>
    <w:rsid w:val="0DF77E44"/>
    <w:rsid w:val="0E0B1B42"/>
    <w:rsid w:val="0E4B4E42"/>
    <w:rsid w:val="0E522318"/>
    <w:rsid w:val="0E8E3936"/>
    <w:rsid w:val="0E9C2E85"/>
    <w:rsid w:val="0EA0287C"/>
    <w:rsid w:val="0ECE3BF6"/>
    <w:rsid w:val="0EE3661B"/>
    <w:rsid w:val="0F114E45"/>
    <w:rsid w:val="0F12372F"/>
    <w:rsid w:val="0F1E488B"/>
    <w:rsid w:val="0F523168"/>
    <w:rsid w:val="0F5F798D"/>
    <w:rsid w:val="0F60394A"/>
    <w:rsid w:val="0F660315"/>
    <w:rsid w:val="0F89122B"/>
    <w:rsid w:val="0F9F232D"/>
    <w:rsid w:val="0FCD29BD"/>
    <w:rsid w:val="0FD02012"/>
    <w:rsid w:val="0FF33FF3"/>
    <w:rsid w:val="0FFF1692"/>
    <w:rsid w:val="0FFF56D6"/>
    <w:rsid w:val="100803F5"/>
    <w:rsid w:val="1034532E"/>
    <w:rsid w:val="1091537A"/>
    <w:rsid w:val="10BF5108"/>
    <w:rsid w:val="10C6571A"/>
    <w:rsid w:val="10EB7092"/>
    <w:rsid w:val="10EC2169"/>
    <w:rsid w:val="11151219"/>
    <w:rsid w:val="112D1A27"/>
    <w:rsid w:val="116A46F7"/>
    <w:rsid w:val="118B157B"/>
    <w:rsid w:val="11B200EF"/>
    <w:rsid w:val="11D77BA2"/>
    <w:rsid w:val="127E0B34"/>
    <w:rsid w:val="129F2BC0"/>
    <w:rsid w:val="12AF10A5"/>
    <w:rsid w:val="12D5383D"/>
    <w:rsid w:val="12F1545A"/>
    <w:rsid w:val="131B4645"/>
    <w:rsid w:val="132E255A"/>
    <w:rsid w:val="1353132E"/>
    <w:rsid w:val="135E5BDA"/>
    <w:rsid w:val="1362115B"/>
    <w:rsid w:val="13675213"/>
    <w:rsid w:val="137F5D6D"/>
    <w:rsid w:val="1399219A"/>
    <w:rsid w:val="13F62631"/>
    <w:rsid w:val="14021522"/>
    <w:rsid w:val="141640D0"/>
    <w:rsid w:val="14461CE2"/>
    <w:rsid w:val="145B649E"/>
    <w:rsid w:val="14F21F21"/>
    <w:rsid w:val="152A0AFF"/>
    <w:rsid w:val="15354C9C"/>
    <w:rsid w:val="153A6275"/>
    <w:rsid w:val="15996995"/>
    <w:rsid w:val="15B51208"/>
    <w:rsid w:val="15E5435D"/>
    <w:rsid w:val="15FF7088"/>
    <w:rsid w:val="160B28A6"/>
    <w:rsid w:val="160F3257"/>
    <w:rsid w:val="163D686F"/>
    <w:rsid w:val="168A62F3"/>
    <w:rsid w:val="168E3C1D"/>
    <w:rsid w:val="16922E00"/>
    <w:rsid w:val="1715728B"/>
    <w:rsid w:val="173F59AB"/>
    <w:rsid w:val="176C58B7"/>
    <w:rsid w:val="177D1EFB"/>
    <w:rsid w:val="17B63D41"/>
    <w:rsid w:val="17E556B6"/>
    <w:rsid w:val="17EE4066"/>
    <w:rsid w:val="184C5701"/>
    <w:rsid w:val="1853036D"/>
    <w:rsid w:val="18860008"/>
    <w:rsid w:val="18884DF5"/>
    <w:rsid w:val="18954E2A"/>
    <w:rsid w:val="18987FF3"/>
    <w:rsid w:val="18A72961"/>
    <w:rsid w:val="18D606C5"/>
    <w:rsid w:val="192C004F"/>
    <w:rsid w:val="1933166E"/>
    <w:rsid w:val="195E6FCA"/>
    <w:rsid w:val="19622F5E"/>
    <w:rsid w:val="19814D3A"/>
    <w:rsid w:val="198A6011"/>
    <w:rsid w:val="198E565D"/>
    <w:rsid w:val="199B1C57"/>
    <w:rsid w:val="19DB6E4F"/>
    <w:rsid w:val="19EA602A"/>
    <w:rsid w:val="19EC3755"/>
    <w:rsid w:val="1A0C1F26"/>
    <w:rsid w:val="1A280711"/>
    <w:rsid w:val="1A3A7F06"/>
    <w:rsid w:val="1A6E5CE6"/>
    <w:rsid w:val="1AA15E19"/>
    <w:rsid w:val="1AAE41D0"/>
    <w:rsid w:val="1AD27F91"/>
    <w:rsid w:val="1ADF7B91"/>
    <w:rsid w:val="1AE94F93"/>
    <w:rsid w:val="1B010554"/>
    <w:rsid w:val="1B3A29B4"/>
    <w:rsid w:val="1B3E7EED"/>
    <w:rsid w:val="1B642300"/>
    <w:rsid w:val="1B801CD9"/>
    <w:rsid w:val="1B9F0879"/>
    <w:rsid w:val="1BA64D34"/>
    <w:rsid w:val="1BAA4748"/>
    <w:rsid w:val="1BD726D7"/>
    <w:rsid w:val="1C0876C1"/>
    <w:rsid w:val="1C1328F8"/>
    <w:rsid w:val="1C163317"/>
    <w:rsid w:val="1C16365B"/>
    <w:rsid w:val="1C340C53"/>
    <w:rsid w:val="1C433F2B"/>
    <w:rsid w:val="1C92095A"/>
    <w:rsid w:val="1CBF79FD"/>
    <w:rsid w:val="1CC65AF6"/>
    <w:rsid w:val="1CD93876"/>
    <w:rsid w:val="1D245C3E"/>
    <w:rsid w:val="1D2D031C"/>
    <w:rsid w:val="1D5C1371"/>
    <w:rsid w:val="1D6422C7"/>
    <w:rsid w:val="1D6D6E8A"/>
    <w:rsid w:val="1D6E79F7"/>
    <w:rsid w:val="1D736699"/>
    <w:rsid w:val="1DAA63A4"/>
    <w:rsid w:val="1E04657F"/>
    <w:rsid w:val="1E116C67"/>
    <w:rsid w:val="1E1E1C1C"/>
    <w:rsid w:val="1EB87933"/>
    <w:rsid w:val="1EC34409"/>
    <w:rsid w:val="1EC85925"/>
    <w:rsid w:val="1F084022"/>
    <w:rsid w:val="1F1E2B9B"/>
    <w:rsid w:val="1F1E7176"/>
    <w:rsid w:val="1F6E12B5"/>
    <w:rsid w:val="1F7B50D1"/>
    <w:rsid w:val="1F7D6811"/>
    <w:rsid w:val="1F872F9F"/>
    <w:rsid w:val="1F8B2AE2"/>
    <w:rsid w:val="1F996089"/>
    <w:rsid w:val="1F9A2D26"/>
    <w:rsid w:val="1FC40755"/>
    <w:rsid w:val="1FC764C2"/>
    <w:rsid w:val="1FCF59E1"/>
    <w:rsid w:val="201E7A16"/>
    <w:rsid w:val="20570623"/>
    <w:rsid w:val="206F0600"/>
    <w:rsid w:val="207B1AA6"/>
    <w:rsid w:val="20881925"/>
    <w:rsid w:val="208D2AFA"/>
    <w:rsid w:val="208F0F8E"/>
    <w:rsid w:val="20AD4379"/>
    <w:rsid w:val="20BA168C"/>
    <w:rsid w:val="21346C70"/>
    <w:rsid w:val="215A5D30"/>
    <w:rsid w:val="215C32A5"/>
    <w:rsid w:val="21605D91"/>
    <w:rsid w:val="218F3E3F"/>
    <w:rsid w:val="21933134"/>
    <w:rsid w:val="21A659E2"/>
    <w:rsid w:val="21EB3D26"/>
    <w:rsid w:val="221B014E"/>
    <w:rsid w:val="226B1DC2"/>
    <w:rsid w:val="22757310"/>
    <w:rsid w:val="22757A9D"/>
    <w:rsid w:val="22787FFF"/>
    <w:rsid w:val="229041E8"/>
    <w:rsid w:val="22CB007D"/>
    <w:rsid w:val="22D701A1"/>
    <w:rsid w:val="230413A9"/>
    <w:rsid w:val="23171695"/>
    <w:rsid w:val="23243032"/>
    <w:rsid w:val="23272638"/>
    <w:rsid w:val="23384DF9"/>
    <w:rsid w:val="234A2D6F"/>
    <w:rsid w:val="236749EA"/>
    <w:rsid w:val="2378512C"/>
    <w:rsid w:val="23861377"/>
    <w:rsid w:val="239D08AF"/>
    <w:rsid w:val="241E5CD3"/>
    <w:rsid w:val="24344C14"/>
    <w:rsid w:val="24AA57B9"/>
    <w:rsid w:val="2566235C"/>
    <w:rsid w:val="25711DDF"/>
    <w:rsid w:val="259D3EAE"/>
    <w:rsid w:val="25BA771D"/>
    <w:rsid w:val="261E67E6"/>
    <w:rsid w:val="263523A8"/>
    <w:rsid w:val="265C2AE3"/>
    <w:rsid w:val="2670672C"/>
    <w:rsid w:val="269B32E1"/>
    <w:rsid w:val="26F35C52"/>
    <w:rsid w:val="271A4150"/>
    <w:rsid w:val="27767B20"/>
    <w:rsid w:val="2777472B"/>
    <w:rsid w:val="278B07DA"/>
    <w:rsid w:val="27F82B00"/>
    <w:rsid w:val="27F86191"/>
    <w:rsid w:val="281431C6"/>
    <w:rsid w:val="283D2CBE"/>
    <w:rsid w:val="28421DB1"/>
    <w:rsid w:val="28613025"/>
    <w:rsid w:val="28B22E8E"/>
    <w:rsid w:val="28B45431"/>
    <w:rsid w:val="28EA7F0A"/>
    <w:rsid w:val="29035745"/>
    <w:rsid w:val="290A0F1C"/>
    <w:rsid w:val="29364D2B"/>
    <w:rsid w:val="2936586D"/>
    <w:rsid w:val="295C59EE"/>
    <w:rsid w:val="29930F11"/>
    <w:rsid w:val="29982084"/>
    <w:rsid w:val="29D8506A"/>
    <w:rsid w:val="29DB4FAD"/>
    <w:rsid w:val="2A1831C5"/>
    <w:rsid w:val="2A297180"/>
    <w:rsid w:val="2A571F3F"/>
    <w:rsid w:val="2A6329F2"/>
    <w:rsid w:val="2A6E7289"/>
    <w:rsid w:val="2B0771DA"/>
    <w:rsid w:val="2B091630"/>
    <w:rsid w:val="2B144354"/>
    <w:rsid w:val="2B3E3C56"/>
    <w:rsid w:val="2B6E11B7"/>
    <w:rsid w:val="2B832D34"/>
    <w:rsid w:val="2BBB3C9F"/>
    <w:rsid w:val="2BDE7D31"/>
    <w:rsid w:val="2C0115C9"/>
    <w:rsid w:val="2C027C88"/>
    <w:rsid w:val="2C0B41E9"/>
    <w:rsid w:val="2C130764"/>
    <w:rsid w:val="2C3A1B18"/>
    <w:rsid w:val="2C71642E"/>
    <w:rsid w:val="2C7B51DB"/>
    <w:rsid w:val="2C8868D3"/>
    <w:rsid w:val="2CA23219"/>
    <w:rsid w:val="2CA927FA"/>
    <w:rsid w:val="2CBB3ED1"/>
    <w:rsid w:val="2CC45F13"/>
    <w:rsid w:val="2CC81276"/>
    <w:rsid w:val="2CDF621C"/>
    <w:rsid w:val="2CE37ABA"/>
    <w:rsid w:val="2D34338D"/>
    <w:rsid w:val="2D3E7672"/>
    <w:rsid w:val="2D4117C8"/>
    <w:rsid w:val="2D4947C9"/>
    <w:rsid w:val="2D685E27"/>
    <w:rsid w:val="2D95768D"/>
    <w:rsid w:val="2D975779"/>
    <w:rsid w:val="2DBE4083"/>
    <w:rsid w:val="2DD70EF3"/>
    <w:rsid w:val="2DEA31DD"/>
    <w:rsid w:val="2E0F5A06"/>
    <w:rsid w:val="2E662761"/>
    <w:rsid w:val="2E6D0BD0"/>
    <w:rsid w:val="2E755089"/>
    <w:rsid w:val="2E7836A9"/>
    <w:rsid w:val="2EBA6C92"/>
    <w:rsid w:val="2F077100"/>
    <w:rsid w:val="2F185491"/>
    <w:rsid w:val="2F243483"/>
    <w:rsid w:val="2F425298"/>
    <w:rsid w:val="2F884949"/>
    <w:rsid w:val="2FDE23CC"/>
    <w:rsid w:val="2FE74814"/>
    <w:rsid w:val="2FF66CB1"/>
    <w:rsid w:val="30152439"/>
    <w:rsid w:val="301B7C96"/>
    <w:rsid w:val="30242A99"/>
    <w:rsid w:val="30360848"/>
    <w:rsid w:val="306F73BF"/>
    <w:rsid w:val="30B37BBC"/>
    <w:rsid w:val="30CB06DF"/>
    <w:rsid w:val="30CB41A4"/>
    <w:rsid w:val="30D93AAF"/>
    <w:rsid w:val="30FE5914"/>
    <w:rsid w:val="311237E5"/>
    <w:rsid w:val="31126CA6"/>
    <w:rsid w:val="312D7973"/>
    <w:rsid w:val="31704B31"/>
    <w:rsid w:val="31732735"/>
    <w:rsid w:val="31732F1E"/>
    <w:rsid w:val="31887CEA"/>
    <w:rsid w:val="31AB7BE3"/>
    <w:rsid w:val="31CF5D95"/>
    <w:rsid w:val="329B160C"/>
    <w:rsid w:val="32B141B6"/>
    <w:rsid w:val="32B20609"/>
    <w:rsid w:val="32DF4B97"/>
    <w:rsid w:val="32F47FEA"/>
    <w:rsid w:val="3305187B"/>
    <w:rsid w:val="33300FFF"/>
    <w:rsid w:val="33402EA3"/>
    <w:rsid w:val="334F32BF"/>
    <w:rsid w:val="339F4432"/>
    <w:rsid w:val="33C60892"/>
    <w:rsid w:val="33D74031"/>
    <w:rsid w:val="33FC7A12"/>
    <w:rsid w:val="34014CC9"/>
    <w:rsid w:val="342366A3"/>
    <w:rsid w:val="34252CD9"/>
    <w:rsid w:val="34282FB3"/>
    <w:rsid w:val="343E6645"/>
    <w:rsid w:val="34557D11"/>
    <w:rsid w:val="345B4BAA"/>
    <w:rsid w:val="346239BA"/>
    <w:rsid w:val="34904EB1"/>
    <w:rsid w:val="34A535DC"/>
    <w:rsid w:val="34E37753"/>
    <w:rsid w:val="34FC0984"/>
    <w:rsid w:val="352F0F6D"/>
    <w:rsid w:val="35432C5F"/>
    <w:rsid w:val="35462624"/>
    <w:rsid w:val="35477AFE"/>
    <w:rsid w:val="354D7131"/>
    <w:rsid w:val="35EB499D"/>
    <w:rsid w:val="35F04771"/>
    <w:rsid w:val="366F397F"/>
    <w:rsid w:val="367E3FDD"/>
    <w:rsid w:val="368045CB"/>
    <w:rsid w:val="36897E4B"/>
    <w:rsid w:val="36C26C99"/>
    <w:rsid w:val="36CD55D7"/>
    <w:rsid w:val="36D137AD"/>
    <w:rsid w:val="36E6392A"/>
    <w:rsid w:val="36E95D33"/>
    <w:rsid w:val="36EF52AD"/>
    <w:rsid w:val="37372801"/>
    <w:rsid w:val="37557806"/>
    <w:rsid w:val="3762270D"/>
    <w:rsid w:val="376D13A9"/>
    <w:rsid w:val="3790083E"/>
    <w:rsid w:val="37982EDD"/>
    <w:rsid w:val="37A32B62"/>
    <w:rsid w:val="37A82D49"/>
    <w:rsid w:val="37AC2312"/>
    <w:rsid w:val="37CD3840"/>
    <w:rsid w:val="37EF0327"/>
    <w:rsid w:val="37FC7769"/>
    <w:rsid w:val="38397128"/>
    <w:rsid w:val="38465AA7"/>
    <w:rsid w:val="38526A02"/>
    <w:rsid w:val="389E3E7C"/>
    <w:rsid w:val="38B505EA"/>
    <w:rsid w:val="38E015D9"/>
    <w:rsid w:val="3947019F"/>
    <w:rsid w:val="394C31A1"/>
    <w:rsid w:val="398E34A3"/>
    <w:rsid w:val="39E401D8"/>
    <w:rsid w:val="39FD1B2E"/>
    <w:rsid w:val="39FE4185"/>
    <w:rsid w:val="3A0D3949"/>
    <w:rsid w:val="3A124B71"/>
    <w:rsid w:val="3A1461B0"/>
    <w:rsid w:val="3A465B2C"/>
    <w:rsid w:val="3A843FED"/>
    <w:rsid w:val="3A8477EC"/>
    <w:rsid w:val="3AB962FE"/>
    <w:rsid w:val="3AEA3F70"/>
    <w:rsid w:val="3B0F4170"/>
    <w:rsid w:val="3B241AF2"/>
    <w:rsid w:val="3B44206B"/>
    <w:rsid w:val="3BB573F7"/>
    <w:rsid w:val="3BC45386"/>
    <w:rsid w:val="3C21663C"/>
    <w:rsid w:val="3C314819"/>
    <w:rsid w:val="3CAD252C"/>
    <w:rsid w:val="3CE77EF0"/>
    <w:rsid w:val="3CF3147F"/>
    <w:rsid w:val="3D4F0739"/>
    <w:rsid w:val="3D9B0157"/>
    <w:rsid w:val="3DA545EB"/>
    <w:rsid w:val="3DF67CF7"/>
    <w:rsid w:val="3DF912C2"/>
    <w:rsid w:val="3E207E24"/>
    <w:rsid w:val="3E246A84"/>
    <w:rsid w:val="3E3C2C4E"/>
    <w:rsid w:val="3E535A2C"/>
    <w:rsid w:val="3E703177"/>
    <w:rsid w:val="3ECA119D"/>
    <w:rsid w:val="3ED50B0D"/>
    <w:rsid w:val="3F4B4DF6"/>
    <w:rsid w:val="3F557E69"/>
    <w:rsid w:val="3F5B1D9D"/>
    <w:rsid w:val="3F5F7F07"/>
    <w:rsid w:val="3F7604D9"/>
    <w:rsid w:val="3F8242B9"/>
    <w:rsid w:val="3F9906D5"/>
    <w:rsid w:val="3F997A91"/>
    <w:rsid w:val="3FA57926"/>
    <w:rsid w:val="3FB75C9F"/>
    <w:rsid w:val="40106D41"/>
    <w:rsid w:val="40121BF8"/>
    <w:rsid w:val="401A4615"/>
    <w:rsid w:val="403D6206"/>
    <w:rsid w:val="40442B0E"/>
    <w:rsid w:val="407248EB"/>
    <w:rsid w:val="40C52BE2"/>
    <w:rsid w:val="40CF2F41"/>
    <w:rsid w:val="40E72599"/>
    <w:rsid w:val="4108305B"/>
    <w:rsid w:val="411C2CD7"/>
    <w:rsid w:val="41266A8F"/>
    <w:rsid w:val="4134048C"/>
    <w:rsid w:val="41455F11"/>
    <w:rsid w:val="4155206A"/>
    <w:rsid w:val="417135DA"/>
    <w:rsid w:val="41C10116"/>
    <w:rsid w:val="41D103D1"/>
    <w:rsid w:val="42323E79"/>
    <w:rsid w:val="42650D7A"/>
    <w:rsid w:val="426D167A"/>
    <w:rsid w:val="427F4DF3"/>
    <w:rsid w:val="42963325"/>
    <w:rsid w:val="42B068D2"/>
    <w:rsid w:val="42B84AEC"/>
    <w:rsid w:val="42C876BA"/>
    <w:rsid w:val="430D368B"/>
    <w:rsid w:val="434B3651"/>
    <w:rsid w:val="435B1DFF"/>
    <w:rsid w:val="436F30AF"/>
    <w:rsid w:val="43985945"/>
    <w:rsid w:val="43A86F10"/>
    <w:rsid w:val="43D72DA4"/>
    <w:rsid w:val="43E02A75"/>
    <w:rsid w:val="43E178E3"/>
    <w:rsid w:val="43FC4299"/>
    <w:rsid w:val="44022AC4"/>
    <w:rsid w:val="440F7783"/>
    <w:rsid w:val="4413082D"/>
    <w:rsid w:val="44A92F3F"/>
    <w:rsid w:val="44D37370"/>
    <w:rsid w:val="44DE24E0"/>
    <w:rsid w:val="44FC39B7"/>
    <w:rsid w:val="45001F37"/>
    <w:rsid w:val="45085EB8"/>
    <w:rsid w:val="4514107C"/>
    <w:rsid w:val="45BF763D"/>
    <w:rsid w:val="461819F3"/>
    <w:rsid w:val="46680585"/>
    <w:rsid w:val="46AB6560"/>
    <w:rsid w:val="46C422B2"/>
    <w:rsid w:val="46E639AB"/>
    <w:rsid w:val="46F7465C"/>
    <w:rsid w:val="472A5A5C"/>
    <w:rsid w:val="474F6ECB"/>
    <w:rsid w:val="477041E8"/>
    <w:rsid w:val="477B5A12"/>
    <w:rsid w:val="47DE73A4"/>
    <w:rsid w:val="47FF04F8"/>
    <w:rsid w:val="48043434"/>
    <w:rsid w:val="481B33B6"/>
    <w:rsid w:val="487C1540"/>
    <w:rsid w:val="48840E1D"/>
    <w:rsid w:val="488F175D"/>
    <w:rsid w:val="48955BB2"/>
    <w:rsid w:val="48BC5937"/>
    <w:rsid w:val="48CC52F2"/>
    <w:rsid w:val="48DF3A8F"/>
    <w:rsid w:val="48EF001A"/>
    <w:rsid w:val="494A49BF"/>
    <w:rsid w:val="49532607"/>
    <w:rsid w:val="496144D7"/>
    <w:rsid w:val="49671A36"/>
    <w:rsid w:val="496D4E83"/>
    <w:rsid w:val="49757894"/>
    <w:rsid w:val="49920446"/>
    <w:rsid w:val="499A58DB"/>
    <w:rsid w:val="499A7AC1"/>
    <w:rsid w:val="499B07DC"/>
    <w:rsid w:val="49A10FA9"/>
    <w:rsid w:val="49A756D2"/>
    <w:rsid w:val="49D55CB7"/>
    <w:rsid w:val="49DD5237"/>
    <w:rsid w:val="4A1F44DC"/>
    <w:rsid w:val="4A22547A"/>
    <w:rsid w:val="4A406C6C"/>
    <w:rsid w:val="4A6872B7"/>
    <w:rsid w:val="4A706BD3"/>
    <w:rsid w:val="4A7437A5"/>
    <w:rsid w:val="4A826364"/>
    <w:rsid w:val="4A87395C"/>
    <w:rsid w:val="4AC4174A"/>
    <w:rsid w:val="4B0E3212"/>
    <w:rsid w:val="4B1F7C71"/>
    <w:rsid w:val="4B24353C"/>
    <w:rsid w:val="4B373CCC"/>
    <w:rsid w:val="4B6972A2"/>
    <w:rsid w:val="4B6D2B50"/>
    <w:rsid w:val="4B833651"/>
    <w:rsid w:val="4BAD5A0B"/>
    <w:rsid w:val="4BC613A8"/>
    <w:rsid w:val="4C1A4474"/>
    <w:rsid w:val="4C441632"/>
    <w:rsid w:val="4C8D0BB7"/>
    <w:rsid w:val="4CAD4B2B"/>
    <w:rsid w:val="4CF62906"/>
    <w:rsid w:val="4D1B28AB"/>
    <w:rsid w:val="4D334393"/>
    <w:rsid w:val="4D603840"/>
    <w:rsid w:val="4D7D083E"/>
    <w:rsid w:val="4DBA4D4C"/>
    <w:rsid w:val="4DD35FD1"/>
    <w:rsid w:val="4DE71A97"/>
    <w:rsid w:val="4E1624B5"/>
    <w:rsid w:val="4EBB5FAB"/>
    <w:rsid w:val="4EF47740"/>
    <w:rsid w:val="4F312F02"/>
    <w:rsid w:val="4F3C0A88"/>
    <w:rsid w:val="4F505FBB"/>
    <w:rsid w:val="4F526F1E"/>
    <w:rsid w:val="4F5B423C"/>
    <w:rsid w:val="4F607CA0"/>
    <w:rsid w:val="4F867ECA"/>
    <w:rsid w:val="4F94131B"/>
    <w:rsid w:val="4FA70B7B"/>
    <w:rsid w:val="4FAD78BD"/>
    <w:rsid w:val="4FD64FA7"/>
    <w:rsid w:val="4FF97842"/>
    <w:rsid w:val="4FFF3ACB"/>
    <w:rsid w:val="500B4570"/>
    <w:rsid w:val="50493828"/>
    <w:rsid w:val="505E5526"/>
    <w:rsid w:val="50651D05"/>
    <w:rsid w:val="506D39BB"/>
    <w:rsid w:val="50C23FBA"/>
    <w:rsid w:val="50D24EE2"/>
    <w:rsid w:val="50D7765D"/>
    <w:rsid w:val="50E377D9"/>
    <w:rsid w:val="512C203E"/>
    <w:rsid w:val="51340F56"/>
    <w:rsid w:val="5141286D"/>
    <w:rsid w:val="517A4396"/>
    <w:rsid w:val="51870AAC"/>
    <w:rsid w:val="519448B3"/>
    <w:rsid w:val="51C20F09"/>
    <w:rsid w:val="51CC3F66"/>
    <w:rsid w:val="51D37F37"/>
    <w:rsid w:val="52081BED"/>
    <w:rsid w:val="522B4CE1"/>
    <w:rsid w:val="522B58DB"/>
    <w:rsid w:val="52784E56"/>
    <w:rsid w:val="52B33F95"/>
    <w:rsid w:val="52C86D6D"/>
    <w:rsid w:val="52CC7C98"/>
    <w:rsid w:val="52DB10B0"/>
    <w:rsid w:val="52DE0373"/>
    <w:rsid w:val="53276FBE"/>
    <w:rsid w:val="53443F26"/>
    <w:rsid w:val="53514C51"/>
    <w:rsid w:val="535E75EB"/>
    <w:rsid w:val="53635596"/>
    <w:rsid w:val="537B5878"/>
    <w:rsid w:val="538744A6"/>
    <w:rsid w:val="538904C4"/>
    <w:rsid w:val="538D48EA"/>
    <w:rsid w:val="53AB4C56"/>
    <w:rsid w:val="53FB308C"/>
    <w:rsid w:val="54277970"/>
    <w:rsid w:val="54583F8B"/>
    <w:rsid w:val="549534CE"/>
    <w:rsid w:val="549F5583"/>
    <w:rsid w:val="54BD7044"/>
    <w:rsid w:val="54EE1313"/>
    <w:rsid w:val="54F95776"/>
    <w:rsid w:val="55061CE8"/>
    <w:rsid w:val="5529742E"/>
    <w:rsid w:val="553F6EF2"/>
    <w:rsid w:val="55785E82"/>
    <w:rsid w:val="55D30A2F"/>
    <w:rsid w:val="55E61E99"/>
    <w:rsid w:val="560A3CA7"/>
    <w:rsid w:val="56551179"/>
    <w:rsid w:val="56576C9F"/>
    <w:rsid w:val="566E1271"/>
    <w:rsid w:val="567F61F6"/>
    <w:rsid w:val="56BA2964"/>
    <w:rsid w:val="572D03F0"/>
    <w:rsid w:val="574C58A7"/>
    <w:rsid w:val="57695BB4"/>
    <w:rsid w:val="57907445"/>
    <w:rsid w:val="57C4398B"/>
    <w:rsid w:val="582D164E"/>
    <w:rsid w:val="58620909"/>
    <w:rsid w:val="58662E0A"/>
    <w:rsid w:val="586D705A"/>
    <w:rsid w:val="58787A4C"/>
    <w:rsid w:val="58957303"/>
    <w:rsid w:val="58E86CCC"/>
    <w:rsid w:val="590355BB"/>
    <w:rsid w:val="59345076"/>
    <w:rsid w:val="5945006F"/>
    <w:rsid w:val="59722B93"/>
    <w:rsid w:val="5A0A2C48"/>
    <w:rsid w:val="5A0B7279"/>
    <w:rsid w:val="5A1F3FB5"/>
    <w:rsid w:val="5A5123CC"/>
    <w:rsid w:val="5A7F0572"/>
    <w:rsid w:val="5A917564"/>
    <w:rsid w:val="5AAA4D97"/>
    <w:rsid w:val="5AB730C1"/>
    <w:rsid w:val="5AB84A44"/>
    <w:rsid w:val="5ABA3751"/>
    <w:rsid w:val="5ACC1B4C"/>
    <w:rsid w:val="5AEE56F8"/>
    <w:rsid w:val="5AFD2CAD"/>
    <w:rsid w:val="5B43189A"/>
    <w:rsid w:val="5B5A73CA"/>
    <w:rsid w:val="5BB240A9"/>
    <w:rsid w:val="5BBC254F"/>
    <w:rsid w:val="5BC17CC2"/>
    <w:rsid w:val="5C5C50EC"/>
    <w:rsid w:val="5C967DF5"/>
    <w:rsid w:val="5CD96ECD"/>
    <w:rsid w:val="5CF6644D"/>
    <w:rsid w:val="5D077E91"/>
    <w:rsid w:val="5D0B340E"/>
    <w:rsid w:val="5D120389"/>
    <w:rsid w:val="5D380EAD"/>
    <w:rsid w:val="5D4B6F3F"/>
    <w:rsid w:val="5D802AC7"/>
    <w:rsid w:val="5D865E42"/>
    <w:rsid w:val="5D987F1B"/>
    <w:rsid w:val="5DC15E33"/>
    <w:rsid w:val="5DD21F1E"/>
    <w:rsid w:val="5DD74598"/>
    <w:rsid w:val="5E15278D"/>
    <w:rsid w:val="5E2C6C63"/>
    <w:rsid w:val="5E3A47D9"/>
    <w:rsid w:val="5E47584B"/>
    <w:rsid w:val="5E4F7F20"/>
    <w:rsid w:val="5E505146"/>
    <w:rsid w:val="5E701FD1"/>
    <w:rsid w:val="5E771DDE"/>
    <w:rsid w:val="5E826A5E"/>
    <w:rsid w:val="5E910C0E"/>
    <w:rsid w:val="5E9A321D"/>
    <w:rsid w:val="5E9A6191"/>
    <w:rsid w:val="5EC833BE"/>
    <w:rsid w:val="5EFB3400"/>
    <w:rsid w:val="5F055908"/>
    <w:rsid w:val="5F182D44"/>
    <w:rsid w:val="5F816B3B"/>
    <w:rsid w:val="5FC36454"/>
    <w:rsid w:val="5FD1133F"/>
    <w:rsid w:val="603511AD"/>
    <w:rsid w:val="604C0EF7"/>
    <w:rsid w:val="605727F7"/>
    <w:rsid w:val="6068395B"/>
    <w:rsid w:val="608E59B3"/>
    <w:rsid w:val="608F5287"/>
    <w:rsid w:val="60B06F61"/>
    <w:rsid w:val="60DA0BF8"/>
    <w:rsid w:val="60DE3E31"/>
    <w:rsid w:val="60E23322"/>
    <w:rsid w:val="60F13292"/>
    <w:rsid w:val="60FF39DB"/>
    <w:rsid w:val="61080BA7"/>
    <w:rsid w:val="61142AC4"/>
    <w:rsid w:val="612C2A35"/>
    <w:rsid w:val="61637CAA"/>
    <w:rsid w:val="618A1CBE"/>
    <w:rsid w:val="619A2136"/>
    <w:rsid w:val="61B91515"/>
    <w:rsid w:val="61DD453B"/>
    <w:rsid w:val="61E1500C"/>
    <w:rsid w:val="61FA0C64"/>
    <w:rsid w:val="622D3A45"/>
    <w:rsid w:val="626C523F"/>
    <w:rsid w:val="62C835CB"/>
    <w:rsid w:val="62DE4C05"/>
    <w:rsid w:val="62FD1C6D"/>
    <w:rsid w:val="634467FD"/>
    <w:rsid w:val="634B530D"/>
    <w:rsid w:val="636D3B58"/>
    <w:rsid w:val="63A75F63"/>
    <w:rsid w:val="63B079EF"/>
    <w:rsid w:val="63E559EE"/>
    <w:rsid w:val="63FC79DC"/>
    <w:rsid w:val="641F327A"/>
    <w:rsid w:val="644D16E1"/>
    <w:rsid w:val="64634947"/>
    <w:rsid w:val="64704899"/>
    <w:rsid w:val="6475188C"/>
    <w:rsid w:val="6476048D"/>
    <w:rsid w:val="64B4350F"/>
    <w:rsid w:val="64B94068"/>
    <w:rsid w:val="64BD6867"/>
    <w:rsid w:val="64E040F7"/>
    <w:rsid w:val="64E04304"/>
    <w:rsid w:val="651C7CF6"/>
    <w:rsid w:val="652833C1"/>
    <w:rsid w:val="65404DA2"/>
    <w:rsid w:val="65473C74"/>
    <w:rsid w:val="65571D22"/>
    <w:rsid w:val="655F4C96"/>
    <w:rsid w:val="656274BA"/>
    <w:rsid w:val="656475E0"/>
    <w:rsid w:val="657101BC"/>
    <w:rsid w:val="65A041FA"/>
    <w:rsid w:val="65A3249B"/>
    <w:rsid w:val="65C14135"/>
    <w:rsid w:val="66066D42"/>
    <w:rsid w:val="660676CB"/>
    <w:rsid w:val="663B67D3"/>
    <w:rsid w:val="664663E8"/>
    <w:rsid w:val="6670757C"/>
    <w:rsid w:val="66AE558B"/>
    <w:rsid w:val="66D45117"/>
    <w:rsid w:val="66D6250D"/>
    <w:rsid w:val="670E32C8"/>
    <w:rsid w:val="67805F38"/>
    <w:rsid w:val="6792650B"/>
    <w:rsid w:val="67B22191"/>
    <w:rsid w:val="67B850C4"/>
    <w:rsid w:val="67C03A30"/>
    <w:rsid w:val="67C954CA"/>
    <w:rsid w:val="67D5325C"/>
    <w:rsid w:val="67E5475C"/>
    <w:rsid w:val="67E660D5"/>
    <w:rsid w:val="67E74EEE"/>
    <w:rsid w:val="68305D55"/>
    <w:rsid w:val="68A213B1"/>
    <w:rsid w:val="68CF27F5"/>
    <w:rsid w:val="693576B9"/>
    <w:rsid w:val="695131C0"/>
    <w:rsid w:val="697737A9"/>
    <w:rsid w:val="699C4843"/>
    <w:rsid w:val="69CF28F2"/>
    <w:rsid w:val="6A0A775E"/>
    <w:rsid w:val="6A2334BA"/>
    <w:rsid w:val="6A5C2C13"/>
    <w:rsid w:val="6AB04778"/>
    <w:rsid w:val="6ACD7C60"/>
    <w:rsid w:val="6AE5085E"/>
    <w:rsid w:val="6B130818"/>
    <w:rsid w:val="6B1F7A69"/>
    <w:rsid w:val="6B6C68F1"/>
    <w:rsid w:val="6B6E1E92"/>
    <w:rsid w:val="6B7234C0"/>
    <w:rsid w:val="6B73047C"/>
    <w:rsid w:val="6B7443F5"/>
    <w:rsid w:val="6B9B6602"/>
    <w:rsid w:val="6C275C61"/>
    <w:rsid w:val="6C492AA5"/>
    <w:rsid w:val="6C57134F"/>
    <w:rsid w:val="6C620470"/>
    <w:rsid w:val="6C6555F0"/>
    <w:rsid w:val="6C7E78AE"/>
    <w:rsid w:val="6C89739A"/>
    <w:rsid w:val="6CA50A5E"/>
    <w:rsid w:val="6CD33EE0"/>
    <w:rsid w:val="6D1C57AD"/>
    <w:rsid w:val="6D2B01C1"/>
    <w:rsid w:val="6D456D67"/>
    <w:rsid w:val="6DA379CF"/>
    <w:rsid w:val="6DE24D6B"/>
    <w:rsid w:val="6E564236"/>
    <w:rsid w:val="6ECC2670"/>
    <w:rsid w:val="6EE816DD"/>
    <w:rsid w:val="6EFA102D"/>
    <w:rsid w:val="6F407139"/>
    <w:rsid w:val="6F637B39"/>
    <w:rsid w:val="6F8C6D86"/>
    <w:rsid w:val="6F936FD4"/>
    <w:rsid w:val="700122F7"/>
    <w:rsid w:val="703F6251"/>
    <w:rsid w:val="704B55FD"/>
    <w:rsid w:val="7053007F"/>
    <w:rsid w:val="705738C5"/>
    <w:rsid w:val="705D666C"/>
    <w:rsid w:val="708D1203"/>
    <w:rsid w:val="70973C1A"/>
    <w:rsid w:val="70BA1EAD"/>
    <w:rsid w:val="70C67CCC"/>
    <w:rsid w:val="712C7150"/>
    <w:rsid w:val="713A17CC"/>
    <w:rsid w:val="72200254"/>
    <w:rsid w:val="722C3E3E"/>
    <w:rsid w:val="72640152"/>
    <w:rsid w:val="72883134"/>
    <w:rsid w:val="72961ADB"/>
    <w:rsid w:val="72EC69C4"/>
    <w:rsid w:val="72ED4AF8"/>
    <w:rsid w:val="732D0D9B"/>
    <w:rsid w:val="73527664"/>
    <w:rsid w:val="736646BD"/>
    <w:rsid w:val="736A259F"/>
    <w:rsid w:val="73C71A82"/>
    <w:rsid w:val="73D03FA4"/>
    <w:rsid w:val="73DB6B2D"/>
    <w:rsid w:val="73F4698B"/>
    <w:rsid w:val="73FFF8D2"/>
    <w:rsid w:val="740B1F99"/>
    <w:rsid w:val="741F6176"/>
    <w:rsid w:val="74322D2E"/>
    <w:rsid w:val="74582108"/>
    <w:rsid w:val="74661CFE"/>
    <w:rsid w:val="7530693F"/>
    <w:rsid w:val="7554793F"/>
    <w:rsid w:val="75686C39"/>
    <w:rsid w:val="75702964"/>
    <w:rsid w:val="757271FA"/>
    <w:rsid w:val="75815E4A"/>
    <w:rsid w:val="75841D88"/>
    <w:rsid w:val="75AE44DB"/>
    <w:rsid w:val="75C31803"/>
    <w:rsid w:val="75E01EA2"/>
    <w:rsid w:val="75E605FD"/>
    <w:rsid w:val="7624646E"/>
    <w:rsid w:val="763031D5"/>
    <w:rsid w:val="768E68C8"/>
    <w:rsid w:val="7691545E"/>
    <w:rsid w:val="769E26F3"/>
    <w:rsid w:val="76BC3FE1"/>
    <w:rsid w:val="77173AAA"/>
    <w:rsid w:val="777B2A86"/>
    <w:rsid w:val="7791148D"/>
    <w:rsid w:val="77D85615"/>
    <w:rsid w:val="77F21009"/>
    <w:rsid w:val="782A5B6A"/>
    <w:rsid w:val="783D6892"/>
    <w:rsid w:val="7871757C"/>
    <w:rsid w:val="788849AC"/>
    <w:rsid w:val="789254BD"/>
    <w:rsid w:val="78B813C8"/>
    <w:rsid w:val="78CB4ACD"/>
    <w:rsid w:val="78FB7506"/>
    <w:rsid w:val="79036F87"/>
    <w:rsid w:val="790C3183"/>
    <w:rsid w:val="796357C2"/>
    <w:rsid w:val="79690120"/>
    <w:rsid w:val="799D5DCD"/>
    <w:rsid w:val="79A91DB3"/>
    <w:rsid w:val="79BF0EC2"/>
    <w:rsid w:val="79C141B3"/>
    <w:rsid w:val="79CE07A0"/>
    <w:rsid w:val="79D51B05"/>
    <w:rsid w:val="7A1F0FD2"/>
    <w:rsid w:val="7A2F41C8"/>
    <w:rsid w:val="7A335B7B"/>
    <w:rsid w:val="7A70182E"/>
    <w:rsid w:val="7A7255A6"/>
    <w:rsid w:val="7A886FF6"/>
    <w:rsid w:val="7A8A42D7"/>
    <w:rsid w:val="7AF95411"/>
    <w:rsid w:val="7B0C5032"/>
    <w:rsid w:val="7B221BA7"/>
    <w:rsid w:val="7B685318"/>
    <w:rsid w:val="7B746E0D"/>
    <w:rsid w:val="7C10151B"/>
    <w:rsid w:val="7C2A00F9"/>
    <w:rsid w:val="7C2F7BF3"/>
    <w:rsid w:val="7C4A4A2C"/>
    <w:rsid w:val="7C78072F"/>
    <w:rsid w:val="7C8D2BE0"/>
    <w:rsid w:val="7CF0431D"/>
    <w:rsid w:val="7CF93D5D"/>
    <w:rsid w:val="7CFF6BD1"/>
    <w:rsid w:val="7D2E5C35"/>
    <w:rsid w:val="7D38205F"/>
    <w:rsid w:val="7D7B0C16"/>
    <w:rsid w:val="7D9F5831"/>
    <w:rsid w:val="7DCE39D2"/>
    <w:rsid w:val="7DD66F00"/>
    <w:rsid w:val="7DE138A1"/>
    <w:rsid w:val="7E18795F"/>
    <w:rsid w:val="7E296292"/>
    <w:rsid w:val="7E8F4771"/>
    <w:rsid w:val="7E9213E4"/>
    <w:rsid w:val="7EAA44A4"/>
    <w:rsid w:val="7EAD0948"/>
    <w:rsid w:val="7EAD5943"/>
    <w:rsid w:val="7EB54D6E"/>
    <w:rsid w:val="7ED96C58"/>
    <w:rsid w:val="7EDA1BB0"/>
    <w:rsid w:val="7F0E655C"/>
    <w:rsid w:val="7F1B0AA7"/>
    <w:rsid w:val="7F1E501B"/>
    <w:rsid w:val="7F6A6FAF"/>
    <w:rsid w:val="7F961584"/>
    <w:rsid w:val="7F9878E3"/>
    <w:rsid w:val="7FA611F7"/>
    <w:rsid w:val="7FC560EB"/>
    <w:rsid w:val="7FC71A9F"/>
    <w:rsid w:val="7FD27DD1"/>
    <w:rsid w:val="AFF974D4"/>
    <w:rsid w:val="BA7F318A"/>
    <w:rsid w:val="BBE56892"/>
    <w:rsid w:val="BF7F1916"/>
    <w:rsid w:val="DD9A9767"/>
    <w:rsid w:val="F6FD10F8"/>
    <w:rsid w:val="FF7E2B2F"/>
    <w:rsid w:val="FFEFE4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4"/>
      <w:szCs w:val="24"/>
      <w:lang w:val="en-US" w:eastAsia="zh-CN" w:bidi="ar-SA"/>
    </w:rPr>
  </w:style>
  <w:style w:type="paragraph" w:styleId="4">
    <w:name w:val="heading 1"/>
    <w:basedOn w:val="1"/>
    <w:next w:val="1"/>
    <w:link w:val="66"/>
    <w:autoRedefine/>
    <w:qFormat/>
    <w:uiPriority w:val="0"/>
    <w:pPr>
      <w:keepNext/>
      <w:keepLines/>
      <w:numPr>
        <w:ilvl w:val="0"/>
        <w:numId w:val="1"/>
      </w:numPr>
      <w:tabs>
        <w:tab w:val="left" w:pos="425"/>
      </w:tabs>
      <w:spacing w:before="340" w:after="330" w:line="360" w:lineRule="auto"/>
      <w:jc w:val="center"/>
      <w:outlineLvl w:val="0"/>
    </w:pPr>
    <w:rPr>
      <w:rFonts w:ascii="华文中宋" w:hAnsi="华文中宋" w:eastAsia="华文中宋"/>
      <w:b/>
      <w:bCs/>
      <w:color w:val="000000"/>
      <w:kern w:val="44"/>
      <w:sz w:val="32"/>
      <w:szCs w:val="32"/>
    </w:rPr>
  </w:style>
  <w:style w:type="paragraph" w:styleId="5">
    <w:name w:val="heading 2"/>
    <w:basedOn w:val="1"/>
    <w:next w:val="1"/>
    <w:autoRedefine/>
    <w:qFormat/>
    <w:uiPriority w:val="0"/>
    <w:pPr>
      <w:keepNext/>
      <w:keepLines/>
      <w:widowControl w:val="0"/>
      <w:tabs>
        <w:tab w:val="left" w:pos="720"/>
      </w:tabs>
      <w:spacing w:before="260" w:beforeLines="0" w:after="260" w:afterLines="0" w:line="360" w:lineRule="auto"/>
      <w:jc w:val="center"/>
      <w:outlineLvl w:val="1"/>
    </w:pPr>
    <w:rPr>
      <w:rFonts w:ascii="宋体" w:hAnsi="宋体" w:cs="Arial"/>
      <w:b/>
      <w:bCs/>
      <w:iCs/>
      <w:sz w:val="28"/>
      <w:szCs w:val="28"/>
    </w:rPr>
  </w:style>
  <w:style w:type="paragraph" w:styleId="6">
    <w:name w:val="heading 3"/>
    <w:basedOn w:val="1"/>
    <w:next w:val="1"/>
    <w:link w:val="67"/>
    <w:autoRedefine/>
    <w:qFormat/>
    <w:uiPriority w:val="0"/>
    <w:pPr>
      <w:keepNext/>
      <w:keepLines/>
      <w:widowControl w:val="0"/>
      <w:numPr>
        <w:ilvl w:val="2"/>
        <w:numId w:val="1"/>
      </w:numPr>
      <w:tabs>
        <w:tab w:val="left" w:pos="900"/>
        <w:tab w:val="clear" w:pos="5269"/>
      </w:tabs>
      <w:spacing w:before="260" w:beforeLines="0" w:after="260" w:afterLines="0" w:line="360" w:lineRule="auto"/>
      <w:ind w:hanging="1249"/>
      <w:jc w:val="both"/>
      <w:outlineLvl w:val="2"/>
    </w:pPr>
    <w:rPr>
      <w:rFonts w:ascii="宋体" w:hAnsi="宋体"/>
      <w:b/>
      <w:bCs/>
      <w:kern w:val="2"/>
      <w:sz w:val="28"/>
      <w:szCs w:val="28"/>
    </w:rPr>
  </w:style>
  <w:style w:type="paragraph" w:styleId="7">
    <w:name w:val="heading 4"/>
    <w:basedOn w:val="1"/>
    <w:next w:val="1"/>
    <w:link w:val="68"/>
    <w:autoRedefine/>
    <w:qFormat/>
    <w:uiPriority w:val="0"/>
    <w:pPr>
      <w:keepNext/>
      <w:spacing w:before="240" w:beforeLines="0" w:after="60" w:afterLines="0"/>
      <w:outlineLvl w:val="3"/>
    </w:pPr>
    <w:rPr>
      <w:b/>
      <w:bCs/>
      <w:sz w:val="28"/>
      <w:szCs w:val="28"/>
    </w:rPr>
  </w:style>
  <w:style w:type="paragraph" w:styleId="8">
    <w:name w:val="heading 5"/>
    <w:basedOn w:val="1"/>
    <w:next w:val="1"/>
    <w:link w:val="69"/>
    <w:autoRedefine/>
    <w:qFormat/>
    <w:uiPriority w:val="0"/>
    <w:pPr>
      <w:keepNext/>
      <w:keepLines/>
      <w:widowControl w:val="0"/>
      <w:numPr>
        <w:ilvl w:val="4"/>
        <w:numId w:val="1"/>
      </w:numPr>
      <w:autoSpaceDE w:val="0"/>
      <w:autoSpaceDN w:val="0"/>
      <w:adjustRightInd w:val="0"/>
      <w:spacing w:before="280" w:beforeLines="0" w:after="290" w:afterLines="0" w:line="374" w:lineRule="auto"/>
      <w:jc w:val="both"/>
      <w:outlineLvl w:val="4"/>
    </w:pPr>
    <w:rPr>
      <w:b/>
      <w:bCs/>
      <w:sz w:val="28"/>
      <w:szCs w:val="28"/>
    </w:rPr>
  </w:style>
  <w:style w:type="paragraph" w:styleId="9">
    <w:name w:val="heading 6"/>
    <w:basedOn w:val="1"/>
    <w:next w:val="1"/>
    <w:autoRedefine/>
    <w:qFormat/>
    <w:uiPriority w:val="0"/>
    <w:pPr>
      <w:keepNext/>
      <w:keepLines/>
      <w:widowControl w:val="0"/>
      <w:numPr>
        <w:ilvl w:val="5"/>
        <w:numId w:val="1"/>
      </w:numPr>
      <w:spacing w:before="240" w:beforeLines="0" w:after="64" w:afterLines="0" w:line="319" w:lineRule="auto"/>
      <w:jc w:val="both"/>
      <w:outlineLvl w:val="5"/>
    </w:pPr>
    <w:rPr>
      <w:rFonts w:ascii="Arial" w:hAnsi="Arial" w:eastAsia="黑体"/>
      <w:b/>
      <w:bCs/>
      <w:kern w:val="2"/>
    </w:rPr>
  </w:style>
  <w:style w:type="paragraph" w:styleId="10">
    <w:name w:val="heading 7"/>
    <w:basedOn w:val="1"/>
    <w:next w:val="1"/>
    <w:autoRedefine/>
    <w:qFormat/>
    <w:uiPriority w:val="0"/>
    <w:pPr>
      <w:keepNext/>
      <w:tabs>
        <w:tab w:val="left" w:pos="3600"/>
      </w:tabs>
      <w:spacing w:after="120" w:afterLines="0"/>
      <w:outlineLvl w:val="6"/>
    </w:pPr>
    <w:rPr>
      <w:rFonts w:ascii="Arial Narrow" w:hAnsi="Arial Narrow"/>
      <w:b/>
      <w:sz w:val="20"/>
      <w:szCs w:val="20"/>
      <w:lang w:eastAsia="en-US"/>
    </w:rPr>
  </w:style>
  <w:style w:type="paragraph" w:styleId="11">
    <w:name w:val="heading 8"/>
    <w:basedOn w:val="1"/>
    <w:next w:val="1"/>
    <w:autoRedefine/>
    <w:qFormat/>
    <w:uiPriority w:val="0"/>
    <w:pPr>
      <w:keepNext/>
      <w:keepLines/>
      <w:widowControl w:val="0"/>
      <w:spacing w:before="240" w:beforeLines="0" w:after="64" w:afterLines="0" w:line="317" w:lineRule="auto"/>
      <w:jc w:val="both"/>
      <w:outlineLvl w:val="7"/>
    </w:pPr>
    <w:rPr>
      <w:rFonts w:ascii="Arial" w:hAnsi="Arial" w:eastAsia="黑体"/>
      <w:kern w:val="2"/>
      <w:szCs w:val="20"/>
    </w:rPr>
  </w:style>
  <w:style w:type="paragraph" w:styleId="12">
    <w:name w:val="heading 9"/>
    <w:basedOn w:val="1"/>
    <w:next w:val="1"/>
    <w:autoRedefine/>
    <w:qFormat/>
    <w:uiPriority w:val="0"/>
    <w:pPr>
      <w:keepNext/>
      <w:keepLines/>
      <w:widowControl w:val="0"/>
      <w:spacing w:before="240" w:beforeLines="0" w:after="64" w:afterLines="0" w:line="317" w:lineRule="auto"/>
      <w:jc w:val="both"/>
      <w:outlineLvl w:val="8"/>
    </w:pPr>
    <w:rPr>
      <w:rFonts w:ascii="Arial" w:hAnsi="Arial" w:eastAsia="黑体"/>
      <w:kern w:val="2"/>
      <w:sz w:val="21"/>
      <w:szCs w:val="20"/>
    </w:rPr>
  </w:style>
  <w:style w:type="character" w:default="1" w:styleId="46">
    <w:name w:val="Default Paragraph Font"/>
    <w:autoRedefine/>
    <w:qFormat/>
    <w:uiPriority w:val="0"/>
  </w:style>
  <w:style w:type="table" w:default="1" w:styleId="44">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link w:val="73"/>
    <w:autoRedefine/>
    <w:qFormat/>
    <w:uiPriority w:val="0"/>
    <w:pPr>
      <w:spacing w:after="120" w:afterLines="0"/>
    </w:pPr>
  </w:style>
  <w:style w:type="paragraph" w:styleId="3">
    <w:name w:val="Body Text Indent"/>
    <w:basedOn w:val="1"/>
    <w:link w:val="65"/>
    <w:autoRedefine/>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13">
    <w:name w:val="toc 7"/>
    <w:basedOn w:val="1"/>
    <w:next w:val="1"/>
    <w:autoRedefine/>
    <w:qFormat/>
    <w:uiPriority w:val="0"/>
    <w:pPr>
      <w:widowControl w:val="0"/>
      <w:ind w:left="1080"/>
    </w:pPr>
    <w:rPr>
      <w:kern w:val="2"/>
      <w:sz w:val="18"/>
      <w:szCs w:val="20"/>
    </w:rPr>
  </w:style>
  <w:style w:type="paragraph" w:styleId="14">
    <w:name w:val="Normal Indent"/>
    <w:basedOn w:val="1"/>
    <w:link w:val="70"/>
    <w:autoRedefine/>
    <w:qFormat/>
    <w:uiPriority w:val="0"/>
    <w:pPr>
      <w:widowControl w:val="0"/>
      <w:spacing w:line="360" w:lineRule="auto"/>
      <w:ind w:firstLine="420" w:firstLineChars="200"/>
      <w:jc w:val="both"/>
    </w:pPr>
    <w:rPr>
      <w:kern w:val="2"/>
      <w:sz w:val="21"/>
    </w:rPr>
  </w:style>
  <w:style w:type="paragraph" w:styleId="15">
    <w:name w:val="caption"/>
    <w:basedOn w:val="1"/>
    <w:next w:val="1"/>
    <w:autoRedefine/>
    <w:qFormat/>
    <w:uiPriority w:val="0"/>
    <w:pPr>
      <w:widowControl w:val="0"/>
      <w:spacing w:before="152" w:beforeLines="0" w:after="160" w:afterLines="0" w:line="360" w:lineRule="auto"/>
      <w:jc w:val="both"/>
    </w:pPr>
    <w:rPr>
      <w:rFonts w:ascii="Arial" w:hAnsi="Arial" w:eastAsia="黑体"/>
      <w:kern w:val="2"/>
      <w:sz w:val="20"/>
      <w:szCs w:val="20"/>
    </w:rPr>
  </w:style>
  <w:style w:type="paragraph" w:styleId="16">
    <w:name w:val="Document Map"/>
    <w:basedOn w:val="1"/>
    <w:link w:val="71"/>
    <w:autoRedefine/>
    <w:qFormat/>
    <w:uiPriority w:val="99"/>
    <w:pPr>
      <w:shd w:val="clear" w:color="auto" w:fill="000080"/>
    </w:pPr>
    <w:rPr>
      <w:shd w:val="clear" w:color="auto" w:fill="000080"/>
    </w:rPr>
  </w:style>
  <w:style w:type="paragraph" w:styleId="17">
    <w:name w:val="annotation text"/>
    <w:basedOn w:val="1"/>
    <w:link w:val="72"/>
    <w:autoRedefine/>
    <w:qFormat/>
    <w:uiPriority w:val="0"/>
    <w:pPr>
      <w:widowControl w:val="0"/>
    </w:pPr>
    <w:rPr>
      <w:kern w:val="2"/>
      <w:sz w:val="18"/>
      <w:szCs w:val="20"/>
    </w:rPr>
  </w:style>
  <w:style w:type="paragraph" w:styleId="18">
    <w:name w:val="Salutation"/>
    <w:basedOn w:val="1"/>
    <w:next w:val="1"/>
    <w:autoRedefine/>
    <w:qFormat/>
    <w:uiPriority w:val="0"/>
    <w:pPr>
      <w:widowControl w:val="0"/>
      <w:jc w:val="both"/>
    </w:pPr>
    <w:rPr>
      <w:rFonts w:eastAsia="黑体"/>
      <w:kern w:val="2"/>
      <w:szCs w:val="20"/>
    </w:rPr>
  </w:style>
  <w:style w:type="paragraph" w:styleId="19">
    <w:name w:val="Body Text 3"/>
    <w:basedOn w:val="1"/>
    <w:autoRedefine/>
    <w:qFormat/>
    <w:uiPriority w:val="0"/>
    <w:pPr>
      <w:spacing w:after="120" w:afterLines="0"/>
    </w:pPr>
    <w:rPr>
      <w:sz w:val="16"/>
      <w:szCs w:val="16"/>
    </w:rPr>
  </w:style>
  <w:style w:type="paragraph" w:styleId="20">
    <w:name w:val="Block Text"/>
    <w:basedOn w:val="1"/>
    <w:autoRedefine/>
    <w:qFormat/>
    <w:uiPriority w:val="0"/>
    <w:pPr>
      <w:widowControl w:val="0"/>
      <w:ind w:left="-540" w:leftChars="-257" w:right="-334" w:rightChars="-159" w:firstLine="540" w:firstLineChars="180"/>
      <w:jc w:val="both"/>
    </w:pPr>
    <w:rPr>
      <w:kern w:val="2"/>
      <w:sz w:val="30"/>
    </w:rPr>
  </w:style>
  <w:style w:type="paragraph" w:styleId="21">
    <w:name w:val="toc 5"/>
    <w:basedOn w:val="1"/>
    <w:next w:val="1"/>
    <w:autoRedefine/>
    <w:qFormat/>
    <w:uiPriority w:val="0"/>
    <w:pPr>
      <w:widowControl w:val="0"/>
      <w:ind w:left="720"/>
    </w:pPr>
    <w:rPr>
      <w:kern w:val="2"/>
      <w:sz w:val="18"/>
      <w:szCs w:val="20"/>
    </w:rPr>
  </w:style>
  <w:style w:type="paragraph" w:styleId="22">
    <w:name w:val="toc 3"/>
    <w:basedOn w:val="1"/>
    <w:next w:val="1"/>
    <w:autoRedefine/>
    <w:qFormat/>
    <w:uiPriority w:val="0"/>
    <w:pPr>
      <w:widowControl w:val="0"/>
      <w:ind w:left="360"/>
    </w:pPr>
    <w:rPr>
      <w:i/>
      <w:kern w:val="2"/>
      <w:sz w:val="20"/>
      <w:szCs w:val="20"/>
    </w:rPr>
  </w:style>
  <w:style w:type="paragraph" w:styleId="23">
    <w:name w:val="Plain Text"/>
    <w:basedOn w:val="1"/>
    <w:link w:val="74"/>
    <w:autoRedefine/>
    <w:qFormat/>
    <w:uiPriority w:val="0"/>
    <w:pPr>
      <w:widowControl w:val="0"/>
      <w:autoSpaceDE w:val="0"/>
      <w:autoSpaceDN w:val="0"/>
      <w:adjustRightInd w:val="0"/>
      <w:jc w:val="both"/>
    </w:pPr>
    <w:rPr>
      <w:rFonts w:hint="eastAsia" w:ascii="宋体" w:hAnsi="Tms Rmn"/>
      <w:sz w:val="21"/>
      <w:szCs w:val="20"/>
    </w:rPr>
  </w:style>
  <w:style w:type="paragraph" w:styleId="24">
    <w:name w:val="toc 8"/>
    <w:basedOn w:val="1"/>
    <w:next w:val="1"/>
    <w:autoRedefine/>
    <w:qFormat/>
    <w:uiPriority w:val="0"/>
    <w:pPr>
      <w:widowControl w:val="0"/>
      <w:ind w:left="1260"/>
    </w:pPr>
    <w:rPr>
      <w:kern w:val="2"/>
      <w:sz w:val="18"/>
      <w:szCs w:val="20"/>
    </w:rPr>
  </w:style>
  <w:style w:type="paragraph" w:styleId="25">
    <w:name w:val="Date"/>
    <w:basedOn w:val="1"/>
    <w:next w:val="1"/>
    <w:link w:val="75"/>
    <w:autoRedefine/>
    <w:qFormat/>
    <w:uiPriority w:val="99"/>
    <w:pPr>
      <w:ind w:left="100" w:leftChars="2500"/>
    </w:pPr>
  </w:style>
  <w:style w:type="paragraph" w:styleId="26">
    <w:name w:val="Body Text Indent 2"/>
    <w:basedOn w:val="1"/>
    <w:autoRedefine/>
    <w:qFormat/>
    <w:uiPriority w:val="0"/>
    <w:pPr>
      <w:widowControl w:val="0"/>
      <w:ind w:firstLine="540" w:firstLineChars="257"/>
      <w:jc w:val="both"/>
    </w:pPr>
    <w:rPr>
      <w:kern w:val="2"/>
      <w:sz w:val="21"/>
    </w:rPr>
  </w:style>
  <w:style w:type="paragraph" w:styleId="27">
    <w:name w:val="Balloon Text"/>
    <w:basedOn w:val="1"/>
    <w:link w:val="76"/>
    <w:autoRedefine/>
    <w:qFormat/>
    <w:uiPriority w:val="99"/>
    <w:rPr>
      <w:sz w:val="18"/>
      <w:szCs w:val="18"/>
    </w:rPr>
  </w:style>
  <w:style w:type="paragraph" w:styleId="28">
    <w:name w:val="footer"/>
    <w:basedOn w:val="1"/>
    <w:link w:val="77"/>
    <w:autoRedefine/>
    <w:qFormat/>
    <w:uiPriority w:val="99"/>
    <w:pPr>
      <w:tabs>
        <w:tab w:val="center" w:pos="4153"/>
        <w:tab w:val="right" w:pos="8306"/>
      </w:tabs>
      <w:snapToGrid w:val="0"/>
    </w:pPr>
    <w:rPr>
      <w:sz w:val="18"/>
      <w:szCs w:val="18"/>
    </w:rPr>
  </w:style>
  <w:style w:type="paragraph" w:styleId="29">
    <w:name w:val="header"/>
    <w:basedOn w:val="1"/>
    <w:link w:val="78"/>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spacing w:before="120" w:beforeLines="0" w:after="120" w:afterLines="0"/>
    </w:pPr>
    <w:rPr>
      <w:b/>
      <w:bCs/>
      <w:caps/>
      <w:szCs w:val="20"/>
    </w:rPr>
  </w:style>
  <w:style w:type="paragraph" w:styleId="31">
    <w:name w:val="toc 4"/>
    <w:basedOn w:val="1"/>
    <w:next w:val="1"/>
    <w:autoRedefine/>
    <w:qFormat/>
    <w:uiPriority w:val="0"/>
    <w:pPr>
      <w:widowControl w:val="0"/>
      <w:ind w:left="540"/>
    </w:pPr>
    <w:rPr>
      <w:kern w:val="2"/>
      <w:sz w:val="18"/>
      <w:szCs w:val="20"/>
    </w:rPr>
  </w:style>
  <w:style w:type="paragraph" w:styleId="32">
    <w:name w:val="Subtitle"/>
    <w:basedOn w:val="1"/>
    <w:next w:val="1"/>
    <w:autoRedefine/>
    <w:qFormat/>
    <w:uiPriority w:val="0"/>
    <w:pPr>
      <w:widowControl w:val="0"/>
      <w:jc w:val="both"/>
    </w:pPr>
    <w:rPr>
      <w:kern w:val="2"/>
      <w:sz w:val="28"/>
      <w:szCs w:val="20"/>
    </w:rPr>
  </w:style>
  <w:style w:type="paragraph" w:styleId="33">
    <w:name w:val="toc 6"/>
    <w:basedOn w:val="1"/>
    <w:next w:val="1"/>
    <w:autoRedefine/>
    <w:qFormat/>
    <w:uiPriority w:val="0"/>
    <w:pPr>
      <w:ind w:left="1200"/>
    </w:pPr>
    <w:rPr>
      <w:sz w:val="18"/>
      <w:szCs w:val="18"/>
    </w:rPr>
  </w:style>
  <w:style w:type="paragraph" w:styleId="34">
    <w:name w:val="Body Text Indent 3"/>
    <w:basedOn w:val="1"/>
    <w:autoRedefine/>
    <w:qFormat/>
    <w:uiPriority w:val="0"/>
    <w:pPr>
      <w:widowControl w:val="0"/>
      <w:spacing w:after="120" w:afterLines="0"/>
      <w:ind w:left="420" w:leftChars="200"/>
      <w:jc w:val="both"/>
    </w:pPr>
    <w:rPr>
      <w:kern w:val="2"/>
      <w:sz w:val="16"/>
      <w:szCs w:val="16"/>
    </w:rPr>
  </w:style>
  <w:style w:type="paragraph" w:styleId="35">
    <w:name w:val="toc 2"/>
    <w:basedOn w:val="1"/>
    <w:next w:val="1"/>
    <w:autoRedefine/>
    <w:qFormat/>
    <w:uiPriority w:val="0"/>
    <w:pPr>
      <w:ind w:left="240"/>
    </w:pPr>
    <w:rPr>
      <w:smallCaps/>
      <w:szCs w:val="20"/>
    </w:rPr>
  </w:style>
  <w:style w:type="paragraph" w:styleId="36">
    <w:name w:val="toc 9"/>
    <w:basedOn w:val="1"/>
    <w:next w:val="1"/>
    <w:autoRedefine/>
    <w:qFormat/>
    <w:uiPriority w:val="0"/>
    <w:pPr>
      <w:widowControl w:val="0"/>
      <w:ind w:left="1440"/>
    </w:pPr>
    <w:rPr>
      <w:kern w:val="2"/>
      <w:sz w:val="18"/>
      <w:szCs w:val="20"/>
    </w:rPr>
  </w:style>
  <w:style w:type="paragraph" w:styleId="37">
    <w:name w:val="Body Text 2"/>
    <w:basedOn w:val="1"/>
    <w:autoRedefine/>
    <w:qFormat/>
    <w:uiPriority w:val="0"/>
    <w:pPr>
      <w:widowControl w:val="0"/>
      <w:autoSpaceDE w:val="0"/>
      <w:autoSpaceDN w:val="0"/>
      <w:adjustRightInd w:val="0"/>
      <w:spacing w:after="120" w:afterLines="0" w:line="480" w:lineRule="auto"/>
      <w:jc w:val="both"/>
    </w:pPr>
    <w:rPr>
      <w:sz w:val="21"/>
      <w:szCs w:val="21"/>
    </w:rPr>
  </w:style>
  <w:style w:type="paragraph" w:styleId="3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9">
    <w:name w:val="Normal (Web)"/>
    <w:basedOn w:val="1"/>
    <w:next w:val="1"/>
    <w:autoRedefine/>
    <w:qFormat/>
    <w:uiPriority w:val="0"/>
    <w:pPr>
      <w:spacing w:before="100" w:beforeLines="0" w:beforeAutospacing="1" w:after="100" w:afterLines="0" w:afterAutospacing="1"/>
    </w:pPr>
    <w:rPr>
      <w:rFonts w:ascii="宋体" w:hAnsi="宋体"/>
    </w:rPr>
  </w:style>
  <w:style w:type="paragraph" w:styleId="40">
    <w:name w:val="Title"/>
    <w:basedOn w:val="1"/>
    <w:next w:val="1"/>
    <w:link w:val="79"/>
    <w:autoRedefine/>
    <w:qFormat/>
    <w:uiPriority w:val="0"/>
    <w:pPr>
      <w:widowControl w:val="0"/>
      <w:spacing w:before="240" w:beforeLines="0" w:after="60" w:afterLines="0"/>
      <w:jc w:val="center"/>
      <w:outlineLvl w:val="0"/>
    </w:pPr>
    <w:rPr>
      <w:rFonts w:ascii="Cambria" w:hAnsi="Cambria"/>
      <w:b/>
      <w:bCs/>
      <w:kern w:val="2"/>
      <w:sz w:val="32"/>
      <w:szCs w:val="32"/>
    </w:rPr>
  </w:style>
  <w:style w:type="paragraph" w:styleId="41">
    <w:name w:val="annotation subject"/>
    <w:basedOn w:val="17"/>
    <w:next w:val="17"/>
    <w:link w:val="80"/>
    <w:autoRedefine/>
    <w:qFormat/>
    <w:uiPriority w:val="0"/>
    <w:rPr>
      <w:b/>
    </w:rPr>
  </w:style>
  <w:style w:type="paragraph" w:styleId="42">
    <w:name w:val="Body Text First Indent"/>
    <w:basedOn w:val="2"/>
    <w:autoRedefine/>
    <w:qFormat/>
    <w:uiPriority w:val="0"/>
    <w:pPr>
      <w:widowControl w:val="0"/>
      <w:ind w:firstLine="420" w:firstLineChars="100"/>
      <w:jc w:val="both"/>
    </w:pPr>
    <w:rPr>
      <w:rFonts w:ascii="宋体" w:hAnsi="宋体"/>
      <w:kern w:val="2"/>
      <w:sz w:val="21"/>
      <w:szCs w:val="20"/>
    </w:rPr>
  </w:style>
  <w:style w:type="paragraph" w:styleId="43">
    <w:name w:val="Body Text First Indent 2"/>
    <w:basedOn w:val="3"/>
    <w:autoRedefine/>
    <w:unhideWhenUsed/>
    <w:qFormat/>
    <w:uiPriority w:val="99"/>
    <w:pPr>
      <w:spacing w:after="120" w:line="240" w:lineRule="auto"/>
      <w:ind w:left="420" w:leftChars="200" w:firstLine="420" w:firstLineChars="200"/>
    </w:pPr>
    <w:rPr>
      <w:rFonts w:ascii="Times New Roman"/>
      <w:sz w:val="21"/>
    </w:rPr>
  </w:style>
  <w:style w:type="table" w:styleId="45">
    <w:name w:val="Table Grid"/>
    <w:basedOn w:val="4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0"/>
    <w:rPr>
      <w:b/>
    </w:rPr>
  </w:style>
  <w:style w:type="character" w:styleId="48">
    <w:name w:val="page number"/>
    <w:basedOn w:val="46"/>
    <w:autoRedefine/>
    <w:qFormat/>
    <w:uiPriority w:val="0"/>
  </w:style>
  <w:style w:type="character" w:styleId="49">
    <w:name w:val="FollowedHyperlink"/>
    <w:basedOn w:val="46"/>
    <w:autoRedefine/>
    <w:qFormat/>
    <w:uiPriority w:val="0"/>
    <w:rPr>
      <w:color w:val="741274"/>
      <w:u w:val="single"/>
    </w:rPr>
  </w:style>
  <w:style w:type="character" w:styleId="50">
    <w:name w:val="Emphasis"/>
    <w:basedOn w:val="46"/>
    <w:autoRedefine/>
    <w:qFormat/>
    <w:uiPriority w:val="20"/>
    <w:rPr>
      <w:color w:val="CC0000"/>
    </w:rPr>
  </w:style>
  <w:style w:type="character" w:styleId="51">
    <w:name w:val="HTML Definition"/>
    <w:basedOn w:val="46"/>
    <w:autoRedefine/>
    <w:unhideWhenUsed/>
    <w:qFormat/>
    <w:uiPriority w:val="99"/>
  </w:style>
  <w:style w:type="character" w:styleId="52">
    <w:name w:val="HTML Typewriter"/>
    <w:basedOn w:val="46"/>
    <w:autoRedefine/>
    <w:unhideWhenUsed/>
    <w:qFormat/>
    <w:uiPriority w:val="99"/>
    <w:rPr>
      <w:rFonts w:hint="default" w:ascii="monospace" w:hAnsi="monospace" w:eastAsia="monospace" w:cs="monospace"/>
      <w:sz w:val="20"/>
    </w:rPr>
  </w:style>
  <w:style w:type="character" w:styleId="53">
    <w:name w:val="HTML Acronym"/>
    <w:basedOn w:val="46"/>
    <w:autoRedefine/>
    <w:unhideWhenUsed/>
    <w:qFormat/>
    <w:uiPriority w:val="99"/>
  </w:style>
  <w:style w:type="character" w:styleId="54">
    <w:name w:val="HTML Variable"/>
    <w:basedOn w:val="46"/>
    <w:autoRedefine/>
    <w:unhideWhenUsed/>
    <w:qFormat/>
    <w:uiPriority w:val="99"/>
  </w:style>
  <w:style w:type="character" w:styleId="55">
    <w:name w:val="Hyperlink"/>
    <w:basedOn w:val="46"/>
    <w:autoRedefine/>
    <w:qFormat/>
    <w:uiPriority w:val="99"/>
    <w:rPr>
      <w:color w:val="0000CC"/>
      <w:u w:val="single"/>
    </w:rPr>
  </w:style>
  <w:style w:type="character" w:styleId="56">
    <w:name w:val="HTML Code"/>
    <w:basedOn w:val="46"/>
    <w:autoRedefine/>
    <w:unhideWhenUsed/>
    <w:qFormat/>
    <w:uiPriority w:val="99"/>
    <w:rPr>
      <w:rFonts w:ascii="monospace" w:hAnsi="monospace" w:eastAsia="monospace" w:cs="monospace"/>
      <w:sz w:val="20"/>
    </w:rPr>
  </w:style>
  <w:style w:type="character" w:styleId="57">
    <w:name w:val="annotation reference"/>
    <w:autoRedefine/>
    <w:qFormat/>
    <w:uiPriority w:val="0"/>
    <w:rPr>
      <w:sz w:val="21"/>
    </w:rPr>
  </w:style>
  <w:style w:type="character" w:styleId="58">
    <w:name w:val="HTML Cite"/>
    <w:basedOn w:val="46"/>
    <w:autoRedefine/>
    <w:unhideWhenUsed/>
    <w:qFormat/>
    <w:uiPriority w:val="99"/>
    <w:rPr>
      <w:color w:val="008000"/>
    </w:rPr>
  </w:style>
  <w:style w:type="character" w:styleId="59">
    <w:name w:val="HTML Keyboard"/>
    <w:basedOn w:val="46"/>
    <w:autoRedefine/>
    <w:unhideWhenUsed/>
    <w:qFormat/>
    <w:uiPriority w:val="99"/>
    <w:rPr>
      <w:rFonts w:hint="default" w:ascii="monospace" w:hAnsi="monospace" w:eastAsia="monospace" w:cs="monospace"/>
      <w:sz w:val="20"/>
    </w:rPr>
  </w:style>
  <w:style w:type="character" w:styleId="60">
    <w:name w:val="HTML Sample"/>
    <w:basedOn w:val="46"/>
    <w:autoRedefine/>
    <w:unhideWhenUsed/>
    <w:qFormat/>
    <w:uiPriority w:val="99"/>
    <w:rPr>
      <w:rFonts w:hint="default" w:ascii="monospace" w:hAnsi="monospace" w:eastAsia="monospace" w:cs="monospace"/>
    </w:rPr>
  </w:style>
  <w:style w:type="paragraph" w:customStyle="1" w:styleId="61">
    <w:name w:val="一级条标题"/>
    <w:basedOn w:val="62"/>
    <w:next w:val="63"/>
    <w:autoRedefine/>
    <w:qFormat/>
    <w:uiPriority w:val="99"/>
    <w:pPr>
      <w:spacing w:line="240" w:lineRule="auto"/>
      <w:ind w:left="420"/>
      <w:outlineLvl w:val="2"/>
    </w:pPr>
  </w:style>
  <w:style w:type="paragraph" w:customStyle="1" w:styleId="62">
    <w:name w:val="章标题"/>
    <w:next w:val="1"/>
    <w:autoRedefine/>
    <w:qFormat/>
    <w:uiPriority w:val="99"/>
    <w:pPr>
      <w:spacing w:line="360" w:lineRule="auto"/>
      <w:jc w:val="both"/>
      <w:outlineLvl w:val="1"/>
    </w:pPr>
    <w:rPr>
      <w:rFonts w:ascii="黑体" w:hAnsi="Calibri" w:eastAsia="黑体" w:cs="黑体"/>
      <w:sz w:val="21"/>
      <w:szCs w:val="21"/>
      <w:lang w:val="en-US" w:eastAsia="zh-CN" w:bidi="ar-SA"/>
    </w:rPr>
  </w:style>
  <w:style w:type="paragraph" w:customStyle="1" w:styleId="63">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
    <w:name w:val="文档正文"/>
    <w:basedOn w:val="1"/>
    <w:autoRedefine/>
    <w:qFormat/>
    <w:uiPriority w:val="0"/>
    <w:pPr>
      <w:widowControl w:val="0"/>
      <w:adjustRightInd w:val="0"/>
      <w:spacing w:line="312" w:lineRule="atLeast"/>
      <w:ind w:firstLine="567"/>
      <w:jc w:val="both"/>
      <w:textAlignment w:val="baseline"/>
    </w:pPr>
    <w:rPr>
      <w:rFonts w:ascii="长城仿宋" w:eastAsia="长城仿宋"/>
      <w:sz w:val="28"/>
      <w:szCs w:val="20"/>
    </w:rPr>
  </w:style>
  <w:style w:type="character" w:customStyle="1" w:styleId="65">
    <w:name w:val="正文文本缩进 Char"/>
    <w:link w:val="3"/>
    <w:autoRedefine/>
    <w:qFormat/>
    <w:uiPriority w:val="0"/>
    <w:rPr>
      <w:rFonts w:ascii="宋体" w:eastAsia="宋体"/>
      <w:sz w:val="30"/>
      <w:szCs w:val="24"/>
      <w:lang w:val="en-US" w:eastAsia="zh-CN" w:bidi="ar-SA"/>
    </w:rPr>
  </w:style>
  <w:style w:type="character" w:customStyle="1" w:styleId="66">
    <w:name w:val="标题 1 Char"/>
    <w:link w:val="4"/>
    <w:autoRedefine/>
    <w:qFormat/>
    <w:uiPriority w:val="0"/>
    <w:rPr>
      <w:rFonts w:ascii="华文中宋" w:hAnsi="华文中宋" w:eastAsia="华文中宋"/>
      <w:b/>
      <w:bCs/>
      <w:color w:val="000000"/>
      <w:kern w:val="44"/>
      <w:sz w:val="32"/>
      <w:szCs w:val="32"/>
    </w:rPr>
  </w:style>
  <w:style w:type="character" w:customStyle="1" w:styleId="67">
    <w:name w:val="标题 3 Char"/>
    <w:link w:val="6"/>
    <w:autoRedefine/>
    <w:qFormat/>
    <w:uiPriority w:val="0"/>
    <w:rPr>
      <w:rFonts w:ascii="宋体" w:hAnsi="宋体" w:eastAsia="宋体"/>
      <w:b/>
      <w:bCs/>
      <w:kern w:val="2"/>
      <w:sz w:val="28"/>
      <w:szCs w:val="28"/>
      <w:lang w:val="en-US" w:eastAsia="zh-CN" w:bidi="ar-SA"/>
    </w:rPr>
  </w:style>
  <w:style w:type="character" w:customStyle="1" w:styleId="68">
    <w:name w:val="标题 4 Char"/>
    <w:link w:val="7"/>
    <w:autoRedefine/>
    <w:qFormat/>
    <w:uiPriority w:val="0"/>
    <w:rPr>
      <w:rFonts w:eastAsia="宋体"/>
      <w:b/>
      <w:bCs/>
      <w:sz w:val="28"/>
      <w:szCs w:val="28"/>
      <w:lang w:val="en-US" w:eastAsia="zh-CN" w:bidi="ar-SA"/>
    </w:rPr>
  </w:style>
  <w:style w:type="character" w:customStyle="1" w:styleId="69">
    <w:name w:val="标题 5 Char"/>
    <w:link w:val="8"/>
    <w:autoRedefine/>
    <w:qFormat/>
    <w:uiPriority w:val="0"/>
    <w:rPr>
      <w:rFonts w:eastAsia="宋体"/>
      <w:b/>
      <w:bCs/>
      <w:sz w:val="28"/>
      <w:szCs w:val="28"/>
      <w:lang w:val="en-US" w:eastAsia="zh-CN" w:bidi="ar-SA"/>
    </w:rPr>
  </w:style>
  <w:style w:type="character" w:customStyle="1" w:styleId="70">
    <w:name w:val="正文缩进 Char"/>
    <w:link w:val="14"/>
    <w:autoRedefine/>
    <w:qFormat/>
    <w:uiPriority w:val="0"/>
    <w:rPr>
      <w:rFonts w:eastAsia="宋体"/>
      <w:kern w:val="2"/>
      <w:sz w:val="21"/>
      <w:szCs w:val="24"/>
      <w:lang w:val="en-US" w:eastAsia="zh-CN" w:bidi="ar-SA"/>
    </w:rPr>
  </w:style>
  <w:style w:type="character" w:customStyle="1" w:styleId="71">
    <w:name w:val="文档结构图 Char"/>
    <w:link w:val="16"/>
    <w:autoRedefine/>
    <w:qFormat/>
    <w:uiPriority w:val="99"/>
    <w:rPr>
      <w:sz w:val="24"/>
      <w:szCs w:val="24"/>
      <w:shd w:val="clear" w:color="auto" w:fill="000080"/>
    </w:rPr>
  </w:style>
  <w:style w:type="character" w:customStyle="1" w:styleId="72">
    <w:name w:val="批注文字 Char"/>
    <w:link w:val="17"/>
    <w:autoRedefine/>
    <w:qFormat/>
    <w:uiPriority w:val="0"/>
    <w:rPr>
      <w:kern w:val="2"/>
      <w:sz w:val="18"/>
    </w:rPr>
  </w:style>
  <w:style w:type="character" w:customStyle="1" w:styleId="73">
    <w:name w:val="正文文本 Char"/>
    <w:link w:val="2"/>
    <w:autoRedefine/>
    <w:qFormat/>
    <w:uiPriority w:val="0"/>
    <w:rPr>
      <w:sz w:val="24"/>
      <w:szCs w:val="24"/>
    </w:rPr>
  </w:style>
  <w:style w:type="character" w:customStyle="1" w:styleId="74">
    <w:name w:val="纯文本 Char"/>
    <w:link w:val="23"/>
    <w:autoRedefine/>
    <w:qFormat/>
    <w:uiPriority w:val="0"/>
    <w:rPr>
      <w:rFonts w:hint="eastAsia" w:ascii="宋体" w:hAnsi="Tms Rmn" w:eastAsia="宋体"/>
      <w:sz w:val="21"/>
      <w:lang w:val="en-US" w:eastAsia="zh-CN"/>
    </w:rPr>
  </w:style>
  <w:style w:type="character" w:customStyle="1" w:styleId="75">
    <w:name w:val="日期 Char"/>
    <w:link w:val="25"/>
    <w:autoRedefine/>
    <w:qFormat/>
    <w:uiPriority w:val="99"/>
    <w:rPr>
      <w:rFonts w:eastAsia="宋体"/>
      <w:sz w:val="24"/>
      <w:szCs w:val="24"/>
      <w:lang w:val="en-US" w:eastAsia="zh-CN" w:bidi="ar-SA"/>
    </w:rPr>
  </w:style>
  <w:style w:type="character" w:customStyle="1" w:styleId="76">
    <w:name w:val="批注框文本 Char"/>
    <w:link w:val="27"/>
    <w:autoRedefine/>
    <w:qFormat/>
    <w:uiPriority w:val="99"/>
    <w:rPr>
      <w:sz w:val="18"/>
      <w:szCs w:val="18"/>
    </w:rPr>
  </w:style>
  <w:style w:type="character" w:customStyle="1" w:styleId="77">
    <w:name w:val="页脚 Char"/>
    <w:link w:val="28"/>
    <w:autoRedefine/>
    <w:qFormat/>
    <w:locked/>
    <w:uiPriority w:val="99"/>
    <w:rPr>
      <w:sz w:val="18"/>
      <w:szCs w:val="18"/>
    </w:rPr>
  </w:style>
  <w:style w:type="character" w:customStyle="1" w:styleId="78">
    <w:name w:val="页眉 Char"/>
    <w:link w:val="29"/>
    <w:autoRedefine/>
    <w:qFormat/>
    <w:uiPriority w:val="99"/>
    <w:rPr>
      <w:rFonts w:eastAsia="宋体"/>
      <w:sz w:val="18"/>
      <w:szCs w:val="18"/>
      <w:lang w:val="en-US" w:eastAsia="zh-CN" w:bidi="ar-SA"/>
    </w:rPr>
  </w:style>
  <w:style w:type="character" w:customStyle="1" w:styleId="79">
    <w:name w:val="标题 Char"/>
    <w:link w:val="40"/>
    <w:autoRedefine/>
    <w:qFormat/>
    <w:uiPriority w:val="0"/>
    <w:rPr>
      <w:rFonts w:ascii="Cambria" w:hAnsi="Cambria"/>
      <w:b/>
      <w:bCs/>
      <w:kern w:val="2"/>
      <w:sz w:val="32"/>
      <w:szCs w:val="32"/>
    </w:rPr>
  </w:style>
  <w:style w:type="character" w:customStyle="1" w:styleId="80">
    <w:name w:val="批注主题 Char"/>
    <w:link w:val="41"/>
    <w:autoRedefine/>
    <w:qFormat/>
    <w:uiPriority w:val="0"/>
    <w:rPr>
      <w:b/>
      <w:kern w:val="2"/>
      <w:sz w:val="18"/>
    </w:rPr>
  </w:style>
  <w:style w:type="character" w:customStyle="1" w:styleId="81">
    <w:name w:val="fo Char"/>
    <w:autoRedefine/>
    <w:qFormat/>
    <w:uiPriority w:val="0"/>
    <w:rPr>
      <w:rFonts w:eastAsia="宋体"/>
      <w:kern w:val="2"/>
      <w:sz w:val="18"/>
      <w:lang w:bidi="ar-SA"/>
    </w:rPr>
  </w:style>
  <w:style w:type="character" w:customStyle="1" w:styleId="82">
    <w:name w:val="纯文本 Char Char"/>
    <w:autoRedefine/>
    <w:qFormat/>
    <w:uiPriority w:val="0"/>
    <w:rPr>
      <w:rFonts w:ascii="宋体" w:hAnsi="Tms Rmn" w:eastAsia="宋体" w:cs="宋体"/>
      <w:sz w:val="21"/>
      <w:szCs w:val="21"/>
      <w:lang w:val="en-US" w:eastAsia="zh-CN" w:bidi="ar-SA"/>
    </w:rPr>
  </w:style>
  <w:style w:type="character" w:customStyle="1" w:styleId="83">
    <w:name w:val="h5-1 Char Char"/>
    <w:link w:val="84"/>
    <w:autoRedefine/>
    <w:qFormat/>
    <w:uiPriority w:val="0"/>
    <w:rPr>
      <w:rFonts w:ascii="Arial" w:hAnsi="Arial" w:eastAsia="仿宋_GB2312" w:cs="Arial"/>
      <w:b/>
      <w:bCs/>
      <w:kern w:val="2"/>
      <w:sz w:val="24"/>
      <w:szCs w:val="28"/>
      <w:lang w:val="en-US" w:eastAsia="zh-CN" w:bidi="ar-SA"/>
    </w:rPr>
  </w:style>
  <w:style w:type="paragraph" w:customStyle="1" w:styleId="84">
    <w:name w:val="h5-1"/>
    <w:basedOn w:val="8"/>
    <w:link w:val="83"/>
    <w:autoRedefine/>
    <w:qFormat/>
    <w:uiPriority w:val="0"/>
    <w:pPr>
      <w:numPr>
        <w:ilvl w:val="0"/>
        <w:numId w:val="2"/>
      </w:numPr>
      <w:tabs>
        <w:tab w:val="clear" w:pos="4832"/>
      </w:tabs>
      <w:autoSpaceDE/>
      <w:autoSpaceDN/>
      <w:snapToGrid w:val="0"/>
      <w:spacing w:before="80" w:beforeLines="0" w:after="80" w:afterLines="0" w:line="360" w:lineRule="auto"/>
      <w:ind w:leftChars="200"/>
    </w:pPr>
    <w:rPr>
      <w:rFonts w:ascii="Arial" w:hAnsi="Arial" w:eastAsia="仿宋_GB2312" w:cs="Arial"/>
      <w:kern w:val="2"/>
      <w:sz w:val="24"/>
    </w:rPr>
  </w:style>
  <w:style w:type="character" w:customStyle="1" w:styleId="85">
    <w:name w:val="标题 3 Char Char Char"/>
    <w:autoRedefine/>
    <w:qFormat/>
    <w:uiPriority w:val="0"/>
    <w:rPr>
      <w:rFonts w:eastAsia="宋体"/>
      <w:b/>
      <w:kern w:val="2"/>
      <w:sz w:val="32"/>
      <w:lang w:val="en-US" w:eastAsia="zh-CN" w:bidi="ar-SA"/>
    </w:rPr>
  </w:style>
  <w:style w:type="character" w:customStyle="1" w:styleId="86">
    <w:name w:val="page-cur"/>
    <w:basedOn w:val="46"/>
    <w:autoRedefine/>
    <w:qFormat/>
    <w:uiPriority w:val="0"/>
    <w:rPr>
      <w:b/>
      <w:color w:val="333333"/>
      <w:bdr w:val="single" w:color="E5E5E5" w:sz="6" w:space="0"/>
      <w:shd w:val="clear" w:color="auto" w:fill="F2F2F2"/>
    </w:rPr>
  </w:style>
  <w:style w:type="character" w:customStyle="1" w:styleId="87">
    <w:name w:val="标题2 Char"/>
    <w:autoRedefine/>
    <w:qFormat/>
    <w:uiPriority w:val="0"/>
    <w:rPr>
      <w:rFonts w:eastAsia="宋体"/>
      <w:sz w:val="24"/>
    </w:rPr>
  </w:style>
  <w:style w:type="character" w:customStyle="1" w:styleId="88">
    <w:name w:val="CD正文 Char Char"/>
    <w:link w:val="89"/>
    <w:autoRedefine/>
    <w:qFormat/>
    <w:uiPriority w:val="0"/>
    <w:rPr>
      <w:rFonts w:eastAsia="宋体"/>
      <w:kern w:val="2"/>
      <w:sz w:val="30"/>
      <w:szCs w:val="28"/>
      <w:lang w:val="en-US" w:eastAsia="zh-CN" w:bidi="ar-SA"/>
    </w:rPr>
  </w:style>
  <w:style w:type="paragraph" w:customStyle="1" w:styleId="89">
    <w:name w:val="CD正文"/>
    <w:basedOn w:val="1"/>
    <w:link w:val="88"/>
    <w:autoRedefine/>
    <w:qFormat/>
    <w:uiPriority w:val="0"/>
    <w:pPr>
      <w:widowControl w:val="0"/>
      <w:spacing w:line="360" w:lineRule="auto"/>
      <w:ind w:firstLine="493"/>
      <w:jc w:val="both"/>
    </w:pPr>
    <w:rPr>
      <w:kern w:val="2"/>
      <w:sz w:val="30"/>
      <w:szCs w:val="28"/>
    </w:rPr>
  </w:style>
  <w:style w:type="character" w:customStyle="1" w:styleId="90">
    <w:name w:val="huei12b1"/>
    <w:autoRedefine/>
    <w:qFormat/>
    <w:uiPriority w:val="0"/>
    <w:rPr>
      <w:b/>
      <w:bCs/>
      <w:color w:val="333333"/>
      <w:sz w:val="18"/>
      <w:szCs w:val="18"/>
    </w:rPr>
  </w:style>
  <w:style w:type="character" w:customStyle="1" w:styleId="91">
    <w:name w:val=" Char Char4"/>
    <w:autoRedefine/>
    <w:qFormat/>
    <w:uiPriority w:val="0"/>
    <w:rPr>
      <w:rFonts w:ascii="宋体" w:hAnsi="Courier New" w:eastAsia="宋体"/>
      <w:kern w:val="2"/>
      <w:sz w:val="21"/>
      <w:lang w:val="en-US" w:eastAsia="zh-CN"/>
    </w:rPr>
  </w:style>
  <w:style w:type="character" w:customStyle="1" w:styleId="92">
    <w:name w:val="grame"/>
    <w:basedOn w:val="46"/>
    <w:autoRedefine/>
    <w:qFormat/>
    <w:uiPriority w:val="0"/>
  </w:style>
  <w:style w:type="character" w:customStyle="1" w:styleId="93">
    <w:name w:val="small"/>
    <w:basedOn w:val="46"/>
    <w:autoRedefine/>
    <w:qFormat/>
    <w:uiPriority w:val="0"/>
  </w:style>
  <w:style w:type="character" w:customStyle="1" w:styleId="94">
    <w:name w:val="标书（正文） Char Char"/>
    <w:link w:val="95"/>
    <w:autoRedefine/>
    <w:qFormat/>
    <w:uiPriority w:val="0"/>
    <w:rPr>
      <w:rFonts w:ascii="宋体" w:hAnsi="宋体" w:eastAsia="宋体"/>
      <w:b/>
      <w:kern w:val="10"/>
      <w:sz w:val="21"/>
      <w:lang w:val="en-US" w:eastAsia="zh-CN" w:bidi="ar-SA"/>
    </w:rPr>
  </w:style>
  <w:style w:type="paragraph" w:customStyle="1" w:styleId="95">
    <w:name w:val="标书（正文）"/>
    <w:basedOn w:val="1"/>
    <w:link w:val="94"/>
    <w:autoRedefine/>
    <w:qFormat/>
    <w:uiPriority w:val="0"/>
    <w:pPr>
      <w:widowControl w:val="0"/>
      <w:spacing w:line="360" w:lineRule="auto"/>
      <w:ind w:firstLine="560" w:firstLineChars="200"/>
      <w:jc w:val="both"/>
    </w:pPr>
    <w:rPr>
      <w:rFonts w:ascii="宋体" w:hAnsi="宋体"/>
      <w:b/>
      <w:kern w:val="10"/>
      <w:sz w:val="21"/>
      <w:szCs w:val="20"/>
    </w:rPr>
  </w:style>
  <w:style w:type="character" w:customStyle="1" w:styleId="96">
    <w:name w:val="fontblank12"/>
    <w:basedOn w:val="46"/>
    <w:autoRedefine/>
    <w:qFormat/>
    <w:uiPriority w:val="0"/>
  </w:style>
  <w:style w:type="character" w:customStyle="1" w:styleId="97">
    <w:name w:val=" Char1 Char Char"/>
    <w:autoRedefine/>
    <w:qFormat/>
    <w:uiPriority w:val="0"/>
    <w:rPr>
      <w:rFonts w:ascii="宋体" w:hAnsi="Courier New" w:eastAsia="宋体"/>
      <w:kern w:val="2"/>
      <w:sz w:val="24"/>
      <w:lang w:val="en-US" w:eastAsia="zh-CN" w:bidi="ar-SA"/>
    </w:rPr>
  </w:style>
  <w:style w:type="character" w:customStyle="1" w:styleId="98">
    <w:name w:val="style61"/>
    <w:autoRedefine/>
    <w:qFormat/>
    <w:uiPriority w:val="0"/>
    <w:rPr>
      <w:rFonts w:hint="default" w:ascii="Arial" w:hAnsi="Arial" w:cs="Arial"/>
      <w:color w:val="003399"/>
      <w:sz w:val="18"/>
      <w:szCs w:val="18"/>
    </w:rPr>
  </w:style>
  <w:style w:type="character" w:customStyle="1" w:styleId="99">
    <w:name w:val="标题 2 Char"/>
    <w:autoRedefine/>
    <w:qFormat/>
    <w:uiPriority w:val="0"/>
    <w:rPr>
      <w:rFonts w:ascii="Arial" w:hAnsi="Arial"/>
      <w:b/>
      <w:sz w:val="28"/>
    </w:rPr>
  </w:style>
  <w:style w:type="character" w:customStyle="1" w:styleId="100">
    <w:name w:val="font31"/>
    <w:basedOn w:val="46"/>
    <w:autoRedefine/>
    <w:qFormat/>
    <w:uiPriority w:val="0"/>
    <w:rPr>
      <w:rFonts w:hint="eastAsia" w:ascii="宋体" w:hAnsi="宋体" w:eastAsia="宋体" w:cs="宋体"/>
      <w:color w:val="FF0000"/>
      <w:sz w:val="24"/>
      <w:szCs w:val="24"/>
      <w:u w:val="none"/>
    </w:rPr>
  </w:style>
  <w:style w:type="character" w:customStyle="1" w:styleId="101">
    <w:name w:val="textnorm_chn1"/>
    <w:autoRedefine/>
    <w:qFormat/>
    <w:uiPriority w:val="0"/>
    <w:rPr>
      <w:rFonts w:hint="default" w:ascii="Arial" w:hAnsi="Arial" w:cs="Arial"/>
      <w:color w:val="21254A"/>
      <w:sz w:val="22"/>
      <w:szCs w:val="22"/>
    </w:rPr>
  </w:style>
  <w:style w:type="character" w:customStyle="1" w:styleId="102">
    <w:name w:val="productdetailname"/>
    <w:basedOn w:val="46"/>
    <w:autoRedefine/>
    <w:qFormat/>
    <w:uiPriority w:val="0"/>
  </w:style>
  <w:style w:type="character" w:customStyle="1" w:styleId="103">
    <w:name w:val="页眉 Char1"/>
    <w:autoRedefine/>
    <w:semiHidden/>
    <w:qFormat/>
    <w:uiPriority w:val="99"/>
    <w:rPr>
      <w:rFonts w:ascii="Calibri" w:hAnsi="Calibri" w:eastAsia="仿宋_GB2312" w:cs="Times New Roman"/>
      <w:sz w:val="18"/>
      <w:szCs w:val="18"/>
    </w:rPr>
  </w:style>
  <w:style w:type="character" w:customStyle="1" w:styleId="104">
    <w:name w:val="font21"/>
    <w:basedOn w:val="46"/>
    <w:autoRedefine/>
    <w:qFormat/>
    <w:uiPriority w:val="0"/>
    <w:rPr>
      <w:rFonts w:hint="default" w:ascii="思源宋体 CN" w:hAnsi="思源宋体 CN" w:eastAsia="思源宋体 CN" w:cs="思源宋体 CN"/>
      <w:color w:val="FF0000"/>
      <w:sz w:val="24"/>
      <w:szCs w:val="24"/>
      <w:u w:val="none"/>
    </w:rPr>
  </w:style>
  <w:style w:type="character" w:customStyle="1" w:styleId="105">
    <w:name w:val="unnamed31"/>
    <w:autoRedefine/>
    <w:qFormat/>
    <w:uiPriority w:val="0"/>
    <w:rPr>
      <w:sz w:val="22"/>
      <w:szCs w:val="22"/>
    </w:rPr>
  </w:style>
  <w:style w:type="character" w:customStyle="1" w:styleId="106">
    <w:name w:val="headline-content2"/>
    <w:basedOn w:val="46"/>
    <w:autoRedefine/>
    <w:qFormat/>
    <w:uiPriority w:val="0"/>
  </w:style>
  <w:style w:type="character" w:customStyle="1" w:styleId="107">
    <w:name w:val="批注框文本 Char1"/>
    <w:autoRedefine/>
    <w:semiHidden/>
    <w:qFormat/>
    <w:uiPriority w:val="99"/>
    <w:rPr>
      <w:rFonts w:ascii="Calibri" w:hAnsi="Calibri" w:eastAsia="仿宋_GB2312" w:cs="Times New Roman"/>
      <w:sz w:val="18"/>
      <w:szCs w:val="18"/>
    </w:rPr>
  </w:style>
  <w:style w:type="character" w:customStyle="1" w:styleId="108">
    <w:name w:val="huei12b"/>
    <w:basedOn w:val="46"/>
    <w:autoRedefine/>
    <w:qFormat/>
    <w:uiPriority w:val="0"/>
  </w:style>
  <w:style w:type="character" w:customStyle="1" w:styleId="109">
    <w:name w:val="WW8Num9z0"/>
    <w:autoRedefine/>
    <w:qFormat/>
    <w:uiPriority w:val="0"/>
    <w:rPr>
      <w:rFonts w:ascii="Wingdings" w:hAnsi="Wingdings"/>
    </w:rPr>
  </w:style>
  <w:style w:type="character" w:customStyle="1" w:styleId="110">
    <w:name w:val="magic-list1"/>
    <w:autoRedefine/>
    <w:qFormat/>
    <w:uiPriority w:val="0"/>
    <w:rPr>
      <w:rFonts w:hint="default" w:ascii="ˎ̥" w:hAnsi="ˎ̥"/>
      <w:color w:val="000000"/>
      <w:sz w:val="20"/>
      <w:u w:val="none"/>
    </w:rPr>
  </w:style>
  <w:style w:type="character" w:customStyle="1" w:styleId="111">
    <w:name w:val=" Char1 Char Char1"/>
    <w:autoRedefine/>
    <w:qFormat/>
    <w:uiPriority w:val="0"/>
    <w:rPr>
      <w:rFonts w:ascii="宋体" w:hAnsi="Courier New" w:eastAsia="宋体"/>
      <w:kern w:val="2"/>
      <w:sz w:val="24"/>
      <w:lang w:val="en-US" w:eastAsia="zh-CN" w:bidi="ar-SA"/>
    </w:rPr>
  </w:style>
  <w:style w:type="character" w:customStyle="1" w:styleId="112">
    <w:name w:val="Char Char1"/>
    <w:autoRedefine/>
    <w:qFormat/>
    <w:uiPriority w:val="0"/>
    <w:rPr>
      <w:rFonts w:ascii="宋体" w:hAnsi="Courier New" w:eastAsia="宋体"/>
      <w:kern w:val="2"/>
      <w:sz w:val="21"/>
      <w:szCs w:val="21"/>
      <w:lang w:bidi="ar-SA"/>
    </w:rPr>
  </w:style>
  <w:style w:type="character" w:customStyle="1" w:styleId="113">
    <w:name w:val="h4-1 Char Char"/>
    <w:link w:val="114"/>
    <w:autoRedefine/>
    <w:qFormat/>
    <w:uiPriority w:val="0"/>
    <w:rPr>
      <w:rFonts w:ascii="Arial" w:hAnsi="Arial" w:eastAsia="仿宋_GB2312" w:cs="Arial"/>
      <w:b/>
      <w:bCs/>
      <w:kern w:val="2"/>
      <w:sz w:val="28"/>
      <w:szCs w:val="28"/>
      <w:lang w:val="zh-CN" w:eastAsia="zh-CN" w:bidi="ar-SA"/>
    </w:rPr>
  </w:style>
  <w:style w:type="paragraph" w:customStyle="1" w:styleId="114">
    <w:name w:val="h4-1"/>
    <w:basedOn w:val="7"/>
    <w:link w:val="113"/>
    <w:autoRedefine/>
    <w:qFormat/>
    <w:uiPriority w:val="0"/>
    <w:pPr>
      <w:keepLines/>
      <w:widowControl w:val="0"/>
      <w:numPr>
        <w:ilvl w:val="0"/>
        <w:numId w:val="3"/>
      </w:numPr>
      <w:spacing w:before="156" w:beforeLines="50" w:after="156" w:afterLines="50"/>
      <w:ind w:leftChars="200" w:right="420" w:rightChars="200"/>
      <w:jc w:val="both"/>
    </w:pPr>
    <w:rPr>
      <w:rFonts w:ascii="Arial" w:hAnsi="Arial" w:eastAsia="仿宋_GB2312" w:cs="Arial"/>
      <w:kern w:val="2"/>
      <w:lang w:val="zh-CN"/>
    </w:rPr>
  </w:style>
  <w:style w:type="character" w:customStyle="1" w:styleId="115">
    <w:name w:val="style31"/>
    <w:autoRedefine/>
    <w:qFormat/>
    <w:uiPriority w:val="0"/>
    <w:rPr>
      <w:rFonts w:hint="default" w:ascii="Arial" w:hAnsi="Arial" w:cs="Arial"/>
      <w:b/>
      <w:bCs/>
      <w:sz w:val="21"/>
      <w:szCs w:val="21"/>
    </w:rPr>
  </w:style>
  <w:style w:type="character" w:customStyle="1" w:styleId="116">
    <w:name w:val="h Char"/>
    <w:autoRedefine/>
    <w:qFormat/>
    <w:uiPriority w:val="0"/>
    <w:rPr>
      <w:rFonts w:eastAsia="仿宋_GB2312"/>
      <w:kern w:val="2"/>
      <w:sz w:val="18"/>
      <w:szCs w:val="18"/>
      <w:lang w:val="en-US" w:eastAsia="zh-CN" w:bidi="ar-SA"/>
    </w:rPr>
  </w:style>
  <w:style w:type="character" w:customStyle="1" w:styleId="117">
    <w:name w:val="正文首行缩进两字符 Char Char"/>
    <w:autoRedefine/>
    <w:qFormat/>
    <w:uiPriority w:val="0"/>
    <w:rPr>
      <w:rFonts w:eastAsia="宋体"/>
      <w:kern w:val="2"/>
      <w:sz w:val="21"/>
      <w:szCs w:val="24"/>
      <w:lang w:val="en-US" w:eastAsia="zh-CN" w:bidi="ar-SA"/>
    </w:rPr>
  </w:style>
  <w:style w:type="character" w:customStyle="1" w:styleId="118">
    <w:name w:val="ca-111"/>
    <w:autoRedefine/>
    <w:qFormat/>
    <w:uiPriority w:val="0"/>
    <w:rPr>
      <w:rFonts w:hint="eastAsia" w:ascii="宋体" w:hAnsi="宋体" w:eastAsia="宋体"/>
      <w:color w:val="000000"/>
      <w:sz w:val="24"/>
      <w:szCs w:val="24"/>
    </w:rPr>
  </w:style>
  <w:style w:type="character" w:customStyle="1" w:styleId="119">
    <w:name w:val="textnormchn1"/>
    <w:basedOn w:val="46"/>
    <w:autoRedefine/>
    <w:qFormat/>
    <w:uiPriority w:val="0"/>
  </w:style>
  <w:style w:type="character" w:customStyle="1" w:styleId="120">
    <w:name w:val="批注引用1"/>
    <w:autoRedefine/>
    <w:qFormat/>
    <w:uiPriority w:val="0"/>
    <w:rPr>
      <w:sz w:val="21"/>
      <w:szCs w:val="21"/>
    </w:rPr>
  </w:style>
  <w:style w:type="character" w:customStyle="1" w:styleId="121">
    <w:name w:val="日期 Char1"/>
    <w:autoRedefine/>
    <w:semiHidden/>
    <w:qFormat/>
    <w:uiPriority w:val="99"/>
    <w:rPr>
      <w:rFonts w:ascii="Calibri" w:hAnsi="Calibri" w:eastAsia="仿宋_GB2312" w:cs="Times New Roman"/>
      <w:sz w:val="24"/>
    </w:rPr>
  </w:style>
  <w:style w:type="character" w:customStyle="1" w:styleId="122">
    <w:name w:val="正文3 Char Char"/>
    <w:link w:val="123"/>
    <w:autoRedefine/>
    <w:qFormat/>
    <w:uiPriority w:val="0"/>
    <w:rPr>
      <w:rFonts w:ascii="Calibri" w:hAnsi="Calibri"/>
      <w:sz w:val="24"/>
      <w:szCs w:val="24"/>
      <w:lang w:val="en-US" w:eastAsia="zh-CN" w:bidi="ar-SA"/>
    </w:rPr>
  </w:style>
  <w:style w:type="paragraph" w:customStyle="1" w:styleId="123">
    <w:name w:val="正文3"/>
    <w:link w:val="122"/>
    <w:autoRedefine/>
    <w:qFormat/>
    <w:uiPriority w:val="0"/>
    <w:pPr>
      <w:spacing w:before="120" w:after="120" w:line="360" w:lineRule="auto"/>
      <w:ind w:firstLine="200" w:firstLineChars="200"/>
    </w:pPr>
    <w:rPr>
      <w:rFonts w:ascii="Calibri" w:hAnsi="Calibri" w:eastAsia="宋体" w:cs="Times New Roman"/>
      <w:sz w:val="24"/>
      <w:szCs w:val="24"/>
      <w:lang w:val="en-US" w:eastAsia="zh-CN" w:bidi="ar-SA"/>
    </w:rPr>
  </w:style>
  <w:style w:type="character" w:customStyle="1" w:styleId="124">
    <w:name w:val="ca-01"/>
    <w:autoRedefine/>
    <w:qFormat/>
    <w:uiPriority w:val="0"/>
    <w:rPr>
      <w:rFonts w:hint="eastAsia" w:ascii="宋体" w:hAnsi="宋体" w:eastAsia="宋体"/>
      <w:b/>
      <w:bCs/>
      <w:color w:val="000000"/>
      <w:spacing w:val="-20"/>
      <w:sz w:val="36"/>
      <w:szCs w:val="36"/>
    </w:rPr>
  </w:style>
  <w:style w:type="character" w:customStyle="1" w:styleId="125">
    <w:name w:val="keyword"/>
    <w:basedOn w:val="46"/>
    <w:autoRedefine/>
    <w:qFormat/>
    <w:uiPriority w:val="0"/>
  </w:style>
  <w:style w:type="character" w:customStyle="1" w:styleId="126">
    <w:name w:val="fontstyle01"/>
    <w:basedOn w:val="46"/>
    <w:autoRedefine/>
    <w:qFormat/>
    <w:uiPriority w:val="0"/>
    <w:rPr>
      <w:rFonts w:hint="eastAsia" w:ascii="宋体" w:hAnsi="宋体" w:eastAsia="宋体"/>
      <w:color w:val="000000"/>
      <w:sz w:val="24"/>
      <w:szCs w:val="24"/>
    </w:rPr>
  </w:style>
  <w:style w:type="character" w:customStyle="1" w:styleId="127">
    <w:name w:val="文档结构图 Char1"/>
    <w:autoRedefine/>
    <w:semiHidden/>
    <w:qFormat/>
    <w:uiPriority w:val="99"/>
    <w:rPr>
      <w:rFonts w:ascii="宋体" w:hAnsi="Calibri" w:eastAsia="宋体" w:cs="Times New Roman"/>
      <w:sz w:val="18"/>
      <w:szCs w:val="18"/>
    </w:rPr>
  </w:style>
  <w:style w:type="character" w:customStyle="1" w:styleId="128">
    <w:name w:val="ca-221"/>
    <w:autoRedefine/>
    <w:qFormat/>
    <w:uiPriority w:val="0"/>
    <w:rPr>
      <w:rFonts w:hint="default" w:ascii="Times New Roman" w:hAnsi="Times New Roman" w:cs="Times New Roman"/>
      <w:color w:val="000000"/>
      <w:sz w:val="24"/>
      <w:szCs w:val="24"/>
    </w:rPr>
  </w:style>
  <w:style w:type="character" w:customStyle="1" w:styleId="129">
    <w:name w:val="param_td12"/>
    <w:basedOn w:val="46"/>
    <w:autoRedefine/>
    <w:qFormat/>
    <w:uiPriority w:val="0"/>
  </w:style>
  <w:style w:type="character" w:customStyle="1" w:styleId="130">
    <w:name w:val="H4 Char"/>
    <w:autoRedefine/>
    <w:qFormat/>
    <w:uiPriority w:val="0"/>
    <w:rPr>
      <w:rFonts w:ascii="Arial" w:hAnsi="Arial" w:eastAsia="宋体"/>
      <w:b/>
      <w:kern w:val="2"/>
      <w:sz w:val="28"/>
      <w:lang w:val="en-US" w:eastAsia="zh-CN"/>
    </w:rPr>
  </w:style>
  <w:style w:type="character" w:customStyle="1" w:styleId="131">
    <w:name w:val="纯文本 Char Char1"/>
    <w:autoRedefine/>
    <w:qFormat/>
    <w:uiPriority w:val="0"/>
    <w:rPr>
      <w:rFonts w:ascii="宋体" w:hAnsi="Courier New" w:eastAsia="宋体"/>
      <w:kern w:val="2"/>
      <w:sz w:val="21"/>
      <w:lang w:val="en-US" w:eastAsia="zh-CN" w:bidi="ar-SA"/>
    </w:rPr>
  </w:style>
  <w:style w:type="character" w:customStyle="1" w:styleId="132">
    <w:name w:val="sugg-loading"/>
    <w:basedOn w:val="46"/>
    <w:autoRedefine/>
    <w:qFormat/>
    <w:uiPriority w:val="0"/>
  </w:style>
  <w:style w:type="character" w:customStyle="1" w:styleId="133">
    <w:name w:val="页脚 Char1"/>
    <w:autoRedefine/>
    <w:semiHidden/>
    <w:qFormat/>
    <w:uiPriority w:val="99"/>
    <w:rPr>
      <w:rFonts w:ascii="Calibri" w:hAnsi="Calibri" w:eastAsia="仿宋_GB2312" w:cs="Times New Roman"/>
      <w:sz w:val="18"/>
      <w:szCs w:val="18"/>
    </w:rPr>
  </w:style>
  <w:style w:type="character" w:customStyle="1" w:styleId="134">
    <w:name w:val="表正文 Char2"/>
    <w:autoRedefine/>
    <w:qFormat/>
    <w:uiPriority w:val="0"/>
    <w:rPr>
      <w:rFonts w:eastAsia="宋体"/>
      <w:kern w:val="2"/>
      <w:sz w:val="21"/>
      <w:lang w:val="en-US" w:eastAsia="zh-CN" w:bidi="ar-SA"/>
    </w:rPr>
  </w:style>
  <w:style w:type="character" w:customStyle="1" w:styleId="135">
    <w:name w:val="文章正文 Char Char"/>
    <w:link w:val="136"/>
    <w:autoRedefine/>
    <w:qFormat/>
    <w:uiPriority w:val="0"/>
    <w:rPr>
      <w:rFonts w:eastAsia="宋体"/>
      <w:kern w:val="2"/>
      <w:sz w:val="24"/>
      <w:szCs w:val="24"/>
      <w:lang w:val="en-US" w:eastAsia="zh-CN" w:bidi="ar-SA"/>
    </w:rPr>
  </w:style>
  <w:style w:type="paragraph" w:customStyle="1" w:styleId="136">
    <w:name w:val="文章正文"/>
    <w:basedOn w:val="1"/>
    <w:link w:val="135"/>
    <w:autoRedefine/>
    <w:qFormat/>
    <w:uiPriority w:val="0"/>
    <w:pPr>
      <w:widowControl w:val="0"/>
      <w:spacing w:line="360" w:lineRule="auto"/>
      <w:ind w:firstLine="420"/>
      <w:jc w:val="both"/>
    </w:pPr>
    <w:rPr>
      <w:kern w:val="2"/>
    </w:rPr>
  </w:style>
  <w:style w:type="paragraph" w:customStyle="1" w:styleId="137">
    <w:name w:val="标3"/>
    <w:basedOn w:val="1"/>
    <w:autoRedefine/>
    <w:qFormat/>
    <w:uiPriority w:val="0"/>
    <w:pPr>
      <w:widowControl w:val="0"/>
      <w:tabs>
        <w:tab w:val="left" w:pos="1740"/>
      </w:tabs>
      <w:adjustRightInd w:val="0"/>
      <w:snapToGrid w:val="0"/>
      <w:spacing w:before="50" w:beforeLines="0"/>
      <w:ind w:left="1740" w:hanging="420"/>
      <w:jc w:val="both"/>
      <w:outlineLvl w:val="2"/>
    </w:pPr>
    <w:rPr>
      <w:rFonts w:ascii="Arial Narrow" w:hAnsi="Arial Narrow" w:eastAsia="仿宋_GB2312"/>
      <w:kern w:val="2"/>
      <w:sz w:val="28"/>
      <w:szCs w:val="20"/>
    </w:rPr>
  </w:style>
  <w:style w:type="paragraph" w:customStyle="1" w:styleId="138">
    <w:name w:val="页眉 New New New New New New New New New New New New New"/>
    <w:basedOn w:val="139"/>
    <w:autoRedefine/>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139">
    <w:name w:val="正文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样式 正文缩进 + 首行缩进:  2 字符"/>
    <w:basedOn w:val="14"/>
    <w:autoRedefine/>
    <w:qFormat/>
    <w:uiPriority w:val="0"/>
    <w:pPr>
      <w:ind w:firstLine="480"/>
    </w:pPr>
    <w:rPr>
      <w:sz w:val="24"/>
      <w:szCs w:val="20"/>
    </w:rPr>
  </w:style>
  <w:style w:type="paragraph" w:customStyle="1" w:styleId="141">
    <w:name w:val="xl96"/>
    <w:basedOn w:val="1"/>
    <w:autoRedefine/>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20"/>
      <w:szCs w:val="20"/>
    </w:rPr>
  </w:style>
  <w:style w:type="paragraph" w:customStyle="1" w:styleId="142">
    <w:name w:val="xl90"/>
    <w:basedOn w:val="1"/>
    <w:autoRedefine/>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rPr>
  </w:style>
  <w:style w:type="paragraph" w:customStyle="1" w:styleId="143">
    <w:name w:val="页脚 New New New New New New New New New New New New New New"/>
    <w:basedOn w:val="144"/>
    <w:autoRedefine/>
    <w:qFormat/>
    <w:uiPriority w:val="0"/>
    <w:pPr>
      <w:tabs>
        <w:tab w:val="center" w:pos="4153"/>
        <w:tab w:val="right" w:pos="8306"/>
      </w:tabs>
      <w:snapToGrid w:val="0"/>
      <w:jc w:val="left"/>
    </w:pPr>
    <w:rPr>
      <w:kern w:val="2"/>
      <w:sz w:val="18"/>
      <w:szCs w:val="18"/>
    </w:rPr>
  </w:style>
  <w:style w:type="paragraph" w:customStyle="1" w:styleId="144">
    <w:name w:val="正文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 Char Char Char Char Char Char Char Char Char"/>
    <w:basedOn w:val="1"/>
    <w:autoRedefine/>
    <w:qFormat/>
    <w:uiPriority w:val="0"/>
    <w:pPr>
      <w:spacing w:after="160" w:afterLines="0" w:line="240" w:lineRule="exact"/>
    </w:pPr>
    <w:rPr>
      <w:rFonts w:ascii="Verdana" w:hAnsi="Verdana" w:eastAsia="仿宋_GB2312"/>
      <w:szCs w:val="20"/>
      <w:lang w:eastAsia="en-US"/>
    </w:rPr>
  </w:style>
  <w:style w:type="paragraph" w:customStyle="1" w:styleId="146">
    <w:name w:val="样式 标题 1 + 宋体 居中 段前: 17 磅 段后: 16.5 磅"/>
    <w:basedOn w:val="4"/>
    <w:autoRedefine/>
    <w:qFormat/>
    <w:uiPriority w:val="0"/>
    <w:pPr>
      <w:pageBreakBefore/>
      <w:numPr>
        <w:ilvl w:val="0"/>
        <w:numId w:val="0"/>
      </w:numPr>
      <w:tabs>
        <w:tab w:val="left" w:pos="840"/>
        <w:tab w:val="clear" w:pos="425"/>
      </w:tabs>
      <w:ind w:left="840" w:hanging="420"/>
    </w:pPr>
    <w:rPr>
      <w:rFonts w:cs="宋体"/>
      <w:sz w:val="28"/>
      <w:szCs w:val="20"/>
    </w:rPr>
  </w:style>
  <w:style w:type="paragraph" w:customStyle="1" w:styleId="147">
    <w:name w:val="pa-107"/>
    <w:basedOn w:val="1"/>
    <w:autoRedefine/>
    <w:qFormat/>
    <w:uiPriority w:val="0"/>
    <w:pPr>
      <w:spacing w:line="360" w:lineRule="atLeast"/>
      <w:jc w:val="both"/>
    </w:pPr>
    <w:rPr>
      <w:rFonts w:ascii="宋体" w:hAnsi="宋体" w:cs="宋体"/>
    </w:rPr>
  </w:style>
  <w:style w:type="paragraph" w:customStyle="1" w:styleId="148">
    <w:name w:val="我的正文"/>
    <w:basedOn w:val="1"/>
    <w:autoRedefine/>
    <w:qFormat/>
    <w:uiPriority w:val="0"/>
    <w:pPr>
      <w:widowControl w:val="0"/>
      <w:spacing w:line="360" w:lineRule="auto"/>
      <w:ind w:firstLine="420" w:firstLineChars="200"/>
      <w:jc w:val="both"/>
    </w:pPr>
    <w:rPr>
      <w:rFonts w:ascii="宋体" w:hAnsi="宋体"/>
      <w:kern w:val="2"/>
      <w:sz w:val="21"/>
      <w:szCs w:val="20"/>
    </w:rPr>
  </w:style>
  <w:style w:type="paragraph" w:customStyle="1" w:styleId="149">
    <w:name w:val="xl72"/>
    <w:basedOn w:val="1"/>
    <w:autoRedefine/>
    <w:qFormat/>
    <w:uiPriority w:val="0"/>
    <w:pPr>
      <w:spacing w:before="100" w:beforeLines="0" w:beforeAutospacing="1" w:after="100" w:afterLines="0" w:afterAutospacing="1"/>
      <w:jc w:val="center"/>
    </w:pPr>
    <w:rPr>
      <w:rFonts w:ascii="宋体" w:hAnsi="宋体" w:cs="宋体"/>
    </w:rPr>
  </w:style>
  <w:style w:type="paragraph" w:customStyle="1" w:styleId="150">
    <w:name w:val="表格"/>
    <w:basedOn w:val="1"/>
    <w:autoRedefine/>
    <w:qFormat/>
    <w:uiPriority w:val="0"/>
    <w:pPr>
      <w:widowControl w:val="0"/>
      <w:spacing w:line="400" w:lineRule="exact"/>
      <w:jc w:val="both"/>
    </w:pPr>
    <w:rPr>
      <w:kern w:val="2"/>
    </w:rPr>
  </w:style>
  <w:style w:type="paragraph" w:customStyle="1" w:styleId="151">
    <w:name w:val="2"/>
    <w:basedOn w:val="1"/>
    <w:autoRedefine/>
    <w:qFormat/>
    <w:uiPriority w:val="0"/>
    <w:pPr>
      <w:spacing w:before="100" w:beforeLines="0" w:beforeAutospacing="1" w:after="100" w:afterLines="0" w:afterAutospacing="1"/>
    </w:pPr>
    <w:rPr>
      <w:rFonts w:ascii="宋体" w:hAnsi="宋体"/>
      <w:sz w:val="21"/>
      <w:szCs w:val="21"/>
    </w:rPr>
  </w:style>
  <w:style w:type="paragraph" w:customStyle="1" w:styleId="152">
    <w:name w:val="样式2"/>
    <w:basedOn w:val="1"/>
    <w:autoRedefine/>
    <w:qFormat/>
    <w:uiPriority w:val="0"/>
    <w:pPr>
      <w:widowControl w:val="0"/>
      <w:adjustRightInd w:val="0"/>
      <w:spacing w:line="410" w:lineRule="atLeast"/>
      <w:jc w:val="both"/>
      <w:textAlignment w:val="baseline"/>
    </w:pPr>
    <w:rPr>
      <w:szCs w:val="20"/>
    </w:rPr>
  </w:style>
  <w:style w:type="paragraph" w:customStyle="1" w:styleId="153">
    <w:name w:val="MM Topic 1"/>
    <w:basedOn w:val="4"/>
    <w:autoRedefine/>
    <w:qFormat/>
    <w:uiPriority w:val="0"/>
    <w:pPr>
      <w:widowControl w:val="0"/>
      <w:numPr>
        <w:ilvl w:val="0"/>
        <w:numId w:val="0"/>
      </w:numPr>
      <w:tabs>
        <w:tab w:val="clear" w:pos="425"/>
      </w:tabs>
      <w:spacing w:line="576" w:lineRule="auto"/>
    </w:pPr>
    <w:rPr>
      <w:rFonts w:ascii="Times New Roman" w:hAnsi="Times New Roman"/>
      <w:bCs w:val="0"/>
      <w:sz w:val="44"/>
      <w:szCs w:val="20"/>
    </w:rPr>
  </w:style>
  <w:style w:type="paragraph" w:customStyle="1" w:styleId="154">
    <w:name w:val="1"/>
    <w:basedOn w:val="1"/>
    <w:autoRedefine/>
    <w:qFormat/>
    <w:uiPriority w:val="0"/>
    <w:pPr>
      <w:widowControl w:val="0"/>
      <w:jc w:val="both"/>
    </w:pPr>
    <w:rPr>
      <w:rFonts w:ascii="Tahoma" w:hAnsi="Tahoma"/>
      <w:kern w:val="2"/>
      <w:szCs w:val="20"/>
    </w:rPr>
  </w:style>
  <w:style w:type="paragraph" w:customStyle="1" w:styleId="155">
    <w:name w:val="正文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样式1"/>
    <w:basedOn w:val="1"/>
    <w:autoRedefine/>
    <w:qFormat/>
    <w:uiPriority w:val="0"/>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157">
    <w:name w:val="p4"/>
    <w:basedOn w:val="1"/>
    <w:autoRedefine/>
    <w:qFormat/>
    <w:uiPriority w:val="0"/>
    <w:pPr>
      <w:spacing w:before="100" w:beforeLines="0" w:beforeAutospacing="1" w:after="100" w:afterLines="0" w:afterAutospacing="1" w:line="360" w:lineRule="auto"/>
      <w:ind w:firstLine="360"/>
    </w:pPr>
    <w:rPr>
      <w:rFonts w:ascii="宋体" w:hAnsi="宋体"/>
    </w:rPr>
  </w:style>
  <w:style w:type="paragraph" w:customStyle="1" w:styleId="158">
    <w:name w:val="xl113"/>
    <w:basedOn w:val="1"/>
    <w:autoRedefine/>
    <w:qFormat/>
    <w:uiPriority w:val="0"/>
    <w:pPr>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sz w:val="32"/>
      <w:szCs w:val="32"/>
    </w:rPr>
  </w:style>
  <w:style w:type="paragraph" w:customStyle="1" w:styleId="159">
    <w:name w:val="xl70"/>
    <w:basedOn w:val="1"/>
    <w:autoRedefine/>
    <w:qFormat/>
    <w:uiPriority w:val="0"/>
    <w:pPr>
      <w:spacing w:before="100" w:beforeLines="0" w:beforeAutospacing="1" w:after="100" w:afterLines="0" w:afterAutospacing="1"/>
      <w:jc w:val="center"/>
    </w:pPr>
    <w:rPr>
      <w:rFonts w:ascii="宋体" w:hAnsi="宋体" w:cs="宋体"/>
    </w:rPr>
  </w:style>
  <w:style w:type="paragraph" w:customStyle="1" w:styleId="160">
    <w:name w:val="xl93"/>
    <w:basedOn w:val="1"/>
    <w:autoRedefine/>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20"/>
      <w:szCs w:val="20"/>
    </w:rPr>
  </w:style>
  <w:style w:type="paragraph" w:customStyle="1" w:styleId="161">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rPr>
  </w:style>
  <w:style w:type="paragraph" w:customStyle="1" w:styleId="162">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sz w:val="20"/>
      <w:szCs w:val="20"/>
    </w:rPr>
  </w:style>
  <w:style w:type="paragraph" w:customStyle="1" w:styleId="163">
    <w:name w:val="font8"/>
    <w:basedOn w:val="1"/>
    <w:autoRedefine/>
    <w:qFormat/>
    <w:uiPriority w:val="0"/>
    <w:pPr>
      <w:spacing w:before="100" w:beforeLines="0" w:beforeAutospacing="1" w:after="100" w:afterLines="0" w:afterAutospacing="1"/>
    </w:pPr>
    <w:rPr>
      <w:color w:val="000000"/>
      <w:sz w:val="22"/>
      <w:szCs w:val="22"/>
    </w:rPr>
  </w:style>
  <w:style w:type="paragraph" w:customStyle="1" w:styleId="164">
    <w:name w:val="MM Topic 5"/>
    <w:basedOn w:val="8"/>
    <w:autoRedefine/>
    <w:qFormat/>
    <w:uiPriority w:val="0"/>
    <w:pPr>
      <w:numPr>
        <w:ilvl w:val="4"/>
        <w:numId w:val="0"/>
      </w:numPr>
      <w:tabs>
        <w:tab w:val="left" w:pos="2551"/>
        <w:tab w:val="clear" w:pos="4832"/>
      </w:tabs>
      <w:autoSpaceDE/>
      <w:autoSpaceDN/>
      <w:adjustRightInd/>
      <w:spacing w:line="372" w:lineRule="auto"/>
    </w:pPr>
    <w:rPr>
      <w:bCs w:val="0"/>
      <w:kern w:val="2"/>
      <w:szCs w:val="20"/>
    </w:rPr>
  </w:style>
  <w:style w:type="paragraph" w:customStyle="1" w:styleId="165">
    <w:name w:val="xl105"/>
    <w:basedOn w:val="1"/>
    <w:autoRedefine/>
    <w:qFormat/>
    <w:uiPriority w:val="0"/>
    <w:pPr>
      <w:pBdr>
        <w:top w:val="single" w:color="auto" w:sz="4" w:space="0"/>
        <w:bottom w:val="single" w:color="auto" w:sz="4" w:space="0"/>
        <w:right w:val="single" w:color="auto" w:sz="4" w:space="0"/>
      </w:pBdr>
      <w:spacing w:before="100" w:beforeLines="0" w:beforeAutospacing="1" w:after="100" w:afterLines="0" w:afterAutospacing="1"/>
    </w:pPr>
    <w:rPr>
      <w:rFonts w:ascii="宋体" w:hAnsi="宋体" w:cs="宋体"/>
      <w:b/>
      <w:bCs/>
    </w:rPr>
  </w:style>
  <w:style w:type="paragraph" w:customStyle="1" w:styleId="166">
    <w:name w:val=" Char Char Char Char Char Char Char Char Char Char Char Char Char"/>
    <w:basedOn w:val="16"/>
    <w:autoRedefine/>
    <w:qFormat/>
    <w:uiPriority w:val="0"/>
    <w:pPr>
      <w:widowControl w:val="0"/>
      <w:jc w:val="both"/>
    </w:pPr>
    <w:rPr>
      <w:rFonts w:ascii="Tahoma" w:hAnsi="Tahoma"/>
      <w:kern w:val="2"/>
      <w:szCs w:val="20"/>
    </w:rPr>
  </w:style>
  <w:style w:type="paragraph" w:customStyle="1" w:styleId="167">
    <w:name w:val="xl77"/>
    <w:basedOn w:val="1"/>
    <w:autoRedefine/>
    <w:qFormat/>
    <w:uiPriority w:val="0"/>
    <w:pPr>
      <w:spacing w:before="100" w:beforeLines="0" w:beforeAutospacing="1" w:after="100" w:afterLines="0" w:afterAutospacing="1"/>
      <w:jc w:val="center"/>
    </w:pPr>
    <w:rPr>
      <w:rFonts w:ascii="宋体" w:hAnsi="宋体" w:cs="宋体"/>
    </w:rPr>
  </w:style>
  <w:style w:type="paragraph" w:customStyle="1" w:styleId="168">
    <w:name w:val="默认段落字体 Para Char Char Char Char Char Char Char"/>
    <w:basedOn w:val="1"/>
    <w:autoRedefine/>
    <w:qFormat/>
    <w:uiPriority w:val="0"/>
    <w:pPr>
      <w:widowControl w:val="0"/>
      <w:jc w:val="both"/>
    </w:pPr>
    <w:rPr>
      <w:rFonts w:ascii="Tahoma" w:hAnsi="Tahoma"/>
      <w:kern w:val="2"/>
      <w:szCs w:val="20"/>
    </w:rPr>
  </w:style>
  <w:style w:type="paragraph" w:customStyle="1" w:styleId="169">
    <w:name w:val="浅色网格 - 强调文字颜色 31"/>
    <w:basedOn w:val="1"/>
    <w:autoRedefine/>
    <w:qFormat/>
    <w:uiPriority w:val="0"/>
    <w:pPr>
      <w:widowControl w:val="0"/>
      <w:ind w:firstLine="420" w:firstLineChars="200"/>
      <w:jc w:val="both"/>
    </w:pPr>
    <w:rPr>
      <w:rFonts w:ascii="Calibri" w:hAnsi="Calibri"/>
      <w:kern w:val="2"/>
      <w:sz w:val="21"/>
      <w:szCs w:val="22"/>
    </w:rPr>
  </w:style>
  <w:style w:type="paragraph" w:customStyle="1" w:styleId="170">
    <w:name w:val="默认段落字体 Para Char Char Char Char"/>
    <w:basedOn w:val="1"/>
    <w:autoRedefine/>
    <w:qFormat/>
    <w:uiPriority w:val="0"/>
    <w:pPr>
      <w:widowControl w:val="0"/>
      <w:jc w:val="both"/>
    </w:pPr>
    <w:rPr>
      <w:kern w:val="2"/>
      <w:sz w:val="21"/>
    </w:rPr>
  </w:style>
  <w:style w:type="paragraph" w:customStyle="1" w:styleId="171">
    <w:name w:val="样式 正文缩进 + (中文) 仿宋_GB2312 小四 Char"/>
    <w:basedOn w:val="14"/>
    <w:autoRedefine/>
    <w:qFormat/>
    <w:uiPriority w:val="0"/>
    <w:pPr>
      <w:ind w:firstLine="480"/>
    </w:pPr>
    <w:rPr>
      <w:rFonts w:ascii="宋体" w:hAnsi="宋体"/>
      <w:sz w:val="24"/>
      <w:szCs w:val="20"/>
    </w:rPr>
  </w:style>
  <w:style w:type="paragraph" w:customStyle="1" w:styleId="172">
    <w:name w:val="正文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样式 右侧:  1 字符1"/>
    <w:basedOn w:val="1"/>
    <w:autoRedefine/>
    <w:qFormat/>
    <w:uiPriority w:val="0"/>
    <w:pPr>
      <w:widowControl w:val="0"/>
      <w:ind w:left="240" w:leftChars="100" w:rightChars="100"/>
      <w:jc w:val="both"/>
    </w:pPr>
    <w:rPr>
      <w:rFonts w:eastAsia="仿宋_GB2312"/>
      <w:kern w:val="2"/>
      <w:sz w:val="28"/>
      <w:szCs w:val="20"/>
    </w:rPr>
  </w:style>
  <w:style w:type="paragraph" w:customStyle="1" w:styleId="174">
    <w:name w:val="Style Style4 + First line:  2 ch Before:  0.5 line After:  0.5 li..."/>
    <w:basedOn w:val="1"/>
    <w:autoRedefine/>
    <w:qFormat/>
    <w:uiPriority w:val="0"/>
    <w:pPr>
      <w:widowControl w:val="0"/>
      <w:spacing w:before="156" w:beforeLines="50" w:after="156" w:afterLines="50" w:line="276" w:lineRule="auto"/>
      <w:ind w:firstLine="480" w:firstLineChars="200"/>
      <w:jc w:val="both"/>
    </w:pPr>
    <w:rPr>
      <w:rFonts w:ascii="Arial" w:hAnsi="Arial"/>
      <w:kern w:val="2"/>
      <w:szCs w:val="20"/>
    </w:rPr>
  </w:style>
  <w:style w:type="paragraph" w:customStyle="1" w:styleId="175">
    <w:name w:val="页脚 New New New New New New New New New New New New"/>
    <w:basedOn w:val="176"/>
    <w:autoRedefine/>
    <w:qFormat/>
    <w:uiPriority w:val="0"/>
    <w:pPr>
      <w:tabs>
        <w:tab w:val="center" w:pos="4153"/>
        <w:tab w:val="right" w:pos="8306"/>
      </w:tabs>
      <w:snapToGrid w:val="0"/>
      <w:jc w:val="left"/>
    </w:pPr>
    <w:rPr>
      <w:kern w:val="2"/>
      <w:sz w:val="18"/>
      <w:szCs w:val="18"/>
    </w:rPr>
  </w:style>
  <w:style w:type="paragraph" w:customStyle="1" w:styleId="176">
    <w:name w:val="正文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页脚 New New New New New New New"/>
    <w:basedOn w:val="172"/>
    <w:autoRedefine/>
    <w:qFormat/>
    <w:uiPriority w:val="0"/>
    <w:pPr>
      <w:tabs>
        <w:tab w:val="center" w:pos="4153"/>
        <w:tab w:val="right" w:pos="8306"/>
      </w:tabs>
      <w:snapToGrid w:val="0"/>
      <w:jc w:val="left"/>
    </w:pPr>
    <w:rPr>
      <w:kern w:val="2"/>
      <w:sz w:val="18"/>
      <w:szCs w:val="18"/>
    </w:rPr>
  </w:style>
  <w:style w:type="paragraph" w:customStyle="1" w:styleId="178">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xl97"/>
    <w:basedOn w:val="1"/>
    <w:autoRedefine/>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20"/>
      <w:szCs w:val="20"/>
    </w:rPr>
  </w:style>
  <w:style w:type="paragraph" w:customStyle="1" w:styleId="180">
    <w:name w:val="正文序号 2"/>
    <w:basedOn w:val="1"/>
    <w:autoRedefine/>
    <w:qFormat/>
    <w:uiPriority w:val="0"/>
    <w:pPr>
      <w:widowControl w:val="0"/>
      <w:numPr>
        <w:ilvl w:val="1"/>
        <w:numId w:val="4"/>
      </w:numPr>
      <w:tabs>
        <w:tab w:val="left" w:pos="1049"/>
        <w:tab w:val="clear" w:pos="840"/>
      </w:tabs>
      <w:spacing w:before="60" w:beforeLines="0"/>
      <w:jc w:val="both"/>
    </w:pPr>
    <w:rPr>
      <w:kern w:val="2"/>
      <w:sz w:val="21"/>
      <w:szCs w:val="20"/>
    </w:rPr>
  </w:style>
  <w:style w:type="paragraph" w:customStyle="1" w:styleId="181">
    <w:name w:val="项目符号：一级"/>
    <w:basedOn w:val="182"/>
    <w:next w:val="182"/>
    <w:autoRedefine/>
    <w:qFormat/>
    <w:uiPriority w:val="0"/>
    <w:pPr>
      <w:tabs>
        <w:tab w:val="left" w:pos="700"/>
      </w:tabs>
      <w:spacing w:before="0" w:beforeLines="0"/>
      <w:ind w:left="630" w:hanging="290" w:firstLineChars="0"/>
    </w:pPr>
  </w:style>
  <w:style w:type="paragraph" w:customStyle="1" w:styleId="182">
    <w:name w:val="正文格式"/>
    <w:basedOn w:val="1"/>
    <w:autoRedefine/>
    <w:qFormat/>
    <w:uiPriority w:val="0"/>
    <w:pPr>
      <w:adjustRightInd w:val="0"/>
      <w:snapToGrid w:val="0"/>
      <w:spacing w:before="78" w:beforeLines="25" w:line="360" w:lineRule="auto"/>
      <w:ind w:firstLine="480" w:firstLineChars="200"/>
      <w:jc w:val="both"/>
      <w:textAlignment w:val="baseline"/>
    </w:pPr>
    <w:rPr>
      <w:rFonts w:ascii="宋体" w:hAnsi="宋体"/>
      <w:color w:val="000000"/>
      <w:szCs w:val="20"/>
    </w:rPr>
  </w:style>
  <w:style w:type="paragraph" w:customStyle="1" w:styleId="183">
    <w:name w:val="xl115"/>
    <w:basedOn w:val="1"/>
    <w:autoRedefine/>
    <w:qFormat/>
    <w:uiPriority w:val="0"/>
    <w:pPr>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sz w:val="32"/>
      <w:szCs w:val="32"/>
    </w:rPr>
  </w:style>
  <w:style w:type="paragraph" w:customStyle="1" w:styleId="184">
    <w:name w:val="xl103"/>
    <w:basedOn w:val="1"/>
    <w:autoRedefine/>
    <w:qFormat/>
    <w:uiPriority w:val="0"/>
    <w:pPr>
      <w:pBdr>
        <w:top w:val="single" w:color="auto" w:sz="4" w:space="0"/>
        <w:bottom w:val="single" w:color="auto" w:sz="4" w:space="0"/>
        <w:right w:val="single" w:color="auto" w:sz="4" w:space="0"/>
      </w:pBdr>
      <w:spacing w:before="100" w:beforeLines="0" w:beforeAutospacing="1" w:after="100" w:afterLines="0" w:afterAutospacing="1"/>
    </w:pPr>
    <w:rPr>
      <w:rFonts w:ascii="宋体" w:hAnsi="宋体" w:cs="宋体"/>
      <w:b/>
      <w:bCs/>
      <w:sz w:val="28"/>
      <w:szCs w:val="28"/>
    </w:rPr>
  </w:style>
  <w:style w:type="paragraph" w:customStyle="1" w:styleId="185">
    <w:name w:val=" Char1 Char Char Char"/>
    <w:basedOn w:val="1"/>
    <w:next w:val="1"/>
    <w:autoRedefine/>
    <w:qFormat/>
    <w:uiPriority w:val="0"/>
    <w:pPr>
      <w:widowControl w:val="0"/>
      <w:spacing w:line="240" w:lineRule="atLeast"/>
      <w:ind w:left="420" w:firstLine="420"/>
    </w:pPr>
    <w:rPr>
      <w:sz w:val="21"/>
      <w:szCs w:val="20"/>
    </w:rPr>
  </w:style>
  <w:style w:type="paragraph" w:customStyle="1" w:styleId="186">
    <w:name w:val="论文正文"/>
    <w:basedOn w:val="1"/>
    <w:autoRedefine/>
    <w:qFormat/>
    <w:uiPriority w:val="0"/>
    <w:pPr>
      <w:widowControl w:val="0"/>
      <w:spacing w:line="300" w:lineRule="auto"/>
      <w:ind w:firstLine="200" w:firstLineChars="200"/>
      <w:jc w:val="both"/>
    </w:pPr>
    <w:rPr>
      <w:kern w:val="2"/>
    </w:rPr>
  </w:style>
  <w:style w:type="paragraph" w:customStyle="1" w:styleId="187">
    <w:name w:val="Style8"/>
    <w:basedOn w:val="1"/>
    <w:autoRedefine/>
    <w:qFormat/>
    <w:uiPriority w:val="0"/>
    <w:pPr>
      <w:widowControl w:val="0"/>
      <w:tabs>
        <w:tab w:val="left" w:pos="1304"/>
      </w:tabs>
      <w:spacing w:before="156" w:beforeLines="50" w:after="156" w:afterLines="50" w:line="276" w:lineRule="auto"/>
      <w:ind w:left="1304" w:hanging="397"/>
      <w:jc w:val="both"/>
    </w:pPr>
    <w:rPr>
      <w:rFonts w:ascii="Arial" w:hAnsi="Arial"/>
      <w:kern w:val="2"/>
      <w:szCs w:val="20"/>
    </w:rPr>
  </w:style>
  <w:style w:type="paragraph" w:customStyle="1" w:styleId="188">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189">
    <w:name w:val=" Char1 Char Char Char Char Char Char"/>
    <w:basedOn w:val="1"/>
    <w:autoRedefine/>
    <w:qFormat/>
    <w:uiPriority w:val="0"/>
    <w:pPr>
      <w:widowControl w:val="0"/>
      <w:jc w:val="both"/>
    </w:pPr>
    <w:rPr>
      <w:rFonts w:ascii="Tahoma" w:hAnsi="Tahoma"/>
      <w:kern w:val="2"/>
      <w:szCs w:val="20"/>
    </w:rPr>
  </w:style>
  <w:style w:type="paragraph" w:customStyle="1" w:styleId="190">
    <w:name w:val=" Char Char1"/>
    <w:basedOn w:val="1"/>
    <w:next w:val="1"/>
    <w:autoRedefine/>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191">
    <w:name w:val="Table Text"/>
    <w:basedOn w:val="1"/>
    <w:autoRedefine/>
    <w:qFormat/>
    <w:uiPriority w:val="0"/>
    <w:pPr>
      <w:spacing w:before="60" w:beforeLines="0" w:after="60" w:afterLines="0"/>
    </w:pPr>
    <w:rPr>
      <w:sz w:val="21"/>
    </w:rPr>
  </w:style>
  <w:style w:type="paragraph" w:customStyle="1" w:styleId="192">
    <w:name w:val=" Char Char Char Char Char Char1 Char"/>
    <w:basedOn w:val="16"/>
    <w:autoRedefine/>
    <w:qFormat/>
    <w:uiPriority w:val="0"/>
    <w:pPr>
      <w:widowControl w:val="0"/>
      <w:jc w:val="both"/>
    </w:pPr>
    <w:rPr>
      <w:rFonts w:ascii="Tahoma" w:hAnsi="Tahoma"/>
      <w:kern w:val="2"/>
    </w:rPr>
  </w:style>
  <w:style w:type="paragraph" w:customStyle="1" w:styleId="193">
    <w:name w:val="样式 首行缩进:  2 字符"/>
    <w:basedOn w:val="1"/>
    <w:autoRedefine/>
    <w:qFormat/>
    <w:uiPriority w:val="0"/>
    <w:pPr>
      <w:widowControl w:val="0"/>
      <w:ind w:firstLine="420" w:firstLineChars="200"/>
      <w:jc w:val="both"/>
    </w:pPr>
    <w:rPr>
      <w:rFonts w:cs="宋体"/>
      <w:kern w:val="2"/>
      <w:sz w:val="21"/>
      <w:szCs w:val="20"/>
    </w:rPr>
  </w:style>
  <w:style w:type="paragraph" w:customStyle="1" w:styleId="194">
    <w:name w:val="font7"/>
    <w:basedOn w:val="1"/>
    <w:autoRedefine/>
    <w:qFormat/>
    <w:uiPriority w:val="0"/>
    <w:pPr>
      <w:spacing w:before="100" w:beforeLines="0" w:beforeAutospacing="1" w:after="100" w:afterLines="0" w:afterAutospacing="1"/>
    </w:pPr>
    <w:rPr>
      <w:rFonts w:ascii="宋体" w:hAnsi="宋体" w:cs="宋体"/>
      <w:color w:val="000000"/>
      <w:sz w:val="22"/>
      <w:szCs w:val="22"/>
    </w:rPr>
  </w:style>
  <w:style w:type="paragraph" w:customStyle="1" w:styleId="195">
    <w:name w:val="xl86"/>
    <w:basedOn w:val="1"/>
    <w:autoRedefine/>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style>
  <w:style w:type="paragraph" w:customStyle="1" w:styleId="196">
    <w:name w:val="1 Char Char Char Char"/>
    <w:basedOn w:val="1"/>
    <w:autoRedefine/>
    <w:qFormat/>
    <w:uiPriority w:val="0"/>
    <w:pPr>
      <w:widowControl w:val="0"/>
      <w:jc w:val="both"/>
    </w:pPr>
    <w:rPr>
      <w:rFonts w:ascii="Tahoma" w:hAnsi="Tahoma"/>
      <w:kern w:val="2"/>
      <w:szCs w:val="20"/>
    </w:rPr>
  </w:style>
  <w:style w:type="paragraph" w:customStyle="1" w:styleId="197">
    <w:name w:val="页脚 New"/>
    <w:basedOn w:val="178"/>
    <w:autoRedefine/>
    <w:qFormat/>
    <w:uiPriority w:val="0"/>
    <w:pPr>
      <w:tabs>
        <w:tab w:val="center" w:pos="4153"/>
        <w:tab w:val="right" w:pos="8306"/>
      </w:tabs>
      <w:snapToGrid w:val="0"/>
      <w:jc w:val="left"/>
    </w:pPr>
    <w:rPr>
      <w:kern w:val="2"/>
      <w:sz w:val="18"/>
      <w:szCs w:val="18"/>
    </w:rPr>
  </w:style>
  <w:style w:type="paragraph" w:customStyle="1" w:styleId="198">
    <w:name w:val="大纲正文"/>
    <w:basedOn w:val="1"/>
    <w:autoRedefine/>
    <w:qFormat/>
    <w:uiPriority w:val="0"/>
    <w:pPr>
      <w:widowControl w:val="0"/>
      <w:spacing w:line="360" w:lineRule="auto"/>
      <w:ind w:firstLine="480" w:firstLineChars="200"/>
      <w:jc w:val="both"/>
    </w:pPr>
    <w:rPr>
      <w:kern w:val="2"/>
      <w:szCs w:val="20"/>
    </w:rPr>
  </w:style>
  <w:style w:type="paragraph" w:customStyle="1" w:styleId="199">
    <w:name w:val="Default"/>
    <w:autoRedefine/>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200">
    <w:name w:val="样式3"/>
    <w:basedOn w:val="23"/>
    <w:autoRedefine/>
    <w:qFormat/>
    <w:uiPriority w:val="0"/>
    <w:pPr>
      <w:autoSpaceDE/>
      <w:autoSpaceDN/>
      <w:adjustRightInd/>
      <w:spacing w:line="0" w:lineRule="atLeast"/>
      <w:outlineLvl w:val="0"/>
    </w:pPr>
    <w:rPr>
      <w:rFonts w:hAnsi="Courier New" w:cs="Times New Roman"/>
      <w:kern w:val="2"/>
      <w:sz w:val="28"/>
      <w:szCs w:val="20"/>
    </w:rPr>
  </w:style>
  <w:style w:type="paragraph" w:customStyle="1" w:styleId="201">
    <w:name w:val="xl98"/>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pPr>
    <w:rPr>
      <w:rFonts w:ascii="宋体" w:hAnsi="宋体" w:cs="宋体"/>
      <w:sz w:val="20"/>
      <w:szCs w:val="20"/>
    </w:rPr>
  </w:style>
  <w:style w:type="paragraph" w:customStyle="1" w:styleId="202">
    <w:name w:val="正文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rPr>
  </w:style>
  <w:style w:type="paragraph" w:customStyle="1" w:styleId="204">
    <w:name w:val="表格题注"/>
    <w:next w:val="1"/>
    <w:autoRedefine/>
    <w:qFormat/>
    <w:uiPriority w:val="0"/>
    <w:pPr>
      <w:keepLines/>
      <w:numPr>
        <w:ilvl w:val="8"/>
        <w:numId w:val="1"/>
      </w:numPr>
      <w:tabs>
        <w:tab w:val="left" w:pos="1559"/>
        <w:tab w:val="clear" w:pos="5399"/>
      </w:tabs>
      <w:spacing w:before="312" w:beforeLines="100"/>
      <w:jc w:val="center"/>
    </w:pPr>
    <w:rPr>
      <w:rFonts w:ascii="Arial" w:hAnsi="Arial" w:eastAsia="宋体" w:cs="Times New Roman"/>
      <w:sz w:val="18"/>
      <w:lang w:val="en-US" w:eastAsia="zh-CN" w:bidi="ar-SA"/>
    </w:rPr>
  </w:style>
  <w:style w:type="paragraph" w:customStyle="1" w:styleId="205">
    <w:name w:val="标题 4[858D7CFB-ED40-4347-BF05-701D383B685F][858D7CFB-ED40-4347-BF05-701D383B685F]"/>
    <w:basedOn w:val="1"/>
    <w:autoRedefine/>
    <w:qFormat/>
    <w:uiPriority w:val="0"/>
    <w:pPr>
      <w:numPr>
        <w:ilvl w:val="3"/>
        <w:numId w:val="1"/>
      </w:numPr>
    </w:pPr>
  </w:style>
  <w:style w:type="paragraph" w:customStyle="1" w:styleId="206">
    <w:name w:val="xl84"/>
    <w:basedOn w:val="1"/>
    <w:autoRedefine/>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rPr>
  </w:style>
  <w:style w:type="paragraph" w:customStyle="1" w:styleId="207">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页脚 New New New New New New New New New New New"/>
    <w:basedOn w:val="209"/>
    <w:autoRedefine/>
    <w:qFormat/>
    <w:uiPriority w:val="0"/>
    <w:pPr>
      <w:tabs>
        <w:tab w:val="center" w:pos="4153"/>
        <w:tab w:val="right" w:pos="8306"/>
      </w:tabs>
      <w:snapToGrid w:val="0"/>
      <w:jc w:val="left"/>
    </w:pPr>
    <w:rPr>
      <w:kern w:val="2"/>
      <w:sz w:val="18"/>
      <w:szCs w:val="18"/>
    </w:rPr>
  </w:style>
  <w:style w:type="paragraph" w:customStyle="1" w:styleId="209">
    <w:name w:val="正文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1 Char"/>
    <w:basedOn w:val="1"/>
    <w:autoRedefine/>
    <w:qFormat/>
    <w:uiPriority w:val="0"/>
    <w:pPr>
      <w:spacing w:after="160" w:afterLines="0" w:line="240" w:lineRule="exact"/>
    </w:pPr>
    <w:rPr>
      <w:rFonts w:ascii="Tahoma" w:hAnsi="Tahoma" w:eastAsia="Times New Roman"/>
      <w:lang w:eastAsia="en-US"/>
    </w:rPr>
  </w:style>
  <w:style w:type="paragraph" w:customStyle="1" w:styleId="211">
    <w:name w:val="条目正文"/>
    <w:basedOn w:val="1"/>
    <w:autoRedefine/>
    <w:qFormat/>
    <w:uiPriority w:val="0"/>
    <w:pPr>
      <w:widowControl w:val="0"/>
      <w:numPr>
        <w:ilvl w:val="0"/>
        <w:numId w:val="5"/>
      </w:numPr>
      <w:tabs>
        <w:tab w:val="left" w:pos="1050"/>
        <w:tab w:val="clear" w:pos="1230"/>
      </w:tabs>
      <w:spacing w:after="120" w:afterLines="0" w:line="360" w:lineRule="auto"/>
      <w:ind w:left="1050" w:hanging="450"/>
      <w:jc w:val="both"/>
    </w:pPr>
    <w:rPr>
      <w:rFonts w:ascii="宋体" w:hAnsi="Arial" w:cs="Arial"/>
      <w:szCs w:val="20"/>
    </w:rPr>
  </w:style>
  <w:style w:type="paragraph" w:customStyle="1" w:styleId="212">
    <w:name w:val="xl108"/>
    <w:basedOn w:val="1"/>
    <w:autoRedefine/>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rPr>
  </w:style>
  <w:style w:type="paragraph" w:customStyle="1" w:styleId="213">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sz w:val="20"/>
      <w:szCs w:val="20"/>
    </w:rPr>
  </w:style>
  <w:style w:type="paragraph" w:customStyle="1" w:styleId="214">
    <w:name w:val="正文 首行缩进:  2 字符 Char Char"/>
    <w:basedOn w:val="1"/>
    <w:autoRedefine/>
    <w:qFormat/>
    <w:uiPriority w:val="0"/>
    <w:pPr>
      <w:widowControl w:val="0"/>
      <w:spacing w:line="360" w:lineRule="auto"/>
      <w:ind w:firstLine="480"/>
      <w:jc w:val="both"/>
    </w:pPr>
    <w:rPr>
      <w:kern w:val="2"/>
      <w:szCs w:val="20"/>
    </w:rPr>
  </w:style>
  <w:style w:type="paragraph" w:customStyle="1" w:styleId="215">
    <w:name w:val="MM Topic 6"/>
    <w:basedOn w:val="9"/>
    <w:autoRedefine/>
    <w:qFormat/>
    <w:uiPriority w:val="0"/>
    <w:pPr>
      <w:numPr>
        <w:ilvl w:val="5"/>
        <w:numId w:val="0"/>
      </w:numPr>
      <w:tabs>
        <w:tab w:val="left" w:pos="3260"/>
        <w:tab w:val="clear" w:pos="4974"/>
      </w:tabs>
      <w:spacing w:line="317" w:lineRule="auto"/>
    </w:pPr>
    <w:rPr>
      <w:bCs w:val="0"/>
      <w:sz w:val="28"/>
      <w:szCs w:val="20"/>
    </w:rPr>
  </w:style>
  <w:style w:type="paragraph" w:customStyle="1" w:styleId="216">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7">
    <w:name w:val="xl99"/>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pPr>
    <w:rPr>
      <w:rFonts w:ascii="宋体" w:hAnsi="宋体" w:cs="宋体"/>
      <w:sz w:val="20"/>
      <w:szCs w:val="20"/>
    </w:rPr>
  </w:style>
  <w:style w:type="paragraph" w:customStyle="1" w:styleId="218">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sz w:val="20"/>
      <w:szCs w:val="20"/>
    </w:rPr>
  </w:style>
  <w:style w:type="paragraph" w:customStyle="1" w:styleId="219">
    <w:name w:val="font10"/>
    <w:basedOn w:val="1"/>
    <w:autoRedefine/>
    <w:qFormat/>
    <w:uiPriority w:val="0"/>
    <w:pPr>
      <w:spacing w:before="100" w:beforeLines="0" w:beforeAutospacing="1" w:after="100" w:afterLines="0" w:afterAutospacing="1"/>
    </w:pPr>
    <w:rPr>
      <w:rFonts w:ascii="宋体" w:hAnsi="宋体" w:cs="宋体"/>
      <w:color w:val="000000"/>
      <w:sz w:val="22"/>
      <w:szCs w:val="22"/>
    </w:rPr>
  </w:style>
  <w:style w:type="paragraph" w:customStyle="1" w:styleId="220">
    <w:name w:val="style6"/>
    <w:basedOn w:val="1"/>
    <w:autoRedefine/>
    <w:qFormat/>
    <w:uiPriority w:val="0"/>
    <w:pPr>
      <w:spacing w:before="100" w:beforeLines="0" w:beforeAutospacing="1" w:after="100" w:afterLines="0" w:afterAutospacing="1" w:line="375" w:lineRule="atLeast"/>
    </w:pPr>
    <w:rPr>
      <w:rFonts w:ascii="Arial" w:hAnsi="Arial" w:cs="Arial"/>
      <w:color w:val="003399"/>
      <w:sz w:val="18"/>
      <w:szCs w:val="18"/>
    </w:rPr>
  </w:style>
  <w:style w:type="paragraph" w:customStyle="1" w:styleId="221">
    <w:name w:val="页眉 New New New New New New New New New New"/>
    <w:basedOn w:val="222"/>
    <w:autoRedefine/>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22">
    <w:name w:val="正文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
    <w:name w:val="xl100"/>
    <w:basedOn w:val="1"/>
    <w:autoRedefine/>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20"/>
      <w:szCs w:val="20"/>
    </w:rPr>
  </w:style>
  <w:style w:type="paragraph" w:customStyle="1" w:styleId="224">
    <w:name w:val="gb_master正文"/>
    <w:basedOn w:val="1"/>
    <w:autoRedefine/>
    <w:qFormat/>
    <w:uiPriority w:val="0"/>
    <w:pPr>
      <w:widowControl w:val="0"/>
      <w:ind w:firstLine="200" w:firstLineChars="200"/>
      <w:jc w:val="both"/>
    </w:pPr>
    <w:rPr>
      <w:kern w:val="2"/>
      <w:sz w:val="21"/>
    </w:rPr>
  </w:style>
  <w:style w:type="paragraph" w:customStyle="1" w:styleId="225">
    <w:name w:val="MM Topic 3"/>
    <w:basedOn w:val="6"/>
    <w:autoRedefine/>
    <w:qFormat/>
    <w:uiPriority w:val="0"/>
    <w:pPr>
      <w:numPr>
        <w:ilvl w:val="2"/>
        <w:numId w:val="0"/>
      </w:numPr>
      <w:tabs>
        <w:tab w:val="left" w:pos="1418"/>
        <w:tab w:val="clear" w:pos="900"/>
      </w:tabs>
    </w:pPr>
    <w:rPr>
      <w:rFonts w:ascii="Times New Roman" w:hAnsi="Times New Roman"/>
      <w:bCs w:val="0"/>
      <w:szCs w:val="20"/>
    </w:rPr>
  </w:style>
  <w:style w:type="paragraph" w:customStyle="1" w:styleId="226">
    <w:name w:val="xl111"/>
    <w:basedOn w:val="1"/>
    <w:autoRedefine/>
    <w:qFormat/>
    <w:uiPriority w:val="0"/>
    <w:pPr>
      <w:pBdr>
        <w:top w:val="single" w:color="auto" w:sz="4" w:space="0"/>
        <w:left w:val="single" w:color="auto" w:sz="4" w:space="0"/>
        <w:bottom w:val="single" w:color="auto" w:sz="4" w:space="0"/>
      </w:pBdr>
      <w:spacing w:before="100" w:beforeLines="0" w:beforeAutospacing="1" w:after="100" w:afterLines="0" w:afterAutospacing="1"/>
    </w:pPr>
    <w:rPr>
      <w:rFonts w:ascii="宋体" w:hAnsi="宋体" w:cs="宋体"/>
    </w:rPr>
  </w:style>
  <w:style w:type="paragraph" w:customStyle="1" w:styleId="227">
    <w:name w:val="正文段落"/>
    <w:basedOn w:val="1"/>
    <w:autoRedefine/>
    <w:qFormat/>
    <w:uiPriority w:val="0"/>
    <w:pPr>
      <w:widowControl w:val="0"/>
      <w:spacing w:line="300" w:lineRule="auto"/>
      <w:ind w:firstLine="510"/>
      <w:jc w:val="both"/>
    </w:pPr>
    <w:rPr>
      <w:kern w:val="2"/>
      <w:szCs w:val="20"/>
    </w:rPr>
  </w:style>
  <w:style w:type="paragraph" w:customStyle="1" w:styleId="228">
    <w:name w:val="table head"/>
    <w:basedOn w:val="1"/>
    <w:autoRedefine/>
    <w:qFormat/>
    <w:uiPriority w:val="0"/>
    <w:pPr>
      <w:keepNext/>
      <w:keepLines/>
      <w:widowControl w:val="0"/>
      <w:adjustRightInd w:val="0"/>
      <w:spacing w:line="312" w:lineRule="atLeast"/>
      <w:jc w:val="center"/>
      <w:textAlignment w:val="baseline"/>
    </w:pPr>
    <w:rPr>
      <w:b/>
      <w:sz w:val="21"/>
      <w:szCs w:val="20"/>
    </w:rPr>
  </w:style>
  <w:style w:type="paragraph" w:customStyle="1" w:styleId="229">
    <w:name w:val="xl78"/>
    <w:basedOn w:val="1"/>
    <w:autoRedefine/>
    <w:qFormat/>
    <w:uiPriority w:val="0"/>
    <w:pPr>
      <w:spacing w:before="100" w:beforeLines="0" w:beforeAutospacing="1" w:after="100" w:afterLines="0" w:afterAutospacing="1"/>
      <w:jc w:val="center"/>
    </w:pPr>
    <w:rPr>
      <w:rFonts w:ascii="宋体" w:hAnsi="宋体" w:cs="宋体"/>
    </w:rPr>
  </w:style>
  <w:style w:type="paragraph" w:customStyle="1" w:styleId="230">
    <w:name w:val="默认段落字体 Para Char Char"/>
    <w:basedOn w:val="1"/>
    <w:autoRedefine/>
    <w:qFormat/>
    <w:uiPriority w:val="0"/>
    <w:pPr>
      <w:widowControl w:val="0"/>
      <w:jc w:val="both"/>
    </w:pPr>
    <w:rPr>
      <w:kern w:val="2"/>
      <w:sz w:val="21"/>
      <w:szCs w:val="20"/>
    </w:rPr>
  </w:style>
  <w:style w:type="paragraph" w:customStyle="1" w:styleId="231">
    <w:name w:val="MM Topic 8"/>
    <w:basedOn w:val="11"/>
    <w:autoRedefine/>
    <w:qFormat/>
    <w:uiPriority w:val="0"/>
    <w:pPr>
      <w:tabs>
        <w:tab w:val="left" w:pos="4394"/>
      </w:tabs>
    </w:pPr>
  </w:style>
  <w:style w:type="paragraph" w:customStyle="1" w:styleId="232">
    <w:name w:val="Char1"/>
    <w:basedOn w:val="1"/>
    <w:next w:val="1"/>
    <w:autoRedefine/>
    <w:qFormat/>
    <w:uiPriority w:val="0"/>
    <w:pPr>
      <w:widowControl w:val="0"/>
      <w:spacing w:line="240" w:lineRule="atLeast"/>
      <w:ind w:left="420" w:firstLine="420"/>
    </w:pPr>
    <w:rPr>
      <w:sz w:val="21"/>
      <w:szCs w:val="21"/>
    </w:rPr>
  </w:style>
  <w:style w:type="paragraph" w:customStyle="1" w:styleId="233">
    <w:name w:val="标题样式"/>
    <w:basedOn w:val="1"/>
    <w:autoRedefine/>
    <w:qFormat/>
    <w:uiPriority w:val="0"/>
    <w:pPr>
      <w:widowControl w:val="0"/>
      <w:tabs>
        <w:tab w:val="left" w:pos="420"/>
      </w:tabs>
      <w:spacing w:line="360" w:lineRule="auto"/>
      <w:jc w:val="both"/>
    </w:pPr>
    <w:rPr>
      <w:rFonts w:ascii="宋体" w:hAnsi="宋体"/>
      <w:kern w:val="2"/>
      <w:szCs w:val="20"/>
    </w:rPr>
  </w:style>
  <w:style w:type="paragraph" w:customStyle="1" w:styleId="234">
    <w:name w:val="Body Text 2"/>
    <w:basedOn w:val="1"/>
    <w:autoRedefine/>
    <w:qFormat/>
    <w:uiPriority w:val="0"/>
    <w:pPr>
      <w:widowControl w:val="0"/>
      <w:adjustRightInd w:val="0"/>
      <w:spacing w:line="300" w:lineRule="auto"/>
      <w:jc w:val="center"/>
      <w:textAlignment w:val="baseline"/>
    </w:pPr>
    <w:rPr>
      <w:rFonts w:ascii="宋体" w:hAnsi="宋体"/>
      <w:kern w:val="2"/>
      <w:szCs w:val="20"/>
    </w:rPr>
  </w:style>
  <w:style w:type="paragraph" w:customStyle="1" w:styleId="235">
    <w:name w:val="xl82"/>
    <w:basedOn w:val="1"/>
    <w:autoRedefine/>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rPr>
  </w:style>
  <w:style w:type="paragraph" w:customStyle="1" w:styleId="236">
    <w:name w:val="页脚 New New New New New New New New New New New New New New New New"/>
    <w:basedOn w:val="237"/>
    <w:autoRedefine/>
    <w:qFormat/>
    <w:uiPriority w:val="0"/>
    <w:pPr>
      <w:tabs>
        <w:tab w:val="center" w:pos="4153"/>
        <w:tab w:val="right" w:pos="8306"/>
      </w:tabs>
      <w:snapToGrid w:val="0"/>
      <w:jc w:val="left"/>
    </w:pPr>
    <w:rPr>
      <w:kern w:val="2"/>
      <w:sz w:val="18"/>
      <w:szCs w:val="18"/>
    </w:rPr>
  </w:style>
  <w:style w:type="paragraph" w:customStyle="1" w:styleId="237">
    <w:name w:val="正文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WW-正文（首行缩进两字）"/>
    <w:basedOn w:val="1"/>
    <w:autoRedefine/>
    <w:qFormat/>
    <w:uiPriority w:val="0"/>
    <w:pPr>
      <w:widowControl w:val="0"/>
      <w:autoSpaceDE w:val="0"/>
      <w:autoSpaceDN w:val="0"/>
      <w:adjustRightInd w:val="0"/>
      <w:ind w:firstLine="420"/>
      <w:jc w:val="both"/>
    </w:pPr>
    <w:rPr>
      <w:sz w:val="21"/>
      <w:szCs w:val="21"/>
    </w:rPr>
  </w:style>
  <w:style w:type="paragraph" w:customStyle="1" w:styleId="239">
    <w:name w:val=" Char Char Char"/>
    <w:basedOn w:val="1"/>
    <w:autoRedefine/>
    <w:qFormat/>
    <w:uiPriority w:val="0"/>
    <w:pPr>
      <w:widowControl w:val="0"/>
      <w:jc w:val="both"/>
    </w:pPr>
    <w:rPr>
      <w:rFonts w:ascii="Tahoma" w:hAnsi="Tahoma"/>
      <w:kern w:val="2"/>
      <w:szCs w:val="20"/>
    </w:rPr>
  </w:style>
  <w:style w:type="paragraph" w:customStyle="1" w:styleId="240">
    <w:name w:val="pa-106"/>
    <w:basedOn w:val="1"/>
    <w:autoRedefine/>
    <w:qFormat/>
    <w:uiPriority w:val="0"/>
    <w:pPr>
      <w:spacing w:line="360" w:lineRule="atLeast"/>
      <w:ind w:firstLine="460"/>
      <w:jc w:val="both"/>
    </w:pPr>
    <w:rPr>
      <w:rFonts w:ascii="宋体" w:hAnsi="宋体" w:cs="宋体"/>
    </w:rPr>
  </w:style>
  <w:style w:type="paragraph" w:customStyle="1" w:styleId="241">
    <w:name w:val="默认段落字体 Para Char Char Char1 Char"/>
    <w:basedOn w:val="1"/>
    <w:next w:val="1"/>
    <w:autoRedefine/>
    <w:qFormat/>
    <w:uiPriority w:val="0"/>
    <w:pPr>
      <w:widowControl w:val="0"/>
      <w:spacing w:line="240" w:lineRule="atLeast"/>
      <w:ind w:left="420" w:firstLine="420"/>
    </w:pPr>
    <w:rPr>
      <w:sz w:val="21"/>
      <w:szCs w:val="21"/>
    </w:rPr>
  </w:style>
  <w:style w:type="paragraph" w:customStyle="1" w:styleId="242">
    <w:name w:val="xl101"/>
    <w:basedOn w:val="1"/>
    <w:autoRedefine/>
    <w:qFormat/>
    <w:uiPriority w:val="0"/>
    <w:pPr>
      <w:spacing w:before="100" w:beforeLines="0" w:beforeAutospacing="1" w:after="100" w:afterLines="0" w:afterAutospacing="1"/>
    </w:pPr>
    <w:rPr>
      <w:rFonts w:ascii="宋体" w:hAnsi="宋体" w:cs="宋体"/>
      <w:sz w:val="20"/>
      <w:szCs w:val="20"/>
    </w:rPr>
  </w:style>
  <w:style w:type="paragraph" w:customStyle="1" w:styleId="243">
    <w:name w:val="xl107"/>
    <w:basedOn w:val="1"/>
    <w:autoRedefine/>
    <w:qFormat/>
    <w:uiPriority w:val="0"/>
    <w:pPr>
      <w:spacing w:before="100" w:beforeLines="0" w:beforeAutospacing="1" w:after="100" w:afterLines="0" w:afterAutospacing="1"/>
      <w:jc w:val="center"/>
    </w:pPr>
    <w:rPr>
      <w:rFonts w:ascii="宋体" w:hAnsi="宋体" w:cs="宋体"/>
      <w:b/>
      <w:bCs/>
      <w:sz w:val="20"/>
      <w:szCs w:val="20"/>
    </w:rPr>
  </w:style>
  <w:style w:type="paragraph" w:customStyle="1" w:styleId="244">
    <w:name w:val="xl89"/>
    <w:basedOn w:val="1"/>
    <w:autoRedefine/>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rPr>
  </w:style>
  <w:style w:type="paragraph" w:customStyle="1" w:styleId="245">
    <w:name w:val="_Style 16"/>
    <w:basedOn w:val="1"/>
    <w:autoRedefine/>
    <w:qFormat/>
    <w:uiPriority w:val="0"/>
  </w:style>
  <w:style w:type="paragraph" w:customStyle="1" w:styleId="246">
    <w:name w:val="Table Paragraph"/>
    <w:basedOn w:val="1"/>
    <w:autoRedefine/>
    <w:qFormat/>
    <w:uiPriority w:val="1"/>
    <w:pPr>
      <w:jc w:val="left"/>
    </w:pPr>
    <w:rPr>
      <w:kern w:val="0"/>
      <w:sz w:val="22"/>
      <w:lang w:eastAsia="en-US"/>
    </w:rPr>
  </w:style>
  <w:style w:type="paragraph" w:customStyle="1" w:styleId="247">
    <w:name w:val="MM Topic 2"/>
    <w:basedOn w:val="5"/>
    <w:autoRedefine/>
    <w:qFormat/>
    <w:uiPriority w:val="0"/>
    <w:pPr>
      <w:numPr>
        <w:ilvl w:val="0"/>
        <w:numId w:val="0"/>
      </w:numPr>
      <w:tabs>
        <w:tab w:val="left" w:pos="992"/>
        <w:tab w:val="clear" w:pos="720"/>
      </w:tabs>
    </w:pPr>
    <w:rPr>
      <w:rFonts w:ascii="Arial" w:cs="Times New Roman"/>
      <w:bCs w:val="0"/>
      <w:iCs w:val="0"/>
      <w:color w:val="000000"/>
      <w:kern w:val="2"/>
      <w:szCs w:val="20"/>
    </w:rPr>
  </w:style>
  <w:style w:type="paragraph" w:customStyle="1" w:styleId="248">
    <w:name w:val="xl71"/>
    <w:basedOn w:val="1"/>
    <w:autoRedefine/>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rPr>
  </w:style>
  <w:style w:type="paragraph" w:customStyle="1" w:styleId="249">
    <w:name w:val="MM Title"/>
    <w:basedOn w:val="1"/>
    <w:autoRedefine/>
    <w:qFormat/>
    <w:uiPriority w:val="0"/>
    <w:pPr>
      <w:widowControl w:val="0"/>
      <w:spacing w:before="240" w:beforeLines="0" w:after="60" w:afterLines="0"/>
      <w:jc w:val="center"/>
      <w:outlineLvl w:val="0"/>
    </w:pPr>
    <w:rPr>
      <w:rFonts w:ascii="Arial" w:hAnsi="Arial"/>
      <w:b/>
      <w:kern w:val="2"/>
      <w:sz w:val="32"/>
      <w:szCs w:val="20"/>
    </w:rPr>
  </w:style>
  <w:style w:type="paragraph" w:customStyle="1" w:styleId="250">
    <w:name w:val="MM Topic 7"/>
    <w:basedOn w:val="10"/>
    <w:autoRedefine/>
    <w:qFormat/>
    <w:uiPriority w:val="0"/>
    <w:pPr>
      <w:keepLines/>
      <w:widowControl w:val="0"/>
      <w:tabs>
        <w:tab w:val="left" w:pos="3827"/>
        <w:tab w:val="clear" w:pos="3600"/>
      </w:tabs>
      <w:spacing w:before="240" w:beforeLines="0" w:after="64" w:afterLines="0" w:line="317" w:lineRule="auto"/>
      <w:jc w:val="both"/>
    </w:pPr>
    <w:rPr>
      <w:rFonts w:ascii="Times New Roman" w:hAnsi="Times New Roman"/>
      <w:kern w:val="2"/>
      <w:sz w:val="24"/>
      <w:lang w:eastAsia="zh-CN"/>
    </w:rPr>
  </w:style>
  <w:style w:type="paragraph" w:customStyle="1" w:styleId="251">
    <w:name w:val="MM Topic 9"/>
    <w:basedOn w:val="12"/>
    <w:autoRedefine/>
    <w:qFormat/>
    <w:uiPriority w:val="0"/>
    <w:pPr>
      <w:tabs>
        <w:tab w:val="left" w:pos="5102"/>
      </w:tabs>
    </w:pPr>
  </w:style>
  <w:style w:type="paragraph" w:customStyle="1" w:styleId="252">
    <w:name w:val="xl88"/>
    <w:basedOn w:val="1"/>
    <w:autoRedefine/>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b/>
      <w:bCs/>
    </w:rPr>
  </w:style>
  <w:style w:type="paragraph" w:customStyle="1" w:styleId="253">
    <w:name w:val="页脚 New New New New New New New New New New New New New New New"/>
    <w:basedOn w:val="254"/>
    <w:autoRedefine/>
    <w:qFormat/>
    <w:uiPriority w:val="0"/>
    <w:pPr>
      <w:tabs>
        <w:tab w:val="center" w:pos="4153"/>
        <w:tab w:val="right" w:pos="8306"/>
      </w:tabs>
      <w:snapToGrid w:val="0"/>
      <w:jc w:val="left"/>
    </w:pPr>
    <w:rPr>
      <w:kern w:val="2"/>
      <w:sz w:val="18"/>
      <w:szCs w:val="18"/>
    </w:rPr>
  </w:style>
  <w:style w:type="paragraph" w:customStyle="1" w:styleId="254">
    <w:name w:val="正文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Char Char1 Char Char Char Char Char Char Char Char Char Char Char Char Char Char Char"/>
    <w:basedOn w:val="1"/>
    <w:autoRedefine/>
    <w:qFormat/>
    <w:uiPriority w:val="0"/>
    <w:pPr>
      <w:spacing w:after="160" w:afterLines="0" w:line="240" w:lineRule="exact"/>
    </w:pPr>
    <w:rPr>
      <w:rFonts w:ascii="Verdana" w:hAnsi="Verdana"/>
      <w:sz w:val="20"/>
      <w:szCs w:val="20"/>
      <w:lang w:eastAsia="en-US"/>
    </w:rPr>
  </w:style>
  <w:style w:type="paragraph" w:customStyle="1" w:styleId="256">
    <w:name w:val="页脚 New New New New"/>
    <w:basedOn w:val="257"/>
    <w:autoRedefine/>
    <w:qFormat/>
    <w:uiPriority w:val="0"/>
    <w:pPr>
      <w:tabs>
        <w:tab w:val="center" w:pos="4153"/>
        <w:tab w:val="right" w:pos="8306"/>
      </w:tabs>
      <w:snapToGrid w:val="0"/>
      <w:jc w:val="left"/>
    </w:pPr>
    <w:rPr>
      <w:kern w:val="2"/>
      <w:sz w:val="18"/>
      <w:szCs w:val="18"/>
    </w:rPr>
  </w:style>
  <w:style w:type="paragraph" w:customStyle="1" w:styleId="257">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8">
    <w:name w:val="页脚 New New New New New"/>
    <w:basedOn w:val="259"/>
    <w:autoRedefine/>
    <w:qFormat/>
    <w:uiPriority w:val="0"/>
    <w:pPr>
      <w:tabs>
        <w:tab w:val="center" w:pos="4153"/>
        <w:tab w:val="right" w:pos="8306"/>
      </w:tabs>
      <w:snapToGrid w:val="0"/>
      <w:jc w:val="left"/>
    </w:pPr>
    <w:rPr>
      <w:kern w:val="2"/>
      <w:sz w:val="18"/>
      <w:szCs w:val="18"/>
    </w:rPr>
  </w:style>
  <w:style w:type="paragraph" w:customStyle="1" w:styleId="259">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页眉 New New New New New New New"/>
    <w:basedOn w:val="172"/>
    <w:autoRedefine/>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61">
    <w:name w:val="页眉 New New New New New New New New New New New New"/>
    <w:basedOn w:val="176"/>
    <w:autoRedefine/>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62">
    <w:name w:val="xl92"/>
    <w:basedOn w:val="1"/>
    <w:autoRedefine/>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sz w:val="20"/>
      <w:szCs w:val="20"/>
    </w:rPr>
  </w:style>
  <w:style w:type="paragraph" w:customStyle="1" w:styleId="263">
    <w:name w:val="页眉 New New New New New"/>
    <w:basedOn w:val="259"/>
    <w:autoRedefine/>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64">
    <w:name w:val="正文2"/>
    <w:basedOn w:val="1"/>
    <w:autoRedefine/>
    <w:qFormat/>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265">
    <w:name w:val="xl91"/>
    <w:basedOn w:val="1"/>
    <w:autoRedefine/>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b/>
      <w:bCs/>
    </w:rPr>
  </w:style>
  <w:style w:type="paragraph" w:customStyle="1" w:styleId="26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7">
    <w:name w:val="页眉 New New New New New New New New New New New New New New New New"/>
    <w:basedOn w:val="237"/>
    <w:autoRedefine/>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68">
    <w:name w:val="列出段落11"/>
    <w:basedOn w:val="1"/>
    <w:autoRedefine/>
    <w:qFormat/>
    <w:uiPriority w:val="34"/>
    <w:pPr>
      <w:ind w:firstLine="420" w:firstLineChars="200"/>
    </w:pPr>
    <w:rPr>
      <w:rFonts w:ascii="宋体" w:hAnsi="Calibri"/>
      <w:kern w:val="0"/>
      <w:szCs w:val="24"/>
    </w:rPr>
  </w:style>
  <w:style w:type="paragraph" w:customStyle="1" w:styleId="269">
    <w:name w:val=" Char"/>
    <w:basedOn w:val="1"/>
    <w:autoRedefine/>
    <w:qFormat/>
    <w:uiPriority w:val="0"/>
    <w:pPr>
      <w:spacing w:after="160" w:afterLines="0" w:line="240" w:lineRule="exact"/>
    </w:pPr>
    <w:rPr>
      <w:rFonts w:ascii="Tahoma" w:hAnsi="Tahoma"/>
      <w:kern w:val="2"/>
      <w:lang w:eastAsia="en-US"/>
    </w:rPr>
  </w:style>
  <w:style w:type="paragraph" w:customStyle="1" w:styleId="270">
    <w:name w:val="内容1"/>
    <w:basedOn w:val="1"/>
    <w:autoRedefine/>
    <w:qFormat/>
    <w:uiPriority w:val="0"/>
    <w:pPr>
      <w:spacing w:line="360" w:lineRule="auto"/>
      <w:ind w:firstLine="480" w:firstLineChars="200"/>
    </w:pPr>
    <w:rPr>
      <w:sz w:val="24"/>
      <w:szCs w:val="24"/>
    </w:rPr>
  </w:style>
  <w:style w:type="paragraph" w:customStyle="1" w:styleId="271">
    <w:name w:val="xl114"/>
    <w:basedOn w:val="1"/>
    <w:autoRedefine/>
    <w:qFormat/>
    <w:uiPriority w:val="0"/>
    <w:pPr>
      <w:pBdr>
        <w:top w:val="single" w:color="auto" w:sz="4" w:space="0"/>
        <w:bottom w:val="single" w:color="auto" w:sz="4" w:space="0"/>
      </w:pBdr>
      <w:spacing w:before="100" w:beforeLines="0" w:beforeAutospacing="1" w:after="100" w:afterLines="0" w:afterAutospacing="1"/>
      <w:jc w:val="center"/>
    </w:pPr>
    <w:rPr>
      <w:rFonts w:ascii="宋体" w:hAnsi="宋体" w:cs="宋体"/>
      <w:b/>
      <w:bCs/>
      <w:sz w:val="32"/>
      <w:szCs w:val="32"/>
    </w:rPr>
  </w:style>
  <w:style w:type="paragraph" w:customStyle="1" w:styleId="272">
    <w:name w:val="页眉 New New New New New New New New New New New"/>
    <w:basedOn w:val="209"/>
    <w:autoRedefine/>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73">
    <w:name w:val="页眉 New New New New New New New New New"/>
    <w:basedOn w:val="202"/>
    <w:autoRedefine/>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74">
    <w:name w:val="style3"/>
    <w:basedOn w:val="1"/>
    <w:autoRedefine/>
    <w:qFormat/>
    <w:uiPriority w:val="0"/>
    <w:pPr>
      <w:spacing w:before="100" w:beforeLines="0" w:beforeAutospacing="1" w:after="100" w:afterLines="0" w:afterAutospacing="1" w:line="450" w:lineRule="atLeast"/>
    </w:pPr>
    <w:rPr>
      <w:rFonts w:ascii="Arial" w:hAnsi="Arial" w:cs="Arial"/>
      <w:b/>
      <w:bCs/>
      <w:sz w:val="21"/>
      <w:szCs w:val="21"/>
    </w:rPr>
  </w:style>
  <w:style w:type="paragraph" w:customStyle="1" w:styleId="275">
    <w:name w:val="页眉 New New New New New New New New New New New New New New New"/>
    <w:basedOn w:val="254"/>
    <w:autoRedefine/>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76">
    <w:name w:val="表格文字"/>
    <w:basedOn w:val="1"/>
    <w:autoRedefine/>
    <w:qFormat/>
    <w:uiPriority w:val="0"/>
    <w:pPr>
      <w:widowControl w:val="0"/>
      <w:spacing w:before="78" w:beforeLines="25" w:after="78" w:afterLines="25"/>
      <w:jc w:val="both"/>
    </w:pPr>
    <w:rPr>
      <w:rFonts w:ascii="Times New (W1)" w:hAnsi="Times New (W1)"/>
      <w:spacing w:val="10"/>
      <w:kern w:val="2"/>
      <w:sz w:val="21"/>
      <w:szCs w:val="20"/>
    </w:rPr>
  </w:style>
  <w:style w:type="paragraph" w:customStyle="1" w:styleId="277">
    <w:name w:val="页眉 New New New New New New"/>
    <w:basedOn w:val="278"/>
    <w:autoRedefine/>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78">
    <w:name w:val="正文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p0"/>
    <w:basedOn w:val="1"/>
    <w:autoRedefine/>
    <w:qFormat/>
    <w:uiPriority w:val="0"/>
    <w:pPr>
      <w:jc w:val="both"/>
    </w:pPr>
    <w:rPr>
      <w:sz w:val="21"/>
      <w:szCs w:val="20"/>
    </w:rPr>
  </w:style>
  <w:style w:type="paragraph" w:customStyle="1" w:styleId="280">
    <w:name w:val="plaintext"/>
    <w:basedOn w:val="1"/>
    <w:autoRedefine/>
    <w:qFormat/>
    <w:uiPriority w:val="0"/>
    <w:pPr>
      <w:spacing w:before="100" w:beforeLines="0" w:beforeAutospacing="1" w:after="100" w:afterLines="0" w:afterAutospacing="1"/>
    </w:pPr>
    <w:rPr>
      <w:rFonts w:ascii="宋体" w:hAnsi="宋体"/>
    </w:rPr>
  </w:style>
  <w:style w:type="paragraph" w:customStyle="1" w:styleId="281">
    <w:name w:val="文字"/>
    <w:basedOn w:val="1"/>
    <w:autoRedefine/>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282">
    <w:name w:val="List Paragraph"/>
    <w:basedOn w:val="1"/>
    <w:autoRedefine/>
    <w:qFormat/>
    <w:uiPriority w:val="0"/>
    <w:pPr>
      <w:widowControl w:val="0"/>
      <w:ind w:firstLine="420" w:firstLineChars="200"/>
      <w:jc w:val="both"/>
    </w:pPr>
    <w:rPr>
      <w:kern w:val="2"/>
      <w:sz w:val="21"/>
      <w:szCs w:val="22"/>
    </w:rPr>
  </w:style>
  <w:style w:type="paragraph" w:customStyle="1" w:styleId="283">
    <w:name w:val="正文首行缩进两字符"/>
    <w:basedOn w:val="1"/>
    <w:autoRedefine/>
    <w:qFormat/>
    <w:uiPriority w:val="0"/>
    <w:pPr>
      <w:widowControl w:val="0"/>
      <w:spacing w:line="360" w:lineRule="auto"/>
      <w:ind w:firstLine="200" w:firstLineChars="200"/>
      <w:jc w:val="both"/>
    </w:pPr>
    <w:rPr>
      <w:kern w:val="2"/>
      <w:sz w:val="21"/>
      <w:szCs w:val="20"/>
    </w:rPr>
  </w:style>
  <w:style w:type="paragraph" w:customStyle="1" w:styleId="284">
    <w:name w:val="文章正文 Char Char1"/>
    <w:basedOn w:val="1"/>
    <w:autoRedefine/>
    <w:qFormat/>
    <w:uiPriority w:val="0"/>
    <w:pPr>
      <w:widowControl w:val="0"/>
      <w:spacing w:line="360" w:lineRule="auto"/>
      <w:ind w:firstLine="420"/>
      <w:jc w:val="both"/>
    </w:pPr>
    <w:rPr>
      <w:kern w:val="2"/>
      <w:szCs w:val="20"/>
    </w:rPr>
  </w:style>
  <w:style w:type="paragraph" w:customStyle="1" w:styleId="285">
    <w:name w:val="_Style 2"/>
    <w:basedOn w:val="1"/>
    <w:autoRedefine/>
    <w:qFormat/>
    <w:uiPriority w:val="0"/>
    <w:pPr>
      <w:ind w:firstLine="420" w:firstLineChars="200"/>
    </w:pPr>
    <w:rPr>
      <w:kern w:val="2"/>
      <w:sz w:val="24"/>
      <w:szCs w:val="24"/>
    </w:rPr>
  </w:style>
  <w:style w:type="paragraph" w:customStyle="1" w:styleId="286">
    <w:name w:val="Item List"/>
    <w:autoRedefine/>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287">
    <w:name w:val="xl83"/>
    <w:basedOn w:val="1"/>
    <w:autoRedefine/>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rPr>
  </w:style>
  <w:style w:type="paragraph" w:customStyle="1" w:styleId="288">
    <w:name w:val="Char Char Char Char Char Char Char"/>
    <w:basedOn w:val="1"/>
    <w:autoRedefine/>
    <w:qFormat/>
    <w:uiPriority w:val="0"/>
    <w:pPr>
      <w:snapToGrid w:val="0"/>
      <w:spacing w:line="240" w:lineRule="exact"/>
    </w:pPr>
    <w:rPr>
      <w:rFonts w:ascii="Verdana" w:hAnsi="Verdana"/>
      <w:sz w:val="20"/>
      <w:szCs w:val="20"/>
      <w:lang w:eastAsia="en-US"/>
    </w:rPr>
  </w:style>
  <w:style w:type="paragraph" w:customStyle="1" w:styleId="289">
    <w:name w:val="页眉 New New New New"/>
    <w:basedOn w:val="257"/>
    <w:autoRedefine/>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90">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1">
    <w:name w:val="标题3"/>
    <w:basedOn w:val="6"/>
    <w:autoRedefine/>
    <w:qFormat/>
    <w:uiPriority w:val="0"/>
    <w:pPr>
      <w:keepNext w:val="0"/>
      <w:keepLines w:val="0"/>
      <w:numPr>
        <w:ilvl w:val="2"/>
        <w:numId w:val="0"/>
      </w:numPr>
      <w:tabs>
        <w:tab w:val="left" w:pos="1843"/>
        <w:tab w:val="clear" w:pos="900"/>
      </w:tabs>
      <w:spacing w:before="0" w:beforeLines="0" w:after="0" w:afterLines="0" w:line="240" w:lineRule="auto"/>
      <w:outlineLvl w:val="9"/>
    </w:pPr>
    <w:rPr>
      <w:rFonts w:ascii="Times New Roman" w:hAnsi="Times New Roman"/>
      <w:b w:val="0"/>
      <w:bCs w:val="0"/>
      <w:sz w:val="21"/>
      <w:szCs w:val="20"/>
    </w:rPr>
  </w:style>
  <w:style w:type="paragraph" w:customStyle="1" w:styleId="292">
    <w:name w:val="xl109"/>
    <w:basedOn w:val="1"/>
    <w:autoRedefine/>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rPr>
  </w:style>
  <w:style w:type="paragraph" w:customStyle="1" w:styleId="293">
    <w:name w:val="xl79"/>
    <w:basedOn w:val="1"/>
    <w:autoRedefine/>
    <w:qFormat/>
    <w:uiPriority w:val="0"/>
    <w:pPr>
      <w:spacing w:before="100" w:beforeLines="0" w:beforeAutospacing="1" w:after="100" w:afterLines="0" w:afterAutospacing="1"/>
      <w:jc w:val="center"/>
    </w:pPr>
    <w:rPr>
      <w:rFonts w:ascii="宋体" w:hAnsi="宋体" w:cs="宋体"/>
    </w:rPr>
  </w:style>
  <w:style w:type="paragraph" w:customStyle="1" w:styleId="294">
    <w:name w:val="font11"/>
    <w:basedOn w:val="1"/>
    <w:autoRedefine/>
    <w:qFormat/>
    <w:uiPriority w:val="0"/>
    <w:pPr>
      <w:spacing w:before="100" w:beforeLines="0" w:beforeAutospacing="1" w:after="100" w:afterLines="0" w:afterAutospacing="1"/>
    </w:pPr>
    <w:rPr>
      <w:rFonts w:ascii="宋体" w:hAnsi="宋体" w:cs="宋体"/>
      <w:b/>
      <w:bCs/>
      <w:sz w:val="40"/>
      <w:szCs w:val="40"/>
    </w:rPr>
  </w:style>
  <w:style w:type="paragraph" w:customStyle="1" w:styleId="295">
    <w:name w:val=" Char1"/>
    <w:basedOn w:val="1"/>
    <w:next w:val="1"/>
    <w:autoRedefine/>
    <w:qFormat/>
    <w:uiPriority w:val="0"/>
    <w:pPr>
      <w:widowControl w:val="0"/>
      <w:spacing w:line="240" w:lineRule="atLeast"/>
      <w:ind w:left="420" w:firstLine="420"/>
    </w:pPr>
    <w:rPr>
      <w:sz w:val="21"/>
      <w:szCs w:val="21"/>
    </w:rPr>
  </w:style>
  <w:style w:type="paragraph" w:customStyle="1" w:styleId="296">
    <w:name w:val="默认段落字体 Para Char Char Char Char Char Char Char Char Char1 Char Char Char Char"/>
    <w:basedOn w:val="1"/>
    <w:autoRedefine/>
    <w:qFormat/>
    <w:uiPriority w:val="0"/>
    <w:pPr>
      <w:widowControl w:val="0"/>
      <w:jc w:val="both"/>
    </w:pPr>
    <w:rPr>
      <w:rFonts w:ascii="Tahoma" w:hAnsi="Tahoma"/>
      <w:kern w:val="2"/>
      <w:szCs w:val="20"/>
    </w:rPr>
  </w:style>
  <w:style w:type="paragraph" w:customStyle="1" w:styleId="297">
    <w:name w:val="xl9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pPr>
    <w:rPr>
      <w:rFonts w:ascii="宋体" w:hAnsi="宋体" w:cs="宋体"/>
      <w:sz w:val="20"/>
      <w:szCs w:val="20"/>
    </w:rPr>
  </w:style>
  <w:style w:type="paragraph" w:customStyle="1" w:styleId="298">
    <w:name w:val="ptdl"/>
    <w:basedOn w:val="1"/>
    <w:autoRedefine/>
    <w:qFormat/>
    <w:uiPriority w:val="0"/>
    <w:pPr>
      <w:widowControl w:val="0"/>
      <w:spacing w:after="156" w:afterLines="0"/>
      <w:ind w:firstLine="480"/>
      <w:jc w:val="both"/>
    </w:pPr>
    <w:rPr>
      <w:kern w:val="2"/>
      <w:szCs w:val="20"/>
    </w:rPr>
  </w:style>
  <w:style w:type="paragraph" w:customStyle="1" w:styleId="299">
    <w:name w:val="xl106"/>
    <w:basedOn w:val="1"/>
    <w:autoRedefine/>
    <w:qFormat/>
    <w:uiPriority w:val="0"/>
    <w:pPr>
      <w:spacing w:before="100" w:beforeLines="0" w:beforeAutospacing="1" w:after="100" w:afterLines="0" w:afterAutospacing="1"/>
      <w:jc w:val="center"/>
    </w:pPr>
    <w:rPr>
      <w:rFonts w:ascii="宋体" w:hAnsi="宋体" w:cs="宋体"/>
      <w:b/>
      <w:bCs/>
      <w:sz w:val="40"/>
      <w:szCs w:val="40"/>
    </w:rPr>
  </w:style>
  <w:style w:type="paragraph" w:customStyle="1" w:styleId="300">
    <w:name w:val="标题 3 （加黑）"/>
    <w:basedOn w:val="6"/>
    <w:autoRedefine/>
    <w:qFormat/>
    <w:uiPriority w:val="0"/>
    <w:pPr>
      <w:keepNext w:val="0"/>
      <w:numPr>
        <w:ilvl w:val="2"/>
        <w:numId w:val="0"/>
      </w:numPr>
      <w:tabs>
        <w:tab w:val="left" w:pos="5269"/>
        <w:tab w:val="clear" w:pos="900"/>
      </w:tabs>
      <w:spacing w:before="120" w:beforeLines="0" w:after="120" w:afterLines="0" w:line="413" w:lineRule="auto"/>
      <w:ind w:left="354" w:hanging="354" w:hangingChars="150"/>
    </w:pPr>
    <w:rPr>
      <w:rFonts w:ascii="Times New Roman" w:hAnsi="Times New Roman"/>
      <w:sz w:val="24"/>
      <w:szCs w:val="32"/>
    </w:rPr>
  </w:style>
  <w:style w:type="paragraph" w:customStyle="1" w:styleId="301">
    <w:name w:val="xl76"/>
    <w:basedOn w:val="1"/>
    <w:autoRedefine/>
    <w:qFormat/>
    <w:uiPriority w:val="0"/>
    <w:pPr>
      <w:spacing w:before="100" w:beforeLines="0" w:beforeAutospacing="1" w:after="100" w:afterLines="0" w:afterAutospacing="1"/>
      <w:jc w:val="center"/>
    </w:pPr>
    <w:rPr>
      <w:rFonts w:ascii="宋体" w:hAnsi="宋体" w:cs="宋体"/>
    </w:rPr>
  </w:style>
  <w:style w:type="paragraph" w:customStyle="1" w:styleId="302">
    <w:name w:val="black1"/>
    <w:basedOn w:val="1"/>
    <w:autoRedefine/>
    <w:qFormat/>
    <w:uiPriority w:val="0"/>
    <w:pPr>
      <w:spacing w:before="100" w:beforeLines="0" w:beforeAutospacing="1" w:after="100" w:afterLines="0" w:afterAutospacing="1" w:line="280" w:lineRule="atLeast"/>
    </w:pPr>
    <w:rPr>
      <w:rFonts w:ascii="Arial" w:hAnsi="Arial" w:eastAsia="Arial Unicode MS"/>
      <w:color w:val="000000"/>
      <w:sz w:val="18"/>
      <w:szCs w:val="20"/>
    </w:rPr>
  </w:style>
  <w:style w:type="paragraph" w:customStyle="1" w:styleId="303">
    <w:name w:val="xl80"/>
    <w:basedOn w:val="1"/>
    <w:autoRedefine/>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rPr>
  </w:style>
  <w:style w:type="paragraph" w:customStyle="1" w:styleId="304">
    <w:name w:val="样式 仿宋_GB2312 小四 左侧:  0.63 厘米"/>
    <w:basedOn w:val="1"/>
    <w:autoRedefine/>
    <w:qFormat/>
    <w:uiPriority w:val="0"/>
    <w:pPr>
      <w:widowControl w:val="0"/>
      <w:spacing w:before="120" w:beforeLines="0" w:after="120" w:afterLines="0" w:line="360" w:lineRule="auto"/>
      <w:ind w:left="357" w:firstLine="200" w:firstLineChars="200"/>
      <w:jc w:val="both"/>
    </w:pPr>
    <w:rPr>
      <w:rFonts w:ascii="仿宋_GB2312" w:hAnsi="仿宋_GB2312" w:eastAsia="仿宋_GB2312"/>
      <w:kern w:val="2"/>
      <w:szCs w:val="20"/>
    </w:rPr>
  </w:style>
  <w:style w:type="paragraph" w:customStyle="1" w:styleId="305">
    <w:name w:val="页眉 New New New New New New New New"/>
    <w:basedOn w:val="306"/>
    <w:autoRedefine/>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306">
    <w:name w:val="正文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7">
    <w:name w:val="列出段落1"/>
    <w:basedOn w:val="1"/>
    <w:autoRedefine/>
    <w:qFormat/>
    <w:uiPriority w:val="0"/>
    <w:pPr>
      <w:widowControl w:val="0"/>
      <w:ind w:firstLine="420" w:firstLineChars="200"/>
      <w:jc w:val="both"/>
    </w:pPr>
    <w:rPr>
      <w:rFonts w:ascii="Calibri" w:hAnsi="Calibri"/>
      <w:kern w:val="2"/>
      <w:sz w:val="21"/>
      <w:szCs w:val="22"/>
    </w:rPr>
  </w:style>
  <w:style w:type="paragraph" w:customStyle="1" w:styleId="308">
    <w:name w:val="页脚 New New New New New New New New New New"/>
    <w:basedOn w:val="222"/>
    <w:autoRedefine/>
    <w:qFormat/>
    <w:uiPriority w:val="0"/>
    <w:pPr>
      <w:tabs>
        <w:tab w:val="center" w:pos="4153"/>
        <w:tab w:val="right" w:pos="8306"/>
      </w:tabs>
      <w:snapToGrid w:val="0"/>
      <w:jc w:val="left"/>
    </w:pPr>
    <w:rPr>
      <w:kern w:val="2"/>
      <w:sz w:val="18"/>
      <w:szCs w:val="18"/>
    </w:rPr>
  </w:style>
  <w:style w:type="paragraph" w:customStyle="1" w:styleId="309">
    <w:name w:val="style10"/>
    <w:basedOn w:val="1"/>
    <w:autoRedefine/>
    <w:qFormat/>
    <w:uiPriority w:val="0"/>
    <w:pPr>
      <w:spacing w:before="100" w:beforeLines="0" w:beforeAutospacing="1" w:after="100" w:afterLines="0" w:afterAutospacing="1" w:line="270" w:lineRule="atLeast"/>
    </w:pPr>
    <w:rPr>
      <w:rFonts w:ascii="宋体" w:hAnsi="宋体" w:cs="宋体"/>
      <w:color w:val="FFFFFF"/>
      <w:sz w:val="21"/>
      <w:szCs w:val="21"/>
    </w:rPr>
  </w:style>
  <w:style w:type="paragraph" w:customStyle="1" w:styleId="310">
    <w:name w:val="xl85"/>
    <w:basedOn w:val="1"/>
    <w:autoRedefine/>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rPr>
  </w:style>
  <w:style w:type="paragraph" w:customStyle="1" w:styleId="311">
    <w:name w:val="font12"/>
    <w:basedOn w:val="1"/>
    <w:autoRedefine/>
    <w:qFormat/>
    <w:uiPriority w:val="0"/>
    <w:pPr>
      <w:spacing w:before="100" w:beforeLines="0" w:beforeAutospacing="1" w:after="100" w:afterLines="0" w:afterAutospacing="1"/>
    </w:pPr>
    <w:rPr>
      <w:rFonts w:ascii="宋体" w:hAnsi="宋体" w:cs="宋体"/>
      <w:b/>
      <w:bCs/>
      <w:color w:val="000000"/>
      <w:sz w:val="20"/>
      <w:szCs w:val="20"/>
    </w:rPr>
  </w:style>
  <w:style w:type="paragraph" w:customStyle="1" w:styleId="312">
    <w:name w:val="页脚 New New New New New New"/>
    <w:basedOn w:val="278"/>
    <w:autoRedefine/>
    <w:qFormat/>
    <w:uiPriority w:val="0"/>
    <w:pPr>
      <w:tabs>
        <w:tab w:val="center" w:pos="4153"/>
        <w:tab w:val="right" w:pos="8306"/>
      </w:tabs>
      <w:snapToGrid w:val="0"/>
      <w:jc w:val="left"/>
    </w:pPr>
    <w:rPr>
      <w:kern w:val="2"/>
      <w:sz w:val="18"/>
      <w:szCs w:val="18"/>
    </w:rPr>
  </w:style>
  <w:style w:type="paragraph" w:customStyle="1" w:styleId="313">
    <w:name w:val="xl112"/>
    <w:basedOn w:val="1"/>
    <w:autoRedefine/>
    <w:qFormat/>
    <w:uiPriority w:val="0"/>
    <w:pPr>
      <w:pBdr>
        <w:top w:val="single" w:color="auto" w:sz="4" w:space="0"/>
        <w:bottom w:val="single" w:color="auto" w:sz="4" w:space="0"/>
        <w:right w:val="single" w:color="auto" w:sz="4" w:space="0"/>
      </w:pBdr>
      <w:spacing w:before="100" w:beforeLines="0" w:beforeAutospacing="1" w:after="100" w:afterLines="0" w:afterAutospacing="1"/>
    </w:pPr>
    <w:rPr>
      <w:rFonts w:ascii="宋体" w:hAnsi="宋体" w:cs="宋体"/>
    </w:rPr>
  </w:style>
  <w:style w:type="paragraph" w:customStyle="1" w:styleId="314">
    <w:name w:val=" Char Char1 Char Char Char Char Char Char Char Char Char Char Char Char Char Char"/>
    <w:basedOn w:val="1"/>
    <w:autoRedefine/>
    <w:qFormat/>
    <w:uiPriority w:val="0"/>
    <w:pPr>
      <w:spacing w:after="160" w:afterLines="0" w:line="240" w:lineRule="exact"/>
    </w:pPr>
    <w:rPr>
      <w:rFonts w:ascii="Verdana" w:hAnsi="Verdana"/>
      <w:sz w:val="20"/>
      <w:szCs w:val="20"/>
      <w:lang w:eastAsia="en-US"/>
    </w:rPr>
  </w:style>
  <w:style w:type="paragraph" w:customStyle="1" w:styleId="315">
    <w:name w:val="xl102"/>
    <w:basedOn w:val="1"/>
    <w:autoRedefine/>
    <w:qFormat/>
    <w:uiPriority w:val="0"/>
    <w:pPr>
      <w:pBdr>
        <w:top w:val="single" w:color="auto" w:sz="4" w:space="0"/>
        <w:left w:val="single" w:color="auto" w:sz="4" w:space="0"/>
        <w:bottom w:val="single" w:color="auto" w:sz="4" w:space="0"/>
      </w:pBdr>
      <w:spacing w:before="100" w:beforeLines="0" w:beforeAutospacing="1" w:after="100" w:afterLines="0" w:afterAutospacing="1"/>
    </w:pPr>
    <w:rPr>
      <w:rFonts w:ascii="宋体" w:hAnsi="宋体" w:cs="宋体"/>
      <w:b/>
      <w:bCs/>
      <w:sz w:val="28"/>
      <w:szCs w:val="28"/>
    </w:rPr>
  </w:style>
  <w:style w:type="paragraph" w:customStyle="1" w:styleId="316">
    <w:name w:val="页脚 New New New New New New New New New New New New New"/>
    <w:basedOn w:val="139"/>
    <w:autoRedefine/>
    <w:qFormat/>
    <w:uiPriority w:val="0"/>
    <w:pPr>
      <w:tabs>
        <w:tab w:val="center" w:pos="4153"/>
        <w:tab w:val="right" w:pos="8306"/>
      </w:tabs>
      <w:snapToGrid w:val="0"/>
      <w:jc w:val="left"/>
    </w:pPr>
    <w:rPr>
      <w:kern w:val="2"/>
      <w:sz w:val="18"/>
      <w:szCs w:val="18"/>
    </w:rPr>
  </w:style>
  <w:style w:type="paragraph" w:customStyle="1" w:styleId="317">
    <w:name w:val="样式 标题 2proj2proj21proj22proj23proj24proj25proj26proj27p...1"/>
    <w:basedOn w:val="5"/>
    <w:autoRedefine/>
    <w:qFormat/>
    <w:uiPriority w:val="0"/>
    <w:pPr>
      <w:keepNext w:val="0"/>
      <w:keepLines w:val="0"/>
      <w:numPr>
        <w:ilvl w:val="0"/>
        <w:numId w:val="0"/>
      </w:numPr>
      <w:adjustRightInd w:val="0"/>
      <w:spacing w:before="0" w:beforeLines="0" w:after="0" w:afterLines="0" w:line="360" w:lineRule="exact"/>
      <w:jc w:val="center"/>
      <w:textAlignment w:val="baseline"/>
      <w:outlineLvl w:val="9"/>
    </w:pPr>
    <w:rPr>
      <w:rFonts w:ascii="Times New Roman" w:hAnsi="Times New Roman" w:cs="Times New Roman"/>
      <w:b w:val="0"/>
      <w:bCs w:val="0"/>
      <w:iCs w:val="0"/>
      <w:kern w:val="2"/>
      <w:sz w:val="24"/>
      <w:szCs w:val="20"/>
    </w:rPr>
  </w:style>
  <w:style w:type="paragraph" w:customStyle="1" w:styleId="318">
    <w:name w:val="content"/>
    <w:basedOn w:val="1"/>
    <w:autoRedefine/>
    <w:qFormat/>
    <w:uiPriority w:val="0"/>
    <w:pPr>
      <w:spacing w:before="120" w:beforeLines="0" w:after="0" w:afterLines="0" w:line="360" w:lineRule="auto"/>
      <w:ind w:firstLine="420" w:firstLineChars="200"/>
      <w:jc w:val="both"/>
    </w:pPr>
    <w:rPr>
      <w:rFonts w:ascii="宋体" w:hAnsi="宋体" w:eastAsia="宋体" w:cs="Times New Roman"/>
      <w:sz w:val="21"/>
      <w:szCs w:val="21"/>
      <w:lang w:eastAsia="zh-CN"/>
    </w:rPr>
  </w:style>
  <w:style w:type="paragraph" w:customStyle="1" w:styleId="319">
    <w:name w:val="xl104"/>
    <w:basedOn w:val="1"/>
    <w:autoRedefine/>
    <w:qFormat/>
    <w:uiPriority w:val="0"/>
    <w:pPr>
      <w:pBdr>
        <w:top w:val="single" w:color="auto" w:sz="4" w:space="0"/>
        <w:left w:val="single" w:color="auto" w:sz="4" w:space="0"/>
        <w:bottom w:val="single" w:color="auto" w:sz="4" w:space="0"/>
      </w:pBdr>
      <w:spacing w:before="100" w:beforeLines="0" w:beforeAutospacing="1" w:after="100" w:afterLines="0" w:afterAutospacing="1"/>
    </w:pPr>
    <w:rPr>
      <w:rFonts w:ascii="宋体" w:hAnsi="宋体" w:cs="宋体"/>
      <w:b/>
      <w:bCs/>
    </w:rPr>
  </w:style>
  <w:style w:type="paragraph" w:customStyle="1" w:styleId="320">
    <w:name w:val="页眉 New"/>
    <w:basedOn w:val="178"/>
    <w:autoRedefine/>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321">
    <w:name w:val="正文序号 4"/>
    <w:basedOn w:val="1"/>
    <w:autoRedefine/>
    <w:qFormat/>
    <w:uiPriority w:val="0"/>
    <w:pPr>
      <w:widowControl w:val="0"/>
      <w:numPr>
        <w:ilvl w:val="3"/>
        <w:numId w:val="4"/>
      </w:numPr>
      <w:tabs>
        <w:tab w:val="left" w:pos="1469"/>
        <w:tab w:val="clear" w:pos="1680"/>
      </w:tabs>
      <w:spacing w:before="60" w:beforeLines="0"/>
      <w:jc w:val="both"/>
    </w:pPr>
    <w:rPr>
      <w:kern w:val="2"/>
      <w:sz w:val="21"/>
      <w:szCs w:val="20"/>
    </w:rPr>
  </w:style>
  <w:style w:type="paragraph" w:customStyle="1" w:styleId="322">
    <w:name w:val="正文序号 3"/>
    <w:basedOn w:val="1"/>
    <w:autoRedefine/>
    <w:qFormat/>
    <w:uiPriority w:val="0"/>
    <w:pPr>
      <w:widowControl w:val="0"/>
      <w:numPr>
        <w:ilvl w:val="2"/>
        <w:numId w:val="4"/>
      </w:numPr>
      <w:tabs>
        <w:tab w:val="left" w:pos="1259"/>
        <w:tab w:val="clear" w:pos="1260"/>
      </w:tabs>
      <w:spacing w:before="60" w:beforeLines="0"/>
      <w:jc w:val="both"/>
    </w:pPr>
    <w:rPr>
      <w:kern w:val="2"/>
      <w:sz w:val="21"/>
      <w:szCs w:val="20"/>
    </w:rPr>
  </w:style>
  <w:style w:type="paragraph" w:customStyle="1" w:styleId="323">
    <w:name w:val="8"/>
    <w:basedOn w:val="1"/>
    <w:autoRedefine/>
    <w:qFormat/>
    <w:uiPriority w:val="0"/>
    <w:pPr>
      <w:spacing w:before="100" w:beforeLines="0" w:beforeAutospacing="1" w:after="100" w:afterLines="0" w:afterAutospacing="1" w:line="432" w:lineRule="auto"/>
    </w:pPr>
    <w:rPr>
      <w:rFonts w:ascii="宋体" w:hAnsi="宋体"/>
      <w:szCs w:val="21"/>
    </w:rPr>
  </w:style>
  <w:style w:type="paragraph" w:customStyle="1" w:styleId="324">
    <w:name w:val=" Char2 Char Char Char"/>
    <w:basedOn w:val="1"/>
    <w:autoRedefine/>
    <w:qFormat/>
    <w:uiPriority w:val="0"/>
    <w:pPr>
      <w:widowControl w:val="0"/>
      <w:jc w:val="both"/>
    </w:pPr>
    <w:rPr>
      <w:rFonts w:ascii="仿宋_GB2312"/>
      <w:b/>
      <w:kern w:val="2"/>
      <w:sz w:val="30"/>
      <w:szCs w:val="20"/>
    </w:rPr>
  </w:style>
  <w:style w:type="paragraph" w:customStyle="1" w:styleId="325">
    <w:name w:val="页眉 New New"/>
    <w:basedOn w:val="216"/>
    <w:autoRedefine/>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326">
    <w:name w:val=" Char2 Char Char Char Char Char Char"/>
    <w:basedOn w:val="1"/>
    <w:autoRedefine/>
    <w:qFormat/>
    <w:uiPriority w:val="0"/>
    <w:pPr>
      <w:widowControl w:val="0"/>
      <w:jc w:val="both"/>
    </w:pPr>
    <w:rPr>
      <w:rFonts w:ascii="仿宋_GB2312"/>
      <w:b/>
      <w:kern w:val="2"/>
      <w:sz w:val="30"/>
      <w:szCs w:val="20"/>
    </w:rPr>
  </w:style>
  <w:style w:type="paragraph" w:customStyle="1" w:styleId="327">
    <w:name w:val="xl95"/>
    <w:basedOn w:val="1"/>
    <w:autoRedefine/>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20"/>
      <w:szCs w:val="20"/>
    </w:rPr>
  </w:style>
  <w:style w:type="paragraph" w:customStyle="1" w:styleId="328">
    <w:name w:val="正文（标书）"/>
    <w:basedOn w:val="1"/>
    <w:autoRedefine/>
    <w:qFormat/>
    <w:uiPriority w:val="0"/>
    <w:pPr>
      <w:widowControl w:val="0"/>
      <w:spacing w:after="0" w:afterLines="0" w:line="360" w:lineRule="auto"/>
      <w:ind w:firstLine="420"/>
      <w:jc w:val="both"/>
    </w:pPr>
    <w:rPr>
      <w:rFonts w:ascii="Calibri" w:hAnsi="Calibri" w:eastAsia="宋体" w:cs="Times New Roman"/>
      <w:kern w:val="2"/>
      <w:sz w:val="24"/>
      <w:szCs w:val="24"/>
      <w:lang w:eastAsia="zh-CN"/>
    </w:rPr>
  </w:style>
  <w:style w:type="paragraph" w:customStyle="1" w:styleId="32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0">
    <w:name w:val="正文序号 1"/>
    <w:basedOn w:val="1"/>
    <w:autoRedefine/>
    <w:qFormat/>
    <w:uiPriority w:val="0"/>
    <w:pPr>
      <w:widowControl w:val="0"/>
      <w:numPr>
        <w:ilvl w:val="0"/>
        <w:numId w:val="4"/>
      </w:numPr>
      <w:tabs>
        <w:tab w:val="left" w:pos="839"/>
        <w:tab w:val="clear" w:pos="360"/>
      </w:tabs>
      <w:spacing w:before="60" w:beforeLines="0"/>
      <w:jc w:val="both"/>
    </w:pPr>
    <w:rPr>
      <w:kern w:val="2"/>
      <w:sz w:val="21"/>
      <w:szCs w:val="20"/>
    </w:rPr>
  </w:style>
  <w:style w:type="paragraph" w:customStyle="1" w:styleId="331">
    <w:name w:val="xl110"/>
    <w:basedOn w:val="1"/>
    <w:autoRedefine/>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b/>
      <w:bCs/>
      <w:sz w:val="28"/>
      <w:szCs w:val="28"/>
    </w:rPr>
  </w:style>
  <w:style w:type="paragraph" w:customStyle="1" w:styleId="332">
    <w:name w:val="页脚 New New New New New New New New"/>
    <w:basedOn w:val="306"/>
    <w:autoRedefine/>
    <w:qFormat/>
    <w:uiPriority w:val="0"/>
    <w:pPr>
      <w:tabs>
        <w:tab w:val="center" w:pos="4153"/>
        <w:tab w:val="right" w:pos="8306"/>
      </w:tabs>
      <w:snapToGrid w:val="0"/>
      <w:jc w:val="left"/>
    </w:pPr>
    <w:rPr>
      <w:kern w:val="2"/>
      <w:sz w:val="18"/>
      <w:szCs w:val="18"/>
    </w:rPr>
  </w:style>
  <w:style w:type="paragraph" w:customStyle="1" w:styleId="33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34">
    <w:name w:val="标准正文"/>
    <w:basedOn w:val="1"/>
    <w:autoRedefine/>
    <w:qFormat/>
    <w:uiPriority w:val="0"/>
    <w:pPr>
      <w:widowControl w:val="0"/>
      <w:adjustRightInd w:val="0"/>
      <w:spacing w:before="120" w:beforeLines="0" w:line="400" w:lineRule="atLeast"/>
      <w:ind w:firstLine="576"/>
      <w:textAlignment w:val="baseline"/>
    </w:pPr>
    <w:rPr>
      <w:rFonts w:eastAsia="楷体_GB2312"/>
      <w:sz w:val="28"/>
      <w:szCs w:val="20"/>
    </w:rPr>
  </w:style>
  <w:style w:type="paragraph" w:customStyle="1" w:styleId="335">
    <w:name w:val="Plain Text"/>
    <w:basedOn w:val="1"/>
    <w:autoRedefine/>
    <w:qFormat/>
    <w:uiPriority w:val="0"/>
    <w:pPr>
      <w:widowControl w:val="0"/>
      <w:adjustRightInd w:val="0"/>
      <w:jc w:val="both"/>
      <w:textAlignment w:val="baseline"/>
    </w:pPr>
    <w:rPr>
      <w:rFonts w:ascii="宋体" w:hAnsi="Courier New"/>
      <w:kern w:val="2"/>
      <w:sz w:val="21"/>
      <w:szCs w:val="20"/>
    </w:rPr>
  </w:style>
  <w:style w:type="paragraph" w:customStyle="1" w:styleId="336">
    <w:name w:val="页脚 New New New"/>
    <w:basedOn w:val="337"/>
    <w:autoRedefine/>
    <w:qFormat/>
    <w:uiPriority w:val="0"/>
    <w:pPr>
      <w:tabs>
        <w:tab w:val="center" w:pos="4153"/>
        <w:tab w:val="right" w:pos="8306"/>
      </w:tabs>
      <w:snapToGrid w:val="0"/>
      <w:jc w:val="left"/>
    </w:pPr>
    <w:rPr>
      <w:kern w:val="2"/>
      <w:sz w:val="18"/>
      <w:szCs w:val="18"/>
    </w:rPr>
  </w:style>
  <w:style w:type="paragraph" w:customStyle="1" w:styleId="337">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8">
    <w:name w:val="插图题注"/>
    <w:next w:val="1"/>
    <w:autoRedefine/>
    <w:qFormat/>
    <w:uiPriority w:val="0"/>
    <w:pPr>
      <w:numPr>
        <w:ilvl w:val="7"/>
        <w:numId w:val="1"/>
      </w:numPr>
      <w:tabs>
        <w:tab w:val="left" w:pos="1418"/>
        <w:tab w:val="clear" w:pos="5258"/>
      </w:tabs>
      <w:spacing w:after="312" w:afterLines="100"/>
      <w:jc w:val="center"/>
    </w:pPr>
    <w:rPr>
      <w:rFonts w:ascii="Arial" w:hAnsi="Arial" w:eastAsia="宋体" w:cs="Times New Roman"/>
      <w:sz w:val="18"/>
      <w:lang w:val="en-US" w:eastAsia="zh-CN" w:bidi="ar-SA"/>
    </w:rPr>
  </w:style>
  <w:style w:type="paragraph" w:customStyle="1" w:styleId="339">
    <w:name w:val="页眉 New New New"/>
    <w:basedOn w:val="337"/>
    <w:autoRedefine/>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340">
    <w:name w:val="Char"/>
    <w:basedOn w:val="1"/>
    <w:next w:val="1"/>
    <w:autoRedefine/>
    <w:qFormat/>
    <w:uiPriority w:val="0"/>
    <w:pPr>
      <w:widowControl w:val="0"/>
      <w:spacing w:line="240" w:lineRule="atLeast"/>
      <w:ind w:left="420" w:firstLine="420"/>
    </w:pPr>
    <w:rPr>
      <w:kern w:val="2"/>
      <w:szCs w:val="20"/>
    </w:rPr>
  </w:style>
  <w:style w:type="paragraph" w:customStyle="1" w:styleId="341">
    <w:name w:val="MM Topic 4"/>
    <w:basedOn w:val="7"/>
    <w:autoRedefine/>
    <w:qFormat/>
    <w:uiPriority w:val="0"/>
    <w:pPr>
      <w:keepLines/>
      <w:widowControl w:val="0"/>
      <w:tabs>
        <w:tab w:val="left" w:pos="1984"/>
      </w:tabs>
      <w:spacing w:before="280" w:beforeLines="0" w:after="290" w:afterLines="0" w:line="372" w:lineRule="auto"/>
      <w:jc w:val="both"/>
    </w:pPr>
    <w:rPr>
      <w:rFonts w:ascii="宋体" w:hAnsi="宋体"/>
      <w:bCs w:val="0"/>
      <w:kern w:val="2"/>
      <w:szCs w:val="20"/>
    </w:rPr>
  </w:style>
  <w:style w:type="paragraph" w:customStyle="1" w:styleId="342">
    <w:name w:val="xl26"/>
    <w:basedOn w:val="1"/>
    <w:autoRedefine/>
    <w:qFormat/>
    <w:uiPriority w:val="0"/>
    <w:pPr>
      <w:pBdr>
        <w:top w:val="single" w:color="auto" w:sz="4" w:space="0"/>
        <w:left w:val="single" w:color="auto" w:sz="4" w:space="0"/>
        <w:right w:val="single" w:color="auto" w:sz="4" w:space="0"/>
      </w:pBdr>
      <w:spacing w:before="100" w:beforeLines="0" w:beforeAutospacing="1" w:after="100" w:afterLines="0" w:afterAutospacing="1"/>
    </w:pPr>
    <w:rPr>
      <w:rFonts w:ascii="宋体" w:hAnsi="宋体"/>
      <w:sz w:val="22"/>
      <w:szCs w:val="22"/>
    </w:rPr>
  </w:style>
  <w:style w:type="paragraph" w:customStyle="1" w:styleId="343">
    <w:name w:val="标题 2 + 楷体_GB2312"/>
    <w:basedOn w:val="5"/>
    <w:autoRedefine/>
    <w:qFormat/>
    <w:uiPriority w:val="0"/>
    <w:pPr>
      <w:numPr>
        <w:ilvl w:val="1"/>
        <w:numId w:val="6"/>
      </w:numPr>
      <w:tabs>
        <w:tab w:val="clear" w:pos="720"/>
      </w:tabs>
      <w:spacing w:before="0" w:beforeLines="0" w:after="0" w:afterLines="0"/>
    </w:pPr>
    <w:rPr>
      <w:rFonts w:ascii="楷体_GB2312" w:eastAsia="楷体_GB2312" w:cs="Times New Roman"/>
      <w:b w:val="0"/>
      <w:bCs w:val="0"/>
      <w:i/>
      <w:iCs w:val="0"/>
      <w:kern w:val="2"/>
      <w:sz w:val="24"/>
      <w:szCs w:val="20"/>
    </w:rPr>
  </w:style>
  <w:style w:type="paragraph" w:customStyle="1" w:styleId="344">
    <w:name w:val="Char2"/>
    <w:basedOn w:val="1"/>
    <w:autoRedefine/>
    <w:qFormat/>
    <w:uiPriority w:val="0"/>
    <w:pPr>
      <w:widowControl w:val="0"/>
      <w:jc w:val="both"/>
    </w:pPr>
    <w:rPr>
      <w:kern w:val="2"/>
      <w:sz w:val="21"/>
      <w:szCs w:val="20"/>
    </w:rPr>
  </w:style>
  <w:style w:type="paragraph" w:customStyle="1" w:styleId="345">
    <w:name w:val="页眉 New New New New New New New New New New New New New New"/>
    <w:basedOn w:val="144"/>
    <w:autoRedefine/>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346">
    <w:name w:val="09正文_wh"/>
    <w:autoRedefine/>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47">
    <w:name w:val="font9"/>
    <w:basedOn w:val="1"/>
    <w:autoRedefine/>
    <w:qFormat/>
    <w:uiPriority w:val="0"/>
    <w:pPr>
      <w:spacing w:before="100" w:beforeLines="0" w:beforeAutospacing="1" w:after="100" w:afterLines="0" w:afterAutospacing="1"/>
    </w:pPr>
    <w:rPr>
      <w:rFonts w:ascii="宋体" w:hAnsi="宋体" w:cs="宋体"/>
      <w:sz w:val="18"/>
      <w:szCs w:val="18"/>
    </w:rPr>
  </w:style>
  <w:style w:type="paragraph" w:customStyle="1" w:styleId="348">
    <w:name w:val="font0"/>
    <w:basedOn w:val="1"/>
    <w:autoRedefine/>
    <w:qFormat/>
    <w:uiPriority w:val="0"/>
    <w:pPr>
      <w:spacing w:before="100" w:beforeLines="0" w:beforeAutospacing="1" w:after="100" w:afterLines="0" w:afterAutospacing="1"/>
    </w:pPr>
    <w:rPr>
      <w:rFonts w:ascii="宋体" w:hAnsi="宋体" w:cs="宋体"/>
      <w:color w:val="000000"/>
      <w:sz w:val="22"/>
      <w:szCs w:val="22"/>
    </w:rPr>
  </w:style>
  <w:style w:type="paragraph" w:customStyle="1" w:styleId="349">
    <w:name w:val="font5"/>
    <w:basedOn w:val="1"/>
    <w:autoRedefine/>
    <w:qFormat/>
    <w:uiPriority w:val="0"/>
    <w:pPr>
      <w:spacing w:before="100" w:beforeLines="0" w:beforeAutospacing="1" w:after="100" w:afterLines="0" w:afterAutospacing="1"/>
    </w:pPr>
    <w:rPr>
      <w:rFonts w:ascii="宋体" w:hAnsi="宋体" w:cs="宋体"/>
      <w:sz w:val="22"/>
      <w:szCs w:val="22"/>
    </w:rPr>
  </w:style>
  <w:style w:type="paragraph" w:customStyle="1" w:styleId="350">
    <w:name w:val="页脚 New New"/>
    <w:basedOn w:val="216"/>
    <w:autoRedefine/>
    <w:qFormat/>
    <w:uiPriority w:val="0"/>
    <w:pPr>
      <w:tabs>
        <w:tab w:val="center" w:pos="4153"/>
        <w:tab w:val="right" w:pos="8306"/>
      </w:tabs>
      <w:snapToGrid w:val="0"/>
      <w:jc w:val="left"/>
    </w:pPr>
    <w:rPr>
      <w:kern w:val="2"/>
      <w:sz w:val="18"/>
      <w:szCs w:val="18"/>
    </w:rPr>
  </w:style>
  <w:style w:type="paragraph" w:customStyle="1" w:styleId="351">
    <w:name w:val="font6"/>
    <w:basedOn w:val="1"/>
    <w:autoRedefine/>
    <w:qFormat/>
    <w:uiPriority w:val="0"/>
    <w:pPr>
      <w:spacing w:before="100" w:beforeLines="0" w:beforeAutospacing="1" w:after="100" w:afterLines="0" w:afterAutospacing="1"/>
    </w:pPr>
    <w:rPr>
      <w:rFonts w:ascii="宋体" w:hAnsi="宋体" w:cs="宋体"/>
      <w:sz w:val="18"/>
      <w:szCs w:val="18"/>
    </w:rPr>
  </w:style>
  <w:style w:type="paragraph" w:customStyle="1" w:styleId="352">
    <w:name w:val="正文文本缩进1"/>
    <w:basedOn w:val="1"/>
    <w:autoRedefine/>
    <w:qFormat/>
    <w:uiPriority w:val="0"/>
    <w:pPr>
      <w:ind w:firstLine="630"/>
    </w:pPr>
    <w:rPr>
      <w:sz w:val="32"/>
    </w:rPr>
  </w:style>
  <w:style w:type="paragraph" w:customStyle="1" w:styleId="353">
    <w:name w:val="xl87"/>
    <w:basedOn w:val="1"/>
    <w:autoRedefine/>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rPr>
  </w:style>
  <w:style w:type="paragraph" w:customStyle="1" w:styleId="354">
    <w:name w:val="页脚 New New New New New New New New New"/>
    <w:basedOn w:val="202"/>
    <w:autoRedefine/>
    <w:qFormat/>
    <w:uiPriority w:val="0"/>
    <w:pPr>
      <w:tabs>
        <w:tab w:val="center" w:pos="4153"/>
        <w:tab w:val="right" w:pos="8306"/>
      </w:tabs>
      <w:snapToGrid w:val="0"/>
      <w:jc w:val="left"/>
    </w:pPr>
    <w:rPr>
      <w:kern w:val="2"/>
      <w:sz w:val="18"/>
      <w:szCs w:val="18"/>
    </w:rPr>
  </w:style>
  <w:style w:type="paragraph" w:customStyle="1" w:styleId="355">
    <w:name w:val="正文缩进1"/>
    <w:basedOn w:val="1"/>
    <w:autoRedefine/>
    <w:qFormat/>
    <w:uiPriority w:val="0"/>
    <w:pPr>
      <w:ind w:firstLine="420"/>
      <w:jc w:val="both"/>
    </w:pPr>
    <w:rPr>
      <w:color w:val="000000"/>
      <w:kern w:val="2"/>
      <w:sz w:val="21"/>
      <w:szCs w:val="20"/>
    </w:rPr>
  </w:style>
  <w:style w:type="paragraph" w:customStyle="1" w:styleId="356">
    <w:name w:val="msolistparagraph"/>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Times New Roman"/>
      <w:kern w:val="2"/>
      <w:sz w:val="21"/>
      <w:szCs w:val="22"/>
      <w:lang w:val="en-US" w:eastAsia="zh-CN" w:bidi="ar"/>
    </w:rPr>
  </w:style>
  <w:style w:type="paragraph" w:customStyle="1" w:styleId="357">
    <w:name w:val="BodyText"/>
    <w:basedOn w:val="1"/>
    <w:autoRedefine/>
    <w:qFormat/>
    <w:uiPriority w:val="0"/>
    <w:pPr>
      <w:spacing w:line="360" w:lineRule="auto"/>
      <w:jc w:val="both"/>
      <w:textAlignment w:val="baseline"/>
    </w:pPr>
    <w:rPr>
      <w:rFonts w:ascii="宋体" w:hAnsi="宋体"/>
      <w:kern w:val="2"/>
      <w:sz w:val="24"/>
      <w:szCs w:val="20"/>
      <w:lang w:val="en-US" w:eastAsia="zh-CN" w:bidi="ar-SA"/>
    </w:rPr>
  </w:style>
  <w:style w:type="paragraph" w:customStyle="1" w:styleId="358">
    <w:name w:val="TOC 标题1"/>
    <w:basedOn w:val="4"/>
    <w:next w:val="1"/>
    <w:autoRedefine/>
    <w:qFormat/>
    <w:uiPriority w:val="0"/>
    <w:pPr>
      <w:widowControl/>
      <w:tabs>
        <w:tab w:val="left" w:pos="360"/>
        <w:tab w:val="clear" w:pos="425"/>
      </w:tabs>
      <w:autoSpaceDE/>
      <w:autoSpaceDN/>
      <w:spacing w:before="480" w:line="276" w:lineRule="auto"/>
      <w:ind w:left="0"/>
      <w:jc w:val="left"/>
      <w:outlineLvl w:val="9"/>
    </w:pPr>
    <w:rPr>
      <w:rFonts w:ascii="Cambria" w:hAnsi="Cambria" w:cs="Arial"/>
      <w:b w:val="0"/>
      <w:color w:val="365F91"/>
      <w:sz w:val="28"/>
      <w:szCs w:val="28"/>
      <w:lang w:val="en-US" w:bidi="ar-SA"/>
    </w:rPr>
  </w:style>
  <w:style w:type="table" w:customStyle="1" w:styleId="359">
    <w:name w:val="Table Normal"/>
    <w:autoRedefine/>
    <w:semiHidden/>
    <w:unhideWhenUsed/>
    <w:qFormat/>
    <w:uiPriority w:val="0"/>
    <w:tblPr>
      <w:tblCellMar>
        <w:top w:w="0" w:type="dxa"/>
        <w:left w:w="0" w:type="dxa"/>
        <w:bottom w:w="0" w:type="dxa"/>
        <w:right w:w="0" w:type="dxa"/>
      </w:tblCellMar>
    </w:tblPr>
  </w:style>
  <w:style w:type="character" w:customStyle="1" w:styleId="360">
    <w:name w:val="font51"/>
    <w:basedOn w:val="46"/>
    <w:uiPriority w:val="0"/>
    <w:rPr>
      <w:rFonts w:ascii="Calibri" w:hAnsi="Calibri" w:cs="Calibri"/>
      <w:color w:val="000000"/>
      <w:sz w:val="22"/>
      <w:szCs w:val="22"/>
      <w:u w:val="none"/>
    </w:rPr>
  </w:style>
  <w:style w:type="character" w:customStyle="1" w:styleId="361">
    <w:name w:val="font81"/>
    <w:basedOn w:val="46"/>
    <w:uiPriority w:val="0"/>
    <w:rPr>
      <w:rFonts w:hint="eastAsia" w:ascii="仿宋" w:hAnsi="仿宋" w:eastAsia="仿宋" w:cs="仿宋"/>
      <w:color w:val="000000"/>
      <w:sz w:val="28"/>
      <w:szCs w:val="28"/>
      <w:u w:val="none"/>
    </w:rPr>
  </w:style>
  <w:style w:type="character" w:customStyle="1" w:styleId="362">
    <w:name w:val="font61"/>
    <w:basedOn w:val="46"/>
    <w:uiPriority w:val="0"/>
    <w:rPr>
      <w:rFonts w:hint="eastAsia" w:ascii="宋体" w:hAnsi="宋体" w:eastAsia="宋体" w:cs="宋体"/>
      <w:color w:val="000000"/>
      <w:sz w:val="21"/>
      <w:szCs w:val="21"/>
      <w:u w:val="none"/>
    </w:rPr>
  </w:style>
  <w:style w:type="character" w:customStyle="1" w:styleId="363">
    <w:name w:val="font71"/>
    <w:basedOn w:val="46"/>
    <w:uiPriority w:val="0"/>
    <w:rPr>
      <w:rFonts w:ascii="Arial" w:hAnsi="Arial" w:cs="Arial"/>
      <w:color w:val="000000"/>
      <w:sz w:val="24"/>
      <w:szCs w:val="24"/>
      <w:u w:val="none"/>
    </w:rPr>
  </w:style>
  <w:style w:type="character" w:customStyle="1" w:styleId="364">
    <w:name w:val="font41"/>
    <w:basedOn w:val="46"/>
    <w:uiPriority w:val="0"/>
    <w:rPr>
      <w:rFonts w:hint="eastAsia" w:ascii="仿宋" w:hAnsi="仿宋" w:eastAsia="仿宋" w:cs="仿宋"/>
      <w:color w:val="000000"/>
      <w:sz w:val="24"/>
      <w:szCs w:val="24"/>
      <w:u w:val="none"/>
    </w:rPr>
  </w:style>
  <w:style w:type="paragraph" w:customStyle="1" w:styleId="365">
    <w:name w:val="正文文本缩进 21"/>
    <w:basedOn w:val="1"/>
    <w:qFormat/>
    <w:uiPriority w:val="0"/>
    <w:pPr>
      <w:spacing w:after="120" w:line="480" w:lineRule="auto"/>
      <w:ind w:left="200" w:left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75</Pages>
  <Words>37478</Words>
  <Characters>41224</Characters>
  <Lines>166</Lines>
  <Paragraphs>46</Paragraphs>
  <TotalTime>11</TotalTime>
  <ScaleCrop>false</ScaleCrop>
  <LinksUpToDate>false</LinksUpToDate>
  <CharactersWithSpaces>45200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2017-12-01T11:54:00Z</dcterms:created>
  <dc:creator>ffxp</dc:creator>
  <cp:lastModifiedBy>GDL</cp:lastModifiedBy>
  <cp:lastPrinted>2022-09-08T12:03:00Z</cp:lastPrinted>
  <dcterms:modified xsi:type="dcterms:W3CDTF">2024-08-04T09:01:25Z</dcterms:modified>
  <dc:title>成都市猪肉质量安全溯源信息系统专用称重设备采购项目竞争性谈判公告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A7AA3357A6164EBA9BB24E7BDB462F5D_13</vt:lpwstr>
  </property>
</Properties>
</file>